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4819"/>
        <w:gridCol w:w="3118"/>
      </w:tblGrid>
      <w:tr w:rsidR="00115934" w:rsidRPr="00115934" w14:paraId="6A7A731D" w14:textId="77777777" w:rsidTr="00E45A0D">
        <w:trPr>
          <w:trHeight w:val="850"/>
        </w:trPr>
        <w:tc>
          <w:tcPr>
            <w:tcW w:w="1559" w:type="dxa"/>
          </w:tcPr>
          <w:p w14:paraId="65B2E1FA" w14:textId="72646A13" w:rsidR="00115934" w:rsidRPr="00115934" w:rsidRDefault="00115934" w:rsidP="00115934">
            <w:pPr>
              <w:tabs>
                <w:tab w:val="left" w:pos="4082"/>
              </w:tabs>
              <w:bidi/>
              <w:spacing w:before="120" w:line="520" w:lineRule="exact"/>
              <w:rPr>
                <w:rFonts w:ascii="Simplified Arabic" w:eastAsiaTheme="minorEastAsia" w:hAnsi="Simplified Arabic" w:hint="default"/>
                <w:sz w:val="44"/>
                <w:szCs w:val="44"/>
                <w:lang w:val="en-US" w:eastAsia="en-US"/>
              </w:rPr>
            </w:pPr>
            <w:r w:rsidRPr="00115934">
              <w:rPr>
                <w:rFonts w:ascii="Simplified Arabic" w:eastAsiaTheme="minorEastAsia" w:hAnsi="Simplified Arabic"/>
                <w:bCs/>
                <w:sz w:val="44"/>
                <w:szCs w:val="44"/>
                <w:rtl/>
                <w:lang w:val="en-US" w:eastAsia="en-US"/>
              </w:rPr>
              <w:t>الأ</w:t>
            </w:r>
            <w:r w:rsidR="00083DE3">
              <w:rPr>
                <w:rFonts w:ascii="Simplified Arabic" w:eastAsiaTheme="minorEastAsia" w:hAnsi="Simplified Arabic"/>
                <w:bCs/>
                <w:sz w:val="44"/>
                <w:szCs w:val="44"/>
                <w:rtl/>
                <w:lang w:val="en-US" w:eastAsia="en-US"/>
              </w:rPr>
              <w:t>م</w:t>
            </w:r>
            <w:r w:rsidRPr="00115934">
              <w:rPr>
                <w:rFonts w:ascii="Simplified Arabic" w:eastAsiaTheme="minorEastAsia" w:hAnsi="Simplified Arabic"/>
                <w:bCs/>
                <w:sz w:val="44"/>
                <w:szCs w:val="44"/>
                <w:rtl/>
                <w:lang w:val="en-US" w:eastAsia="en-US"/>
              </w:rPr>
              <w:t>م</w:t>
            </w:r>
            <w:r w:rsidRPr="00115934">
              <w:rPr>
                <w:rFonts w:ascii="Simplified Arabic" w:eastAsiaTheme="minorEastAsia" w:hAnsi="Simplified Arabic"/>
                <w:bCs/>
                <w:sz w:val="44"/>
                <w:szCs w:val="44"/>
                <w:rtl/>
                <w:lang w:val="en-US" w:eastAsia="en-US"/>
              </w:rPr>
              <w:br/>
              <w:t>المتحدة</w:t>
            </w:r>
          </w:p>
        </w:tc>
        <w:tc>
          <w:tcPr>
            <w:tcW w:w="4819" w:type="dxa"/>
          </w:tcPr>
          <w:p w14:paraId="1A941215" w14:textId="77777777" w:rsidR="00115934" w:rsidRPr="00115934" w:rsidRDefault="00115934" w:rsidP="00115934">
            <w:pPr>
              <w:bidi/>
              <w:adjustRightInd w:val="0"/>
              <w:snapToGrid w:val="0"/>
              <w:spacing w:before="80" w:line="440" w:lineRule="exact"/>
              <w:rPr>
                <w:rFonts w:cs="Times New Roman" w:hint="default"/>
                <w:bCs/>
                <w:caps/>
                <w:color w:val="000000" w:themeColor="text1"/>
                <w:sz w:val="44"/>
                <w:szCs w:val="44"/>
                <w:rtl/>
                <w:lang w:val="en-GB" w:eastAsia="en-US"/>
              </w:rPr>
            </w:pPr>
            <w:r w:rsidRPr="00115934">
              <w:rPr>
                <w:rFonts w:cs="Times New Roman"/>
                <w:bCs/>
                <w:caps/>
                <w:noProof/>
                <w:color w:val="000000" w:themeColor="text1"/>
                <w:sz w:val="44"/>
                <w:szCs w:val="44"/>
                <w:rtl/>
                <w:lang w:val="ar-SA" w:eastAsia="en-US"/>
              </w:rPr>
              <w:drawing>
                <wp:anchor distT="0" distB="0" distL="114300" distR="114300" simplePos="0" relativeHeight="251659264" behindDoc="0" locked="0" layoutInCell="1" allowOverlap="0" wp14:anchorId="66506C0E" wp14:editId="364E4614">
                  <wp:simplePos x="0" y="0"/>
                  <wp:positionH relativeFrom="column">
                    <wp:posOffset>1856658</wp:posOffset>
                  </wp:positionH>
                  <wp:positionV relativeFrom="paragraph">
                    <wp:posOffset>88265</wp:posOffset>
                  </wp:positionV>
                  <wp:extent cx="1306195" cy="572135"/>
                  <wp:effectExtent l="0" t="0" r="8255" b="0"/>
                  <wp:wrapNone/>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06195" cy="572135"/>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3D867670" w14:textId="77777777" w:rsidR="00115934" w:rsidRPr="00115934" w:rsidRDefault="00115934" w:rsidP="00115934">
            <w:pPr>
              <w:bidi/>
              <w:rPr>
                <w:rFonts w:eastAsiaTheme="minorEastAsia" w:cs="Times New Roman" w:hint="default"/>
                <w:szCs w:val="20"/>
                <w:rtl/>
                <w:lang w:val="en-GB" w:eastAsia="en-US"/>
              </w:rPr>
            </w:pPr>
          </w:p>
        </w:tc>
      </w:tr>
    </w:tbl>
    <w:p w14:paraId="769F03DC" w14:textId="77777777" w:rsidR="00115934" w:rsidRPr="00115934" w:rsidRDefault="00115934" w:rsidP="00115934">
      <w:pPr>
        <w:tabs>
          <w:tab w:val="left" w:pos="4082"/>
        </w:tabs>
        <w:bidi/>
        <w:rPr>
          <w:rFonts w:eastAsiaTheme="minorEastAsia" w:cs="Times New Roman" w:hint="default"/>
          <w:sz w:val="2"/>
          <w:szCs w:val="2"/>
          <w:rtl/>
          <w:lang w:val="en-GB" w:eastAsia="en-US"/>
        </w:rPr>
      </w:pPr>
    </w:p>
    <w:tbl>
      <w:tblPr>
        <w:bidiVisual/>
        <w:tblW w:w="4999" w:type="pct"/>
        <w:tblLook w:val="0000" w:firstRow="0" w:lastRow="0" w:firstColumn="0" w:lastColumn="0" w:noHBand="0" w:noVBand="0"/>
      </w:tblPr>
      <w:tblGrid>
        <w:gridCol w:w="6377"/>
        <w:gridCol w:w="3118"/>
      </w:tblGrid>
      <w:tr w:rsidR="00115934" w:rsidRPr="00115934" w14:paraId="31FCB69B" w14:textId="77777777" w:rsidTr="00E45A0D">
        <w:trPr>
          <w:trHeight w:val="340"/>
        </w:trPr>
        <w:tc>
          <w:tcPr>
            <w:tcW w:w="3358" w:type="pct"/>
            <w:vAlign w:val="bottom"/>
          </w:tcPr>
          <w:p w14:paraId="4D641771" w14:textId="77777777" w:rsidR="00115934" w:rsidRPr="00115934" w:rsidRDefault="00115934" w:rsidP="00115934">
            <w:pPr>
              <w:bidi/>
              <w:jc w:val="right"/>
              <w:rPr>
                <w:rFonts w:eastAsiaTheme="minorEastAsia" w:cs="Times New Roman" w:hint="default"/>
                <w:szCs w:val="20"/>
                <w:rtl/>
                <w:lang w:val="en-GB" w:eastAsia="en-US"/>
              </w:rPr>
            </w:pPr>
          </w:p>
        </w:tc>
        <w:tc>
          <w:tcPr>
            <w:tcW w:w="1642" w:type="pct"/>
            <w:vAlign w:val="bottom"/>
          </w:tcPr>
          <w:p w14:paraId="13E42218" w14:textId="5FBEC4B3" w:rsidR="00115934" w:rsidRPr="00115934" w:rsidRDefault="00115934" w:rsidP="00115934">
            <w:pPr>
              <w:adjustRightInd w:val="0"/>
              <w:snapToGrid w:val="0"/>
              <w:rPr>
                <w:rFonts w:cs="Times New Roman" w:hint="default"/>
                <w:szCs w:val="20"/>
                <w:lang w:val="en-US" w:eastAsia="en-US"/>
              </w:rPr>
            </w:pPr>
            <w:r w:rsidRPr="00115934">
              <w:rPr>
                <w:rFonts w:cs="Times New Roman"/>
                <w:b/>
                <w:sz w:val="28"/>
                <w:szCs w:val="20"/>
                <w:lang w:val="en-GB" w:eastAsia="en-US"/>
              </w:rPr>
              <w:t>UNEP</w:t>
            </w:r>
            <w:r w:rsidRPr="00115934">
              <w:rPr>
                <w:rFonts w:cs="Times New Roman"/>
                <w:bCs/>
                <w:szCs w:val="20"/>
                <w:lang w:val="en-GB" w:eastAsia="en-US"/>
              </w:rPr>
              <w:t>/OzL.Pro.37/</w:t>
            </w:r>
            <w:r w:rsidR="00D82403">
              <w:rPr>
                <w:rFonts w:cs="Times New Roman" w:hint="default"/>
                <w:szCs w:val="20"/>
                <w:lang w:val="en-US" w:eastAsia="en-US"/>
              </w:rPr>
              <w:t>9</w:t>
            </w:r>
          </w:p>
        </w:tc>
      </w:tr>
    </w:tbl>
    <w:p w14:paraId="46F62183" w14:textId="77777777" w:rsidR="00115934" w:rsidRPr="00115934" w:rsidRDefault="00115934" w:rsidP="00115934">
      <w:pPr>
        <w:tabs>
          <w:tab w:val="left" w:pos="4082"/>
        </w:tabs>
        <w:bidi/>
        <w:rPr>
          <w:rFonts w:eastAsiaTheme="minorEastAsia" w:cs="Times New Roman" w:hint="default"/>
          <w:sz w:val="2"/>
          <w:szCs w:val="2"/>
          <w:rtl/>
          <w:lang w:val="en-GB" w:eastAsia="en-US"/>
        </w:rPr>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6378"/>
        <w:gridCol w:w="3118"/>
      </w:tblGrid>
      <w:tr w:rsidR="00115934" w:rsidRPr="00115934" w14:paraId="45C8A5AD" w14:textId="77777777" w:rsidTr="00E45A0D">
        <w:trPr>
          <w:trHeight w:val="2693"/>
        </w:trPr>
        <w:tc>
          <w:tcPr>
            <w:tcW w:w="6378" w:type="dxa"/>
          </w:tcPr>
          <w:p w14:paraId="6B708A2F" w14:textId="77777777" w:rsidR="00115934" w:rsidRPr="00115934" w:rsidRDefault="00115934" w:rsidP="00115934">
            <w:pPr>
              <w:bidi/>
              <w:adjustRightInd w:val="0"/>
              <w:snapToGrid w:val="0"/>
              <w:spacing w:after="240" w:line="640" w:lineRule="exact"/>
              <w:rPr>
                <w:rFonts w:ascii="Simplified Arabic" w:hAnsi="Simplified Arabic" w:hint="default"/>
                <w:b/>
                <w:bCs/>
                <w:sz w:val="40"/>
                <w:szCs w:val="40"/>
                <w:rtl/>
                <w:lang w:val="en-GB" w:eastAsia="en-US"/>
              </w:rPr>
            </w:pPr>
            <w:r w:rsidRPr="00115934">
              <w:rPr>
                <w:rFonts w:ascii="Simplified Arabic" w:hAnsi="Simplified Arabic"/>
                <w:b/>
                <w:bCs/>
                <w:sz w:val="40"/>
                <w:szCs w:val="40"/>
                <w:rtl/>
                <w:lang w:val="en-GB" w:eastAsia="en-US"/>
              </w:rPr>
              <w:t>بروتوكول مونتريال بشأن</w:t>
            </w:r>
            <w:r w:rsidRPr="00115934">
              <w:rPr>
                <w:rFonts w:ascii="Simplified Arabic" w:hAnsi="Simplified Arabic"/>
                <w:b/>
                <w:bCs/>
                <w:sz w:val="40"/>
                <w:szCs w:val="40"/>
                <w:lang w:val="en-GB" w:eastAsia="en-US"/>
              </w:rPr>
              <w:br/>
            </w:r>
            <w:r w:rsidRPr="00115934">
              <w:rPr>
                <w:rFonts w:ascii="Simplified Arabic" w:hAnsi="Simplified Arabic"/>
                <w:b/>
                <w:bCs/>
                <w:sz w:val="40"/>
                <w:szCs w:val="40"/>
                <w:rtl/>
                <w:lang w:val="en-GB" w:eastAsia="en-US"/>
              </w:rPr>
              <w:t>المواد المستنفدة لطبقة</w:t>
            </w:r>
            <w:r w:rsidRPr="00115934">
              <w:rPr>
                <w:rFonts w:ascii="Simplified Arabic" w:hAnsi="Simplified Arabic"/>
                <w:b/>
                <w:bCs/>
                <w:sz w:val="40"/>
                <w:szCs w:val="40"/>
                <w:lang w:val="en-GB" w:eastAsia="en-US"/>
              </w:rPr>
              <w:br/>
            </w:r>
            <w:r w:rsidRPr="00115934">
              <w:rPr>
                <w:rFonts w:ascii="Simplified Arabic" w:hAnsi="Simplified Arabic"/>
                <w:b/>
                <w:bCs/>
                <w:sz w:val="40"/>
                <w:szCs w:val="40"/>
                <w:rtl/>
                <w:lang w:val="en-GB" w:eastAsia="en-US"/>
              </w:rPr>
              <w:t>الأوزون</w:t>
            </w:r>
          </w:p>
        </w:tc>
        <w:tc>
          <w:tcPr>
            <w:tcW w:w="3118" w:type="dxa"/>
          </w:tcPr>
          <w:p w14:paraId="577226FB" w14:textId="72B5F957" w:rsidR="00115934" w:rsidRPr="00115934" w:rsidRDefault="00115934" w:rsidP="00115934">
            <w:pPr>
              <w:tabs>
                <w:tab w:val="left" w:pos="4082"/>
              </w:tabs>
              <w:adjustRightInd w:val="0"/>
              <w:snapToGrid w:val="0"/>
              <w:spacing w:before="160"/>
              <w:rPr>
                <w:rFonts w:cs="Times New Roman" w:hint="default"/>
                <w:szCs w:val="20"/>
                <w:rtl/>
                <w:lang w:val="en-GB" w:eastAsia="en-US"/>
              </w:rPr>
            </w:pPr>
            <w:r w:rsidRPr="00115934">
              <w:rPr>
                <w:rFonts w:cs="Times New Roman"/>
                <w:szCs w:val="20"/>
                <w:lang w:val="en-GB" w:eastAsia="en-US"/>
              </w:rPr>
              <w:t>Distr.:</w:t>
            </w:r>
            <w:r w:rsidRPr="00115934">
              <w:rPr>
                <w:rFonts w:cs="Times New Roman"/>
                <w:szCs w:val="20"/>
                <w:rtl/>
                <w:lang w:val="en-GB" w:eastAsia="en-US"/>
              </w:rPr>
              <w:t xml:space="preserve"> </w:t>
            </w:r>
            <w:r w:rsidR="00D82403">
              <w:rPr>
                <w:rFonts w:cs="Times New Roman" w:hint="default"/>
                <w:szCs w:val="20"/>
                <w:lang w:val="en-GB" w:eastAsia="en-US"/>
              </w:rPr>
              <w:t>General</w:t>
            </w:r>
            <w:r w:rsidR="005E1D2F">
              <w:rPr>
                <w:rFonts w:cs="Times New Roman" w:hint="default"/>
                <w:szCs w:val="20"/>
                <w:lang w:val="en-GB" w:eastAsia="en-US"/>
              </w:rPr>
              <w:t xml:space="preserve"> </w:t>
            </w:r>
            <w:r w:rsidRPr="00115934">
              <w:rPr>
                <w:rFonts w:cs="Times New Roman"/>
                <w:szCs w:val="20"/>
                <w:rtl/>
                <w:lang w:val="en-GB" w:eastAsia="en-US"/>
              </w:rPr>
              <w:br/>
            </w:r>
            <w:r w:rsidR="00D82403">
              <w:rPr>
                <w:rFonts w:cs="Times New Roman" w:hint="default"/>
                <w:szCs w:val="20"/>
                <w:lang w:val="en-GB" w:eastAsia="en-US"/>
              </w:rPr>
              <w:t>12</w:t>
            </w:r>
            <w:r w:rsidRPr="00115934">
              <w:rPr>
                <w:rFonts w:cs="Times New Roman"/>
                <w:szCs w:val="20"/>
                <w:lang w:val="en-GB" w:eastAsia="en-US"/>
              </w:rPr>
              <w:t xml:space="preserve"> </w:t>
            </w:r>
            <w:r w:rsidR="005E1D2F">
              <w:rPr>
                <w:rFonts w:cs="Times New Roman" w:hint="default"/>
                <w:szCs w:val="20"/>
                <w:lang w:val="en-GB" w:eastAsia="en-US"/>
              </w:rPr>
              <w:t>November</w:t>
            </w:r>
            <w:r w:rsidRPr="00115934">
              <w:rPr>
                <w:rFonts w:cs="Times New Roman"/>
                <w:szCs w:val="20"/>
                <w:lang w:val="en-GB" w:eastAsia="en-US"/>
              </w:rPr>
              <w:t xml:space="preserve"> 2025</w:t>
            </w:r>
          </w:p>
          <w:p w14:paraId="514E5967" w14:textId="77777777" w:rsidR="00115934" w:rsidRPr="00115934" w:rsidRDefault="00115934" w:rsidP="00115934">
            <w:pPr>
              <w:tabs>
                <w:tab w:val="left" w:pos="4082"/>
              </w:tabs>
              <w:adjustRightInd w:val="0"/>
              <w:snapToGrid w:val="0"/>
              <w:spacing w:before="120"/>
              <w:rPr>
                <w:rFonts w:cs="Times New Roman" w:hint="default"/>
                <w:szCs w:val="20"/>
                <w:rtl/>
                <w:lang w:val="en-GB" w:eastAsia="en-US"/>
              </w:rPr>
            </w:pPr>
            <w:bookmarkStart w:id="0" w:name="DistributionLang"/>
            <w:r w:rsidRPr="00115934">
              <w:rPr>
                <w:rFonts w:cs="Times New Roman"/>
                <w:szCs w:val="20"/>
                <w:lang w:val="en-GB" w:eastAsia="en-US"/>
              </w:rPr>
              <w:t>Arabic</w:t>
            </w:r>
            <w:r w:rsidRPr="00115934">
              <w:rPr>
                <w:rFonts w:cs="Times New Roman"/>
                <w:szCs w:val="20"/>
                <w:lang w:val="en-GB" w:eastAsia="en-US"/>
              </w:rPr>
              <w:br/>
              <w:t>Original: English</w:t>
            </w:r>
            <w:bookmarkEnd w:id="0"/>
          </w:p>
        </w:tc>
      </w:tr>
    </w:tbl>
    <w:p w14:paraId="3D88AED8" w14:textId="77777777" w:rsidR="00115934" w:rsidRPr="00115934" w:rsidRDefault="00115934" w:rsidP="00115934">
      <w:pPr>
        <w:tabs>
          <w:tab w:val="left" w:pos="4082"/>
        </w:tabs>
        <w:bidi/>
        <w:rPr>
          <w:rFonts w:eastAsiaTheme="minorEastAsia" w:cs="Times New Roman" w:hint="default"/>
          <w:sz w:val="2"/>
          <w:szCs w:val="2"/>
          <w:rtl/>
          <w:lang w:val="en-GB" w:eastAsia="en-US"/>
        </w:rPr>
      </w:pPr>
    </w:p>
    <w:tbl>
      <w:tblPr>
        <w:bidiVisual/>
        <w:tblW w:w="9554" w:type="dxa"/>
        <w:tblLayout w:type="fixed"/>
        <w:tblCellMar>
          <w:left w:w="0" w:type="dxa"/>
          <w:right w:w="70" w:type="dxa"/>
        </w:tblCellMar>
        <w:tblLook w:val="0000" w:firstRow="0" w:lastRow="0" w:firstColumn="0" w:lastColumn="0" w:noHBand="0" w:noVBand="0"/>
      </w:tblPr>
      <w:tblGrid>
        <w:gridCol w:w="6431"/>
        <w:gridCol w:w="3123"/>
      </w:tblGrid>
      <w:tr w:rsidR="00115934" w:rsidRPr="00115934" w14:paraId="1EB6CFD9" w14:textId="77777777" w:rsidTr="00E45A0D">
        <w:trPr>
          <w:trHeight w:val="57"/>
        </w:trPr>
        <w:tc>
          <w:tcPr>
            <w:tcW w:w="6431" w:type="dxa"/>
          </w:tcPr>
          <w:p w14:paraId="3FA87BDF" w14:textId="77777777" w:rsidR="00115934" w:rsidRPr="00115934" w:rsidRDefault="00115934" w:rsidP="00115934">
            <w:pPr>
              <w:keepNext/>
              <w:keepLines/>
              <w:tabs>
                <w:tab w:val="clear" w:pos="1247"/>
                <w:tab w:val="clear" w:pos="1814"/>
                <w:tab w:val="clear" w:pos="2381"/>
                <w:tab w:val="clear" w:pos="2948"/>
                <w:tab w:val="clear" w:pos="3515"/>
              </w:tabs>
              <w:suppressAutoHyphens/>
              <w:bidi/>
              <w:spacing w:line="380" w:lineRule="exact"/>
              <w:ind w:right="2685"/>
              <w:jc w:val="both"/>
              <w:rPr>
                <w:rFonts w:ascii="Simplified Arabic" w:hAnsi="Simplified Arabic" w:hint="default"/>
                <w:b/>
                <w:bCs/>
                <w:sz w:val="24"/>
                <w:szCs w:val="24"/>
                <w:lang w:val="ru-RU" w:eastAsia="en-US"/>
              </w:rPr>
            </w:pPr>
            <w:bookmarkStart w:id="1" w:name="CorNot1Text"/>
            <w:r w:rsidRPr="00115934">
              <w:rPr>
                <w:rFonts w:ascii="Simplified Arabic" w:hAnsi="Simplified Arabic"/>
                <w:b/>
                <w:bCs/>
                <w:sz w:val="24"/>
                <w:szCs w:val="24"/>
                <w:rtl/>
                <w:lang w:val="ru-RU" w:eastAsia="en-US"/>
              </w:rPr>
              <w:t>الاجتماع السابع والثلاثون للأطراف في بروتوكول مونتريال بشأن المواد المستنفدة لطبقة الأوزون</w:t>
            </w:r>
          </w:p>
          <w:p w14:paraId="3DA4E6F7" w14:textId="77777777" w:rsidR="00115934" w:rsidRPr="00115934" w:rsidRDefault="00115934" w:rsidP="00115934">
            <w:pPr>
              <w:keepNext/>
              <w:keepLines/>
              <w:tabs>
                <w:tab w:val="clear" w:pos="1247"/>
                <w:tab w:val="clear" w:pos="1814"/>
                <w:tab w:val="clear" w:pos="2381"/>
                <w:tab w:val="clear" w:pos="2948"/>
                <w:tab w:val="clear" w:pos="3515"/>
              </w:tabs>
              <w:suppressAutoHyphens/>
              <w:bidi/>
              <w:spacing w:after="360" w:line="340" w:lineRule="exact"/>
              <w:ind w:right="3107"/>
              <w:jc w:val="both"/>
              <w:rPr>
                <w:rFonts w:ascii="Simplified Arabic" w:hAnsi="Simplified Arabic" w:hint="default"/>
                <w:sz w:val="24"/>
                <w:szCs w:val="24"/>
                <w:lang w:val="en-US" w:eastAsia="en-US"/>
              </w:rPr>
            </w:pPr>
            <w:r w:rsidRPr="00115934">
              <w:rPr>
                <w:rFonts w:ascii="Simplified Arabic" w:hAnsi="Simplified Arabic"/>
                <w:sz w:val="24"/>
                <w:szCs w:val="24"/>
                <w:rtl/>
                <w:lang w:val="ru-RU" w:eastAsia="en-US"/>
              </w:rPr>
              <w:t xml:space="preserve">نيروبي، 3–7 تشرين الثاني/نوفمبر </w:t>
            </w:r>
            <w:bookmarkEnd w:id="1"/>
            <w:r w:rsidRPr="00115934">
              <w:rPr>
                <w:rFonts w:ascii="Simplified Arabic" w:hAnsi="Simplified Arabic"/>
                <w:sz w:val="24"/>
                <w:szCs w:val="24"/>
                <w:rtl/>
                <w:lang w:val="ru-RU" w:eastAsia="en-US"/>
              </w:rPr>
              <w:t>2025</w:t>
            </w:r>
          </w:p>
        </w:tc>
        <w:tc>
          <w:tcPr>
            <w:tcW w:w="3123" w:type="dxa"/>
          </w:tcPr>
          <w:p w14:paraId="7A3D5A1C" w14:textId="77777777" w:rsidR="00115934" w:rsidRPr="00115934" w:rsidRDefault="00115934" w:rsidP="00115934">
            <w:pPr>
              <w:bidi/>
              <w:jc w:val="right"/>
              <w:rPr>
                <w:rFonts w:eastAsiaTheme="minorEastAsia" w:cs="Times New Roman" w:hint="default"/>
                <w:szCs w:val="20"/>
                <w:rtl/>
                <w:lang w:val="en-GB" w:eastAsia="en-US"/>
              </w:rPr>
            </w:pPr>
          </w:p>
        </w:tc>
      </w:tr>
    </w:tbl>
    <w:p w14:paraId="5378BA4B" w14:textId="4A2B6B07" w:rsidR="00716B27" w:rsidRPr="00812612" w:rsidRDefault="00716B27" w:rsidP="00812612">
      <w:pPr>
        <w:pStyle w:val="BBTitle"/>
        <w:keepNext w:val="0"/>
        <w:keepLines w:val="0"/>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both"/>
        <w:textDirection w:val="tbRlV"/>
        <w:rPr>
          <w:rFonts w:ascii="Simplified Arabic" w:eastAsiaTheme="minorEastAsia" w:hAnsi="Simplified Arabic" w:cs="Simplified Arabic"/>
          <w:bCs/>
          <w:sz w:val="30"/>
          <w:szCs w:val="30"/>
          <w:rtl/>
          <w:lang w:val="ar-SA" w:eastAsia="zh-TW" w:bidi="en-GB"/>
        </w:rPr>
      </w:pPr>
      <w:r w:rsidRPr="00812612">
        <w:rPr>
          <w:rFonts w:ascii="Simplified Arabic" w:hAnsi="Simplified Arabic" w:cs="Simplified Arabic"/>
          <w:bCs/>
          <w:sz w:val="30"/>
          <w:szCs w:val="30"/>
          <w:rtl/>
        </w:rPr>
        <w:t>تقرير الاجتماع السابع والثلاثين للأطراف في بروتوكول مونتريال بشأن المواد المستنفدة لطبقة الأوزون</w:t>
      </w:r>
    </w:p>
    <w:p w14:paraId="598FAC88" w14:textId="38A19761" w:rsidR="00716B27" w:rsidRPr="00812612" w:rsidRDefault="00716B27" w:rsidP="00812612">
      <w:pPr>
        <w:pStyle w:val="CH1"/>
        <w:keepNext w:val="0"/>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bCs/>
        </w:rPr>
      </w:pPr>
      <w:r w:rsidRPr="00812612">
        <w:rPr>
          <w:rFonts w:ascii="Simplified Arabic" w:hAnsi="Simplified Arabic" w:cs="Simplified Arabic"/>
          <w:bCs/>
          <w:rtl/>
        </w:rPr>
        <w:t>مقدمة</w:t>
      </w:r>
    </w:p>
    <w:p w14:paraId="3D7CD4B6" w14:textId="144B20E3"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عُقِد الاجتماع السابع والثلاثون للأطراف في بروتوكول مونتريال بشأن المواد المستنفدة لطبقة الأوزون في مقر برنامج الأمم المتحدة للبيئة في نيروبي، في الفترة من 3 إلى 7 تشرين الثاني/نوفمبر 2025.</w:t>
      </w:r>
    </w:p>
    <w:p w14:paraId="1A6D9F74" w14:textId="24891595" w:rsidR="00C20895" w:rsidRPr="005512F2" w:rsidRDefault="00C20895" w:rsidP="005512F2">
      <w:pPr>
        <w:pStyle w:val="CH1"/>
        <w:keepNext w:val="0"/>
        <w:keepLines w:val="0"/>
        <w:tabs>
          <w:tab w:val="clear" w:pos="851"/>
          <w:tab w:val="clear" w:pos="1247"/>
          <w:tab w:val="clear" w:pos="1871"/>
          <w:tab w:val="clear" w:pos="2495"/>
          <w:tab w:val="clear" w:pos="3119"/>
          <w:tab w:val="clear" w:pos="3742"/>
          <w:tab w:val="clear" w:pos="4366"/>
          <w:tab w:val="clear" w:pos="4990"/>
        </w:tabs>
        <w:bidi/>
        <w:spacing w:after="240" w:line="360" w:lineRule="exact"/>
        <w:ind w:left="1134" w:right="0" w:firstLine="0"/>
        <w:jc w:val="both"/>
        <w:textDirection w:val="tbRlV"/>
        <w:rPr>
          <w:rFonts w:ascii="Simplified Arabic" w:hAnsi="Simplified Arabic" w:cs="Simplified Arabic"/>
          <w:bCs/>
          <w:sz w:val="26"/>
          <w:szCs w:val="26"/>
        </w:rPr>
      </w:pPr>
      <w:r w:rsidRPr="005512F2">
        <w:rPr>
          <w:rFonts w:ascii="Simplified Arabic" w:hAnsi="Simplified Arabic" w:cs="Simplified Arabic"/>
          <w:bCs/>
          <w:sz w:val="26"/>
          <w:szCs w:val="26"/>
          <w:rtl/>
        </w:rPr>
        <w:t>الجزء الأول: الجزء التحضيري (3-5 تشرين</w:t>
      </w:r>
      <w:r w:rsidR="007A6116" w:rsidRPr="005512F2">
        <w:rPr>
          <w:rFonts w:ascii="Simplified Arabic" w:hAnsi="Simplified Arabic" w:cs="Simplified Arabic"/>
          <w:bCs/>
          <w:sz w:val="26"/>
          <w:szCs w:val="26"/>
        </w:rPr>
        <w:t xml:space="preserve"> </w:t>
      </w:r>
      <w:r w:rsidRPr="005512F2">
        <w:rPr>
          <w:rFonts w:ascii="Simplified Arabic" w:hAnsi="Simplified Arabic" w:cs="Simplified Arabic"/>
          <w:bCs/>
          <w:sz w:val="26"/>
          <w:szCs w:val="26"/>
          <w:rtl/>
        </w:rPr>
        <w:t>الثاني/نوفمبر 2025)</w:t>
      </w:r>
    </w:p>
    <w:p w14:paraId="7A8AD850" w14:textId="2A39274D" w:rsidR="00C20895" w:rsidRPr="005512F2" w:rsidRDefault="005D30C7"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lang w:val="ar-SA" w:eastAsia="zh-TW" w:bidi="en-GB"/>
        </w:rPr>
      </w:pPr>
      <w:r w:rsidRPr="005512F2">
        <w:rPr>
          <w:rFonts w:ascii="Simplified Arabic" w:hAnsi="Simplified Arabic" w:cs="Simplified Arabic"/>
          <w:bCs/>
          <w:sz w:val="26"/>
          <w:szCs w:val="26"/>
          <w:rtl/>
        </w:rPr>
        <w:t>أولا</w:t>
      </w:r>
      <w:r w:rsidR="00F61171" w:rsidRPr="005512F2">
        <w:rPr>
          <w:rFonts w:ascii="Simplified Arabic" w:hAnsi="Simplified Arabic" w:cs="Simplified Arabic"/>
          <w:bCs/>
          <w:sz w:val="26"/>
          <w:szCs w:val="26"/>
          <w:rtl/>
        </w:rPr>
        <w:t>ً</w:t>
      </w:r>
      <w:r w:rsidRPr="005512F2">
        <w:rPr>
          <w:rFonts w:ascii="Simplified Arabic" w:hAnsi="Simplified Arabic" w:cs="Simplified Arabic"/>
          <w:bCs/>
          <w:sz w:val="26"/>
          <w:szCs w:val="26"/>
          <w:rtl/>
        </w:rPr>
        <w:t>-</w:t>
      </w:r>
      <w:r w:rsidRPr="005512F2">
        <w:rPr>
          <w:rFonts w:ascii="Simplified Arabic" w:hAnsi="Simplified Arabic" w:cs="Simplified Arabic"/>
          <w:bCs/>
          <w:sz w:val="26"/>
          <w:szCs w:val="26"/>
          <w:rtl/>
        </w:rPr>
        <w:tab/>
        <w:t>افتتاح الجزء التحضيري</w:t>
      </w:r>
    </w:p>
    <w:p w14:paraId="43A1D32A" w14:textId="17E30583" w:rsidR="00F978AD" w:rsidRPr="00812612" w:rsidRDefault="00A9580C"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rtl/>
          <w:lang w:val="en-GB"/>
        </w:rPr>
      </w:pPr>
      <w:r w:rsidRPr="00812612">
        <w:rPr>
          <w:rFonts w:ascii="Simplified Arabic" w:eastAsia="DengXian" w:hAnsi="Simplified Arabic" w:hint="default"/>
          <w:sz w:val="24"/>
          <w:szCs w:val="24"/>
          <w:rtl/>
          <w:lang w:val="en-GB"/>
        </w:rPr>
        <w:t>افتتحت</w:t>
      </w:r>
      <w:r w:rsidR="00F978AD" w:rsidRPr="00812612">
        <w:rPr>
          <w:rFonts w:ascii="Simplified Arabic" w:eastAsia="DengXian" w:hAnsi="Simplified Arabic" w:hint="default"/>
          <w:sz w:val="24"/>
          <w:szCs w:val="24"/>
          <w:rtl/>
          <w:lang w:val="en-GB"/>
        </w:rPr>
        <w:t xml:space="preserve"> الجزء التحضيري رئيس</w:t>
      </w:r>
      <w:r w:rsidR="00110E23" w:rsidRPr="00812612">
        <w:rPr>
          <w:rFonts w:ascii="Simplified Arabic" w:eastAsia="DengXian" w:hAnsi="Simplified Arabic" w:hint="default"/>
          <w:sz w:val="24"/>
          <w:szCs w:val="24"/>
          <w:rtl/>
          <w:lang w:val="en-GB"/>
        </w:rPr>
        <w:t>ت</w:t>
      </w:r>
      <w:r w:rsidR="00F978AD" w:rsidRPr="00812612">
        <w:rPr>
          <w:rFonts w:ascii="Simplified Arabic" w:eastAsia="DengXian" w:hAnsi="Simplified Arabic" w:hint="default"/>
          <w:sz w:val="24"/>
          <w:szCs w:val="24"/>
          <w:rtl/>
          <w:lang w:val="en-GB"/>
        </w:rPr>
        <w:t>اه المشارك</w:t>
      </w:r>
      <w:r w:rsidR="00110E23" w:rsidRPr="00812612">
        <w:rPr>
          <w:rFonts w:ascii="Simplified Arabic" w:eastAsia="DengXian" w:hAnsi="Simplified Arabic" w:hint="default"/>
          <w:sz w:val="24"/>
          <w:szCs w:val="24"/>
          <w:rtl/>
          <w:lang w:val="en-GB"/>
        </w:rPr>
        <w:t>ت</w:t>
      </w:r>
      <w:r w:rsidR="00F978AD" w:rsidRPr="00812612">
        <w:rPr>
          <w:rFonts w:ascii="Simplified Arabic" w:eastAsia="DengXian" w:hAnsi="Simplified Arabic" w:hint="default"/>
          <w:sz w:val="24"/>
          <w:szCs w:val="24"/>
          <w:rtl/>
          <w:lang w:val="en-GB"/>
        </w:rPr>
        <w:t>ان، آني غابرييل (أستراليا) وشونتيل ويلينغتون (بربادوس)، في الساعة 10</w:t>
      </w:r>
      <w:r w:rsidR="002032B8" w:rsidRPr="00812612">
        <w:rPr>
          <w:rFonts w:ascii="Simplified Arabic" w:eastAsia="DengXian" w:hAnsi="Simplified Arabic" w:hint="default"/>
          <w:sz w:val="24"/>
          <w:szCs w:val="24"/>
          <w:rtl/>
          <w:lang w:val="en-GB"/>
        </w:rPr>
        <w:t>:</w:t>
      </w:r>
      <w:r w:rsidR="00F978AD" w:rsidRPr="00812612">
        <w:rPr>
          <w:rFonts w:ascii="Simplified Arabic" w:eastAsia="DengXian" w:hAnsi="Simplified Arabic" w:hint="default"/>
          <w:sz w:val="24"/>
          <w:szCs w:val="24"/>
          <w:rtl/>
          <w:lang w:val="en-GB"/>
        </w:rPr>
        <w:t xml:space="preserve">05 </w:t>
      </w:r>
      <w:r w:rsidR="00E07FB7" w:rsidRPr="00812612">
        <w:rPr>
          <w:rFonts w:ascii="Simplified Arabic" w:eastAsia="DengXian" w:hAnsi="Simplified Arabic" w:hint="default"/>
          <w:sz w:val="24"/>
          <w:szCs w:val="24"/>
          <w:rtl/>
          <w:lang w:val="en-GB"/>
        </w:rPr>
        <w:t xml:space="preserve">من </w:t>
      </w:r>
      <w:r w:rsidR="00F978AD" w:rsidRPr="00812612">
        <w:rPr>
          <w:rFonts w:ascii="Simplified Arabic" w:eastAsia="DengXian" w:hAnsi="Simplified Arabic" w:hint="default"/>
          <w:sz w:val="24"/>
          <w:szCs w:val="24"/>
          <w:rtl/>
          <w:lang w:val="en-GB"/>
        </w:rPr>
        <w:t>صباح يوم الاثنين 3 نوفمبر/تشرين الثاني 2025. وأدلت ببيان افتتاحي ميغومي سيكي، الأمينة التنفيذية لأمانة الأوزون.</w:t>
      </w:r>
    </w:p>
    <w:p w14:paraId="322ECBCC" w14:textId="47812F42" w:rsidR="00F978AD" w:rsidRPr="00812612" w:rsidRDefault="00C01C88"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w:t>
      </w:r>
      <w:r w:rsidR="00F978AD" w:rsidRPr="00812612">
        <w:rPr>
          <w:rFonts w:ascii="Simplified Arabic" w:eastAsia="DengXian" w:hAnsi="Simplified Arabic" w:hint="default"/>
          <w:sz w:val="24"/>
          <w:szCs w:val="24"/>
          <w:rtl/>
          <w:lang w:val="en-GB"/>
        </w:rPr>
        <w:t>في معرض ترحيبها بالمشاركين، دعت السيدة سيكي المشاركين إلى الوقوف دقيقة صمت حدادًا على</w:t>
      </w:r>
      <w:r w:rsidR="00557BCC" w:rsidRPr="00812612">
        <w:rPr>
          <w:rFonts w:ascii="Simplified Arabic" w:eastAsia="DengXian" w:hAnsi="Simplified Arabic"/>
          <w:sz w:val="24"/>
          <w:szCs w:val="24"/>
          <w:rtl/>
          <w:lang w:val="en-GB"/>
        </w:rPr>
        <w:t xml:space="preserve"> </w:t>
      </w:r>
      <w:r w:rsidR="00F978AD" w:rsidRPr="00812612">
        <w:rPr>
          <w:rFonts w:ascii="Simplified Arabic" w:eastAsia="DengXian" w:hAnsi="Simplified Arabic" w:hint="default"/>
          <w:sz w:val="24"/>
          <w:szCs w:val="24"/>
          <w:rtl/>
          <w:lang w:val="en-GB"/>
        </w:rPr>
        <w:t>كورنيليوس راين (الاتحاد الأوروبي)، الذي توفي بصورة مفاجئة منذ بضعة أيام. وبناءً على ذلك، وقف الحاضرون دقيقة صمت. وأشادت السيدة سيكي بالسيد راين، قائلة إنه كان موضع إعجاب لما كا</w:t>
      </w:r>
      <w:r w:rsidR="008F1E36" w:rsidRPr="00812612">
        <w:rPr>
          <w:rFonts w:ascii="Simplified Arabic" w:eastAsia="DengXian" w:hAnsi="Simplified Arabic" w:hint="default"/>
          <w:sz w:val="24"/>
          <w:szCs w:val="24"/>
          <w:rtl/>
          <w:lang w:val="en-GB"/>
        </w:rPr>
        <w:t>ن</w:t>
      </w:r>
      <w:r w:rsidR="00F978AD" w:rsidRPr="00812612">
        <w:rPr>
          <w:rFonts w:ascii="Simplified Arabic" w:eastAsia="DengXian" w:hAnsi="Simplified Arabic" w:hint="default"/>
          <w:sz w:val="24"/>
          <w:szCs w:val="24"/>
          <w:rtl/>
          <w:lang w:val="en-GB"/>
        </w:rPr>
        <w:t xml:space="preserve"> يتسم به من </w:t>
      </w:r>
      <w:r w:rsidR="00894850" w:rsidRPr="00812612">
        <w:rPr>
          <w:rFonts w:ascii="Simplified Arabic" w:eastAsia="DengXian" w:hAnsi="Simplified Arabic" w:hint="default"/>
          <w:sz w:val="24"/>
          <w:szCs w:val="24"/>
          <w:rtl/>
          <w:lang w:val="en-GB"/>
        </w:rPr>
        <w:t xml:space="preserve">مراسة </w:t>
      </w:r>
      <w:r w:rsidR="00F978AD" w:rsidRPr="00812612">
        <w:rPr>
          <w:rFonts w:ascii="Simplified Arabic" w:eastAsia="DengXian" w:hAnsi="Simplified Arabic" w:hint="default"/>
          <w:sz w:val="24"/>
          <w:szCs w:val="24"/>
          <w:rtl/>
          <w:lang w:val="en-GB"/>
        </w:rPr>
        <w:t>مهني</w:t>
      </w:r>
      <w:r w:rsidR="00894850" w:rsidRPr="00812612">
        <w:rPr>
          <w:rFonts w:ascii="Simplified Arabic" w:eastAsia="DengXian" w:hAnsi="Simplified Arabic" w:hint="default"/>
          <w:sz w:val="24"/>
          <w:szCs w:val="24"/>
          <w:rtl/>
          <w:lang w:val="en-GB"/>
        </w:rPr>
        <w:t>ة</w:t>
      </w:r>
      <w:r w:rsidR="00F978AD" w:rsidRPr="00812612">
        <w:rPr>
          <w:rFonts w:ascii="Simplified Arabic" w:eastAsia="DengXian" w:hAnsi="Simplified Arabic" w:hint="default"/>
          <w:sz w:val="24"/>
          <w:szCs w:val="24"/>
          <w:rtl/>
          <w:lang w:val="en-GB"/>
        </w:rPr>
        <w:t xml:space="preserve"> وحماسة والتزام لا يتزعزع ب</w:t>
      </w:r>
      <w:r w:rsidR="004F296A" w:rsidRPr="00812612">
        <w:rPr>
          <w:rFonts w:ascii="Simplified Arabic" w:eastAsia="DengXian" w:hAnsi="Simplified Arabic"/>
          <w:sz w:val="24"/>
          <w:szCs w:val="24"/>
          <w:rtl/>
          <w:lang w:val="en-GB"/>
        </w:rPr>
        <w:t xml:space="preserve">حماية </w:t>
      </w:r>
      <w:r w:rsidR="00F978AD" w:rsidRPr="00812612">
        <w:rPr>
          <w:rFonts w:ascii="Simplified Arabic" w:eastAsia="DengXian" w:hAnsi="Simplified Arabic" w:hint="default"/>
          <w:sz w:val="24"/>
          <w:szCs w:val="24"/>
          <w:rtl/>
          <w:lang w:val="en-GB"/>
        </w:rPr>
        <w:t xml:space="preserve">طبقة الأوزون </w:t>
      </w:r>
      <w:r w:rsidR="00FB545D" w:rsidRPr="00812612">
        <w:rPr>
          <w:rFonts w:ascii="Simplified Arabic" w:eastAsia="DengXian" w:hAnsi="Simplified Arabic"/>
          <w:sz w:val="24"/>
          <w:szCs w:val="24"/>
          <w:rtl/>
          <w:lang w:val="en-GB"/>
        </w:rPr>
        <w:t>و</w:t>
      </w:r>
      <w:r w:rsidR="00F978AD" w:rsidRPr="00812612">
        <w:rPr>
          <w:rFonts w:ascii="Simplified Arabic" w:eastAsia="DengXian" w:hAnsi="Simplified Arabic" w:hint="default"/>
          <w:sz w:val="24"/>
          <w:szCs w:val="24"/>
          <w:rtl/>
          <w:lang w:val="en-GB"/>
        </w:rPr>
        <w:t xml:space="preserve">البيئة. وأضافت أنه كان من </w:t>
      </w:r>
      <w:r w:rsidR="006539DE" w:rsidRPr="00812612">
        <w:rPr>
          <w:rFonts w:ascii="Simplified Arabic" w:eastAsia="DengXian" w:hAnsi="Simplified Arabic" w:hint="default"/>
          <w:sz w:val="24"/>
          <w:szCs w:val="24"/>
          <w:rtl/>
          <w:lang w:val="en-GB"/>
        </w:rPr>
        <w:t>ضمن</w:t>
      </w:r>
      <w:r w:rsidR="00F978AD" w:rsidRPr="00812612">
        <w:rPr>
          <w:rFonts w:ascii="Simplified Arabic" w:eastAsia="DengXian" w:hAnsi="Simplified Arabic" w:hint="default"/>
          <w:sz w:val="24"/>
          <w:szCs w:val="24"/>
          <w:rtl/>
          <w:lang w:val="en-GB"/>
        </w:rPr>
        <w:t xml:space="preserve"> مساعيه الاضطلاع بدور رئيسي في عملية بروتوكول مونتريال وفي المفاوضات على تعديل كيغالي</w:t>
      </w:r>
      <w:r w:rsidR="0057076E" w:rsidRPr="00812612">
        <w:rPr>
          <w:rFonts w:ascii="Simplified Arabic" w:eastAsia="DengXian" w:hAnsi="Simplified Arabic"/>
          <w:sz w:val="24"/>
          <w:szCs w:val="24"/>
          <w:rtl/>
          <w:lang w:val="en-GB"/>
        </w:rPr>
        <w:t xml:space="preserve"> لبروتوكول مونتريال</w:t>
      </w:r>
      <w:r w:rsidR="00F978AD" w:rsidRPr="00812612">
        <w:rPr>
          <w:rFonts w:ascii="Simplified Arabic" w:eastAsia="DengXian" w:hAnsi="Simplified Arabic" w:hint="default"/>
          <w:sz w:val="24"/>
          <w:szCs w:val="24"/>
          <w:rtl/>
          <w:lang w:val="en-GB"/>
        </w:rPr>
        <w:t xml:space="preserve"> وتنفيذه، وشارك في لجنة التنفيذ بموجب الإجراء المتبع في حالة عدم الامتثال لبروتوكول مونتريال، وكذلك كان عضواً في اللجنة التوجيهية للمشروع التجريبي الممول من قِبل الاتحاد الأوروبي بشأن التحديد الكمي الإقليمي لانبعاثات المواد الخاضعة للرقابة بموجب البروتوكول.</w:t>
      </w:r>
    </w:p>
    <w:p w14:paraId="484D2D45" w14:textId="3A65A5CC"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وانتقلت السيدة سيكي إلى أعمال الاجتماع الحالي، فقالت إن هناك عدداً من القضايا الرئيسية التي ستتم معالجتها، بما في</w:t>
      </w:r>
      <w:r w:rsidR="00EC680C" w:rsidRPr="00812612">
        <w:rPr>
          <w:rFonts w:ascii="Simplified Arabic" w:eastAsia="DengXian" w:hAnsi="Simplified Arabic" w:hint="default"/>
          <w:sz w:val="24"/>
          <w:szCs w:val="24"/>
          <w:rtl/>
          <w:lang w:val="en-GB"/>
        </w:rPr>
        <w:t>ها</w:t>
      </w:r>
      <w:r w:rsidRPr="00812612">
        <w:rPr>
          <w:rFonts w:ascii="Simplified Arabic" w:eastAsia="DengXian" w:hAnsi="Simplified Arabic" w:hint="default"/>
          <w:sz w:val="24"/>
          <w:szCs w:val="24"/>
          <w:rtl/>
          <w:lang w:val="en-GB"/>
        </w:rPr>
        <w:t xml:space="preserve"> اختصاصات الدراسة بشأن تجديد موارد الصندوق المتعدد الأطراف لتنفيذ بروتوكول مونتريال </w:t>
      </w:r>
      <w:r w:rsidRPr="00812612">
        <w:rPr>
          <w:rFonts w:ascii="Simplified Arabic" w:eastAsia="DengXian" w:hAnsi="Simplified Arabic" w:hint="default"/>
          <w:sz w:val="24"/>
          <w:szCs w:val="24"/>
          <w:rtl/>
          <w:lang w:val="en-GB"/>
        </w:rPr>
        <w:lastRenderedPageBreak/>
        <w:t xml:space="preserve">للفترة 2027-2029، واستخدامات المواد الخاضعة للرقابة كمواد أولية، والهالون 1301 واستمرار استخدامه في صناعة الطيران، والمبادرات الوطنية والإقليمية لدعم تنفيذ تعديل كيغالي للبروتوكول. وأضافت أنه خلال الاجتماع غير الرسمي الذي مدته يوم واحد </w:t>
      </w:r>
      <w:r w:rsidR="003002CC" w:rsidRPr="00812612">
        <w:rPr>
          <w:rFonts w:ascii="Simplified Arabic" w:eastAsia="DengXian" w:hAnsi="Simplified Arabic" w:hint="default"/>
          <w:sz w:val="24"/>
          <w:szCs w:val="24"/>
          <w:rtl/>
          <w:lang w:val="en-GB"/>
        </w:rPr>
        <w:t>الذي عقد</w:t>
      </w:r>
      <w:r w:rsidRPr="00812612">
        <w:rPr>
          <w:rFonts w:ascii="Simplified Arabic" w:eastAsia="DengXian" w:hAnsi="Simplified Arabic" w:hint="default"/>
          <w:sz w:val="24"/>
          <w:szCs w:val="24"/>
          <w:rtl/>
          <w:lang w:val="en-GB"/>
        </w:rPr>
        <w:t xml:space="preserve"> في اليوم السابق، ناقش المشاركون كيفية تعزيز البروتوكول. وأعربت عن أملها في أن يكون الحوار مفيداً وأن يترجم إلى إجراءات محددة في الاجتماع الحالي.</w:t>
      </w:r>
    </w:p>
    <w:p w14:paraId="53CE99F0" w14:textId="5E319E1F"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وأشارت إلى أنه خلال الاجتماع السابع والأربعين للفريق العامل المفتوح العضوية للأطراف في بروتوكول مونتريال، </w:t>
      </w:r>
      <w:r w:rsidR="003002CC" w:rsidRPr="00812612">
        <w:rPr>
          <w:rFonts w:ascii="Simplified Arabic" w:eastAsia="DengXian" w:hAnsi="Simplified Arabic" w:hint="default"/>
          <w:sz w:val="24"/>
          <w:szCs w:val="24"/>
          <w:rtl/>
          <w:lang w:val="en-GB"/>
        </w:rPr>
        <w:t>الذي عقد</w:t>
      </w:r>
      <w:r w:rsidRPr="00812612">
        <w:rPr>
          <w:rFonts w:ascii="Simplified Arabic" w:eastAsia="DengXian" w:hAnsi="Simplified Arabic" w:hint="default"/>
          <w:sz w:val="24"/>
          <w:szCs w:val="24"/>
          <w:rtl/>
          <w:lang w:val="en-GB"/>
        </w:rPr>
        <w:t xml:space="preserve"> في بانكوك في تموز/يوليه 2025، قدم الرئيس المشارك للجنة الاستشارية للصندوق الاستئماني العام لتمويل الأنشطة الخاصة بالبحوث وعمليات الرصد المنهجية ذات الصلة باتفاقية فيينا</w:t>
      </w:r>
      <w:r w:rsidR="0045412C" w:rsidRPr="00812612">
        <w:rPr>
          <w:rFonts w:ascii="Simplified Arabic" w:eastAsia="DengXian" w:hAnsi="Simplified Arabic"/>
          <w:sz w:val="24"/>
          <w:szCs w:val="24"/>
          <w:rtl/>
          <w:lang w:val="en-GB"/>
        </w:rPr>
        <w:t xml:space="preserve"> </w:t>
      </w:r>
      <w:r w:rsidR="00CB0695" w:rsidRPr="00812612">
        <w:rPr>
          <w:rFonts w:ascii="Simplified Arabic" w:eastAsia="DengXian" w:hAnsi="Simplified Arabic"/>
          <w:sz w:val="24"/>
          <w:szCs w:val="24"/>
          <w:rtl/>
          <w:lang w:val="en-GB"/>
        </w:rPr>
        <w:t>لحماية طبقة الأوزون</w:t>
      </w:r>
      <w:r w:rsidRPr="00812612">
        <w:rPr>
          <w:rFonts w:ascii="Simplified Arabic" w:eastAsia="DengXian" w:hAnsi="Simplified Arabic" w:hint="default"/>
          <w:sz w:val="24"/>
          <w:szCs w:val="24"/>
          <w:rtl/>
          <w:lang w:val="en-GB"/>
        </w:rPr>
        <w:t xml:space="preserve"> عرضاً عن التقدم المحرز في تنفيذ الأنشطة المتعلقة برصد المواد الخاضعة للرقابة في الغلاف الجوي، وأبلغت الأمانة </w:t>
      </w:r>
      <w:r w:rsidR="00F76EBC" w:rsidRPr="00812612">
        <w:rPr>
          <w:rFonts w:ascii="Simplified Arabic" w:eastAsia="DengXian" w:hAnsi="Simplified Arabic" w:hint="default"/>
          <w:sz w:val="24"/>
          <w:szCs w:val="24"/>
          <w:rtl/>
          <w:lang w:val="en-GB"/>
        </w:rPr>
        <w:t>ب</w:t>
      </w:r>
      <w:r w:rsidRPr="00812612">
        <w:rPr>
          <w:rFonts w:ascii="Simplified Arabic" w:eastAsia="DengXian" w:hAnsi="Simplified Arabic" w:hint="default"/>
          <w:sz w:val="24"/>
          <w:szCs w:val="24"/>
          <w:rtl/>
          <w:lang w:val="en-GB"/>
        </w:rPr>
        <w:t>التقدم المحرز في ذلك. وأعلنت أنه سي</w:t>
      </w:r>
      <w:r w:rsidR="002323A3" w:rsidRPr="00812612">
        <w:rPr>
          <w:rFonts w:ascii="Simplified Arabic" w:eastAsia="DengXian" w:hAnsi="Simplified Arabic" w:hint="default"/>
          <w:sz w:val="24"/>
          <w:szCs w:val="24"/>
          <w:rtl/>
          <w:lang w:val="en-GB"/>
        </w:rPr>
        <w:t>ُقدَّم</w:t>
      </w:r>
      <w:r w:rsidRPr="00812612">
        <w:rPr>
          <w:rFonts w:ascii="Simplified Arabic" w:eastAsia="DengXian" w:hAnsi="Simplified Arabic" w:hint="default"/>
          <w:sz w:val="24"/>
          <w:szCs w:val="24"/>
          <w:rtl/>
          <w:lang w:val="en-GB"/>
        </w:rPr>
        <w:t xml:space="preserve"> خلال الاجتماع الحالي المزيد من المعلومات المستكم</w:t>
      </w:r>
      <w:r w:rsidR="00EF6256" w:rsidRPr="00812612">
        <w:rPr>
          <w:rFonts w:ascii="Simplified Arabic" w:eastAsia="DengXian" w:hAnsi="Simplified Arabic" w:hint="default"/>
          <w:sz w:val="24"/>
          <w:szCs w:val="24"/>
          <w:rtl/>
          <w:lang w:val="en-GB"/>
        </w:rPr>
        <w:t>لة</w:t>
      </w:r>
      <w:r w:rsidRPr="00812612">
        <w:rPr>
          <w:rFonts w:ascii="Simplified Arabic" w:eastAsia="DengXian" w:hAnsi="Simplified Arabic" w:hint="default"/>
          <w:sz w:val="24"/>
          <w:szCs w:val="24"/>
          <w:rtl/>
          <w:lang w:val="en-GB"/>
        </w:rPr>
        <w:t xml:space="preserve"> بشأن ما أُنجز من عمل لتقييم مدى ملاءمة المواقع المحتملة لرصد الانبعاثات الإقليمية من المواد الخاضعة للرقابة، وتنقيح تقديرات تكاليف إنشاء محطات الرصد. وسيقدم فريق التقييم العلمي وفريق التقييم التكنولوجي والاقتصادي تقريريهما المستكملين عن انبعاثات مركب الكربون الهيدروفلوري-23 مما يتيح الفرصة لإ</w:t>
      </w:r>
      <w:r w:rsidR="00F50EBE" w:rsidRPr="00812612">
        <w:rPr>
          <w:rFonts w:ascii="Simplified Arabic" w:eastAsia="DengXian" w:hAnsi="Simplified Arabic" w:hint="default"/>
          <w:sz w:val="24"/>
          <w:szCs w:val="24"/>
          <w:rtl/>
          <w:lang w:val="en-GB"/>
        </w:rPr>
        <w:t>ثبات</w:t>
      </w:r>
      <w:r w:rsidRPr="00812612">
        <w:rPr>
          <w:rFonts w:ascii="Simplified Arabic" w:eastAsia="DengXian" w:hAnsi="Simplified Arabic" w:hint="default"/>
          <w:sz w:val="24"/>
          <w:szCs w:val="24"/>
          <w:rtl/>
          <w:lang w:val="en-GB"/>
        </w:rPr>
        <w:t xml:space="preserve"> مرونة البروتوكول في الاستجابة للتهديدات الناشئة. وأكدت أن العلم يظل يشكل العمود الفقري للبروتوكول، و</w:t>
      </w:r>
      <w:r w:rsidR="00F50EBE" w:rsidRPr="00812612">
        <w:rPr>
          <w:rFonts w:ascii="Simplified Arabic" w:eastAsia="DengXian" w:hAnsi="Simplified Arabic" w:hint="default"/>
          <w:sz w:val="24"/>
          <w:szCs w:val="24"/>
          <w:rtl/>
          <w:lang w:val="en-GB"/>
        </w:rPr>
        <w:t xml:space="preserve">سيمثل </w:t>
      </w:r>
      <w:r w:rsidRPr="00812612">
        <w:rPr>
          <w:rFonts w:ascii="Simplified Arabic" w:eastAsia="DengXian" w:hAnsi="Simplified Arabic" w:hint="default"/>
          <w:sz w:val="24"/>
          <w:szCs w:val="24"/>
          <w:rtl/>
          <w:lang w:val="en-GB"/>
        </w:rPr>
        <w:t>سد الفجوة في رصد الغلاف الجوي خطوة حيوية في زيادة تعزيز البروتوكول واتفاقية فيينا.</w:t>
      </w:r>
    </w:p>
    <w:p w14:paraId="37F47F47" w14:textId="2CF9631F"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وأخيراً، أوضحت أنه في ضوء المناخ الجيوسياسي المتغير، والتحديات المتزايدة أمام تعددية الأطراف، وعدم اليقين المالي، والأولويات المتغيرة، اتخذت الأمم المتحدة، بما فيها برنامج الأمم المتحدة للبيئة، تدابير لتحسين الكفاءة وإعادة تأكيد قيمة تعددية الأطراف. وعلى نفس المنوال اتخذت الأمانة خطوات لتوفير الأموال حيثما أمكن، مع بذل مجهود أكبر في العمل وبعدد أقل من الموظفين، من أجل كفالة فعالية بروتوكول مونتريال - بوصفه المعاهدة التي تقوم بدور منارة أمل و</w:t>
      </w:r>
      <w:r w:rsidR="00C415D0" w:rsidRPr="00812612">
        <w:rPr>
          <w:rFonts w:ascii="Simplified Arabic" w:eastAsia="DengXian" w:hAnsi="Simplified Arabic" w:hint="default"/>
          <w:sz w:val="24"/>
          <w:szCs w:val="24"/>
          <w:rtl/>
          <w:lang w:val="en-GB"/>
        </w:rPr>
        <w:t>شاهد</w:t>
      </w:r>
      <w:r w:rsidRPr="00812612">
        <w:rPr>
          <w:rFonts w:ascii="Simplified Arabic" w:eastAsia="DengXian" w:hAnsi="Simplified Arabic" w:hint="default"/>
          <w:sz w:val="24"/>
          <w:szCs w:val="24"/>
          <w:rtl/>
          <w:lang w:val="en-GB"/>
        </w:rPr>
        <w:t xml:space="preserve"> على فعالية التعاون العالمي.</w:t>
      </w:r>
    </w:p>
    <w:p w14:paraId="098D9F85" w14:textId="019EEF6F" w:rsidR="00C20895" w:rsidRPr="005512F2" w:rsidRDefault="005D30C7"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Pr>
      </w:pPr>
      <w:r w:rsidRPr="005512F2">
        <w:rPr>
          <w:rFonts w:ascii="Simplified Arabic" w:hAnsi="Simplified Arabic" w:cs="Simplified Arabic"/>
          <w:bCs/>
          <w:sz w:val="26"/>
          <w:szCs w:val="26"/>
          <w:rtl/>
        </w:rPr>
        <w:t>ثانيا</w:t>
      </w:r>
      <w:r w:rsidR="007B0407" w:rsidRPr="005512F2">
        <w:rPr>
          <w:rFonts w:ascii="Simplified Arabic" w:hAnsi="Simplified Arabic" w:cs="Simplified Arabic"/>
          <w:bCs/>
          <w:sz w:val="26"/>
          <w:szCs w:val="26"/>
          <w:rtl/>
        </w:rPr>
        <w:t>ً</w:t>
      </w:r>
      <w:r w:rsidRPr="005512F2">
        <w:rPr>
          <w:rFonts w:ascii="Simplified Arabic" w:hAnsi="Simplified Arabic" w:cs="Simplified Arabic"/>
          <w:bCs/>
          <w:sz w:val="26"/>
          <w:szCs w:val="26"/>
          <w:rtl/>
        </w:rPr>
        <w:t>-</w:t>
      </w:r>
      <w:r w:rsidRPr="005512F2">
        <w:rPr>
          <w:rFonts w:ascii="Simplified Arabic" w:hAnsi="Simplified Arabic" w:cs="Simplified Arabic"/>
          <w:bCs/>
          <w:sz w:val="26"/>
          <w:szCs w:val="26"/>
          <w:rtl/>
        </w:rPr>
        <w:tab/>
        <w:t>المسائل التنظيمية</w:t>
      </w:r>
    </w:p>
    <w:p w14:paraId="7AE77B43" w14:textId="1A4AE06D" w:rsidR="00261D36" w:rsidRPr="005512F2" w:rsidRDefault="00B90544"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5512F2">
        <w:rPr>
          <w:rFonts w:ascii="Simplified Arabic" w:hAnsi="Simplified Arabic" w:cs="Simplified Arabic"/>
          <w:bCs/>
          <w:sz w:val="24"/>
          <w:szCs w:val="24"/>
          <w:rtl/>
        </w:rPr>
        <w:t>ألف-</w:t>
      </w:r>
      <w:r w:rsidRPr="005512F2">
        <w:rPr>
          <w:rFonts w:ascii="Simplified Arabic" w:hAnsi="Simplified Arabic" w:cs="Simplified Arabic"/>
          <w:bCs/>
          <w:sz w:val="24"/>
          <w:szCs w:val="24"/>
          <w:rtl/>
        </w:rPr>
        <w:tab/>
        <w:t>الحضور</w:t>
      </w:r>
    </w:p>
    <w:p w14:paraId="0D2B576E" w14:textId="592D3594" w:rsidR="00261D36" w:rsidRPr="00812612" w:rsidRDefault="00882057"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مُثلت </w:t>
      </w:r>
      <w:r w:rsidR="000A09C5" w:rsidRPr="00812612">
        <w:rPr>
          <w:rFonts w:ascii="Simplified Arabic" w:eastAsia="DengXian" w:hAnsi="Simplified Arabic"/>
          <w:sz w:val="24"/>
          <w:szCs w:val="24"/>
          <w:rtl/>
          <w:lang w:val="en-GB"/>
        </w:rPr>
        <w:t xml:space="preserve">في الاجتماع </w:t>
      </w:r>
      <w:r w:rsidRPr="00812612">
        <w:rPr>
          <w:rFonts w:ascii="Simplified Arabic" w:eastAsia="DengXian" w:hAnsi="Simplified Arabic"/>
          <w:sz w:val="24"/>
          <w:szCs w:val="24"/>
          <w:rtl/>
          <w:lang w:val="en-GB"/>
        </w:rPr>
        <w:t>الأطراف التالية في بروتوكول مونتريال</w:t>
      </w:r>
      <w:r w:rsidR="00DD35C3" w:rsidRPr="00812612">
        <w:rPr>
          <w:rFonts w:ascii="Simplified Arabic" w:eastAsia="DengXian" w:hAnsi="Simplified Arabic"/>
          <w:sz w:val="24"/>
          <w:szCs w:val="24"/>
          <w:rtl/>
          <w:lang w:val="en-GB"/>
        </w:rPr>
        <w:t xml:space="preserve">: </w:t>
      </w:r>
      <w:r w:rsidR="001A529D" w:rsidRPr="00812612">
        <w:rPr>
          <w:rFonts w:ascii="Simplified Arabic" w:eastAsia="DengXian" w:hAnsi="Simplified Arabic"/>
          <w:sz w:val="24"/>
          <w:szCs w:val="24"/>
          <w:rtl/>
          <w:lang w:val="en-GB"/>
        </w:rPr>
        <w:t>الاتحاد الأوروبي، و</w:t>
      </w:r>
      <w:r w:rsidR="006E29EF" w:rsidRPr="00812612">
        <w:rPr>
          <w:rFonts w:ascii="Simplified Arabic" w:eastAsia="DengXian" w:hAnsi="Simplified Arabic"/>
          <w:sz w:val="24"/>
          <w:szCs w:val="24"/>
          <w:rtl/>
          <w:lang w:val="en-GB"/>
        </w:rPr>
        <w:t xml:space="preserve">الاتحاد الروسي، وأذربيجان، والأرجنتين، والأردن، وأرمينيا، وأستراليا، وإستونيا، وإسرائيل، وإسواتيني، وإكوادور، وألبانيا، وألمانيا، والإمارات العربية المتحدة، وإندونيسيا، وأنغولا، وأوروغواي، وأوغندا، وإيران (جمهورية - الإسلامية)، وأيرلندا، وإيطاليا، وبابوا غينيا الجديدة، وباراغواي، وباكستان، وبالاو، والبحرين، والبرازيل، وبربادوس، والبرتغال، وبروني دار السلام، وبلجيكا، وبليز، وبنغلاديش، وبنما، وبنن، وبوتان، وبوتسوانا، وبوركينا فاسو، وبوروندي، والبوسنة والهرسك، وبولندا، وبيرو، وتايلند، وتركيا، وتشاد، وتشيكيا، وتوغو، وتونس، وتيمور - ليشتي، وجامايكا، والجبل الأسود، وجزر سليمان، وجزر القمر، وجزر كوك، وجمهورية أفريقيا الوسطى، وجمهورية تنزانيا المتحدة، والجمهورية الدومينيكية، والجمهورية العربية السورية، وجمهورية كوريا، وجمهورية الكونغو الديمقراطية، وجمهورية لاو الديمقراطية الشعبية، وجنوب أفريقيا، وجنوب السودان، وجورجيا، وجيبوتي، والدانمرك، ودولة فلسطين، ودومينيكا، ورواندا، وزامبيا، وزمبابوي، وساموا، وسانت كيتس ونيفس، وسري لانكا، والسلفادور، وسلوفاكيا، وسنغافورة، والسنغال، والسويد، وسويسرا، وسيراليون، وسيشيل، وشيلي، وصربيا، والصين، وطاجيكستان، والعراق، وعمان، وغابون، وغامبيا، وغانا، وغرينادا، وغواتيمالا، وغينيا، وغينيا - بيساو، وفانواتو، وفرنسا، والفلبين، وفنلندا، وفيجي، وفييت نام، وقبرص، وقطر، وقيرغيزستان، وكازاخستان، والكاميرون، والكرسي الرسولي، وكمبوديا، وكندا، وكوبا، وكوت ديفوار، وكوستاريكا، وكولومبيا، والكويت، وكينيا، ولبنان، ولكسمبرغ، وليبريا، وليبيا، وليتوانيا، وليختنشتاين، وليسوتو، ومالي، وماليزيا، ومدغشقر، ومصر، والمغرب، ومقدونيا الشمالية، والمكسيك، وملاوي، وملديف، والمملكة العربية السعودية، والمملكة المتحدة لبريطانيا العظمى وأيرلندا الشمالية، ومنغوليا، وموريتانيا، وموريشيوس، وموزامبيق، </w:t>
      </w:r>
      <w:r w:rsidR="006E29EF" w:rsidRPr="00812612">
        <w:rPr>
          <w:rFonts w:ascii="Simplified Arabic" w:eastAsia="DengXian" w:hAnsi="Simplified Arabic"/>
          <w:sz w:val="24"/>
          <w:szCs w:val="24"/>
          <w:rtl/>
          <w:lang w:val="en-GB"/>
        </w:rPr>
        <w:lastRenderedPageBreak/>
        <w:t>وميانمار، وميكرونيزيا (ولايات - الموحدة)، وناميبيا، والنرويج، والنمسا، ونيبال، والنيجر، ونيجيريا، ونيكاراغوا، ونيوزيلندا، وهايتي، والهند، و</w:t>
      </w:r>
      <w:r w:rsidR="000F1BC3" w:rsidRPr="00812612">
        <w:rPr>
          <w:rFonts w:ascii="Simplified Arabic" w:eastAsia="DengXian" w:hAnsi="Simplified Arabic"/>
          <w:sz w:val="24"/>
          <w:szCs w:val="24"/>
          <w:rtl/>
          <w:lang w:val="en-GB"/>
        </w:rPr>
        <w:t xml:space="preserve">مملكة </w:t>
      </w:r>
      <w:r w:rsidR="006E29EF" w:rsidRPr="00812612">
        <w:rPr>
          <w:rFonts w:ascii="Simplified Arabic" w:eastAsia="DengXian" w:hAnsi="Simplified Arabic"/>
          <w:sz w:val="24"/>
          <w:szCs w:val="24"/>
          <w:rtl/>
          <w:lang w:val="en-GB"/>
        </w:rPr>
        <w:t>هولندا، والولايات المتحدة الأمريكية، واليابان، واليمن</w:t>
      </w:r>
      <w:r w:rsidR="000F1BC3" w:rsidRPr="00812612">
        <w:rPr>
          <w:rFonts w:ascii="Simplified Arabic" w:eastAsia="DengXian" w:hAnsi="Simplified Arabic"/>
          <w:sz w:val="24"/>
          <w:szCs w:val="24"/>
          <w:rtl/>
          <w:lang w:val="en-GB"/>
        </w:rPr>
        <w:t>.</w:t>
      </w:r>
    </w:p>
    <w:p w14:paraId="2276A1BA" w14:textId="77777777" w:rsidR="00BE6A34" w:rsidRPr="00812612" w:rsidRDefault="00BE6A34"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rtl/>
          <w:lang w:val="en-GB"/>
        </w:rPr>
      </w:pPr>
      <w:r w:rsidRPr="00812612">
        <w:rPr>
          <w:rFonts w:ascii="Simplified Arabic" w:eastAsia="DengXian" w:hAnsi="Simplified Arabic"/>
          <w:sz w:val="24"/>
          <w:szCs w:val="24"/>
          <w:rtl/>
          <w:lang w:val="en-GB"/>
        </w:rPr>
        <w:t>وحضر الاجتماع ممثلون عن هيئات الأمم المتحدة ووكالاتها المتخصصة التالية: أمانة الصندوق المتعدد الأطراف لتنفيذ بروتوكول مونتريال، وأمانة اتفاقيات بازل وروتردام واستكهولم، وبرنامج الأمم المتحدة الإنمائي، وبرنامج الأمم المتحدة للبيئة، ومنظمة الأمم المتحدة للتنمية الصناعية، والبنك الدولي، ومنظمة الجمارك العالمية، والمنظمة العالمية للأرصاد الجوية. ومُثِّلت أيضاً أفرقة التقييم التابعة لبروتوكول مونتريال.</w:t>
      </w:r>
    </w:p>
    <w:p w14:paraId="5C593B8F" w14:textId="7CB04712" w:rsidR="00BE6A34" w:rsidRPr="003365C1" w:rsidRDefault="00BE6A34"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rtl/>
          <w:lang w:val="en-GB"/>
        </w:rPr>
      </w:pPr>
      <w:r w:rsidRPr="003365C1">
        <w:rPr>
          <w:rFonts w:ascii="Simplified Arabic" w:eastAsia="DengXian" w:hAnsi="Simplified Arabic"/>
          <w:w w:val="104"/>
          <w:sz w:val="24"/>
          <w:szCs w:val="24"/>
          <w:rtl/>
          <w:lang w:val="en-GB"/>
        </w:rPr>
        <w:t xml:space="preserve">وحضر </w:t>
      </w:r>
      <w:r w:rsidR="007D0BF4" w:rsidRPr="003365C1">
        <w:rPr>
          <w:rFonts w:ascii="Simplified Arabic" w:eastAsia="DengXian" w:hAnsi="Simplified Arabic"/>
          <w:w w:val="104"/>
          <w:sz w:val="24"/>
          <w:szCs w:val="24"/>
          <w:rtl/>
          <w:lang w:val="en-GB"/>
        </w:rPr>
        <w:t xml:space="preserve">الاجتماع </w:t>
      </w:r>
      <w:r w:rsidRPr="003365C1">
        <w:rPr>
          <w:rFonts w:ascii="Simplified Arabic" w:eastAsia="DengXian" w:hAnsi="Simplified Arabic"/>
          <w:w w:val="104"/>
          <w:sz w:val="24"/>
          <w:szCs w:val="24"/>
          <w:rtl/>
          <w:lang w:val="en-GB"/>
        </w:rPr>
        <w:t xml:space="preserve">أيضاً ممثلو الهيئات الحكومية الدولية وغير الحكومية والصناعية والأكاديمية والهيئات الأخرى التالية: شركة إيه-غاز (أستراليا) القابضة المحدودة؛ والاتحاد من أجل سياسة مسؤولة تجاه الغلاف الجوي؛ ورابطة الموزعين والعاملين في مجال تكييف الهواء وخبراء التبريد؛ ومختبر احتواء الكربون؛ ومركز العدالة والتنمية البيئية؛ وشركة كيمرز بلجيكا المحدودة؛ والمجموعة الرئيسية للأطفال والشباب؛ والبرنامج التعاوني لوضع العلامات ومعايير الأجهزة؛ وشركة دايكن؛ وشركة دايكن المحدودة للصناعات؛ وشركة </w:t>
      </w:r>
      <w:r w:rsidRPr="003365C1">
        <w:rPr>
          <w:rFonts w:eastAsia="DengXian" w:cs="Times New Roman"/>
          <w:w w:val="104"/>
          <w:sz w:val="22"/>
          <w:szCs w:val="22"/>
          <w:rtl/>
          <w:lang w:val="en-GB"/>
        </w:rPr>
        <w:t>Danfoss A/S</w:t>
      </w:r>
      <w:r w:rsidRPr="003365C1">
        <w:rPr>
          <w:rFonts w:ascii="Simplified Arabic" w:eastAsia="DengXian" w:hAnsi="Simplified Arabic"/>
          <w:w w:val="104"/>
          <w:sz w:val="24"/>
          <w:szCs w:val="24"/>
          <w:rtl/>
          <w:lang w:val="en-GB"/>
        </w:rPr>
        <w:t xml:space="preserve"> (الدانمرك)؛ والوكالة الألمانية للتعاون الدولي من أجل التنمية؛ ووكالة التحقيقات البيئية؛ ومؤسسة </w:t>
      </w:r>
      <w:r w:rsidRPr="003365C1">
        <w:rPr>
          <w:rFonts w:eastAsia="DengXian" w:cs="Times New Roman"/>
          <w:w w:val="104"/>
          <w:sz w:val="22"/>
          <w:szCs w:val="22"/>
          <w:rtl/>
          <w:lang w:val="en-GB"/>
        </w:rPr>
        <w:t>Glencoe Strategies LLC</w:t>
      </w:r>
      <w:r w:rsidRPr="003365C1">
        <w:rPr>
          <w:rFonts w:ascii="Simplified Arabic" w:eastAsia="DengXian" w:hAnsi="Simplified Arabic"/>
          <w:w w:val="104"/>
          <w:sz w:val="24"/>
          <w:szCs w:val="24"/>
          <w:rtl/>
          <w:lang w:val="en-GB"/>
        </w:rPr>
        <w:t xml:space="preserve">؛ ومؤسسة </w:t>
      </w:r>
      <w:r w:rsidRPr="003365C1">
        <w:rPr>
          <w:rFonts w:eastAsia="DengXian" w:cs="Times New Roman"/>
          <w:w w:val="104"/>
          <w:sz w:val="22"/>
          <w:szCs w:val="22"/>
          <w:rtl/>
          <w:lang w:val="en-GB"/>
        </w:rPr>
        <w:t>Global Policy Associates</w:t>
      </w:r>
      <w:r w:rsidRPr="003365C1">
        <w:rPr>
          <w:rFonts w:ascii="Simplified Arabic" w:eastAsia="DengXian" w:hAnsi="Simplified Arabic"/>
          <w:w w:val="104"/>
          <w:sz w:val="24"/>
          <w:szCs w:val="24"/>
          <w:rtl/>
          <w:lang w:val="en-GB"/>
        </w:rPr>
        <w:t xml:space="preserve">؛ ومؤسسة </w:t>
      </w:r>
      <w:r w:rsidRPr="003365C1">
        <w:rPr>
          <w:rFonts w:eastAsia="DengXian" w:cs="Times New Roman"/>
          <w:w w:val="104"/>
          <w:sz w:val="22"/>
          <w:szCs w:val="22"/>
          <w:rtl/>
          <w:lang w:val="en-GB"/>
        </w:rPr>
        <w:t>Guidehouse Germany GmbH</w:t>
      </w:r>
      <w:r w:rsidRPr="003365C1">
        <w:rPr>
          <w:rFonts w:ascii="Simplified Arabic" w:eastAsia="DengXian" w:hAnsi="Simplified Arabic"/>
          <w:w w:val="104"/>
          <w:sz w:val="24"/>
          <w:szCs w:val="24"/>
          <w:rtl/>
          <w:lang w:val="en-GB"/>
        </w:rPr>
        <w:t xml:space="preserve">؛ ومجلس التعاون لدول الخليج العربية؛ وشركة </w:t>
      </w:r>
      <w:r w:rsidRPr="003365C1">
        <w:rPr>
          <w:rFonts w:eastAsia="DengXian" w:cs="Times New Roman"/>
          <w:w w:val="104"/>
          <w:sz w:val="22"/>
          <w:szCs w:val="22"/>
          <w:rtl/>
          <w:lang w:val="en-GB"/>
        </w:rPr>
        <w:t>iFOREST</w:t>
      </w:r>
      <w:r w:rsidRPr="003365C1">
        <w:rPr>
          <w:rFonts w:ascii="Simplified Arabic" w:eastAsia="DengXian" w:hAnsi="Simplified Arabic"/>
          <w:w w:val="104"/>
          <w:sz w:val="24"/>
          <w:szCs w:val="24"/>
          <w:rtl/>
          <w:lang w:val="en-GB"/>
        </w:rPr>
        <w:t xml:space="preserve">؛ ومعهد بحوث التكنولوجيا الصناعية؛ ومعهد استراتيجيات الطاقة والمناخ؛ ومعهد الحوكمة والتنمية المستدامة؛ والمبادرة الدولية للطاقة؛ والمعهد الدولي للتبريد؛ وشركة لابتيك الدولية المحدودة؛ وجامعة الدول العربية؛ وجامعة ليدن؛ والرابطة الصناعية لحماية الأوزون في مانيتوبا؛ وشركة </w:t>
      </w:r>
      <w:r w:rsidRPr="003365C1">
        <w:rPr>
          <w:rFonts w:eastAsia="DengXian" w:cs="Times New Roman"/>
          <w:w w:val="104"/>
          <w:sz w:val="22"/>
          <w:szCs w:val="22"/>
          <w:rtl/>
          <w:lang w:val="en-GB"/>
        </w:rPr>
        <w:t>MEBROM</w:t>
      </w:r>
      <w:r w:rsidRPr="003365C1">
        <w:rPr>
          <w:rFonts w:ascii="Simplified Arabic" w:eastAsia="DengXian" w:hAnsi="Simplified Arabic"/>
          <w:w w:val="104"/>
          <w:sz w:val="24"/>
          <w:szCs w:val="24"/>
          <w:rtl/>
          <w:lang w:val="en-GB"/>
        </w:rPr>
        <w:t xml:space="preserve">؛ والشركة المكسيكية المحدودة للمواد الكيميائية في المملكة المتحدة؛ ومجلس الدفاع عن الموارد الطبيعية؛ ومعهد البحوث </w:t>
      </w:r>
      <w:r w:rsidRPr="003365C1">
        <w:rPr>
          <w:rFonts w:eastAsia="DengXian" w:cs="Times New Roman"/>
          <w:w w:val="104"/>
          <w:sz w:val="22"/>
          <w:szCs w:val="22"/>
          <w:rtl/>
          <w:lang w:val="en-GB"/>
        </w:rPr>
        <w:t>Ökorecherche</w:t>
      </w:r>
      <w:r w:rsidRPr="003365C1">
        <w:rPr>
          <w:rFonts w:ascii="Simplified Arabic" w:eastAsia="DengXian" w:hAnsi="Simplified Arabic"/>
          <w:w w:val="104"/>
          <w:sz w:val="24"/>
          <w:szCs w:val="24"/>
          <w:rtl/>
          <w:lang w:val="en-GB"/>
        </w:rPr>
        <w:t xml:space="preserve">؛ ومركز التعاون البيئي لما وراء البحار؛ ورابطة مصنعي غازات التبريد؛ ومنظمة </w:t>
      </w:r>
      <w:r w:rsidRPr="003365C1">
        <w:rPr>
          <w:rFonts w:eastAsia="DengXian" w:cs="Times New Roman"/>
          <w:w w:val="104"/>
          <w:sz w:val="22"/>
          <w:szCs w:val="22"/>
          <w:rtl/>
          <w:lang w:val="en-GB"/>
        </w:rPr>
        <w:t>Refrigerant</w:t>
      </w:r>
      <w:r w:rsidRPr="003365C1">
        <w:rPr>
          <w:rFonts w:ascii="Simplified Arabic" w:eastAsia="DengXian" w:hAnsi="Simplified Arabic"/>
          <w:w w:val="104"/>
          <w:sz w:val="24"/>
          <w:szCs w:val="24"/>
          <w:rtl/>
          <w:lang w:val="en-GB"/>
        </w:rPr>
        <w:t xml:space="preserve"> </w:t>
      </w:r>
      <w:r w:rsidRPr="003365C1">
        <w:rPr>
          <w:rFonts w:eastAsia="DengXian" w:cs="Times New Roman"/>
          <w:w w:val="104"/>
          <w:sz w:val="22"/>
          <w:szCs w:val="22"/>
          <w:rtl/>
          <w:lang w:val="en-GB"/>
        </w:rPr>
        <w:t>Reclaim Australia</w:t>
      </w:r>
      <w:r w:rsidRPr="003365C1">
        <w:rPr>
          <w:rFonts w:ascii="Simplified Arabic" w:eastAsia="DengXian" w:hAnsi="Simplified Arabic"/>
          <w:w w:val="104"/>
          <w:sz w:val="24"/>
          <w:szCs w:val="24"/>
          <w:rtl/>
          <w:lang w:val="en-GB"/>
        </w:rPr>
        <w:t xml:space="preserve">؛ والشركة الاسترالية للمبردات؛ وشركة رينيرج للموارد المحدودة؛ وسيمنز للطاقة؛ وشركة </w:t>
      </w:r>
      <w:r w:rsidRPr="003365C1">
        <w:rPr>
          <w:rFonts w:eastAsia="DengXian" w:cs="Times New Roman"/>
          <w:w w:val="104"/>
          <w:sz w:val="22"/>
          <w:szCs w:val="22"/>
          <w:rtl/>
          <w:lang w:val="en-GB"/>
        </w:rPr>
        <w:t>SilverLining</w:t>
      </w:r>
      <w:r w:rsidRPr="003365C1">
        <w:rPr>
          <w:rFonts w:ascii="Simplified Arabic" w:eastAsia="DengXian" w:hAnsi="Simplified Arabic"/>
          <w:w w:val="104"/>
          <w:sz w:val="24"/>
          <w:szCs w:val="24"/>
          <w:rtl/>
          <w:lang w:val="en-GB"/>
        </w:rPr>
        <w:t xml:space="preserve">؛ ومنظمة حلول من أجل مناخنا؛ ومنظمة البحث والعمل المستدامين من أجل التنمية البيئية </w:t>
      </w:r>
      <w:r w:rsidRPr="003365C1">
        <w:rPr>
          <w:rFonts w:eastAsia="DengXian" w:cs="Times New Roman"/>
          <w:w w:val="104"/>
          <w:sz w:val="22"/>
          <w:szCs w:val="22"/>
          <w:rtl/>
          <w:lang w:val="en-GB"/>
        </w:rPr>
        <w:t>(SRADev)</w:t>
      </w:r>
      <w:r w:rsidRPr="003365C1">
        <w:rPr>
          <w:rFonts w:ascii="Simplified Arabic" w:eastAsia="DengXian" w:hAnsi="Simplified Arabic"/>
          <w:w w:val="104"/>
          <w:sz w:val="24"/>
          <w:szCs w:val="24"/>
          <w:rtl/>
          <w:lang w:val="en-GB"/>
        </w:rPr>
        <w:t xml:space="preserve">؛ وشركة </w:t>
      </w:r>
      <w:r w:rsidRPr="003365C1">
        <w:rPr>
          <w:rFonts w:eastAsia="DengXian" w:cs="Times New Roman"/>
          <w:w w:val="104"/>
          <w:sz w:val="22"/>
          <w:szCs w:val="22"/>
          <w:rtl/>
          <w:lang w:val="en-GB"/>
        </w:rPr>
        <w:t>SRF</w:t>
      </w:r>
      <w:r w:rsidRPr="003365C1">
        <w:rPr>
          <w:rFonts w:ascii="Simplified Arabic" w:eastAsia="DengXian" w:hAnsi="Simplified Arabic"/>
          <w:w w:val="104"/>
          <w:sz w:val="24"/>
          <w:szCs w:val="24"/>
          <w:rtl/>
          <w:lang w:val="en-GB"/>
        </w:rPr>
        <w:t xml:space="preserve"> المحدودة؛ والطاقة المستدامة للجميع؛ وشركاء سوستانا للتبريد؛ ولجنة الطاقة؛ والرابطة اليابانية لصناعات التبريد وتكييف الهواء؛ وشركة </w:t>
      </w:r>
      <w:r w:rsidRPr="003365C1">
        <w:rPr>
          <w:rFonts w:eastAsia="DengXian" w:cs="Times New Roman"/>
          <w:w w:val="104"/>
          <w:sz w:val="22"/>
          <w:szCs w:val="22"/>
          <w:rtl/>
          <w:lang w:val="en-GB"/>
        </w:rPr>
        <w:t>Tradewater</w:t>
      </w:r>
      <w:r w:rsidRPr="003365C1">
        <w:rPr>
          <w:rFonts w:ascii="Simplified Arabic" w:eastAsia="DengXian" w:hAnsi="Simplified Arabic"/>
          <w:w w:val="104"/>
          <w:sz w:val="24"/>
          <w:szCs w:val="24"/>
          <w:rtl/>
          <w:lang w:val="en-GB"/>
        </w:rPr>
        <w:t>. كذلك حضر الاجتماع عدد قليل من الخبراء المستقلين.</w:t>
      </w:r>
    </w:p>
    <w:p w14:paraId="192D659E" w14:textId="6AC6D9B4" w:rsidR="00C20895" w:rsidRPr="005512F2" w:rsidRDefault="00AA40D3"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5512F2">
        <w:rPr>
          <w:rFonts w:ascii="Simplified Arabic" w:hAnsi="Simplified Arabic" w:cs="Simplified Arabic"/>
          <w:bCs/>
          <w:sz w:val="24"/>
          <w:szCs w:val="24"/>
          <w:rtl/>
        </w:rPr>
        <w:t>باء</w:t>
      </w:r>
      <w:r w:rsidR="00B90544" w:rsidRPr="005512F2">
        <w:rPr>
          <w:rFonts w:ascii="Simplified Arabic" w:hAnsi="Simplified Arabic" w:cs="Simplified Arabic"/>
          <w:bCs/>
          <w:sz w:val="24"/>
          <w:szCs w:val="24"/>
          <w:rtl/>
        </w:rPr>
        <w:t>-</w:t>
      </w:r>
      <w:r w:rsidR="00B90544" w:rsidRPr="005512F2">
        <w:rPr>
          <w:rFonts w:ascii="Simplified Arabic" w:hAnsi="Simplified Arabic" w:cs="Simplified Arabic"/>
          <w:bCs/>
          <w:sz w:val="24"/>
          <w:szCs w:val="24"/>
          <w:rtl/>
        </w:rPr>
        <w:tab/>
        <w:t>إقرار جدول أعمال الجزء التحضيري</w:t>
      </w:r>
    </w:p>
    <w:p w14:paraId="6AC8DBED" w14:textId="1C1D102D" w:rsidR="00F978AD" w:rsidRPr="00D75EEC"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D75EEC">
        <w:rPr>
          <w:rFonts w:ascii="Simplified Arabic" w:eastAsia="DengXian" w:hAnsi="Simplified Arabic" w:hint="default"/>
          <w:w w:val="104"/>
          <w:sz w:val="24"/>
          <w:szCs w:val="24"/>
          <w:rtl/>
          <w:lang w:val="en-GB"/>
        </w:rPr>
        <w:t xml:space="preserve">قدمت الرئيسة المشاركة جدول الأعمال المؤقت للجزء التحضيري، الوارد في الوثيقة </w:t>
      </w:r>
      <w:r w:rsidRPr="00D75EEC">
        <w:rPr>
          <w:rFonts w:eastAsia="DengXian" w:cs="Times New Roman" w:hint="default"/>
          <w:w w:val="104"/>
          <w:sz w:val="22"/>
          <w:szCs w:val="22"/>
          <w:lang w:val="en-GB"/>
        </w:rPr>
        <w:t>UNEP/OzL.Pro.37/1</w:t>
      </w:r>
      <w:r w:rsidRPr="00D75EEC">
        <w:rPr>
          <w:rFonts w:ascii="Simplified Arabic" w:eastAsia="DengXian" w:hAnsi="Simplified Arabic" w:hint="default"/>
          <w:w w:val="104"/>
          <w:sz w:val="24"/>
          <w:szCs w:val="24"/>
          <w:rtl/>
          <w:lang w:val="en-GB"/>
        </w:rPr>
        <w:t xml:space="preserve">، وأفادت بأن الأمانة أُبلغت في 30 تشرين الأول/أكتوبر 2025 بأن دولة فلسطين ترغب في إرجاء النظر في بند جدول الأعمال المعنون </w:t>
      </w:r>
      <w:r w:rsidR="00164176" w:rsidRPr="00D75EEC">
        <w:rPr>
          <w:rFonts w:ascii="Simplified Arabic" w:eastAsia="DengXian" w:hAnsi="Simplified Arabic" w:hint="default"/>
          <w:w w:val="104"/>
          <w:sz w:val="24"/>
          <w:szCs w:val="24"/>
          <w:rtl/>
          <w:lang w:val="en-GB"/>
        </w:rPr>
        <w:t>”</w:t>
      </w:r>
      <w:r w:rsidRPr="00D75EEC">
        <w:rPr>
          <w:rFonts w:ascii="Simplified Arabic" w:eastAsia="DengXian" w:hAnsi="Simplified Arabic" w:hint="default"/>
          <w:w w:val="104"/>
          <w:sz w:val="24"/>
          <w:szCs w:val="24"/>
          <w:rtl/>
          <w:lang w:val="en-GB"/>
        </w:rPr>
        <w:t>تصنيف دولة فلسطين كطرف عامل بالفقرة 1 من المادة 5 من بروتوكول مونتريال والحصول على الدعم من الصندوق المتعدد الأطراف</w:t>
      </w:r>
      <w:r w:rsidR="00164176" w:rsidRPr="00D75EEC">
        <w:rPr>
          <w:rFonts w:ascii="Simplified Arabic" w:eastAsia="DengXian" w:hAnsi="Simplified Arabic" w:hint="default"/>
          <w:w w:val="104"/>
          <w:sz w:val="24"/>
          <w:szCs w:val="24"/>
          <w:rtl/>
          <w:lang w:val="en-GB"/>
        </w:rPr>
        <w:t>“</w:t>
      </w:r>
      <w:r w:rsidRPr="00D75EEC">
        <w:rPr>
          <w:rFonts w:ascii="Simplified Arabic" w:eastAsia="DengXian" w:hAnsi="Simplified Arabic" w:hint="default"/>
          <w:w w:val="104"/>
          <w:sz w:val="24"/>
          <w:szCs w:val="24"/>
          <w:rtl/>
          <w:lang w:val="en-GB"/>
        </w:rPr>
        <w:t xml:space="preserve"> إلى الاجتماع الثامن والثلاثين للأطراف. وبناءً على ذلك، اتفقت الأطراف على إرجاء النظر في هذا البند إلى الاجتماع الثامن والثلاثين للأطراف.</w:t>
      </w:r>
    </w:p>
    <w:p w14:paraId="40F83695" w14:textId="77777777" w:rsidR="00F242FF" w:rsidRPr="00812612" w:rsidRDefault="00261D3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وقال ممثل دولة فلسطين إنه، بالنظر إلى المناقشات التي دارت في الاجتماع السابع والأربعين للفريق العامل المفتوح العضوية للأطراف في بروتوكول مونتريال، طلب وفده إرجاء النظر في هذا البند من جدول الأعمال لإتاحة المزيد من الوقت وإجراء المشاورات من أجل التوصل إلى توافق في الآراء بشأن هذه المسألة. </w:t>
      </w:r>
    </w:p>
    <w:p w14:paraId="36AA14A6" w14:textId="1C9C6D79" w:rsidR="00F978AD" w:rsidRPr="00812612" w:rsidRDefault="00F242F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وأعلن أحد الممثلين عن رغبته في إبقاء </w:t>
      </w:r>
      <w:r w:rsidR="00F92796" w:rsidRPr="00812612">
        <w:rPr>
          <w:rFonts w:ascii="Simplified Arabic" w:eastAsia="DengXian" w:hAnsi="Simplified Arabic" w:hint="default"/>
          <w:sz w:val="24"/>
          <w:szCs w:val="24"/>
          <w:rtl/>
          <w:lang w:val="en-GB"/>
        </w:rPr>
        <w:t xml:space="preserve">وتكرار تأكيد </w:t>
      </w:r>
      <w:r w:rsidRPr="00812612">
        <w:rPr>
          <w:rFonts w:ascii="Simplified Arabic" w:eastAsia="DengXian" w:hAnsi="Simplified Arabic" w:hint="default"/>
          <w:sz w:val="24"/>
          <w:szCs w:val="24"/>
          <w:rtl/>
          <w:lang w:val="en-GB"/>
        </w:rPr>
        <w:t xml:space="preserve">الملاحظات العامة والتحفظات التي سبق أن أبداها وفده بشأن المسائل المتعلقة ببند جدول الأعمال قيد البحث. وقال ممثل آخر إنه يود أن يكرر النقاط التي أثارها وفده في الاجتماعات السابقة، بما فيها الاجتماع السابع والأربعون للفريق العامل المفتوح العضوية، بأن النظر في هذا البند من جدول الأعمال سيتضمن مناقشة تصنيف الأطراف العاملة بموجب الفقرة 1 من المادة 5 بشكل أعم. </w:t>
      </w:r>
      <w:r w:rsidRPr="00812612">
        <w:rPr>
          <w:rFonts w:ascii="Simplified Arabic" w:eastAsia="DengXian" w:hAnsi="Simplified Arabic" w:hint="default"/>
          <w:sz w:val="24"/>
          <w:szCs w:val="24"/>
          <w:rtl/>
          <w:lang w:val="en-GB"/>
        </w:rPr>
        <w:lastRenderedPageBreak/>
        <w:t>وشدد</w:t>
      </w:r>
      <w:r w:rsidR="00693422" w:rsidRPr="005512F2">
        <w:rPr>
          <w:rFonts w:ascii="Simplified Arabic" w:eastAsia="DengXian" w:hAnsi="Simplified Arabic"/>
          <w:sz w:val="24"/>
          <w:szCs w:val="24"/>
          <w:rtl/>
          <w:lang w:val="en-GB"/>
        </w:rPr>
        <w:t>ت</w:t>
      </w:r>
      <w:r w:rsidRPr="00812612">
        <w:rPr>
          <w:rFonts w:ascii="Simplified Arabic" w:eastAsia="DengXian" w:hAnsi="Simplified Arabic" w:hint="default"/>
          <w:sz w:val="24"/>
          <w:szCs w:val="24"/>
          <w:rtl/>
          <w:lang w:val="en-GB"/>
        </w:rPr>
        <w:t xml:space="preserve"> ممثل</w:t>
      </w:r>
      <w:r w:rsidR="00256086" w:rsidRPr="00812612">
        <w:rPr>
          <w:rFonts w:ascii="Simplified Arabic" w:eastAsia="DengXian" w:hAnsi="Simplified Arabic" w:hint="default"/>
          <w:sz w:val="24"/>
          <w:szCs w:val="24"/>
          <w:rtl/>
          <w:lang w:val="en-GB"/>
        </w:rPr>
        <w:t>ة</w:t>
      </w:r>
      <w:r w:rsidRPr="00812612">
        <w:rPr>
          <w:rFonts w:ascii="Simplified Arabic" w:eastAsia="DengXian" w:hAnsi="Simplified Arabic" w:hint="default"/>
          <w:sz w:val="24"/>
          <w:szCs w:val="24"/>
          <w:rtl/>
          <w:lang w:val="en-GB"/>
        </w:rPr>
        <w:t xml:space="preserve"> على أن المناقشات ينبغي أن تظل بناءة وأن تركز على المسائل التقنية، وأنه ينبغي تجنب تناول القضايا المسي</w:t>
      </w:r>
      <w:r w:rsidR="00E11C57" w:rsidRPr="00812612">
        <w:rPr>
          <w:rFonts w:ascii="Simplified Arabic" w:eastAsia="DengXian" w:hAnsi="Simplified Arabic" w:hint="default"/>
          <w:sz w:val="24"/>
          <w:szCs w:val="24"/>
          <w:rtl/>
          <w:lang w:val="en-GB"/>
        </w:rPr>
        <w:t>َّ</w:t>
      </w:r>
      <w:r w:rsidRPr="00812612">
        <w:rPr>
          <w:rFonts w:ascii="Simplified Arabic" w:eastAsia="DengXian" w:hAnsi="Simplified Arabic" w:hint="default"/>
          <w:sz w:val="24"/>
          <w:szCs w:val="24"/>
          <w:rtl/>
          <w:lang w:val="en-GB"/>
        </w:rPr>
        <w:t>سة الأوسع نطاقاً، وأن البلدان النامية الأطراف العاملة بموجب المادة 5 يحق لها الحصول على المساعدة المالية والتقنية لدعم تنفيذ بروتوكول مونتريال.</w:t>
      </w:r>
    </w:p>
    <w:p w14:paraId="7A06DF3B" w14:textId="4E901DAE" w:rsidR="00F978AD" w:rsidRPr="00812612" w:rsidRDefault="00BD6629"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وقد</w:t>
      </w:r>
      <w:r w:rsidR="00DA0B9F" w:rsidRPr="00812612">
        <w:rPr>
          <w:rFonts w:ascii="Simplified Arabic" w:eastAsia="DengXian" w:hAnsi="Simplified Arabic" w:hint="default"/>
          <w:sz w:val="24"/>
          <w:szCs w:val="24"/>
          <w:rtl/>
          <w:lang w:val="en-GB"/>
        </w:rPr>
        <w:t xml:space="preserve"> أُ</w:t>
      </w:r>
      <w:r w:rsidR="00F978AD" w:rsidRPr="00812612">
        <w:rPr>
          <w:rFonts w:ascii="Simplified Arabic" w:eastAsia="DengXian" w:hAnsi="Simplified Arabic" w:hint="default"/>
          <w:sz w:val="24"/>
          <w:szCs w:val="24"/>
          <w:rtl/>
          <w:lang w:val="en-GB"/>
        </w:rPr>
        <w:t xml:space="preserve">قِرَّ جــدول الأعــمــال التــالي للجــزء التــحــضــيــري عــلى أســاس جــدول الأعــمــال المــؤقــت الوارد في الوثــيــقــة </w:t>
      </w:r>
      <w:r w:rsidR="00F978AD" w:rsidRPr="003365C1">
        <w:rPr>
          <w:rFonts w:eastAsia="DengXian" w:cs="Times New Roman" w:hint="default"/>
          <w:sz w:val="22"/>
          <w:szCs w:val="22"/>
          <w:lang w:val="en-GB"/>
        </w:rPr>
        <w:t>UNEP/OzL.Pro.37/1</w:t>
      </w:r>
      <w:r w:rsidR="00F978AD" w:rsidRPr="00812612">
        <w:rPr>
          <w:rFonts w:ascii="Simplified Arabic" w:eastAsia="DengXian" w:hAnsi="Simplified Arabic" w:hint="default"/>
          <w:sz w:val="24"/>
          <w:szCs w:val="24"/>
          <w:rtl/>
          <w:lang w:val="en-GB"/>
        </w:rPr>
        <w:t>، بصيغته المعدلة شفوياً:</w:t>
      </w:r>
    </w:p>
    <w:p w14:paraId="74AED1A4" w14:textId="77777777" w:rsidR="00F978AD" w:rsidRPr="0081261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افتتاح الجزء التحضيري.</w:t>
      </w:r>
    </w:p>
    <w:p w14:paraId="71AD807A" w14:textId="77777777" w:rsidR="00F978AD" w:rsidRPr="0081261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المسائل التنظيمية:</w:t>
      </w:r>
    </w:p>
    <w:p w14:paraId="2826CAEC" w14:textId="07FEAFF1" w:rsidR="00F978AD" w:rsidRPr="00812612" w:rsidRDefault="00F978AD" w:rsidP="008D12FC">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إقرار جدول أعمال الجزء التحضيري؛</w:t>
      </w:r>
    </w:p>
    <w:p w14:paraId="73438A49" w14:textId="2D6F526E" w:rsidR="00F978AD" w:rsidRPr="00812612" w:rsidRDefault="00F978AD" w:rsidP="008D12FC">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تنظيم الأعمال.</w:t>
      </w:r>
    </w:p>
    <w:p w14:paraId="011D0876" w14:textId="77777777"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المسائل الإدارية:</w:t>
      </w:r>
    </w:p>
    <w:p w14:paraId="51DA46BF" w14:textId="08B07E9F" w:rsidR="00F978AD" w:rsidRPr="00812612" w:rsidRDefault="00F978AD" w:rsidP="008D12FC">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ميزانية الصندوق الاستئماني لبروتوكول مونتريـال والتقريران الماليان؛</w:t>
      </w:r>
    </w:p>
    <w:p w14:paraId="3DD8E9DA" w14:textId="1587DCEF" w:rsidR="00F978AD" w:rsidRPr="00812612" w:rsidRDefault="00F978AD" w:rsidP="008D12FC">
      <w:pPr>
        <w:pStyle w:val="NormalNonumber"/>
        <w:numPr>
          <w:ilvl w:val="0"/>
          <w:numId w:val="20"/>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النظر في عضوية هيئات بروتوكول مونتريـال لعام 2026: </w:t>
      </w:r>
    </w:p>
    <w:p w14:paraId="459014AE" w14:textId="77777777" w:rsidR="00F978AD" w:rsidRPr="00812612" w:rsidRDefault="00F978AD" w:rsidP="008D12FC">
      <w:pPr>
        <w:pStyle w:val="NormalNonumber"/>
        <w:numPr>
          <w:ilvl w:val="0"/>
          <w:numId w:val="21"/>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969"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أعضاء لجنة التنفيذ بموجب إجراء عدم الامتثال لبروتوكول مونتريال؛</w:t>
      </w:r>
    </w:p>
    <w:p w14:paraId="437631CD" w14:textId="77777777" w:rsidR="00F978AD" w:rsidRPr="00812612" w:rsidRDefault="00F978AD" w:rsidP="008D12FC">
      <w:pPr>
        <w:pStyle w:val="NormalNonumber"/>
        <w:numPr>
          <w:ilvl w:val="0"/>
          <w:numId w:val="21"/>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969"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أعضاء اللجنة التنفيذية للصندوق المتعدد الأطراف لتنفيذ بروتوكول مونتريال؛</w:t>
      </w:r>
    </w:p>
    <w:p w14:paraId="2861501A" w14:textId="77777777" w:rsidR="00F978AD" w:rsidRPr="00812612" w:rsidRDefault="00F978AD" w:rsidP="008D12FC">
      <w:pPr>
        <w:pStyle w:val="NormalNonumber"/>
        <w:numPr>
          <w:ilvl w:val="0"/>
          <w:numId w:val="21"/>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969"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الرئيسان المشاركان للفريق العامل المفتوح العضوية.</w:t>
      </w:r>
    </w:p>
    <w:p w14:paraId="384ACBFD" w14:textId="77777777"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اختصاصات الدراسة المتعلقة بتجديد موارد الصندوق المتعدد الأطراف لتنفيذ بروتوكول مونتريال للفترة 2027-2029.</w:t>
      </w:r>
    </w:p>
    <w:p w14:paraId="28807AE2" w14:textId="5514E83A"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 xml:space="preserve">انبعاثات مركب الكربون الهيدروفلوري-23 </w:t>
      </w:r>
      <w:r w:rsidR="00115260" w:rsidRPr="00D75EEC">
        <w:rPr>
          <w:sz w:val="22"/>
          <w:szCs w:val="22"/>
          <w:rtl/>
        </w:rPr>
        <w:t>(HFC-23)</w:t>
      </w:r>
      <w:r w:rsidR="00115260" w:rsidRPr="00812612">
        <w:rPr>
          <w:rFonts w:ascii="Simplified Arabic" w:hAnsi="Simplified Arabic" w:cs="Simplified Arabic"/>
          <w:sz w:val="24"/>
          <w:szCs w:val="24"/>
          <w:rtl/>
        </w:rPr>
        <w:t xml:space="preserve"> </w:t>
      </w:r>
      <w:r w:rsidRPr="00812612">
        <w:rPr>
          <w:rFonts w:ascii="Simplified Arabic" w:hAnsi="Simplified Arabic" w:cs="Simplified Arabic"/>
          <w:sz w:val="24"/>
          <w:szCs w:val="24"/>
          <w:rtl/>
        </w:rPr>
        <w:t xml:space="preserve">(المقرر </w:t>
      </w:r>
      <w:r w:rsidR="00F73F66" w:rsidRPr="00812612">
        <w:rPr>
          <w:rFonts w:ascii="Simplified Arabic" w:hAnsi="Simplified Arabic" w:cs="Simplified Arabic"/>
          <w:sz w:val="24"/>
          <w:szCs w:val="24"/>
        </w:rPr>
        <w:t>36</w:t>
      </w:r>
      <w:r w:rsidRPr="00812612">
        <w:rPr>
          <w:rFonts w:ascii="Simplified Arabic" w:hAnsi="Simplified Arabic" w:cs="Simplified Arabic"/>
          <w:sz w:val="24"/>
          <w:szCs w:val="24"/>
          <w:rtl/>
        </w:rPr>
        <w:t>/</w:t>
      </w:r>
      <w:r w:rsidR="00F73F66" w:rsidRPr="00812612">
        <w:rPr>
          <w:rFonts w:ascii="Simplified Arabic" w:hAnsi="Simplified Arabic" w:cs="Simplified Arabic"/>
          <w:sz w:val="24"/>
          <w:szCs w:val="24"/>
        </w:rPr>
        <w:t>3</w:t>
      </w:r>
      <w:r w:rsidRPr="00812612">
        <w:rPr>
          <w:rFonts w:ascii="Simplified Arabic" w:hAnsi="Simplified Arabic" w:cs="Simplified Arabic"/>
          <w:sz w:val="24"/>
          <w:szCs w:val="24"/>
          <w:rtl/>
        </w:rPr>
        <w:t>).</w:t>
      </w:r>
    </w:p>
    <w:p w14:paraId="63F6FF00" w14:textId="09438C4A"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lowKashida"/>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 xml:space="preserve">تعزيز الرصد الإقليمي في الغلاف الجوي للمواد الخاضعة للرقابة بموجب بروتوكول مونتريال (المقرر </w:t>
      </w:r>
      <w:r w:rsidR="00F73F66" w:rsidRPr="00812612">
        <w:rPr>
          <w:rFonts w:ascii="Simplified Arabic" w:hAnsi="Simplified Arabic" w:cs="Simplified Arabic"/>
          <w:sz w:val="24"/>
          <w:szCs w:val="24"/>
        </w:rPr>
        <w:t>36</w:t>
      </w:r>
      <w:r w:rsidRPr="00812612">
        <w:rPr>
          <w:rFonts w:ascii="Simplified Arabic" w:hAnsi="Simplified Arabic" w:cs="Simplified Arabic"/>
          <w:sz w:val="24"/>
          <w:szCs w:val="24"/>
          <w:rtl/>
        </w:rPr>
        <w:t>/</w:t>
      </w:r>
      <w:r w:rsidR="00F73F66" w:rsidRPr="00812612">
        <w:rPr>
          <w:rFonts w:ascii="Simplified Arabic" w:hAnsi="Simplified Arabic" w:cs="Simplified Arabic"/>
          <w:sz w:val="24"/>
          <w:szCs w:val="24"/>
        </w:rPr>
        <w:t>1</w:t>
      </w:r>
      <w:r w:rsidRPr="00812612">
        <w:rPr>
          <w:rFonts w:ascii="Simplified Arabic" w:hAnsi="Simplified Arabic" w:cs="Simplified Arabic"/>
          <w:sz w:val="24"/>
          <w:szCs w:val="24"/>
          <w:rtl/>
        </w:rPr>
        <w:t>).</w:t>
      </w:r>
    </w:p>
    <w:p w14:paraId="15A1871B" w14:textId="77777777"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وضع دراسات واستراتيجيات لإيجاد حلول متوسطة وطويلة الأجل للتراكم الكبير في مخزونات غازات التبريد التي تقترب من نهاية دورات حياتها لدى الأطراف العاملة بموجب الفقرة 1 من المادة 5 من بروتوكول مونتريال.</w:t>
      </w:r>
    </w:p>
    <w:p w14:paraId="70C8E40F" w14:textId="77777777"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استخدامات المواد الخاضعة للرقابة كمواد أولية.</w:t>
      </w:r>
    </w:p>
    <w:p w14:paraId="65E1F7B4" w14:textId="6F074824"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الهالون 1301 واستمرار استخدامه في صناعة الطيران؛ وإدارة المواد الأخرى الخاضعة للرقابة المستخدمة في إخماد الحرائق.</w:t>
      </w:r>
    </w:p>
    <w:p w14:paraId="28E88FBB" w14:textId="77777777"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المبادرات الوطنية والإقليمية لدعم تنفيذ تعديل كيغالي لبروتوكول مونتريال.</w:t>
      </w:r>
    </w:p>
    <w:p w14:paraId="7CDEBC84" w14:textId="77777777"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المسائل التنظيمية لفريق التقييم التكنولوجي والاقتصادي:</w:t>
      </w:r>
    </w:p>
    <w:p w14:paraId="07F30E04" w14:textId="28F549CB" w:rsidR="00F978AD" w:rsidRPr="00812612" w:rsidRDefault="00F978AD" w:rsidP="008D12FC">
      <w:pPr>
        <w:pStyle w:val="NormalNonumber"/>
        <w:numPr>
          <w:ilvl w:val="0"/>
          <w:numId w:val="22"/>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خيارات تنظيم فريق التقييم التكنولوجي والاقتصادي ولجان الخيارات التقنية التابعة له (المقرر </w:t>
      </w:r>
      <w:r w:rsidR="00F73F66" w:rsidRPr="00812612">
        <w:rPr>
          <w:rFonts w:ascii="Simplified Arabic" w:hAnsi="Simplified Arabic" w:cs="Simplified Arabic"/>
          <w:sz w:val="24"/>
          <w:szCs w:val="24"/>
        </w:rPr>
        <w:t>35</w:t>
      </w:r>
      <w:r w:rsidRPr="00812612">
        <w:rPr>
          <w:rFonts w:ascii="Simplified Arabic" w:hAnsi="Simplified Arabic" w:cs="Simplified Arabic"/>
          <w:sz w:val="24"/>
          <w:szCs w:val="24"/>
          <w:rtl/>
        </w:rPr>
        <w:t>/</w:t>
      </w:r>
      <w:r w:rsidR="00F73F66" w:rsidRPr="00812612">
        <w:rPr>
          <w:rFonts w:ascii="Simplified Arabic" w:hAnsi="Simplified Arabic" w:cs="Simplified Arabic"/>
          <w:sz w:val="24"/>
          <w:szCs w:val="24"/>
        </w:rPr>
        <w:t>20</w:t>
      </w:r>
      <w:r w:rsidRPr="00812612">
        <w:rPr>
          <w:rFonts w:ascii="Simplified Arabic" w:hAnsi="Simplified Arabic" w:cs="Simplified Arabic"/>
          <w:sz w:val="24"/>
          <w:szCs w:val="24"/>
          <w:rtl/>
        </w:rPr>
        <w:t>)؛</w:t>
      </w:r>
    </w:p>
    <w:p w14:paraId="126D5EE3" w14:textId="44DA1911" w:rsidR="00F978AD" w:rsidRPr="00812612" w:rsidRDefault="00F978AD" w:rsidP="008D12FC">
      <w:pPr>
        <w:pStyle w:val="NormalNonumber"/>
        <w:numPr>
          <w:ilvl w:val="0"/>
          <w:numId w:val="22"/>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التغييرات في عضوية فريق التقييم التكنولوجي والاقتصادي.</w:t>
      </w:r>
    </w:p>
    <w:p w14:paraId="08DDDD1F" w14:textId="1829EFC2"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 xml:space="preserve">زيادة تعزيز مؤسسات بروتوكول مونتريال (المقرر </w:t>
      </w:r>
      <w:r w:rsidR="00F73F66" w:rsidRPr="00812612">
        <w:rPr>
          <w:rFonts w:ascii="Simplified Arabic" w:hAnsi="Simplified Arabic" w:cs="Simplified Arabic"/>
          <w:sz w:val="24"/>
          <w:szCs w:val="24"/>
        </w:rPr>
        <w:t>36</w:t>
      </w:r>
      <w:r w:rsidRPr="00812612">
        <w:rPr>
          <w:rFonts w:ascii="Simplified Arabic" w:hAnsi="Simplified Arabic" w:cs="Simplified Arabic"/>
          <w:sz w:val="24"/>
          <w:szCs w:val="24"/>
          <w:rtl/>
        </w:rPr>
        <w:t>/</w:t>
      </w:r>
      <w:r w:rsidR="00F73F66" w:rsidRPr="00812612">
        <w:rPr>
          <w:rFonts w:ascii="Simplified Arabic" w:hAnsi="Simplified Arabic" w:cs="Simplified Arabic"/>
          <w:sz w:val="24"/>
          <w:szCs w:val="24"/>
        </w:rPr>
        <w:t>9</w:t>
      </w:r>
      <w:r w:rsidRPr="00812612">
        <w:rPr>
          <w:rFonts w:ascii="Simplified Arabic" w:hAnsi="Simplified Arabic" w:cs="Simplified Arabic"/>
          <w:sz w:val="24"/>
          <w:szCs w:val="24"/>
          <w:rtl/>
        </w:rPr>
        <w:t>).</w:t>
      </w:r>
    </w:p>
    <w:p w14:paraId="427899A5" w14:textId="77777777"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lastRenderedPageBreak/>
        <w:t>مسائل الامتثال والإبلاغ عن البيانات: عمل لجنة التنفيذ وتوصياتها.</w:t>
      </w:r>
    </w:p>
    <w:p w14:paraId="27AB2F4D" w14:textId="77777777"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حالة التصديق على تعديل كيغالي.</w:t>
      </w:r>
    </w:p>
    <w:p w14:paraId="6D426713" w14:textId="66981422" w:rsidR="00F978AD" w:rsidRPr="005512F2" w:rsidRDefault="00F978AD" w:rsidP="008D12FC">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tl/>
          <w:lang w:bidi="en-GB"/>
        </w:rPr>
      </w:pPr>
      <w:r w:rsidRPr="00812612">
        <w:rPr>
          <w:rFonts w:ascii="Simplified Arabic" w:hAnsi="Simplified Arabic" w:cs="Simplified Arabic"/>
          <w:sz w:val="24"/>
          <w:szCs w:val="24"/>
          <w:rtl/>
        </w:rPr>
        <w:t>مسائل أخرى.</w:t>
      </w:r>
    </w:p>
    <w:p w14:paraId="27793665" w14:textId="3CB7A0DA" w:rsidR="00F978AD" w:rsidRPr="00812612" w:rsidRDefault="00DA1E6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w:t>
      </w:r>
      <w:r w:rsidR="00F978AD" w:rsidRPr="00812612">
        <w:rPr>
          <w:rFonts w:ascii="Simplified Arabic" w:eastAsia="DengXian" w:hAnsi="Simplified Arabic" w:hint="default"/>
          <w:sz w:val="24"/>
          <w:szCs w:val="24"/>
          <w:rtl/>
          <w:lang w:val="en-GB"/>
        </w:rPr>
        <w:t xml:space="preserve">في إطار البند 15 من جدول الأعمال، المعنون </w:t>
      </w:r>
      <w:r w:rsidR="00164176" w:rsidRPr="00812612">
        <w:rPr>
          <w:rFonts w:ascii="Simplified Arabic" w:eastAsia="DengXian" w:hAnsi="Simplified Arabic" w:hint="default"/>
          <w:sz w:val="24"/>
          <w:szCs w:val="24"/>
          <w:rtl/>
          <w:lang w:val="en-GB"/>
        </w:rPr>
        <w:t>”</w:t>
      </w:r>
      <w:r w:rsidR="00F978AD" w:rsidRPr="00812612">
        <w:rPr>
          <w:rFonts w:ascii="Simplified Arabic" w:eastAsia="DengXian" w:hAnsi="Simplified Arabic" w:hint="default"/>
          <w:sz w:val="24"/>
          <w:szCs w:val="24"/>
          <w:rtl/>
          <w:lang w:val="en-GB"/>
        </w:rPr>
        <w:t>مسائل أخرى</w:t>
      </w:r>
      <w:r w:rsidR="00164176" w:rsidRPr="00812612">
        <w:rPr>
          <w:rFonts w:ascii="Simplified Arabic" w:eastAsia="DengXian" w:hAnsi="Simplified Arabic" w:hint="default"/>
          <w:sz w:val="24"/>
          <w:szCs w:val="24"/>
          <w:rtl/>
          <w:lang w:val="en-GB"/>
        </w:rPr>
        <w:t>“</w:t>
      </w:r>
      <w:r w:rsidR="00F978AD" w:rsidRPr="00812612">
        <w:rPr>
          <w:rFonts w:ascii="Simplified Arabic" w:eastAsia="DengXian" w:hAnsi="Simplified Arabic" w:hint="default"/>
          <w:sz w:val="24"/>
          <w:szCs w:val="24"/>
          <w:rtl/>
          <w:lang w:val="en-GB"/>
        </w:rPr>
        <w:t>، اتفقت الأطراف على النظر في اقتراح قدمته الولايات المتحدة الأمريكية بشأن مسألة تحسين الجدول الزمني لاجتماعات بروتوكول مونتريال والأعمال المرتبطة به لأمانة الأوزون.</w:t>
      </w:r>
    </w:p>
    <w:p w14:paraId="7DA02FFE" w14:textId="69F30211" w:rsidR="00C20895" w:rsidRPr="005512F2" w:rsidRDefault="00847AF4"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5512F2">
        <w:rPr>
          <w:rFonts w:ascii="Simplified Arabic" w:hAnsi="Simplified Arabic" w:cs="Simplified Arabic"/>
          <w:bCs/>
          <w:sz w:val="24"/>
          <w:szCs w:val="24"/>
          <w:rtl/>
        </w:rPr>
        <w:t>جيم-</w:t>
      </w:r>
      <w:r w:rsidRPr="005512F2">
        <w:rPr>
          <w:rFonts w:ascii="Simplified Arabic" w:hAnsi="Simplified Arabic" w:cs="Simplified Arabic"/>
          <w:bCs/>
          <w:sz w:val="24"/>
          <w:szCs w:val="24"/>
          <w:rtl/>
        </w:rPr>
        <w:tab/>
        <w:t>تنظيم الأعمال</w:t>
      </w:r>
    </w:p>
    <w:p w14:paraId="4A6F5919" w14:textId="4FE1DC12"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اتفقت الأطراف على أن تتبع إجراءاتها المعتادة وأن تنشئ أفرقة اتصال أو أفرقة غير رسمية وفقاً لما تستدعيه الضرورة، وأن تتجنب بقدر الإمكان عقد اجتماعات متزامنة لأفرقة الاتصال أو الأفرقة غير الرسمية.</w:t>
      </w:r>
    </w:p>
    <w:p w14:paraId="055E1C10" w14:textId="55F293A7" w:rsidR="00C20895" w:rsidRPr="005512F2" w:rsidRDefault="005D30C7"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Pr>
      </w:pPr>
      <w:r w:rsidRPr="005512F2">
        <w:rPr>
          <w:rFonts w:ascii="Simplified Arabic" w:hAnsi="Simplified Arabic" w:cs="Simplified Arabic"/>
          <w:bCs/>
          <w:sz w:val="26"/>
          <w:szCs w:val="26"/>
          <w:rtl/>
        </w:rPr>
        <w:t>ثالثا</w:t>
      </w:r>
      <w:r w:rsidR="007B0407" w:rsidRPr="005512F2">
        <w:rPr>
          <w:rFonts w:ascii="Simplified Arabic" w:hAnsi="Simplified Arabic" w:cs="Simplified Arabic"/>
          <w:bCs/>
          <w:sz w:val="26"/>
          <w:szCs w:val="26"/>
          <w:rtl/>
        </w:rPr>
        <w:t>ً</w:t>
      </w:r>
      <w:r w:rsidRPr="005512F2">
        <w:rPr>
          <w:rFonts w:ascii="Simplified Arabic" w:hAnsi="Simplified Arabic" w:cs="Simplified Arabic"/>
          <w:bCs/>
          <w:sz w:val="26"/>
          <w:szCs w:val="26"/>
          <w:rtl/>
        </w:rPr>
        <w:t>-</w:t>
      </w:r>
      <w:r w:rsidRPr="005512F2">
        <w:rPr>
          <w:rFonts w:ascii="Simplified Arabic" w:hAnsi="Simplified Arabic" w:cs="Simplified Arabic"/>
          <w:bCs/>
          <w:sz w:val="26"/>
          <w:szCs w:val="26"/>
          <w:rtl/>
        </w:rPr>
        <w:tab/>
        <w:t>المسائل الإدارية</w:t>
      </w:r>
    </w:p>
    <w:p w14:paraId="06673DCD" w14:textId="59800438" w:rsidR="00C20895" w:rsidRPr="005512F2" w:rsidRDefault="00912622"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5512F2">
        <w:rPr>
          <w:rFonts w:ascii="Simplified Arabic" w:hAnsi="Simplified Arabic" w:cs="Simplified Arabic"/>
          <w:bCs/>
          <w:sz w:val="24"/>
          <w:szCs w:val="24"/>
          <w:rtl/>
        </w:rPr>
        <w:t>ألف-</w:t>
      </w:r>
      <w:r w:rsidRPr="005512F2">
        <w:rPr>
          <w:rFonts w:ascii="Simplified Arabic" w:hAnsi="Simplified Arabic" w:cs="Simplified Arabic"/>
          <w:bCs/>
          <w:sz w:val="24"/>
          <w:szCs w:val="24"/>
          <w:rtl/>
        </w:rPr>
        <w:tab/>
        <w:t>ميزانية الصندوق الاستئماني لبروتوكول مونتريـال والتقريران الماليان</w:t>
      </w:r>
    </w:p>
    <w:p w14:paraId="5F0213D7" w14:textId="5C0A2C1E" w:rsidR="00F978AD" w:rsidRPr="000A722A"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2"/>
          <w:sz w:val="24"/>
          <w:szCs w:val="24"/>
          <w:lang w:val="en-GB"/>
        </w:rPr>
      </w:pPr>
      <w:r w:rsidRPr="000A722A">
        <w:rPr>
          <w:rFonts w:ascii="Simplified Arabic" w:eastAsia="DengXian" w:hAnsi="Simplified Arabic" w:hint="default"/>
          <w:w w:val="102"/>
          <w:sz w:val="24"/>
          <w:szCs w:val="24"/>
          <w:rtl/>
          <w:lang w:val="en-GB"/>
        </w:rPr>
        <w:t>قدمت الرئيسة المشاركة هذا البند الفرعي، لافتة</w:t>
      </w:r>
      <w:r w:rsidR="00DA1E62" w:rsidRPr="000A722A">
        <w:rPr>
          <w:rFonts w:ascii="Simplified Arabic" w:eastAsia="DengXian" w:hAnsi="Simplified Arabic" w:hint="default"/>
          <w:w w:val="102"/>
          <w:sz w:val="24"/>
          <w:szCs w:val="24"/>
          <w:rtl/>
          <w:lang w:val="en-GB"/>
        </w:rPr>
        <w:t>ً</w:t>
      </w:r>
      <w:r w:rsidRPr="000A722A">
        <w:rPr>
          <w:rFonts w:ascii="Simplified Arabic" w:eastAsia="DengXian" w:hAnsi="Simplified Arabic" w:hint="default"/>
          <w:w w:val="102"/>
          <w:sz w:val="24"/>
          <w:szCs w:val="24"/>
          <w:rtl/>
          <w:lang w:val="en-GB"/>
        </w:rPr>
        <w:t xml:space="preserve"> الانتباه إلى المعلومات الواردة في الفقرات من 11 إلى 16 من مذكرة الأمانة بشأن مسائل معروضة على الاجتماع السابع والثلاثين للأطراف في بروتوكول مونتريال لمناقشتها ومعلومات </w:t>
      </w:r>
      <w:r w:rsidR="005C290B" w:rsidRPr="000A722A">
        <w:rPr>
          <w:rFonts w:ascii="Simplified Arabic" w:eastAsia="DengXian" w:hAnsi="Simplified Arabic" w:hint="default"/>
          <w:w w:val="102"/>
          <w:sz w:val="24"/>
          <w:szCs w:val="24"/>
          <w:rtl/>
          <w:lang w:val="en-GB"/>
        </w:rPr>
        <w:t>للاطلاع عليها</w:t>
      </w:r>
      <w:r w:rsidRPr="000A722A">
        <w:rPr>
          <w:rFonts w:ascii="Simplified Arabic" w:eastAsia="DengXian" w:hAnsi="Simplified Arabic" w:hint="default"/>
          <w:w w:val="102"/>
          <w:sz w:val="24"/>
          <w:szCs w:val="24"/>
          <w:rtl/>
          <w:lang w:val="en-GB"/>
        </w:rPr>
        <w:t xml:space="preserve"> </w:t>
      </w:r>
      <w:r w:rsidRPr="000A722A">
        <w:rPr>
          <w:rFonts w:eastAsia="DengXian" w:cs="Times New Roman" w:hint="default"/>
          <w:w w:val="102"/>
          <w:sz w:val="22"/>
          <w:szCs w:val="22"/>
          <w:rtl/>
          <w:lang w:val="en-GB"/>
        </w:rPr>
        <w:t>(</w:t>
      </w:r>
      <w:r w:rsidRPr="000A722A">
        <w:rPr>
          <w:rFonts w:eastAsia="DengXian" w:cs="Times New Roman" w:hint="default"/>
          <w:w w:val="102"/>
          <w:sz w:val="22"/>
          <w:szCs w:val="22"/>
          <w:lang w:val="en-GB"/>
        </w:rPr>
        <w:t>UNEP/OzL.Pro.37/2</w:t>
      </w:r>
      <w:r w:rsidRPr="000A722A">
        <w:rPr>
          <w:rFonts w:eastAsia="DengXian" w:cs="Times New Roman" w:hint="default"/>
          <w:w w:val="102"/>
          <w:sz w:val="22"/>
          <w:szCs w:val="22"/>
          <w:rtl/>
          <w:lang w:val="en-GB"/>
        </w:rPr>
        <w:t>)</w:t>
      </w:r>
      <w:r w:rsidRPr="000A722A">
        <w:rPr>
          <w:rFonts w:ascii="Simplified Arabic" w:eastAsia="DengXian" w:hAnsi="Simplified Arabic" w:hint="default"/>
          <w:w w:val="102"/>
          <w:sz w:val="24"/>
          <w:szCs w:val="24"/>
          <w:rtl/>
          <w:lang w:val="en-GB"/>
        </w:rPr>
        <w:t xml:space="preserve">؛ ومذكرتين من الأمانة بشأن الميزانيتين المقترحتين لعامي 2026 و2027 للصندوق الاستئماني لبروتوكول مونتريال </w:t>
      </w:r>
      <w:r w:rsidRPr="000A722A">
        <w:rPr>
          <w:rFonts w:eastAsia="DengXian" w:cs="Times New Roman" w:hint="default"/>
          <w:w w:val="102"/>
          <w:sz w:val="22"/>
          <w:szCs w:val="22"/>
          <w:rtl/>
          <w:lang w:val="en-GB"/>
        </w:rPr>
        <w:t>(</w:t>
      </w:r>
      <w:r w:rsidRPr="000A722A">
        <w:rPr>
          <w:rFonts w:eastAsia="DengXian" w:cs="Times New Roman" w:hint="default"/>
          <w:w w:val="102"/>
          <w:sz w:val="22"/>
          <w:szCs w:val="22"/>
          <w:lang w:val="en-GB"/>
        </w:rPr>
        <w:t>UNEP/OzL.Pro.37/4</w:t>
      </w:r>
      <w:r w:rsidRPr="000A722A">
        <w:rPr>
          <w:rFonts w:eastAsia="DengXian" w:cs="Times New Roman" w:hint="default"/>
          <w:w w:val="102"/>
          <w:sz w:val="22"/>
          <w:szCs w:val="22"/>
          <w:rtl/>
          <w:lang w:val="en-GB"/>
        </w:rPr>
        <w:t>)</w:t>
      </w:r>
      <w:r w:rsidRPr="000A722A">
        <w:rPr>
          <w:rFonts w:ascii="Simplified Arabic" w:eastAsia="DengXian" w:hAnsi="Simplified Arabic" w:hint="default"/>
          <w:w w:val="102"/>
          <w:sz w:val="24"/>
          <w:szCs w:val="24"/>
          <w:rtl/>
          <w:lang w:val="en-GB"/>
        </w:rPr>
        <w:t xml:space="preserve"> وبشأن التقرير المالي للصندوقين الاستئمانيين لاتفاقية فيينا وبروتوكول مونتريال للسنة المالية 2024 </w:t>
      </w:r>
      <w:r w:rsidRPr="000A722A">
        <w:rPr>
          <w:rFonts w:eastAsia="DengXian" w:cs="Times New Roman" w:hint="default"/>
          <w:w w:val="102"/>
          <w:sz w:val="22"/>
          <w:szCs w:val="22"/>
          <w:rtl/>
          <w:lang w:val="en-GB"/>
        </w:rPr>
        <w:t>(UNEP/OzL.Pro.37/5)</w:t>
      </w:r>
      <w:r w:rsidR="00AB25C1" w:rsidRPr="000A722A">
        <w:rPr>
          <w:rFonts w:ascii="Simplified Arabic" w:eastAsia="DengXian" w:hAnsi="Simplified Arabic"/>
          <w:w w:val="102"/>
          <w:sz w:val="24"/>
          <w:szCs w:val="24"/>
          <w:rtl/>
          <w:lang w:val="en-GB"/>
        </w:rPr>
        <w:t xml:space="preserve">. </w:t>
      </w:r>
      <w:r w:rsidR="001A1AA1" w:rsidRPr="000A722A">
        <w:rPr>
          <w:rFonts w:ascii="Simplified Arabic" w:eastAsia="DengXian" w:hAnsi="Simplified Arabic"/>
          <w:w w:val="102"/>
          <w:sz w:val="24"/>
          <w:szCs w:val="24"/>
          <w:rtl/>
          <w:lang w:val="en-GB"/>
        </w:rPr>
        <w:t xml:space="preserve">ووجهت أيضاً الانتباه الى </w:t>
      </w:r>
      <w:r w:rsidRPr="000A722A">
        <w:rPr>
          <w:rFonts w:ascii="Simplified Arabic" w:eastAsia="DengXian" w:hAnsi="Simplified Arabic" w:hint="default"/>
          <w:w w:val="102"/>
          <w:sz w:val="24"/>
          <w:szCs w:val="24"/>
          <w:rtl/>
          <w:lang w:val="en-GB"/>
        </w:rPr>
        <w:t xml:space="preserve">مذكرتين من الأمانة بعنوان </w:t>
      </w:r>
      <w:r w:rsidR="00164176" w:rsidRPr="000A722A">
        <w:rPr>
          <w:rFonts w:ascii="Simplified Arabic" w:eastAsia="DengXian" w:hAnsi="Simplified Arabic" w:hint="default"/>
          <w:w w:val="102"/>
          <w:sz w:val="24"/>
          <w:szCs w:val="24"/>
          <w:rtl/>
          <w:lang w:val="en-GB"/>
        </w:rPr>
        <w:t>”</w:t>
      </w:r>
      <w:r w:rsidRPr="000A722A">
        <w:rPr>
          <w:rFonts w:ascii="Simplified Arabic" w:eastAsia="DengXian" w:hAnsi="Simplified Arabic" w:hint="default"/>
          <w:w w:val="102"/>
          <w:sz w:val="24"/>
          <w:szCs w:val="24"/>
          <w:rtl/>
          <w:lang w:val="en-GB"/>
        </w:rPr>
        <w:t>الميزانية المعتمدة لعام 2026 للصندوق الاستئماني لبروتوكول مونتريال بشأن المواد المستنفدة لطبقة الأوزون: صحائف وقائع</w:t>
      </w:r>
      <w:r w:rsidR="00164176" w:rsidRPr="000A722A">
        <w:rPr>
          <w:rFonts w:ascii="Simplified Arabic" w:eastAsia="DengXian" w:hAnsi="Simplified Arabic" w:hint="default"/>
          <w:w w:val="102"/>
          <w:sz w:val="24"/>
          <w:szCs w:val="24"/>
          <w:rtl/>
          <w:lang w:val="en-GB"/>
        </w:rPr>
        <w:t>“</w:t>
      </w:r>
      <w:r w:rsidRPr="000A722A">
        <w:rPr>
          <w:rFonts w:ascii="Simplified Arabic" w:eastAsia="DengXian" w:hAnsi="Simplified Arabic" w:hint="default"/>
          <w:w w:val="102"/>
          <w:sz w:val="24"/>
          <w:szCs w:val="24"/>
          <w:rtl/>
          <w:lang w:val="en-GB"/>
        </w:rPr>
        <w:t xml:space="preserve"> </w:t>
      </w:r>
      <w:r w:rsidRPr="000A722A">
        <w:rPr>
          <w:rFonts w:eastAsia="DengXian" w:cs="Times New Roman" w:hint="default"/>
          <w:w w:val="102"/>
          <w:sz w:val="22"/>
          <w:szCs w:val="22"/>
          <w:rtl/>
          <w:lang w:val="en-GB"/>
        </w:rPr>
        <w:t>(</w:t>
      </w:r>
      <w:r w:rsidRPr="000A722A">
        <w:rPr>
          <w:rFonts w:eastAsia="DengXian" w:cs="Times New Roman" w:hint="default"/>
          <w:w w:val="102"/>
          <w:sz w:val="22"/>
          <w:szCs w:val="22"/>
          <w:lang w:val="en-GB"/>
        </w:rPr>
        <w:t>UNEP/OzL.Pro.37/INF/1</w:t>
      </w:r>
      <w:r w:rsidRPr="000A722A">
        <w:rPr>
          <w:rFonts w:eastAsia="DengXian" w:cs="Times New Roman" w:hint="default"/>
          <w:w w:val="102"/>
          <w:sz w:val="22"/>
          <w:szCs w:val="22"/>
          <w:rtl/>
          <w:lang w:val="en-GB"/>
        </w:rPr>
        <w:t>)</w:t>
      </w:r>
      <w:r w:rsidRPr="000A722A">
        <w:rPr>
          <w:rFonts w:ascii="Simplified Arabic" w:eastAsia="DengXian" w:hAnsi="Simplified Arabic" w:hint="default"/>
          <w:w w:val="102"/>
          <w:sz w:val="24"/>
          <w:szCs w:val="24"/>
          <w:rtl/>
          <w:lang w:val="en-GB"/>
        </w:rPr>
        <w:t>، و</w:t>
      </w:r>
      <w:r w:rsidR="00164176" w:rsidRPr="000A722A">
        <w:rPr>
          <w:rFonts w:ascii="Simplified Arabic" w:eastAsia="DengXian" w:hAnsi="Simplified Arabic" w:hint="default"/>
          <w:w w:val="102"/>
          <w:sz w:val="24"/>
          <w:szCs w:val="24"/>
          <w:rtl/>
          <w:lang w:val="en-GB"/>
        </w:rPr>
        <w:t>”</w:t>
      </w:r>
      <w:r w:rsidRPr="000A722A">
        <w:rPr>
          <w:rFonts w:ascii="Simplified Arabic" w:eastAsia="DengXian" w:hAnsi="Simplified Arabic" w:hint="default"/>
          <w:w w:val="102"/>
          <w:sz w:val="24"/>
          <w:szCs w:val="24"/>
          <w:rtl/>
          <w:lang w:val="en-GB"/>
        </w:rPr>
        <w:t>التقرير المالي للصندوقين الاستئمانيين لاتفاقية فيينا لحماية طبقة الأوزون وبروتوكول مونتريال بشأن المواد المستنفدة لطبقة الأوزون: تقرير مالي إرشادي محدَّث لعام 2025 حتى 30 أيلول/سبتمبر 2025</w:t>
      </w:r>
      <w:r w:rsidR="00164176" w:rsidRPr="000A722A">
        <w:rPr>
          <w:rFonts w:ascii="Simplified Arabic" w:eastAsia="DengXian" w:hAnsi="Simplified Arabic" w:hint="default"/>
          <w:w w:val="102"/>
          <w:sz w:val="24"/>
          <w:szCs w:val="24"/>
          <w:rtl/>
          <w:lang w:val="en-GB"/>
        </w:rPr>
        <w:t>“</w:t>
      </w:r>
      <w:r w:rsidRPr="000A722A">
        <w:rPr>
          <w:rFonts w:ascii="Simplified Arabic" w:eastAsia="DengXian" w:hAnsi="Simplified Arabic" w:hint="default"/>
          <w:w w:val="102"/>
          <w:sz w:val="24"/>
          <w:szCs w:val="24"/>
          <w:rtl/>
          <w:lang w:val="en-GB"/>
        </w:rPr>
        <w:t xml:space="preserve"> </w:t>
      </w:r>
      <w:r w:rsidRPr="000A722A">
        <w:rPr>
          <w:rFonts w:eastAsia="DengXian" w:cs="Times New Roman" w:hint="default"/>
          <w:w w:val="102"/>
          <w:sz w:val="22"/>
          <w:szCs w:val="22"/>
          <w:rtl/>
          <w:lang w:val="en-GB"/>
        </w:rPr>
        <w:t>(UNEP/OzL.Pro.37/INF/2)</w:t>
      </w:r>
      <w:r w:rsidRPr="000A722A">
        <w:rPr>
          <w:rFonts w:ascii="Simplified Arabic" w:eastAsia="DengXian" w:hAnsi="Simplified Arabic" w:hint="default"/>
          <w:w w:val="102"/>
          <w:sz w:val="24"/>
          <w:szCs w:val="24"/>
          <w:rtl/>
          <w:lang w:val="en-GB"/>
        </w:rPr>
        <w:t xml:space="preserve">. وأشارت إلى أن مشروع مقرر بشأن هذه المسألة يرد في الوثيقة </w:t>
      </w:r>
      <w:r w:rsidRPr="000A722A">
        <w:rPr>
          <w:rFonts w:eastAsia="DengXian" w:cs="Times New Roman" w:hint="default"/>
          <w:w w:val="102"/>
          <w:sz w:val="22"/>
          <w:szCs w:val="22"/>
          <w:rtl/>
          <w:lang w:val="en-GB"/>
        </w:rPr>
        <w:t>UNEP/OzL.Pro.37/3</w:t>
      </w:r>
      <w:r w:rsidRPr="000A722A">
        <w:rPr>
          <w:rFonts w:ascii="Simplified Arabic" w:eastAsia="DengXian" w:hAnsi="Simplified Arabic" w:hint="default"/>
          <w:w w:val="102"/>
          <w:sz w:val="24"/>
          <w:szCs w:val="24"/>
          <w:rtl/>
          <w:lang w:val="en-GB"/>
        </w:rPr>
        <w:t xml:space="preserve"> (مشروع المقرر 37/[ألف ألف]). وقد نُشرت </w:t>
      </w:r>
      <w:r w:rsidR="006A71E5" w:rsidRPr="000A722A">
        <w:rPr>
          <w:rFonts w:ascii="Simplified Arabic" w:eastAsia="DengXian" w:hAnsi="Simplified Arabic"/>
          <w:w w:val="102"/>
          <w:sz w:val="24"/>
          <w:szCs w:val="24"/>
          <w:rtl/>
          <w:lang w:val="en-GB"/>
        </w:rPr>
        <w:t>الوث</w:t>
      </w:r>
      <w:r w:rsidR="00943D53" w:rsidRPr="000A722A">
        <w:rPr>
          <w:rFonts w:ascii="Simplified Arabic" w:eastAsia="DengXian" w:hAnsi="Simplified Arabic"/>
          <w:w w:val="102"/>
          <w:sz w:val="24"/>
          <w:szCs w:val="24"/>
          <w:rtl/>
          <w:lang w:val="en-GB"/>
        </w:rPr>
        <w:t xml:space="preserve">ائق </w:t>
      </w:r>
      <w:r w:rsidR="00BC5E3B" w:rsidRPr="000A722A">
        <w:rPr>
          <w:rFonts w:eastAsia="DengXian" w:cs="Times New Roman"/>
          <w:w w:val="102"/>
          <w:sz w:val="22"/>
          <w:szCs w:val="22"/>
          <w:lang w:val="en-GB"/>
        </w:rPr>
        <w:t>UNEP/OzL.Pro.37/4</w:t>
      </w:r>
      <w:r w:rsidR="00943D53" w:rsidRPr="000A722A">
        <w:rPr>
          <w:rFonts w:ascii="Simplified Arabic" w:eastAsia="DengXian" w:hAnsi="Simplified Arabic"/>
          <w:w w:val="102"/>
          <w:sz w:val="24"/>
          <w:szCs w:val="24"/>
          <w:rtl/>
          <w:lang w:val="en-GB"/>
        </w:rPr>
        <w:t>، و</w:t>
      </w:r>
      <w:r w:rsidR="00B636D3" w:rsidRPr="000A722A">
        <w:rPr>
          <w:rFonts w:ascii="Simplified Arabic" w:eastAsia="DengXian" w:hAnsi="Simplified Arabic"/>
          <w:w w:val="102"/>
          <w:sz w:val="24"/>
          <w:szCs w:val="24"/>
          <w:lang w:val="en-GB"/>
        </w:rPr>
        <w:t xml:space="preserve"> </w:t>
      </w:r>
      <w:r w:rsidR="00B636D3" w:rsidRPr="000A722A">
        <w:rPr>
          <w:rFonts w:eastAsia="DengXian" w:cs="Times New Roman"/>
          <w:w w:val="102"/>
          <w:sz w:val="22"/>
          <w:szCs w:val="22"/>
          <w:lang w:val="en-GB"/>
        </w:rPr>
        <w:t>UNEP/OzL.Pro.37/5</w:t>
      </w:r>
      <w:r w:rsidR="00943D53" w:rsidRPr="000A722A">
        <w:rPr>
          <w:rFonts w:ascii="Simplified Arabic" w:eastAsia="DengXian" w:hAnsi="Simplified Arabic"/>
          <w:w w:val="102"/>
          <w:sz w:val="24"/>
          <w:szCs w:val="24"/>
          <w:rtl/>
          <w:lang w:val="en-GB"/>
        </w:rPr>
        <w:t>، و</w:t>
      </w:r>
      <w:r w:rsidR="00657CD1" w:rsidRPr="000A722A">
        <w:rPr>
          <w:rFonts w:ascii="Simplified Arabic" w:eastAsia="DengXian" w:hAnsi="Simplified Arabic"/>
          <w:w w:val="102"/>
          <w:sz w:val="24"/>
          <w:szCs w:val="24"/>
          <w:lang w:val="en-GB"/>
        </w:rPr>
        <w:t xml:space="preserve"> </w:t>
      </w:r>
      <w:r w:rsidR="00657CD1" w:rsidRPr="000A722A">
        <w:rPr>
          <w:rFonts w:eastAsia="DengXian" w:cs="Times New Roman"/>
          <w:w w:val="102"/>
          <w:sz w:val="22"/>
          <w:szCs w:val="22"/>
          <w:lang w:val="en-GB"/>
        </w:rPr>
        <w:t>UNEP/OzL.Pro.37/INF/1</w:t>
      </w:r>
      <w:r w:rsidRPr="000A722A">
        <w:rPr>
          <w:rFonts w:ascii="Simplified Arabic" w:eastAsia="DengXian" w:hAnsi="Simplified Arabic" w:hint="default"/>
          <w:w w:val="102"/>
          <w:sz w:val="24"/>
          <w:szCs w:val="24"/>
          <w:rtl/>
          <w:lang w:val="en-GB"/>
        </w:rPr>
        <w:t>في بوابة الاجتماع قبل الاجتماع الحالي بثلاثة أشهر لكي تستعرضهما الأطراف.</w:t>
      </w:r>
    </w:p>
    <w:p w14:paraId="6DC01ACF" w14:textId="6913C3DB"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واتفقت الأطراف على أن تتبع ممارستها المعتادة</w:t>
      </w:r>
      <w:r w:rsidR="005B6E9F" w:rsidRPr="00812612">
        <w:rPr>
          <w:rFonts w:ascii="Simplified Arabic" w:eastAsia="DengXian" w:hAnsi="Simplified Arabic"/>
          <w:sz w:val="24"/>
          <w:szCs w:val="24"/>
          <w:rtl/>
          <w:lang w:val="en-GB"/>
        </w:rPr>
        <w:t xml:space="preserve"> فأنشأت </w:t>
      </w:r>
      <w:r w:rsidRPr="00812612">
        <w:rPr>
          <w:rFonts w:ascii="Simplified Arabic" w:eastAsia="DengXian" w:hAnsi="Simplified Arabic" w:hint="default"/>
          <w:sz w:val="24"/>
          <w:szCs w:val="24"/>
          <w:rtl/>
          <w:lang w:val="en-GB"/>
        </w:rPr>
        <w:t>لجنة ميزانية لاستعراض الميزان</w:t>
      </w:r>
      <w:r w:rsidR="00641BAC" w:rsidRPr="00812612">
        <w:rPr>
          <w:rFonts w:ascii="Simplified Arabic" w:eastAsia="DengXian" w:hAnsi="Simplified Arabic"/>
          <w:sz w:val="24"/>
          <w:szCs w:val="24"/>
          <w:rtl/>
          <w:lang w:val="en-GB"/>
        </w:rPr>
        <w:t>ية</w:t>
      </w:r>
      <w:r w:rsidRPr="00812612">
        <w:rPr>
          <w:rFonts w:ascii="Simplified Arabic" w:eastAsia="DengXian" w:hAnsi="Simplified Arabic" w:hint="default"/>
          <w:sz w:val="24"/>
          <w:szCs w:val="24"/>
          <w:rtl/>
          <w:lang w:val="en-GB"/>
        </w:rPr>
        <w:t xml:space="preserve"> المقترح</w:t>
      </w:r>
      <w:r w:rsidR="00641BAC" w:rsidRPr="00812612">
        <w:rPr>
          <w:rFonts w:ascii="Simplified Arabic" w:eastAsia="DengXian" w:hAnsi="Simplified Arabic"/>
          <w:sz w:val="24"/>
          <w:szCs w:val="24"/>
          <w:rtl/>
          <w:lang w:val="en-GB"/>
        </w:rPr>
        <w:t xml:space="preserve">ة </w:t>
      </w:r>
      <w:r w:rsidR="00C7579B" w:rsidRPr="00812612">
        <w:rPr>
          <w:rFonts w:ascii="Simplified Arabic" w:eastAsia="DengXian" w:hAnsi="Simplified Arabic"/>
          <w:sz w:val="24"/>
          <w:szCs w:val="24"/>
          <w:rtl/>
          <w:lang w:val="en-GB"/>
        </w:rPr>
        <w:t>للصندوق الاستئماني لبروتوكول مونتريال</w:t>
      </w:r>
      <w:r w:rsidRPr="00812612">
        <w:rPr>
          <w:rFonts w:ascii="Simplified Arabic" w:eastAsia="DengXian" w:hAnsi="Simplified Arabic" w:hint="default"/>
          <w:sz w:val="24"/>
          <w:szCs w:val="24"/>
          <w:rtl/>
          <w:lang w:val="en-GB"/>
        </w:rPr>
        <w:t xml:space="preserve"> والتقريرين الماليين للصندوقين الاستئمانيين لاتفاقية فيينا وبروتوكول مونتريال، </w:t>
      </w:r>
      <w:r w:rsidR="000F2D3B" w:rsidRPr="00812612">
        <w:rPr>
          <w:rFonts w:ascii="Simplified Arabic" w:eastAsia="DengXian" w:hAnsi="Simplified Arabic"/>
          <w:sz w:val="24"/>
          <w:szCs w:val="24"/>
          <w:rtl/>
          <w:lang w:val="en-GB"/>
        </w:rPr>
        <w:t>وأعدت</w:t>
      </w:r>
      <w:r w:rsidRPr="00812612">
        <w:rPr>
          <w:rFonts w:ascii="Simplified Arabic" w:eastAsia="DengXian" w:hAnsi="Simplified Arabic" w:hint="default"/>
          <w:sz w:val="24"/>
          <w:szCs w:val="24"/>
          <w:rtl/>
          <w:lang w:val="en-GB"/>
        </w:rPr>
        <w:t xml:space="preserve"> مشروع مقرر </w:t>
      </w:r>
      <w:r w:rsidR="009E55BD" w:rsidRPr="00812612">
        <w:rPr>
          <w:rFonts w:ascii="Simplified Arabic" w:eastAsia="DengXian" w:hAnsi="Simplified Arabic" w:hint="default"/>
          <w:sz w:val="24"/>
          <w:szCs w:val="24"/>
          <w:rtl/>
          <w:lang w:val="en-GB"/>
        </w:rPr>
        <w:t xml:space="preserve">لكي </w:t>
      </w:r>
      <w:r w:rsidRPr="00812612">
        <w:rPr>
          <w:rFonts w:ascii="Simplified Arabic" w:eastAsia="DengXian" w:hAnsi="Simplified Arabic" w:hint="default"/>
          <w:sz w:val="24"/>
          <w:szCs w:val="24"/>
          <w:rtl/>
          <w:lang w:val="en-GB"/>
        </w:rPr>
        <w:t>تنظر فيه الأطراف. وتقرر أن يتولى تيسير عمل اللجنة سيباستيان شناتز (ألمانيا) ورايان أوي شيان ويي (ماليزيا).</w:t>
      </w:r>
    </w:p>
    <w:p w14:paraId="7DD17321" w14:textId="0066DBD9" w:rsidR="00F978AD" w:rsidRPr="00812612" w:rsidRDefault="00C6539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 وقت لاحق، أفاد الميسر المشارك بأن لجنة الميزانية أنجزت عملها وأعدت مشروع مقرر وميزانية لكي تنظر فيهما الأطراف. ووافقت الأطراف على إحالة مشروع المقرر لمواصلة النظر فيه واعتماده إن أمكن أثناء الجزء الرفيع المستوى.</w:t>
      </w:r>
    </w:p>
    <w:p w14:paraId="673AA39C" w14:textId="6D15D4E6" w:rsidR="00F978AD" w:rsidRPr="005512F2" w:rsidRDefault="00F978AD"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5512F2">
        <w:rPr>
          <w:rFonts w:ascii="Simplified Arabic" w:hAnsi="Simplified Arabic" w:cs="Simplified Arabic"/>
          <w:bCs/>
          <w:sz w:val="24"/>
          <w:szCs w:val="24"/>
          <w:rtl/>
        </w:rPr>
        <w:t>باء-</w:t>
      </w:r>
      <w:r w:rsidRPr="005512F2">
        <w:rPr>
          <w:rFonts w:ascii="Simplified Arabic" w:hAnsi="Simplified Arabic" w:cs="Simplified Arabic"/>
          <w:bCs/>
          <w:sz w:val="24"/>
          <w:szCs w:val="24"/>
          <w:rtl/>
        </w:rPr>
        <w:tab/>
        <w:t>النظر في عضوية هيئات بروتوكول مونتريـال لعام 2026</w:t>
      </w:r>
    </w:p>
    <w:p w14:paraId="4FA383CB" w14:textId="77777777" w:rsidR="00F978AD" w:rsidRPr="005512F2" w:rsidRDefault="00F978AD"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5512F2">
        <w:rPr>
          <w:rFonts w:ascii="Simplified Arabic" w:hAnsi="Simplified Arabic" w:cs="Simplified Arabic"/>
          <w:bCs/>
          <w:sz w:val="24"/>
          <w:szCs w:val="24"/>
          <w:rtl/>
        </w:rPr>
        <w:t>1-</w:t>
      </w:r>
      <w:r w:rsidRPr="005512F2">
        <w:rPr>
          <w:rFonts w:ascii="Simplified Arabic" w:hAnsi="Simplified Arabic" w:cs="Simplified Arabic"/>
          <w:bCs/>
          <w:sz w:val="24"/>
          <w:szCs w:val="24"/>
          <w:rtl/>
        </w:rPr>
        <w:tab/>
        <w:t>أعضاء لجنة التنفيذ بموجب إجراء عدم الامتثال لبروتوكول مونتريال</w:t>
      </w:r>
    </w:p>
    <w:p w14:paraId="4F03E0B5" w14:textId="1B438CA1" w:rsidR="00F978AD" w:rsidRPr="000A722A"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0A722A">
        <w:rPr>
          <w:rFonts w:ascii="Simplified Arabic" w:eastAsia="DengXian" w:hAnsi="Simplified Arabic" w:hint="default"/>
          <w:w w:val="104"/>
          <w:sz w:val="24"/>
          <w:szCs w:val="24"/>
          <w:rtl/>
          <w:lang w:val="en-GB"/>
        </w:rPr>
        <w:t>قدمت الرئيسة المشاركة هذا البند الفرعي، قائلة</w:t>
      </w:r>
      <w:r w:rsidR="00011108" w:rsidRPr="000A722A">
        <w:rPr>
          <w:rFonts w:ascii="Simplified Arabic" w:eastAsia="DengXian" w:hAnsi="Simplified Arabic" w:hint="default"/>
          <w:w w:val="104"/>
          <w:sz w:val="24"/>
          <w:szCs w:val="24"/>
          <w:rtl/>
          <w:lang w:val="en-GB"/>
        </w:rPr>
        <w:t>ً</w:t>
      </w:r>
      <w:r w:rsidRPr="000A722A">
        <w:rPr>
          <w:rFonts w:ascii="Simplified Arabic" w:eastAsia="DengXian" w:hAnsi="Simplified Arabic" w:hint="default"/>
          <w:w w:val="104"/>
          <w:sz w:val="24"/>
          <w:szCs w:val="24"/>
          <w:rtl/>
          <w:lang w:val="en-GB"/>
        </w:rPr>
        <w:t xml:space="preserve"> إن على الأطراف اتخاذ قرار بشأن عضوية لجنة التنفيذ لعام 2026. وأوضحت أن معلومات عــن المناصب الشاغرة ترد في الفقرات من 17 إلى 20 من </w:t>
      </w:r>
      <w:r w:rsidRPr="000A722A">
        <w:rPr>
          <w:rFonts w:ascii="Simplified Arabic" w:eastAsia="DengXian" w:hAnsi="Simplified Arabic" w:hint="default"/>
          <w:w w:val="104"/>
          <w:sz w:val="24"/>
          <w:szCs w:val="24"/>
          <w:rtl/>
          <w:lang w:val="en-GB"/>
        </w:rPr>
        <w:lastRenderedPageBreak/>
        <w:t xml:space="preserve">الوثيقة </w:t>
      </w:r>
      <w:r w:rsidRPr="000A722A">
        <w:rPr>
          <w:rFonts w:eastAsia="DengXian" w:cs="Times New Roman" w:hint="default"/>
          <w:w w:val="104"/>
          <w:sz w:val="22"/>
          <w:szCs w:val="22"/>
          <w:lang w:val="en-GB"/>
        </w:rPr>
        <w:t>UNEP/OzL.Pro.37/2</w:t>
      </w:r>
      <w:r w:rsidRPr="000A722A">
        <w:rPr>
          <w:rFonts w:ascii="Simplified Arabic" w:eastAsia="DengXian" w:hAnsi="Simplified Arabic" w:hint="default"/>
          <w:w w:val="104"/>
          <w:sz w:val="24"/>
          <w:szCs w:val="24"/>
          <w:rtl/>
          <w:lang w:val="en-GB"/>
        </w:rPr>
        <w:t xml:space="preserve">، كما يرد مشروع مقرر بهذا الشأن في الوثيقة </w:t>
      </w:r>
      <w:r w:rsidRPr="000A722A">
        <w:rPr>
          <w:rFonts w:eastAsia="DengXian" w:cs="Times New Roman" w:hint="default"/>
          <w:w w:val="104"/>
          <w:sz w:val="22"/>
          <w:szCs w:val="22"/>
          <w:rtl/>
          <w:lang w:val="en-GB"/>
        </w:rPr>
        <w:t>UNEP/OzL.Pro.37/3</w:t>
      </w:r>
      <w:r w:rsidRPr="000A722A">
        <w:rPr>
          <w:rFonts w:ascii="Simplified Arabic" w:eastAsia="DengXian" w:hAnsi="Simplified Arabic" w:hint="default"/>
          <w:w w:val="104"/>
          <w:sz w:val="24"/>
          <w:szCs w:val="24"/>
          <w:rtl/>
          <w:lang w:val="en-GB"/>
        </w:rPr>
        <w:t xml:space="preserve"> (مشروع المقرر 3</w:t>
      </w:r>
      <w:r w:rsidR="00ED3223" w:rsidRPr="000A722A">
        <w:rPr>
          <w:rFonts w:ascii="Simplified Arabic" w:eastAsia="DengXian" w:hAnsi="Simplified Arabic" w:hint="default"/>
          <w:w w:val="104"/>
          <w:sz w:val="24"/>
          <w:szCs w:val="24"/>
          <w:rtl/>
          <w:lang w:val="en-GB"/>
        </w:rPr>
        <w:t>7</w:t>
      </w:r>
      <w:r w:rsidRPr="000A722A">
        <w:rPr>
          <w:rFonts w:ascii="Simplified Arabic" w:eastAsia="DengXian" w:hAnsi="Simplified Arabic" w:hint="default"/>
          <w:w w:val="104"/>
          <w:sz w:val="24"/>
          <w:szCs w:val="24"/>
          <w:rtl/>
          <w:lang w:val="en-GB"/>
        </w:rPr>
        <w:t>/[باء باء]).</w:t>
      </w:r>
    </w:p>
    <w:p w14:paraId="4DBE4974" w14:textId="7D50DC3D"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بعد ذلك، أفاد ممثل الأمانة بأن كل مجموعة من المجموعات الإقليمية </w:t>
      </w:r>
      <w:r w:rsidR="00830FB0" w:rsidRPr="00812612">
        <w:rPr>
          <w:rFonts w:ascii="Simplified Arabic" w:eastAsia="DengXian" w:hAnsi="Simplified Arabic"/>
          <w:sz w:val="24"/>
          <w:szCs w:val="24"/>
          <w:rtl/>
          <w:lang w:val="en-GB"/>
        </w:rPr>
        <w:t>المتمثلة</w:t>
      </w:r>
      <w:r w:rsidRPr="00812612">
        <w:rPr>
          <w:rFonts w:ascii="Simplified Arabic" w:eastAsia="DengXian" w:hAnsi="Simplified Arabic"/>
          <w:sz w:val="24"/>
          <w:szCs w:val="24"/>
          <w:rtl/>
          <w:lang w:val="en-GB"/>
        </w:rPr>
        <w:t xml:space="preserve"> في مجموعة الدول الأفريقية ومجموعة دول آسيا والمحيط الهادئ ومجموعة دول أمريكا اللاتينية ومنطقة البحر الكاريبي ومجموعة دول أوروبا الغربية ودول أخرى قد قدمت ترشيحها. ولم ترد أي ترشيحات من مجموعة دول أوروبا الشرقية. واقترح الرئيس المشارك إدراج مشروع مقرر يضم الترشيحات الأربعة في تجميع المقررات لكي تنظر فيه الأطراف وتقره، إن أمكن، خلال الجزء الرفيع المستوى. </w:t>
      </w:r>
      <w:bookmarkStart w:id="2" w:name="_Hlk213481036"/>
      <w:bookmarkEnd w:id="2"/>
    </w:p>
    <w:p w14:paraId="1814CF12"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bookmarkStart w:id="3" w:name="_Hlk213435435"/>
      <w:r w:rsidRPr="00812612">
        <w:rPr>
          <w:rFonts w:ascii="Simplified Arabic" w:eastAsia="DengXian" w:hAnsi="Simplified Arabic"/>
          <w:sz w:val="24"/>
          <w:szCs w:val="24"/>
          <w:rtl/>
          <w:lang w:val="en-GB"/>
        </w:rPr>
        <w:t xml:space="preserve">وقدمت ممثلة تشيكيا ترشيح الطرف للمقعد المتبقي لدول أوروبا الشرقية في لجنة التنفيذ، مشيرةً إلى أن عضو اللجنة من تشيكيا قد عمل في اللجنة على مدى العامين الماضيين وأثبت أنه عضو موثوق به ومحايد ومسؤول في اللجنة. </w:t>
      </w:r>
      <w:bookmarkEnd w:id="3"/>
    </w:p>
    <w:p w14:paraId="7158968A"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وأعرب ممثل واحد، أيده ممثل آخر، عن اعتراضهما على الترشيح. وأعربا عن رأيهم بأن تشيكيا، بسعيها إلى استبعاد الأطراف الخمسة من آسيا الوسطى من مجموعة دول أوروبا الشرقية، قد أظهرت أنها ليست مستعدة لتمثيل مصالح جميع أعضاء المجموعة. وقالا إن الأطراف يجب ألا تتجاهل الإجراء المتبع في بروتوكول مونتريال، وهو أن المرشحين يتم ترشيحهم من قبل المجموعات الإقليمية، وليس من قبلهم أنفسهم.</w:t>
      </w:r>
    </w:p>
    <w:p w14:paraId="6E942464" w14:textId="77777777" w:rsidR="00981560" w:rsidRPr="000A722A"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0A722A">
        <w:rPr>
          <w:rFonts w:ascii="Simplified Arabic" w:eastAsia="DengXian" w:hAnsi="Simplified Arabic"/>
          <w:w w:val="104"/>
          <w:sz w:val="24"/>
          <w:szCs w:val="24"/>
          <w:rtl/>
          <w:lang w:val="en-GB"/>
        </w:rPr>
        <w:t xml:space="preserve">ورداً على سؤال، أكد ممثل الأمانة أن أعضاء اللجنة الذين عملوا لفترة مدتها سنتان، بموجب أحكام الفقرة 5 من إجراءات عدم الامتثال لبروتوكول مونتريال، مؤهلون لإعادة انتخابهم لفترة أخرى مدتها سنتان. </w:t>
      </w:r>
    </w:p>
    <w:p w14:paraId="4444FEB3"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ونظرا لعدم التوصل إلى توافق في الآراء، اقترح الرئيس المشارك إدراج مشروع مقرر يضم الترشيحات الأربعة في تجميع المقررات لكي تنظر فيه الأطراف خلال الجزء الرفيع المستوى. واعترضت ممثلة تشيكيا، مشيرةً إلى أن من حق أي طرف أن يقدم ترشيحاً في حالة عدم وجود توافق في الآراء داخل المجموعة الإقليمية المعنية، وأن الهدف هو شغل المقعد المتبقي في لجنة التنفيذ، وبالتالي تمكين اللجنة من مواصلة عملها. وقالت ممثلة تشيكيا، وأيدها ممثلون آخرون، إن وفدها لا يسعى إلى تغيير تكوين المجموعة الإقليمية، وإن الاجتماع الحالي ليس المنتدى المناسب لمناقشة التغييرات في تكوين المجموعات الإقليمية للأمم المتحدة. ورداً على سؤال، أكدت الرئيسة المشاركة أن الترشيح الذاتي لا يشكل خرقاً للنظام الداخلي لبروتوكول مونتريال. </w:t>
      </w:r>
    </w:p>
    <w:p w14:paraId="25EBE1EF"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وأعرب العديد من الممثلين عن تأييدهم لترشيح تشيكيا لعضوية لجنة التنفيذ. وأشار بعضهم إلى أن إجراء الترشيح الذاتي قد اتُبع بالفعل في الاجتماع الحالي، عندما رشحت كازاخستان نفسها لشغل مقعد في اللجنة التنفيذية للصندوق المتعدد الأطراف (انظر الفقرة 38 من التقرير الحالي). </w:t>
      </w:r>
    </w:p>
    <w:p w14:paraId="65475D8C"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وأضاف أحد الممثلين أن المناقشات المتعلقة بتكوين المجموعات الإقليمية ليست من الأمور التي يمكن مناقشتها في هذا المنتدى، بل هي من اختصاص مؤسسات أخرى داخل الأمم المتحدة. ولاحظ آخر أنه لا يوجد تعريف دقيق لتكوين المجموعات الإقليمية في الأمم المتحدة، وأن الأمر متروك لكل اتفاقية أو بروتوكول لتحديد مجموعاته الإقليمية. ولم يُخرَق أي نظام داخلي. والمسألة الرئيسية المطروحة في الاجتماع الحالي هي ضرورة انتخاب أعضاء لجنة التنفيذ من أجل ضمان كفاءة وفعالية عمل بروتوكول مونتريال.</w:t>
      </w:r>
    </w:p>
    <w:p w14:paraId="7DDCA7E3"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غير أن ممثلين آخرين أبدوا معارضتهم، معربين عن رأيهم بأن الترشيح الذاتي يشكل انتهاكاً للإجراءات المعمول بها في بروتوكول مونتريال. وذكر أحدهم أن مجموعة دول أوروبا الشرقية لم تناقش الترشيحات مطلقاً خلال الاجتماع الحالي. </w:t>
      </w:r>
    </w:p>
    <w:p w14:paraId="15219C1D"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 ممثل آخر، متحدثاً باسم مجموعة إقليمية، إلى أنه لا يوجد لديه رأي بشأن المسألة المحددة قيد المناقشة، إلا أنه يرى أن من المهم الحفاظ على مبدأ أن تتفق المجموعات الإقليمية على الترشيحات بتوافق الآراء. </w:t>
      </w:r>
      <w:r w:rsidRPr="00812612">
        <w:rPr>
          <w:rFonts w:ascii="Simplified Arabic" w:eastAsia="DengXian" w:hAnsi="Simplified Arabic"/>
          <w:sz w:val="24"/>
          <w:szCs w:val="24"/>
          <w:rtl/>
          <w:lang w:val="en-GB"/>
        </w:rPr>
        <w:lastRenderedPageBreak/>
        <w:t xml:space="preserve">وشهدت المجموعات الإقليمية في الماضي خلافات داخلية في كثير من الأحيان، لكنها كانت دائماً تجد سبلًا للتغلب عليها. </w:t>
      </w:r>
    </w:p>
    <w:p w14:paraId="456EC6B2"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وقالت الرئيسة المشاركة إنه، استناداً إلى التأييد الساحق الذي حظي به ترشيح تشيكيا، ينبغي إضافة اسم الطرف إلى قائمة الترشيحات الواردة في مشروع المقرر المتعلق بعضوية لجنة التنفيذ. غير أن أحد الممثلين لم يوافق على ذلك، قائلاً إنه من الواضح أن القرارات المتعلقة بالترشيحات يجب أن تتم الموافقة عليها داخل المجموعات الإقليمية؛ وإلا فإن ذلك سيشكل تجاهلاً صارخاً للممارسات القائمة. وأضاف أن الوضع الحالي المتمثل في انعدام التوافق في الآراء قد نشأ عن محاولة استبعاد البلدان الخمسة في آسيا الوسطى من مجموعة دول أوروبا الشرقية.</w:t>
      </w:r>
    </w:p>
    <w:p w14:paraId="45C9836A" w14:textId="6DB2B2EB" w:rsidR="00981560" w:rsidRPr="00812612" w:rsidRDefault="00981560" w:rsidP="00AF7106">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ولاحظت الرئيسة المشاركة استمرار عدم التوافق في الآراء، فاقترحت أن تعتمد الأطراف مقرراً يفوض الأمانة بتنظيم اجتماع استثنائي للأطراف يتبع مباشرة الاجتماع الثامن والأربعين للفريق العامل المفتوح العضوية، لتمكين الأطراف من اتخاذ قرار بشأن العضوية العالقة في لجنة التنفيذ لعام 2026، قبل انعقاد الاجتماع السادس والسبعين للجنة. وسيتضمن جدول الأعمال المؤقت للاجتماع الاستثنائي للأطراف بنداً موضوعياً واحداً فقط في جدول الأعمال، وهو عضوية لجنة التنفيذ. وسيتضمن مرفق مشروع المقرر المقترح مشروع مقرر يرد بين أقواس مربعة، لمناقشته في الاجتماع الاستثنائي للأطراف، ويتعلق بعضوية لجنة التنفيذ، وسيشمل تشيكيا إلى جانب الترشيحات الأخرى المقدمة، وسيشير إلى اختيار ليندا كوسجي (كينيا) رئيسةً وماتيج ميرلينا (تشيكيا) نائباً للرئيس ومقرراً للجنة. وقالت إنها ترى أن </w:t>
      </w:r>
      <w:r w:rsidR="00A569AA">
        <w:rPr>
          <w:rFonts w:ascii="Simplified Arabic" w:eastAsia="DengXian" w:hAnsi="Simplified Arabic"/>
          <w:sz w:val="24"/>
          <w:szCs w:val="24"/>
          <w:rtl/>
          <w:lang w:val="en-GB"/>
        </w:rPr>
        <w:t>صياغة مشروع</w:t>
      </w:r>
      <w:r w:rsidRPr="00812612">
        <w:rPr>
          <w:rFonts w:ascii="Simplified Arabic" w:eastAsia="DengXian" w:hAnsi="Simplified Arabic"/>
          <w:sz w:val="24"/>
          <w:szCs w:val="24"/>
          <w:rtl/>
          <w:lang w:val="en-GB"/>
        </w:rPr>
        <w:t xml:space="preserve"> المقرر </w:t>
      </w:r>
      <w:r w:rsidR="008A6A83">
        <w:rPr>
          <w:rFonts w:ascii="Simplified Arabic" w:eastAsia="DengXian" w:hAnsi="Simplified Arabic"/>
          <w:sz w:val="24"/>
          <w:szCs w:val="24"/>
          <w:rtl/>
          <w:lang w:val="en-GB"/>
        </w:rPr>
        <w:t>بهذ</w:t>
      </w:r>
      <w:r w:rsidR="00583EFA">
        <w:rPr>
          <w:rFonts w:ascii="Simplified Arabic" w:eastAsia="DengXian" w:hAnsi="Simplified Arabic"/>
          <w:sz w:val="24"/>
          <w:szCs w:val="24"/>
          <w:rtl/>
          <w:lang w:val="en-GB"/>
        </w:rPr>
        <w:t>ا</w:t>
      </w:r>
      <w:r w:rsidR="008A6A83">
        <w:rPr>
          <w:rFonts w:ascii="Simplified Arabic" w:eastAsia="DengXian" w:hAnsi="Simplified Arabic"/>
          <w:sz w:val="24"/>
          <w:szCs w:val="24"/>
          <w:rtl/>
          <w:lang w:val="en-GB"/>
        </w:rPr>
        <w:t xml:space="preserve"> </w:t>
      </w:r>
      <w:r w:rsidR="00583EFA">
        <w:rPr>
          <w:rFonts w:ascii="Simplified Arabic" w:eastAsia="DengXian" w:hAnsi="Simplified Arabic"/>
          <w:sz w:val="24"/>
          <w:szCs w:val="24"/>
          <w:rtl/>
          <w:lang w:val="en-GB"/>
        </w:rPr>
        <w:t>الشكل</w:t>
      </w:r>
      <w:r w:rsidR="008A6A83">
        <w:rPr>
          <w:rFonts w:ascii="Simplified Arabic" w:eastAsia="DengXian" w:hAnsi="Simplified Arabic"/>
          <w:sz w:val="24"/>
          <w:szCs w:val="24"/>
          <w:rtl/>
          <w:lang w:val="en-GB"/>
        </w:rPr>
        <w:t xml:space="preserve"> ت</w:t>
      </w:r>
      <w:r w:rsidRPr="00812612">
        <w:rPr>
          <w:rFonts w:ascii="Simplified Arabic" w:eastAsia="DengXian" w:hAnsi="Simplified Arabic"/>
          <w:sz w:val="24"/>
          <w:szCs w:val="24"/>
          <w:rtl/>
          <w:lang w:val="en-GB"/>
        </w:rPr>
        <w:t xml:space="preserve">مثل الطريقة الأكثر إنصافاً للمضي قدماً، لا سيما في ضوء الدعم الساحق الذي أُعرب عنه لترشيح تشيكيا. </w:t>
      </w:r>
      <w:bookmarkStart w:id="4" w:name="_Hlk213483456"/>
      <w:bookmarkEnd w:id="4"/>
    </w:p>
    <w:p w14:paraId="5EC350CC"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ورداً على الأسئلة، قال ممثل الأمانة إن من الأفضل أن يتم تأكيد عضوية لجنة التنفيذ قبل شهر على الأقل من اجتماع اللجنة، وذلك لإتاحة الوقت الكافي لتعميم الوثائق. ومع ذلك، جرى بالفعل تأكيد عضوية الأعضاء الخمسة في اللجنة الذين كانوا في منتصف مدة عضويتهم التي تبلغ سنتين؛ وإذا كان من الضروري عقد اجتماع اللجنة، يمكن للأمانة القيام بذلك مع الأعضاء الخمسة الحاليين. وعلى الرغم من أن هؤلاء الأعضاء الخمسة قد أُدرجوا في مشروع المقرر المتعلق بالعضوية، فإنه لم يكن من الضروري تماماً إدراجهم؛ وقد انتخبوا في عام 2024 لفترة قدرها سنتان، وبالتالي سيظلون أعضاء في اللجنة بغض النظر عن أي قرارات يتخذها الاجتماع السابع والثلاثون للأطراف أو الاجتماع الاستثنائي المقترح للأطراف.</w:t>
      </w:r>
    </w:p>
    <w:p w14:paraId="05FF9368"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 بعض الممثلين على اقتراح الرئيسة المشاركة. واعترض آخر على إدراج تشيكيا في مشروع المقرر، مشيراً إلى أن القائمة ينبغي أن تتضمن مكاناً شاغراً لمرشح من دول أوروبا الشرقية دون تسمية أي طرف محدد. وأضاف أن المقارنة التي أجراها بعض الممثلين مع الترشيح الذاتي لكازاخستان للجنة التنفيذية للصندوق المتعدد الأطراف غير صحيحة، حيث لم يكن هناك أي اعتراض على ترشيح كازاخستان؛ ومن الواضح أن الحال ليس كذلك مع تشيكيا.</w:t>
      </w:r>
    </w:p>
    <w:p w14:paraId="38C6A279"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وأشارت الرئيسة المشاركة إلى أن كل ما ورد في مشروع المقرر المرفق بمشروع المقرر المتعلق بالاجتماع الاستثنائي للأطراف ظل بين أقواس مربعة، وبالتالي سيكون مفتوحاً للمناقشة. واقترح أحد الممثلين حذف الفقرة التي تشير إلى اختيار الرئيس ونائب الرئيس، لأنه من الخطأ البت في اختيارهما قبل انتخاب اللجنة نفسها. واقترح ممثل آخر بدلاً من ذلك حذف الإشارات إلى تشيكيا في قائمة الأعضاء واختيار نائب الرئيس؛ أما بقية مشروع المقرر فمقبول. </w:t>
      </w:r>
    </w:p>
    <w:p w14:paraId="3753BD72"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ورداً على ذلك، اقترح الممثل الأول بدلاً من ذلك اعتماد مقررين؛ الأول يوافق على ترشيحات أعضاء لجنة التنفيذ التي اقترحتها المجموعات الإقليمية، بينما الثاني يصرح بتنظيم اجتماع استثنائي للأطراف للنظر في المنصب المتبقي. وفي حين وافق أحد الممثلين على ذلك، أعرب آخرون عن رأي مفاده أن القائمة الكاملة للترشيحات ينبغي أن تظل بين أقواس مربعة في مشروع مقرر واحد.</w:t>
      </w:r>
    </w:p>
    <w:p w14:paraId="22978ED0" w14:textId="77777777" w:rsidR="00981560" w:rsidRPr="0081261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lastRenderedPageBreak/>
        <w:t>وأشارت الرئيسة المشاركة إلى استمرار عدم التوافق في الآراء، فقدمت اقتراحاً منقحاً لمشروع مقرر، قالت إنه سيشمل فقط الإذن بتنظيم اجتماع استثنائي للأطراف، مع إدراج جدول الأعمال المقترح للاجتماع في مرفق للمقرر، دون مشروع المقرر المقترح سابقاً بشأن عضوية لجنة التنفيذ. وبدلاً من ذلك، ستعد الأمانة وتعمم مشروع مقرر موحد قبل انعقاد الاجتماع الاستثنائي. وأكدت أيضا أن جميع الآراء التي أعرب عنها الممثلون خلال المناقشة الحالية سترد في تقرير الاجتماع، الذي سيكون بمثابة خلفية للمناقشات في الاجتماع الاستثنائي للأطراف.</w:t>
      </w:r>
    </w:p>
    <w:p w14:paraId="2B4E9795" w14:textId="77777777" w:rsidR="00981560" w:rsidRPr="005512F2" w:rsidRDefault="0098156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5512F2">
        <w:rPr>
          <w:rFonts w:ascii="Simplified Arabic" w:eastAsia="DengXian" w:hAnsi="Simplified Arabic"/>
          <w:w w:val="107"/>
          <w:sz w:val="24"/>
          <w:szCs w:val="24"/>
          <w:rtl/>
          <w:lang w:val="en-GB"/>
        </w:rPr>
        <w:t>ووافقت الأطراف على إحالة مشروع المقرر لمواصلة النظر فيه واعتماده إن أمكن أثناء الجزء الرفيع المستوى.</w:t>
      </w:r>
    </w:p>
    <w:p w14:paraId="6CC23CA2" w14:textId="77777777" w:rsidR="00F978AD" w:rsidRPr="005512F2" w:rsidRDefault="00F978AD"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5512F2">
        <w:rPr>
          <w:rFonts w:ascii="Simplified Arabic" w:hAnsi="Simplified Arabic" w:cs="Simplified Arabic"/>
          <w:bCs/>
          <w:sz w:val="24"/>
          <w:szCs w:val="24"/>
          <w:rtl/>
        </w:rPr>
        <w:t>2-</w:t>
      </w:r>
      <w:r w:rsidRPr="005512F2">
        <w:rPr>
          <w:rFonts w:ascii="Simplified Arabic" w:hAnsi="Simplified Arabic" w:cs="Simplified Arabic"/>
          <w:bCs/>
          <w:sz w:val="24"/>
          <w:szCs w:val="24"/>
          <w:rtl/>
        </w:rPr>
        <w:tab/>
        <w:t>أعضاء اللجنة التنفيذية للصندوق المتعدد الأطراف لتنفيذ بروتوكول مونتريال</w:t>
      </w:r>
    </w:p>
    <w:p w14:paraId="729CF5AE" w14:textId="21A69EDC" w:rsidR="00F978AD" w:rsidRPr="000A722A"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2"/>
          <w:sz w:val="24"/>
          <w:szCs w:val="24"/>
          <w:lang w:val="en-GB"/>
        </w:rPr>
      </w:pPr>
      <w:r w:rsidRPr="000A722A">
        <w:rPr>
          <w:rFonts w:ascii="Simplified Arabic" w:eastAsia="DengXian" w:hAnsi="Simplified Arabic" w:hint="default"/>
          <w:w w:val="102"/>
          <w:sz w:val="24"/>
          <w:szCs w:val="24"/>
          <w:rtl/>
          <w:lang w:val="en-GB"/>
        </w:rPr>
        <w:t xml:space="preserve">قدمت الرئيسة المشاركة هذا البند الفرعي، قائلة إن على الأطراف </w:t>
      </w:r>
      <w:r w:rsidR="000E5476" w:rsidRPr="000A722A">
        <w:rPr>
          <w:rFonts w:ascii="Simplified Arabic" w:eastAsia="DengXian" w:hAnsi="Simplified Arabic"/>
          <w:w w:val="102"/>
          <w:sz w:val="24"/>
          <w:szCs w:val="24"/>
          <w:rtl/>
          <w:lang w:val="en-GB"/>
        </w:rPr>
        <w:t xml:space="preserve">تأييد </w:t>
      </w:r>
      <w:r w:rsidR="000917AA" w:rsidRPr="000A722A">
        <w:rPr>
          <w:rFonts w:ascii="Simplified Arabic" w:eastAsia="DengXian" w:hAnsi="Simplified Arabic"/>
          <w:w w:val="102"/>
          <w:sz w:val="24"/>
          <w:szCs w:val="24"/>
          <w:rtl/>
          <w:lang w:val="en-GB"/>
        </w:rPr>
        <w:t>اختيار أعضاء</w:t>
      </w:r>
      <w:r w:rsidRPr="000A722A">
        <w:rPr>
          <w:rFonts w:ascii="Simplified Arabic" w:eastAsia="DengXian" w:hAnsi="Simplified Arabic" w:hint="default"/>
          <w:w w:val="102"/>
          <w:sz w:val="24"/>
          <w:szCs w:val="24"/>
          <w:rtl/>
          <w:lang w:val="en-GB"/>
        </w:rPr>
        <w:t xml:space="preserve"> اللجنة التنفيذية لعام 2026. وأوضحت أن معلومات عــن المناصب الشاغرة ترد في الفقرات من 21 إلى 24 من الوثيقة </w:t>
      </w:r>
      <w:r w:rsidRPr="000A722A">
        <w:rPr>
          <w:rFonts w:eastAsia="DengXian" w:cs="Times New Roman" w:hint="default"/>
          <w:w w:val="102"/>
          <w:sz w:val="22"/>
          <w:szCs w:val="22"/>
          <w:lang w:val="en-GB"/>
        </w:rPr>
        <w:t>UNEP/OzL.Pro.37/2</w:t>
      </w:r>
      <w:r w:rsidRPr="000A722A">
        <w:rPr>
          <w:rFonts w:ascii="Simplified Arabic" w:eastAsia="DengXian" w:hAnsi="Simplified Arabic" w:hint="default"/>
          <w:w w:val="102"/>
          <w:sz w:val="24"/>
          <w:szCs w:val="24"/>
          <w:rtl/>
          <w:lang w:val="en-GB"/>
        </w:rPr>
        <w:t xml:space="preserve">، كما يرد مشروع مقرر بهذا الشأن في الوثيقة </w:t>
      </w:r>
      <w:r w:rsidRPr="000A722A">
        <w:rPr>
          <w:rFonts w:eastAsia="DengXian" w:cs="Times New Roman" w:hint="default"/>
          <w:w w:val="102"/>
          <w:sz w:val="22"/>
          <w:szCs w:val="22"/>
          <w:rtl/>
          <w:lang w:val="en-GB"/>
        </w:rPr>
        <w:t>UNEP/OzL.Pro.37/3</w:t>
      </w:r>
      <w:r w:rsidRPr="000A722A">
        <w:rPr>
          <w:rFonts w:ascii="Simplified Arabic" w:eastAsia="DengXian" w:hAnsi="Simplified Arabic" w:hint="default"/>
          <w:w w:val="102"/>
          <w:sz w:val="24"/>
          <w:szCs w:val="24"/>
          <w:rtl/>
          <w:lang w:val="en-GB"/>
        </w:rPr>
        <w:t xml:space="preserve"> (مشروع المقرر 3</w:t>
      </w:r>
      <w:r w:rsidR="00A13F6B" w:rsidRPr="000A722A">
        <w:rPr>
          <w:rFonts w:ascii="Simplified Arabic" w:eastAsia="DengXian" w:hAnsi="Simplified Arabic" w:hint="default"/>
          <w:w w:val="102"/>
          <w:sz w:val="24"/>
          <w:szCs w:val="24"/>
          <w:rtl/>
          <w:lang w:val="en-GB"/>
        </w:rPr>
        <w:t>7</w:t>
      </w:r>
      <w:r w:rsidRPr="000A722A">
        <w:rPr>
          <w:rFonts w:ascii="Simplified Arabic" w:eastAsia="DengXian" w:hAnsi="Simplified Arabic" w:hint="default"/>
          <w:w w:val="102"/>
          <w:sz w:val="24"/>
          <w:szCs w:val="24"/>
          <w:rtl/>
          <w:lang w:val="en-GB"/>
        </w:rPr>
        <w:t>/[جيم جيم]).</w:t>
      </w:r>
    </w:p>
    <w:p w14:paraId="1E27C171" w14:textId="77777777" w:rsidR="00D94CE8" w:rsidRPr="00812612" w:rsidRDefault="00D94CE8"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bookmarkStart w:id="5" w:name="_Hlk213434473"/>
      <w:r w:rsidRPr="00812612">
        <w:rPr>
          <w:rFonts w:ascii="Simplified Arabic" w:eastAsia="DengXian" w:hAnsi="Simplified Arabic"/>
          <w:sz w:val="24"/>
          <w:szCs w:val="24"/>
          <w:rtl/>
          <w:lang w:val="en-GB"/>
        </w:rPr>
        <w:t xml:space="preserve">وبعد ذلك، أفاد ممثل الأمانة بأنها أُبلغت باختيار سبعة أعضاء يمثلون الأطراف العاملة بموجب المادة 5 وستة أعضاء يمثلون الأطراف التي لا تعمل بموجب الفقرة 1 من المادة 5. ورشح ممثل كازاخستان بلاده لشغل المقعد المتبقي الخاص بالأطراف غير العاملة بموجب المادة 5. </w:t>
      </w:r>
    </w:p>
    <w:p w14:paraId="7634D22E" w14:textId="77777777" w:rsidR="00D94CE8" w:rsidRPr="00812612" w:rsidRDefault="00D94CE8"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إحالة مشروع مقرر بشأن هذه المسألة لكي تنظر فيه الأطراف وتعتمده إن أمكن خلال الجزء الرفيع المستوى.</w:t>
      </w:r>
      <w:bookmarkEnd w:id="5"/>
    </w:p>
    <w:p w14:paraId="6BDC93AB" w14:textId="77777777" w:rsidR="00F978AD" w:rsidRPr="005512F2" w:rsidRDefault="00F978AD" w:rsidP="005512F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5512F2">
        <w:rPr>
          <w:rFonts w:ascii="Simplified Arabic" w:hAnsi="Simplified Arabic" w:cs="Simplified Arabic"/>
          <w:bCs/>
          <w:sz w:val="24"/>
          <w:szCs w:val="24"/>
          <w:rtl/>
        </w:rPr>
        <w:t>3-</w:t>
      </w:r>
      <w:r w:rsidRPr="005512F2">
        <w:rPr>
          <w:rFonts w:ascii="Simplified Arabic" w:hAnsi="Simplified Arabic" w:cs="Simplified Arabic"/>
          <w:bCs/>
          <w:sz w:val="24"/>
          <w:szCs w:val="24"/>
          <w:rtl/>
        </w:rPr>
        <w:tab/>
        <w:t>الرئيسان المشاركان للفريق العامل المفتوح العضوية</w:t>
      </w:r>
    </w:p>
    <w:p w14:paraId="081A0527" w14:textId="10384E11"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قدمت الرئيسة المشاركة هذا البند الفرعي، قائلة إن على الأطراف اتخاذ قرار بشأن الرئيسين المشاركين للفريق العامل المفتوح العضوية لعام 2026. وأوضحت أن معلومات عــن المناصب الشاغرة ترد في الفقرتين 25 و26 من الوثيقة </w:t>
      </w:r>
      <w:r w:rsidRPr="003365C1">
        <w:rPr>
          <w:rFonts w:eastAsia="DengXian" w:cs="Times New Roman" w:hint="default"/>
          <w:sz w:val="22"/>
          <w:szCs w:val="22"/>
          <w:lang w:val="en-GB"/>
        </w:rPr>
        <w:t>UNEP/OzL.Pro.37/2</w:t>
      </w:r>
      <w:r w:rsidRPr="00812612">
        <w:rPr>
          <w:rFonts w:ascii="Simplified Arabic" w:eastAsia="DengXian" w:hAnsi="Simplified Arabic" w:hint="default"/>
          <w:sz w:val="24"/>
          <w:szCs w:val="24"/>
          <w:rtl/>
          <w:lang w:val="en-GB"/>
        </w:rPr>
        <w:t xml:space="preserve">، كما يرد مشروع مقرر بهذا الشأن في الوثيقة </w:t>
      </w:r>
      <w:r w:rsidRPr="003365C1">
        <w:rPr>
          <w:rFonts w:eastAsia="DengXian" w:cs="Times New Roman" w:hint="default"/>
          <w:sz w:val="22"/>
          <w:szCs w:val="22"/>
          <w:rtl/>
          <w:lang w:val="en-GB"/>
        </w:rPr>
        <w:t>UNEP/OzL.Pro.37/3</w:t>
      </w:r>
      <w:r w:rsidRPr="00812612">
        <w:rPr>
          <w:rFonts w:ascii="Simplified Arabic" w:eastAsia="DengXian" w:hAnsi="Simplified Arabic" w:hint="default"/>
          <w:sz w:val="24"/>
          <w:szCs w:val="24"/>
          <w:rtl/>
          <w:lang w:val="en-GB"/>
        </w:rPr>
        <w:t xml:space="preserve"> (مشروع المقرر 3</w:t>
      </w:r>
      <w:r w:rsidR="00722947" w:rsidRPr="00812612">
        <w:rPr>
          <w:rFonts w:ascii="Simplified Arabic" w:eastAsia="DengXian" w:hAnsi="Simplified Arabic" w:hint="default"/>
          <w:sz w:val="24"/>
          <w:szCs w:val="24"/>
          <w:rtl/>
          <w:lang w:val="en-GB"/>
        </w:rPr>
        <w:t>7</w:t>
      </w:r>
      <w:r w:rsidRPr="00812612">
        <w:rPr>
          <w:rFonts w:ascii="Simplified Arabic" w:eastAsia="DengXian" w:hAnsi="Simplified Arabic" w:hint="default"/>
          <w:sz w:val="24"/>
          <w:szCs w:val="24"/>
          <w:rtl/>
          <w:lang w:val="en-GB"/>
        </w:rPr>
        <w:t>/[دال دال]).</w:t>
      </w:r>
    </w:p>
    <w:p w14:paraId="4D4A260C" w14:textId="77777777" w:rsidR="00B979B1" w:rsidRPr="00812612" w:rsidRDefault="00B979B1"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 وقت لاحق، أفاد ممثل الأمانة أنه عند استلام أسماء الأشخاص الذين اختارتهم الأطراف العاملة بموجب المادة 5 والأطراف غير العاملة بموجب المادة 5، أُدرج مشروع مقرر بشأن هذه المسألة في مجموعة المقررات لكي تنظر فيه الأطراف خلال الجزء الرفيع المستوى وربما تعتمده. ووافقت الأطراف على إحالة مشروع مقرر بشأن هذه المسألة لكي تنظر فيه الأطراف وتعتمده إن أمكن خلال الجزء الرفيع المستوى.</w:t>
      </w:r>
    </w:p>
    <w:p w14:paraId="3C334FF2" w14:textId="411F6767" w:rsidR="00C20895" w:rsidRPr="00EE7CE2" w:rsidRDefault="006F66B8" w:rsidP="00EE7CE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tl/>
        </w:rPr>
      </w:pPr>
      <w:r w:rsidRPr="00EE7CE2">
        <w:rPr>
          <w:rFonts w:ascii="Simplified Arabic" w:hAnsi="Simplified Arabic" w:cs="Simplified Arabic" w:hint="cs"/>
          <w:bCs/>
          <w:sz w:val="26"/>
          <w:szCs w:val="26"/>
          <w:rtl/>
          <w:lang w:val="en-US"/>
        </w:rPr>
        <w:t>رابعا</w:t>
      </w:r>
      <w:r w:rsidR="002622F5" w:rsidRPr="00EE7CE2">
        <w:rPr>
          <w:rFonts w:ascii="Simplified Arabic" w:hAnsi="Simplified Arabic" w:cs="Simplified Arabic" w:hint="cs"/>
          <w:bCs/>
          <w:sz w:val="26"/>
          <w:szCs w:val="26"/>
          <w:rtl/>
          <w:lang w:val="en-US"/>
        </w:rPr>
        <w:t>ً</w:t>
      </w:r>
      <w:r w:rsidR="00F978AD" w:rsidRPr="00EE7CE2">
        <w:rPr>
          <w:rFonts w:ascii="Simplified Arabic" w:hAnsi="Simplified Arabic" w:cs="Simplified Arabic"/>
          <w:bCs/>
          <w:sz w:val="26"/>
          <w:szCs w:val="26"/>
          <w:rtl/>
        </w:rPr>
        <w:t>-</w:t>
      </w:r>
      <w:r w:rsidR="00F978AD" w:rsidRPr="00EE7CE2">
        <w:rPr>
          <w:rFonts w:ascii="Simplified Arabic" w:hAnsi="Simplified Arabic" w:cs="Simplified Arabic"/>
          <w:bCs/>
          <w:sz w:val="26"/>
          <w:szCs w:val="26"/>
          <w:rtl/>
        </w:rPr>
        <w:tab/>
        <w:t>اختصاصات الدراسة المتعلقة بتجديد موارد الصندوق المتعدد الأطراف لتنفيذ بروتوكول مونتريال للفترة 2027-2029</w:t>
      </w:r>
    </w:p>
    <w:p w14:paraId="541E8EE7" w14:textId="1E5618A3"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قدمت الرئيسة المشاركة هذا البند، مشيرة إلى أن الأطراف كانت قد بدأت مناقشات بشأن اختصاصات الدراسة المتعلقة بتجديد موارد الصندوق للفترة 2027-2029 في الاجتماع السابع والأربعين للفريق العامل المفتوح العضوية، وأن أستراليا وكندا والمملكة المتحدة لبريطانيا العظمى وأيرلندا الشمالية واليابان قدمت مشروع مقرر شك</w:t>
      </w:r>
      <w:r w:rsidR="00555209" w:rsidRPr="00812612">
        <w:rPr>
          <w:rFonts w:ascii="Simplified Arabic" w:eastAsia="DengXian" w:hAnsi="Simplified Arabic" w:hint="default"/>
          <w:sz w:val="24"/>
          <w:szCs w:val="24"/>
          <w:rtl/>
          <w:lang w:val="en-GB"/>
        </w:rPr>
        <w:t>َّ</w:t>
      </w:r>
      <w:r w:rsidRPr="00812612">
        <w:rPr>
          <w:rFonts w:ascii="Simplified Arabic" w:eastAsia="DengXian" w:hAnsi="Simplified Arabic" w:hint="default"/>
          <w:sz w:val="24"/>
          <w:szCs w:val="24"/>
          <w:rtl/>
          <w:lang w:val="en-GB"/>
        </w:rPr>
        <w:t xml:space="preserve">ل أساسا للمناقشات في فريق اتصال، إلى جانب اختصاصات الدراسة السابقة، على النحو المبين في المقرر </w:t>
      </w:r>
      <w:r w:rsidR="00F73F66" w:rsidRPr="00812612">
        <w:rPr>
          <w:rFonts w:ascii="Simplified Arabic" w:eastAsia="DengXian" w:hAnsi="Simplified Arabic" w:hint="default"/>
          <w:sz w:val="24"/>
          <w:szCs w:val="24"/>
          <w:lang w:val="en-GB"/>
        </w:rPr>
        <w:t>34</w:t>
      </w:r>
      <w:r w:rsidRPr="00812612">
        <w:rPr>
          <w:rFonts w:ascii="Simplified Arabic" w:eastAsia="DengXian" w:hAnsi="Simplified Arabic" w:hint="default"/>
          <w:sz w:val="24"/>
          <w:szCs w:val="24"/>
          <w:rtl/>
          <w:lang w:val="en-GB"/>
        </w:rPr>
        <w:t>/</w:t>
      </w:r>
      <w:r w:rsidR="00F73F66" w:rsidRPr="00812612">
        <w:rPr>
          <w:rFonts w:ascii="Simplified Arabic" w:eastAsia="DengXian" w:hAnsi="Simplified Arabic" w:hint="default"/>
          <w:sz w:val="24"/>
          <w:szCs w:val="24"/>
          <w:lang w:val="en-GB"/>
        </w:rPr>
        <w:t>2</w:t>
      </w:r>
      <w:r w:rsidRPr="00812612">
        <w:rPr>
          <w:rFonts w:ascii="Simplified Arabic" w:eastAsia="DengXian" w:hAnsi="Simplified Arabic" w:hint="default"/>
          <w:sz w:val="24"/>
          <w:szCs w:val="24"/>
          <w:rtl/>
          <w:lang w:val="en-GB"/>
        </w:rPr>
        <w:t xml:space="preserve"> بشأن تجديد موارد الصندوق المتعدد الأطراف لفترة الثلاث سنوات 2024-2026 (انظر </w:t>
      </w:r>
      <w:r w:rsidR="00967131" w:rsidRPr="003365C1">
        <w:rPr>
          <w:rFonts w:eastAsia="DengXian" w:cs="Times New Roman"/>
          <w:sz w:val="22"/>
          <w:szCs w:val="22"/>
          <w:lang w:val="en-GB"/>
        </w:rPr>
        <w:t>UNEP/OzL.Pro.34/9/Add.1/Rev.1</w:t>
      </w:r>
      <w:r w:rsidRPr="00812612">
        <w:rPr>
          <w:rFonts w:ascii="Simplified Arabic" w:eastAsia="DengXian" w:hAnsi="Simplified Arabic" w:hint="default"/>
          <w:sz w:val="24"/>
          <w:szCs w:val="24"/>
          <w:rtl/>
          <w:lang w:val="en-GB"/>
        </w:rPr>
        <w:t xml:space="preserve">). وبسبب ضيق الوقت، لم يتمكن فريق الاتصال من إتمام عمله؛ ولذلك وافق الفريق العامل على استئناف المناقشات في الاجتماع الحالي. واسترعت الانتباه إلى الوثائق ذات الصلة، وهي الوثيقة </w:t>
      </w:r>
      <w:r w:rsidRPr="003365C1">
        <w:rPr>
          <w:rFonts w:eastAsia="DengXian" w:cs="Times New Roman" w:hint="default"/>
          <w:sz w:val="22"/>
          <w:szCs w:val="22"/>
          <w:rtl/>
          <w:lang w:val="en-GB"/>
        </w:rPr>
        <w:t>UNEP/OzL.Pro.37/2</w:t>
      </w:r>
      <w:r w:rsidRPr="00812612">
        <w:rPr>
          <w:rFonts w:ascii="Simplified Arabic" w:eastAsia="DengXian" w:hAnsi="Simplified Arabic" w:hint="default"/>
          <w:sz w:val="24"/>
          <w:szCs w:val="24"/>
          <w:rtl/>
          <w:lang w:val="en-GB"/>
        </w:rPr>
        <w:t xml:space="preserve"> (الفقرات 27-32)، وتقرير الاجتماع السابع والأربعين للفريق العامل </w:t>
      </w:r>
      <w:r w:rsidRPr="00812612">
        <w:rPr>
          <w:rFonts w:ascii="Simplified Arabic" w:eastAsia="DengXian" w:hAnsi="Simplified Arabic" w:hint="default"/>
          <w:sz w:val="24"/>
          <w:szCs w:val="24"/>
          <w:rtl/>
          <w:lang w:val="en-GB"/>
        </w:rPr>
        <w:lastRenderedPageBreak/>
        <w:t>(</w:t>
      </w:r>
      <w:r w:rsidRPr="003365C1">
        <w:rPr>
          <w:rFonts w:eastAsia="DengXian" w:cs="Times New Roman" w:hint="default"/>
          <w:sz w:val="22"/>
          <w:szCs w:val="22"/>
          <w:lang w:val="en-GB"/>
        </w:rPr>
        <w:t>UNEP/OzL.Pro.WG.1/47/6</w:t>
      </w:r>
      <w:r w:rsidRPr="00812612">
        <w:rPr>
          <w:rFonts w:ascii="Simplified Arabic" w:eastAsia="DengXian" w:hAnsi="Simplified Arabic" w:hint="default"/>
          <w:sz w:val="24"/>
          <w:szCs w:val="24"/>
          <w:rtl/>
          <w:lang w:val="en-GB"/>
        </w:rPr>
        <w:t xml:space="preserve">، الفقرات 28-38) ومشروع المقرر المنقح الوارد في الوثيقة </w:t>
      </w:r>
      <w:r w:rsidRPr="003365C1">
        <w:rPr>
          <w:rFonts w:eastAsia="DengXian" w:cs="Times New Roman" w:hint="default"/>
          <w:sz w:val="22"/>
          <w:szCs w:val="22"/>
          <w:rtl/>
          <w:lang w:val="en-GB"/>
        </w:rPr>
        <w:t>UNEP/OzL.Pro.37/3</w:t>
      </w:r>
      <w:r w:rsidRPr="00812612">
        <w:rPr>
          <w:rFonts w:ascii="Simplified Arabic" w:eastAsia="DengXian" w:hAnsi="Simplified Arabic" w:hint="default"/>
          <w:sz w:val="24"/>
          <w:szCs w:val="24"/>
          <w:rtl/>
          <w:lang w:val="en-GB"/>
        </w:rPr>
        <w:t xml:space="preserve"> (مشروع المقرر 37/[ألف]).</w:t>
      </w:r>
    </w:p>
    <w:p w14:paraId="335D1DCB" w14:textId="5E9ABA5F"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واقترحت الرئيسة المشاركة إنشاء فريق اتصال لمناقشة اختصاصات الدراسة بشأن تجديد موارد الصندوق المتعدد الأطراف للفترة 2027-2029.</w:t>
      </w:r>
    </w:p>
    <w:p w14:paraId="164CC17A" w14:textId="49661B57"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rtl/>
          <w:lang w:val="en-GB"/>
        </w:rPr>
      </w:pPr>
      <w:r w:rsidRPr="00812612">
        <w:rPr>
          <w:rFonts w:ascii="Simplified Arabic" w:eastAsia="DengXian" w:hAnsi="Simplified Arabic" w:hint="default"/>
          <w:sz w:val="24"/>
          <w:szCs w:val="24"/>
          <w:rtl/>
          <w:lang w:val="en-GB"/>
        </w:rPr>
        <w:t xml:space="preserve">وخلال المناقشة التي تلت ذلك، شدد عدد من الممثلين على أهمية الصندوق المتعدد الأطراف في مساعدة الأطراف العاملة بموجب المادة 5 على تحقيق أهدافها في مجال الامتثال للتخلص التدريجي من مركبات الكربون الهيدروفلورية في إطار تعديل كيغالي. وشدد بعض الممثلين على أن دراسة تجديد الموارد ينبغي أن تعكس واقع التنفيذ وأن تشمل جميع العناصر الأخرى المتفق عليها سابقاً، بما في ذلك الحلول المالية المنصوص عليها في المقرر </w:t>
      </w:r>
      <w:r w:rsidR="00EA777B" w:rsidRPr="00812612">
        <w:rPr>
          <w:rFonts w:ascii="Simplified Arabic" w:eastAsia="DengXian" w:hAnsi="Simplified Arabic" w:hint="default"/>
          <w:sz w:val="24"/>
          <w:szCs w:val="24"/>
          <w:lang w:val="en-GB"/>
        </w:rPr>
        <w:t>28</w:t>
      </w:r>
      <w:r w:rsidRPr="00812612">
        <w:rPr>
          <w:rFonts w:ascii="Simplified Arabic" w:eastAsia="DengXian" w:hAnsi="Simplified Arabic" w:hint="default"/>
          <w:sz w:val="24"/>
          <w:szCs w:val="24"/>
          <w:rtl/>
          <w:lang w:val="en-GB"/>
        </w:rPr>
        <w:t>/</w:t>
      </w:r>
      <w:r w:rsidR="00EA777B" w:rsidRPr="00812612">
        <w:rPr>
          <w:rFonts w:ascii="Simplified Arabic" w:eastAsia="DengXian" w:hAnsi="Simplified Arabic" w:hint="default"/>
          <w:sz w:val="24"/>
          <w:szCs w:val="24"/>
          <w:lang w:val="en-GB"/>
        </w:rPr>
        <w:t>2</w:t>
      </w:r>
      <w:r w:rsidRPr="00812612">
        <w:rPr>
          <w:rFonts w:ascii="Simplified Arabic" w:eastAsia="DengXian" w:hAnsi="Simplified Arabic" w:hint="default"/>
          <w:sz w:val="24"/>
          <w:szCs w:val="24"/>
          <w:rtl/>
          <w:lang w:val="en-GB"/>
        </w:rPr>
        <w:t xml:space="preserve"> المتعلق ب</w:t>
      </w:r>
      <w:r w:rsidR="00F122F3" w:rsidRPr="00812612">
        <w:rPr>
          <w:rFonts w:ascii="Simplified Arabic" w:eastAsia="DengXian" w:hAnsi="Simplified Arabic" w:hint="default"/>
          <w:sz w:val="24"/>
          <w:szCs w:val="24"/>
          <w:rtl/>
          <w:lang w:val="en-GB"/>
        </w:rPr>
        <w:t>ال</w:t>
      </w:r>
      <w:r w:rsidRPr="00812612">
        <w:rPr>
          <w:rFonts w:ascii="Simplified Arabic" w:eastAsia="DengXian" w:hAnsi="Simplified Arabic" w:hint="default"/>
          <w:sz w:val="24"/>
          <w:szCs w:val="24"/>
          <w:rtl/>
          <w:lang w:val="en-GB"/>
        </w:rPr>
        <w:t xml:space="preserve">تعديل </w:t>
      </w:r>
      <w:r w:rsidR="00F122F3" w:rsidRPr="00812612">
        <w:rPr>
          <w:rFonts w:ascii="Simplified Arabic" w:eastAsia="DengXian" w:hAnsi="Simplified Arabic" w:hint="default"/>
          <w:sz w:val="24"/>
          <w:szCs w:val="24"/>
          <w:rtl/>
          <w:lang w:val="en-GB"/>
        </w:rPr>
        <w:t>ال</w:t>
      </w:r>
      <w:r w:rsidR="00CC1EEC" w:rsidRPr="00812612">
        <w:rPr>
          <w:rFonts w:ascii="Simplified Arabic" w:eastAsia="DengXian" w:hAnsi="Simplified Arabic" w:hint="default"/>
          <w:sz w:val="24"/>
          <w:szCs w:val="24"/>
          <w:rtl/>
          <w:lang w:val="en-GB"/>
        </w:rPr>
        <w:t>خاص</w:t>
      </w:r>
      <w:r w:rsidR="00F122F3" w:rsidRPr="00812612">
        <w:rPr>
          <w:rFonts w:ascii="Simplified Arabic" w:eastAsia="DengXian" w:hAnsi="Simplified Arabic" w:hint="default"/>
          <w:sz w:val="24"/>
          <w:szCs w:val="24"/>
          <w:rtl/>
          <w:lang w:val="en-GB"/>
        </w:rPr>
        <w:t xml:space="preserve"> </w:t>
      </w:r>
      <w:r w:rsidR="00CC1EEC" w:rsidRPr="00812612">
        <w:rPr>
          <w:rFonts w:ascii="Simplified Arabic" w:eastAsia="DengXian" w:hAnsi="Simplified Arabic" w:hint="default"/>
          <w:sz w:val="24"/>
          <w:szCs w:val="24"/>
          <w:rtl/>
          <w:lang w:val="en-GB"/>
        </w:rPr>
        <w:t>ب</w:t>
      </w:r>
      <w:r w:rsidRPr="00812612">
        <w:rPr>
          <w:rFonts w:ascii="Simplified Arabic" w:eastAsia="DengXian" w:hAnsi="Simplified Arabic" w:hint="default"/>
          <w:sz w:val="24"/>
          <w:szCs w:val="24"/>
          <w:rtl/>
          <w:lang w:val="en-GB"/>
        </w:rPr>
        <w:t>التخلص التدريجي من مركبات الكربون الهيدروفلورية الذي اعتمده الاجتماع الثامن والعشرون للأطراف. وأضاف</w:t>
      </w:r>
      <w:r w:rsidR="00722947" w:rsidRPr="00812612">
        <w:rPr>
          <w:rFonts w:ascii="Simplified Arabic" w:eastAsia="DengXian" w:hAnsi="Simplified Arabic" w:hint="default"/>
          <w:sz w:val="24"/>
          <w:szCs w:val="24"/>
          <w:rtl/>
          <w:lang w:val="en-GB"/>
        </w:rPr>
        <w:t>ت</w:t>
      </w:r>
      <w:r w:rsidRPr="00812612">
        <w:rPr>
          <w:rFonts w:ascii="Simplified Arabic" w:eastAsia="DengXian" w:hAnsi="Simplified Arabic" w:hint="default"/>
          <w:sz w:val="24"/>
          <w:szCs w:val="24"/>
          <w:rtl/>
          <w:lang w:val="en-GB"/>
        </w:rPr>
        <w:t xml:space="preserve"> ممثل</w:t>
      </w:r>
      <w:r w:rsidR="00722947" w:rsidRPr="00812612">
        <w:rPr>
          <w:rFonts w:ascii="Simplified Arabic" w:eastAsia="DengXian" w:hAnsi="Simplified Arabic" w:hint="default"/>
          <w:sz w:val="24"/>
          <w:szCs w:val="24"/>
          <w:rtl/>
          <w:lang w:val="en-GB"/>
        </w:rPr>
        <w:t>ة</w:t>
      </w:r>
      <w:r w:rsidRPr="00812612">
        <w:rPr>
          <w:rFonts w:ascii="Simplified Arabic" w:eastAsia="DengXian" w:hAnsi="Simplified Arabic" w:hint="default"/>
          <w:sz w:val="24"/>
          <w:szCs w:val="24"/>
          <w:rtl/>
          <w:lang w:val="en-GB"/>
        </w:rPr>
        <w:t xml:space="preserve"> مؤكد</w:t>
      </w:r>
      <w:r w:rsidR="00260CE9" w:rsidRPr="00812612">
        <w:rPr>
          <w:rFonts w:ascii="Simplified Arabic" w:eastAsia="DengXian" w:hAnsi="Simplified Arabic" w:hint="default"/>
          <w:sz w:val="24"/>
          <w:szCs w:val="24"/>
          <w:rtl/>
          <w:lang w:val="en-GB"/>
        </w:rPr>
        <w:t>ةً</w:t>
      </w:r>
      <w:r w:rsidRPr="00812612">
        <w:rPr>
          <w:rFonts w:ascii="Simplified Arabic" w:eastAsia="DengXian" w:hAnsi="Simplified Arabic" w:hint="default"/>
          <w:sz w:val="24"/>
          <w:szCs w:val="24"/>
          <w:rtl/>
          <w:lang w:val="en-GB"/>
        </w:rPr>
        <w:t xml:space="preserve"> ضرورة النظر إلى العناصر الرئيسية التي حددتها اللجنة التنفيذية للصندوق في مقررها </w:t>
      </w:r>
      <w:r w:rsidR="00260CE9" w:rsidRPr="00812612">
        <w:rPr>
          <w:rFonts w:ascii="Simplified Arabic" w:eastAsia="DengXian" w:hAnsi="Simplified Arabic" w:hint="default"/>
          <w:sz w:val="24"/>
          <w:szCs w:val="24"/>
          <w:rtl/>
          <w:lang w:val="en-GB"/>
        </w:rPr>
        <w:t>96</w:t>
      </w:r>
      <w:r w:rsidRPr="00812612">
        <w:rPr>
          <w:rFonts w:ascii="Simplified Arabic" w:eastAsia="DengXian" w:hAnsi="Simplified Arabic" w:hint="default"/>
          <w:sz w:val="24"/>
          <w:szCs w:val="24"/>
          <w:rtl/>
          <w:lang w:val="en-GB"/>
        </w:rPr>
        <w:t>/</w:t>
      </w:r>
      <w:r w:rsidR="00260CE9" w:rsidRPr="00812612">
        <w:rPr>
          <w:rFonts w:ascii="Simplified Arabic" w:eastAsia="DengXian" w:hAnsi="Simplified Arabic" w:hint="default"/>
          <w:sz w:val="24"/>
          <w:szCs w:val="24"/>
          <w:rtl/>
          <w:lang w:val="en-GB"/>
        </w:rPr>
        <w:t>57</w:t>
      </w:r>
      <w:r w:rsidRPr="00812612">
        <w:rPr>
          <w:rFonts w:ascii="Simplified Arabic" w:eastAsia="DengXian" w:hAnsi="Simplified Arabic" w:hint="default"/>
          <w:sz w:val="24"/>
          <w:szCs w:val="24"/>
          <w:rtl/>
          <w:lang w:val="en-GB"/>
        </w:rPr>
        <w:t xml:space="preserve"> عند تقدير متطلبات التمويل للفترة 2027-2029.</w:t>
      </w:r>
    </w:p>
    <w:p w14:paraId="19A718CC" w14:textId="41D1FF9B"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وقال</w:t>
      </w:r>
      <w:r w:rsidR="00A265C0" w:rsidRPr="00812612">
        <w:rPr>
          <w:rFonts w:ascii="Simplified Arabic" w:eastAsia="DengXian" w:hAnsi="Simplified Arabic" w:hint="default"/>
          <w:sz w:val="24"/>
          <w:szCs w:val="24"/>
          <w:rtl/>
          <w:lang w:val="en-GB"/>
        </w:rPr>
        <w:t>ت</w:t>
      </w:r>
      <w:r w:rsidRPr="00812612">
        <w:rPr>
          <w:rFonts w:ascii="Simplified Arabic" w:eastAsia="DengXian" w:hAnsi="Simplified Arabic" w:hint="default"/>
          <w:sz w:val="24"/>
          <w:szCs w:val="24"/>
          <w:rtl/>
          <w:lang w:val="en-GB"/>
        </w:rPr>
        <w:t xml:space="preserve"> ممثل</w:t>
      </w:r>
      <w:r w:rsidR="00A265C0" w:rsidRPr="00812612">
        <w:rPr>
          <w:rFonts w:ascii="Simplified Arabic" w:eastAsia="DengXian" w:hAnsi="Simplified Arabic" w:hint="default"/>
          <w:sz w:val="24"/>
          <w:szCs w:val="24"/>
          <w:rtl/>
          <w:lang w:val="en-GB"/>
        </w:rPr>
        <w:t>ة</w:t>
      </w:r>
      <w:r w:rsidRPr="00812612">
        <w:rPr>
          <w:rFonts w:ascii="Simplified Arabic" w:eastAsia="DengXian" w:hAnsi="Simplified Arabic" w:hint="default"/>
          <w:sz w:val="24"/>
          <w:szCs w:val="24"/>
          <w:rtl/>
          <w:lang w:val="en-GB"/>
        </w:rPr>
        <w:t xml:space="preserve"> إن تجديد الموارد للفترة 2027-2029 يجب أن يكون كافياً ومنصفاً ومتوافقاً مع احتياجات التنفيذ الحقيقية. وحدد ممثل ثانٍ أن منهجية الدراسة يجب أن تكون شفافة ومتوازنة إقليمياً، وأن تتضمن عوامل تكلفة واقعية بالنسبة للأطراف العاملة بالمادة 5، وأن تشجع الأطراف على تقديم مساهماتها. وقال إن نتائج الدراسة يجب أن تصب مباشرة في قرار لتجديد الموارد تُمليه الاحتياجات ويكون مناسب التوقيت، وأن الحاجة تدعو إلى تحديد موعد تطلعي للتمويل. وقال ممثل آخر إنه يجب توفير الدعم لجميع البلدان النامية </w:t>
      </w:r>
      <w:r w:rsidR="00101A3B" w:rsidRPr="00812612">
        <w:rPr>
          <w:rFonts w:ascii="Simplified Arabic" w:eastAsia="DengXian" w:hAnsi="Simplified Arabic" w:hint="default"/>
          <w:sz w:val="24"/>
          <w:szCs w:val="24"/>
          <w:rtl/>
          <w:lang w:val="en-GB"/>
        </w:rPr>
        <w:t>ب</w:t>
      </w:r>
      <w:r w:rsidRPr="00812612">
        <w:rPr>
          <w:rFonts w:ascii="Simplified Arabic" w:eastAsia="DengXian" w:hAnsi="Simplified Arabic" w:hint="default"/>
          <w:sz w:val="24"/>
          <w:szCs w:val="24"/>
          <w:rtl/>
          <w:lang w:val="en-GB"/>
        </w:rPr>
        <w:t xml:space="preserve">دون تمييز. ودعا بعض الممثلين إلى إجراء تقييم واقعي للتدفق النقدي إلى نوافذ التمويل، بما في ذلك آلية التمويل المتجدد التي وافقت عليها اللجنة التنفيذية. ودعا أحد الممثلين إلى الإبقاء على المستوى الحالي للتمويل حتى عام 2029. </w:t>
      </w:r>
    </w:p>
    <w:p w14:paraId="3A6F1BC8" w14:textId="13733F1D"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وأبرز عدد من الممثلين التحديات المحددة التي تواجهها الأطراف العاملة بموجب المادة 5 على وجه الخصوص في تحقيق التخلص التدريجي المستدام من مركبات الكربون الهيدروفلورية. وتشمل تلك التحديات استخدام المواد المبردة القابلة للاشتعال</w:t>
      </w:r>
      <w:r w:rsidR="00424BE6" w:rsidRPr="00812612">
        <w:rPr>
          <w:rFonts w:ascii="Simplified Arabic" w:eastAsia="DengXian" w:hAnsi="Simplified Arabic"/>
          <w:sz w:val="24"/>
          <w:szCs w:val="24"/>
          <w:rtl/>
          <w:lang w:val="en-GB"/>
        </w:rPr>
        <w:t xml:space="preserve"> في </w:t>
      </w:r>
      <w:r w:rsidRPr="00812612">
        <w:rPr>
          <w:rFonts w:ascii="Simplified Arabic" w:eastAsia="DengXian" w:hAnsi="Simplified Arabic" w:hint="default"/>
          <w:sz w:val="24"/>
          <w:szCs w:val="24"/>
          <w:rtl/>
          <w:lang w:val="en-GB"/>
        </w:rPr>
        <w:t>أجهزة التبريد وتكييف الهواء والمضخات الحرارية؛ والصعوبات التي تعترض سبيل الحصول على التقنيات المنخفضة القدرة على إحداث الاحترار العالمي واعتمادها؛ وعدم وجود بدائل لتكييف الهواء في الدول التي تعاني من درجات حرارة شديدة الارتفاع ومتزايدة؛ والحاجة إلى تمويل مستقر وكافٍ يمكن التنبؤ به.</w:t>
      </w:r>
    </w:p>
    <w:p w14:paraId="5389A10B" w14:textId="0D7F9895"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وسلط عدة ممثلين الضوء على جوانب محددة اعتبروها مهمة، بصرف النظر عما إذا كانت مطلوبة للامتثال، ورأوا ضرورة توفير التمويل الكافي لها. وشملت تلك العناصر الكفاءة في استخدام الطاقة؛ والإدارة الشاملة لدورة حياة غازات التبريد، بما في ذلك استردادها واستصلاحها والتخلص منها بأسلوب فعال من حيث التكلفة؛ والحالة الخاصة للبلدان التي تسود فيها درجات حرارة محيطة مرتفعة؛ والتخفيضات المستدامة في استهلاك مركبات الكربون الهيدروفلورية وانبعاثاتها، إلي جانب وضع أهداف محددة زمنياً؛ والتدريب وبناء القدرات والتعزيز المؤسسي والتعاون الإقليمي؛ والأدوات الرقمية والأدوات العاملة بمساعدة الذكاء الاصطناعي؛ وبرامج التوعية، بما في ذلك الجولات الترويجية للتكنولوجيا والأنشطة الإيضاحية؛ والاستفادة من التبريد المستدام؛ ورقمنة قطاع الخدمات؛ والمعاملة المنصفة للبلدان النامية غير الساحلية.</w:t>
      </w:r>
    </w:p>
    <w:p w14:paraId="61F41795" w14:textId="4BB58258" w:rsidR="00F978AD" w:rsidRPr="00B635B8"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B635B8">
        <w:rPr>
          <w:rFonts w:ascii="Simplified Arabic" w:eastAsia="DengXian" w:hAnsi="Simplified Arabic" w:hint="default"/>
          <w:w w:val="104"/>
          <w:sz w:val="24"/>
          <w:szCs w:val="24"/>
          <w:rtl/>
          <w:lang w:val="en-GB"/>
        </w:rPr>
        <w:t>وقال بعض الممثلين إنه ينبغي عدم اعتماد سياسات أو مبادئ توجيهية جديدة خلال فترة تجديد الموارد 2027-2029. وشدد أحد الممثلين على أهمية تجنب تضارب المصالح فيما يتعلق بفرقة العمل المعنية بتجديد الموارد.</w:t>
      </w:r>
    </w:p>
    <w:p w14:paraId="6C39A13E" w14:textId="118811D0" w:rsidR="00F978AD" w:rsidRPr="00812612" w:rsidRDefault="00F978AD"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واتفق المشاركون في الفريق العامل على إنشاء فريق اتصال يشترك في رئاسته أزرا روغوفيتش-غروبيتش (البوسنة والهرسك) ورالف بريسكورن (مملكة هولندا).</w:t>
      </w:r>
    </w:p>
    <w:p w14:paraId="0F81E5B5" w14:textId="77777777" w:rsidR="009D6BC2" w:rsidRPr="00B635B8" w:rsidRDefault="009D6BC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B635B8">
        <w:rPr>
          <w:rFonts w:ascii="Simplified Arabic" w:eastAsia="DengXian" w:hAnsi="Simplified Arabic"/>
          <w:w w:val="104"/>
          <w:sz w:val="24"/>
          <w:szCs w:val="24"/>
          <w:rtl/>
          <w:lang w:val="en-GB"/>
        </w:rPr>
        <w:lastRenderedPageBreak/>
        <w:t xml:space="preserve">بعد ذلك، أفاد الرئيس المشارك لفريق الاتصال بأن الفريق قد توصل إلى اتفاق بشأن مشروع مقرر يتعلق باختصاصات الدراسة المتعلقة بتجديد موارد الصندوق المتعدد الأطراف لتنفيذ بروتوكول مونتريال للفترة 2027-2029، لكي تنظر فيه الأطراف. </w:t>
      </w:r>
    </w:p>
    <w:p w14:paraId="055604AF" w14:textId="77777777" w:rsidR="009D6BC2" w:rsidRPr="00EE7CE2" w:rsidRDefault="009D6BC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EE7CE2">
        <w:rPr>
          <w:rFonts w:ascii="Simplified Arabic" w:eastAsia="DengXian" w:hAnsi="Simplified Arabic"/>
          <w:w w:val="107"/>
          <w:sz w:val="24"/>
          <w:szCs w:val="24"/>
          <w:rtl/>
          <w:lang w:val="en-GB"/>
        </w:rPr>
        <w:t>ووافقت الأطراف على إحالة مشروع المقرر لمواصلة النظر فيه واعتماده إن أمكن أثناء الجزء الرفيع المستوى.</w:t>
      </w:r>
    </w:p>
    <w:p w14:paraId="23864B70" w14:textId="77777777" w:rsidR="00314CC0" w:rsidRPr="00EE7CE2" w:rsidRDefault="00314CC0" w:rsidP="00EE7CE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DengXian" w:hAnsi="Simplified Arabic" w:hint="default"/>
          <w:b/>
          <w:bCs/>
          <w:sz w:val="26"/>
          <w:szCs w:val="26"/>
          <w:lang w:val="en-GB"/>
        </w:rPr>
      </w:pPr>
      <w:r w:rsidRPr="00EE7CE2">
        <w:rPr>
          <w:rFonts w:ascii="Simplified Arabic" w:eastAsia="DengXian" w:hAnsi="Simplified Arabic" w:hint="default"/>
          <w:b/>
          <w:bCs/>
          <w:sz w:val="26"/>
          <w:szCs w:val="26"/>
          <w:rtl/>
          <w:lang w:val="en-GB"/>
        </w:rPr>
        <w:t>خامساً-</w:t>
      </w:r>
      <w:r w:rsidRPr="00EE7CE2">
        <w:rPr>
          <w:rFonts w:ascii="Simplified Arabic" w:eastAsia="DengXian" w:hAnsi="Simplified Arabic" w:hint="default"/>
          <w:b/>
          <w:bCs/>
          <w:sz w:val="26"/>
          <w:szCs w:val="26"/>
          <w:rtl/>
          <w:lang w:val="en-GB"/>
        </w:rPr>
        <w:tab/>
        <w:t>انبعاثات مركب الكربون الهيدروفلوري-23 (المقرر 36/3)</w:t>
      </w:r>
    </w:p>
    <w:p w14:paraId="7208D1A4" w14:textId="3C593B06"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عـنـد الـنـظـر فـي هـذا الـبـنـد الـفـرعـي، كـان مـعـروضـاً عـلـى الأطــراف الـفـقـرات من 33 إلـى 36 مــن مــذكـرة الأمانة بشأن مسائل </w:t>
      </w:r>
      <w:r w:rsidR="007B3422" w:rsidRPr="00812612">
        <w:rPr>
          <w:rFonts w:ascii="Simplified Arabic" w:eastAsia="DengXian" w:hAnsi="Simplified Arabic" w:hint="default"/>
          <w:sz w:val="24"/>
          <w:szCs w:val="24"/>
          <w:rtl/>
          <w:lang w:val="en-GB"/>
        </w:rPr>
        <w:t>معروضة</w:t>
      </w:r>
      <w:r w:rsidRPr="00812612">
        <w:rPr>
          <w:rFonts w:ascii="Simplified Arabic" w:eastAsia="DengXian" w:hAnsi="Simplified Arabic" w:hint="default"/>
          <w:sz w:val="24"/>
          <w:szCs w:val="24"/>
          <w:rtl/>
          <w:lang w:val="en-GB"/>
        </w:rPr>
        <w:t xml:space="preserve"> على الاجتماع السابع والثلاثين للأطراف في بروتوكول مونتريال لمناقشتها </w:t>
      </w:r>
      <w:r w:rsidR="007B3422" w:rsidRPr="00812612">
        <w:rPr>
          <w:rFonts w:ascii="Simplified Arabic" w:eastAsia="DengXian" w:hAnsi="Simplified Arabic" w:hint="default"/>
          <w:sz w:val="24"/>
          <w:szCs w:val="24"/>
          <w:rtl/>
          <w:lang w:val="en-GB"/>
        </w:rPr>
        <w:t>ومعلومات للاطلاع عليها</w:t>
      </w:r>
      <w:r w:rsidRPr="00812612">
        <w:rPr>
          <w:rFonts w:ascii="Simplified Arabic" w:eastAsia="DengXian" w:hAnsi="Simplified Arabic" w:hint="default"/>
          <w:sz w:val="24"/>
          <w:szCs w:val="24"/>
          <w:rtl/>
          <w:lang w:val="en-GB"/>
        </w:rPr>
        <w:t xml:space="preserve"> </w:t>
      </w:r>
      <w:r w:rsidRPr="003365C1">
        <w:rPr>
          <w:rFonts w:eastAsia="DengXian" w:cs="Times New Roman" w:hint="default"/>
          <w:sz w:val="22"/>
          <w:szCs w:val="22"/>
          <w:lang w:val="en-GB"/>
        </w:rPr>
        <w:t>(UNEP/OzL.Pro.37/2)</w:t>
      </w:r>
      <w:r w:rsidRPr="00812612">
        <w:rPr>
          <w:rFonts w:ascii="Simplified Arabic" w:eastAsia="DengXian" w:hAnsi="Simplified Arabic" w:hint="default"/>
          <w:sz w:val="24"/>
          <w:szCs w:val="24"/>
          <w:rtl/>
          <w:lang w:val="en-GB"/>
        </w:rPr>
        <w:t xml:space="preserve">، وتقرير فريق التقييم العلمي المعنون </w:t>
      </w:r>
      <w:r w:rsidR="00164176" w:rsidRPr="00812612">
        <w:rPr>
          <w:rFonts w:ascii="Simplified Arabic" w:eastAsia="DengXian" w:hAnsi="Simplified Arabic" w:hint="default"/>
          <w:sz w:val="24"/>
          <w:szCs w:val="24"/>
          <w:rtl/>
          <w:lang w:val="en-GB"/>
        </w:rPr>
        <w:t>”</w:t>
      </w:r>
      <w:r w:rsidRPr="00812612">
        <w:rPr>
          <w:rFonts w:ascii="Simplified Arabic" w:eastAsia="DengXian" w:hAnsi="Simplified Arabic" w:hint="default"/>
          <w:sz w:val="24"/>
          <w:szCs w:val="24"/>
          <w:rtl/>
          <w:lang w:val="en-GB"/>
        </w:rPr>
        <w:t>الاستجابة للمقرر 36/3: انبعاثات مركب الكربون الهيدروفلوري-23</w:t>
      </w:r>
      <w:r w:rsidR="00164176" w:rsidRPr="00812612">
        <w:rPr>
          <w:rFonts w:ascii="Simplified Arabic" w:eastAsia="DengXian" w:hAnsi="Simplified Arabic" w:hint="default"/>
          <w:sz w:val="24"/>
          <w:szCs w:val="24"/>
          <w:rtl/>
          <w:lang w:val="en-GB"/>
        </w:rPr>
        <w:t>“</w:t>
      </w:r>
      <w:r w:rsidRPr="00812612">
        <w:rPr>
          <w:rFonts w:ascii="Simplified Arabic" w:eastAsia="DengXian" w:hAnsi="Simplified Arabic" w:hint="default"/>
          <w:sz w:val="24"/>
          <w:szCs w:val="24"/>
          <w:rtl/>
          <w:lang w:val="en-GB"/>
        </w:rPr>
        <w:t xml:space="preserve">، وتقرير فريق التقييم التكنولوجي والاقتصادي المعنون </w:t>
      </w:r>
      <w:r w:rsidR="00164176" w:rsidRPr="00812612">
        <w:rPr>
          <w:rFonts w:ascii="Simplified Arabic" w:eastAsia="DengXian" w:hAnsi="Simplified Arabic" w:hint="default"/>
          <w:sz w:val="24"/>
          <w:szCs w:val="24"/>
          <w:rtl/>
          <w:lang w:val="en-GB"/>
        </w:rPr>
        <w:t>”</w:t>
      </w:r>
      <w:r w:rsidRPr="00812612">
        <w:rPr>
          <w:rFonts w:ascii="Simplified Arabic" w:eastAsia="DengXian" w:hAnsi="Simplified Arabic" w:hint="default"/>
          <w:sz w:val="24"/>
          <w:szCs w:val="24"/>
          <w:rtl/>
          <w:lang w:val="en-GB"/>
        </w:rPr>
        <w:t>الاستجابة للمقرر 36/3: انبعاثات مركب الكربون الهيدروفلوري-23</w:t>
      </w:r>
      <w:r w:rsidR="00164176" w:rsidRPr="00812612">
        <w:rPr>
          <w:rFonts w:ascii="Simplified Arabic" w:eastAsia="DengXian" w:hAnsi="Simplified Arabic" w:hint="default"/>
          <w:sz w:val="24"/>
          <w:szCs w:val="24"/>
          <w:rtl/>
          <w:lang w:val="en-GB"/>
        </w:rPr>
        <w:t>“</w:t>
      </w:r>
      <w:r w:rsidRPr="00812612">
        <w:rPr>
          <w:rFonts w:ascii="Simplified Arabic" w:eastAsia="DengXian" w:hAnsi="Simplified Arabic" w:hint="default"/>
          <w:sz w:val="24"/>
          <w:szCs w:val="24"/>
          <w:rtl/>
          <w:lang w:val="en-GB"/>
        </w:rPr>
        <w:t xml:space="preserve">، والفقرات من 4 إلى 18 لإضافة مذكرة الأمانة بشأن مسائل </w:t>
      </w:r>
      <w:r w:rsidR="002F3919" w:rsidRPr="00812612">
        <w:rPr>
          <w:rFonts w:ascii="Simplified Arabic" w:eastAsia="DengXian" w:hAnsi="Simplified Arabic" w:hint="default"/>
          <w:sz w:val="24"/>
          <w:szCs w:val="24"/>
          <w:rtl/>
          <w:lang w:val="en-GB"/>
        </w:rPr>
        <w:t>معروضة</w:t>
      </w:r>
      <w:r w:rsidRPr="00812612">
        <w:rPr>
          <w:rFonts w:ascii="Simplified Arabic" w:eastAsia="DengXian" w:hAnsi="Simplified Arabic" w:hint="default"/>
          <w:sz w:val="24"/>
          <w:szCs w:val="24"/>
          <w:rtl/>
          <w:lang w:val="en-GB"/>
        </w:rPr>
        <w:t xml:space="preserve"> على الاجتماع السابع والثلاثين للأطراف في بروتوكول مونتريال لمناقشتها </w:t>
      </w:r>
      <w:r w:rsidR="002F3919" w:rsidRPr="00812612">
        <w:rPr>
          <w:rFonts w:ascii="Simplified Arabic" w:eastAsia="DengXian" w:hAnsi="Simplified Arabic" w:hint="default"/>
          <w:sz w:val="24"/>
          <w:szCs w:val="24"/>
          <w:rtl/>
          <w:lang w:val="en-GB"/>
        </w:rPr>
        <w:t>ومعلومات للاطلاع عليها</w:t>
      </w:r>
      <w:r w:rsidRPr="00812612">
        <w:rPr>
          <w:rFonts w:ascii="Simplified Arabic" w:eastAsia="DengXian" w:hAnsi="Simplified Arabic" w:hint="default"/>
          <w:sz w:val="24"/>
          <w:szCs w:val="24"/>
          <w:rtl/>
          <w:lang w:val="en-GB"/>
        </w:rPr>
        <w:t xml:space="preserve"> </w:t>
      </w:r>
      <w:r w:rsidRPr="003365C1">
        <w:rPr>
          <w:rFonts w:eastAsia="DengXian" w:cs="Times New Roman" w:hint="default"/>
          <w:sz w:val="22"/>
          <w:szCs w:val="22"/>
          <w:lang w:val="en-GB"/>
        </w:rPr>
        <w:t>(UNEP/OzL.Pro.37/2</w:t>
      </w:r>
      <w:r w:rsidR="009366E7" w:rsidRPr="003365C1">
        <w:rPr>
          <w:rFonts w:eastAsia="DengXian" w:cs="Times New Roman" w:hint="default"/>
          <w:sz w:val="22"/>
          <w:szCs w:val="22"/>
          <w:lang w:val="en-GB"/>
        </w:rPr>
        <w:t>/Add.1</w:t>
      </w:r>
      <w:r w:rsidRPr="003365C1">
        <w:rPr>
          <w:rFonts w:eastAsia="DengXian" w:cs="Times New Roman" w:hint="default"/>
          <w:sz w:val="22"/>
          <w:szCs w:val="22"/>
          <w:lang w:val="en-GB"/>
        </w:rPr>
        <w:t>)</w:t>
      </w:r>
      <w:r w:rsidRPr="00812612">
        <w:rPr>
          <w:rFonts w:ascii="Simplified Arabic" w:eastAsia="DengXian" w:hAnsi="Simplified Arabic" w:hint="default"/>
          <w:sz w:val="24"/>
          <w:szCs w:val="24"/>
          <w:rtl/>
          <w:lang w:val="en-GB"/>
        </w:rPr>
        <w:t>، ومرفقيها الأول والثاني.</w:t>
      </w:r>
    </w:p>
    <w:p w14:paraId="575F6521" w14:textId="46FE27C4"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وفي معرض تقديم هذا البند الفرعي، أشار الرئيس المشارك إلى أنه في الفقرة 5 من المقرر 36/3 بشأن انبعاثات مركب الكربون الهيدروفلوري-23، طُلب من فريق التقييم العلمي وفريق التقييم التكنولوجي والاقتصادي تحديث تقريريهما عن المقرر35/7 بشأن مركب الكربون الهيدروفلوري-23 ليعكسا أي معلومات إضافية أو جديدة تتوافر، وأن يقدما </w:t>
      </w:r>
      <w:r w:rsidR="00A503FF" w:rsidRPr="00812612">
        <w:rPr>
          <w:rFonts w:ascii="Simplified Arabic" w:eastAsia="DengXian" w:hAnsi="Simplified Arabic" w:hint="default"/>
          <w:sz w:val="24"/>
          <w:szCs w:val="24"/>
          <w:rtl/>
          <w:lang w:val="en-GB"/>
        </w:rPr>
        <w:t>تقريريهما إلى</w:t>
      </w:r>
      <w:r w:rsidRPr="00812612">
        <w:rPr>
          <w:rFonts w:ascii="Simplified Arabic" w:eastAsia="DengXian" w:hAnsi="Simplified Arabic" w:hint="default"/>
          <w:sz w:val="24"/>
          <w:szCs w:val="24"/>
          <w:rtl/>
          <w:lang w:val="en-GB"/>
        </w:rPr>
        <w:t xml:space="preserve"> الاجتماع السابع والثلاثين للأطراف. وبالإضافة إلى ذلك، طُلب إلى فريق التقييم التكنولوجي والاقتصادي أن يقدم معلومات عن أفضل الممارسات والمبادئ التوجيهية المتعلقة بقياس انبعاثات مركب الكربون الهيدروفلوري-23 الثانوية وتقديرها والإبلاغ عنها والتحقق منها وتدميرها، وأن يجري مقارنة بين هذه الممارسات والمبادئ التوجيهية.</w:t>
      </w:r>
    </w:p>
    <w:p w14:paraId="01B79A34" w14:textId="5D0B15FC"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واستجابةً لطلبات الأطراف، نسق الفريقان عملهما بشأن هذه المسألة وأصدر كل منهما تقريراً. ويرد موجزان للتقريرين في الإضافة إلى مذكرة الأمانة، إلى جانب موجز تنفيذي لكل منهما يُستنسخا في المرفقين الأول والثاني للإضافة، وأتيح التقريران الكاملان على بوابة الاجتماع.</w:t>
      </w:r>
    </w:p>
    <w:p w14:paraId="7BA36FFD" w14:textId="73215003"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وقدمت لوسي كاربنتر، الرئيسة المشاركة لفريق التقييم العلمي؛ ونيك كامبل، عضو لجنة الخيارات التقنية الطبية والكيميائية، متحدثين باسم فريق التقييم التكنولوجي والاقتصادي، عرضين عن استجابة كل فريق للطلبات الواردة في المقرر 36/3. ويرد العرضان في الفرعين </w:t>
      </w:r>
      <w:r w:rsidR="006446BA" w:rsidRPr="00812612">
        <w:rPr>
          <w:rFonts w:ascii="Simplified Arabic" w:eastAsia="DengXian" w:hAnsi="Simplified Arabic"/>
          <w:sz w:val="24"/>
          <w:szCs w:val="24"/>
          <w:rtl/>
          <w:lang w:val="en-GB"/>
        </w:rPr>
        <w:t xml:space="preserve">ألف </w:t>
      </w:r>
      <w:r w:rsidRPr="00812612">
        <w:rPr>
          <w:rFonts w:ascii="Simplified Arabic" w:eastAsia="DengXian" w:hAnsi="Simplified Arabic" w:hint="default"/>
          <w:sz w:val="24"/>
          <w:szCs w:val="24"/>
          <w:rtl/>
          <w:lang w:val="en-GB"/>
        </w:rPr>
        <w:t>و</w:t>
      </w:r>
      <w:r w:rsidR="006446BA" w:rsidRPr="00812612">
        <w:rPr>
          <w:rFonts w:ascii="Simplified Arabic" w:eastAsia="DengXian" w:hAnsi="Simplified Arabic"/>
          <w:sz w:val="24"/>
          <w:szCs w:val="24"/>
          <w:rtl/>
          <w:lang w:val="en-GB"/>
        </w:rPr>
        <w:t>باء</w:t>
      </w:r>
      <w:r w:rsidRPr="00812612">
        <w:rPr>
          <w:rFonts w:ascii="Simplified Arabic" w:eastAsia="DengXian" w:hAnsi="Simplified Arabic" w:hint="default"/>
          <w:sz w:val="24"/>
          <w:szCs w:val="24"/>
          <w:rtl/>
          <w:lang w:val="en-GB"/>
        </w:rPr>
        <w:t xml:space="preserve">، على التوالي، من المرفق </w:t>
      </w:r>
      <w:r w:rsidR="006446BA" w:rsidRPr="00812612">
        <w:rPr>
          <w:rFonts w:ascii="Simplified Arabic" w:eastAsia="DengXian" w:hAnsi="Simplified Arabic"/>
          <w:sz w:val="24"/>
          <w:szCs w:val="24"/>
          <w:rtl/>
          <w:lang w:val="en-GB"/>
        </w:rPr>
        <w:t xml:space="preserve">الأول </w:t>
      </w:r>
      <w:r w:rsidRPr="00812612">
        <w:rPr>
          <w:rFonts w:ascii="Simplified Arabic" w:eastAsia="DengXian" w:hAnsi="Simplified Arabic" w:hint="default"/>
          <w:sz w:val="24"/>
          <w:szCs w:val="24"/>
          <w:rtl/>
          <w:lang w:val="en-GB"/>
        </w:rPr>
        <w:t>لهذا التقرير.</w:t>
      </w:r>
    </w:p>
    <w:p w14:paraId="480C3878" w14:textId="34A37719"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وبعد تقديم العرض</w:t>
      </w:r>
      <w:r w:rsidR="00F43F15" w:rsidRPr="00812612">
        <w:rPr>
          <w:rFonts w:ascii="Simplified Arabic" w:eastAsia="DengXian" w:hAnsi="Simplified Arabic" w:hint="default"/>
          <w:sz w:val="24"/>
          <w:szCs w:val="24"/>
          <w:rtl/>
          <w:lang w:val="en-GB"/>
        </w:rPr>
        <w:t>ي</w:t>
      </w:r>
      <w:r w:rsidRPr="00812612">
        <w:rPr>
          <w:rFonts w:ascii="Simplified Arabic" w:eastAsia="DengXian" w:hAnsi="Simplified Arabic" w:hint="default"/>
          <w:sz w:val="24"/>
          <w:szCs w:val="24"/>
          <w:rtl/>
          <w:lang w:val="en-GB"/>
        </w:rPr>
        <w:t xml:space="preserve">ن، طرح عدة ممثلين أسئلة على أعضاء الفريق بهدف توضيح بعض </w:t>
      </w:r>
      <w:r w:rsidR="003D6AEF" w:rsidRPr="00812612">
        <w:rPr>
          <w:rFonts w:ascii="Simplified Arabic" w:eastAsia="DengXian" w:hAnsi="Simplified Arabic" w:hint="default"/>
          <w:sz w:val="24"/>
          <w:szCs w:val="24"/>
          <w:rtl/>
          <w:lang w:val="en-GB"/>
        </w:rPr>
        <w:t>المسائل المثارة</w:t>
      </w:r>
      <w:r w:rsidRPr="00812612">
        <w:rPr>
          <w:rFonts w:ascii="Simplified Arabic" w:eastAsia="DengXian" w:hAnsi="Simplified Arabic" w:hint="default"/>
          <w:sz w:val="24"/>
          <w:szCs w:val="24"/>
          <w:rtl/>
          <w:lang w:val="en-GB"/>
        </w:rPr>
        <w:t>.</w:t>
      </w:r>
    </w:p>
    <w:p w14:paraId="17DF323B" w14:textId="0A6E2885" w:rsidR="00314CC0" w:rsidRPr="00B635B8"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2"/>
          <w:sz w:val="24"/>
          <w:szCs w:val="24"/>
          <w:lang w:val="en-GB"/>
        </w:rPr>
      </w:pPr>
      <w:r w:rsidRPr="00B635B8">
        <w:rPr>
          <w:rFonts w:ascii="Simplified Arabic" w:eastAsia="DengXian" w:hAnsi="Simplified Arabic" w:hint="default"/>
          <w:w w:val="102"/>
          <w:sz w:val="24"/>
          <w:szCs w:val="24"/>
          <w:rtl/>
          <w:lang w:val="en-GB"/>
        </w:rPr>
        <w:t xml:space="preserve">وتساءل بعض الممثلين عن الزيادة الحادة في الفجوة بين إجمالي الانبعاثات العالمية المشتقة من الغلاف الجوي وإجمالي الانبعاثات العالمية المستندة إلى التقارير اعتباراً من عام 2015. وقال السيد كامبل إنه لم تظهر أي صناعات جديدة قد تؤدي إلى مثل هذه الزيادة في الفجوة في ذلك الوقت، إلا أن آلية التنمية النظيفة التابعة </w:t>
      </w:r>
      <w:r w:rsidR="00C82D38" w:rsidRPr="00B635B8">
        <w:rPr>
          <w:rFonts w:ascii="Simplified Arabic" w:eastAsia="DengXian" w:hAnsi="Simplified Arabic"/>
          <w:w w:val="102"/>
          <w:sz w:val="24"/>
          <w:szCs w:val="24"/>
          <w:rtl/>
          <w:lang w:val="en-GB"/>
        </w:rPr>
        <w:t xml:space="preserve">لبروتوكول </w:t>
      </w:r>
      <w:r w:rsidR="00E630BA">
        <w:rPr>
          <w:rFonts w:ascii="Simplified Arabic" w:eastAsia="DengXian" w:hAnsi="Simplified Arabic"/>
          <w:w w:val="102"/>
          <w:sz w:val="24"/>
          <w:szCs w:val="24"/>
          <w:rtl/>
          <w:lang w:val="en-GB"/>
        </w:rPr>
        <w:t>كيوتو</w:t>
      </w:r>
      <w:r w:rsidR="00E630BA" w:rsidRPr="00B635B8">
        <w:rPr>
          <w:rFonts w:ascii="Simplified Arabic" w:eastAsia="DengXian" w:hAnsi="Simplified Arabic"/>
          <w:w w:val="102"/>
          <w:sz w:val="24"/>
          <w:szCs w:val="24"/>
          <w:rtl/>
          <w:lang w:val="en-GB"/>
        </w:rPr>
        <w:t xml:space="preserve"> </w:t>
      </w:r>
      <w:r w:rsidR="009744F8" w:rsidRPr="00B635B8">
        <w:rPr>
          <w:rFonts w:ascii="Simplified Arabic" w:eastAsia="DengXian" w:hAnsi="Simplified Arabic"/>
          <w:w w:val="102"/>
          <w:sz w:val="24"/>
          <w:szCs w:val="24"/>
          <w:rtl/>
          <w:lang w:val="en-GB"/>
        </w:rPr>
        <w:t xml:space="preserve">لدى </w:t>
      </w:r>
      <w:r w:rsidRPr="00B635B8">
        <w:rPr>
          <w:rFonts w:ascii="Simplified Arabic" w:eastAsia="DengXian" w:hAnsi="Simplified Arabic" w:hint="default"/>
          <w:w w:val="102"/>
          <w:sz w:val="24"/>
          <w:szCs w:val="24"/>
          <w:rtl/>
          <w:lang w:val="en-GB"/>
        </w:rPr>
        <w:t>اتفاقية الأمم المتحدة الإطارية بشأن تغير المناخ توقفت عن العمل في عام 2015. وفي ذلك الوقت، كانت إحدى المناطق قد اعتمدت لائحة تنظيمية تسببت في انخفاض حاد في سعر أرصدة مركب الكربون الهيدروفلوري-23. وأوضح أنه، بموجب آلية التنمية النظيفة، وُلّدت أرصدة من تدمير مركب الكربون الهيدروفلوري-23؛ أما مع إغلاق الآلية، ربما كان هناك حافز أقل لمواصلة تدمير مركب الكربون الهيدروفلوري-23. ومع ذلك، أشار أحد الأعضاء إلى أن التغيير في نظام الأرصدة لم يحدث بشكل فوري، وأن المشاريع أُغلقت تدريجياً على مدار عدة سنوات. واقترح ممثل آخر إمكانية إنشاء آلية أخرى لتحل محل آلية التنمية النظيفة.</w:t>
      </w:r>
    </w:p>
    <w:p w14:paraId="6896C4B8" w14:textId="04FC396F"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lastRenderedPageBreak/>
        <w:t>وسأل أحد الممثلين عن التباينات بين التقديرات المستندة إلى التقارير والتقديرات المستمدة من الغلاف الجوي لأجزاء من الصين خلال الفترة من عام 2011 حتى الآن، على النحو المبين في الشكل 7 في العرض الذي قدمه فريق التقييم العلمي. وقالت السيدة كاربنتر إن الأرقام الخاصة بالتقديرات المستمدة من الغلاف الجوي كانت لشرق الصين فقط، في حين أن التقديرات المستندة إلى التقارير كانت للصين بأكملها. ولم تكن هناك تقديرات لانبعاثات مركب الكربون الهيدروفلوري-23 للصين ككل. ورداً على سؤال عن مواقع الرصد داخل الصين وتوافر البيانات ذات الصلة، أكد ستيفان رايمان، عضو فريق التقييم العلمي، أن البيانات جُمعت في الصين على مدى السنوات الـ 15 إلى 20 الماضية، وأنها استُخدمت في منشورات مختلفة عن مختلف الغازات. وأعدت الصين منشوراً جديداً عن الانبعاثات العالمية من مركب الكربون الهيدروفلوري-23 استخدم بيانات من الصين. وأصبحت القياسات الجديدة من الصين متاحة، ولكن بوتيرة بطيئة.</w:t>
      </w:r>
    </w:p>
    <w:p w14:paraId="7B05A506" w14:textId="33486501"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وردًا على تعليق بشأن عدم وجود بيانات عن الولايات المتحدة، قالت السيدة كاربنتر إن البيانات الأولية من البلد متاحة بالفعل، لكنها لم تُنشر بعد. وبمجرد نشر هذه البيانات، يمكن أن تظهر في عرض لاحق يقدمه فريق التقييم العلمي. وقدم ممثل الولايات المتحدة مزيداً من التفاصيل، التي أكدتها السيدة كاربنتر، بشأن البيانات، التي سبق أن نُشرت علناً. وأظهرت بيانات أولية غير منشورة، للفترة من عام 2018 إلى عام 2021، انبعاثات قدرها </w:t>
      </w:r>
      <w:r w:rsidR="00EA777B" w:rsidRPr="00812612">
        <w:rPr>
          <w:rFonts w:ascii="Simplified Arabic" w:eastAsia="DengXian" w:hAnsi="Simplified Arabic" w:hint="default"/>
          <w:sz w:val="24"/>
          <w:szCs w:val="24"/>
          <w:lang w:val="en-GB"/>
        </w:rPr>
        <w:t>0,4</w:t>
      </w:r>
      <w:r w:rsidRPr="00812612">
        <w:rPr>
          <w:rFonts w:ascii="Simplified Arabic" w:eastAsia="DengXian" w:hAnsi="Simplified Arabic" w:hint="default"/>
          <w:sz w:val="24"/>
          <w:szCs w:val="24"/>
          <w:rtl/>
          <w:lang w:val="en-GB"/>
        </w:rPr>
        <w:t xml:space="preserve"> كيلو طن سنوياً.</w:t>
      </w:r>
    </w:p>
    <w:p w14:paraId="2298E3BF" w14:textId="2793AF6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ورداً على أسئلة من ممثلين آخرين بشأن السيناريوهات المستقبلية المحتملة التي </w:t>
      </w:r>
      <w:r w:rsidR="0063428B" w:rsidRPr="00812612">
        <w:rPr>
          <w:rFonts w:ascii="Simplified Arabic" w:eastAsia="DengXian" w:hAnsi="Simplified Arabic" w:hint="default"/>
          <w:sz w:val="24"/>
          <w:szCs w:val="24"/>
          <w:rtl/>
          <w:lang w:val="en-GB"/>
        </w:rPr>
        <w:t>تشمل</w:t>
      </w:r>
      <w:r w:rsidRPr="00812612">
        <w:rPr>
          <w:rFonts w:ascii="Simplified Arabic" w:eastAsia="DengXian" w:hAnsi="Simplified Arabic" w:hint="default"/>
          <w:sz w:val="24"/>
          <w:szCs w:val="24"/>
          <w:rtl/>
          <w:lang w:val="en-GB"/>
        </w:rPr>
        <w:t xml:space="preserve"> مركب الكربون الهيدروفلوري-23 وما إذا كانت الأكسدة في الغلاف الجوي ستصبح مشكلة أكبر، قالت السيدة كاربنتر إن تقريري التقييم لعام </w:t>
      </w:r>
      <w:r w:rsidR="00A503FF" w:rsidRPr="00812612">
        <w:rPr>
          <w:rFonts w:ascii="Simplified Arabic" w:eastAsia="DengXian" w:hAnsi="Simplified Arabic" w:hint="default"/>
          <w:sz w:val="24"/>
          <w:szCs w:val="24"/>
          <w:rtl/>
          <w:lang w:val="en-GB"/>
        </w:rPr>
        <w:t>2026 الصادرين</w:t>
      </w:r>
      <w:r w:rsidRPr="00812612">
        <w:rPr>
          <w:rFonts w:ascii="Simplified Arabic" w:eastAsia="DengXian" w:hAnsi="Simplified Arabic" w:hint="default"/>
          <w:sz w:val="24"/>
          <w:szCs w:val="24"/>
          <w:rtl/>
          <w:lang w:val="en-GB"/>
        </w:rPr>
        <w:t xml:space="preserve"> عن الفريقين سيتضمنان سيناريوهات عامة للمستقبل وتوقعات بشأن الأكسدة في الغلاف الجوي من الانبعاثات المتزايدة من الأولفينات الهيدروفلورية حتى عام 2100. وكانت مساهمة الأكسدة في الغلاف الجوي في انبعاثات مركب الكربون الهيدروفلوري-23 منخفضة للغاية مقارنةً بانبعاثات مركب الكربون الهيدروفلوري-23 المرتبطة بإنتاج مركب الكربون الهيدروكلوري فلوري-22. وقال السيد كامبل إنه من المفترض أن المستويات المنخفضة التي أشار إليها فريق التقييم العلمي ستزداد، إلا أنه من غير المتوقع أن تكون الزيادة كبيرة وستحدث ببطء.</w:t>
      </w:r>
    </w:p>
    <w:p w14:paraId="5E65E6EF" w14:textId="7777777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ورداً على سؤال حول ما إذا كانت التقديرات المستمدة من الغلاف الجوي للانبعاثات القطرية يمكن أن تُعزى حقاً إلى بلد واحد فقط، بدلاً من أن تحملها الرياح من أماكن أخرى، قال السيد رايمان إن النماذج المستخدمة لحساب مستويات الانبعاثات شهدت تطوراً جيداً، وهي تعتمد على نماذج الطقس ويجري تحسينها باستمرار مع مرور الوقت، وهو ما يحقق مستوى جيداً من الثقة في تلك النماذج. وأكدت السيدة كاربنتر ما فهمه أحد الممثلين من أن انبعاثات مركب الكربون الهيدروفلوري-23 كانت في الغالب في نصف الكرة الشمالي. وأعرب ممثل آخر عن رأي مفاده أنه قد تم بلوغ العتبة الحرجة للعمل فيما يتعلق بانبعاثات مركب الكربون الهيدروفلوري-23.</w:t>
      </w:r>
    </w:p>
    <w:p w14:paraId="065942C8" w14:textId="5A0042C6"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ورداً على استفسار عن مصدر المعلومات عن انبعاثات مركب الكربون الهيدروفلوري-23 قبل دخول تعديل كيغالي حيز النفاذ، قال السيد كامبل إنه كانت هناك عدة مصادر. ويمكن الحصول على حساب شامل من بيانات المادة 7 التي تبلغ عن مركب الكربون الهيدروكلوري فلوري-22. وكانت هناك أيضاً ثروة من البيانات المستقاة من الإبلاغ بموجب آلية التنمية النظيفة، بما في ذلك بيانات دقيقة عن إنتاج مركب الكربون الهيدروكلوري فلوري-22 وتدمير مركب الكربون الهيدروفلوري-23. وأُخذت كذلك قياسات موقعية مختلفة بعين الاعتبار.</w:t>
      </w:r>
    </w:p>
    <w:p w14:paraId="2963B1F9" w14:textId="7777777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ورداً على سؤال عما إذا كان قد أُجري رصد خط السياج في أي مرافق فردية، قالت السيدة كاربنتر إن فريق التقييم العلمي أجرى قياساً واحداً في مملكة هولندا في مصنع ينتج مركب الكربون الهيدروكلوري فلوري-22. وكان إجراء هذا القياس صعباً للغاية وتطلب عمالة كثيفة وتكلفة باهظة، إذ كان يستخدم مطياف كتلة كروماتوغرافياً غازياً لا يوجد منه سوى 20 مطيافاً في العالم. وكان خمسة عشر مطيافاً منها قيد الاستخدام لأخذ قياسات من أجل تقدير الانبعاثات العالمية. وبالتالي، كانت هناك حاجة إلى أنظمة قياس جديدة.</w:t>
      </w:r>
    </w:p>
    <w:p w14:paraId="70AF6396" w14:textId="798D22DF"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lastRenderedPageBreak/>
        <w:t>وسأل ممثل، متحدثاً باسم مجموعة من البلدان، عن إمكانية أخذ عينات قارورية عند السياج. وقال السيد رايمان إن أخذ عينات قارورية سيكون أمراً ممكناً، إلا أنه لا تزال هناك حاجة إلى جهاز كروماتوغراف غازي في النهاية. وستكون هناك حاجة إلى الكثير من القوارير إذ يجب أخذ العينات مرة واحدة على الأقل يومياً. وسيكون ذلك ممكناً ولكنه مكلف.</w:t>
      </w:r>
    </w:p>
    <w:p w14:paraId="138C724C" w14:textId="7777777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ورداً على سؤال عما إذا كان فريق التقييم التكنولوجي والاقتصادي قد نظر في الانبعاثات من الخطوط التي تصنع مركب الكربون الهيدروفلوري-23 عمداً لغرض بيعه، قال السيد كامبل إن الفريق قد أُبلغ، بشكل غير رسمي، أن هناك مصنع واحد على الأقل، وربما مصنعين على الأرجح، يصنعان مركب الكربون الهيدروفلوري</w:t>
      </w:r>
      <w:r w:rsidRPr="00812612">
        <w:rPr>
          <w:rFonts w:ascii="Simplified Arabic" w:eastAsia="DengXian" w:hAnsi="Simplified Arabic" w:hint="default"/>
          <w:sz w:val="24"/>
          <w:szCs w:val="24"/>
          <w:rtl/>
          <w:lang w:val="en-GB"/>
        </w:rPr>
        <w:noBreakHyphen/>
        <w:t>23 على وجه التحديد. وكانت المستويات المنتجة بمئات الأطنان، وكانت موجهة لأسواق محددة. ولم يكن لديه أي معلومات عما إذا كان هذان المصنعان يستخدما تقنيات التخفيف. ورداً على سؤال للمتابعة حول النموذج الاقتصادي وراء تصنيع هذه الكميات الصغيرة وما إذا كانت المنشآت في الواقع مصانع متأرجحة، قال السيد كامبل إنه أُخبر بوجود وحدة صغيرة محددة شبه تقنية. وفي الماضي، قام عدد من الشركات في الماضي بتشغيل وحدات شبه تقنية لإنتاج مادة مطلوبة من قبل الصناعة، وهو ما يجعلها مجدية اقتصادياً.</w:t>
      </w:r>
    </w:p>
    <w:p w14:paraId="0E098A61" w14:textId="0553E609"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ورداً على سؤال عن توليد مركب الكربون الهيدروفلوري-23، أوضح السيد كامبل أن أكثر من 90 في المائة من الأطراف أبلغت عن إنتاج مركب الكربون الهيدروكلوري فلوري-22. واقترح</w:t>
      </w:r>
      <w:r w:rsidR="008B6B0D" w:rsidRPr="00812612">
        <w:rPr>
          <w:rFonts w:ascii="Simplified Arabic" w:eastAsia="DengXian" w:hAnsi="Simplified Arabic" w:hint="default"/>
          <w:sz w:val="24"/>
          <w:szCs w:val="24"/>
          <w:rtl/>
          <w:lang w:val="en-GB"/>
        </w:rPr>
        <w:t>ت</w:t>
      </w:r>
      <w:r w:rsidRPr="00812612">
        <w:rPr>
          <w:rFonts w:ascii="Simplified Arabic" w:eastAsia="DengXian" w:hAnsi="Simplified Arabic" w:hint="default"/>
          <w:sz w:val="24"/>
          <w:szCs w:val="24"/>
          <w:rtl/>
          <w:lang w:val="en-GB"/>
        </w:rPr>
        <w:t xml:space="preserve"> ممثل</w:t>
      </w:r>
      <w:r w:rsidR="008B6B0D" w:rsidRPr="00812612">
        <w:rPr>
          <w:rFonts w:ascii="Simplified Arabic" w:eastAsia="DengXian" w:hAnsi="Simplified Arabic" w:hint="default"/>
          <w:sz w:val="24"/>
          <w:szCs w:val="24"/>
          <w:rtl/>
          <w:lang w:val="en-GB"/>
        </w:rPr>
        <w:t>ة</w:t>
      </w:r>
      <w:r w:rsidRPr="00812612">
        <w:rPr>
          <w:rFonts w:ascii="Simplified Arabic" w:eastAsia="DengXian" w:hAnsi="Simplified Arabic" w:hint="default"/>
          <w:sz w:val="24"/>
          <w:szCs w:val="24"/>
          <w:rtl/>
          <w:lang w:val="en-GB"/>
        </w:rPr>
        <w:t xml:space="preserve"> ضرورة مواصلة تنقيح نموذج الإبلاغ عن مركب الكربون الهيدروفلوري-23 لضمان حصول الفريقين على المعلومات المطلوبة لسد الفجوة في الإبلاغ عن الانبعاثات. وقال السيد كامبل إنه سعيد جداً بالمعلومات التي تلقاها بالفعل، والتي مكنت فريق التقييم التكنولوجي والاقتصادي من تحسين فهمه لتوليد مركب الكربون الهيدروفلوري-23 وانبعاثاته واستخداماته. ومع ذلك، يود الفريق الحصول على مزيد من المعلومات عن استهلاك مركب الكربون الهيدروفلوري-23 في المجالات الرئيسية الثلاثة للمساعدة على تنقيح أرقامه، إلا أنه شدد على أن هذه المعلومات لن تفيد في سد الفجوة في الإبلاغ عن الانبعاثات. وقال السيد كامبل أيضاً إن الفريق يود أن يدرس انبعاثات مركب الكربون الهيدروفلوري-23 من بطاريات أيونات الليثيوم.</w:t>
      </w:r>
    </w:p>
    <w:p w14:paraId="1F0E6AA1" w14:textId="46867C7B"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وقدم السيد ريمان مزيداً من المعلومات عن محطات الرصد في أفريقيا، فقال إن المحطة الوحيدة التي تقوم بقياسات تتعلق بتلوث الهواء وغازات الاحتباس الحراري في أفريقيا هي محطة بُنيت حديثاً في رواندا. وأعرب عن تطلعه إلى تلقي بيانات هذه المحطة عن مركبات الكربون الهيدروكلورية فلورية ومركبات الكربون الهيدروفلورية للمساعدة في التقديرات الإقليمية في القارة. و</w:t>
      </w:r>
      <w:r w:rsidR="001523B7" w:rsidRPr="00812612">
        <w:rPr>
          <w:rFonts w:ascii="Simplified Arabic" w:eastAsia="DengXian" w:hAnsi="Simplified Arabic"/>
          <w:sz w:val="24"/>
          <w:szCs w:val="24"/>
          <w:rtl/>
          <w:lang w:val="en-GB"/>
        </w:rPr>
        <w:t xml:space="preserve">أشار كذلك </w:t>
      </w:r>
      <w:r w:rsidR="005E0442" w:rsidRPr="00812612">
        <w:rPr>
          <w:rFonts w:ascii="Simplified Arabic" w:eastAsia="DengXian" w:hAnsi="Simplified Arabic"/>
          <w:sz w:val="24"/>
          <w:szCs w:val="24"/>
          <w:rtl/>
          <w:lang w:val="en-GB"/>
        </w:rPr>
        <w:t xml:space="preserve">إلى أنه في إطار </w:t>
      </w:r>
      <w:r w:rsidRPr="00812612">
        <w:rPr>
          <w:rFonts w:ascii="Simplified Arabic" w:eastAsia="DengXian" w:hAnsi="Simplified Arabic" w:hint="default"/>
          <w:sz w:val="24"/>
          <w:szCs w:val="24"/>
          <w:rtl/>
          <w:lang w:val="en-GB"/>
        </w:rPr>
        <w:t xml:space="preserve">مشروع </w:t>
      </w:r>
      <w:r w:rsidR="005E0442" w:rsidRPr="00812612">
        <w:rPr>
          <w:rFonts w:ascii="Simplified Arabic" w:eastAsia="DengXian" w:hAnsi="Simplified Arabic"/>
          <w:sz w:val="24"/>
          <w:szCs w:val="24"/>
          <w:rtl/>
          <w:lang w:val="en-GB"/>
        </w:rPr>
        <w:t>آخر</w:t>
      </w:r>
      <w:r w:rsidRPr="00812612">
        <w:rPr>
          <w:rFonts w:ascii="Simplified Arabic" w:eastAsia="DengXian" w:hAnsi="Simplified Arabic" w:hint="default"/>
          <w:sz w:val="24"/>
          <w:szCs w:val="24"/>
          <w:rtl/>
          <w:lang w:val="en-GB"/>
        </w:rPr>
        <w:t xml:space="preserve"> ممول من الاتحاد الأوروبي </w:t>
      </w:r>
      <w:r w:rsidR="00F2430F" w:rsidRPr="00812612">
        <w:rPr>
          <w:rFonts w:ascii="Simplified Arabic" w:eastAsia="DengXian" w:hAnsi="Simplified Arabic"/>
          <w:sz w:val="24"/>
          <w:szCs w:val="24"/>
          <w:rtl/>
          <w:lang w:val="en-GB"/>
        </w:rPr>
        <w:t xml:space="preserve">يمكن إنشاء </w:t>
      </w:r>
      <w:r w:rsidRPr="00812612">
        <w:rPr>
          <w:rFonts w:ascii="Simplified Arabic" w:eastAsia="DengXian" w:hAnsi="Simplified Arabic" w:hint="default"/>
          <w:sz w:val="24"/>
          <w:szCs w:val="24"/>
          <w:rtl/>
          <w:lang w:val="en-GB"/>
        </w:rPr>
        <w:t xml:space="preserve">محطات جديدة حول العالم؛ </w:t>
      </w:r>
      <w:r w:rsidR="00572018" w:rsidRPr="00812612">
        <w:rPr>
          <w:rFonts w:ascii="Simplified Arabic" w:eastAsia="DengXian" w:hAnsi="Simplified Arabic"/>
          <w:sz w:val="24"/>
          <w:szCs w:val="24"/>
          <w:rtl/>
          <w:lang w:val="en-GB"/>
        </w:rPr>
        <w:t xml:space="preserve">بما في ذلك </w:t>
      </w:r>
      <w:r w:rsidRPr="00812612">
        <w:rPr>
          <w:rFonts w:ascii="Simplified Arabic" w:eastAsia="DengXian" w:hAnsi="Simplified Arabic" w:hint="default"/>
          <w:sz w:val="24"/>
          <w:szCs w:val="24"/>
          <w:rtl/>
          <w:lang w:val="en-GB"/>
        </w:rPr>
        <w:t>في أفريقيا. ورداً على سؤال حول المحطة الموجودة في رواندا، قالت السيدة كاربنتر إنها أُنشئت قبل عام وكانت البيانات متاحة ضمن شبكة التجربة العالمية المتقدمة المعنية</w:t>
      </w:r>
      <w:r w:rsidRPr="00812612">
        <w:rPr>
          <w:rFonts w:ascii="Simplified Arabic" w:eastAsia="DengXian" w:hAnsi="Simplified Arabic"/>
          <w:sz w:val="24"/>
          <w:szCs w:val="24"/>
          <w:rtl/>
          <w:lang w:val="en-GB"/>
        </w:rPr>
        <w:t>‬</w:t>
      </w:r>
      <w:r w:rsidRPr="00812612">
        <w:rPr>
          <w:rFonts w:ascii="Simplified Arabic" w:eastAsia="DengXian" w:hAnsi="Simplified Arabic" w:hint="default"/>
          <w:sz w:val="24"/>
          <w:szCs w:val="24"/>
          <w:rtl/>
          <w:lang w:val="en-GB"/>
        </w:rPr>
        <w:t xml:space="preserve"> بغازات الغلاف الجوي، حيث تعمل عدة محطات معاً. وستُنشر البيانات قريباً.</w:t>
      </w:r>
    </w:p>
    <w:p w14:paraId="071D6F98" w14:textId="7777777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وسأل أحد الممثلين عن سبب عدم قيام فريق التقييم التكنولوجي والاقتصادي بتحليل ومقارنة منهجيات الأطراف لتقدير انبعاثات مركب الكربون الهيدروفلوري-23 والإبلاغ عنها والتحقق منها، وأبدى ملاحظات فيما يتعلق بتلك المعلومات. وسأل عما إذا كان بإمكان الفريق القيام بذلك في المستقبل. وأوضح السيد كامبل أنه لم يشعر بالقدرة على استنتاج أي المنهجيات أفضل لأن هناك العديد من المنهجيات المختلفة. فعلى سبيل المثال، استخدمت بعض الأطراف المبادئ التوجيهية بشأن الإبلاغ عن الغازات المكلورة التي وضعتها اتفاقية الأمم المتحدة الإطارية بشأن تغير المناخ، وهو ما أسفر عن بعض النصوص المقدمة المفصلة للغاية. ورداً على تعليق من ممثل آخر بشأن عدم إصدار الفريقين أي توصيات بشأن المضي قدماً فيما يتعلق بانبعاثات مركب الكربون الهيدروفلوري-23، قالت السيدة كاربنتر إن الفريقين قاما بذلك وفقاً لما تنص عليه مقررات الأطراف.</w:t>
      </w:r>
    </w:p>
    <w:p w14:paraId="0F4ECA2D" w14:textId="7777777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ورداً على سؤال حول قابلية مركب الكربون الهيدروفلوري-23 للاشتعال واستخدامه في التبريد، قال السيد كامبل إن مركب الكربون الهيدروفلوري-23 غاز غير قابل للاشتعال؛ ولكن نظراً لخصائصه، فإن فوائده </w:t>
      </w:r>
      <w:r w:rsidRPr="00812612">
        <w:rPr>
          <w:rFonts w:ascii="Simplified Arabic" w:eastAsia="DengXian" w:hAnsi="Simplified Arabic" w:hint="default"/>
          <w:sz w:val="24"/>
          <w:szCs w:val="24"/>
          <w:rtl/>
          <w:lang w:val="en-GB"/>
        </w:rPr>
        <w:lastRenderedPageBreak/>
        <w:t>في التبريد لا تُستخلص إلا في درجات حرارة منخفضة للغاية، مثل تلك اللازمة للقاحات الأولية ضد مرض فيروس كورونا (كوفيد-19).</w:t>
      </w:r>
    </w:p>
    <w:p w14:paraId="5CAEDD6A" w14:textId="7777777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وفي المناقشة التي تلت ذلك، شكر عدة ممثلين الفريقين على تقريريهما.</w:t>
      </w:r>
    </w:p>
    <w:p w14:paraId="3B7106C5" w14:textId="7777777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وأعرب عدة ممثلين عن قلقهم إزاء الفجوة المستمرة بين التقديرات المستندة إلى الغلاف الجوي والتقديرات المستندة إلى التقارير عن انبعاثات مركب الكربون الهيدروفلوري-23. ولكن أشار بعض الممثلين إلى أن الفجوة أصبحت أصغر على الرغم من الزيادة في إنتاج مركب الكربون الهيدروكلوري فلوري-22.</w:t>
      </w:r>
    </w:p>
    <w:p w14:paraId="7A1D968B" w14:textId="7777777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وأعربت إحدى الممثلات عن رأي مفاده أن التقرير المحدث الصادر عن فريق التقييم العلمي قدم المعلومات بطريقة أكثر موضوعية، وتجنب التفسيرات السببية التي يحتمل أن تكون مضللة، وقدم بيانات أكثر اكتمالاً وقابلية للمقارنة عن البلدان والمناطق ذات الصلة. ومع ذلك، فقد اعتبرت أن المعلومات لا تزال محدودة للغاية ولم يطرأ أي تغيير جوهري على استنتاجات الفريقين، وهو ما يدل على أن الأطراف تواجه تحديات في تقدير انبعاثات مركب الكربون الهيدروفلوري-23 والإبلاغ عنها. وهناك حاجة إلى إجراء المزيد من البحوث لضمان فهم أفضل بين المجتمع الدولي لمصادر انبعاثات مركب الكربون الهيدروفلوري-23 وحجمها وآلياتها.</w:t>
      </w:r>
    </w:p>
    <w:p w14:paraId="5C2550AD" w14:textId="1F0602AA"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وأعرب أحد الممثلين عن رأي مفاده أنه ما دامت الفجوة كبيرة كما هي، فينبغي أن تظل المسألة على جدول أعمال اجتماعات الأطراف. وقال</w:t>
      </w:r>
      <w:r w:rsidR="008B6B0D" w:rsidRPr="00812612">
        <w:rPr>
          <w:rFonts w:ascii="Simplified Arabic" w:eastAsia="DengXian" w:hAnsi="Simplified Arabic" w:hint="default"/>
          <w:sz w:val="24"/>
          <w:szCs w:val="24"/>
          <w:rtl/>
          <w:lang w:val="en-GB"/>
        </w:rPr>
        <w:t>ت</w:t>
      </w:r>
      <w:r w:rsidRPr="00812612">
        <w:rPr>
          <w:rFonts w:ascii="Simplified Arabic" w:eastAsia="DengXian" w:hAnsi="Simplified Arabic" w:hint="default"/>
          <w:sz w:val="24"/>
          <w:szCs w:val="24"/>
          <w:rtl/>
          <w:lang w:val="en-GB"/>
        </w:rPr>
        <w:t xml:space="preserve"> ممثل</w:t>
      </w:r>
      <w:r w:rsidR="008B6B0D" w:rsidRPr="00812612">
        <w:rPr>
          <w:rFonts w:ascii="Simplified Arabic" w:eastAsia="DengXian" w:hAnsi="Simplified Arabic" w:hint="default"/>
          <w:sz w:val="24"/>
          <w:szCs w:val="24"/>
          <w:rtl/>
          <w:lang w:val="en-GB"/>
        </w:rPr>
        <w:t>ة</w:t>
      </w:r>
      <w:r w:rsidRPr="00812612">
        <w:rPr>
          <w:rFonts w:ascii="Simplified Arabic" w:eastAsia="DengXian" w:hAnsi="Simplified Arabic" w:hint="default"/>
          <w:sz w:val="24"/>
          <w:szCs w:val="24"/>
          <w:rtl/>
          <w:lang w:val="en-GB"/>
        </w:rPr>
        <w:t xml:space="preserve"> </w:t>
      </w:r>
      <w:r w:rsidR="008B6B0D" w:rsidRPr="00812612">
        <w:rPr>
          <w:rFonts w:ascii="Simplified Arabic" w:eastAsia="DengXian" w:hAnsi="Simplified Arabic" w:hint="default"/>
          <w:sz w:val="24"/>
          <w:szCs w:val="24"/>
          <w:rtl/>
          <w:lang w:val="en-GB"/>
        </w:rPr>
        <w:t>أ</w:t>
      </w:r>
      <w:r w:rsidRPr="00812612">
        <w:rPr>
          <w:rFonts w:ascii="Simplified Arabic" w:eastAsia="DengXian" w:hAnsi="Simplified Arabic" w:hint="default"/>
          <w:sz w:val="24"/>
          <w:szCs w:val="24"/>
          <w:rtl/>
          <w:lang w:val="en-GB"/>
        </w:rPr>
        <w:t>خر</w:t>
      </w:r>
      <w:r w:rsidR="008B6B0D" w:rsidRPr="00812612">
        <w:rPr>
          <w:rFonts w:ascii="Simplified Arabic" w:eastAsia="DengXian" w:hAnsi="Simplified Arabic" w:hint="default"/>
          <w:sz w:val="24"/>
          <w:szCs w:val="24"/>
          <w:rtl/>
          <w:lang w:val="en-GB"/>
        </w:rPr>
        <w:t>ى</w:t>
      </w:r>
      <w:r w:rsidRPr="00812612">
        <w:rPr>
          <w:rFonts w:ascii="Simplified Arabic" w:eastAsia="DengXian" w:hAnsi="Simplified Arabic" w:hint="default"/>
          <w:sz w:val="24"/>
          <w:szCs w:val="24"/>
          <w:rtl/>
          <w:lang w:val="en-GB"/>
        </w:rPr>
        <w:t xml:space="preserve"> إنه ينبغي للأطراف أن تكون منفتحة على إعادة النظر في الافتراضات السابقة واستكشاف نُهج بحثية جديدة والاعتراف بأن الاكتشاف العلمي يتطلب وقتاً وصبراً وموقفاً هادئاً وصارماً.</w:t>
      </w:r>
    </w:p>
    <w:p w14:paraId="1E94D231" w14:textId="77777777"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وسعى أحد الممثلين إلى فهم أفضل للمنهجيات التي تستخدمها الأطراف لتقدير انبعاثاتها من مركب الكربون الهيدروفلوري-23 والإبلاغ عنها. وتساءل عما إذا كان بإمكان فريق التقييم التكنولوجي والاقتصادي أن يشرح بعبارات بسيطة كيف اختلفت النُهج من طرف إلى آخر، إذ أن الفجوة قد تعزى جزئياً إلى الطريقة التي قُدرت بها الانبعاثات.</w:t>
      </w:r>
    </w:p>
    <w:p w14:paraId="4E50775E" w14:textId="26009745"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وحث بعض الممثلين الأطراف التي لم تقدم بعد معلومات عن استهلاك مركب الكربون الهيدروفلوري-23 على القيام بذلك لكي يستخدمها فريق التقييم التكنولوجي والاقتصادي. وطلب</w:t>
      </w:r>
      <w:r w:rsidR="008B6B0D" w:rsidRPr="00812612">
        <w:rPr>
          <w:rFonts w:ascii="Simplified Arabic" w:eastAsia="DengXian" w:hAnsi="Simplified Arabic" w:hint="default"/>
          <w:sz w:val="24"/>
          <w:szCs w:val="24"/>
          <w:rtl/>
          <w:lang w:val="en-GB"/>
        </w:rPr>
        <w:t>ت</w:t>
      </w:r>
      <w:r w:rsidRPr="00812612">
        <w:rPr>
          <w:rFonts w:ascii="Simplified Arabic" w:eastAsia="DengXian" w:hAnsi="Simplified Arabic" w:hint="default"/>
          <w:sz w:val="24"/>
          <w:szCs w:val="24"/>
          <w:rtl/>
          <w:lang w:val="en-GB"/>
        </w:rPr>
        <w:t xml:space="preserve"> ممثل</w:t>
      </w:r>
      <w:r w:rsidR="008B6B0D" w:rsidRPr="00812612">
        <w:rPr>
          <w:rFonts w:ascii="Simplified Arabic" w:eastAsia="DengXian" w:hAnsi="Simplified Arabic" w:hint="default"/>
          <w:sz w:val="24"/>
          <w:szCs w:val="24"/>
          <w:rtl/>
          <w:lang w:val="en-GB"/>
        </w:rPr>
        <w:t>ة</w:t>
      </w:r>
      <w:r w:rsidRPr="00812612">
        <w:rPr>
          <w:rFonts w:ascii="Simplified Arabic" w:eastAsia="DengXian" w:hAnsi="Simplified Arabic" w:hint="default"/>
          <w:sz w:val="24"/>
          <w:szCs w:val="24"/>
          <w:rtl/>
          <w:lang w:val="en-GB"/>
        </w:rPr>
        <w:t xml:space="preserve"> توضيحاً للزيادة بمقدار 10 أضعاف في الحمولة التي أبلغ عنها أحد الأطراف منذ العام السابق. وقال بعض الممثلين إن سد الفجوة يتطلب تعاوناً أكبر بين </w:t>
      </w:r>
      <w:r w:rsidR="00E17B85" w:rsidRPr="00812612">
        <w:rPr>
          <w:rFonts w:ascii="Simplified Arabic" w:eastAsia="DengXian" w:hAnsi="Simplified Arabic"/>
          <w:sz w:val="24"/>
          <w:szCs w:val="24"/>
          <w:rtl/>
          <w:lang w:val="en-GB"/>
        </w:rPr>
        <w:t xml:space="preserve">بلدان </w:t>
      </w:r>
      <w:r w:rsidRPr="00812612">
        <w:rPr>
          <w:rFonts w:ascii="Simplified Arabic" w:eastAsia="DengXian" w:hAnsi="Simplified Arabic" w:hint="default"/>
          <w:sz w:val="24"/>
          <w:szCs w:val="24"/>
          <w:rtl/>
          <w:lang w:val="en-GB"/>
        </w:rPr>
        <w:t>الشمال والجنوب؛ وكان من المهم تقديم الدعم التقني للبلدان دون توسيع نطاق المقرر 36/3؛ وكان من الضروري مراعاة الظروف الخاصة في البلدان النامية وقدراتها. وقال أحد الممثلين إن هناك حاجة إلى تعريف أوضح للإنتاج. وقال أيضاً إن تحديث البيانات عن المواد الأولية وعن تدمير المنتجات الثانوية يتجاوز نطاق المقرر 36/3.</w:t>
      </w:r>
    </w:p>
    <w:p w14:paraId="00003BA0" w14:textId="2188D411" w:rsidR="00314CC0" w:rsidRPr="00812612" w:rsidRDefault="00314C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وشرحت إحدى الممثلات الجهود المكثفة التي تبذلها الحكومة والقطاع الخاص والأوساط الأكاديمية في بلدها لتحديد أسباب انبعاثات مركبات الكربون الهيدروفلورية وإيجاد حلول لها، بما في ذلك التحقق المستقل في الموقع من جميع المؤسسات المعروفة التي أنتجت مركب الكربون الهيدروفلوري-23؛ والاستشارات التقنية مع خبراء الصناعة؛ ووضع مبادئ توجيهية تقنية لتحديد انبعاثات مركب الكربون الهيدروفلوري-23 الثانوية في مرافق إنتاج مركب الكربون الهيدروكلوري فلوري-22 والإبلاغ عنها؛ والتعاون بين المؤسسات البحثية، بما في ذلك تطوير التكنولوجيا. علاوة</w:t>
      </w:r>
      <w:r w:rsidR="00B07E6C" w:rsidRPr="00812612">
        <w:rPr>
          <w:rFonts w:ascii="Simplified Arabic" w:eastAsia="DengXian" w:hAnsi="Simplified Arabic" w:hint="default"/>
          <w:sz w:val="24"/>
          <w:szCs w:val="24"/>
          <w:rtl/>
          <w:lang w:val="en-GB"/>
        </w:rPr>
        <w:t>ً</w:t>
      </w:r>
      <w:r w:rsidRPr="00812612">
        <w:rPr>
          <w:rFonts w:ascii="Simplified Arabic" w:eastAsia="DengXian" w:hAnsi="Simplified Arabic" w:hint="default"/>
          <w:sz w:val="24"/>
          <w:szCs w:val="24"/>
          <w:rtl/>
          <w:lang w:val="en-GB"/>
        </w:rPr>
        <w:t xml:space="preserve"> على ذلك، قامت إحدى الشركات المصنعة ببناء وتشغيل أول منشأة صناعية في العالم تحول مركب الكربون الهيدروفلوري-23 إلى مركب الكربون الهيدروكلوري فلوري-22. وأعرب ممثل آخر عن تقديره لجميع الجهود التي يبذلها البلد.</w:t>
      </w:r>
    </w:p>
    <w:p w14:paraId="1E9F4DFC" w14:textId="037F007E"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بعد ذلك، قدم ممثل الولايات المتحدة معلومات إضافية عن بيانات بلده. وأكد مجدداً أن الإدارة الوطنية لدراسة المحيطات والغلاف الجوي في الولايات المتحدة تستعد لإصدار بيانات دراسة عن انبعاثات مركب الكربون </w:t>
      </w:r>
      <w:r w:rsidRPr="00812612">
        <w:rPr>
          <w:rFonts w:ascii="Simplified Arabic" w:eastAsia="DengXian" w:hAnsi="Simplified Arabic"/>
          <w:sz w:val="24"/>
          <w:szCs w:val="24"/>
          <w:rtl/>
          <w:lang w:val="en-GB"/>
        </w:rPr>
        <w:lastRenderedPageBreak/>
        <w:t>الهيدروفلوري-23 للفترة 2018-2021. وأظهرت البيانات أن زهاء 0,4 كيلوطن سنوياً مصدرها الغلاف الجوي، مقارنة بالبيانات المبلغ عنها البالغة 0,31 كيلوطن سنوياً من مرافق تصنيع محددة، ضمن هامش الخطأ في التقديرات المتعلقة بالغلاف الجوي. وفيما يتعلق بإشارة أحد الوفود إلى الرقم 0,04 كيلوطن الذي أبلغت عنه الولايات المتحدة لعام 2023، والذي كان من مصادر صناعية فقط، أوضح ممثل الولايات المتحدة أن هذا الرقم الأقل بكثير يرجع إلى إجراءات محلية اتُخذت بعد سنوات من تقديم البيانات من الادارة الوطنية لدراسة المحيطات والغلاف الجوي. وقد صدَّقت الولايات المتحدة على تعديل كيغالي في تشرين الأول/أكتوبر 2022، وهي الآن تعكف على تنفيذه.</w:t>
      </w:r>
    </w:p>
    <w:p w14:paraId="607F726B" w14:textId="2410D77F"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 أحد الممثلين إلى أن العمل بشأن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جارٍ في إطار الصندوق المتعدد الأطراف. وقد وافقت اللجنة التنفيذية على مشاريع تتعلق بخط إنتاج واحد لـمركب الكربون الهيدروكلوري فلوري-22 في الأرجنتين وخطين في المكسيك، يجري تنفيذها بنجاح وأدت إلى خفض انبعاثات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من الخطوط الثلاثة. وأعرب عن تقديره للبلدين والوكالات المنفذة.</w:t>
      </w:r>
    </w:p>
    <w:p w14:paraId="145563B7" w14:textId="77777777"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وانضم أحد الممثلين إلى المتحدثين السابقين في التأكيد على أهمية معالجة مستويات الانبعاثات العالية والفجوة بين الانبعاثات المبلغ عنها وتلك المستمدة من النمذجة العكسية. وقال إن من المهم بالفعل النظر في المنهجيات التي تستخدمها الأطراف لتقدير الانبعاثات والإبلاغ عنها، وغيرها من التفاصيل التقنية، ولكن على الأطراف اتخاذ إجراءات أكثر حسماً لتجنب تقويض النجاحات التي حققها بروتوكول مونتريال في الماضي، تماماً كما فعلت في استجابتها للانبعاثات غير المتوقعة من مركب الكربون الكلوروفلوري-11.</w:t>
      </w:r>
    </w:p>
    <w:p w14:paraId="2ADF2C16" w14:textId="71393348"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وقدم ممثل كندا مقترحاً بشأن مشروع مقرر مقدم من كندا والاتحاد الأوروبي والنرويج وسويسرا، يرد في ورقة غرفة اجتماعات. وأوضح أن المشروع يطلب من فريق التقييم العلمي وفريق التقييم التكنولوجي والاقتصادي تحديث التقارير عن مقررهما 36/3 لتضمين أي معلومات إضافية أو جديدة. وهو يتوقع ألا تكون التحديثات جوهرية. كذلك طُلب من فريق التقييم التكنولوجي والاقتصادي تقديم وصف ومقارنة للمنهجيات المستخدمة في تقدير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التي قدمتها الأطراف. وأقر بأن المعلومات الإضافية لن تمكن الأطراف من حل التناقض، لكن مؤيدي الاقتراح اعتبروا أنه من المهم أن تفهم الأطراف كيفية تقدير الانبعاثات والإبلاغ عنها والتحقق منها. ولم تكن الفكرة من وراء المقارنة أن يجري الفريق تحليلاً لتحديد أي المنهجيات أفضل، بل الهدف هو مجرد الإشارة إلى الاختلافات بينها. وطُلب من الفريق أيضاً وصف العناصر الرئيسية للمنهجيات المستخدمة في إطار آلية التنمية النظيفة بموجب المادة 12 من بروتوكول كيوتو؛ واقتراح أفضل الممارسات لتقدير انبعاثات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من إنتاج مركب الكربون الهيدروكلوري فلوري-22؛ وتقديم مؤشر لمستويات مركب الكربون الهيدروكلوري فلوري-22، حيثما توجد ثلاثة مرافق إنتاج أو أكثر، ومؤشر لإنتاج وتوليد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بحسب البلد أو المنطقة، إلى جانب الكميات المقيسة من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في الغلاف الجوي فوق البلدان أو المناطق نفسها بحسبما يبلغ عنه فريق التقييم العلمي، عند توافرها، وبيان المساهمة النسبية لكل بلد ومنطقة في إجمالي انبعاثات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المقيسة في الغلاف الجوي، بقدر الإمكان. وقد قدم الفريق في تقريره مقارنة بين الانبعاثات المقيسة والانبعاثات المبلغ عنها لمختلف البلدان والمناطق، ولكن لم يتضح ما هي المستويات الفعلية لإنتاج مركب الكربون الهيدروكلوري فلوري-22 والإنتاج العرضي من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في تلك المناطق. ودعا مشروع المقرر الأطراف التي لديها مرافق لإنتاج مركب الكربون الهيدروكلوري فلوري-22 ولم تقدم معلومات عنها إلى القيام بذلك بحلول 31 آذار/مارس 2026. وحُثت الأطراف التي لديها خطوط إنتاج و/أو توليد </w:t>
      </w:r>
      <w:r w:rsidR="00567B40">
        <w:rPr>
          <w:rFonts w:ascii="Simplified Arabic" w:eastAsia="DengXian" w:hAnsi="Simplified Arabic"/>
          <w:sz w:val="24"/>
          <w:szCs w:val="24"/>
          <w:rtl/>
          <w:lang w:val="en-GB"/>
        </w:rPr>
        <w:t>لمركب الكربون الهيدروفلوري-23</w:t>
      </w:r>
      <w:r w:rsidR="00567B40" w:rsidRPr="00812612">
        <w:rPr>
          <w:rFonts w:ascii="Simplified Arabic" w:eastAsia="DengXian" w:hAnsi="Simplified Arabic"/>
          <w:sz w:val="24"/>
          <w:szCs w:val="24"/>
          <w:rtl/>
          <w:lang w:val="en-GB"/>
        </w:rPr>
        <w:t xml:space="preserve"> </w:t>
      </w:r>
      <w:r w:rsidRPr="00812612">
        <w:rPr>
          <w:rFonts w:ascii="Simplified Arabic" w:eastAsia="DengXian" w:hAnsi="Simplified Arabic"/>
          <w:sz w:val="24"/>
          <w:szCs w:val="24"/>
          <w:rtl/>
          <w:lang w:val="en-GB"/>
        </w:rPr>
        <w:t xml:space="preserve">على الإبلاغ عن البيانات المتعلقة بكميات </w:t>
      </w:r>
      <w:r w:rsidR="006E35D2">
        <w:rPr>
          <w:rFonts w:ascii="Simplified Arabic" w:eastAsia="DengXian" w:hAnsi="Simplified Arabic"/>
          <w:sz w:val="24"/>
          <w:szCs w:val="24"/>
          <w:rtl/>
          <w:lang w:val="en-GB"/>
        </w:rPr>
        <w:t>هذا ال</w:t>
      </w:r>
      <w:r w:rsidR="0038097F" w:rsidRPr="00812612">
        <w:rPr>
          <w:rFonts w:ascii="Simplified Arabic" w:eastAsia="DengXian" w:hAnsi="Simplified Arabic"/>
          <w:sz w:val="24"/>
          <w:szCs w:val="24"/>
          <w:rtl/>
          <w:lang w:val="en-GB"/>
        </w:rPr>
        <w:t xml:space="preserve">مركب </w:t>
      </w:r>
      <w:r w:rsidRPr="00812612">
        <w:rPr>
          <w:rFonts w:ascii="Simplified Arabic" w:eastAsia="DengXian" w:hAnsi="Simplified Arabic"/>
          <w:sz w:val="24"/>
          <w:szCs w:val="24"/>
          <w:rtl/>
          <w:lang w:val="en-GB"/>
        </w:rPr>
        <w:t>المولدة والمحتجزة والمستخدمة والمدمرة والمخزنة؛ وضمان تدمير</w:t>
      </w:r>
      <w:r w:rsidR="008826E0">
        <w:rPr>
          <w:rFonts w:ascii="Simplified Arabic" w:eastAsia="DengXian" w:hAnsi="Simplified Arabic"/>
          <w:sz w:val="24"/>
          <w:szCs w:val="24"/>
          <w:rtl/>
          <w:lang w:val="en-GB"/>
        </w:rPr>
        <w:t>ه بشكل</w:t>
      </w:r>
      <w:r w:rsidRPr="00812612">
        <w:rPr>
          <w:rFonts w:ascii="Simplified Arabic" w:eastAsia="DengXian" w:hAnsi="Simplified Arabic"/>
          <w:sz w:val="24"/>
          <w:szCs w:val="24"/>
          <w:rtl/>
          <w:lang w:val="en-GB"/>
        </w:rPr>
        <w:t xml:space="preserve"> فعال مع تطبيق برامج مناسبة لإدارة التسربات وإصلاحها، وتنفيذ عملية فعالة للرصد والإبلاغ والتحقق؛ والنظر في إدراج رصد لمواقع محددة في المناطق التي تم العثور فيها على انبعاثات عالية أو التي توجد فيها مرافق كبيرة لإنتاج مركب الكربون الهيدروكلوري فلوري-22.</w:t>
      </w:r>
      <w:bookmarkStart w:id="6" w:name="_Hlk213230735"/>
      <w:bookmarkEnd w:id="6"/>
    </w:p>
    <w:p w14:paraId="4EAB2235" w14:textId="77777777"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lastRenderedPageBreak/>
        <w:t>وأشارت ممثلة النرويج، بصفتها من مقدمي مشروع المقرر، إلى أنه على الرغم من أن عدة أطراف تبذل جهوداً مكثفة لتعزيز الفهم الجماعي للمسألة وتقدم المعلومات لدعم عمل أفرقة التقييم، فإنها لا تزال بعيدة عن الفهم الواضح للأسباب الكامنة وراء التناقضات الكبيرة التي أبرزتها الأفرقة. وهذا يشكل مصدر قلقٍ كبير لبلدها، ومن الضروري أن تواصل الأطراف التعاون من أجل توضيح تلك التناقضات ومعالجتها بشكل أفضل.</w:t>
      </w:r>
    </w:p>
    <w:p w14:paraId="164C1968" w14:textId="5CB398A5"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وأقر ممثل الاتحاد الأوروبي، بصفته أحد مقدمي مشروع المقرر، بالعمل الجاري لتحسين تقديرات انبعاثات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الذي يضطلع به أحد الأطراف، بما في ذلك عقد حلقة عمل مؤخراً حضرها الممثل ووضع مبادئ توجيهية تقنية بشأن رصد انبعاثات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والإبلاغ عنها والتحقق منها. ومع ذلك، فإن هذه المسألة تؤثر على جميع الأطراف وتحتاج إلى معالجة جماعية، وهو ما يهدف مشروع المقرر إلى تحقيقه. وأشار إلى أهمية النظر في مصادر الانبعاثات المحتملة؛ وضمان استخدام تقنيات فعالة للحد من الانبعاثات؛ واستخلاص أفضل الممارسات؛ وضمان الشفافية في عملية الإبلاغ وتحسين الإنفاذ.</w:t>
      </w:r>
    </w:p>
    <w:p w14:paraId="00776F92" w14:textId="77777777"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 المناقشة التي تلت ذلك، اتفق العديد من الممثلين على خطورة المسألة وأعربوا عن رغبتهم في مناقشة هذه المسألة ومشروع المقرر في إطار فريق اتصال.</w:t>
      </w:r>
    </w:p>
    <w:p w14:paraId="00FFDDC7" w14:textId="79B136CF"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وتساءلت ممثلة عما إذا كان من المجدي أن يُطلب من أفرقة التقييم استكمال تقاريرها، نظراً لعبء العمل الثقيل الذي يقع على عاتقها وحقيقة أن المعلومات الجديدة من المتوقع أن تكون محدودة. وأشارت إلى تعليق السيد كامبل بأنه لم يشعر بأنه قادر على تحديد المنهجية الأفضل. فكل منهجية لها مزاياها ونقاط قوتها الخاصة بها. وطلبت كذلك توضيحا بشأن الطلب المتعلق بالأطراف التي لديها ثلاثة مرافق أو أكثر تنتج مركب الكربون الهيدروكلوري فلوري-22، وتساءلت عن استخدام كلمة </w:t>
      </w:r>
      <w:r w:rsidR="00D5366C">
        <w:rPr>
          <w:rFonts w:ascii="Simplified Arabic" w:hAnsi="Simplified Arabic"/>
          <w:sz w:val="24"/>
          <w:szCs w:val="24"/>
          <w:rtl/>
        </w:rPr>
        <w:t>”</w:t>
      </w:r>
      <w:r w:rsidRPr="00812612">
        <w:rPr>
          <w:rFonts w:ascii="Simplified Arabic" w:eastAsia="DengXian" w:hAnsi="Simplified Arabic"/>
          <w:sz w:val="24"/>
          <w:szCs w:val="24"/>
          <w:rtl/>
          <w:lang w:val="en-GB"/>
        </w:rPr>
        <w:t>تحث</w:t>
      </w:r>
      <w:r w:rsidR="00D5366C">
        <w:rPr>
          <w:rFonts w:ascii="Simplified Arabic" w:hAnsi="Simplified Arabic"/>
          <w:sz w:val="24"/>
          <w:szCs w:val="24"/>
          <w:rtl/>
        </w:rPr>
        <w:t>“</w:t>
      </w:r>
      <w:r w:rsidRPr="00812612">
        <w:rPr>
          <w:rFonts w:ascii="Simplified Arabic" w:eastAsia="DengXian" w:hAnsi="Simplified Arabic"/>
          <w:sz w:val="24"/>
          <w:szCs w:val="24"/>
          <w:rtl/>
          <w:lang w:val="en-GB"/>
        </w:rPr>
        <w:t xml:space="preserve"> للإشارة إلى إجراءات طوعية. وأشارت إلى المشاريع في الأرجنتين والمكسيك، وقالت إنه وفقاً للمقرر 28/2، ينبغي أن يمول الصندوق المتعدد الأطراف التكاليف المرتبطة بخفض انبعاثات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إلا أن غالبية الأطراف العاملة بموجب المادة 5 لم تتلق بعد أي تمويل. وطلبت إلى اللجنة التنفيذية أن تنظر، في أقرب وقت ممكن، في توفير الدعم اللازم للبلدان والمؤسسات المؤهلة. </w:t>
      </w:r>
    </w:p>
    <w:p w14:paraId="72EBD570" w14:textId="77777777"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وأشار ممثل آخر إلى عدم وجود موعد نهائي لتقديم الأطراف معلومات إضافية، على الرغم من أن هذه المعلومات تهدف إلى مساعدة الأفرقة في تحديث تقاريرها لتقديمها إلى الاجتماع الثامن والثلاثين للأطراف.</w:t>
      </w:r>
    </w:p>
    <w:p w14:paraId="5C680D3A" w14:textId="226EE290" w:rsidR="00BF38D2" w:rsidRPr="00C20163"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C20163">
        <w:rPr>
          <w:rFonts w:ascii="Simplified Arabic" w:eastAsia="DengXian" w:hAnsi="Simplified Arabic"/>
          <w:w w:val="104"/>
          <w:sz w:val="24"/>
          <w:szCs w:val="24"/>
          <w:rtl/>
          <w:lang w:val="en-GB"/>
        </w:rPr>
        <w:t xml:space="preserve">ورداً على سؤال من أحد الممثلين، أشارت الرئيسة المشاركة إلى أنه في حين يجري التخلص التدريجي من الاستخدامات المسببة للانبعاثات بموجب بروتوكول مونتريال، لا يزال هناك إنتاج كبير من مركب الكربون الهيدروكلوري فلوري-22 له صلة بالمواد الأولية، مما ينتج عنه توليد </w:t>
      </w:r>
      <w:r w:rsidR="0038097F" w:rsidRPr="00C20163">
        <w:rPr>
          <w:rFonts w:ascii="Simplified Arabic" w:eastAsia="DengXian" w:hAnsi="Simplified Arabic"/>
          <w:w w:val="104"/>
          <w:sz w:val="24"/>
          <w:szCs w:val="24"/>
          <w:rtl/>
          <w:lang w:val="en-GB"/>
        </w:rPr>
        <w:t>مركب الكربون الهيدروفلوري-23</w:t>
      </w:r>
      <w:r w:rsidRPr="00C20163">
        <w:rPr>
          <w:rFonts w:ascii="Simplified Arabic" w:eastAsia="DengXian" w:hAnsi="Simplified Arabic"/>
          <w:w w:val="104"/>
          <w:sz w:val="24"/>
          <w:szCs w:val="24"/>
          <w:rtl/>
          <w:lang w:val="en-GB"/>
        </w:rPr>
        <w:t xml:space="preserve"> كمنتج عرضي.</w:t>
      </w:r>
    </w:p>
    <w:p w14:paraId="1ED04C01" w14:textId="77777777"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إنشاء فريق اتصال، تشارك في رئاسته كل من هايدي ستوكهاوس (ألمانيا) وليزلي سميث (غرينادا)، لمواصلة مناقشة مشروع المقرر.</w:t>
      </w:r>
    </w:p>
    <w:p w14:paraId="3800855A" w14:textId="1CAAA14A" w:rsidR="00BF38D2" w:rsidRPr="0081261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وفي وقت لاحق، أفاد الرئيس المشارك لفريق الاتصال بأن فريق الاتصال قد توصل إلى اتفاق على مشروع مقرر بشأن انبعاثات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لكي تنظر فيه الأطراف. </w:t>
      </w:r>
    </w:p>
    <w:p w14:paraId="07089003" w14:textId="77777777" w:rsidR="00BF38D2" w:rsidRPr="00EE7CE2" w:rsidRDefault="00BF38D2"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EE7CE2">
        <w:rPr>
          <w:rFonts w:ascii="Simplified Arabic" w:eastAsia="DengXian" w:hAnsi="Simplified Arabic"/>
          <w:w w:val="107"/>
          <w:sz w:val="24"/>
          <w:szCs w:val="24"/>
          <w:rtl/>
          <w:lang w:val="en-GB"/>
        </w:rPr>
        <w:t xml:space="preserve">ووافقت الأطراف على إحالة مشروع المقرر لمواصلة النظر فيه واعتماده إن أمكن أثناء الجزء الرفيع المستوى. </w:t>
      </w:r>
    </w:p>
    <w:p w14:paraId="3E6960A4" w14:textId="77777777" w:rsidR="00C57DC0" w:rsidRPr="00EE7CE2" w:rsidRDefault="00C57DC0" w:rsidP="00EE7CE2">
      <w:pPr>
        <w:keepNext/>
        <w:tabs>
          <w:tab w:val="clear" w:pos="1247"/>
          <w:tab w:val="clear" w:pos="1814"/>
          <w:tab w:val="clear" w:pos="2381"/>
          <w:tab w:val="clear" w:pos="2948"/>
          <w:tab w:val="clear" w:pos="3515"/>
        </w:tabs>
        <w:bidi/>
        <w:spacing w:after="120" w:line="360" w:lineRule="exact"/>
        <w:ind w:left="1134" w:hanging="850"/>
        <w:jc w:val="lowKashida"/>
        <w:textDirection w:val="tbRlV"/>
        <w:rPr>
          <w:rFonts w:ascii="Simplified Arabic" w:eastAsia="Times New Roman" w:hAnsi="Simplified Arabic" w:hint="default"/>
          <w:b/>
          <w:bCs/>
          <w:w w:val="104"/>
          <w:sz w:val="26"/>
          <w:szCs w:val="26"/>
          <w:lang w:val="ar-SA" w:eastAsia="zh-TW" w:bidi="ar-EG"/>
        </w:rPr>
      </w:pPr>
      <w:r w:rsidRPr="00EE7CE2">
        <w:rPr>
          <w:rFonts w:ascii="Simplified Arabic" w:eastAsia="Times New Roman" w:hAnsi="Simplified Arabic" w:hint="default"/>
          <w:b/>
          <w:bCs/>
          <w:w w:val="104"/>
          <w:sz w:val="26"/>
          <w:szCs w:val="26"/>
          <w:rtl/>
          <w:lang w:val="ar-SA" w:eastAsia="zh-TW"/>
        </w:rPr>
        <w:lastRenderedPageBreak/>
        <w:t>سادساً-</w:t>
      </w:r>
      <w:r w:rsidRPr="00EE7CE2">
        <w:rPr>
          <w:rFonts w:ascii="Simplified Arabic" w:eastAsia="Times New Roman" w:hAnsi="Simplified Arabic" w:hint="default"/>
          <w:b/>
          <w:bCs/>
          <w:w w:val="104"/>
          <w:sz w:val="26"/>
          <w:szCs w:val="26"/>
          <w:rtl/>
          <w:lang w:val="ar-SA" w:eastAsia="zh-TW"/>
        </w:rPr>
        <w:tab/>
        <w:t>تعزيز الرصد الإقليمي في الغلاف الجوي للمواد الخاضعة للرقابة بموجب بروتوكول مونتريال (المقرر 36/1</w:t>
      </w:r>
      <w:r w:rsidRPr="00EE7CE2">
        <w:rPr>
          <w:rFonts w:ascii="Simplified Arabic" w:eastAsia="Times New Roman" w:hAnsi="Simplified Arabic" w:hint="default"/>
          <w:b/>
          <w:bCs/>
          <w:w w:val="104"/>
          <w:sz w:val="26"/>
          <w:szCs w:val="26"/>
          <w:rtl/>
          <w:lang w:val="ar-SA" w:eastAsia="zh-TW" w:bidi="ar-EG"/>
        </w:rPr>
        <w:t>)</w:t>
      </w:r>
    </w:p>
    <w:p w14:paraId="6BAD5775" w14:textId="539153B0"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عند النظر في هذا البند، كان معروضاً على الأطراف الفقرات من 37 إلى 43 من مذكرة الأمانة بشأن مسائل معروضة على الاجتماع السابع والثلاثين للأطراف في بروتوكول مونتريال</w:t>
      </w:r>
      <w:r w:rsidR="00592EB8" w:rsidRPr="00812612">
        <w:rPr>
          <w:rFonts w:ascii="Simplified Arabic" w:eastAsia="DengXian" w:hAnsi="Simplified Arabic" w:hint="default"/>
          <w:sz w:val="24"/>
          <w:szCs w:val="24"/>
          <w:rtl/>
          <w:lang w:val="en-GB"/>
        </w:rPr>
        <w:t xml:space="preserve"> لمناقشتها ومعلومات للاطلاع عليها</w:t>
      </w:r>
      <w:r w:rsidRPr="00812612">
        <w:rPr>
          <w:rFonts w:ascii="Simplified Arabic" w:eastAsia="DengXian" w:hAnsi="Simplified Arabic" w:hint="default"/>
          <w:sz w:val="24"/>
          <w:szCs w:val="24"/>
          <w:rtl/>
          <w:lang w:val="en-GB"/>
        </w:rPr>
        <w:t xml:space="preserve"> </w:t>
      </w:r>
      <w:r w:rsidRPr="003365C1">
        <w:rPr>
          <w:rFonts w:eastAsia="DengXian" w:cs="Times New Roman" w:hint="default"/>
          <w:sz w:val="22"/>
          <w:szCs w:val="22"/>
          <w:rtl/>
          <w:lang w:val="en-GB"/>
        </w:rPr>
        <w:t>(</w:t>
      </w:r>
      <w:r w:rsidRPr="003365C1">
        <w:rPr>
          <w:rFonts w:eastAsia="DengXian" w:cs="Times New Roman" w:hint="default"/>
          <w:sz w:val="22"/>
          <w:szCs w:val="22"/>
          <w:lang w:val="en-GB"/>
        </w:rPr>
        <w:t>UNEP/OzL.Pro.37/2</w:t>
      </w:r>
      <w:r w:rsidRPr="003365C1">
        <w:rPr>
          <w:rFonts w:eastAsia="DengXian" w:cs="Times New Roman" w:hint="default"/>
          <w:sz w:val="22"/>
          <w:szCs w:val="22"/>
          <w:rtl/>
          <w:lang w:val="en-GB"/>
        </w:rPr>
        <w:t>)</w:t>
      </w:r>
      <w:r w:rsidRPr="00812612">
        <w:rPr>
          <w:rFonts w:ascii="Simplified Arabic" w:eastAsia="DengXian" w:hAnsi="Simplified Arabic" w:hint="default"/>
          <w:sz w:val="24"/>
          <w:szCs w:val="24"/>
          <w:rtl/>
          <w:lang w:val="en-GB"/>
        </w:rPr>
        <w:t xml:space="preserve">، والفقرات من 20 إلى 60 من الإضافة لتلك المذكرة </w:t>
      </w:r>
      <w:r w:rsidRPr="003365C1">
        <w:rPr>
          <w:rFonts w:eastAsia="DengXian" w:cs="Times New Roman" w:hint="default"/>
          <w:sz w:val="22"/>
          <w:szCs w:val="22"/>
          <w:rtl/>
          <w:lang w:val="en-GB"/>
        </w:rPr>
        <w:t>(</w:t>
      </w:r>
      <w:r w:rsidRPr="003365C1">
        <w:rPr>
          <w:rFonts w:eastAsia="DengXian" w:cs="Times New Roman" w:hint="default"/>
          <w:sz w:val="22"/>
          <w:szCs w:val="22"/>
          <w:lang w:val="en-GB"/>
        </w:rPr>
        <w:t>UNEP/OzL.Pro.37/2/Add.1</w:t>
      </w:r>
      <w:r w:rsidRPr="003365C1">
        <w:rPr>
          <w:rFonts w:eastAsia="DengXian" w:cs="Times New Roman" w:hint="default"/>
          <w:sz w:val="22"/>
          <w:szCs w:val="22"/>
          <w:rtl/>
          <w:lang w:val="en-GB"/>
        </w:rPr>
        <w:t>)</w:t>
      </w:r>
      <w:r w:rsidRPr="00812612">
        <w:rPr>
          <w:rFonts w:ascii="Simplified Arabic" w:eastAsia="DengXian" w:hAnsi="Simplified Arabic" w:hint="default"/>
          <w:sz w:val="24"/>
          <w:szCs w:val="24"/>
          <w:rtl/>
          <w:lang w:val="en-GB"/>
        </w:rPr>
        <w:t xml:space="preserve">، ومذكرة من الأمانة بشأن تحديثات تقديرات التكاليف المرتبطة بتعزيز الرصد الإقليمي في الغلاف الجوي للمواد الخاضعة للرقابة بموجب بروتوكول مونتريال </w:t>
      </w:r>
      <w:r w:rsidRPr="003365C1">
        <w:rPr>
          <w:rFonts w:eastAsia="DengXian" w:cs="Times New Roman" w:hint="default"/>
          <w:sz w:val="22"/>
          <w:szCs w:val="22"/>
          <w:rtl/>
          <w:lang w:val="en-GB"/>
        </w:rPr>
        <w:t>(</w:t>
      </w:r>
      <w:r w:rsidRPr="003365C1">
        <w:rPr>
          <w:rFonts w:eastAsia="DengXian" w:cs="Times New Roman" w:hint="default"/>
          <w:sz w:val="22"/>
          <w:szCs w:val="22"/>
          <w:lang w:val="en-GB"/>
        </w:rPr>
        <w:t>UNEP/OzL.Pro.37/INF/6</w:t>
      </w:r>
      <w:r w:rsidRPr="003365C1">
        <w:rPr>
          <w:rFonts w:eastAsia="DengXian" w:cs="Times New Roman" w:hint="default"/>
          <w:sz w:val="22"/>
          <w:szCs w:val="22"/>
          <w:rtl/>
          <w:lang w:val="en-GB"/>
        </w:rPr>
        <w:t>)</w:t>
      </w:r>
      <w:r w:rsidRPr="00812612">
        <w:rPr>
          <w:rFonts w:ascii="Simplified Arabic" w:eastAsia="DengXian" w:hAnsi="Simplified Arabic" w:hint="default"/>
          <w:sz w:val="24"/>
          <w:szCs w:val="24"/>
          <w:rtl/>
          <w:lang w:val="en-GB"/>
        </w:rPr>
        <w:t xml:space="preserve">، والفقرات من 154 إلى 164 من الفرع السادس من تقرير الاجتماع السابع والأربعين للفريق العامل المفتوح العضوية للأطراف في بروتوكول مونتريال بشأن المواد المستنفدة لطبقة الأوزون </w:t>
      </w:r>
      <w:r w:rsidRPr="003365C1">
        <w:rPr>
          <w:rFonts w:eastAsia="DengXian" w:cs="Times New Roman" w:hint="default"/>
          <w:sz w:val="22"/>
          <w:szCs w:val="22"/>
          <w:rtl/>
          <w:lang w:val="en-GB"/>
        </w:rPr>
        <w:t>(</w:t>
      </w:r>
      <w:r w:rsidRPr="003365C1">
        <w:rPr>
          <w:rFonts w:eastAsia="DengXian" w:cs="Times New Roman" w:hint="default"/>
          <w:sz w:val="22"/>
          <w:szCs w:val="22"/>
          <w:lang w:val="en-GB"/>
        </w:rPr>
        <w:t>UNEP/OzL.Pro.WG.1/47/6</w:t>
      </w:r>
      <w:r w:rsidRPr="003365C1">
        <w:rPr>
          <w:rFonts w:eastAsia="DengXian" w:cs="Times New Roman" w:hint="default"/>
          <w:sz w:val="22"/>
          <w:szCs w:val="22"/>
          <w:rtl/>
          <w:lang w:val="en-GB"/>
        </w:rPr>
        <w:t>)</w:t>
      </w:r>
      <w:r w:rsidRPr="00812612">
        <w:rPr>
          <w:rFonts w:ascii="Simplified Arabic" w:eastAsia="DengXian" w:hAnsi="Simplified Arabic" w:hint="default"/>
          <w:sz w:val="24"/>
          <w:szCs w:val="24"/>
          <w:rtl/>
          <w:lang w:val="en-GB"/>
        </w:rPr>
        <w:t xml:space="preserve">، والفقرات من 54 إلى 63 من الإضافة الملحقة بمذكرة الأمانة بشأن مسائل </w:t>
      </w:r>
      <w:r w:rsidR="00721256" w:rsidRPr="00812612">
        <w:rPr>
          <w:rFonts w:ascii="Simplified Arabic" w:eastAsia="DengXian" w:hAnsi="Simplified Arabic" w:hint="default"/>
          <w:sz w:val="24"/>
          <w:szCs w:val="24"/>
          <w:rtl/>
          <w:lang w:val="en-GB"/>
        </w:rPr>
        <w:t>معروضة</w:t>
      </w:r>
      <w:r w:rsidRPr="00812612">
        <w:rPr>
          <w:rFonts w:ascii="Simplified Arabic" w:eastAsia="DengXian" w:hAnsi="Simplified Arabic" w:hint="default"/>
          <w:sz w:val="24"/>
          <w:szCs w:val="24"/>
          <w:rtl/>
          <w:lang w:val="en-GB"/>
        </w:rPr>
        <w:t xml:space="preserve"> على الفريق العامل المفتوح العضوية للأطراف في بروتوكول مونتريال في اجتماعه السادس والأربعين لمناقشتها ومعلومات للاطلاع عليها </w:t>
      </w:r>
      <w:r w:rsidRPr="003365C1">
        <w:rPr>
          <w:rFonts w:eastAsia="DengXian" w:cs="Times New Roman" w:hint="default"/>
          <w:sz w:val="22"/>
          <w:szCs w:val="22"/>
          <w:rtl/>
          <w:lang w:val="en-GB"/>
        </w:rPr>
        <w:t>(</w:t>
      </w:r>
      <w:r w:rsidRPr="003365C1">
        <w:rPr>
          <w:rFonts w:eastAsia="DengXian" w:cs="Times New Roman" w:hint="default"/>
          <w:sz w:val="22"/>
          <w:szCs w:val="22"/>
          <w:lang w:val="en-GB"/>
        </w:rPr>
        <w:t>UNEP/OzL.Pro.WG.1/47/2/Add.1</w:t>
      </w:r>
      <w:r w:rsidRPr="003365C1">
        <w:rPr>
          <w:rFonts w:eastAsia="DengXian" w:cs="Times New Roman" w:hint="default"/>
          <w:sz w:val="22"/>
          <w:szCs w:val="22"/>
          <w:rtl/>
          <w:lang w:val="en-GB"/>
        </w:rPr>
        <w:t>)</w:t>
      </w:r>
      <w:r w:rsidRPr="00812612">
        <w:rPr>
          <w:rFonts w:ascii="Simplified Arabic" w:eastAsia="DengXian" w:hAnsi="Simplified Arabic" w:hint="default"/>
          <w:sz w:val="24"/>
          <w:szCs w:val="24"/>
          <w:rtl/>
          <w:lang w:val="en-GB"/>
        </w:rPr>
        <w:t>.</w:t>
      </w:r>
    </w:p>
    <w:p w14:paraId="74010236" w14:textId="73D1E883"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وأشار الرئيس المشارك، لدى تقديمه لهذا البند، إلى أنه طُلب إلى الأمانة، في المقرر 36/1، أن تقدم تقريراً خلال الاجتماع الحالي عن التقدم المحرز وأي نتائج لتقييم مدى ملاءمة المواقع المحتملة لرصد الانبعاثات على الصعيد الإقليمي من المواد الخاضعة للرقابة لكي تستعرضها الأطراف، وأن تقدم أي تحديثات فيما يتعلق بتقديرات التكاليف وخيارات التمويل الطويل الأجل المرتبطة برصد الغلاف الجوي. وفي الاجتماع السابع والأربعين للفريق العامل المفتوح العضوية، قدمت الأمانة </w:t>
      </w:r>
      <w:r w:rsidR="002B57B1" w:rsidRPr="00812612">
        <w:rPr>
          <w:rFonts w:ascii="Simplified Arabic" w:eastAsia="DengXian" w:hAnsi="Simplified Arabic"/>
          <w:sz w:val="24"/>
          <w:szCs w:val="24"/>
          <w:rtl/>
          <w:lang w:val="en-GB"/>
        </w:rPr>
        <w:t>وال</w:t>
      </w:r>
      <w:r w:rsidRPr="00812612">
        <w:rPr>
          <w:rFonts w:ascii="Simplified Arabic" w:eastAsia="DengXian" w:hAnsi="Simplified Arabic" w:hint="default"/>
          <w:sz w:val="24"/>
          <w:szCs w:val="24"/>
          <w:rtl/>
          <w:lang w:val="en-GB"/>
        </w:rPr>
        <w:t>لجنة الاستشارية للصندوق الاستئماني العام لاتفاقية فيينا تقريراً عن التقدم المحرز فيما يتعلق بتقييم مواقع الرصد المحتملة. وعقب المناقشات التي دارت حول هذه المسألة، طلبت الأطراف إعداد استراتيجية توضح بالتفصيل الأنشطة المضطلع بها في إطار مختلف مصادر التمويل وتوضيح كيفية تكامل تلك الأنشطة مع بعضها البعض من أجل الرصد الإقليمي في الغلاف الجوي.</w:t>
      </w:r>
    </w:p>
    <w:p w14:paraId="65BEC23C" w14:textId="79E10130" w:rsidR="00C57DC0" w:rsidRPr="00C20163"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2"/>
          <w:sz w:val="24"/>
          <w:szCs w:val="24"/>
          <w:lang w:val="en-GB"/>
        </w:rPr>
      </w:pPr>
      <w:r w:rsidRPr="00C20163">
        <w:rPr>
          <w:rFonts w:ascii="Simplified Arabic" w:eastAsia="DengXian" w:hAnsi="Simplified Arabic" w:hint="default"/>
          <w:w w:val="102"/>
          <w:sz w:val="24"/>
          <w:szCs w:val="24"/>
          <w:rtl/>
          <w:lang w:val="en-GB"/>
        </w:rPr>
        <w:t xml:space="preserve">وعرض كل من أ. ر. رافيشانكارا، </w:t>
      </w:r>
      <w:r w:rsidR="002C6D90" w:rsidRPr="00C20163">
        <w:rPr>
          <w:rFonts w:ascii="Simplified Arabic" w:eastAsia="DengXian" w:hAnsi="Simplified Arabic"/>
          <w:w w:val="102"/>
          <w:sz w:val="24"/>
          <w:szCs w:val="24"/>
          <w:rtl/>
          <w:lang w:val="en-GB"/>
        </w:rPr>
        <w:t>أحد</w:t>
      </w:r>
      <w:r w:rsidR="007B1C24" w:rsidRPr="00C20163">
        <w:rPr>
          <w:rFonts w:ascii="Simplified Arabic" w:eastAsia="DengXian" w:hAnsi="Simplified Arabic"/>
          <w:w w:val="102"/>
          <w:sz w:val="24"/>
          <w:szCs w:val="24"/>
          <w:rtl/>
          <w:lang w:val="en-GB"/>
        </w:rPr>
        <w:t xml:space="preserve"> الرؤساء</w:t>
      </w:r>
      <w:r w:rsidRPr="00C20163">
        <w:rPr>
          <w:rFonts w:ascii="Simplified Arabic" w:eastAsia="DengXian" w:hAnsi="Simplified Arabic" w:hint="default"/>
          <w:w w:val="102"/>
          <w:sz w:val="24"/>
          <w:szCs w:val="24"/>
          <w:rtl/>
          <w:lang w:val="en-GB"/>
        </w:rPr>
        <w:t xml:space="preserve"> المشارك</w:t>
      </w:r>
      <w:r w:rsidR="007B1C24" w:rsidRPr="00C20163">
        <w:rPr>
          <w:rFonts w:ascii="Simplified Arabic" w:eastAsia="DengXian" w:hAnsi="Simplified Arabic"/>
          <w:w w:val="102"/>
          <w:sz w:val="24"/>
          <w:szCs w:val="24"/>
          <w:rtl/>
          <w:lang w:val="en-GB"/>
        </w:rPr>
        <w:t>ين</w:t>
      </w:r>
      <w:r w:rsidRPr="00C20163">
        <w:rPr>
          <w:rFonts w:ascii="Simplified Arabic" w:eastAsia="DengXian" w:hAnsi="Simplified Arabic" w:hint="default"/>
          <w:w w:val="102"/>
          <w:sz w:val="24"/>
          <w:szCs w:val="24"/>
          <w:rtl/>
          <w:lang w:val="en-GB"/>
        </w:rPr>
        <w:t xml:space="preserve"> للجنة الاستشارية، وصوفيا ميلونا، ممثلة الأمانة في اللجنة الاستشارية، </w:t>
      </w:r>
      <w:r w:rsidR="002C1FF8" w:rsidRPr="00C20163">
        <w:rPr>
          <w:rFonts w:ascii="Simplified Arabic" w:eastAsia="DengXian" w:hAnsi="Simplified Arabic"/>
          <w:w w:val="102"/>
          <w:sz w:val="24"/>
          <w:szCs w:val="24"/>
          <w:rtl/>
          <w:lang w:val="en-GB"/>
        </w:rPr>
        <w:t>ا</w:t>
      </w:r>
      <w:r w:rsidRPr="00C20163">
        <w:rPr>
          <w:rFonts w:ascii="Simplified Arabic" w:eastAsia="DengXian" w:hAnsi="Simplified Arabic" w:hint="default"/>
          <w:w w:val="102"/>
          <w:sz w:val="24"/>
          <w:szCs w:val="24"/>
          <w:rtl/>
          <w:lang w:val="en-GB"/>
        </w:rPr>
        <w:t xml:space="preserve">لتقرير </w:t>
      </w:r>
      <w:r w:rsidR="002C1FF8" w:rsidRPr="00C20163">
        <w:rPr>
          <w:rFonts w:ascii="Simplified Arabic" w:eastAsia="DengXian" w:hAnsi="Simplified Arabic"/>
          <w:w w:val="102"/>
          <w:sz w:val="24"/>
          <w:szCs w:val="24"/>
          <w:rtl/>
          <w:lang w:val="en-GB"/>
        </w:rPr>
        <w:t xml:space="preserve">النهائي </w:t>
      </w:r>
      <w:r w:rsidRPr="00C20163">
        <w:rPr>
          <w:rFonts w:ascii="Simplified Arabic" w:eastAsia="DengXian" w:hAnsi="Simplified Arabic" w:hint="default"/>
          <w:w w:val="102"/>
          <w:sz w:val="24"/>
          <w:szCs w:val="24"/>
          <w:rtl/>
          <w:lang w:val="en-GB"/>
        </w:rPr>
        <w:t>عن التقدم المحرز في تنفيذ المقرر 36/1.</w:t>
      </w:r>
      <w:r w:rsidR="009378B3" w:rsidRPr="00C20163">
        <w:rPr>
          <w:rFonts w:ascii="Simplified Arabic" w:eastAsia="DengXian" w:hAnsi="Simplified Arabic"/>
          <w:w w:val="102"/>
          <w:sz w:val="24"/>
          <w:szCs w:val="24"/>
          <w:rtl/>
          <w:lang w:val="en-GB"/>
        </w:rPr>
        <w:t xml:space="preserve"> </w:t>
      </w:r>
      <w:r w:rsidR="0092701E" w:rsidRPr="00C20163">
        <w:rPr>
          <w:rFonts w:ascii="Simplified Arabic" w:eastAsia="DengXian" w:hAnsi="Simplified Arabic"/>
          <w:w w:val="102"/>
          <w:sz w:val="24"/>
          <w:szCs w:val="24"/>
          <w:rtl/>
          <w:lang w:val="en-GB"/>
        </w:rPr>
        <w:t xml:space="preserve">ولَخصت العروض التقدم الذي أحرزته اللجنة في تقييم مدى ملاءمة المواقع المحتملة لرصد الانبعاثات الإقليمية من المواد الخاضعة للرقابة، بما في ذلك النتائج الرئيسية للمشروع التجريبي الذي نُفِّذ في جزيرة بولا ودراستين علميتين، فضلاً عن آخر المستجدات المتعلقة بتقديرات التكاليف المرتبطة بتعزيز هذا الرصد، على النحو المبين في الوثيقتين </w:t>
      </w:r>
      <w:r w:rsidR="0092701E" w:rsidRPr="00C20163">
        <w:rPr>
          <w:rFonts w:eastAsia="DengXian" w:cs="Times New Roman"/>
          <w:w w:val="102"/>
          <w:sz w:val="22"/>
          <w:szCs w:val="22"/>
          <w:lang w:val="en-GB"/>
        </w:rPr>
        <w:t>UNEP/OzL.Pro.37/2/Add.1</w:t>
      </w:r>
      <w:r w:rsidR="0092701E" w:rsidRPr="00C20163">
        <w:rPr>
          <w:rFonts w:ascii="Simplified Arabic" w:eastAsia="DengXian" w:hAnsi="Simplified Arabic"/>
          <w:w w:val="102"/>
          <w:sz w:val="24"/>
          <w:szCs w:val="24"/>
          <w:rtl/>
          <w:lang w:val="en-GB"/>
        </w:rPr>
        <w:t xml:space="preserve"> و</w:t>
      </w:r>
      <w:r w:rsidR="0092701E" w:rsidRPr="00C20163">
        <w:rPr>
          <w:rFonts w:eastAsia="DengXian" w:cs="Times New Roman"/>
          <w:w w:val="102"/>
          <w:sz w:val="22"/>
          <w:szCs w:val="22"/>
          <w:rtl/>
          <w:lang w:val="en-GB"/>
        </w:rPr>
        <w:t>UNEP/OzL.Pro.37/INF/6.</w:t>
      </w:r>
      <w:r w:rsidR="0092701E" w:rsidRPr="00C20163">
        <w:rPr>
          <w:rFonts w:ascii="Simplified Arabic" w:eastAsia="DengXian" w:hAnsi="Simplified Arabic"/>
          <w:w w:val="102"/>
          <w:sz w:val="24"/>
          <w:szCs w:val="24"/>
          <w:rtl/>
          <w:lang w:val="en-GB"/>
        </w:rPr>
        <w:t xml:space="preserve"> </w:t>
      </w:r>
    </w:p>
    <w:p w14:paraId="011422B4" w14:textId="77777777" w:rsidR="001B06CA" w:rsidRPr="00812612" w:rsidRDefault="001B06CA"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وقدم السيد رافيشانكارا قائمة تضم 10 مناطق ومواقع محتملة لإنشاء محطات رصد، اختارتها اللجنة الاستشارية في اجتماعها التاسع عشر الذي عقد عبر الإنترنت في 2 تشرين الأول/أكتوبر 2025. وتضمنت القائمة المناطق والمواقع الخمس التالية التي أعطتها اللجنة الأولوية استناداً إلى المعلومات المتعلقة بقوة الانبعاثات، وتجارب محاكاة نظام الرصد، فضلاً عن البنية التحتية والخبرة المتاحة: جنوب آسيا (الهند/بنغلاديش)؛ وجنوب شرق آسيا (فييت نام)؛ والجنوب الأفريقي (بوتسوانا/جنوب أفريقيا)؛ والشرق الأوسط (المملكة العربية السعودية)؛ ووسط وجنوب أمريكا الجنوبية (البرازيل/الأرجنتين). والمناطق الأخرى المحتملة التي درستها اللجنة ولكن تُعطَ أولوية بعد هي: شمال أفريقيا (الجزائر)؛ وأمريكا الشمالية (المكسيك)؛ وشمال أمريكا الجنوبية (إكوادور)؛ وأوروبا الشرقية (الاتحاد الروسي)؛ وغرب أفريقيا (نيجيريا). وأفاد الرئيس المشارك بأن اللجنة اتفقت أيضا على نهج يتمثل في أخذ عينات قارورية أولية لمدة سنتين في الموقع المحدد للتأكد من ملاءمته قبل الشروع في الرصد على المدى الطويل.</w:t>
      </w:r>
    </w:p>
    <w:p w14:paraId="622E51EF" w14:textId="4D3AB1DA"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وعقب تقديم العرض، ردّ السيد رافيشانكارا والسيدة ميلونا على أسئلة الممثلين وتعليقاتهم.</w:t>
      </w:r>
    </w:p>
    <w:p w14:paraId="260A2B5F" w14:textId="1EB2E262"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lastRenderedPageBreak/>
        <w:t>ورداً على سؤال بشأن عملية اختيار المناطق التي يمكن أن تقع فيها محطات الرصد في المستقبل، قال السيد رافيشانكارا إن الأولوية أعطيت لتلك المناطق التي تسجل فيها الانبعاثات الحالية أعلى مستوياتها. و</w:t>
      </w:r>
      <w:r w:rsidR="00B3103C" w:rsidRPr="00812612">
        <w:rPr>
          <w:rFonts w:ascii="Simplified Arabic" w:eastAsia="DengXian" w:hAnsi="Simplified Arabic"/>
          <w:sz w:val="24"/>
          <w:szCs w:val="24"/>
          <w:rtl/>
          <w:lang w:val="en-GB"/>
        </w:rPr>
        <w:t>ي</w:t>
      </w:r>
      <w:r w:rsidRPr="00812612">
        <w:rPr>
          <w:rFonts w:ascii="Simplified Arabic" w:eastAsia="DengXian" w:hAnsi="Simplified Arabic" w:hint="default"/>
          <w:sz w:val="24"/>
          <w:szCs w:val="24"/>
          <w:rtl/>
          <w:lang w:val="en-GB"/>
        </w:rPr>
        <w:t xml:space="preserve">عد </w:t>
      </w:r>
      <w:r w:rsidR="00B3103C" w:rsidRPr="00812612">
        <w:rPr>
          <w:rFonts w:ascii="Simplified Arabic" w:eastAsia="DengXian" w:hAnsi="Simplified Arabic"/>
          <w:sz w:val="24"/>
          <w:szCs w:val="24"/>
          <w:rtl/>
          <w:lang w:val="en-GB"/>
        </w:rPr>
        <w:t>توفر</w:t>
      </w:r>
      <w:r w:rsidRPr="00812612">
        <w:rPr>
          <w:rFonts w:ascii="Simplified Arabic" w:eastAsia="DengXian" w:hAnsi="Simplified Arabic" w:hint="default"/>
          <w:sz w:val="24"/>
          <w:szCs w:val="24"/>
          <w:rtl/>
          <w:lang w:val="en-GB"/>
        </w:rPr>
        <w:t xml:space="preserve"> البنى التحتية أحد الاعتبارات المهمة- فكلما زاد التوافر الأولي للبنى التحتية، انخفضت التكاليف اللازمة لبدء برنامج الرصد. وسيكون توفر برج مقاوم مناسب، على سبيل المثال، مفيداً للغاية. وفي إطار النهج التدريجي أو المرحلي الذي اعتُمد للبرنامج، سيتم أخذ العينات بالقارورة في المواقع المختارة في البداية </w:t>
      </w:r>
      <w:r w:rsidR="008D2718" w:rsidRPr="00812612">
        <w:rPr>
          <w:rFonts w:ascii="Simplified Arabic" w:eastAsia="DengXian" w:hAnsi="Simplified Arabic"/>
          <w:sz w:val="24"/>
          <w:szCs w:val="24"/>
          <w:rtl/>
          <w:lang w:val="en-GB"/>
        </w:rPr>
        <w:t xml:space="preserve">لجمع </w:t>
      </w:r>
      <w:r w:rsidR="004E1069" w:rsidRPr="00812612">
        <w:rPr>
          <w:rFonts w:ascii="Simplified Arabic" w:eastAsia="DengXian" w:hAnsi="Simplified Arabic"/>
          <w:sz w:val="24"/>
          <w:szCs w:val="24"/>
          <w:rtl/>
          <w:lang w:val="en-GB"/>
        </w:rPr>
        <w:t>بيانات لمدة</w:t>
      </w:r>
      <w:r w:rsidRPr="00812612">
        <w:rPr>
          <w:rFonts w:ascii="Simplified Arabic" w:eastAsia="DengXian" w:hAnsi="Simplified Arabic" w:hint="default"/>
          <w:sz w:val="24"/>
          <w:szCs w:val="24"/>
          <w:rtl/>
          <w:lang w:val="en-GB"/>
        </w:rPr>
        <w:t xml:space="preserve"> ستة أشهر </w:t>
      </w:r>
      <w:r w:rsidR="004E1069" w:rsidRPr="00812612">
        <w:rPr>
          <w:rFonts w:ascii="Simplified Arabic" w:eastAsia="DengXian" w:hAnsi="Simplified Arabic"/>
          <w:sz w:val="24"/>
          <w:szCs w:val="24"/>
          <w:rtl/>
          <w:lang w:val="en-GB"/>
        </w:rPr>
        <w:t>في أقل من سنة</w:t>
      </w:r>
      <w:r w:rsidRPr="00812612">
        <w:rPr>
          <w:rFonts w:ascii="Simplified Arabic" w:eastAsia="DengXian" w:hAnsi="Simplified Arabic" w:hint="default"/>
          <w:sz w:val="24"/>
          <w:szCs w:val="24"/>
          <w:rtl/>
          <w:lang w:val="en-GB"/>
        </w:rPr>
        <w:t xml:space="preserve">، وذلك لضمان أن توفر تلك المواقع البيانات المطلوبة. ورداً أيضاً على مسألة المعايير التي أُخذت في الاعتبار عند اختيار المناطق التي ستُنشأ فيها محطات الرصد، قال إن الثغرات بين الحسابات التنازلية والتصاعدية لانبعاثات مواد معيّنة، والتي كان القلق بشأنها أحد الدوافع الرئيسية للبرنامج الحالي لإنشاء محطات الرصد، قد أُخذت في الاعتبار، كما تم النظر في التحديات المحتملة التي قد تواجه بروتوكول مونتريال في المستقبل. ووُضع الموقع الحالي لمحطات المراقبة العالمية للغلاف الجوي في الاعتبار أيضاً. وفيما يتعلق بمسألة ما إذا كان قد تم النظر في عتبة التركيزات </w:t>
      </w:r>
      <w:r w:rsidR="005F3ADE" w:rsidRPr="00812612">
        <w:rPr>
          <w:rFonts w:ascii="Simplified Arabic" w:eastAsia="DengXian" w:hAnsi="Simplified Arabic"/>
          <w:sz w:val="24"/>
          <w:szCs w:val="24"/>
          <w:rtl/>
          <w:lang w:val="en-GB"/>
        </w:rPr>
        <w:t xml:space="preserve">للمواد الخاضعة للرقابة </w:t>
      </w:r>
      <w:r w:rsidRPr="00812612">
        <w:rPr>
          <w:rFonts w:ascii="Simplified Arabic" w:eastAsia="DengXian" w:hAnsi="Simplified Arabic" w:hint="default"/>
          <w:sz w:val="24"/>
          <w:szCs w:val="24"/>
          <w:rtl/>
          <w:lang w:val="en-GB"/>
        </w:rPr>
        <w:t>عند اتخاذ قرار بشأن المناطق، قال إن هذه مسألة صعبة، نظراً للتباين الذي يمكن أن يحدث عند أخذ العينات يومياً أو أسبوعياً. وشدد أيضاً على أهمية تجارب محاكاة نظام الرصد في تحديد مواقع إنشاء محطات لرصد الانبعاثات، وإمكانية إعادة إجراء تلك التجارب لتحديد المواقع بشكل أكثر دقة، على سبيل المثال في المناطق ذات الطوبوغرافيا المتنوعة. ورداً على ملاحظة مفادها أن المقرر 36/1، الذي أنشأ ولاية العمل الحالي، لم يشر إلى مستويات الانبعاثات كمعيار لاختيار الموقع، قال السيد رافيشانكارا إنه في حين أن التغطية العالمية هي الهدف الطويل الأجل، فإنه يتعين الاختيار بين الأماكن التي ينبغي الاستثمار فيها في الخطوات الأولى، وأن استكشاف الأماكن التي ترتفع فيها الانبعاثات يوفر أكبر قدر من الإمكانيات لجمع البيانات المفيدة.</w:t>
      </w:r>
    </w:p>
    <w:p w14:paraId="6F2EA46A" w14:textId="57189BA4"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ورداً على سؤال بشأن المعايير التي يمكن تطبيقها في تحديد ما إذا كان ينبغي اختيار أخذ عينات عالية التردد في الموقع أو أخذ عينات بالقارورة، قال السيد رافيشانكارا إن المسألة ليست واضحة المعالم، حيث يمكن أيضاً أخذ عينات عالية التردد بالقارورة. وكقاعدة عامة، كلما زاد معدل تكرار القياس، زادت دقة نتائج</w:t>
      </w:r>
      <w:r w:rsidR="00A559BF" w:rsidRPr="00812612">
        <w:rPr>
          <w:rFonts w:ascii="Simplified Arabic" w:eastAsia="DengXian" w:hAnsi="Simplified Arabic"/>
          <w:sz w:val="24"/>
          <w:szCs w:val="24"/>
          <w:rtl/>
          <w:lang w:val="en-GB"/>
        </w:rPr>
        <w:t xml:space="preserve"> </w:t>
      </w:r>
      <w:r w:rsidR="00730531" w:rsidRPr="00812612">
        <w:rPr>
          <w:rFonts w:ascii="Simplified Arabic" w:eastAsia="DengXian" w:hAnsi="Simplified Arabic"/>
          <w:sz w:val="24"/>
          <w:szCs w:val="24"/>
          <w:rtl/>
          <w:lang w:val="en-GB"/>
        </w:rPr>
        <w:t>ان</w:t>
      </w:r>
      <w:r w:rsidR="00A559BF" w:rsidRPr="00812612">
        <w:rPr>
          <w:rFonts w:ascii="Simplified Arabic" w:eastAsia="DengXian" w:hAnsi="Simplified Arabic"/>
          <w:sz w:val="24"/>
          <w:szCs w:val="24"/>
          <w:rtl/>
          <w:lang w:val="en-GB"/>
        </w:rPr>
        <w:t>عك</w:t>
      </w:r>
      <w:r w:rsidR="00730531" w:rsidRPr="00812612">
        <w:rPr>
          <w:rFonts w:ascii="Simplified Arabic" w:eastAsia="DengXian" w:hAnsi="Simplified Arabic"/>
          <w:sz w:val="24"/>
          <w:szCs w:val="24"/>
          <w:rtl/>
          <w:lang w:val="en-GB"/>
        </w:rPr>
        <w:t>ا</w:t>
      </w:r>
      <w:r w:rsidR="00A559BF" w:rsidRPr="00812612">
        <w:rPr>
          <w:rFonts w:ascii="Simplified Arabic" w:eastAsia="DengXian" w:hAnsi="Simplified Arabic"/>
          <w:sz w:val="24"/>
          <w:szCs w:val="24"/>
          <w:rtl/>
          <w:lang w:val="en-GB"/>
        </w:rPr>
        <w:t>س الانبعاثات</w:t>
      </w:r>
      <w:r w:rsidRPr="00812612">
        <w:rPr>
          <w:rFonts w:ascii="Simplified Arabic" w:eastAsia="DengXian" w:hAnsi="Simplified Arabic" w:hint="default"/>
          <w:sz w:val="24"/>
          <w:szCs w:val="24"/>
          <w:rtl/>
          <w:lang w:val="en-GB"/>
        </w:rPr>
        <w:t>. وتضمنت كلتا الطريقتين حساب قوة الانبعاثات؛ وكان الفرق الرئيسي هو أنه في حالة المحطة العالية التردد توافرت الأجهزة التحليلية والخبرات في الموقع، بينما بالنسبة لأخذ العينات بالقارورة كانت المرافق التحليلية موجودة في مختبرات قائمة</w:t>
      </w:r>
      <w:r w:rsidR="00BA2A42" w:rsidRPr="00812612">
        <w:rPr>
          <w:rFonts w:ascii="Simplified Arabic" w:eastAsia="DengXian" w:hAnsi="Simplified Arabic"/>
          <w:sz w:val="24"/>
          <w:szCs w:val="24"/>
          <w:rtl/>
          <w:lang w:val="en-GB"/>
        </w:rPr>
        <w:t xml:space="preserve"> </w:t>
      </w:r>
      <w:r w:rsidR="00C30A81" w:rsidRPr="00812612">
        <w:rPr>
          <w:rFonts w:ascii="Simplified Arabic" w:eastAsia="DengXian" w:hAnsi="Simplified Arabic"/>
          <w:sz w:val="24"/>
          <w:szCs w:val="24"/>
          <w:rtl/>
          <w:lang w:val="en-GB"/>
        </w:rPr>
        <w:t>بعيدة عن مواقع أخذ العينات</w:t>
      </w:r>
      <w:r w:rsidRPr="00812612">
        <w:rPr>
          <w:rFonts w:ascii="Simplified Arabic" w:eastAsia="DengXian" w:hAnsi="Simplified Arabic" w:hint="default"/>
          <w:sz w:val="24"/>
          <w:szCs w:val="24"/>
          <w:rtl/>
          <w:lang w:val="en-GB"/>
        </w:rPr>
        <w:t>. وفيما يتعلق بمسألة جودة البيانات، قال إن هناك حاجة إلى عناية فائقة لضمان جودة البيانات، حيث يعتمد تقدير مستويات الانبعاثات على ذلك. واتسمت المشاكل اللوجستية بأهمية بالغة أيضاً- ففي حالة محطة الرصد الموجودة في جزيرة بولا</w:t>
      </w:r>
      <w:r w:rsidR="00B31593" w:rsidRPr="00812612">
        <w:rPr>
          <w:rFonts w:ascii="Simplified Arabic" w:eastAsia="DengXian" w:hAnsi="Simplified Arabic"/>
          <w:sz w:val="24"/>
          <w:szCs w:val="24"/>
          <w:rtl/>
          <w:lang w:val="en-GB"/>
        </w:rPr>
        <w:t xml:space="preserve"> ببنغلاديش</w:t>
      </w:r>
      <w:r w:rsidRPr="00812612">
        <w:rPr>
          <w:rFonts w:ascii="Simplified Arabic" w:eastAsia="DengXian" w:hAnsi="Simplified Arabic" w:hint="default"/>
          <w:sz w:val="24"/>
          <w:szCs w:val="24"/>
          <w:rtl/>
          <w:lang w:val="en-GB"/>
        </w:rPr>
        <w:t>، على سبيل المثال، كانت بعض النتائج غير دقيقة بسبب حدوث تسرب في إحدى القوارير.</w:t>
      </w:r>
    </w:p>
    <w:p w14:paraId="6B666C98" w14:textId="79B03FD2"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ورداً على سؤال بشأن تمويل برنامج رصد الغلاف الجوي في المستقبل بعد الجدول الزمني المقترح الذي يمتد لخمس سنوات، أبرز السيد رافيشانكارا أهمية المساهمات المحلية العينية، لا سيما في شكل توفير موظفين مهرة يمكنهم أخذ القياسات وتفسير البيانات بدقة. وكان من الممكن </w:t>
      </w:r>
      <w:r w:rsidR="008E77AA" w:rsidRPr="00812612">
        <w:rPr>
          <w:rFonts w:ascii="Simplified Arabic" w:eastAsia="DengXian" w:hAnsi="Simplified Arabic"/>
          <w:sz w:val="24"/>
          <w:szCs w:val="24"/>
          <w:rtl/>
          <w:lang w:val="en-GB"/>
        </w:rPr>
        <w:t xml:space="preserve">أيضاً </w:t>
      </w:r>
      <w:r w:rsidRPr="00812612">
        <w:rPr>
          <w:rFonts w:ascii="Simplified Arabic" w:eastAsia="DengXian" w:hAnsi="Simplified Arabic" w:hint="default"/>
          <w:sz w:val="24"/>
          <w:szCs w:val="24"/>
          <w:rtl/>
          <w:lang w:val="en-GB"/>
        </w:rPr>
        <w:t>تحقيق وفورات كبيرة</w:t>
      </w:r>
      <w:r w:rsidR="008258CF" w:rsidRPr="00812612">
        <w:rPr>
          <w:rFonts w:ascii="Simplified Arabic" w:eastAsia="DengXian" w:hAnsi="Simplified Arabic"/>
          <w:sz w:val="24"/>
          <w:szCs w:val="24"/>
          <w:rtl/>
          <w:lang w:val="en-GB"/>
        </w:rPr>
        <w:t>،</w:t>
      </w:r>
      <w:r w:rsidRPr="00812612">
        <w:rPr>
          <w:rFonts w:ascii="Simplified Arabic" w:eastAsia="DengXian" w:hAnsi="Simplified Arabic" w:hint="default"/>
          <w:sz w:val="24"/>
          <w:szCs w:val="24"/>
          <w:rtl/>
          <w:lang w:val="en-GB"/>
        </w:rPr>
        <w:t xml:space="preserve"> </w:t>
      </w:r>
      <w:r w:rsidR="008258CF" w:rsidRPr="00812612">
        <w:rPr>
          <w:rFonts w:ascii="Simplified Arabic" w:eastAsia="DengXian" w:hAnsi="Simplified Arabic"/>
          <w:sz w:val="24"/>
          <w:szCs w:val="24"/>
          <w:rtl/>
          <w:lang w:val="en-GB"/>
        </w:rPr>
        <w:t>ف</w:t>
      </w:r>
      <w:r w:rsidRPr="00812612">
        <w:rPr>
          <w:rFonts w:ascii="Simplified Arabic" w:eastAsia="DengXian" w:hAnsi="Simplified Arabic" w:hint="default"/>
          <w:sz w:val="24"/>
          <w:szCs w:val="24"/>
          <w:rtl/>
          <w:lang w:val="en-GB"/>
        </w:rPr>
        <w:t xml:space="preserve">على سبيل المثال، أمكن توفير قدر كبير من البيانات التي حُصل عليها من دراسة بنغلاديش بفضل المساهمات العينية التي جرى حشدها. وموّلت الوكالات الوطنية بما في ذلك المختبرات والجامعات، معظم محطات الرصد الحالية. وسينطوي البرنامج الإقليمي المقترح لرصد الغلاف الجوي التابع لبروتوكول مونتريال على نقلة نوعية حيث سيتم وضع جميع البيانات المستمدة من هذه المصادر على أساس مشترك باستخدام نفس مقاييس المعايرة للتمكين من مقارنة البيانات على الصعيد العالمي. وفيما يتعلق بالتكاليف، كان هناك احتمال أن </w:t>
      </w:r>
      <w:r w:rsidR="00A350FD" w:rsidRPr="00812612">
        <w:rPr>
          <w:rFonts w:ascii="Simplified Arabic" w:eastAsia="DengXian" w:hAnsi="Simplified Arabic"/>
          <w:sz w:val="24"/>
          <w:szCs w:val="24"/>
          <w:rtl/>
          <w:lang w:val="en-GB"/>
        </w:rPr>
        <w:t>تتقلص</w:t>
      </w:r>
      <w:r w:rsidRPr="00812612">
        <w:rPr>
          <w:rFonts w:ascii="Simplified Arabic" w:eastAsia="DengXian" w:hAnsi="Simplified Arabic" w:hint="default"/>
          <w:sz w:val="24"/>
          <w:szCs w:val="24"/>
          <w:rtl/>
          <w:lang w:val="en-GB"/>
        </w:rPr>
        <w:t xml:space="preserve"> تكلفة البنى التحتية الرأسمالية </w:t>
      </w:r>
      <w:r w:rsidR="00450341" w:rsidRPr="00812612">
        <w:rPr>
          <w:rFonts w:ascii="Simplified Arabic" w:eastAsia="DengXian" w:hAnsi="Simplified Arabic"/>
          <w:sz w:val="24"/>
          <w:szCs w:val="24"/>
          <w:rtl/>
          <w:lang w:val="en-GB"/>
        </w:rPr>
        <w:t>لأنشطة</w:t>
      </w:r>
      <w:r w:rsidRPr="00812612">
        <w:rPr>
          <w:rFonts w:ascii="Simplified Arabic" w:eastAsia="DengXian" w:hAnsi="Simplified Arabic" w:hint="default"/>
          <w:sz w:val="24"/>
          <w:szCs w:val="24"/>
          <w:rtl/>
          <w:lang w:val="en-GB"/>
        </w:rPr>
        <w:t xml:space="preserve"> الرصد مع بناء المزيد من</w:t>
      </w:r>
      <w:r w:rsidR="00A350FD" w:rsidRPr="00812612">
        <w:rPr>
          <w:rFonts w:ascii="Simplified Arabic" w:eastAsia="DengXian" w:hAnsi="Simplified Arabic"/>
          <w:sz w:val="24"/>
          <w:szCs w:val="24"/>
          <w:rtl/>
          <w:lang w:val="en-GB"/>
        </w:rPr>
        <w:t xml:space="preserve"> المحطات</w:t>
      </w:r>
      <w:r w:rsidRPr="00812612">
        <w:rPr>
          <w:rFonts w:ascii="Simplified Arabic" w:eastAsia="DengXian" w:hAnsi="Simplified Arabic" w:hint="default"/>
          <w:sz w:val="24"/>
          <w:szCs w:val="24"/>
          <w:rtl/>
          <w:lang w:val="en-GB"/>
        </w:rPr>
        <w:t xml:space="preserve"> وإنشاء سوق للأدوات العالية التخصص التي تضمها، مما يؤدي إلى انخفاض الأسعار مع دخول المزيد من الموردين إلى السوق. ورداً على سؤال بشأن التعاون المحتمل مع المؤسسات ذات الصلة لتعزيز الفعالية من حيث التكلفة والكفاءة واستدامة التمويل، قال إنه في الواقع سيكون المزيد من التعاون من هذا النوع موضع ترحيب، نظراً لأن عدداً من البلدان لديها قدرات تقنية كبيرة في مجال </w:t>
      </w:r>
      <w:r w:rsidR="00143240" w:rsidRPr="00812612">
        <w:rPr>
          <w:rFonts w:ascii="Simplified Arabic" w:eastAsia="DengXian" w:hAnsi="Simplified Arabic"/>
          <w:sz w:val="24"/>
          <w:szCs w:val="24"/>
          <w:rtl/>
          <w:lang w:val="en-GB"/>
        </w:rPr>
        <w:t xml:space="preserve">تنفيذ أنشطة </w:t>
      </w:r>
      <w:r w:rsidRPr="00812612">
        <w:rPr>
          <w:rFonts w:ascii="Simplified Arabic" w:eastAsia="DengXian" w:hAnsi="Simplified Arabic" w:hint="default"/>
          <w:sz w:val="24"/>
          <w:szCs w:val="24"/>
          <w:rtl/>
          <w:lang w:val="en-GB"/>
        </w:rPr>
        <w:t xml:space="preserve">رصد الغلاف </w:t>
      </w:r>
      <w:r w:rsidRPr="00812612">
        <w:rPr>
          <w:rFonts w:ascii="Simplified Arabic" w:eastAsia="DengXian" w:hAnsi="Simplified Arabic" w:hint="default"/>
          <w:sz w:val="24"/>
          <w:szCs w:val="24"/>
          <w:rtl/>
          <w:lang w:val="en-GB"/>
        </w:rPr>
        <w:lastRenderedPageBreak/>
        <w:t xml:space="preserve">الجوي، مدعومة بمرافق متطورة. وهناك أيضاً إمكانات للتعاون مع المنظمات غير الحكومية. وسيكون من المفيد التواصل مع كافة البرامج ذات الصلة لتفادي الازدواجية وضمان تحقيق التآزر. وشدد على أن أحد المكونات الرئيسية للبرنامج هو نقل المعارف في كلا الاتجاهين، حيث تتسم المعارف المحلية بأهمية بالغة في تشغيل محطات الرصد. وهناك إمكانات لإيجاد طرائق تدريب مبتكرة، على سبيل المثال </w:t>
      </w:r>
      <w:r w:rsidR="008643D7" w:rsidRPr="00812612">
        <w:rPr>
          <w:rFonts w:ascii="Simplified Arabic" w:eastAsia="DengXian" w:hAnsi="Simplified Arabic"/>
          <w:sz w:val="24"/>
          <w:szCs w:val="24"/>
          <w:rtl/>
          <w:lang w:val="en-GB"/>
        </w:rPr>
        <w:t>إقران</w:t>
      </w:r>
      <w:r w:rsidRPr="00812612">
        <w:rPr>
          <w:rFonts w:ascii="Simplified Arabic" w:eastAsia="DengXian" w:hAnsi="Simplified Arabic" w:hint="default"/>
          <w:sz w:val="24"/>
          <w:szCs w:val="24"/>
          <w:rtl/>
          <w:lang w:val="en-GB"/>
        </w:rPr>
        <w:t xml:space="preserve"> محطة رصد معينة </w:t>
      </w:r>
      <w:r w:rsidR="008643D7" w:rsidRPr="00812612">
        <w:rPr>
          <w:rFonts w:ascii="Simplified Arabic" w:eastAsia="DengXian" w:hAnsi="Simplified Arabic"/>
          <w:sz w:val="24"/>
          <w:szCs w:val="24"/>
          <w:rtl/>
          <w:lang w:val="en-GB"/>
        </w:rPr>
        <w:t>ب</w:t>
      </w:r>
      <w:r w:rsidRPr="00812612">
        <w:rPr>
          <w:rFonts w:ascii="Simplified Arabic" w:eastAsia="DengXian" w:hAnsi="Simplified Arabic" w:hint="default"/>
          <w:sz w:val="24"/>
          <w:szCs w:val="24"/>
          <w:rtl/>
          <w:lang w:val="en-GB"/>
        </w:rPr>
        <w:t>مختبر معين للتدريب أثناء الخدمة. وفيما يتعلق بمسألة ما إذا كان قد تم تحديد الشركاء المناسبين لمواقع الرصد العشرة المحتملة التي تم فحصها حتى الآن، قال إن العملية مازالت جارية، وأن المناقشات جارية مع الشركاء المحتملين.</w:t>
      </w:r>
    </w:p>
    <w:p w14:paraId="5360E73F" w14:textId="04393B12"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وفيما يتعلق بإمكانية التعاون مع مواقع معاهدة الحظر الشامل للتجارب النووية، قال إن هناك فرقاً كبيراً يتمثل في أن </w:t>
      </w:r>
      <w:r w:rsidR="001108C5" w:rsidRPr="00812612">
        <w:rPr>
          <w:rFonts w:ascii="Simplified Arabic" w:eastAsia="DengXian" w:hAnsi="Simplified Arabic"/>
          <w:sz w:val="24"/>
          <w:szCs w:val="24"/>
          <w:rtl/>
          <w:lang w:val="en-GB"/>
        </w:rPr>
        <w:t>المعاهدة</w:t>
      </w:r>
      <w:r w:rsidRPr="00812612">
        <w:rPr>
          <w:rFonts w:ascii="Simplified Arabic" w:eastAsia="DengXian" w:hAnsi="Simplified Arabic" w:hint="default"/>
          <w:sz w:val="24"/>
          <w:szCs w:val="24"/>
          <w:rtl/>
          <w:lang w:val="en-GB"/>
        </w:rPr>
        <w:t xml:space="preserve"> تقوم أساساً بإجراء قياسات على مستوى السطح في حين أن رصد المواد الخاضعة للرقابة بموجب بروتوكول مونتريال يتم في الغلاف الجوي. وبعد أن قلت ذلك، فإن خبراء معاهدة الحظر الشامل للتجارب النووية كانوا متعاونين للغاية في التعاون مع مبادرات بروتوكول مونتريال لرصد الغلاف الجوي.</w:t>
      </w:r>
    </w:p>
    <w:p w14:paraId="4794489C" w14:textId="466ECA57"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ورداً على سؤال بشأن الآثار المناخية المحتملة التي قد يكون لها تأثير على محطات الرصد الجوي الواقعة في المناطق ذات الظواهر الجوية البالغة الشدة مثل الأعاصير، قال السيد رافيشانكارا إن الظواهر الجوية البالغة الشدة يمكن أن تدمر بالفعل أي من محطات الرصد الجوي، وإن تكلفة إقامة برج مقاوم لمثل هذه الظواهر الجوية </w:t>
      </w:r>
      <w:r w:rsidR="009351E6" w:rsidRPr="00812612">
        <w:rPr>
          <w:rFonts w:ascii="Simplified Arabic" w:eastAsia="DengXian" w:hAnsi="Simplified Arabic"/>
          <w:sz w:val="24"/>
          <w:szCs w:val="24"/>
          <w:rtl/>
          <w:lang w:val="en-GB"/>
        </w:rPr>
        <w:t>قد نُظ</w:t>
      </w:r>
      <w:r w:rsidR="003C3755" w:rsidRPr="00812612">
        <w:rPr>
          <w:rFonts w:ascii="Simplified Arabic" w:eastAsia="DengXian" w:hAnsi="Simplified Arabic"/>
          <w:sz w:val="24"/>
          <w:szCs w:val="24"/>
          <w:rtl/>
          <w:lang w:val="en-GB"/>
        </w:rPr>
        <w:t>ِر فيها بالفعل</w:t>
      </w:r>
      <w:r w:rsidRPr="00812612">
        <w:rPr>
          <w:rFonts w:ascii="Simplified Arabic" w:eastAsia="DengXian" w:hAnsi="Simplified Arabic" w:hint="default"/>
          <w:sz w:val="24"/>
          <w:szCs w:val="24"/>
          <w:rtl/>
          <w:lang w:val="en-GB"/>
        </w:rPr>
        <w:t>.</w:t>
      </w:r>
    </w:p>
    <w:p w14:paraId="1EB251A8" w14:textId="69E6218B"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وأجابت السيدة ميلونا على الأسئلة المتعلقة بالجوانب المالية لبرنامج القياس. وفيما يتعلق بالخيارات المختلفة لإنشاء أنظمة لأخذ العينات، قالت إن تلك الخيارات مرتبطة بالتمويل المتاح والمزيج المفضل من أساليب أخذ العينات. وعلى سبيل المثال، فإن منحة الاتحاد الأوروبي المُعلقة للصندوق الاستئماني العام لتمويل الأنشطة الخاصة بالبحوث وعمليات الرصد المنهجية ذات الصلة باتفاقية فيينا يمكن أن تُموّل إنشاء محطة رصد عالية التردد في الموقع ومحطتين لأخذ العينات بالقارورة. ويرد في الوثيقة </w:t>
      </w:r>
      <w:r w:rsidRPr="003365C1">
        <w:rPr>
          <w:rFonts w:eastAsia="DengXian" w:cs="Times New Roman" w:hint="default"/>
          <w:sz w:val="22"/>
          <w:szCs w:val="22"/>
          <w:lang w:val="en-GB"/>
        </w:rPr>
        <w:t>UNEP/OzL.Pro.37/2/Add.1</w:t>
      </w:r>
      <w:r w:rsidRPr="00812612">
        <w:rPr>
          <w:rFonts w:ascii="Simplified Arabic" w:eastAsia="DengXian" w:hAnsi="Simplified Arabic" w:hint="default"/>
          <w:sz w:val="24"/>
          <w:szCs w:val="24"/>
          <w:rtl/>
          <w:lang w:val="en-GB"/>
        </w:rPr>
        <w:t xml:space="preserve"> مزيد من المعلومات عن تقديرات التكاليف لمختلف الخيارات. وفيما يتعلق بمسألة ما إذا كانت تقديرات التكاليف قد أخذت في الحسبان البنى التحتية القائمة، قالت إنه تمت استشارة خبراء في مجال رصد الغلاف الجوي من جميع أنحاء العالم عند بناء النموذج لضمان مراعاة الاختلافات الإقليمية في التكاليف. وفي المرحلة التالية، </w:t>
      </w:r>
      <w:r w:rsidR="00555BDA" w:rsidRPr="00812612">
        <w:rPr>
          <w:rFonts w:ascii="Simplified Arabic" w:eastAsia="DengXian" w:hAnsi="Simplified Arabic"/>
          <w:sz w:val="24"/>
          <w:szCs w:val="24"/>
          <w:rtl/>
          <w:lang w:val="en-GB"/>
        </w:rPr>
        <w:t>ستُجرى</w:t>
      </w:r>
      <w:r w:rsidRPr="00812612">
        <w:rPr>
          <w:rFonts w:ascii="Simplified Arabic" w:eastAsia="DengXian" w:hAnsi="Simplified Arabic" w:hint="default"/>
          <w:sz w:val="24"/>
          <w:szCs w:val="24"/>
          <w:rtl/>
          <w:lang w:val="en-GB"/>
        </w:rPr>
        <w:t xml:space="preserve"> تحقيقات لتحديد البنى التحتية القائمة المتاحة بالقرب من المواقع المحددة وتحديد الأثر على تقديرات تكلفة استخدام تلك البنى التحتية.</w:t>
      </w:r>
    </w:p>
    <w:p w14:paraId="39F34A5C" w14:textId="40FDED20" w:rsidR="00C57DC0" w:rsidRPr="00C20163"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C20163">
        <w:rPr>
          <w:rFonts w:ascii="Simplified Arabic" w:eastAsia="DengXian" w:hAnsi="Simplified Arabic" w:hint="default"/>
          <w:w w:val="104"/>
          <w:sz w:val="24"/>
          <w:szCs w:val="24"/>
          <w:rtl/>
          <w:lang w:val="en-GB"/>
        </w:rPr>
        <w:t>وفيما يتعلق بمسألة الأداة الإلكترونية التفاعلية المقترحة التي يمكن أن تستخدمها الأطراف لتقدير تكاليف إنشاء وتشغيل المحطات في بلدانها، قالت إن ذلك لن ينطوي على أي تكلفة إضافية لأن الاتحاد الأوروبي وافق على السماح باستخدام بعض الأموال المتبقية من المشروع التجريبي الممول من الاتحاد الأوروبي لتطوير الأداة الإلكترونية.</w:t>
      </w:r>
    </w:p>
    <w:p w14:paraId="45788B55" w14:textId="77777777"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وفيما يتعلق بالنطاق الواسع في تكاليف الموظفين المقدمة، قالت السيدة مايلونا إن أحد عوامل هذا التباين هو نوع أخذ العينات؛ وقد ينطوي أخذ العينات بالقارورة، على سبيل المثال، على تكاليف أقل لجمع العينات، في حين أن أخذ عينات عالية التردد في الموقع يتطلب تكاليف أعلى بسبب العون الدائم من قِبل الموظفين المؤهلين تأهيلاً عالياً في محطة الرصد.</w:t>
      </w:r>
    </w:p>
    <w:p w14:paraId="3C860289" w14:textId="687EC162"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وخلال المناقشة التي تلت ذلك، وجه جميع الممثلين الذين تحدثوا الشكر إلى السيد رافيشانكارا والسيدة ميلونا على العرض الذي قدماه، والأمانة واللجنة الاستشارية على إعداد الوثيقة، والاتحاد الأوروبي على توفير التمويل اللازم لإجراء الدراسة التجريبية.</w:t>
      </w:r>
    </w:p>
    <w:p w14:paraId="7C1C269F" w14:textId="5772B880"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وشدد جميع الممثلين الذين تحدثوا على أهمية الرصد الفعال للغلاف الجوي لاستمرار نجاح بروتوكول مونتريال، وسلط أحد الممثلين الضوء على الدروس القيمة المستفادة من المشروع التجريبي في جزيرة بولا. ووجه</w:t>
      </w:r>
      <w:r w:rsidR="00540C21" w:rsidRPr="00812612">
        <w:rPr>
          <w:rFonts w:ascii="Simplified Arabic" w:eastAsia="DengXian" w:hAnsi="Simplified Arabic" w:hint="default"/>
          <w:sz w:val="24"/>
          <w:szCs w:val="24"/>
          <w:rtl/>
          <w:lang w:val="en-GB"/>
        </w:rPr>
        <w:t>ت</w:t>
      </w:r>
      <w:r w:rsidRPr="00812612">
        <w:rPr>
          <w:rFonts w:ascii="Simplified Arabic" w:eastAsia="DengXian" w:hAnsi="Simplified Arabic" w:hint="default"/>
          <w:sz w:val="24"/>
          <w:szCs w:val="24"/>
          <w:rtl/>
          <w:lang w:val="en-GB"/>
        </w:rPr>
        <w:t xml:space="preserve"> </w:t>
      </w:r>
      <w:r w:rsidRPr="00812612">
        <w:rPr>
          <w:rFonts w:ascii="Simplified Arabic" w:eastAsia="DengXian" w:hAnsi="Simplified Arabic" w:hint="default"/>
          <w:sz w:val="24"/>
          <w:szCs w:val="24"/>
          <w:rtl/>
          <w:lang w:val="en-GB"/>
        </w:rPr>
        <w:lastRenderedPageBreak/>
        <w:t>ممثل</w:t>
      </w:r>
      <w:r w:rsidR="00540C21" w:rsidRPr="00812612">
        <w:rPr>
          <w:rFonts w:ascii="Simplified Arabic" w:eastAsia="DengXian" w:hAnsi="Simplified Arabic" w:hint="default"/>
          <w:sz w:val="24"/>
          <w:szCs w:val="24"/>
          <w:rtl/>
          <w:lang w:val="en-GB"/>
        </w:rPr>
        <w:t>ة</w:t>
      </w:r>
      <w:r w:rsidRPr="00812612">
        <w:rPr>
          <w:rFonts w:ascii="Simplified Arabic" w:eastAsia="DengXian" w:hAnsi="Simplified Arabic" w:hint="default"/>
          <w:sz w:val="24"/>
          <w:szCs w:val="24"/>
          <w:rtl/>
          <w:lang w:val="en-GB"/>
        </w:rPr>
        <w:t xml:space="preserve"> </w:t>
      </w:r>
      <w:r w:rsidR="00540C21" w:rsidRPr="00812612">
        <w:rPr>
          <w:rFonts w:ascii="Simplified Arabic" w:eastAsia="DengXian" w:hAnsi="Simplified Arabic" w:hint="default"/>
          <w:sz w:val="24"/>
          <w:szCs w:val="24"/>
          <w:rtl/>
          <w:lang w:val="en-GB"/>
        </w:rPr>
        <w:t>أ</w:t>
      </w:r>
      <w:r w:rsidRPr="00812612">
        <w:rPr>
          <w:rFonts w:ascii="Simplified Arabic" w:eastAsia="DengXian" w:hAnsi="Simplified Arabic" w:hint="default"/>
          <w:sz w:val="24"/>
          <w:szCs w:val="24"/>
          <w:rtl/>
          <w:lang w:val="en-GB"/>
        </w:rPr>
        <w:t>خر</w:t>
      </w:r>
      <w:r w:rsidR="00540C21" w:rsidRPr="00812612">
        <w:rPr>
          <w:rFonts w:ascii="Simplified Arabic" w:eastAsia="DengXian" w:hAnsi="Simplified Arabic" w:hint="default"/>
          <w:sz w:val="24"/>
          <w:szCs w:val="24"/>
          <w:rtl/>
          <w:lang w:val="en-GB"/>
        </w:rPr>
        <w:t>ى</w:t>
      </w:r>
      <w:r w:rsidRPr="00812612">
        <w:rPr>
          <w:rFonts w:ascii="Simplified Arabic" w:eastAsia="DengXian" w:hAnsi="Simplified Arabic" w:hint="default"/>
          <w:sz w:val="24"/>
          <w:szCs w:val="24"/>
          <w:rtl/>
          <w:lang w:val="en-GB"/>
        </w:rPr>
        <w:t xml:space="preserve"> الانتباه إلى الحاجة إلى صياغة استراتيجيات طويلة الأجل، وتحديد المهام ذات الأولوية، وتحديد الأهداف وتأمين الموارد المالية، وكذلك وضع نظم للرصد والتقييم، من أجل توجيه التطوير الشامل لأعمال الرصد بموجب بروتوكول مونتريال. وأعرب بعض الممثلين عن تقديرهم للنهج التدريجي المقترح المكون من أربع خطوات للرصد المبين في الوثيقة </w:t>
      </w:r>
      <w:r w:rsidRPr="003365C1">
        <w:rPr>
          <w:rFonts w:eastAsia="DengXian" w:cs="Times New Roman" w:hint="default"/>
          <w:sz w:val="22"/>
          <w:szCs w:val="22"/>
          <w:rtl/>
          <w:lang w:val="en-GB"/>
        </w:rPr>
        <w:t>UNEP/OzL.Pro.37/INF/6</w:t>
      </w:r>
      <w:r w:rsidRPr="00812612">
        <w:rPr>
          <w:rFonts w:ascii="Simplified Arabic" w:eastAsia="DengXian" w:hAnsi="Simplified Arabic" w:hint="default"/>
          <w:sz w:val="24"/>
          <w:szCs w:val="24"/>
          <w:rtl/>
          <w:lang w:val="en-GB"/>
        </w:rPr>
        <w:t>.</w:t>
      </w:r>
    </w:p>
    <w:p w14:paraId="5F028E55" w14:textId="77777777"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وأبرز أحد الممثلين على وجه الخصوص دور رصد الغلاف الجوي في مراقبة انبعاثات المواد غير الخاضعة للرقابة بموجب بروتوكول مونتريال، بما في ذلك المواد ذات الأعمار القصيرة جداً، والانبعاثات من الاستخدامات المعفاة، مثل المواد الأولية أو تطبيقات الحجر الصحي وتطبيقات ما قبل الشحن، ومن مستودعات المواد والمعدات التي وصلت إلى نهاية عمرها الافتراضي ومن الإنتاج غير القانوني للمواد الخاضعة للرقابة.</w:t>
      </w:r>
    </w:p>
    <w:p w14:paraId="001B345D" w14:textId="12A06047"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وشدد عدة ممثلين على الحاجة إلى دعم تقني ومالي كافٍ من الصندوق المتعدد الأطراف، في شكل نافذة تمويل مخصصة ويمكن التنبؤ بها لضمان التشغيل والصيانة على المدى الطويل. وأعرب بعض الممثلين عن تقديرهم لعمل اللجنة التنفيذية للصندوق المتعدد الأطراف في الاضطلاع بعدد من المشاريع التجريبية</w:t>
      </w:r>
      <w:r w:rsidR="007D69D6" w:rsidRPr="00812612">
        <w:rPr>
          <w:rFonts w:ascii="Simplified Arabic" w:eastAsia="DengXian" w:hAnsi="Simplified Arabic"/>
          <w:sz w:val="24"/>
          <w:szCs w:val="24"/>
          <w:rtl/>
          <w:lang w:val="en-GB"/>
        </w:rPr>
        <w:t xml:space="preserve"> في المستقبل القريب</w:t>
      </w:r>
      <w:r w:rsidRPr="00812612">
        <w:rPr>
          <w:rFonts w:ascii="Simplified Arabic" w:eastAsia="DengXian" w:hAnsi="Simplified Arabic" w:hint="default"/>
          <w:sz w:val="24"/>
          <w:szCs w:val="24"/>
          <w:rtl/>
          <w:lang w:val="en-GB"/>
        </w:rPr>
        <w:t xml:space="preserve"> للرصد الإقليمي للمواد الخاضعة للرقابة في الغلاف الجوي، وقالوا إنهم يتطلعون إلى إجراء المزيد من المناقشات في الاجتماع الثامن والتسعين للجنة. وأعرب ممثل آخر عن تقديره للنهج الخاص بمصادر التمويل الوارد في الوثيقة المقدمة من الأمانة.</w:t>
      </w:r>
    </w:p>
    <w:p w14:paraId="2EB49353" w14:textId="644749CF"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وشدد عدة ممثلين على ضرورة أن يكون التمويل مستداماً، ودعوا إلى مواصلة النظر في هذه المسألة. وأعرب أحد الممثلين عن أمله في أن تتحمل المؤسسة أو البلد المضيف أو أي مؤسسة دولية أخرى تكاليف تشغيل محطات الرصد على المدى الطويل، لكنه قال إنه يدرك أنه في بعض الحالات قد يكون من الضروري تقديم المزيد من الدعم من الصندوق المتعدد الأطراف.</w:t>
      </w:r>
    </w:p>
    <w:p w14:paraId="6084B231" w14:textId="5307FADE"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وقال ممثل الاتحاد الأوروبي إنه مسرور لأن التمويل الذي قدمه الطرف الذي يمثله للمشروع التجريبي الناجح قد ساعد في التوصل إلى نتائج وأساليب منهجية لاستخدامها في المستقبل. وقد تمكن الاتحاد الأوروبي، من خلال برنامجه </w:t>
      </w:r>
      <w:r w:rsidR="00164176" w:rsidRPr="00812612">
        <w:rPr>
          <w:rFonts w:ascii="Simplified Arabic" w:eastAsia="DengXian" w:hAnsi="Simplified Arabic" w:hint="default"/>
          <w:sz w:val="24"/>
          <w:szCs w:val="24"/>
          <w:rtl/>
          <w:lang w:val="en-GB"/>
        </w:rPr>
        <w:t>’</w:t>
      </w:r>
      <w:r w:rsidRPr="00812612">
        <w:rPr>
          <w:rFonts w:ascii="Simplified Arabic" w:eastAsia="DengXian" w:hAnsi="Simplified Arabic" w:hint="default"/>
          <w:sz w:val="24"/>
          <w:szCs w:val="24"/>
          <w:rtl/>
          <w:lang w:val="en-GB"/>
        </w:rPr>
        <w:t>أفق أوروبا</w:t>
      </w:r>
      <w:r w:rsidR="00164176" w:rsidRPr="00812612">
        <w:rPr>
          <w:rFonts w:ascii="Simplified Arabic" w:eastAsia="DengXian" w:hAnsi="Simplified Arabic" w:hint="default"/>
          <w:sz w:val="24"/>
          <w:szCs w:val="24"/>
          <w:rtl/>
          <w:lang w:val="en-GB"/>
        </w:rPr>
        <w:t>‘</w:t>
      </w:r>
      <w:r w:rsidRPr="00812612">
        <w:rPr>
          <w:rFonts w:ascii="Simplified Arabic" w:eastAsia="DengXian" w:hAnsi="Simplified Arabic" w:hint="default"/>
          <w:sz w:val="24"/>
          <w:szCs w:val="24"/>
          <w:rtl/>
          <w:lang w:val="en-GB"/>
        </w:rPr>
        <w:t>، من تقديم المزيد من التمويل، وقدمت الأمانة بالتعاون مع اللجنة الاستشارية مقترحاً بالفعل بهذا الشأن. ومع ذلك، لن يصبح مصدر التمويل هذا محدداً إلا بعد الانتهاء من تقييم المقترح والانتهاء من إبرام العقود. وكان المعنى الضمني هو أنه سيكون هناك نقص في الأموال على المدى القصير؛ واقترح أنه يمكن ترحيل الأموال غير المستخدمة حتى الآن إلى عام 2026. وقال إنه يأمل في أن يتمكن من مواصلة مناقشة المسألة مع الممثلين الآخرين والأمانة واللجنة الاستشارية، وأضاف أن الوفد الذي يمثله يعكف حالياً على إعداد مقترح لمشروع مقرر يمكن تقديمه في وقت لاحق من الاجتماع.</w:t>
      </w:r>
    </w:p>
    <w:p w14:paraId="5DB4DE43" w14:textId="5206B905"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وأعرب عدد من الممثلين الآخرين عن موافقتهم على مقترح ترحيل الأموال غير المستخدمة حتى الآن إلى عام 2026.</w:t>
      </w:r>
    </w:p>
    <w:p w14:paraId="7EBF8FB8" w14:textId="66F4C656"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وسلط عدة ممثلين الضوء على إمكانية إقامة شراكات مع المؤسسات العلمية التي يمكن أن توفر الموظفين أو الخبرات التقنية في جمع العينات وتحليل البيانات وإدارتها، فضلاً عن البنى التحتية القائمة. وستكون هذه المساهمات العينية أو غيرها من المساهمات مفيدة في توفير التكاليف، كما أنها ستساعد في تطوير القدرات التقنية المحلية في مجال رصد الغلاف الجوي وإجراء البحوث المتعلقة به. واقترح بعض الممثلين ترشيح مؤسسات في بلدانهم يمكن أن تلعب دوراً في هذا الصدد.</w:t>
      </w:r>
    </w:p>
    <w:p w14:paraId="15F98ED1" w14:textId="7390F90A"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 xml:space="preserve">وأعرب أحد الممثلين عن رأي مفاده أن قائمة المؤسسات العلمية العاملة في مجال رصد الغلاف الجوي، والشبكات الإقليمية، والمشاريع الجارية التي تقوم الأمانة بتجميعها ستكون قيّمة للغاية. وينبغي تشجيع مشاريع الرصد المشتركة وتبادل البيانات. واتفق ممثل آخر مع المتحدثين على أنه ينبغي إتاحة البيانات التي يتم الحصول عليها من محطات الرصد للجميع. وشدد أحدهم على أهمية احترام السيادة الوطنية على البيانات التي يتم جمعها. </w:t>
      </w:r>
      <w:r w:rsidRPr="00812612">
        <w:rPr>
          <w:rFonts w:ascii="Simplified Arabic" w:eastAsia="DengXian" w:hAnsi="Simplified Arabic" w:hint="default"/>
          <w:sz w:val="24"/>
          <w:szCs w:val="24"/>
          <w:rtl/>
          <w:lang w:val="en-GB"/>
        </w:rPr>
        <w:lastRenderedPageBreak/>
        <w:t xml:space="preserve">وأكد ممثل آخر على الحاجة إلى </w:t>
      </w:r>
      <w:r w:rsidR="008F4C67" w:rsidRPr="00812612">
        <w:rPr>
          <w:rFonts w:ascii="Simplified Arabic" w:eastAsia="DengXian" w:hAnsi="Simplified Arabic"/>
          <w:sz w:val="24"/>
          <w:szCs w:val="24"/>
          <w:rtl/>
          <w:lang w:val="en-GB"/>
        </w:rPr>
        <w:t>الحصول على إذن من الدوائر</w:t>
      </w:r>
      <w:r w:rsidRPr="00812612">
        <w:rPr>
          <w:rFonts w:ascii="Simplified Arabic" w:eastAsia="DengXian" w:hAnsi="Simplified Arabic" w:hint="default"/>
          <w:sz w:val="24"/>
          <w:szCs w:val="24"/>
          <w:rtl/>
          <w:lang w:val="en-GB"/>
        </w:rPr>
        <w:t xml:space="preserve"> الوطنية</w:t>
      </w:r>
      <w:r w:rsidR="008F4C67" w:rsidRPr="00812612">
        <w:rPr>
          <w:rFonts w:ascii="Simplified Arabic" w:eastAsia="DengXian" w:hAnsi="Simplified Arabic"/>
          <w:sz w:val="24"/>
          <w:szCs w:val="24"/>
          <w:rtl/>
          <w:lang w:val="en-GB"/>
        </w:rPr>
        <w:t xml:space="preserve"> المعنية</w:t>
      </w:r>
      <w:r w:rsidRPr="00812612">
        <w:rPr>
          <w:rFonts w:ascii="Simplified Arabic" w:eastAsia="DengXian" w:hAnsi="Simplified Arabic" w:hint="default"/>
          <w:sz w:val="24"/>
          <w:szCs w:val="24"/>
          <w:rtl/>
          <w:lang w:val="en-GB"/>
        </w:rPr>
        <w:t xml:space="preserve"> </w:t>
      </w:r>
      <w:r w:rsidR="00C2769B" w:rsidRPr="00812612">
        <w:rPr>
          <w:rFonts w:ascii="Simplified Arabic" w:eastAsia="DengXian" w:hAnsi="Simplified Arabic"/>
          <w:sz w:val="24"/>
          <w:szCs w:val="24"/>
          <w:rtl/>
          <w:lang w:val="en-GB"/>
        </w:rPr>
        <w:t xml:space="preserve">المسؤولة عن </w:t>
      </w:r>
      <w:r w:rsidRPr="00812612">
        <w:rPr>
          <w:rFonts w:ascii="Simplified Arabic" w:eastAsia="DengXian" w:hAnsi="Simplified Arabic" w:hint="default"/>
          <w:sz w:val="24"/>
          <w:szCs w:val="24"/>
          <w:rtl/>
          <w:lang w:val="en-GB"/>
        </w:rPr>
        <w:t xml:space="preserve">رصد الغلاف الجوي </w:t>
      </w:r>
      <w:r w:rsidR="00B005B1" w:rsidRPr="00812612">
        <w:rPr>
          <w:rFonts w:ascii="Simplified Arabic" w:eastAsia="DengXian" w:hAnsi="Simplified Arabic"/>
          <w:sz w:val="24"/>
          <w:szCs w:val="24"/>
          <w:rtl/>
          <w:lang w:val="en-GB"/>
        </w:rPr>
        <w:t xml:space="preserve">والمؤسسات </w:t>
      </w:r>
      <w:r w:rsidRPr="00812612">
        <w:rPr>
          <w:rFonts w:ascii="Simplified Arabic" w:eastAsia="DengXian" w:hAnsi="Simplified Arabic" w:hint="default"/>
          <w:sz w:val="24"/>
          <w:szCs w:val="24"/>
          <w:rtl/>
          <w:lang w:val="en-GB"/>
        </w:rPr>
        <w:t>الأخرى</w:t>
      </w:r>
      <w:r w:rsidR="00B005B1" w:rsidRPr="00812612">
        <w:rPr>
          <w:rFonts w:ascii="Simplified Arabic" w:eastAsia="DengXian" w:hAnsi="Simplified Arabic"/>
          <w:sz w:val="24"/>
          <w:szCs w:val="24"/>
          <w:rtl/>
          <w:lang w:val="en-GB"/>
        </w:rPr>
        <w:t xml:space="preserve"> </w:t>
      </w:r>
      <w:r w:rsidR="0003344F" w:rsidRPr="00812612">
        <w:rPr>
          <w:rFonts w:ascii="Simplified Arabic" w:eastAsia="DengXian" w:hAnsi="Simplified Arabic"/>
          <w:sz w:val="24"/>
          <w:szCs w:val="24"/>
          <w:rtl/>
          <w:lang w:val="en-GB"/>
        </w:rPr>
        <w:t xml:space="preserve">ذات الصلة </w:t>
      </w:r>
      <w:r w:rsidR="00A155E2" w:rsidRPr="00812612">
        <w:rPr>
          <w:rFonts w:ascii="Simplified Arabic" w:eastAsia="DengXian" w:hAnsi="Simplified Arabic"/>
          <w:sz w:val="24"/>
          <w:szCs w:val="24"/>
          <w:rtl/>
          <w:lang w:val="en-GB"/>
        </w:rPr>
        <w:t xml:space="preserve">لتنفيذ المشروع في موقع محطة </w:t>
      </w:r>
      <w:r w:rsidR="001B74DF" w:rsidRPr="00812612">
        <w:rPr>
          <w:rFonts w:ascii="Simplified Arabic" w:eastAsia="DengXian" w:hAnsi="Simplified Arabic"/>
          <w:sz w:val="24"/>
          <w:szCs w:val="24"/>
          <w:rtl/>
          <w:lang w:val="en-GB"/>
        </w:rPr>
        <w:t>ال</w:t>
      </w:r>
      <w:r w:rsidR="00A155E2" w:rsidRPr="00812612">
        <w:rPr>
          <w:rFonts w:ascii="Simplified Arabic" w:eastAsia="DengXian" w:hAnsi="Simplified Arabic"/>
          <w:sz w:val="24"/>
          <w:szCs w:val="24"/>
          <w:rtl/>
          <w:lang w:val="en-GB"/>
        </w:rPr>
        <w:t xml:space="preserve">رصد </w:t>
      </w:r>
      <w:r w:rsidR="001B74DF" w:rsidRPr="00812612">
        <w:rPr>
          <w:rFonts w:ascii="Simplified Arabic" w:eastAsia="DengXian" w:hAnsi="Simplified Arabic"/>
          <w:sz w:val="24"/>
          <w:szCs w:val="24"/>
          <w:rtl/>
          <w:lang w:val="en-GB"/>
        </w:rPr>
        <w:t xml:space="preserve">فيما يخص </w:t>
      </w:r>
      <w:r w:rsidR="00A155E2" w:rsidRPr="00812612">
        <w:rPr>
          <w:rFonts w:ascii="Simplified Arabic" w:eastAsia="DengXian" w:hAnsi="Simplified Arabic"/>
          <w:sz w:val="24"/>
          <w:szCs w:val="24"/>
          <w:rtl/>
          <w:lang w:val="en-GB"/>
        </w:rPr>
        <w:t>انبعاثات المواد الخاضعة لبروتوكول مونتريال، على النحو الذي يحدده الخبراء</w:t>
      </w:r>
      <w:r w:rsidR="00A155E2" w:rsidRPr="00EE7CE2">
        <w:rPr>
          <w:rFonts w:ascii="Simplified Arabic" w:eastAsia="DengXian" w:hAnsi="Simplified Arabic"/>
          <w:sz w:val="24"/>
          <w:szCs w:val="24"/>
          <w:lang w:val="en-GB"/>
        </w:rPr>
        <w:t>.</w:t>
      </w:r>
    </w:p>
    <w:p w14:paraId="21E89CE7" w14:textId="5769C30F"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وأعرب أحد الممثلين عن تأييده للنهج الذي تتبعه اللجنة الاستشارية في تقييم المواقع المحتملة لمحطات الرصد استناداً إلى معايير علمية وتقنية. وحثّ ممثل آخر على إنشاء محطات في المناطق التي تفتقر إليها حالياً، بما في ذلك البلدان التي تعاني من درجات الحرارة المحيطة المرتفعة. ودعا ممثل آخر إلى إجراء رصد فعال في جميع مناطق الأمم المتحدة الخمس في مواقع مناسبة، مع مراعاة الاختلافات في الطبوغرافيا الجغرافية ومساحة الأراضي والتحديات الخاصة بكل منطقة.</w:t>
      </w:r>
    </w:p>
    <w:p w14:paraId="73D80D80" w14:textId="2FC6DB9C"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وأعرب أحد الممثلين عن سروره بتحديد بلده كموقع محتمل لإنشاء محطة رصد، وأعرب عن استعداد بلده لاستضافة إحدى محطات الرصد، خاصة وأن بلده يمتلك بالفعل بعض القدرات العلمية في هذا الصدد. واقترح ممثل آخر إنشاء محطة في غرب أفريقيا.</w:t>
      </w:r>
    </w:p>
    <w:p w14:paraId="428AE18F" w14:textId="23314781"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وأشار ممثل إكوادور إلى أن بلده قد أُشير إليه بشكل خاطئ في العرض التقديمي على أنه يقع في أمريكا الوسطى</w:t>
      </w:r>
      <w:r w:rsidR="00221433" w:rsidRPr="00812612">
        <w:rPr>
          <w:rFonts w:ascii="Simplified Arabic" w:eastAsia="DengXian" w:hAnsi="Simplified Arabic"/>
          <w:sz w:val="24"/>
          <w:szCs w:val="24"/>
          <w:rtl/>
          <w:lang w:val="en-GB"/>
        </w:rPr>
        <w:t xml:space="preserve"> </w:t>
      </w:r>
      <w:r w:rsidR="009D1165" w:rsidRPr="00812612">
        <w:rPr>
          <w:rFonts w:ascii="Simplified Arabic" w:eastAsia="DengXian" w:hAnsi="Simplified Arabic"/>
          <w:sz w:val="24"/>
          <w:szCs w:val="24"/>
          <w:rtl/>
          <w:lang w:val="en-GB"/>
        </w:rPr>
        <w:t>بدلاً من</w:t>
      </w:r>
      <w:r w:rsidRPr="00812612">
        <w:rPr>
          <w:rFonts w:ascii="Simplified Arabic" w:eastAsia="DengXian" w:hAnsi="Simplified Arabic" w:hint="default"/>
          <w:sz w:val="24"/>
          <w:szCs w:val="24"/>
          <w:rtl/>
          <w:lang w:val="en-GB"/>
        </w:rPr>
        <w:t xml:space="preserve"> أمريكا الجنوبية</w:t>
      </w:r>
      <w:r w:rsidR="00A1409D" w:rsidRPr="00C20163">
        <w:rPr>
          <w:rFonts w:ascii="Simplified Arabic" w:eastAsia="DengXian" w:hAnsi="Simplified Arabic"/>
          <w:sz w:val="24"/>
          <w:szCs w:val="24"/>
          <w:vertAlign w:val="superscript"/>
          <w:rtl/>
          <w:lang w:val="en-GB"/>
        </w:rPr>
        <w:t>(</w:t>
      </w:r>
      <w:r w:rsidR="009D1165" w:rsidRPr="00C20163">
        <w:rPr>
          <w:rFonts w:ascii="Simplified Arabic" w:eastAsia="DengXian" w:hAnsi="Simplified Arabic" w:hint="default"/>
          <w:sz w:val="24"/>
          <w:szCs w:val="24"/>
          <w:vertAlign w:val="superscript"/>
          <w:rtl/>
          <w:lang w:val="en-GB"/>
        </w:rPr>
        <w:footnoteReference w:id="2"/>
      </w:r>
      <w:r w:rsidR="00A1409D" w:rsidRPr="00C20163">
        <w:rPr>
          <w:rFonts w:ascii="Simplified Arabic" w:eastAsia="DengXian" w:hAnsi="Simplified Arabic"/>
          <w:sz w:val="24"/>
          <w:szCs w:val="24"/>
          <w:vertAlign w:val="superscript"/>
          <w:rtl/>
          <w:lang w:val="en-GB"/>
        </w:rPr>
        <w:t>)</w:t>
      </w:r>
      <w:r w:rsidRPr="00812612">
        <w:rPr>
          <w:rFonts w:ascii="Simplified Arabic" w:eastAsia="DengXian" w:hAnsi="Simplified Arabic" w:hint="default"/>
          <w:sz w:val="24"/>
          <w:szCs w:val="24"/>
          <w:rtl/>
          <w:lang w:val="en-GB"/>
        </w:rPr>
        <w:t>. واقترح اختيار جبال الأنديز كموقع مناسب لإنشاء محطة للرصد.</w:t>
      </w:r>
    </w:p>
    <w:p w14:paraId="64FC00BD" w14:textId="0F6CECEB" w:rsidR="00C57DC0" w:rsidRPr="00812612" w:rsidRDefault="00C57DC0"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hint="default"/>
          <w:sz w:val="24"/>
          <w:szCs w:val="24"/>
          <w:rtl/>
          <w:lang w:val="en-GB"/>
        </w:rPr>
        <w:t>ودعا ممثل آخر إلى إجراء مزيد من المناقشات بشأن العدد الإجمالي لمحطات الرصد التي يمكن إنشاؤها، في ضوء التمويل المتاح، وما إذا كان ينبغي الاضطلاع بأعمال أولية لتحديد المواقع المناسبة. واتفق ممثل آخر مع هذا الاقتراح، ودعا إلى إيلاء اهتمام خاص للمواقع التي يوجد فيها التزام واضح من البلد المضيف بالمساهمة في الدعم المالي وكذلك التزام طويل الأجل من قبل المؤسسة المضيفة بتوفير الموارد للمساعدة في دعم الأعمال التي سيُضطلع بها بعد فترة الخمس سنوات من منحة الاتحاد الأوروبي الجديدة المرتقبة.</w:t>
      </w:r>
    </w:p>
    <w:p w14:paraId="22D78551" w14:textId="77777777" w:rsidR="0049385B" w:rsidRPr="00812612" w:rsidRDefault="0049385B"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بعد ذلك، قدم ممثل الاتحاد الأوروبي مقترحاً بشأن مشروع مقرر يرد في ورقة غرفة اجتماعات يهدف إلى مواصلة العمل على تعزيز الرصد الإقليمي للمواد الخاضعة للرقابة بموجب بروتوكول مونتريال في الغلاف الجوي. وفي مشروع المقرر، طُلب إلى الأمانة أن تواصل، بالتشاور مع اللجنة الاستشارية للصندوق الاستئماني العام لاتفاقية فيينا، تقييم مدى ملاءمة المواقع المحتملة لرصد انبعاثات المواد الخاضعة للرقابة، وأن تمضي قدماً في تلك الجهود من خلال تحديد البنية التحتية والمحطات القائمة في المواقع العشرة التي حددتها اللجنة الاستشارية وحولها، وأن تستعد للخطوات التالية الرامية إلى إنشاء أنشطة رصد في تلك المواقع. وتضمن المقرر أيضا الطلبات التالية: (أ) تخصيص بند في الميزانية في عام 2026 لضمان مواصلة هذا العمل؛ (ب) أن تقدم الأمانة تقريراً إلى الفريق العامل المفتوح العضوية في اجتماعه الثامن والأربعين وإلى الاجتماع الثامن والثلاثين للأطراف عن التقدم المحرز؛ (ج) أن تأخذ اللجنة التنفيذية للصندوق المتعدد الأطراف في الاعتبار بعض المعلومات والتكاليف التقديرية عند وضع المبادئ التوجيهية والنظر في إنشاء نافذة تمويل لدعم المشاريع التجريبية.</w:t>
      </w:r>
    </w:p>
    <w:p w14:paraId="41224786" w14:textId="77777777" w:rsidR="0049385B" w:rsidRPr="00812612" w:rsidRDefault="0049385B"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وشكر عدد من الممثلين الاتحاد الأوروبي على تقديمه مقترح مشروع المقرر، وقدموا عددا من الاقتراحات لتعديله وتوضيحه. واقترح أحد الممثلين إضافة نص يؤكد على أهمية الموضوع على صعيد استمرار تنفيذ بروتوكول مونتريال، وكذلك إضافة إشارة إلى الأطراف التي هي على استعداد للموافقة على إنشاء محطات رصد في بلدانها. وأشار آخر إلى ضرورة التوصل إلى قرار بشأن المستوى المناسب للتمويل لعام 2026. وأشار أيضاً إلى ضرورة توضيح ما إذا كانت الإشارة إلى المواقع العشرة المحتملة تعني فقط تلك التي حددتها اللجنة الاستشارية، أم أن هناك مواقع إضافية تستحق الدراسة. واقترح ممثل آخر إضافة إشارة إلى المواقع المحتملة التي توجد فيها بالفعل بنية تحتية مناسبة.</w:t>
      </w:r>
    </w:p>
    <w:p w14:paraId="5B1EA403" w14:textId="77777777" w:rsidR="0049385B" w:rsidRPr="00812612" w:rsidRDefault="0049385B"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bookmarkStart w:id="7" w:name="_Hlk213229573"/>
      <w:r w:rsidRPr="00812612">
        <w:rPr>
          <w:rFonts w:ascii="Simplified Arabic" w:eastAsia="DengXian" w:hAnsi="Simplified Arabic"/>
          <w:sz w:val="24"/>
          <w:szCs w:val="24"/>
          <w:rtl/>
          <w:lang w:val="en-GB"/>
        </w:rPr>
        <w:lastRenderedPageBreak/>
        <w:t>ووافقت الأطراف على إنشاء فريق اتصال، يشارك في رئاسته كل من آلان ويلمارت (بلجيكا) وصوفيا أنسيلم-لاروك (دومينيكا)، لمواصلة مناقشة مشروع المقرر.</w:t>
      </w:r>
    </w:p>
    <w:bookmarkEnd w:id="7"/>
    <w:p w14:paraId="4186FA1B" w14:textId="77777777" w:rsidR="0049385B" w:rsidRPr="00C20163" w:rsidRDefault="0049385B"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C20163">
        <w:rPr>
          <w:rFonts w:ascii="Simplified Arabic" w:eastAsia="DengXian" w:hAnsi="Simplified Arabic"/>
          <w:w w:val="104"/>
          <w:sz w:val="24"/>
          <w:szCs w:val="24"/>
          <w:rtl/>
          <w:lang w:val="en-GB"/>
        </w:rPr>
        <w:t>بعد ذلك، أفاد الرئيس المشارك لفريق الاتصال بأن الفريق قد توصل إلى اتفاق بشأن مشروع مقرر يتعلق بتعزيز الرصد الإقليمي للمواد الخاضعة للرقابة بموجب بروتوكول مونتريال في الغلاف الجوي، لكي تنظر فيه الأطراف.</w:t>
      </w:r>
    </w:p>
    <w:p w14:paraId="7235B0AD" w14:textId="77777777" w:rsidR="0049385B" w:rsidRPr="00EE7CE2" w:rsidRDefault="0049385B"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EE7CE2">
        <w:rPr>
          <w:rFonts w:ascii="Simplified Arabic" w:eastAsia="DengXian" w:hAnsi="Simplified Arabic"/>
          <w:w w:val="107"/>
          <w:sz w:val="24"/>
          <w:szCs w:val="24"/>
          <w:rtl/>
          <w:lang w:val="en-GB"/>
        </w:rPr>
        <w:t>ووافقت الأطراف على إحالة مشروع المقرر لمواصلة النظر فيه واعتماده إن أمكن أثناء الجزء الرفيع المستوى.</w:t>
      </w:r>
    </w:p>
    <w:p w14:paraId="71191B60" w14:textId="77777777" w:rsidR="00C57DC0" w:rsidRPr="00EE7CE2" w:rsidRDefault="00C57DC0" w:rsidP="00EE7CE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EE7CE2">
        <w:rPr>
          <w:rFonts w:ascii="Simplified Arabic" w:eastAsia="Times New Roman" w:hAnsi="Simplified Arabic" w:hint="default"/>
          <w:b/>
          <w:bCs/>
          <w:sz w:val="26"/>
          <w:szCs w:val="26"/>
          <w:rtl/>
          <w:lang w:val="ar-SA" w:eastAsia="zh-TW"/>
        </w:rPr>
        <w:t>سابعاً-</w:t>
      </w:r>
      <w:r w:rsidRPr="00EE7CE2">
        <w:rPr>
          <w:rFonts w:ascii="Simplified Arabic" w:eastAsia="Times New Roman" w:hAnsi="Simplified Arabic" w:hint="default"/>
          <w:b/>
          <w:bCs/>
          <w:sz w:val="26"/>
          <w:szCs w:val="26"/>
          <w:rtl/>
          <w:lang w:val="ar-SA" w:eastAsia="zh-TW"/>
        </w:rPr>
        <w:tab/>
        <w:t>وضع دراسات واستراتيجيات لإيجاد حلول متوسطة وطويلة الأجل للتراكم الكبير في مخزونات غازات التبريد التي تقترب من نهاية دورات حياتها لدى الأطراف العاملة بموجب الفقرة 1 من المادة 5 من بروتوكول مونتريال</w:t>
      </w:r>
    </w:p>
    <w:p w14:paraId="6B01DFDE" w14:textId="77777777" w:rsidR="00BE68C9" w:rsidRPr="00812612" w:rsidRDefault="00BE68C9"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عند النظر في هذا البند، كان معروضاً على الأطراف الفقرات 44 إلى 47 من مذكرة الأمانة بشأن مسائل معروضة على الاجتماع السابع والثلاثين للأطراف في بروتوكول مونتريال لمناقشتها ومعلومات للاطلاع عليها </w:t>
      </w:r>
      <w:r w:rsidRPr="003365C1">
        <w:rPr>
          <w:rFonts w:eastAsia="DengXian" w:cs="Times New Roman"/>
          <w:sz w:val="22"/>
          <w:szCs w:val="22"/>
          <w:lang w:val="en-GB"/>
        </w:rPr>
        <w:t>(UNEP/OzL.Pro.37/2)</w:t>
      </w:r>
      <w:r w:rsidRPr="00812612">
        <w:rPr>
          <w:rFonts w:ascii="Simplified Arabic" w:eastAsia="DengXian" w:hAnsi="Simplified Arabic"/>
          <w:sz w:val="24"/>
          <w:szCs w:val="24"/>
          <w:rtl/>
          <w:lang w:val="en-GB"/>
        </w:rPr>
        <w:t xml:space="preserve"> والـفـقـرات مـن 77 إلـى 90 من المرفق الأول لتـــقـــريـــر الاجــتــمــاع السابع والأربـعـيـن للفريق الـعـامـل الـمـفـتـوح الـعـضـويـة للأطــراف فــي بـروتـوكـول مـونـتـريـال بـشـأن الـمـواد الـمـسـتـنـفـدة لـطـبـقـة الأوزون </w:t>
      </w:r>
      <w:r w:rsidRPr="00B43057">
        <w:rPr>
          <w:rFonts w:eastAsia="DengXian" w:cs="Times New Roman"/>
          <w:sz w:val="22"/>
          <w:szCs w:val="22"/>
          <w:lang w:val="en-GB"/>
        </w:rPr>
        <w:t>(UNEP/OzL.Pro.WG.1/47/6)</w:t>
      </w:r>
      <w:r w:rsidRPr="00812612">
        <w:rPr>
          <w:rFonts w:ascii="Simplified Arabic" w:eastAsia="DengXian" w:hAnsi="Simplified Arabic"/>
          <w:sz w:val="24"/>
          <w:szCs w:val="24"/>
          <w:rtl/>
          <w:lang w:val="en-GB"/>
        </w:rPr>
        <w:t xml:space="preserve"> والفرع 6-9 من التقرير المرحلي لفريق التقييم التكنولوجي والاقتصادي، أيار/مايو 2025، المجلد 1.</w:t>
      </w:r>
    </w:p>
    <w:p w14:paraId="41F646F4" w14:textId="77777777" w:rsidR="00BE68C9" w:rsidRPr="00C20163" w:rsidRDefault="00BE68C9"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2"/>
          <w:sz w:val="24"/>
          <w:szCs w:val="24"/>
          <w:lang w:val="en-GB"/>
        </w:rPr>
      </w:pPr>
      <w:r w:rsidRPr="00C20163">
        <w:rPr>
          <w:rFonts w:ascii="Simplified Arabic" w:eastAsia="DengXian" w:hAnsi="Simplified Arabic"/>
          <w:w w:val="102"/>
          <w:sz w:val="24"/>
          <w:szCs w:val="24"/>
          <w:rtl/>
          <w:lang w:val="en-GB"/>
        </w:rPr>
        <w:t xml:space="preserve">وأشار الرئيس المشارك إلى أن كوبا قد قدمت، في الاجتماع السابع والأربعين للفريق العامل المفتوح العضوية، في سياق المناقشات المتعلقة بإدارة المواد المبردة طيلة دورة حياتها، مشروع مقرر لتسليط الضوء على الشواغل المتعلقة بزيادة حجم غازات التبريد التي تقترب من نهاية دورة حياتها في الأطراف العاملة بموجب المادة 5. ورغم أن فريق الاتصال الذي نظر في مشروع المقرر أحرز تقدما جيدا، فإنه لم يتسن التوصل إلى اتفاق. لذلك، وافق الفريق العامل على استئناف المناقشات بشأن إدارة المواد المبردة طيلة دورة حياتها في الاجتماع السابع والثلاثين للأطراف على أساس مشروع المقرر، بصيغته التي نقحها فريق الاتصال. ويرد مشروع المقرر المنقح في الوثيقة </w:t>
      </w:r>
      <w:r w:rsidRPr="00C20163">
        <w:rPr>
          <w:rFonts w:eastAsia="DengXian" w:cs="Times New Roman"/>
          <w:w w:val="102"/>
          <w:sz w:val="22"/>
          <w:szCs w:val="22"/>
          <w:rtl/>
          <w:lang w:val="en-GB"/>
        </w:rPr>
        <w:t>UNEP/OzL.Pro.37/3</w:t>
      </w:r>
      <w:r w:rsidRPr="00C20163">
        <w:rPr>
          <w:rFonts w:ascii="Simplified Arabic" w:eastAsia="DengXian" w:hAnsi="Simplified Arabic"/>
          <w:w w:val="102"/>
          <w:sz w:val="24"/>
          <w:szCs w:val="24"/>
          <w:rtl/>
          <w:lang w:val="en-GB"/>
        </w:rPr>
        <w:t xml:space="preserve"> (مشروع المقرر 37/[باء]).</w:t>
      </w:r>
    </w:p>
    <w:p w14:paraId="200CC97F" w14:textId="77777777" w:rsidR="00BE68C9" w:rsidRPr="00812612" w:rsidRDefault="00BE68C9"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إنشاء فريق اتصال، يشارك في رئاسته موران غودفرين (فرنسا) وسيرجيو ميرينو (المكسيك)، لمواصلة مناقشة مشروع المقرر.</w:t>
      </w:r>
    </w:p>
    <w:p w14:paraId="259AD239" w14:textId="77777777" w:rsidR="00BE68C9" w:rsidRPr="00812612" w:rsidRDefault="00BE68C9"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بعد ذلك، أفاد الرئيس المشارك لفريق الاتصال بأن الفريق قد توصل إلى اتفاق بشأن مشروع مقرر يتعلق بدراسة عن كميات وخيارات المواد الخاضعة للرقابة المستعملة وغير المرغوب فيها بموجب بروتوكول مونتريال، بما في ذلك المواد التي انتهت صلاحيتها، لكي تنظر فيه الأطراف.</w:t>
      </w:r>
    </w:p>
    <w:p w14:paraId="3F7F9A51" w14:textId="77777777" w:rsidR="00BE68C9" w:rsidRPr="00EE7CE2" w:rsidRDefault="00BE68C9"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EE7CE2">
        <w:rPr>
          <w:rFonts w:ascii="Simplified Arabic" w:eastAsia="DengXian" w:hAnsi="Simplified Arabic"/>
          <w:w w:val="107"/>
          <w:sz w:val="24"/>
          <w:szCs w:val="24"/>
          <w:rtl/>
          <w:lang w:val="en-GB"/>
        </w:rPr>
        <w:t>ووافقت الأطراف على إحالة مشروع المقرر لمواصلة النظر فيه واعتماده إن أمكن أثناء الجزء الرفيع المستوى.</w:t>
      </w:r>
    </w:p>
    <w:p w14:paraId="00540FD7" w14:textId="77777777" w:rsidR="00C57DC0" w:rsidRPr="00EE7CE2" w:rsidRDefault="00C57DC0" w:rsidP="00EE7CE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EE7CE2">
        <w:rPr>
          <w:rFonts w:ascii="Simplified Arabic" w:eastAsia="Times New Roman" w:hAnsi="Simplified Arabic" w:hint="default"/>
          <w:b/>
          <w:bCs/>
          <w:sz w:val="26"/>
          <w:szCs w:val="26"/>
          <w:rtl/>
          <w:lang w:val="ar-SA" w:eastAsia="zh-TW"/>
        </w:rPr>
        <w:t>ثامناً-</w:t>
      </w:r>
      <w:r w:rsidRPr="00EE7CE2">
        <w:rPr>
          <w:rFonts w:ascii="Simplified Arabic" w:eastAsia="Times New Roman" w:hAnsi="Simplified Arabic" w:hint="default"/>
          <w:b/>
          <w:bCs/>
          <w:sz w:val="26"/>
          <w:szCs w:val="26"/>
          <w:rtl/>
          <w:lang w:val="ar-SA" w:eastAsia="zh-TW"/>
        </w:rPr>
        <w:tab/>
        <w:t>استخدامات المواد الخاضعة للرقابة كمواد أولية</w:t>
      </w:r>
    </w:p>
    <w:p w14:paraId="75EDB26E" w14:textId="4BFEC8B5" w:rsidR="007C04C6" w:rsidRPr="00C20163" w:rsidRDefault="007C04C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C20163">
        <w:rPr>
          <w:rFonts w:ascii="Simplified Arabic" w:eastAsia="DengXian" w:hAnsi="Simplified Arabic"/>
          <w:w w:val="104"/>
          <w:sz w:val="24"/>
          <w:szCs w:val="24"/>
          <w:rtl/>
          <w:lang w:val="en-GB"/>
        </w:rPr>
        <w:t xml:space="preserve">عند النظر في هذا البند، كان أمام الأطراف الفقرات 48 إلى 54 من مذكرة الأمانة بشأن مسائل معروضة على الاجتماع السابع والثلاثين للأطراف في بروتوكول مونتريال لمناقشتها ومعلومات للاطلاع عليها </w:t>
      </w:r>
      <w:r w:rsidRPr="00C20163">
        <w:rPr>
          <w:rFonts w:eastAsia="DengXian" w:cs="Times New Roman"/>
          <w:w w:val="104"/>
          <w:sz w:val="22"/>
          <w:szCs w:val="22"/>
          <w:lang w:val="en-GB"/>
        </w:rPr>
        <w:t>(UNEP/OzL.Pro.37/2)</w:t>
      </w:r>
      <w:r w:rsidRPr="00C20163">
        <w:rPr>
          <w:rFonts w:ascii="Simplified Arabic" w:eastAsia="DengXian" w:hAnsi="Simplified Arabic"/>
          <w:w w:val="104"/>
          <w:sz w:val="24"/>
          <w:szCs w:val="24"/>
          <w:rtl/>
          <w:lang w:val="en-GB"/>
        </w:rPr>
        <w:t xml:space="preserve">، والفقرات 143 إلى 148 والمرفق الأول من تقرير الاجتماع السابع والأربعين للفريق العامل المفتوح العضوية للأطراف في بروتوكول مونتريال بشأن المواد المستنفدة لطبقة الأوزون </w:t>
      </w:r>
      <w:r w:rsidRPr="00C20163">
        <w:rPr>
          <w:rFonts w:eastAsia="DengXian" w:cs="Times New Roman"/>
          <w:w w:val="104"/>
          <w:sz w:val="22"/>
          <w:szCs w:val="22"/>
          <w:lang w:val="en-GB"/>
        </w:rPr>
        <w:t>(UNEP/OzL.Pro.WG.1/47/6)</w:t>
      </w:r>
      <w:r w:rsidRPr="00C20163">
        <w:rPr>
          <w:rFonts w:ascii="Simplified Arabic" w:eastAsia="DengXian" w:hAnsi="Simplified Arabic"/>
          <w:w w:val="104"/>
          <w:sz w:val="24"/>
          <w:szCs w:val="24"/>
          <w:rtl/>
          <w:lang w:val="en-GB"/>
        </w:rPr>
        <w:t xml:space="preserve">، والفقرتان 52 و53 من مذكرة الأمانة بشأن مسائل معروضة </w:t>
      </w:r>
      <w:r w:rsidRPr="00C20163">
        <w:rPr>
          <w:rFonts w:ascii="Simplified Arabic" w:eastAsia="DengXian" w:hAnsi="Simplified Arabic"/>
          <w:w w:val="104"/>
          <w:sz w:val="24"/>
          <w:szCs w:val="24"/>
          <w:rtl/>
          <w:lang w:val="en-GB"/>
        </w:rPr>
        <w:lastRenderedPageBreak/>
        <w:t xml:space="preserve">على الاجتماع السابع والأربعين للفريق العامل المفتوح العضوية للأطراف في بروتوكول مونتريال ومعلومات للاطلاع عليها </w:t>
      </w:r>
      <w:r w:rsidRPr="00C20163">
        <w:rPr>
          <w:rFonts w:eastAsia="DengXian" w:cs="Times New Roman"/>
          <w:w w:val="104"/>
          <w:sz w:val="22"/>
          <w:szCs w:val="22"/>
          <w:lang w:val="en-GB"/>
        </w:rPr>
        <w:t>(UNEP/OzL.Pro.WG.1/47/2/Add.1)</w:t>
      </w:r>
      <w:r w:rsidRPr="00C20163">
        <w:rPr>
          <w:rFonts w:ascii="Simplified Arabic" w:eastAsia="DengXian" w:hAnsi="Simplified Arabic"/>
          <w:w w:val="104"/>
          <w:sz w:val="24"/>
          <w:szCs w:val="24"/>
          <w:rtl/>
          <w:lang w:val="en-GB"/>
        </w:rPr>
        <w:t xml:space="preserve"> ومذكرة الأمانة بشأن تجميع المعلومات المقدمة من الأطراف عن الممارسات والتكنولوجيات المستخدمة للحد من انبعاثات المواد الخاضعة للرقابة وعن إجراءاتها وأطرها الوطنية المعمول بها لإدارة إنتاج واستخدام المواد الخاضعة للرقابة كمواد أولية </w:t>
      </w:r>
      <w:r w:rsidR="00B43057" w:rsidRPr="00C20163">
        <w:rPr>
          <w:rFonts w:ascii="Simplified Arabic" w:eastAsia="DengXian" w:hAnsi="Simplified Arabic"/>
          <w:w w:val="104"/>
          <w:sz w:val="24"/>
          <w:szCs w:val="24"/>
          <w:rtl/>
          <w:lang w:val="en-GB"/>
        </w:rPr>
        <w:t>(</w:t>
      </w:r>
      <w:r w:rsidRPr="00C20163">
        <w:rPr>
          <w:rFonts w:eastAsia="DengXian" w:cs="Times New Roman"/>
          <w:w w:val="104"/>
          <w:sz w:val="22"/>
          <w:szCs w:val="22"/>
          <w:lang w:val="en-GB"/>
        </w:rPr>
        <w:t>UNEP/OzL.Pro.WG.1/47/3</w:t>
      </w:r>
      <w:r w:rsidRPr="00C20163">
        <w:rPr>
          <w:rFonts w:ascii="Simplified Arabic" w:eastAsia="DengXian" w:hAnsi="Simplified Arabic"/>
          <w:w w:val="104"/>
          <w:sz w:val="24"/>
          <w:szCs w:val="24"/>
          <w:rtl/>
          <w:lang w:val="en-GB"/>
        </w:rPr>
        <w:t xml:space="preserve"> و</w:t>
      </w:r>
      <w:r w:rsidRPr="00C20163">
        <w:rPr>
          <w:rFonts w:eastAsia="DengXian" w:cs="Times New Roman"/>
          <w:w w:val="104"/>
          <w:sz w:val="22"/>
          <w:szCs w:val="22"/>
          <w:lang w:val="en-GB"/>
        </w:rPr>
        <w:t>UNEP/OzL.Pro.WG.1/47/3/Add.1</w:t>
      </w:r>
      <w:r w:rsidR="00B43057" w:rsidRPr="00C20163">
        <w:rPr>
          <w:rFonts w:ascii="Simplified Arabic" w:eastAsia="DengXian" w:hAnsi="Simplified Arabic"/>
          <w:w w:val="104"/>
          <w:sz w:val="24"/>
          <w:szCs w:val="24"/>
          <w:rtl/>
          <w:lang w:val="en-GB"/>
        </w:rPr>
        <w:t>)</w:t>
      </w:r>
      <w:r w:rsidRPr="00C20163">
        <w:rPr>
          <w:rFonts w:ascii="Simplified Arabic" w:eastAsia="DengXian" w:hAnsi="Simplified Arabic"/>
          <w:w w:val="104"/>
          <w:sz w:val="24"/>
          <w:szCs w:val="24"/>
          <w:rtl/>
          <w:lang w:val="en-GB"/>
        </w:rPr>
        <w:t xml:space="preserve">. ويرد مشروع مقرر بشأن هذه المسألة في الوثيقة </w:t>
      </w:r>
      <w:r w:rsidRPr="00C20163">
        <w:rPr>
          <w:rFonts w:eastAsia="DengXian" w:cs="Times New Roman"/>
          <w:w w:val="104"/>
          <w:sz w:val="22"/>
          <w:szCs w:val="22"/>
          <w:rtl/>
          <w:lang w:val="en-GB"/>
        </w:rPr>
        <w:t>UNEP/OzL.Pro.37/3</w:t>
      </w:r>
      <w:r w:rsidRPr="00C20163">
        <w:rPr>
          <w:rFonts w:ascii="Simplified Arabic" w:eastAsia="DengXian" w:hAnsi="Simplified Arabic"/>
          <w:w w:val="104"/>
          <w:sz w:val="24"/>
          <w:szCs w:val="24"/>
          <w:rtl/>
          <w:lang w:val="en-GB"/>
        </w:rPr>
        <w:t xml:space="preserve"> (مشروع المقرر 37/[جيم]).</w:t>
      </w:r>
    </w:p>
    <w:p w14:paraId="3AE32B8F" w14:textId="77777777" w:rsidR="007C04C6" w:rsidRPr="00812612" w:rsidRDefault="007C04C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وأشارت الرئيسة المشاركة إلى أن الاتحاد الأوروبي قدم، نيابة عن سويسرا أيضا، في الاجتماع السابع والأربعين للفريق العامل المفتوح العضوية مشروعَ مقرر بشأن المواد الأولية. ورغم أن فريق الاتصال الذي نظر في مشروع المقرر أحرز تقدماً جيداً، فإنه لم يتمكن من إنجاز عمله. لذلك، وافق الفريق العامل على استئناف المناقشات بشأن المواد الأولية في الاجتماع السابع والثلاثين للأطراف على أساس مشروع المقرر، بصيغته التي نقحها فريق الاتصال. واقترحت أن تنظر الأطراف في إنشاء فريق اتصال لمواصلة مناقشة مشروع المقرر.</w:t>
      </w:r>
    </w:p>
    <w:p w14:paraId="380AE1B2" w14:textId="77777777" w:rsidR="007C04C6" w:rsidRPr="00812612" w:rsidRDefault="007C04C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وذكّر أحد الممثلين الأطراف بأنه، على نحو ما تقرر في المقرر 4/12، فإن الكميات الضئيلة من المواد الخاضعة للرقابة الناشئة عن الإنتاج غير المقصود أو العرضي أثناء عملية التصنيع، أو من المواد الأولية غير المتفاعلة، أو من استخدامها كعوامل معالجة موجودة في مواد كيميائية كشوائب بكميات ضئيلة، أو التي تنبعث أثناء تصنيع المنتج أو مناولته، لا تعتبر مشمولة بتعريف المادة الخاضعة للرقابة الوارد في الفقرة 4 من المادة 1 من بروتوكول مونتريال. وبموجب المقرر 35/6، قدمت الأطراف بالفعل معلومات عن أفضل الممارسات والإجراءات والأطر الوطنية لإدارة الانبعاثات من المواد الأولية. </w:t>
      </w:r>
    </w:p>
    <w:p w14:paraId="14812DDA" w14:textId="77777777" w:rsidR="007C04C6" w:rsidRPr="00C20163" w:rsidRDefault="007C04C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C20163">
        <w:rPr>
          <w:rFonts w:ascii="Simplified Arabic" w:eastAsia="DengXian" w:hAnsi="Simplified Arabic"/>
          <w:w w:val="104"/>
          <w:sz w:val="24"/>
          <w:szCs w:val="24"/>
          <w:rtl/>
          <w:lang w:val="en-GB"/>
        </w:rPr>
        <w:t>ووافق ممثل آخر على ذلك، مشيراً إلى أنه على الرغم من زيادة استخدام المواد الخاضعة للرقابة كمواد أولية، لم يكن هناك ارتفاع مقابل في الانبعاثات. وينبغي أن تبين أي مقررات في هذا الصدد تلك الحقائق المثبتة علمياً، وأن تركز على تحسين البيانات والتعاون، وزيادة بناء القدرات، دون فرض التزامات جديدة على البلدان النامية.</w:t>
      </w:r>
    </w:p>
    <w:p w14:paraId="3AC8C2E9" w14:textId="77777777" w:rsidR="007C04C6" w:rsidRPr="00812612" w:rsidRDefault="007C04C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إنشاء فريق اتصال، تشارك في رئاسته ليانا غهرامانيان (أرمينيا) ومورغان سيمبسون (المملكة المتحدة)، لمواصلة مناقشة مشروع المقرر.</w:t>
      </w:r>
    </w:p>
    <w:p w14:paraId="42EA3FC2" w14:textId="18BB741F" w:rsidR="007C04C6" w:rsidRPr="00812612" w:rsidRDefault="007C04C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بعد ذلك، ورداً على الشواغل التي أثارها عدد من الممثلين المشاركين في فريق الاتصال الذين أخذوا الكلمة، أوضح ممثل للأمانة أنه في حين أنه ليس من المستغرب إجراء مشاورات على هامش اجتماعات فريق اتصال في محاولة للتوصل إلى توافق في الآراء أو تبسيط النص المقترح لمشروع مقرر، فإنه من المهم أن يُعرض على فريق الاتصال أي نص جديد أو منقح أو محذوف بعد تلك المشاورات. وبعد إجراء مناقشات، وافقت الأطراف على اقتراح يقضي بإعادة نص مشروع المقرر الذي كان قيد المناقشة في فريق الاتصال إلى النص الذي أحاله الفريق العامل المفتوح العضوية إلى الأطراف، على النحو المبين في الوثيقة التي تتضمن مشاريع المقررات المعروضة على الاجتماع السابع والثلاثين للأطراف للنظر فيها </w:t>
      </w:r>
      <w:r w:rsidR="00B43057">
        <w:rPr>
          <w:rFonts w:ascii="Simplified Arabic" w:eastAsia="DengXian" w:hAnsi="Simplified Arabic"/>
          <w:sz w:val="24"/>
          <w:szCs w:val="24"/>
          <w:rtl/>
          <w:lang w:val="en-GB"/>
        </w:rPr>
        <w:t>(</w:t>
      </w:r>
      <w:r w:rsidRPr="00B43057">
        <w:rPr>
          <w:rFonts w:eastAsia="DengXian" w:cs="Times New Roman"/>
          <w:sz w:val="22"/>
          <w:szCs w:val="22"/>
          <w:rtl/>
          <w:lang w:val="en-GB"/>
        </w:rPr>
        <w:t>UNEP/OzL.Pro.37/3</w:t>
      </w:r>
      <w:r w:rsidRPr="00812612">
        <w:rPr>
          <w:rFonts w:ascii="Simplified Arabic" w:eastAsia="DengXian" w:hAnsi="Simplified Arabic"/>
          <w:sz w:val="24"/>
          <w:szCs w:val="24"/>
          <w:rtl/>
          <w:lang w:val="en-GB"/>
        </w:rPr>
        <w:t xml:space="preserve"> (مشروع المقرر 37/[جيم])). ويمكن بعد ذلك إدخال أي تعديلات مقترحة في فريق الاتصال. وأكد أحد الممثلين أن عمل أفرقة الاتصال ينبغي أن يبدأ بمناقشة عامة للمسألة بين الأطراف قبل الانتقال إلى النظر في مضمون مشروع المقرر المعني.</w:t>
      </w:r>
    </w:p>
    <w:p w14:paraId="2F9CCA86" w14:textId="77777777" w:rsidR="007C04C6" w:rsidRPr="00812612" w:rsidRDefault="007C04C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 وقت لاحق، أفاد الرئيس المشارك لفريق الاتصال بأن الفريق لم يتمكن من التوصل إلى اتفاق بشأن مشروع مقرر يتعلق باستخدامات المواد الخاضعة للرقابة كمواد أولية.</w:t>
      </w:r>
    </w:p>
    <w:p w14:paraId="2774CB49" w14:textId="4B9BE838" w:rsidR="00C57DC0" w:rsidRPr="00EE7CE2" w:rsidRDefault="00C57DC0" w:rsidP="00EE7CE2">
      <w:pPr>
        <w:keepNext/>
        <w:tabs>
          <w:tab w:val="clear" w:pos="1247"/>
          <w:tab w:val="clear" w:pos="1814"/>
          <w:tab w:val="clear" w:pos="2381"/>
          <w:tab w:val="clear" w:pos="2948"/>
          <w:tab w:val="clear" w:pos="3515"/>
        </w:tabs>
        <w:bidi/>
        <w:spacing w:after="120" w:line="360" w:lineRule="exact"/>
        <w:ind w:left="1134" w:hanging="850"/>
        <w:jc w:val="lowKashida"/>
        <w:textDirection w:val="tbRlV"/>
        <w:rPr>
          <w:rFonts w:ascii="Simplified Arabic" w:eastAsia="Times New Roman" w:hAnsi="Simplified Arabic" w:hint="default"/>
          <w:b/>
          <w:bCs/>
          <w:sz w:val="26"/>
          <w:szCs w:val="26"/>
          <w:lang w:val="ar-SA" w:eastAsia="zh-TW"/>
        </w:rPr>
      </w:pPr>
      <w:r w:rsidRPr="00EE7CE2">
        <w:rPr>
          <w:rFonts w:ascii="Simplified Arabic" w:eastAsia="Times New Roman" w:hAnsi="Simplified Arabic" w:hint="default"/>
          <w:b/>
          <w:bCs/>
          <w:sz w:val="26"/>
          <w:szCs w:val="26"/>
          <w:rtl/>
          <w:lang w:val="ar-SA" w:eastAsia="zh-TW"/>
        </w:rPr>
        <w:lastRenderedPageBreak/>
        <w:t>تاسعا</w:t>
      </w:r>
      <w:r w:rsidR="00CE29DD" w:rsidRPr="00EE7CE2">
        <w:rPr>
          <w:rFonts w:ascii="Simplified Arabic" w:eastAsia="Times New Roman" w:hAnsi="Simplified Arabic"/>
          <w:b/>
          <w:bCs/>
          <w:sz w:val="26"/>
          <w:szCs w:val="26"/>
          <w:rtl/>
          <w:lang w:val="ar-SA" w:eastAsia="zh-TW"/>
        </w:rPr>
        <w:t>ً</w:t>
      </w:r>
      <w:r w:rsidRPr="00EE7CE2">
        <w:rPr>
          <w:rFonts w:ascii="Simplified Arabic" w:eastAsia="Times New Roman" w:hAnsi="Simplified Arabic" w:hint="default"/>
          <w:b/>
          <w:bCs/>
          <w:sz w:val="26"/>
          <w:szCs w:val="26"/>
          <w:rtl/>
          <w:lang w:val="ar-SA" w:eastAsia="zh-TW"/>
        </w:rPr>
        <w:t>-</w:t>
      </w:r>
      <w:r w:rsidRPr="00EE7CE2">
        <w:rPr>
          <w:rFonts w:ascii="Simplified Arabic" w:eastAsia="Times New Roman" w:hAnsi="Simplified Arabic" w:hint="default"/>
          <w:b/>
          <w:bCs/>
          <w:sz w:val="26"/>
          <w:szCs w:val="26"/>
          <w:rtl/>
          <w:lang w:val="ar-SA" w:eastAsia="zh-TW"/>
        </w:rPr>
        <w:tab/>
        <w:t>الهالون 1301 واستمرار استخدامه في صناعة الطيران؛ وإدارة المواد الأخرى الخاضعة للرقابة المستخدمة في إخماد الحرائق</w:t>
      </w:r>
    </w:p>
    <w:p w14:paraId="3E23BF6B" w14:textId="77777777" w:rsidR="006D2203" w:rsidRPr="00812612" w:rsidRDefault="006D2203"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عند النظر في هذا البند، كان معروضاً على الأطراف الفقرات 55 إلى 60 من مذكرة الأمانة بشأن مسائل معروضة على الاجتماع السابع والثلاثين للأطراف في بروتوكول مونتريال لمناقشتها ومعلومات للاطلاع عليها </w:t>
      </w:r>
      <w:r w:rsidRPr="00B43057">
        <w:rPr>
          <w:rFonts w:eastAsia="DengXian" w:cs="Times New Roman"/>
          <w:sz w:val="22"/>
          <w:szCs w:val="22"/>
          <w:lang w:val="en-GB"/>
        </w:rPr>
        <w:t>(UNEP/OzL.Pro.37/2)</w:t>
      </w:r>
      <w:r w:rsidRPr="00812612">
        <w:rPr>
          <w:rFonts w:ascii="Simplified Arabic" w:eastAsia="DengXian" w:hAnsi="Simplified Arabic"/>
          <w:sz w:val="24"/>
          <w:szCs w:val="24"/>
          <w:rtl/>
          <w:lang w:val="en-GB"/>
        </w:rPr>
        <w:t xml:space="preserve"> والـفـقـرات مـن 116 إلـى 128 من المرفق الأول لتـــقـــريـــر الاجــتــمــاع السابع والأربـعـيـن للفريق الـعـامـل الـمـفـتـوح الـعـضـويـة للأطــراف فــي بـروتـوكـول مـونـتـريـال بـشـأن الـمـواد الـمـسـتـنـفـدة لـطـبـقـة الأوزون </w:t>
      </w:r>
      <w:r w:rsidRPr="00B43057">
        <w:rPr>
          <w:rFonts w:eastAsia="DengXian" w:cs="Times New Roman"/>
          <w:sz w:val="22"/>
          <w:szCs w:val="22"/>
          <w:lang w:val="en-GB"/>
        </w:rPr>
        <w:t>(UNEP/OzL.Pro.WG.1/47/6)</w:t>
      </w:r>
      <w:r w:rsidRPr="00812612">
        <w:rPr>
          <w:rFonts w:ascii="Simplified Arabic" w:eastAsia="DengXian" w:hAnsi="Simplified Arabic"/>
          <w:sz w:val="24"/>
          <w:szCs w:val="24"/>
          <w:rtl/>
          <w:lang w:val="en-GB"/>
        </w:rPr>
        <w:t xml:space="preserve"> والفصل 3 من التقرير المرحلي لفريق التقييم التكنولوجي والاقتصادي، أيار/مايو 2025، المجلد 1. ويرد مشروع مقرر بشأن هذه المسألة في الوثيقة </w:t>
      </w:r>
      <w:r w:rsidRPr="00B43057">
        <w:rPr>
          <w:rFonts w:eastAsia="DengXian" w:cs="Times New Roman"/>
          <w:sz w:val="22"/>
          <w:szCs w:val="22"/>
          <w:rtl/>
          <w:lang w:val="en-GB"/>
        </w:rPr>
        <w:t>UNEP/OzL.Pro.37/3</w:t>
      </w:r>
      <w:r w:rsidRPr="00812612">
        <w:rPr>
          <w:rFonts w:ascii="Simplified Arabic" w:eastAsia="DengXian" w:hAnsi="Simplified Arabic"/>
          <w:sz w:val="24"/>
          <w:szCs w:val="24"/>
          <w:rtl/>
          <w:lang w:val="en-GB"/>
        </w:rPr>
        <w:t xml:space="preserve"> (مشروع المقرر 37/[دال]).</w:t>
      </w:r>
    </w:p>
    <w:p w14:paraId="7C7344F5" w14:textId="77777777" w:rsidR="006D2203" w:rsidRPr="00812612" w:rsidRDefault="006D2203"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وأشارت الرئيسة المشاركة إلى أن الأطراف ناقشت، في الاجتماع السابع والأربعين للفريق العامل المفتوح العضوية، مسألة الهالون 1301، استناداً إلى تقرير لجنة الخيارات التقنية لإخماد الحرائق. وقدمت أستراليا، أيضاً باسم كندا والاتحاد الأوروبي ونيوزيلندا وسويسرا والمملكة المتحدة والولايات المتحدة، مقترحاً بشأن الهالون 1301 في صناعة الطيران والمواد الخاضعة للرقابة الأخرى المستخدمة في إخماد الحرائق. ورغم أن فريق الاتصال الذي نظر في مشروع المقرر أحرز تقدما جيدا وأزال معظم الأقواس المربعة في المشروع، فإنه لم يتسن التوصل إلى اتفاق. لذلك، وافق الفريق العامل على استئناف المناقشات بشأن الهالون 1301 في الاجتماع السابع والثلاثين للأطراف على أساس مشروع المقرر، بصيغته التي نقحها فريق الاتصال. </w:t>
      </w:r>
    </w:p>
    <w:p w14:paraId="6D296A14" w14:textId="77777777" w:rsidR="006D2203" w:rsidRPr="00812612" w:rsidRDefault="006D2203"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إنشاء فريق اتصال، يشارك في رئاسته كل من خوان خوسيه غاليانو (الأرجنتين) ويانا ماسيكوفا (تشيكيا)، لمواصلة مناقشة مشروع المقرر.</w:t>
      </w:r>
    </w:p>
    <w:p w14:paraId="68D783DD" w14:textId="77777777" w:rsidR="006D2203" w:rsidRPr="00812612" w:rsidRDefault="006D2203"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بعد ذلك، أفاد الرئيس المشارك لفريق الاتصال بأنه أمكن التوصل إلى توافق في الآراء بشأن مشروع مقرر يتعلق بالهالون 1301 واستمرار استخدامه في صناعة الطيران، وإدارة المواد الأخرى الخاضعة للرقابة المستخدمة في إخماد الحرائق، لكي تنظر فيه الأطراف.</w:t>
      </w:r>
    </w:p>
    <w:p w14:paraId="2EEAA634" w14:textId="77777777" w:rsidR="006D2203" w:rsidRPr="00EE7CE2" w:rsidRDefault="006D2203"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EE7CE2">
        <w:rPr>
          <w:rFonts w:ascii="Simplified Arabic" w:eastAsia="DengXian" w:hAnsi="Simplified Arabic"/>
          <w:w w:val="107"/>
          <w:sz w:val="24"/>
          <w:szCs w:val="24"/>
          <w:rtl/>
          <w:lang w:val="en-GB"/>
        </w:rPr>
        <w:t>ووافقت الأطراف على إحالة مشروع المقرر لمواصلة النظر فيه واعتماده إن أمكن أثناء الجزء الرفيع المستوى.</w:t>
      </w:r>
    </w:p>
    <w:p w14:paraId="23EBA47E" w14:textId="246DC444" w:rsidR="00C57DC0" w:rsidRPr="00EE7CE2" w:rsidRDefault="00C57DC0" w:rsidP="00EE7CE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EE7CE2">
        <w:rPr>
          <w:rFonts w:ascii="Simplified Arabic" w:eastAsia="Times New Roman" w:hAnsi="Simplified Arabic" w:hint="default"/>
          <w:b/>
          <w:bCs/>
          <w:sz w:val="26"/>
          <w:szCs w:val="26"/>
          <w:rtl/>
          <w:lang w:val="ar-SA" w:eastAsia="zh-TW"/>
        </w:rPr>
        <w:t>عاشرا</w:t>
      </w:r>
      <w:r w:rsidR="00CE29DD" w:rsidRPr="00EE7CE2">
        <w:rPr>
          <w:rFonts w:ascii="Simplified Arabic" w:eastAsia="Times New Roman" w:hAnsi="Simplified Arabic"/>
          <w:b/>
          <w:bCs/>
          <w:sz w:val="26"/>
          <w:szCs w:val="26"/>
          <w:rtl/>
          <w:lang w:val="ar-SA" w:eastAsia="zh-TW"/>
        </w:rPr>
        <w:t>ً</w:t>
      </w:r>
      <w:r w:rsidRPr="00EE7CE2">
        <w:rPr>
          <w:rFonts w:ascii="Simplified Arabic" w:eastAsia="Times New Roman" w:hAnsi="Simplified Arabic" w:hint="default"/>
          <w:b/>
          <w:bCs/>
          <w:sz w:val="26"/>
          <w:szCs w:val="26"/>
          <w:rtl/>
          <w:lang w:val="ar-SA" w:eastAsia="zh-TW"/>
        </w:rPr>
        <w:t>-</w:t>
      </w:r>
      <w:r w:rsidRPr="00EE7CE2">
        <w:rPr>
          <w:rFonts w:ascii="Simplified Arabic" w:eastAsia="Times New Roman" w:hAnsi="Simplified Arabic" w:hint="default"/>
          <w:b/>
          <w:bCs/>
          <w:sz w:val="26"/>
          <w:szCs w:val="26"/>
          <w:rtl/>
          <w:lang w:val="ar-SA" w:eastAsia="zh-TW"/>
        </w:rPr>
        <w:tab/>
        <w:t>المبادرات الوطنية والإقليمية لدعم تنفيذ تعديل كيغالي لبروتوكول مونتريال</w:t>
      </w:r>
    </w:p>
    <w:p w14:paraId="5EEC59A3" w14:textId="77777777" w:rsidR="00D70646" w:rsidRPr="00812612" w:rsidRDefault="00D7064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عند النظر في هذا البند، كان معروضاً على الأطراف الفقرات 61 إلى 67 من مذكرة الأمانة بشأن مسائل معروضة على الاجتماع السابع والثلاثين للأطراف في بروتوكول مونتريال لمناقشتها ومعلومات للاطلاع عليها </w:t>
      </w:r>
      <w:r w:rsidRPr="00B43057">
        <w:rPr>
          <w:rFonts w:eastAsia="DengXian" w:cs="Times New Roman"/>
          <w:sz w:val="22"/>
          <w:szCs w:val="22"/>
          <w:lang w:val="en-GB"/>
        </w:rPr>
        <w:t>(UNEP/OzL.Pro.37/2)</w:t>
      </w:r>
      <w:r w:rsidRPr="00812612">
        <w:rPr>
          <w:rFonts w:ascii="Simplified Arabic" w:eastAsia="DengXian" w:hAnsi="Simplified Arabic"/>
          <w:sz w:val="24"/>
          <w:szCs w:val="24"/>
          <w:rtl/>
          <w:lang w:val="en-GB"/>
        </w:rPr>
        <w:t xml:space="preserve"> والـفـقـرات مـن 195 إلـى 206 من المرفق الأول لتـــقـــريـــر الاجــتــمــاع السابع والأربـعـيـن للفريق الـعـامـل الـمـفـتـوح الـعـضـويـة للأطــراف فــي بـروتـوكـول مـونـتـريـال بـشـأن الـمـواد الـمـسـتـنـفـدة لـطـبـقـة الأوزون </w:t>
      </w:r>
      <w:r w:rsidRPr="00B43057">
        <w:rPr>
          <w:rFonts w:eastAsia="DengXian" w:cs="Times New Roman"/>
          <w:sz w:val="22"/>
          <w:szCs w:val="22"/>
          <w:lang w:val="en-GB"/>
        </w:rPr>
        <w:t>(UNEP/OzL.Pro.WG.1/47/6)</w:t>
      </w:r>
      <w:r w:rsidRPr="00812612">
        <w:rPr>
          <w:rFonts w:ascii="Simplified Arabic" w:eastAsia="DengXian" w:hAnsi="Simplified Arabic"/>
          <w:sz w:val="24"/>
          <w:szCs w:val="24"/>
          <w:rtl/>
          <w:lang w:val="en-GB"/>
        </w:rPr>
        <w:t xml:space="preserve">. ويرد مشروع مقرر بشأن هذه المسألة في الوثيقة </w:t>
      </w:r>
      <w:r w:rsidRPr="00B43057">
        <w:rPr>
          <w:rFonts w:eastAsia="DengXian" w:cs="Times New Roman"/>
          <w:sz w:val="22"/>
          <w:szCs w:val="22"/>
          <w:rtl/>
          <w:lang w:val="en-GB"/>
        </w:rPr>
        <w:t>UNEP/OzL.Pro.37/3</w:t>
      </w:r>
      <w:r w:rsidRPr="00812612">
        <w:rPr>
          <w:rFonts w:ascii="Simplified Arabic" w:eastAsia="DengXian" w:hAnsi="Simplified Arabic"/>
          <w:sz w:val="24"/>
          <w:szCs w:val="24"/>
          <w:rtl/>
          <w:lang w:val="en-GB"/>
        </w:rPr>
        <w:t xml:space="preserve"> (مشروع المقرر 37/[هاء]).</w:t>
      </w:r>
      <w:bookmarkStart w:id="8" w:name="_Hlk213149426"/>
      <w:bookmarkStart w:id="9" w:name="_Hlk213148777"/>
      <w:bookmarkStart w:id="10" w:name="_Hlk213149106"/>
      <w:bookmarkEnd w:id="8"/>
      <w:bookmarkEnd w:id="9"/>
      <w:bookmarkEnd w:id="10"/>
    </w:p>
    <w:p w14:paraId="2C37BCCD" w14:textId="77777777" w:rsidR="00D70646" w:rsidRPr="00812612" w:rsidRDefault="00D7064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وأشارت الرئيسة المشاركة إلى أنه في الاجتماع السابع والأربعين للفريق العامل المفتوح العضوية، قُدم مشروع مقرر بشأن المبادرات الوطنية والإقليمية لدعم تنفيذ تعديل كيغالي. وقد ناقش فريق اتصال هذا المقترح، ووافق الفريق العامل على استئناف المناقشات بشأن المبادرات الوطنية والإقليمية في الاجتماع السابع والثلاثين للأطراف على أساس مشروع المقرر، بصيغته التي نقحها فريق الاتصال. وأشارت إلى أن مشروع المقرر حظي لاحقاً بدعم الفريق الأفريقي للمفاوضين.</w:t>
      </w:r>
      <w:bookmarkStart w:id="11" w:name="_Hlk213158062"/>
      <w:bookmarkEnd w:id="11"/>
    </w:p>
    <w:p w14:paraId="7152BE3D" w14:textId="77777777" w:rsidR="00D70646" w:rsidRPr="00812612" w:rsidRDefault="00D7064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إنشاء فريق اتصال، يشارك في رئاسته ماريسكا ووترز (نيوزيلندا) وكاميلا نويل (فانواتو)، لمواصلة مناقشة مشروع المقرر.</w:t>
      </w:r>
    </w:p>
    <w:p w14:paraId="0E592C17" w14:textId="77777777" w:rsidR="00D70646" w:rsidRPr="00812612" w:rsidRDefault="00D7064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lastRenderedPageBreak/>
        <w:t>وفي وقت لاحق، أفادت الرئيسة المشاركة لفريق الاتصال بأن الفريق قد توصل إلى اتفاق بشأن مشروع مقرر لكي تنظر فيه الأطراف.</w:t>
      </w:r>
    </w:p>
    <w:p w14:paraId="0DFD20A3" w14:textId="77777777" w:rsidR="00D70646" w:rsidRPr="00EE7CE2" w:rsidRDefault="00D70646"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EE7CE2">
        <w:rPr>
          <w:rFonts w:ascii="Simplified Arabic" w:eastAsia="DengXian" w:hAnsi="Simplified Arabic"/>
          <w:w w:val="107"/>
          <w:sz w:val="24"/>
          <w:szCs w:val="24"/>
          <w:rtl/>
          <w:lang w:val="en-GB"/>
        </w:rPr>
        <w:t>ووافقت الأطراف على إحالة مشروع المقرر لمواصلة النظر فيه واعتماده إن أمكن أثناء الجزء الرفيع المستوى.</w:t>
      </w:r>
    </w:p>
    <w:p w14:paraId="31742381" w14:textId="77777777" w:rsidR="00C57DC0" w:rsidRPr="00EE7CE2" w:rsidRDefault="00C57DC0" w:rsidP="006D29E2">
      <w:pPr>
        <w:keepNext/>
        <w:tabs>
          <w:tab w:val="clear" w:pos="1247"/>
          <w:tab w:val="clear" w:pos="1814"/>
          <w:tab w:val="clear" w:pos="2381"/>
          <w:tab w:val="clear" w:pos="2948"/>
          <w:tab w:val="clear" w:pos="3515"/>
        </w:tabs>
        <w:bidi/>
        <w:spacing w:after="120" w:line="360" w:lineRule="exact"/>
        <w:ind w:left="1134" w:hanging="1135"/>
        <w:jc w:val="both"/>
        <w:textDirection w:val="tbRlV"/>
        <w:rPr>
          <w:rFonts w:ascii="Simplified Arabic" w:eastAsia="Times New Roman" w:hAnsi="Simplified Arabic" w:hint="default"/>
          <w:b/>
          <w:bCs/>
          <w:sz w:val="26"/>
          <w:szCs w:val="26"/>
          <w:rtl/>
          <w:lang w:val="ar-SA" w:eastAsia="zh-TW"/>
        </w:rPr>
      </w:pPr>
      <w:r w:rsidRPr="00EE7CE2">
        <w:rPr>
          <w:rFonts w:ascii="Simplified Arabic" w:eastAsia="Times New Roman" w:hAnsi="Simplified Arabic" w:hint="default"/>
          <w:b/>
          <w:bCs/>
          <w:sz w:val="26"/>
          <w:szCs w:val="26"/>
          <w:rtl/>
          <w:lang w:val="ar-SA" w:eastAsia="zh-TW"/>
        </w:rPr>
        <w:t>حادي عشر-</w:t>
      </w:r>
      <w:r w:rsidRPr="00EE7CE2">
        <w:rPr>
          <w:rFonts w:ascii="Simplified Arabic" w:eastAsia="Times New Roman" w:hAnsi="Simplified Arabic" w:hint="default"/>
          <w:b/>
          <w:bCs/>
          <w:sz w:val="26"/>
          <w:szCs w:val="26"/>
          <w:rtl/>
          <w:lang w:val="ar-SA" w:eastAsia="zh-TW"/>
        </w:rPr>
        <w:tab/>
        <w:t>المسائل التنظيمية لفريق التقييم التكنولوجي والاقتصادي</w:t>
      </w:r>
    </w:p>
    <w:p w14:paraId="3A636A07" w14:textId="571AEBF8" w:rsidR="00BF1407" w:rsidRPr="006D29E2" w:rsidRDefault="00BF1407" w:rsidP="006D29E2">
      <w:pPr>
        <w:keepNext/>
        <w:tabs>
          <w:tab w:val="clear" w:pos="1247"/>
          <w:tab w:val="clear" w:pos="1814"/>
          <w:tab w:val="clear" w:pos="2381"/>
          <w:tab w:val="clear" w:pos="2948"/>
          <w:tab w:val="clear" w:pos="3515"/>
        </w:tabs>
        <w:bidi/>
        <w:spacing w:after="120" w:line="360" w:lineRule="exact"/>
        <w:ind w:left="1134" w:hanging="1135"/>
        <w:jc w:val="both"/>
        <w:textDirection w:val="tbRlV"/>
        <w:rPr>
          <w:rFonts w:ascii="Simplified Arabic" w:eastAsia="Times New Roman" w:hAnsi="Simplified Arabic" w:hint="default"/>
          <w:b/>
          <w:bCs/>
          <w:sz w:val="24"/>
          <w:szCs w:val="24"/>
          <w:rtl/>
          <w:lang w:eastAsia="zh-TW"/>
        </w:rPr>
      </w:pPr>
      <w:r w:rsidRPr="006D29E2">
        <w:rPr>
          <w:rFonts w:ascii="Simplified Arabic" w:eastAsia="Times New Roman" w:hAnsi="Simplified Arabic"/>
          <w:b/>
          <w:bCs/>
          <w:sz w:val="24"/>
          <w:szCs w:val="24"/>
          <w:rtl/>
          <w:lang w:val="ar-SA" w:eastAsia="zh-TW"/>
        </w:rPr>
        <w:t>ألف-</w:t>
      </w:r>
      <w:r w:rsidRPr="006D29E2">
        <w:rPr>
          <w:rFonts w:ascii="Simplified Arabic" w:eastAsia="Times New Roman" w:hAnsi="Simplified Arabic" w:hint="default"/>
          <w:b/>
          <w:bCs/>
          <w:sz w:val="24"/>
          <w:szCs w:val="24"/>
          <w:rtl/>
          <w:lang w:val="ar-SA" w:eastAsia="zh-TW"/>
        </w:rPr>
        <w:tab/>
      </w:r>
      <w:r w:rsidR="001F51C2" w:rsidRPr="006D29E2">
        <w:rPr>
          <w:rFonts w:ascii="Simplified Arabic" w:eastAsia="Times New Roman" w:hAnsi="Simplified Arabic"/>
          <w:b/>
          <w:bCs/>
          <w:sz w:val="24"/>
          <w:szCs w:val="24"/>
          <w:rtl/>
          <w:lang w:val="ar-SA" w:eastAsia="zh-TW"/>
        </w:rPr>
        <w:t xml:space="preserve">خيارات تنظيم </w:t>
      </w:r>
      <w:r w:rsidR="00A05EA5" w:rsidRPr="006D29E2">
        <w:rPr>
          <w:rFonts w:ascii="Simplified Arabic" w:eastAsia="Times New Roman" w:hAnsi="Simplified Arabic"/>
          <w:b/>
          <w:bCs/>
          <w:sz w:val="24"/>
          <w:szCs w:val="24"/>
          <w:rtl/>
          <w:lang w:val="ar-SA" w:eastAsia="zh-TW"/>
        </w:rPr>
        <w:t>فريق</w:t>
      </w:r>
      <w:r w:rsidR="001F51C2" w:rsidRPr="006D29E2">
        <w:rPr>
          <w:rFonts w:ascii="Simplified Arabic" w:eastAsia="Times New Roman" w:hAnsi="Simplified Arabic"/>
          <w:b/>
          <w:bCs/>
          <w:sz w:val="24"/>
          <w:szCs w:val="24"/>
          <w:rtl/>
          <w:lang w:val="ar-SA" w:eastAsia="zh-TW"/>
        </w:rPr>
        <w:t xml:space="preserve"> التقييم التكنولوجي والاقتصادي ولجان الخيارات </w:t>
      </w:r>
      <w:r w:rsidR="00B67768" w:rsidRPr="006D29E2">
        <w:rPr>
          <w:rFonts w:ascii="Simplified Arabic" w:eastAsia="Times New Roman" w:hAnsi="Simplified Arabic"/>
          <w:b/>
          <w:bCs/>
          <w:sz w:val="24"/>
          <w:szCs w:val="24"/>
          <w:rtl/>
          <w:lang w:val="ar-SA" w:eastAsia="zh-TW"/>
        </w:rPr>
        <w:t>التقنية</w:t>
      </w:r>
      <w:r w:rsidR="001F51C2" w:rsidRPr="006D29E2">
        <w:rPr>
          <w:rFonts w:ascii="Simplified Arabic" w:eastAsia="Times New Roman" w:hAnsi="Simplified Arabic"/>
          <w:b/>
          <w:bCs/>
          <w:sz w:val="24"/>
          <w:szCs w:val="24"/>
          <w:rtl/>
          <w:lang w:val="ar-SA" w:eastAsia="zh-TW"/>
        </w:rPr>
        <w:t xml:space="preserve"> </w:t>
      </w:r>
      <w:r w:rsidR="00A05EA5" w:rsidRPr="006D29E2">
        <w:rPr>
          <w:rFonts w:ascii="Simplified Arabic" w:eastAsia="Times New Roman" w:hAnsi="Simplified Arabic"/>
          <w:b/>
          <w:bCs/>
          <w:sz w:val="24"/>
          <w:szCs w:val="24"/>
          <w:rtl/>
          <w:lang w:val="ar-SA" w:eastAsia="zh-TW"/>
        </w:rPr>
        <w:t>التابعة له</w:t>
      </w:r>
      <w:r w:rsidR="001F51C2" w:rsidRPr="006D29E2">
        <w:rPr>
          <w:rFonts w:ascii="Simplified Arabic" w:eastAsia="Times New Roman" w:hAnsi="Simplified Arabic"/>
          <w:b/>
          <w:bCs/>
          <w:sz w:val="24"/>
          <w:szCs w:val="24"/>
          <w:rtl/>
          <w:lang w:val="ar-SA" w:eastAsia="zh-TW"/>
        </w:rPr>
        <w:t xml:space="preserve"> </w:t>
      </w:r>
      <w:r w:rsidR="001F51C2" w:rsidRPr="006D29E2">
        <w:rPr>
          <w:rFonts w:ascii="Simplified Arabic" w:eastAsia="Times New Roman" w:hAnsi="Simplified Arabic"/>
          <w:b/>
          <w:bCs/>
          <w:sz w:val="24"/>
          <w:szCs w:val="24"/>
          <w:rtl/>
          <w:lang w:eastAsia="zh-TW"/>
        </w:rPr>
        <w:t>(</w:t>
      </w:r>
      <w:r w:rsidR="001F51C2" w:rsidRPr="006D29E2">
        <w:rPr>
          <w:rFonts w:ascii="Simplified Arabic" w:eastAsia="Times New Roman" w:hAnsi="Simplified Arabic"/>
          <w:b/>
          <w:bCs/>
          <w:sz w:val="24"/>
          <w:szCs w:val="24"/>
          <w:rtl/>
          <w:lang w:val="ar-SA" w:eastAsia="zh-TW"/>
        </w:rPr>
        <w:t>ال</w:t>
      </w:r>
      <w:r w:rsidR="00A05EA5" w:rsidRPr="006D29E2">
        <w:rPr>
          <w:rFonts w:ascii="Simplified Arabic" w:eastAsia="Times New Roman" w:hAnsi="Simplified Arabic"/>
          <w:b/>
          <w:bCs/>
          <w:sz w:val="24"/>
          <w:szCs w:val="24"/>
          <w:rtl/>
          <w:lang w:val="ar-SA" w:eastAsia="zh-TW"/>
        </w:rPr>
        <w:t>م</w:t>
      </w:r>
      <w:r w:rsidR="001F51C2" w:rsidRPr="006D29E2">
        <w:rPr>
          <w:rFonts w:ascii="Simplified Arabic" w:eastAsia="Times New Roman" w:hAnsi="Simplified Arabic"/>
          <w:b/>
          <w:bCs/>
          <w:sz w:val="24"/>
          <w:szCs w:val="24"/>
          <w:rtl/>
          <w:lang w:val="ar-SA" w:eastAsia="zh-TW"/>
        </w:rPr>
        <w:t xml:space="preserve">قرر </w:t>
      </w:r>
      <w:r w:rsidR="00A05EA5" w:rsidRPr="006D29E2">
        <w:rPr>
          <w:rFonts w:ascii="Simplified Arabic" w:eastAsia="Times New Roman" w:hAnsi="Simplified Arabic"/>
          <w:b/>
          <w:bCs/>
          <w:sz w:val="24"/>
          <w:szCs w:val="24"/>
          <w:rtl/>
          <w:lang w:eastAsia="zh-TW"/>
        </w:rPr>
        <w:t>35</w:t>
      </w:r>
      <w:r w:rsidR="001F51C2" w:rsidRPr="006D29E2">
        <w:rPr>
          <w:rFonts w:ascii="Simplified Arabic" w:eastAsia="Times New Roman" w:hAnsi="Simplified Arabic"/>
          <w:b/>
          <w:bCs/>
          <w:sz w:val="24"/>
          <w:szCs w:val="24"/>
          <w:rtl/>
          <w:lang w:eastAsia="zh-TW"/>
        </w:rPr>
        <w:t>/20)</w:t>
      </w:r>
    </w:p>
    <w:p w14:paraId="79388ED3" w14:textId="77777777" w:rsidR="0017061C" w:rsidRPr="00812612" w:rsidRDefault="0017061C"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bookmarkStart w:id="12" w:name="_Hlk213154634"/>
      <w:r w:rsidRPr="00812612">
        <w:rPr>
          <w:rFonts w:ascii="Simplified Arabic" w:eastAsia="DengXian" w:hAnsi="Simplified Arabic"/>
          <w:sz w:val="24"/>
          <w:szCs w:val="24"/>
          <w:rtl/>
          <w:lang w:val="en-GB"/>
        </w:rPr>
        <w:t xml:space="preserve">عند النظر في هذا البند، كان أمام الأطراف الفقرات 73 إلى 80 والمرفقان الأول والثاني من مذكرة الأمانة بشأن مسائل معروضة على الاجتماع السابع والثلاثين للأطراف في بروتوكول مونتريال لمناقشتها ومعلومات للاطلاع عليها </w:t>
      </w:r>
      <w:r w:rsidRPr="00B43057">
        <w:rPr>
          <w:rFonts w:eastAsia="DengXian" w:cs="Times New Roman"/>
          <w:sz w:val="22"/>
          <w:szCs w:val="22"/>
          <w:lang w:val="en-GB"/>
        </w:rPr>
        <w:t>(UNEP/OzL.Pro.37/2)</w:t>
      </w:r>
      <w:r w:rsidRPr="00812612">
        <w:rPr>
          <w:rFonts w:ascii="Simplified Arabic" w:eastAsia="DengXian" w:hAnsi="Simplified Arabic"/>
          <w:sz w:val="24"/>
          <w:szCs w:val="24"/>
          <w:rtl/>
          <w:lang w:val="en-GB"/>
        </w:rPr>
        <w:t xml:space="preserve">، والفقرات 99 إلى 111 من تقرير الاجتماع السابع والأربعين للفريق العامل المفتوح العضوية للأطراف في بروتوكول مونتريال بشأن المواد المستنفدة لطبقة الأوزون </w:t>
      </w:r>
      <w:r w:rsidRPr="00B43057">
        <w:rPr>
          <w:rFonts w:eastAsia="DengXian" w:cs="Times New Roman"/>
          <w:sz w:val="22"/>
          <w:szCs w:val="22"/>
          <w:lang w:val="en-GB"/>
        </w:rPr>
        <w:t>(UNEP/OzL.Pro.WG.1/47/6)</w:t>
      </w:r>
      <w:r w:rsidRPr="00812612">
        <w:rPr>
          <w:rFonts w:ascii="Simplified Arabic" w:eastAsia="DengXian" w:hAnsi="Simplified Arabic"/>
          <w:sz w:val="24"/>
          <w:szCs w:val="24"/>
          <w:rtl/>
          <w:lang w:val="en-GB"/>
        </w:rPr>
        <w:t xml:space="preserve">، واختصاصات فريق التقييم التكنولوجي والاقتصادي ولجان الخيارات التقنية والهيئات الفرعية المؤقتة التابعة له، على النحو المبين في مرفق المقرر 24/8 (انظر </w:t>
      </w:r>
      <w:r w:rsidRPr="00B43057">
        <w:rPr>
          <w:rFonts w:eastAsia="DengXian" w:cs="Times New Roman"/>
          <w:sz w:val="22"/>
          <w:szCs w:val="22"/>
          <w:rtl/>
          <w:lang w:val="en-GB"/>
        </w:rPr>
        <w:t>UNEP/Ozl.Pro.24/10</w:t>
      </w:r>
      <w:r w:rsidRPr="00812612">
        <w:rPr>
          <w:rFonts w:ascii="Simplified Arabic" w:eastAsia="DengXian" w:hAnsi="Simplified Arabic"/>
          <w:sz w:val="24"/>
          <w:szCs w:val="24"/>
          <w:rtl/>
          <w:lang w:val="en-GB"/>
        </w:rPr>
        <w:t>).</w:t>
      </w:r>
      <w:bookmarkStart w:id="13" w:name="_Hlk213153388"/>
      <w:bookmarkStart w:id="14" w:name="_Hlk213153408"/>
      <w:bookmarkStart w:id="15" w:name="_Hlk213154839"/>
      <w:bookmarkEnd w:id="13"/>
      <w:bookmarkEnd w:id="14"/>
      <w:bookmarkEnd w:id="15"/>
    </w:p>
    <w:p w14:paraId="09CC2D71" w14:textId="77777777" w:rsidR="0017061C" w:rsidRPr="00812612" w:rsidRDefault="0017061C"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bookmarkStart w:id="16" w:name="_Hlk213155117"/>
      <w:bookmarkStart w:id="17" w:name="_Hlk213155124"/>
      <w:bookmarkEnd w:id="12"/>
      <w:r w:rsidRPr="00812612">
        <w:rPr>
          <w:rFonts w:ascii="Simplified Arabic" w:eastAsia="DengXian" w:hAnsi="Simplified Arabic"/>
          <w:sz w:val="24"/>
          <w:szCs w:val="24"/>
          <w:rtl/>
          <w:lang w:val="en-GB"/>
        </w:rPr>
        <w:t>وأشارت الرئيسة المشاركة إلى أن فريقاً غير رسمي من الأطراف المعنية قد اجتمع، على هامش الاجتماع السابع والأربعين للفريق العامل المفتوح العضوية، مع الرئيسين المشاركين لفريق التقييم التكنولوجي والاقتصادي ولجان الخيارات التقنية التابعة له لمواصلة مناقشة الخيارات المتعلقة بتنظيم الفريق ولجان الخيارات التقنية التابعة له. وفي نهاية الاجتماع، أشار الفريق إلى أنه يحتاج إلى مزيد من الوقت لتقديم المعلومات الإضافية التي طلبتها الأطراف، وأشارت الأطراف أيضاً إلى أنها تحتاج إلى مزيد من الوقت للنظر في هذه المسألة. ووافق الفريق العامل على استئناف المناقشات بشأن تنظيم الفريق ولجان الخيارات التقنية التابعة له في الاجتماع السابع والثلاثين للأطراف.</w:t>
      </w:r>
      <w:bookmarkStart w:id="18" w:name="_Hlk213153435"/>
      <w:bookmarkEnd w:id="16"/>
      <w:bookmarkEnd w:id="17"/>
      <w:bookmarkEnd w:id="18"/>
    </w:p>
    <w:p w14:paraId="78F7F408" w14:textId="77777777" w:rsidR="0017061C" w:rsidRPr="00812612" w:rsidRDefault="0017061C"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وأعد الفريق في وقت لاحق المعلومات الإضافية التي طلبتها الأطراف خلال المناقشات غير الرسمية للفريق، وأصبح على استعداد للرد على أي أسئلة. ودعت الرئيسة المشاركة الأطراف إلى بيان الكيفية التي ترغب من خلالها في المضي قدماً في تناول هذا البند من جدول الأعمال.</w:t>
      </w:r>
    </w:p>
    <w:p w14:paraId="5B59C8A5" w14:textId="77777777" w:rsidR="0017061C" w:rsidRPr="00812612" w:rsidRDefault="0017061C"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وقال بعض الممثلين إنه سيكون من المفيد مواصلة إجراء مناقشة غير رسمية بين الأطراف المعنية والرئيسين المشاركين للفريق؛ ويمكن للرئيسين المشاركين تقديم معلومات من شأنها أن تساعد الأطراف في تحديد مسار للمضي قدماً نحو اتخاذ قرار، على الرغم من أنه لم يتضح ما إذا كان من الممكن التوصل إلى اتفاق بشأن قرار في الاجتماع الحالي. </w:t>
      </w:r>
    </w:p>
    <w:p w14:paraId="1E7357F5" w14:textId="5B77F13F" w:rsidR="0017061C" w:rsidRPr="00812612" w:rsidRDefault="0017061C"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rtl/>
          <w:lang w:val="en-GB"/>
        </w:rPr>
      </w:pPr>
      <w:bookmarkStart w:id="19" w:name="_Hlk213156984"/>
      <w:r w:rsidRPr="00812612">
        <w:rPr>
          <w:rFonts w:ascii="Simplified Arabic" w:eastAsia="DengXian" w:hAnsi="Simplified Arabic"/>
          <w:sz w:val="24"/>
          <w:szCs w:val="24"/>
          <w:rtl/>
          <w:lang w:val="en-GB"/>
        </w:rPr>
        <w:t>ووافقت الأطراف على إنشاء فريق غير رسمي</w:t>
      </w:r>
      <w:r w:rsidR="006D5156" w:rsidRPr="00812612">
        <w:rPr>
          <w:rFonts w:ascii="Simplified Arabic" w:eastAsia="DengXian" w:hAnsi="Simplified Arabic"/>
          <w:sz w:val="24"/>
          <w:szCs w:val="24"/>
          <w:rtl/>
          <w:lang w:val="en-GB"/>
        </w:rPr>
        <w:t xml:space="preserve">، تشارك في تيسيره </w:t>
      </w:r>
      <w:r w:rsidR="00260B36" w:rsidRPr="00812612">
        <w:rPr>
          <w:rFonts w:ascii="Simplified Arabic" w:eastAsia="DengXian" w:hAnsi="Simplified Arabic"/>
          <w:sz w:val="24"/>
          <w:szCs w:val="24"/>
          <w:rtl/>
          <w:lang w:val="en-GB"/>
        </w:rPr>
        <w:t xml:space="preserve">سيندي كونيل </w:t>
      </w:r>
      <w:r w:rsidR="00260B36" w:rsidRPr="006D29E2">
        <w:rPr>
          <w:rFonts w:ascii="Simplified Arabic" w:eastAsia="DengXian" w:hAnsi="Simplified Arabic"/>
          <w:sz w:val="24"/>
          <w:szCs w:val="24"/>
          <w:rtl/>
          <w:lang w:val="en-GB"/>
        </w:rPr>
        <w:t>(</w:t>
      </w:r>
      <w:r w:rsidR="00260B36" w:rsidRPr="00812612">
        <w:rPr>
          <w:rFonts w:ascii="Simplified Arabic" w:eastAsia="DengXian" w:hAnsi="Simplified Arabic"/>
          <w:sz w:val="24"/>
          <w:szCs w:val="24"/>
          <w:rtl/>
          <w:lang w:val="en-GB"/>
        </w:rPr>
        <w:t>بليز</w:t>
      </w:r>
      <w:r w:rsidR="00260B36" w:rsidRPr="006D29E2">
        <w:rPr>
          <w:rFonts w:ascii="Simplified Arabic" w:eastAsia="DengXian" w:hAnsi="Simplified Arabic"/>
          <w:sz w:val="24"/>
          <w:szCs w:val="24"/>
          <w:rtl/>
          <w:lang w:val="en-GB"/>
        </w:rPr>
        <w:t xml:space="preserve">) </w:t>
      </w:r>
      <w:r w:rsidR="00260B36" w:rsidRPr="00812612">
        <w:rPr>
          <w:rFonts w:ascii="Simplified Arabic" w:eastAsia="DengXian" w:hAnsi="Simplified Arabic"/>
          <w:sz w:val="24"/>
          <w:szCs w:val="24"/>
          <w:rtl/>
          <w:lang w:val="en-GB"/>
        </w:rPr>
        <w:t xml:space="preserve">وماتيه مرلينا </w:t>
      </w:r>
      <w:r w:rsidR="00260B36" w:rsidRPr="006D29E2">
        <w:rPr>
          <w:rFonts w:ascii="Simplified Arabic" w:eastAsia="DengXian" w:hAnsi="Simplified Arabic"/>
          <w:sz w:val="24"/>
          <w:szCs w:val="24"/>
          <w:rtl/>
          <w:lang w:val="en-GB"/>
        </w:rPr>
        <w:t>(</w:t>
      </w:r>
      <w:r w:rsidR="00260B36" w:rsidRPr="00812612">
        <w:rPr>
          <w:rFonts w:ascii="Simplified Arabic" w:eastAsia="DengXian" w:hAnsi="Simplified Arabic"/>
          <w:sz w:val="24"/>
          <w:szCs w:val="24"/>
          <w:rtl/>
          <w:lang w:val="en-GB"/>
        </w:rPr>
        <w:t>تشيكيا</w:t>
      </w:r>
      <w:r w:rsidR="00260B36" w:rsidRPr="006D29E2">
        <w:rPr>
          <w:rFonts w:ascii="Simplified Arabic" w:eastAsia="DengXian" w:hAnsi="Simplified Arabic"/>
          <w:sz w:val="24"/>
          <w:szCs w:val="24"/>
          <w:rtl/>
          <w:lang w:val="en-GB"/>
        </w:rPr>
        <w:t>)</w:t>
      </w:r>
      <w:r w:rsidR="00837377" w:rsidRPr="006D29E2">
        <w:rPr>
          <w:rFonts w:ascii="Simplified Arabic" w:eastAsia="DengXian" w:hAnsi="Simplified Arabic"/>
          <w:sz w:val="24"/>
          <w:szCs w:val="24"/>
          <w:rtl/>
          <w:lang w:val="en-GB"/>
        </w:rPr>
        <w:t>،</w:t>
      </w:r>
      <w:r w:rsidRPr="00812612">
        <w:rPr>
          <w:rFonts w:ascii="Simplified Arabic" w:eastAsia="DengXian" w:hAnsi="Simplified Arabic"/>
          <w:sz w:val="24"/>
          <w:szCs w:val="24"/>
          <w:rtl/>
          <w:lang w:val="en-GB"/>
        </w:rPr>
        <w:t xml:space="preserve"> لمواصلة المناقشات بشأن هذه المسألة، على أساس أنه قد يتعين الاستمرار في المناقشات في الاجتماع الثامن والأربعين للفريق العامل المفتوح العضوية، في عام 2026.</w:t>
      </w:r>
      <w:bookmarkEnd w:id="19"/>
    </w:p>
    <w:p w14:paraId="4A0208B4" w14:textId="77777777" w:rsidR="0017061C" w:rsidRPr="00812612" w:rsidRDefault="0017061C"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 وقت لاحق، أفاد الميسر المشارك للفريق غير الرسمي بأن الفريق ناقش خيارات مختلفة، ولكن في ضوء التزامات فريق التقييم التكنولوجي والاقتصادي والرغبة في عدم تعطيل عمله الجاري، الذي يشمل إعداد تقييمه الذي يجري كل أربع سنوات، رأى الفريق أنه من غير المناسب إعادة هيكلة الفريق ولجان الخيارات التقنية التابعة له في الوقت الحاضر. ومع ذلك، جرى التأكيد على أهمية مواصلة المناقشات، لا سيما فيما يتعلق بتحسين حجم العمل والعضوية والقيود المالية، وطُلب إدراج معلومات عن الآثار المترتبة على التكاليف في تقرير الفريق. وأخيراً، كان هناك توافق واسع بين الأطراف على أن المناقشات بشأن هذه المسألة ينبغي أن تستمر في الاجتماع الثامن والأربعين للفريق العامل المفتوح العضوية.</w:t>
      </w:r>
    </w:p>
    <w:p w14:paraId="4B14ABCB" w14:textId="77777777" w:rsidR="0017061C" w:rsidRPr="006D29E2" w:rsidRDefault="0017061C"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6D29E2">
        <w:rPr>
          <w:rFonts w:ascii="Simplified Arabic" w:eastAsia="DengXian" w:hAnsi="Simplified Arabic"/>
          <w:w w:val="107"/>
          <w:sz w:val="24"/>
          <w:szCs w:val="24"/>
          <w:rtl/>
          <w:lang w:val="en-GB"/>
        </w:rPr>
        <w:lastRenderedPageBreak/>
        <w:t>ووافقت الأطراف على إدراج هذا البند في جدول أعمال الاجتماع الثامن والأربعين للفريق العامل المفتوح العضوية.</w:t>
      </w:r>
    </w:p>
    <w:p w14:paraId="4AFCDE91" w14:textId="77777777" w:rsidR="00C57DC0" w:rsidRPr="006D29E2" w:rsidRDefault="00C57DC0" w:rsidP="006D29E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4"/>
          <w:szCs w:val="24"/>
          <w:lang w:val="ar-SA" w:eastAsia="zh-TW"/>
        </w:rPr>
      </w:pPr>
      <w:r w:rsidRPr="006D29E2">
        <w:rPr>
          <w:rFonts w:ascii="Simplified Arabic" w:eastAsia="Times New Roman" w:hAnsi="Simplified Arabic" w:hint="default"/>
          <w:b/>
          <w:bCs/>
          <w:sz w:val="24"/>
          <w:szCs w:val="24"/>
          <w:rtl/>
          <w:lang w:val="ar-SA" w:eastAsia="zh-TW"/>
        </w:rPr>
        <w:t>باء-</w:t>
      </w:r>
      <w:r w:rsidRPr="006D29E2">
        <w:rPr>
          <w:rFonts w:ascii="Simplified Arabic" w:eastAsia="Times New Roman" w:hAnsi="Simplified Arabic" w:hint="default"/>
          <w:b/>
          <w:bCs/>
          <w:sz w:val="24"/>
          <w:szCs w:val="24"/>
          <w:rtl/>
          <w:lang w:val="ar-SA" w:eastAsia="zh-TW"/>
        </w:rPr>
        <w:tab/>
        <w:t>التغييرات في عضوية فريق التقييم التكنولوجي والاقتصادي</w:t>
      </w:r>
    </w:p>
    <w:p w14:paraId="59E2F3BE" w14:textId="7C4F342E" w:rsidR="00D805B1" w:rsidRPr="00812612" w:rsidRDefault="00D805B1"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عُــرضــت عــلــى الأطــراف، فــي ســيــاق الــنــظــر في هذا البــنــد، الفقرات من 73 إلى 80 والمرفقان الأول والثاني من مذكرة الأمانة بشأن مسائل معروضة على الاجتماع السابع والثلاثين للأطراف في بروتوكول مونتريال لمناقشتها ومعلومات للاطلاع عليها </w:t>
      </w:r>
      <w:r w:rsidR="006D29E2" w:rsidRPr="001531D0">
        <w:rPr>
          <w:rFonts w:eastAsia="DengXian" w:cs="Times New Roman"/>
          <w:sz w:val="22"/>
          <w:szCs w:val="22"/>
          <w:rtl/>
          <w:lang w:val="en-GB"/>
        </w:rPr>
        <w:t>(</w:t>
      </w:r>
      <w:r w:rsidR="001531D0" w:rsidRPr="001531D0">
        <w:rPr>
          <w:rFonts w:cs="Times New Roman"/>
          <w:sz w:val="22"/>
          <w:szCs w:val="22"/>
        </w:rPr>
        <w:t>UNEP/OzL.Pro.37/2</w:t>
      </w:r>
      <w:r w:rsidR="006D29E2" w:rsidRPr="001531D0">
        <w:rPr>
          <w:rFonts w:eastAsia="DengXian" w:cs="Times New Roman"/>
          <w:sz w:val="22"/>
          <w:szCs w:val="22"/>
          <w:rtl/>
          <w:lang w:val="en-GB"/>
        </w:rPr>
        <w:t>)</w:t>
      </w:r>
      <w:r w:rsidRPr="00812612">
        <w:rPr>
          <w:rFonts w:ascii="Simplified Arabic" w:eastAsia="DengXian" w:hAnsi="Simplified Arabic"/>
          <w:sz w:val="24"/>
          <w:szCs w:val="24"/>
          <w:rtl/>
          <w:lang w:val="en-GB"/>
        </w:rPr>
        <w:t xml:space="preserve">؛ والفقرات 61 إلى 65 من الإضافةً إلى المذكرة </w:t>
      </w:r>
      <w:r w:rsidRPr="00B43057">
        <w:rPr>
          <w:rFonts w:eastAsia="DengXian" w:cs="Times New Roman"/>
          <w:sz w:val="22"/>
          <w:szCs w:val="22"/>
          <w:lang w:val="en-GB"/>
        </w:rPr>
        <w:t>(UNEP/OzL.Pro.37/2/Add.1)</w:t>
      </w:r>
      <w:r w:rsidRPr="00812612">
        <w:rPr>
          <w:rFonts w:ascii="Simplified Arabic" w:eastAsia="DengXian" w:hAnsi="Simplified Arabic"/>
          <w:sz w:val="24"/>
          <w:szCs w:val="24"/>
          <w:rtl/>
          <w:lang w:val="en-GB"/>
        </w:rPr>
        <w:t>؛ والمرفقان 4 و 5 من التقرير المرحلي لفريق التقييم التكنولوجي والاقتصادي، أيار/مايو 2025، المجلد 1؛ واختصاصات فريق التقييم التكنولوجي والاقتصادي ولجان الخيارات التقنية والهيئات الفرعية المؤقتة التابعة له، على النحو المبين في مرفق المقرر 24/8؛ والدليل التمهيدي لفريق التقييم التكنولوجي والاقتصادي ومصفوفة الخبرات المطلوبة.</w:t>
      </w:r>
      <w:bookmarkStart w:id="20" w:name="_Hlk213154696"/>
      <w:bookmarkStart w:id="21" w:name="_Hlk213154729"/>
      <w:bookmarkStart w:id="22" w:name="_Hlk213154959"/>
      <w:bookmarkStart w:id="23" w:name="_Hlk213155160"/>
      <w:bookmarkEnd w:id="20"/>
      <w:bookmarkEnd w:id="21"/>
      <w:bookmarkEnd w:id="22"/>
      <w:bookmarkEnd w:id="23"/>
    </w:p>
    <w:p w14:paraId="72ADB12A" w14:textId="16A13EC9" w:rsidR="00D805B1" w:rsidRPr="00812612" w:rsidRDefault="00D805B1"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وأشارت الرئيسة المشاركة إلى أنه في الاجتماع السابع والأربعين للفريق العامل المفتوح العضوية، وُجّه انتباه الأطراف إلى قائمة الرؤساء المشاركين وأعضاء فريق التقييم التكنولوجي والاقتصادي ولجان الخيارات التقنية الذين تنتهي عضويتهم في نهاية عام 2025، على النحو المبين في التقرير المرحلي للفريق لعام 2025. وقد تلقت الأمانة حتى الآن أربعة ترشيحات: مارتا بيزانو لتولي منصب الرئيس المشارك للجنة الخيارات التقنية لبروميد الميثيل لولاية إضافية مدتها أربع سنوات؛ وإيان بورتر لكي يشغل منصب الرئيس المشارك للجنة الخيارات التقنية لبروميد الميثيل لفترة إضافية مدتها سنتان؛ وهيلين توب لكي تشغل منصب الرئيس المشارك للجنة الخيارات التقنية الطبية والكيميائية لفترة إضافية مدتها أربع سنوات؛ وهيلين والتر-تيرينوني لتولي منصب الرئيس المشارك للجنة الخيارات التقنية للرغاوى المرنة والجاسئة لفترة إضافية مدتها أربع سنوات. وقد نُشرت الترشيحات على بوابة الاجتماع. وطلبت الرئيسة المشاركة من جميع الأطراف التي تقدم ترشيحات إضافية أن تفعل ذلك في أقرب وقت ممكن </w:t>
      </w:r>
      <w:r w:rsidR="008A422F" w:rsidRPr="00812612">
        <w:rPr>
          <w:rFonts w:ascii="Simplified Arabic" w:eastAsia="DengXian" w:hAnsi="Simplified Arabic"/>
          <w:sz w:val="24"/>
          <w:szCs w:val="24"/>
          <w:rtl/>
          <w:lang w:val="en-GB"/>
        </w:rPr>
        <w:t>ومن ثم</w:t>
      </w:r>
      <w:r w:rsidRPr="00812612">
        <w:rPr>
          <w:rFonts w:ascii="Simplified Arabic" w:eastAsia="DengXian" w:hAnsi="Simplified Arabic"/>
          <w:sz w:val="24"/>
          <w:szCs w:val="24"/>
          <w:rtl/>
          <w:lang w:val="en-GB"/>
        </w:rPr>
        <w:t xml:space="preserve"> تعد </w:t>
      </w:r>
      <w:r w:rsidR="008A422F" w:rsidRPr="00812612">
        <w:rPr>
          <w:rFonts w:ascii="Simplified Arabic" w:eastAsia="DengXian" w:hAnsi="Simplified Arabic"/>
          <w:sz w:val="24"/>
          <w:szCs w:val="24"/>
          <w:rtl/>
          <w:lang w:val="en-GB"/>
        </w:rPr>
        <w:t xml:space="preserve">الأمانة </w:t>
      </w:r>
      <w:r w:rsidRPr="00812612">
        <w:rPr>
          <w:rFonts w:ascii="Simplified Arabic" w:eastAsia="DengXian" w:hAnsi="Simplified Arabic"/>
          <w:sz w:val="24"/>
          <w:szCs w:val="24"/>
          <w:rtl/>
          <w:lang w:val="en-GB"/>
        </w:rPr>
        <w:t xml:space="preserve">مشروع مقرر لمناقشته في الاجتماع الحالي. </w:t>
      </w:r>
      <w:bookmarkStart w:id="24" w:name="_Hlk213156132"/>
      <w:bookmarkStart w:id="25" w:name="_Hlk213155235"/>
      <w:bookmarkStart w:id="26" w:name="_Hlk213155965"/>
      <w:bookmarkEnd w:id="24"/>
      <w:bookmarkEnd w:id="25"/>
      <w:bookmarkEnd w:id="26"/>
    </w:p>
    <w:p w14:paraId="0C727CBD" w14:textId="77777777" w:rsidR="00D805B1" w:rsidRPr="00812612" w:rsidRDefault="00D805B1"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وأعربت ممثلة عن تقديرها لتفاني سيرجي كوبيلوف في أداء دوره رئيساً مشاركاً للجنة الخيارات التقنية لإخماد الحرائق. ودعت الأطراف إلى ضمان أن يضم الفريق ولجان الخيارات التقنية أعضاء من البلدان النامية، بما في ذلك البلدان ذات درجات الحرارة المحيطة العالية، بما يتماشى مع المقرر 31/8.</w:t>
      </w:r>
    </w:p>
    <w:p w14:paraId="1F282878" w14:textId="77777777" w:rsidR="00D805B1" w:rsidRPr="00812612" w:rsidRDefault="00D805B1"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إنشاء فريق غير رسمي لمواصلة المناقشات بشأن هذه المسألة.</w:t>
      </w:r>
    </w:p>
    <w:p w14:paraId="62A533D9" w14:textId="77777777" w:rsidR="00D805B1" w:rsidRPr="00812612" w:rsidRDefault="00D805B1"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وأبلغت الرئيسة المشاركة الأطراف بأن الفريق غير الرسمي قد توصل إلى اتفاق بشأن مشروع مقرر في هذا الشأن لكي تنظر فيه الأطراف.</w:t>
      </w:r>
    </w:p>
    <w:p w14:paraId="76C2E4C5" w14:textId="77777777" w:rsidR="00D805B1" w:rsidRPr="006D29E2" w:rsidRDefault="00D805B1"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6D29E2">
        <w:rPr>
          <w:rFonts w:ascii="Simplified Arabic" w:eastAsia="DengXian" w:hAnsi="Simplified Arabic"/>
          <w:w w:val="107"/>
          <w:sz w:val="24"/>
          <w:szCs w:val="24"/>
          <w:rtl/>
          <w:lang w:val="en-GB"/>
        </w:rPr>
        <w:t>ووافقت الأطراف على إحالة مشروع المقرر لمواصلة النظر فيه واعتماده إن أمكن أثناء الجزء الرفيع المستوى.</w:t>
      </w:r>
    </w:p>
    <w:p w14:paraId="2011CDC0" w14:textId="728E8876" w:rsidR="001112F2" w:rsidRPr="006D29E2" w:rsidRDefault="001112F2" w:rsidP="006D29E2">
      <w:pPr>
        <w:keepNext/>
        <w:tabs>
          <w:tab w:val="clear" w:pos="1247"/>
          <w:tab w:val="clear" w:pos="1814"/>
          <w:tab w:val="clear" w:pos="2381"/>
          <w:tab w:val="clear" w:pos="2948"/>
          <w:tab w:val="clear" w:pos="3515"/>
        </w:tabs>
        <w:bidi/>
        <w:spacing w:after="120" w:line="360" w:lineRule="exact"/>
        <w:ind w:left="1134" w:hanging="1135"/>
        <w:jc w:val="both"/>
        <w:textDirection w:val="tbRlV"/>
        <w:rPr>
          <w:rFonts w:ascii="Simplified Arabic" w:eastAsia="Times New Roman" w:hAnsi="Simplified Arabic" w:hint="default"/>
          <w:b/>
          <w:bCs/>
          <w:sz w:val="26"/>
          <w:szCs w:val="26"/>
          <w:lang w:val="en-GB" w:eastAsia="zh-TW"/>
        </w:rPr>
      </w:pPr>
      <w:bookmarkStart w:id="27" w:name="_Hlk213163587"/>
      <w:r w:rsidRPr="006D29E2">
        <w:rPr>
          <w:rFonts w:ascii="Simplified Arabic" w:eastAsia="Times New Roman" w:hAnsi="Simplified Arabic" w:hint="default"/>
          <w:b/>
          <w:bCs/>
          <w:sz w:val="26"/>
          <w:szCs w:val="26"/>
          <w:rtl/>
          <w:lang w:val="ar-SA" w:eastAsia="zh-TW"/>
        </w:rPr>
        <w:t>ثاني عشر-</w:t>
      </w:r>
      <w:r w:rsidRPr="006D29E2">
        <w:rPr>
          <w:rFonts w:ascii="Simplified Arabic" w:eastAsia="Times New Roman" w:hAnsi="Simplified Arabic" w:hint="default"/>
          <w:b/>
          <w:bCs/>
          <w:sz w:val="26"/>
          <w:szCs w:val="26"/>
          <w:rtl/>
          <w:lang w:val="ar-SA" w:eastAsia="zh-TW"/>
        </w:rPr>
        <w:tab/>
        <w:t>زيادة تعزيز مؤسسات بروتوكول مونتريال (المقرر 36/9)</w:t>
      </w:r>
    </w:p>
    <w:p w14:paraId="3E79B373" w14:textId="401DAC2E" w:rsidR="00A935EF" w:rsidRPr="00FF34B9"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FF34B9">
        <w:rPr>
          <w:rFonts w:ascii="Simplified Arabic" w:eastAsia="DengXian" w:hAnsi="Simplified Arabic"/>
          <w:w w:val="104"/>
          <w:sz w:val="24"/>
          <w:szCs w:val="24"/>
          <w:rtl/>
          <w:lang w:val="en-GB"/>
        </w:rPr>
        <w:t xml:space="preserve">عند النظر في هذا البند، كان معروضاً على الأطراف الفقرات 81 إلى 84 من مذكرة الأمانة بشأن مسائل معروضة على الاجتماع السابع والثلاثين للأطراف في بروتوكول مونتريال لمناقشتها ومعلومات للاطلاع عليها </w:t>
      </w:r>
      <w:r w:rsidRPr="00FF34B9">
        <w:rPr>
          <w:rFonts w:eastAsia="DengXian" w:cs="Times New Roman"/>
          <w:w w:val="104"/>
          <w:sz w:val="22"/>
          <w:szCs w:val="22"/>
          <w:lang w:val="en-GB"/>
        </w:rPr>
        <w:t>(UNEP/OzL.Pro.37/2)</w:t>
      </w:r>
      <w:r w:rsidRPr="00FF34B9">
        <w:rPr>
          <w:rFonts w:ascii="Simplified Arabic" w:eastAsia="DengXian" w:hAnsi="Simplified Arabic"/>
          <w:w w:val="104"/>
          <w:sz w:val="24"/>
          <w:szCs w:val="24"/>
          <w:rtl/>
          <w:lang w:val="en-GB"/>
        </w:rPr>
        <w:t xml:space="preserve"> والـفـقـرات مـن 168 إلـى 179 من تـــقـــريـــر الاجــتــمــاع السابع والأربـعـيـن للفريق الـعـامـل الـمـفـتـوح الـعـضـويـة للأطــراف فــي بـروتـوكـول مـونـتـريـال بـشـأن الـمـواد الـمـسـتـنـفـدة لـطـبـقـة الأوزون </w:t>
      </w:r>
      <w:r w:rsidRPr="00FF34B9">
        <w:rPr>
          <w:rFonts w:eastAsia="DengXian" w:cs="Times New Roman"/>
          <w:w w:val="104"/>
          <w:sz w:val="22"/>
          <w:szCs w:val="22"/>
          <w:lang w:val="en-GB"/>
        </w:rPr>
        <w:t>(UNEP/OzL.Pro.WG.1/47/6)</w:t>
      </w:r>
      <w:r w:rsidRPr="00FF34B9">
        <w:rPr>
          <w:rFonts w:ascii="Simplified Arabic" w:eastAsia="DengXian" w:hAnsi="Simplified Arabic"/>
          <w:w w:val="104"/>
          <w:sz w:val="24"/>
          <w:szCs w:val="24"/>
          <w:rtl/>
          <w:lang w:val="en-GB"/>
        </w:rPr>
        <w:t xml:space="preserve"> ومذكرة من الأمانة بعنوان </w:t>
      </w:r>
      <w:r w:rsidR="00D5366C" w:rsidRPr="00FF34B9">
        <w:rPr>
          <w:rFonts w:ascii="Simplified Arabic" w:hAnsi="Simplified Arabic"/>
          <w:w w:val="104"/>
          <w:sz w:val="24"/>
          <w:szCs w:val="24"/>
          <w:rtl/>
        </w:rPr>
        <w:t>”</w:t>
      </w:r>
      <w:r w:rsidRPr="00FF34B9">
        <w:rPr>
          <w:rFonts w:ascii="Simplified Arabic" w:eastAsia="DengXian" w:hAnsi="Simplified Arabic"/>
          <w:w w:val="104"/>
          <w:sz w:val="24"/>
          <w:szCs w:val="24"/>
          <w:rtl/>
          <w:lang w:val="en-GB"/>
        </w:rPr>
        <w:t>مذكرة مفاهيمية وبرنامج مؤقت</w:t>
      </w:r>
      <w:r w:rsidR="00D5366C" w:rsidRPr="00FF34B9">
        <w:rPr>
          <w:rFonts w:ascii="Simplified Arabic" w:hAnsi="Simplified Arabic"/>
          <w:w w:val="104"/>
          <w:sz w:val="24"/>
          <w:szCs w:val="24"/>
          <w:rtl/>
        </w:rPr>
        <w:t>“</w:t>
      </w:r>
      <w:r w:rsidRPr="00FF34B9">
        <w:rPr>
          <w:rFonts w:ascii="Simplified Arabic" w:eastAsia="DengXian" w:hAnsi="Simplified Arabic"/>
          <w:w w:val="104"/>
          <w:sz w:val="24"/>
          <w:szCs w:val="24"/>
          <w:rtl/>
          <w:lang w:val="en-GB"/>
        </w:rPr>
        <w:t xml:space="preserve"> للاجتماع غير الرسمي</w:t>
      </w:r>
      <w:r w:rsidR="00901F50" w:rsidRPr="00FF34B9">
        <w:rPr>
          <w:rFonts w:ascii="Simplified Arabic" w:eastAsia="DengXian" w:hAnsi="Simplified Arabic"/>
          <w:w w:val="104"/>
          <w:sz w:val="24"/>
          <w:szCs w:val="24"/>
          <w:vertAlign w:val="superscript"/>
          <w:rtl/>
          <w:lang w:val="en-GB"/>
        </w:rPr>
        <w:t>(</w:t>
      </w:r>
      <w:r w:rsidRPr="00FF34B9">
        <w:rPr>
          <w:rFonts w:ascii="Simplified Arabic" w:eastAsia="DengXian" w:hAnsi="Simplified Arabic"/>
          <w:w w:val="104"/>
          <w:sz w:val="24"/>
          <w:szCs w:val="24"/>
          <w:vertAlign w:val="superscript"/>
          <w:rtl/>
          <w:lang w:val="en-GB"/>
        </w:rPr>
        <w:footnoteReference w:id="3"/>
      </w:r>
      <w:r w:rsidR="00901F50" w:rsidRPr="00FF34B9">
        <w:rPr>
          <w:rFonts w:ascii="Simplified Arabic" w:eastAsia="DengXian" w:hAnsi="Simplified Arabic"/>
          <w:w w:val="104"/>
          <w:sz w:val="24"/>
          <w:szCs w:val="24"/>
          <w:vertAlign w:val="superscript"/>
          <w:rtl/>
          <w:lang w:val="en-GB"/>
        </w:rPr>
        <w:t>)</w:t>
      </w:r>
      <w:r w:rsidRPr="00FF34B9">
        <w:rPr>
          <w:rFonts w:ascii="Simplified Arabic" w:eastAsia="DengXian" w:hAnsi="Simplified Arabic"/>
          <w:w w:val="104"/>
          <w:sz w:val="24"/>
          <w:szCs w:val="24"/>
          <w:rtl/>
          <w:lang w:val="en-GB"/>
        </w:rPr>
        <w:t>.</w:t>
      </w:r>
      <w:bookmarkStart w:id="28" w:name="_Hlk213162786"/>
      <w:bookmarkEnd w:id="28"/>
    </w:p>
    <w:bookmarkEnd w:id="27"/>
    <w:p w14:paraId="5DE61BDE" w14:textId="37378B0D"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lastRenderedPageBreak/>
        <w:t xml:space="preserve">وأشارت الرئيسة المشاركة إلى أن الأطراف المعنية اجتمعت مع الأمانة في الاجتماع السابع والأربعين للفريق العامل المفتوح العضوية للنظر في المواضيع التي ستخضع للمناقشة في الاجتماع المطلوب عقده بموجب المقرر 36/9. وعُقد الاجتماع غير الرسمي للأطراف الذي استمر يوماً واحداً بشأن تيسير تنفيذ بروتوكول مونتريال يوم الأحد، 2 تشرين الثاني/نوفمبر 2025. وأعدت الأمانة ونشرت موجزاً لنتائج الاجتماع </w:t>
      </w:r>
      <w:r w:rsidRPr="00B43057">
        <w:rPr>
          <w:rFonts w:eastAsia="DengXian" w:cs="Times New Roman"/>
          <w:sz w:val="22"/>
          <w:szCs w:val="22"/>
          <w:lang w:val="en-GB"/>
        </w:rPr>
        <w:t>(UNEP/OzL.Pro.37/7)</w:t>
      </w:r>
      <w:r w:rsidRPr="00812612">
        <w:rPr>
          <w:rFonts w:ascii="Simplified Arabic" w:eastAsia="DengXian" w:hAnsi="Simplified Arabic"/>
          <w:sz w:val="24"/>
          <w:szCs w:val="24"/>
          <w:rtl/>
          <w:lang w:val="en-GB"/>
        </w:rPr>
        <w:t>، استند إلى حد كبير إلى الرسائل المستخلصة الرئيسية التي أبلغها ميسرو فرق العمل الفرعية إلى الاجتماع غير الرسمي للأطراف في الجلسة العامة. وأكدت أن الموجز لا يمكن أن يعكس بالكامل ثراء المناقشات التي دارت في الاجتماع غير الرسمي، ولكن العروض التي قدمت خلال الاجتماع غير الرسمي متاحة على بوابة الاجتماع</w:t>
      </w:r>
      <w:r w:rsidR="000C2F33" w:rsidRPr="00B43057">
        <w:rPr>
          <w:rFonts w:ascii="Simplified Arabic" w:eastAsia="DengXian" w:hAnsi="Simplified Arabic"/>
          <w:sz w:val="24"/>
          <w:szCs w:val="24"/>
          <w:vertAlign w:val="superscript"/>
          <w:rtl/>
          <w:lang w:val="en-GB"/>
        </w:rPr>
        <w:t>(</w:t>
      </w:r>
      <w:r w:rsidRPr="00B43057">
        <w:rPr>
          <w:rFonts w:ascii="Simplified Arabic" w:eastAsia="DengXian" w:hAnsi="Simplified Arabic"/>
          <w:sz w:val="24"/>
          <w:szCs w:val="24"/>
          <w:vertAlign w:val="superscript"/>
          <w:rtl/>
          <w:lang w:val="en-GB"/>
        </w:rPr>
        <w:footnoteReference w:id="4"/>
      </w:r>
      <w:r w:rsidR="000C2F33" w:rsidRPr="00B43057">
        <w:rPr>
          <w:rFonts w:ascii="Simplified Arabic" w:eastAsia="DengXian" w:hAnsi="Simplified Arabic"/>
          <w:sz w:val="24"/>
          <w:szCs w:val="24"/>
          <w:vertAlign w:val="superscript"/>
          <w:rtl/>
          <w:lang w:val="en-GB"/>
        </w:rPr>
        <w:t>)</w:t>
      </w:r>
      <w:r w:rsidRPr="00812612">
        <w:rPr>
          <w:rFonts w:ascii="Simplified Arabic" w:eastAsia="DengXian" w:hAnsi="Simplified Arabic"/>
          <w:sz w:val="24"/>
          <w:szCs w:val="24"/>
          <w:rtl/>
          <w:lang w:val="en-GB"/>
        </w:rPr>
        <w:t xml:space="preserve">. وباسمها هي والرئيسة المشاركة لها، أعربت عن امتنانها لجميع الميسرين والمتحدثين وخبراء الموارد والمشاركين لمساهماتهم القيمة في الاجتماع غير الرسمي. </w:t>
      </w:r>
    </w:p>
    <w:p w14:paraId="5FC7EC5D"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 وقت لاحق من الاجتماع، عرضت ممثلة الاتحاد الأوروبي مقترحاً لمشروع مقرر، يرد في ورقة غرفة اجتماعات. وأوضحت أن المقترح يركز على تبسيط المعلومات التي تقدمها الأطراف إلى الأمانة بشأن نظم الترخيص الخاصة بها، بهدف تعزيز هذه النظم. ويطلب المقترح من الأمانة أن تعد نموذجاً تستخدمه الأطراف في تقديم المعلومات، بما في ذلك عناصر نظام الترخيص المطلوب إنشاؤه وتنفيذه بموجب المادة 4 باء من بروتوكول مونتريال، فضلاً عن العناصر الأخرى المفيدة للمعلومات، بحلول 30 أيلول/سبتمبر 2026، وأن تضمن تحديث المعلومات بعد ذلك التاريخ. كذلك يطلب من الأمانة أن تعد تجميعاً للمعلومات المقدمة على هذا النحو، لكي تنظر فيه لجنة التنفيذ في اجتماعها السابع والسبعين والاجتماع الثامن والثلاثون للأطراف. وأخيراً، يطلب إلى الأمانة إعداد قائمة مرجعية بالسمات الأساسية لنظم الترخيص، مع مراعاة المادة 4 باء من بروتوكول مونتريال والمقررات ذات الصلة الصادرة عن اجتماعات الأطراف بشأن مسائل الترخيص. وأعربت الممثلة عن تطلعها إلى مناقشة المقترح مع الأطراف.</w:t>
      </w:r>
    </w:p>
    <w:p w14:paraId="13C38806" w14:textId="186AEA6B"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وأعرب أحد الممثلين عن قلقه إزاء المقترح، قائلاً إنه من غير الواضح كيف من المفترض أن يساعد الأطراف في الوفاء بالتزاماتها بموجب بروتوكول مونتريال. ويتعين على الأطراف أن تتوخى الحذر الشديد في إضافة </w:t>
      </w:r>
      <w:r w:rsidR="0000316B" w:rsidRPr="00812612">
        <w:rPr>
          <w:rFonts w:ascii="Simplified Arabic" w:eastAsia="DengXian" w:hAnsi="Simplified Arabic"/>
          <w:sz w:val="24"/>
          <w:szCs w:val="24"/>
          <w:rtl/>
          <w:lang w:val="en-GB"/>
        </w:rPr>
        <w:t>أعمال</w:t>
      </w:r>
      <w:r w:rsidRPr="00812612">
        <w:rPr>
          <w:rFonts w:ascii="Simplified Arabic" w:eastAsia="DengXian" w:hAnsi="Simplified Arabic"/>
          <w:sz w:val="24"/>
          <w:szCs w:val="24"/>
          <w:rtl/>
          <w:lang w:val="en-GB"/>
        </w:rPr>
        <w:t xml:space="preserve"> أخرى إلى عمل الأمانة والأطراف، التي هي مثقلة بالفعل بطلبات تقديم معلومات إضافية على أساس طوعي. ومن غير الواضح ما إذا كان المقترح يمكن أن يساعد الأطراف فعلاً على تحسين قدراتها ومواجهة التحديات الحالية التي تواجهها.</w:t>
      </w:r>
    </w:p>
    <w:p w14:paraId="4F4618A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وكرر ممثلون آخرون تلك المخاوف، مشيرين إلى الحاجة إلى مزيد من الوضوح بشأن الغرض من النموذج المقترح ومحتوياته. ولم يحدد بروتوكول مونتريال نفسه أي توجيهات محددة فيما يتعلق بنظم الترخيص. وأعربت ممثلة أخرى عن قلقها من أن النموذج المقترح قد لا يشمل كل السمات المميزة لنظام ترخيص مصمم جيداً.</w:t>
      </w:r>
    </w:p>
    <w:p w14:paraId="4F2CD400"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ورحبت ممثلة بالمقترح، لكنها لاحظت أنه مستمد من المناقشات التي جرت في الاجتماع غير الرسمي الذي عقد يوم الأحد 2 تشرين الثاني/نوفمبر. غير أن المشاركين في ذلك الاجتماع ناقشوا مسائل مهمة أخرى، منها الاتجار غير المشروع، وجمع البيانات والإبلاغ عنها، وتعزيز القدرات. وقد أعربت عن قلقها من أنه إذا ما أنشئ فريق اتصال لمناقشة مقترح الاتحاد الأوروبي، فإن المسائل المتبقية لن ترد إلا في الوثيقة الختامية للاجتماع غير الرسمي، التي لا تتمتع بأي مكانة حقيقية ولن تحظى بأي متابعة. واقترحت أنه إذا أُنشئ فريق اتصال، فينبغي أن يعمل أيضا على إعداد الخطوات التالية بشأن المسائل الأخرى. </w:t>
      </w:r>
    </w:p>
    <w:p w14:paraId="05CDDE38" w14:textId="3B468A98" w:rsidR="00A935EF" w:rsidRPr="00FF34B9"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FF34B9">
        <w:rPr>
          <w:rFonts w:ascii="Simplified Arabic" w:eastAsia="DengXian" w:hAnsi="Simplified Arabic"/>
          <w:w w:val="104"/>
          <w:sz w:val="24"/>
          <w:szCs w:val="24"/>
          <w:rtl/>
          <w:lang w:val="en-GB"/>
        </w:rPr>
        <w:t xml:space="preserve">وقالت ممثلة أخرى إن تنظيم الاجتماع غير الرسمي قد أوفى بالولاية التي قررتها الأطراف في المقرر 36/9. وليس من الضروري أن يشمل أي مشروع مقرر جميع المسائل التي نوقشت في الاجتماع. ورغم ترحيبها بمقترح الاتحاد الأوروبي، وإقرارها بالدور الهام الذي تؤديه نظم الترخيص، لا سيما في مكافحة </w:t>
      </w:r>
      <w:r w:rsidRPr="00FF34B9">
        <w:rPr>
          <w:rFonts w:ascii="Simplified Arabic" w:eastAsia="DengXian" w:hAnsi="Simplified Arabic"/>
          <w:w w:val="104"/>
          <w:sz w:val="24"/>
          <w:szCs w:val="24"/>
          <w:rtl/>
          <w:lang w:val="en-GB"/>
        </w:rPr>
        <w:lastRenderedPageBreak/>
        <w:t xml:space="preserve">الاتجار غير المشروع، فقد أعربت عن عدد من الشواغل بشأن صيغة المقترح. وعلى وجه الخصوص، قالت إن الأطراف ستحتاج إلى أن تتاح لها الفرصة لتقديم مساهماتها في تصميم النموذج المقترح قبل أن تعممه الأمانة. ومن غير المعقول توقع أن تتمكن الأطراف من تقديم معلومات عن أنظمة الترخيص الخاصة بها وفقاً لنموذج غير معروف، مما قد يعني إعادة تنظيم المعلومات التي قدمتها بالفعل، بحلول 30 أيلول/سبتمبر 2026. ولومن غير الواضح أيضا ما هو المتوقع من لجنة التنفيذ أن تفعله بالمعلومات المجمعة على هذا النحو. وأخيراً، فإن الإشارة في المقترح إلى </w:t>
      </w:r>
      <w:r w:rsidR="00D5366C" w:rsidRPr="00FF34B9">
        <w:rPr>
          <w:rFonts w:ascii="Simplified Arabic" w:hAnsi="Simplified Arabic"/>
          <w:w w:val="104"/>
          <w:sz w:val="24"/>
          <w:szCs w:val="24"/>
          <w:rtl/>
        </w:rPr>
        <w:t>”</w:t>
      </w:r>
      <w:r w:rsidRPr="00FF34B9">
        <w:rPr>
          <w:rFonts w:ascii="Simplified Arabic" w:eastAsia="DengXian" w:hAnsi="Simplified Arabic"/>
          <w:w w:val="104"/>
          <w:sz w:val="24"/>
          <w:szCs w:val="24"/>
          <w:rtl/>
          <w:lang w:val="en-GB"/>
        </w:rPr>
        <w:t>السمات الأساسية</w:t>
      </w:r>
      <w:r w:rsidR="00D5366C" w:rsidRPr="00FF34B9">
        <w:rPr>
          <w:rFonts w:ascii="Simplified Arabic" w:hAnsi="Simplified Arabic"/>
          <w:w w:val="104"/>
          <w:sz w:val="24"/>
          <w:szCs w:val="24"/>
          <w:rtl/>
        </w:rPr>
        <w:t>“</w:t>
      </w:r>
      <w:r w:rsidRPr="00FF34B9">
        <w:rPr>
          <w:rFonts w:ascii="Simplified Arabic" w:eastAsia="DengXian" w:hAnsi="Simplified Arabic"/>
          <w:w w:val="104"/>
          <w:sz w:val="24"/>
          <w:szCs w:val="24"/>
          <w:rtl/>
          <w:lang w:val="en-GB"/>
        </w:rPr>
        <w:t xml:space="preserve"> لنظم الترخيص كانت مقلقة، حيث لم تتوصل الأطراف إلى أي اتفاق بشأن ماهية تلك السمات الأساسية. ولا يبدو أن من المناسب أن تقدم الأمانة قائمة مرجعية بالسمات الأساسية التي لم تناقش. وعلى الرغم من هذه الانتقادات، فإنها ترحب بفرصة مناقشة المقترح بشكل أكثر تفصيلاً.</w:t>
      </w:r>
    </w:p>
    <w:p w14:paraId="45D2B221"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ورحب ممثلون آخرون بالمقترح وطلبوا إتاحة فرصة لمناقشته بمزيد من التفصيل في إطار فريق اتصال. وافق ممثلٌ على الاقتراح القائل بضرورة توسيع نطاق اختصاص فريق الاتصال ليشمل مسائل أخرى نوقشت في الاجتماع غير الرسمي، لكنه أشار إلى أن الوقت المتاح في الاجتماع الحالي محدود، واقترح إدراج هذا الموضوع في جدول أعمال الاجتماع الثامن والأربعين للفريق العامل المفتوح العضوية. ولاحظ آخر أن قصر نطاق المقترح الحالي على نظم الترخيص لا يمنع من تناول المسائل الأخرى في وقت لاحق. </w:t>
      </w:r>
    </w:p>
    <w:p w14:paraId="3F08872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إنشاء فريق غير رسمي، يشارك في تيسيره ساندرين بينارد (النرويج) وجورج تشومبا (زمبابوي)، من أجل زيادة توضيح الآراء وتبادلها بشأن مشروع المقرر وغيره من المسائل الرئيسية التي أثيرت خلال الاجتماع غير الرسمي الذي عقد في 2 تشرين الثاني/نوفمبر.</w:t>
      </w:r>
    </w:p>
    <w:p w14:paraId="453519D0" w14:textId="77777777" w:rsidR="00A935EF" w:rsidRPr="00FF34B9"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FF34B9">
        <w:rPr>
          <w:rFonts w:ascii="Simplified Arabic" w:eastAsia="DengXian" w:hAnsi="Simplified Arabic"/>
          <w:w w:val="104"/>
          <w:sz w:val="24"/>
          <w:szCs w:val="24"/>
          <w:rtl/>
          <w:lang w:val="en-GB"/>
        </w:rPr>
        <w:t>وفي وقت لاحق، أفاد الميسر المشارك للفريق غير الرسمي بأن عدداً من الأطراف أعربت عن تقديرها للاجتماع غير الرسمي الذي استمر يوماً واحداً بشأن تيسير تنفيذ بروتوكول مونتريال. وإدراكا لعدد المسائل التي لا تزال قيد المناقشة ونظرا لضيق الوقت، لم يتمكن الفريق غير الرسمي من النظر في ورقة غرفة الاجتماعات التي قدمها الاتحاد الأوروبي. ونظرا لاهتمام الأطراف بمواصلة الحوار بشأن نتائج الاجتماع غير الرسمي، تم الاتفاق على أن تستمر المناقشات بشأن هذه المسألة في الاجتماع الثامن والأربعين للفريق العامل المفتوح العضوية.</w:t>
      </w:r>
    </w:p>
    <w:p w14:paraId="212C211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إدراج هذه المسألة في جدول أعمال الاجتماع الثامن والأربعين للفريق العامل المفتوح العضوية.</w:t>
      </w:r>
    </w:p>
    <w:p w14:paraId="2DD37127" w14:textId="77777777" w:rsidR="00C54D07" w:rsidRPr="00A4263A" w:rsidRDefault="00C54D07" w:rsidP="00A4263A">
      <w:pPr>
        <w:keepNext/>
        <w:tabs>
          <w:tab w:val="clear" w:pos="1247"/>
          <w:tab w:val="clear" w:pos="1814"/>
          <w:tab w:val="clear" w:pos="2381"/>
          <w:tab w:val="clear" w:pos="2948"/>
          <w:tab w:val="clear" w:pos="3515"/>
        </w:tabs>
        <w:bidi/>
        <w:spacing w:after="120" w:line="360" w:lineRule="exact"/>
        <w:ind w:left="1134" w:hanging="1135"/>
        <w:jc w:val="both"/>
        <w:textDirection w:val="tbRlV"/>
        <w:rPr>
          <w:rFonts w:ascii="Simplified Arabic" w:eastAsia="Times New Roman" w:hAnsi="Simplified Arabic" w:hint="default"/>
          <w:b/>
          <w:bCs/>
          <w:sz w:val="26"/>
          <w:szCs w:val="26"/>
          <w:lang w:val="ar-SA" w:eastAsia="zh-TW"/>
        </w:rPr>
      </w:pPr>
      <w:r w:rsidRPr="00A4263A">
        <w:rPr>
          <w:rFonts w:ascii="Simplified Arabic" w:eastAsia="Times New Roman" w:hAnsi="Simplified Arabic" w:hint="default"/>
          <w:b/>
          <w:bCs/>
          <w:sz w:val="26"/>
          <w:szCs w:val="26"/>
          <w:rtl/>
          <w:lang w:val="ar-SA" w:eastAsia="zh-TW"/>
        </w:rPr>
        <w:t>ثالث عشر-</w:t>
      </w:r>
      <w:r w:rsidRPr="00A4263A">
        <w:rPr>
          <w:rFonts w:ascii="Simplified Arabic" w:eastAsia="Times New Roman" w:hAnsi="Simplified Arabic" w:hint="default"/>
          <w:b/>
          <w:bCs/>
          <w:sz w:val="26"/>
          <w:szCs w:val="26"/>
          <w:rtl/>
          <w:lang w:val="ar-SA" w:eastAsia="zh-TW"/>
        </w:rPr>
        <w:tab/>
        <w:t>مسائل الامتثال والإبلاغ عن البيانات: عمل لجنة التنفيذ وتوصياتها</w:t>
      </w:r>
    </w:p>
    <w:p w14:paraId="7D472303" w14:textId="75DD3BAA"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عُــرضــت عــلــى الأطــراف، فــي ســيــاق الــنــظــر في هذا البــنــد، الفقرتان 85 و86 من مذكرة الأمانة بشأن مسائل معروضة على الاجتماع السابع والثلاثين للأطراف في بروتوكول مونتريال لمناقشتها ومعلومات للاطلاع عليها </w:t>
      </w:r>
      <w:r w:rsidR="00A4263A" w:rsidRPr="001531D0">
        <w:rPr>
          <w:rFonts w:eastAsia="DengXian" w:cs="Times New Roman"/>
          <w:sz w:val="22"/>
          <w:szCs w:val="22"/>
          <w:rtl/>
          <w:lang w:val="en-GB"/>
        </w:rPr>
        <w:t>(</w:t>
      </w:r>
      <w:r w:rsidR="001531D0" w:rsidRPr="001531D0">
        <w:rPr>
          <w:rFonts w:cs="Times New Roman"/>
          <w:sz w:val="22"/>
          <w:szCs w:val="22"/>
        </w:rPr>
        <w:t>UNEP/OzL.Pro.37/2</w:t>
      </w:r>
      <w:r w:rsidR="00A4263A" w:rsidRPr="001531D0">
        <w:rPr>
          <w:rFonts w:eastAsia="DengXian" w:cs="Times New Roman"/>
          <w:sz w:val="22"/>
          <w:szCs w:val="22"/>
          <w:rtl/>
          <w:lang w:val="en-GB"/>
        </w:rPr>
        <w:t>)</w:t>
      </w:r>
      <w:r w:rsidRPr="00812612">
        <w:rPr>
          <w:rFonts w:ascii="Simplified Arabic" w:eastAsia="DengXian" w:hAnsi="Simplified Arabic"/>
          <w:sz w:val="24"/>
          <w:szCs w:val="24"/>
          <w:rtl/>
          <w:lang w:val="en-GB"/>
        </w:rPr>
        <w:t xml:space="preserve"> وإجراءات عدم الامتثال لبروتوكول مونتريال. وترد مشاريع المقررات، التي أحالتها لجنة التنفيذ إلى الاجتماع السابع والثلاثين للأطراف للنظر فيها واعتمادها إن أمكن، في ورقة غرفة اجتماعات.</w:t>
      </w:r>
      <w:bookmarkStart w:id="29" w:name="_Hlk213163822"/>
      <w:bookmarkEnd w:id="29"/>
    </w:p>
    <w:p w14:paraId="2D1719A9" w14:textId="5618ACB6"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وقدم رئيس لجنة التنفيذ، مارتين هيلدبراند (مملكة هولندا)، موجزاً لأعمال لجنة التنفيذ في اجتماعيها الرابع والسبعين والخامس والسبعين، بما في ذلك لمحة عامة عن مشاريع المقررات التسعة التي وافقت عليها اللجنة لكي ينظر فيها الاجتماع السابع والثلاثون للأطراف.</w:t>
      </w:r>
    </w:p>
    <w:p w14:paraId="6A402DB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ونظرت اللجنة في مسائل الإبلاغ عن البيانات ذات الصلة بالمادتين 7 و9 من بروتوكول مونتريال، بما في ذلك متطلبات الإبلاغ عن مركبات الكربون الهيدروفلورية بموجب تعديل كيغالي لبروتوكول مونتريال، وحالات عدم الامتثال، بما في ذلك تنفيذ أو عدم تنفيذ فرادى الأطراف للالتزامات الواردة في خطط عملها للعودة إلى الامتثال، وطلبات تغيير البيانات الأساسية لمركبات الكربون الهيدروفلورية ومركبات الكربون الهيدروكلورية فلورية، </w:t>
      </w:r>
      <w:r w:rsidRPr="00812612">
        <w:rPr>
          <w:rFonts w:ascii="Simplified Arabic" w:eastAsia="DengXian" w:hAnsi="Simplified Arabic"/>
          <w:sz w:val="24"/>
          <w:szCs w:val="24"/>
          <w:rtl/>
          <w:lang w:val="en-GB"/>
        </w:rPr>
        <w:lastRenderedPageBreak/>
        <w:t>والمعلومات المتعلقة بإنشاء نظم ترخيص لمركبات الكربون الهيدروفلورية، وتقديم البيانات المؤقتة في سياق الإبلاغ بموجب المادة 7، والمسائل النظامية المتعلقة بالامتثال. وتلقت اللجنة أيضاً تقارير من أمانة الصندوق المتعدد الأطراف عن المقررات ذات الصلة الصادرة عن اللجنة التنفيذية للصندوق وعن الأنشطة التي اضطلعت بها الوكالات المنفذة لتيسير امتثال الأطراف.</w:t>
      </w:r>
    </w:p>
    <w:p w14:paraId="3B262CE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وأثناء استعراض حالة الأطراف المشمولة بالقرار 36/13، بشأن عدم امتثالها لالتزاماتها المتعلقة بالإبلاغ عن البيانات بموجب المادة 7، نظرت اللجنة في حالة امتثال ثمانية أطراف، جميعها قدمت البيانات المتبقية المطلوب تقديمها بموجب المقرر. ونظرت أيضاً في التزامات الأطراف بالعودة إلى الامتثال الواردة في خطط عملها. وقد أوفت ليبيا بجميع التزاماتها بموجب خطة عملها، وأحيل مشروع مقرر لإغلاق هذه المسألة إلى الاجتماع السابع والثلاثين للأطراف للنظر فيه. وواصلت كازاخستان الالتزام بتعهداتها الواردة في خطة عملها. </w:t>
      </w:r>
    </w:p>
    <w:p w14:paraId="429583F1"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ونظرت اللجنة في مسألة تقديم البيانات المؤقتة عقب المناقشات التي دارت بشأن هذه المسألة في اللجنة وفي الاجتماع السادس والثلاثين للأطراف. وكما ذكر الرئيس السابق للجنة في تقريره إلى الاجتماع السادس والثلاثين للأطراف، فإن هذه الممارسة تمثل مشكلة لعمل اللجنة، لأنه بدون بيانات نهائية، من المستحيل التأكد من الامتثال لتدابير الرقابة المنصوص عليها في البروتوكول. ويمكن للطرف الذي قدم بيانات مؤقتة لسنوات الأساس الخاصة به أن يتحايل على عملية تنقيح البيانات الأساسية المنصوص عليها في المقرر 13/15.</w:t>
      </w:r>
    </w:p>
    <w:p w14:paraId="7CF38F36" w14:textId="6B6D3DD9"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وبالنظر إلى أن مفهوم </w:t>
      </w:r>
      <w:r w:rsidR="00D5366C">
        <w:rPr>
          <w:rFonts w:ascii="Simplified Arabic" w:hAnsi="Simplified Arabic"/>
          <w:sz w:val="24"/>
          <w:szCs w:val="24"/>
          <w:rtl/>
        </w:rPr>
        <w:t>”</w:t>
      </w:r>
      <w:r w:rsidRPr="00812612">
        <w:rPr>
          <w:rFonts w:ascii="Simplified Arabic" w:eastAsia="DengXian" w:hAnsi="Simplified Arabic"/>
          <w:sz w:val="24"/>
          <w:szCs w:val="24"/>
          <w:rtl/>
          <w:lang w:val="en-GB"/>
        </w:rPr>
        <w:t>البيانات المؤقتة</w:t>
      </w:r>
      <w:r w:rsidR="00D5366C">
        <w:rPr>
          <w:rFonts w:ascii="Simplified Arabic" w:hAnsi="Simplified Arabic"/>
          <w:sz w:val="24"/>
          <w:szCs w:val="24"/>
          <w:rtl/>
        </w:rPr>
        <w:t>“</w:t>
      </w:r>
      <w:r w:rsidRPr="00812612">
        <w:rPr>
          <w:rFonts w:ascii="Simplified Arabic" w:eastAsia="DengXian" w:hAnsi="Simplified Arabic"/>
          <w:sz w:val="24"/>
          <w:szCs w:val="24"/>
          <w:rtl/>
          <w:lang w:val="en-GB"/>
        </w:rPr>
        <w:t xml:space="preserve"> لم يرد في بروتوكول مونتريال أو في أي مقرر من مقررات اجتماعات الأطراف، وافقت اللجنة على أن تتوقف الأمانة عن معاملة أي بيانات على أنها مؤقتة. ويمكن تصحيح البيانات غير الأساسية بموجب الإجراء المنصوص عليه في الفقرة 3 من المقرر 6/5. ويتطلب تنقيح البيانات الأساسية تقديم طلب إلى اللجنة بموجب أحكام المقرر 13/15، وفقاً للمنهجية المحددة في المقرر 15/19.</w:t>
      </w:r>
    </w:p>
    <w:p w14:paraId="26CA0294" w14:textId="1494A04F" w:rsidR="00A935EF" w:rsidRPr="00FF34B9"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وناقشت اللجنة أيضا وثيقة عن المسائل النظامية المتصلة بالامتثال </w:t>
      </w:r>
      <w:r w:rsidR="00A21BA7" w:rsidRPr="00FF34B9">
        <w:rPr>
          <w:rFonts w:ascii="Simplified Arabic" w:eastAsia="DengXian" w:hAnsi="Simplified Arabic"/>
          <w:w w:val="98"/>
          <w:sz w:val="24"/>
          <w:szCs w:val="24"/>
          <w:rtl/>
          <w:lang w:val="en-GB"/>
        </w:rPr>
        <w:t>(</w:t>
      </w:r>
      <w:r w:rsidRPr="00FF34B9">
        <w:rPr>
          <w:rFonts w:eastAsia="DengXian" w:cs="Times New Roman"/>
          <w:w w:val="98"/>
          <w:sz w:val="22"/>
          <w:szCs w:val="22"/>
          <w:lang w:val="en-GB"/>
        </w:rPr>
        <w:t>UNEP/OzL.Pro/ImpCom/74/6</w:t>
      </w:r>
      <w:r w:rsidRPr="00FF34B9">
        <w:rPr>
          <w:rFonts w:ascii="Simplified Arabic" w:eastAsia="DengXian" w:hAnsi="Simplified Arabic"/>
          <w:w w:val="98"/>
          <w:sz w:val="24"/>
          <w:szCs w:val="24"/>
          <w:rtl/>
          <w:lang w:val="en-GB"/>
        </w:rPr>
        <w:t xml:space="preserve">، </w:t>
      </w:r>
      <w:r w:rsidRPr="00FF34B9">
        <w:rPr>
          <w:rFonts w:ascii="Simplified Arabic" w:eastAsia="DengXian" w:hAnsi="Simplified Arabic"/>
          <w:sz w:val="24"/>
          <w:szCs w:val="24"/>
          <w:rtl/>
          <w:lang w:val="en-GB"/>
        </w:rPr>
        <w:t>المرفق الثاني). وقد قُدم موجز للمناقشات في بداية الاجتماع غير الرسمي بشأن تيسير تنفيذ بروتوكول مونتريال، وسيُدرج في تقرير الاجتماع الخامس والسبعين للجنة.</w:t>
      </w:r>
    </w:p>
    <w:p w14:paraId="2ED1BA4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وأحالت اللجنة تسعة مشاريع مقررات إلى الاجتماع السابع والثلاثين للأطراف للنظر فيها. ويتعلق مشروع المقرر الأول بالإبلاغ بالبيانات بموجب المادة 7 من البروتوكول. وأشار مشروع المقرر إلى أن 194 من أصل 198 طرفاً كان ينبغي أن تقدم بيانات عن عام 2024 قد فعلوا ذلك بحلول 31 تشرين الأول/أكتوبر 2025، وأن 123 طرفاً قد فعلت ذلك عبر نظام الإبلاغ عبر الإنترنت، وأن 170 طرفاً قد أبلغت عن بياناتها بحلول 30 أيلول/سبتمبر 2025، على النحو المطلوب بموجب الفقرة 3 من المادة 7 من البروتوكول.</w:t>
      </w:r>
    </w:p>
    <w:p w14:paraId="3EE375A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وأشار مشروع المقرر كذلك مع التقدير إلى أن 74 من تلك الأطراف قد أبلغت عن بياناتها لعام 2024 بحلول 30 حزيران/يونيه 2025، وفقا للتشجيع الوارد في المقرر 15/15، وأن الإبلاغ بحلول 30 حزيران/يونيه من كل عام يسهل إلى حد كبير عمل لجنة التنفيذ واللجنة التنفيذية للصندوق المتعدد الأطراف في مساعدة الأطراف العاملة بموجب المادة 5 على الامتثال لتدابير الرقابة.</w:t>
      </w:r>
    </w:p>
    <w:p w14:paraId="3725754A"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ولاحظت اللجنة بقلق أن أربعة أطراف، وهي أرمينيا وآيسلندا وجزر القمر وسانت تومي وبرينسيبي، لم تبلغ عن بياناتها لعام 2024 بحلول 31 تشرين الأول/أكتوبر 2025، مما يجعلها في حالة عدم امتثال لالتزاماتها بالإبلاغ عن البيانات بموجب بروتوكول مونتريال إلى أن تتلقى الأمانة البيانات المتأخرة الخاصة بهذه الأطراف. وحث مشروع المقرر تلك الأطراف على الإبلاغ عن بياناتها في أقرب وقت ممكن وطلب إلى اللجنة أن تستعرض وضع هذه الأطراف في اجتماعها السادس والسبعين.</w:t>
      </w:r>
    </w:p>
    <w:p w14:paraId="331167C2"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 مشروع المقرر أيضا إلى أن عدم قيام الأطراف بالإبلاغ عن البيانات في الوقت المناسب أعاق الرصد والتقييم الفعالين لوفاء الأطراف بالتزاماتها بموجب بروتوكول مونتريال. وكانت تلك المسألة واحدة من عدة </w:t>
      </w:r>
      <w:r w:rsidRPr="00812612">
        <w:rPr>
          <w:rFonts w:ascii="Simplified Arabic" w:eastAsia="DengXian" w:hAnsi="Simplified Arabic"/>
          <w:sz w:val="24"/>
          <w:szCs w:val="24"/>
          <w:rtl/>
          <w:lang w:val="en-GB"/>
        </w:rPr>
        <w:lastRenderedPageBreak/>
        <w:t>مسائل أبرزتها الوثيقة المتعلقة بالمسائل النظامية المتصلة بالامتثال التي أعدتها الأمانة وناقشتها اللجنة خلال الاجتماع غير الرسمي. وقد شكل هذا التأخير في الإبلاغ تحديات لكل من اللجنة والأمانة. وللحد من التأخر في الإبلاغ، لا سيما في اليوم الذي اجتمعت فيه اللجنة لاعتماد توصياتها، وخلال الاجتماع السابع والثلاثين للأطراف، ومع ملاحظة أن البيانات السنوية يجب أن تقدم في موعد أقصاه تسعة أشهر بعد نهاية السنة التي تتعلق بها البيانات، أورد مشروع المقرر المتعلق بالإبلاغ عن البيانات قائمة بالأطراف التي لم تبلغ عن البيانات بحلول تاريخ محدد، هو 31 تشرين الأول/أكتوبر 2025، وهو اليوم الذي سبق اعتماد اللجنة لتوصياتها. وشجع مشروع المقرر أيضاً الأطراف على مواصلة الإبلاغ عن بياناتها بمجرد توفر الأرقام، ويفضل أن يكون ذلك بحلول 30 حزيران/يونيه من كل عام، على النحو الموصى به في المقرر 15/15.</w:t>
      </w:r>
    </w:p>
    <w:p w14:paraId="3DC64914"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وتعلق مشروع المقرر الثاني بوفاء ليبيا بالتزاماتها بموجب مشروع خطة عملها للعودة إلى الامتثال، على النحو المبين في المقرر 27/11. وفي اجتماعها الرابع والسبعين، هنأت اللجنة ليبيا على عودتها إلى الامتثال لتدابير الرقابة على مركبات الكربون الهيدروكلورية فلورية، وكذلك على فرض حظر على استيراد أجهزة تكييف الهواء التي تحتوي على هذه المركبات. وقد طلبت اللجنة إلى ليبيا تقديم معلومات إضافية عن معدات التبريد وتكييف الهواء التي تحتوي على مركبات الكربون الهيدروكلورية فلورية الموجودة بالفعل في المخزونات، فضلاً عن معلومات عن تنفيذها للحظر المفروض على الشراء. وقدمت ليبيا المعلومات المطلوبة في وقت لاحق وخلصت اللجنة إلى أن الطرف قد التزم بتعهداته بموجب خطة عمله. وبالتالي، أعلن مشروع المقرر الذي أحيل إلى الاجتماع السابع والثلاثين للأطراف للنظر فيه أنه لا حاجة لاتخاذ أي إجراء آخر.</w:t>
      </w:r>
    </w:p>
    <w:p w14:paraId="7AEE68AB"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وتعلق مشروع المقرر الثالث بعدم امتثال جمهورية كوريا الشعبية الديمقراطية لبروتوكول مونتريال. ولم تلتزم هذا الطرف بتعهداته لعام 2021 أو 2023 أو 2024 فيما يتعلق بالإنتاج والاستهلاك السنويين لمركبات الكربون الهيدروكلورية فلورية، على النحو المبين في خطة عمله للعودة إلى الامتثال الواردة في المقرر 32/6. وقد جرى تحذير هذا الطرف عبر ثلاثة مقررات صادرة عن اجتماعات الأطراف، وفقا للبند باء من القائمة الإرشادية للتدابير التي يمكن أن يتخذها اجتماع الأطراف فيما يتعلق بعدم الامتثال، والتي تنص على أنه إذا لم يعد الطرف إلى حالة الامتثال، فإن الأطراف ستنظر في اتخاذ تدابير تتوافق مع البند جيم من القائمة الإرشادية للتدابير، بما في ذلك إمكانية ضمان وقف توريد مركبات الكربون الهيدروكلورية فلورية بحيث لا تساهم الأطراف المصدرة في استمرار حالة عدم الامتثال.</w:t>
      </w:r>
    </w:p>
    <w:p w14:paraId="2732513F" w14:textId="79BC88AE"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وقد وجهت اللجنة طلبات متكررة إلى الطرف، من خلال توصياتها 68/4 و69/4 و70/2 و72/3 و74/2، بتقديم تفسير للانحرافات في البيانات المبلغ عنها، وتقديم خطة عمل منقحة لضمان عودته إلى الامتثال، وتقرير مرحلي عن جهوده الرامية إلى وضع سياسات وطنية إضافية لتيسير التخلص التدريجي من مركبات الكربون الهيدروكلورية فلورية، على النحو المبين في خطة العمل.</w:t>
      </w:r>
    </w:p>
    <w:p w14:paraId="5063B1BB"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ورغم أن ممثلا عن جمهورية كوريا الشعبية الديمقراطية حضر الاجتماع الرابع والسبعين للجنة، فإن الطرف لم يقدم المعلومات التي طلبتها اللجنة. وبالتالي، فقد ذكّرت اللجنة في توصيتها 74/2 الطرف بالتحذير الذي تضمنه المقرر 36/16 وأبلغته بأنه إذا لم يقدم الردود ذات الصلة، على النحو المطلوب في التوصية، لكي تنظر فيها اللجنة في اجتماعها الخامس والسبعين، فإنها ستوصي بأن تتخذ الأطراف تدابير تتفق مع البند جيم من القائمة الإرشادية للتدابير.</w:t>
      </w:r>
    </w:p>
    <w:p w14:paraId="1BA63697"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وعلى الرغم من الرسائل التذكيرية المتكررة من الأمانة، لم يقدم الطرف المعلومات التي طلبتها اللجنة. لذلك، أحالت اللجنة إلى الاجتماع السابع والثلاثين للأطراف مشروع مقرر لكي ينظر فيه، ويقضي بأن يوافق الاجتماع السابع والثلاثون للأطراف، من أجل مساعدة جمهورية كوريا الشعبية الديمقراطية على العودة إلى الامتثال لتدابير الرقابة المتعلقة بمركبات الكربون الهيدروكلورية فلورية، على تعليق التجارة في مركبات الكربون الهيدروكلورية فلورية، وهي المواد موضوع عدم الامتثال، بين جمهورية كوريا الشعبية الديمقراطية والأطراف الأخرى في البروتوكول، </w:t>
      </w:r>
      <w:r w:rsidRPr="00812612">
        <w:rPr>
          <w:rFonts w:ascii="Simplified Arabic" w:eastAsia="DengXian" w:hAnsi="Simplified Arabic"/>
          <w:sz w:val="24"/>
          <w:szCs w:val="24"/>
          <w:rtl/>
          <w:lang w:val="en-GB"/>
        </w:rPr>
        <w:lastRenderedPageBreak/>
        <w:t>بحيث لا تكون هذه التجارة مسموحة بموجب البروتوكول، وذلك بما يتوافق مع البند جيم من القائمة الإرشادية للتدابير التي يجوز أن يتخذها أي اجتماع للأطراف فيما يتعلق بعدم الامتثال للبروتوكول.</w:t>
      </w:r>
    </w:p>
    <w:p w14:paraId="528908A9"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إضافةً إلى ذلك، نص مشروع المقرر على أن تعليق التجارة في مركبات الكربون الهيدروكلورية فلورية مع جمهورية كوريا الشعبية الديمقراطية سيستمر إلى أن يعود هذا الطرف إلى الامتثال لتدابير الرقابة المتعلقة بمركبات الكربون الهيدروكلورية فلورية بموجب بروتوكول مونتريال على النحو الذي أوصت به اللجنة استناداً إلى البيانات المبلغ عنها بموجب المادة 7 أو إلى أن يقرر اجتماع الأطراف خلاف ذلك.</w:t>
      </w:r>
    </w:p>
    <w:p w14:paraId="6E1E1202"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وتعلقت مشاريع المقررات الرابع والخامس والسادس والسابع بعدم امتثال مالي وسانت فنسنت وجزر غرينادين وطاجيكستان وزامبيا لتدابير الرقابة على استهلاك مركبات الكربون الهيدروفلورية. وأبلغت مالي وسانت فنسنت وجزر غرينادين وزامبيا عن بيانات متعلقة بمركبات الكربون الهيدروفلورية لعام 2024 تجاوزت الحدود المسموح بها، في حين أبلغت طاجيكستان عن بيانات لعامي 2023 و2024 تجاوزت مستويات الرقابة المحددة لها. وبالتالي، أعلنت مشاريع المقررات الأربعة جميعها أن هذه الأطراف هي في حالة عدم امتثال.</w:t>
      </w:r>
    </w:p>
    <w:p w14:paraId="12A5D60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وأبلغت مالي الأمانة بنيتها طلب تنقيح البيانات الأساسية الخاصة بها بشأن مركبات الكربون الهيدروفلورية، لكنها لم تقدم بعد المعلومات المطلوبة بموجب المقرر 15/19 لتدعيم طلبها. ولذلك دُعي الطرف، في مشروع المقرر الرابع، إلى أن يقدم إلى الأمانة إما طلباً لتنقيح البيانات الأساسية الخاصة به بشأن مركبات الكربون الهيدروفلورية، بما في ذلك المعلومات المطلوبة بموجب المقرر 15/19، أو خطة عمل للعودة إلى حالة الامتثال، وذلك لكي تنظر اللجنة في الطلب أو الخطة في اجتماعها السادس والسبعين.</w:t>
      </w:r>
    </w:p>
    <w:p w14:paraId="7F10BBC2" w14:textId="63223B9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bookmarkStart w:id="30" w:name="_Hlk213177082"/>
      <w:r w:rsidRPr="00812612">
        <w:rPr>
          <w:rFonts w:ascii="Simplified Arabic" w:eastAsia="DengXian" w:hAnsi="Simplified Arabic"/>
          <w:sz w:val="24"/>
          <w:szCs w:val="24"/>
          <w:rtl/>
          <w:lang w:val="en-GB"/>
        </w:rPr>
        <w:t>وقدمت سانت فنسنت وجزر غرينادين خطة عمل للعودة إلى الامتثال، استعرضتها اللجنة. ولاحظت اللجنة أن خطة العمل تتضمن جدولاً زمنياً طويلاً للعودة إلى الامتثال، أي حتى عام 2035، ولاحظت أيضاً أن خطة التنفيذ لمركبات الكربون الهيدروفلورية بموجب تعديل كيغالي الخاصة بالطرف لم توافق عليها بعد اللجنة التنفيذية للصندوق المتعدد الأطراف. وطلب مشروع المقرر الخامس من سانت فنسنت وجزر غرينادين تقديم خطة عمل منقحة بعد موافقة اللجنة التنفيذية على خطة التنفيذ لمركبات الكربون الهيدروفلورية بموجب تعديل كيغالي.</w:t>
      </w:r>
      <w:bookmarkEnd w:id="30"/>
    </w:p>
    <w:p w14:paraId="3FFFECED"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وأبلغت طاجيكستان الأمانة بنيتها تقديم خطة عمل للعودة إلى حالة الامتثال، ولكن لم تكن الخطة قد قدمت بعد عند انعقاد الاجتماع الخامس والسبعين للجنة. وطلب مشروع المقرر السادس من طاجيكستان أن تقدم إلى الأمانة خطة عمل للعودة إلى حالة الامتثال لكي تنظر فيها لجنة التنفيذ في اجتماعها السادس والسبعين.</w:t>
      </w:r>
    </w:p>
    <w:p w14:paraId="583105DB"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وحث مشروع المقرر السابع زامبيا على تقديم تفسير للانحراف في بياناتها المبلغ عنها بشأن مركبات الكربون الهيدروفلورية لعام 2024، التي أشارت إلى استهلاك يتجاوز الحد المسموح به بموجب البروتوكول، وتقديم خطة عمل للعودة إلى الامتثال، إذا كان ذلك مناسباً، لكي تنظر فيها اللجنة في اجتماعها السادس والسبعين.</w:t>
      </w:r>
    </w:p>
    <w:p w14:paraId="6BBA8084"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واقترحت مشاريع المقررات الأربعة تلك أيضاً أن يُرصَد عن كثب التقدم الذي تحرزه الأطراف في الوفاء بالتزاماتها. وبقدر ما كانت الأطراف تعمل على تنفيذ تدابير الرقابة والوفاء بها، أو كانت تقدم المعلومات المطلوبة، أشارت مشاريع المقررات إلى أن تلك الأطراف ينبغي أن تظل تعامل بنفس الطريقة التي تعامل بها الأطراف التي لها وضع جيد، وينبغي أن تظل تتلقى المساعدة الدولية لتمكينها من الوفاء بالتزاماتها، وفقا للبند ألف من القائمة الإرشادية للتدابير التي يمكن أن يتخذها اجتماعٌ للأطراف فيما يتعلق بعدم الامتثال.</w:t>
      </w:r>
    </w:p>
    <w:p w14:paraId="6CE13F9C"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وأخيراً، وحسب الاقتضاء، حذرت مشاريع المقررات الأطراف أيضاً، وفقاً للبند باء من قائمة التدابير الإرشادية، من أنه في حالة عدم عودتها إلى الامتثال في الوقت المناسب، فإن اجتماع الأطراف سينظر في اتخاذ تدابير تتفق مع البند جيم من قائمة التدابير الإرشادية.</w:t>
      </w:r>
    </w:p>
    <w:p w14:paraId="18524706"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ويتعلق مشروع المقرر الثامن بإنشاء نظم ترخيص لمركبات الكربون الهيدروفلورية بموجب الفقرة 2 مكرراً من المادة 4 باء من بروتوكول مونتريال. وأشارت مع التقدير إلى أن 161 من أصل 169 طرفاً صدقت على </w:t>
      </w:r>
      <w:r w:rsidRPr="00812612">
        <w:rPr>
          <w:rFonts w:ascii="Simplified Arabic" w:eastAsia="DengXian" w:hAnsi="Simplified Arabic"/>
          <w:sz w:val="24"/>
          <w:szCs w:val="24"/>
          <w:rtl/>
          <w:lang w:val="en-GB"/>
        </w:rPr>
        <w:lastRenderedPageBreak/>
        <w:t>تعديل كيغالي قد أنشأت نظم الترخيص هذه، وأن أربعة أطراف لم تصدق بعد على تعديل كيغالي قد أبلغت أيضاً عن إنشاء وتشغيل نظم الترخيص هذه.</w:t>
      </w:r>
    </w:p>
    <w:p w14:paraId="277B74B1"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وحث مشروع المقرر جيبوتي وعمان وسان مارينو على تزويد الأمانة بمعلومات عن إنشاء وتشغيل نظم الترخيص الخاصة بمركبات الكربون الهيدروفلورية فيها. وأشار بقلق إلى أن سان مارينو، التي قبلت تعديل كيغالي في عام 2020، لم تبلغ بعد عن إنشاء وتشغيل نظام الترخيص الخاص بها، ودعا ذلك الطرف إلى إرسال ممثل إلى الاجتماع السادس والسبعين للجنة.</w:t>
      </w:r>
    </w:p>
    <w:p w14:paraId="46387707" w14:textId="2644E3B4"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ويتعلق مشروع المقرر التاسع بطلبات </w:t>
      </w:r>
      <w:r w:rsidR="00A96B80" w:rsidRPr="00812612">
        <w:rPr>
          <w:rFonts w:ascii="Simplified Arabic" w:eastAsia="DengXian" w:hAnsi="Simplified Arabic"/>
          <w:sz w:val="24"/>
          <w:szCs w:val="24"/>
          <w:rtl/>
          <w:lang w:val="en-GB"/>
        </w:rPr>
        <w:t>11</w:t>
      </w:r>
      <w:r w:rsidRPr="00812612">
        <w:rPr>
          <w:rFonts w:ascii="Simplified Arabic" w:eastAsia="DengXian" w:hAnsi="Simplified Arabic"/>
          <w:sz w:val="24"/>
          <w:szCs w:val="24"/>
          <w:rtl/>
          <w:lang w:val="en-GB"/>
        </w:rPr>
        <w:t xml:space="preserve"> طرفاً تنقيح بياناتها الأساسية، وهي البرازيل، والبوسنة والهرسك، وتوفالو، وجزر مارشال، وغينيا، وفانواتو، وكيريباس، والمغرب، وناورو، ونيجيريا، ونيوي. وأكد مشروع المقرر أن تلك الأطراف قدمت معلومات كافية، وفقاً للمقرر 15/19، لتبرير طلباتها لتنقيح بياناتها الأساسية المتعلقة بمركبات الكربون الهيدروفلورية، وعند الاقتضاء، مركبات الكربون الهيدروكلورية فلورية، وبالتالي جرت الموافقة على الطلبات.</w:t>
      </w:r>
    </w:p>
    <w:p w14:paraId="7F3B2161" w14:textId="77777777" w:rsidR="00A935EF" w:rsidRPr="007B3B0D"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7B3B0D">
        <w:rPr>
          <w:rFonts w:ascii="Simplified Arabic" w:eastAsia="DengXian" w:hAnsi="Simplified Arabic"/>
          <w:w w:val="107"/>
          <w:sz w:val="24"/>
          <w:szCs w:val="24"/>
          <w:rtl/>
          <w:lang w:val="en-GB"/>
        </w:rPr>
        <w:t>وفي الختام، شكر جميع أعضاء اللجنة العشرة على مساهماتهم البناءة ومناقشاتهم المثمرة، والأمانة على جهودها في التحضير للاجتماعات وتنظيمها، وأمانة الصندوق المتعدد الأطراف والوكالات المنفذة على عملهم الهام.</w:t>
      </w:r>
    </w:p>
    <w:p w14:paraId="1A7C7E47"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وشكرت الرئيسة المشاركة رئيس لجنة التنفيذ على عرضه الشامل وأعضاء اللجنة على عملهم. </w:t>
      </w:r>
    </w:p>
    <w:p w14:paraId="35051CF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 المناقشة التي تلت ذلك، قال أحد الممثلين إنه يتطلع إلى الموافقة النهائية على التوصية المتعلقة ببلده في الجزء الرفيع المستوى من الاجتماع الحالي.</w:t>
      </w:r>
    </w:p>
    <w:p w14:paraId="20353242"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وردا على سؤال من أحد الممثلين بشأن تأثير الأخطاء الهامشية على الامتثال، أوضح ممثل الأمانة أن لجنة التنفيذ ناقشت في الماضي ما إذا كانت الأخطاء الهامشية، أو بيانات الحد الأدنى التي تتجاوز مستوى الرقابة، تشكل مسألة تتعلق بالامتثال، وقررت أنها تشكل مسألة من مسائل الامتثال.</w:t>
      </w:r>
    </w:p>
    <w:p w14:paraId="33D5D17D" w14:textId="2C7F4F86"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وأبلغ ممثل عمان الأطراف بأن بلده قد أبلغ </w:t>
      </w:r>
      <w:r w:rsidR="00FE2421" w:rsidRPr="00812612">
        <w:rPr>
          <w:rFonts w:ascii="Simplified Arabic" w:eastAsia="DengXian" w:hAnsi="Simplified Arabic"/>
          <w:sz w:val="24"/>
          <w:szCs w:val="24"/>
          <w:rtl/>
          <w:lang w:val="en-GB"/>
        </w:rPr>
        <w:t>ال</w:t>
      </w:r>
      <w:r w:rsidRPr="00812612">
        <w:rPr>
          <w:rFonts w:ascii="Simplified Arabic" w:eastAsia="DengXian" w:hAnsi="Simplified Arabic"/>
          <w:sz w:val="24"/>
          <w:szCs w:val="24"/>
          <w:rtl/>
          <w:lang w:val="en-GB"/>
        </w:rPr>
        <w:t>أمانة، منذ اختتام الاجتماع الخامس والسبعين للجنة التنفيذ، عن تشغيل نظام ترخيص لمركبات الكربون الهيدروفلورية في بلده.</w:t>
      </w:r>
    </w:p>
    <w:p w14:paraId="2CD2752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وأكد ممثل الأمانة أن الأمانة تلقت رسالة إلكترونية من الطرف بعد اختتام اجتماع لجنة التنفيذ. وقال إنه عندما تتلقى الأمانة معلومات من الأطراف بشأن نظم الترخيص المتعلقة بمركبات الكربون الهيدروفلورية، فإنها تتحقق مما إذا كانت تلك المعلومات تؤكد ما يلي: أن نظام الترخيص قد أُنشئ وأنه يعمل. وقد أكدت الرسالة الإلكترونية الواردة من عمان كلا الأمرين.</w:t>
      </w:r>
    </w:p>
    <w:p w14:paraId="20E4998E"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ولذلك اقترحت الرئيسة المشاركة حذف الإشارة إلى عمان من مشروع المقرر المتعلق بحالة إنشاء نظم الترخيص الذي سيحال إلى الجزء الرفيع المستوى، موضحةً أن المقرر لا يتضمن تاريخاً تُعتبر فيه المعلومات الواردة في المقرر صحيحة.</w:t>
      </w:r>
    </w:p>
    <w:p w14:paraId="7CE3AE41"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وأعرب بعض الممثلين عن قلقهم إزاء الاقتراح القائل بأن الأطراف ستعدل مشروع مقرر أعدته لجنة التنفيذ، وتساءلوا عما إذا كان ذلك إجراءً عادياً.</w:t>
      </w:r>
    </w:p>
    <w:p w14:paraId="45A0F35E"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ورداً على ذلك، أوضح ممثل الأمانة أن الممارسة المتبعة في الماضي من قبل اللجنة كانت تتمثل في الاتفاق خلال اجتماعها على تنقيح أي من مشاريع المقررات والتوصيات استناداً إلى المعلومات الواردة بعد اجتماع اللجنة وحتى اعتماد المقررات ذات الصلة من قبل اجتماع الأطراف المعني. ورغم أن هذا النهج لم يناقش في الاجتماع الخامس والسبعين، فقد اقترحته الرئيسة المشاركة.</w:t>
      </w:r>
    </w:p>
    <w:p w14:paraId="4AA52B7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واعتذر ممثل جزر القمر عن عدم امتثال بلده، الذي حدث عن غير قصد بسبب سوء الفهم. وأكد للأطراف أنه منذ اختتام الاجتماع الخامس والسبعين للجنة التنفيذ، أُرسلت البيانات المتبقية لعام 2024 إلى الأمانة واللجنة </w:t>
      </w:r>
      <w:r w:rsidRPr="00812612">
        <w:rPr>
          <w:rFonts w:ascii="Simplified Arabic" w:eastAsia="DengXian" w:hAnsi="Simplified Arabic"/>
          <w:sz w:val="24"/>
          <w:szCs w:val="24"/>
          <w:rtl/>
          <w:lang w:val="en-GB"/>
        </w:rPr>
        <w:lastRenderedPageBreak/>
        <w:t>التنفيذية. وطلب أن تنظر الأمانة أيضا في التقرير المقدم من بلده بهدف حذف الإشارة إلى جزر القمر من مشروع المقرر ذي الصلة.</w:t>
      </w:r>
    </w:p>
    <w:p w14:paraId="3D80AD80" w14:textId="77777777" w:rsidR="00A935EF" w:rsidRPr="00475D8E"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2"/>
          <w:sz w:val="24"/>
          <w:szCs w:val="24"/>
          <w:lang w:val="en-GB"/>
        </w:rPr>
      </w:pPr>
      <w:r w:rsidRPr="00475D8E">
        <w:rPr>
          <w:rFonts w:ascii="Simplified Arabic" w:eastAsia="DengXian" w:hAnsi="Simplified Arabic"/>
          <w:w w:val="102"/>
          <w:sz w:val="24"/>
          <w:szCs w:val="24"/>
          <w:rtl/>
          <w:lang w:val="en-GB"/>
        </w:rPr>
        <w:t>ورداً على ذلك، أوضحت الرئيسة المشاركة أن حالة جزر القمر تختلف عن حالة عمان. فعمان قدمت معلومات عن نظام الترخيص لديها، في حين قدمت جزر القمر بياناتها لعام 2024. وأشار مشروع المقرر بشكل خاص إلى أن أربعة بلدان، منها جزر القمر، لم تقدم بياناتها عن عام 2024 بحلول 31 تشرين الأول/أكتوبر 2025.</w:t>
      </w:r>
    </w:p>
    <w:p w14:paraId="0C8CCF5C"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 ضوء المعلومات المقدمة، قال الممثلون الذين أعربوا عن قلقهم إنهم يوافقون على حذف عمان من مشروع المقرر لأن هذه الحالة هي مسألة إجرائية تتعلق بإخطار، وليست حالة تتعلق بالبيانات والمعلومات والتقييم. ولم يرغبوا في اتخاذ أي قرار قد يؤدي إلى عدم استعراض لجنة التنفيذ لتقرير من أحد الأطراف.</w:t>
      </w:r>
    </w:p>
    <w:p w14:paraId="10FBB752"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إحالة مجموعة مشاريع المقررات، بصيغتها المعدلة شفويا، لمواصلة النظر فيها واعتمادها إن أمكن خلال الجزء الرفيع المستوى.</w:t>
      </w:r>
    </w:p>
    <w:p w14:paraId="679B93CD" w14:textId="0C64B98C" w:rsidR="00415098" w:rsidRPr="00A4263A" w:rsidRDefault="00A4263A" w:rsidP="00A4263A">
      <w:pPr>
        <w:keepNext/>
        <w:tabs>
          <w:tab w:val="clear" w:pos="1247"/>
          <w:tab w:val="clear" w:pos="1814"/>
          <w:tab w:val="clear" w:pos="2381"/>
          <w:tab w:val="clear" w:pos="2948"/>
          <w:tab w:val="clear" w:pos="3515"/>
        </w:tabs>
        <w:bidi/>
        <w:spacing w:after="120" w:line="360" w:lineRule="exact"/>
        <w:ind w:left="1134" w:hanging="1276"/>
        <w:jc w:val="both"/>
        <w:textDirection w:val="tbRlV"/>
        <w:rPr>
          <w:rFonts w:ascii="Simplified Arabic" w:eastAsia="Times New Roman" w:hAnsi="Simplified Arabic" w:hint="default"/>
          <w:b/>
          <w:bCs/>
          <w:sz w:val="26"/>
          <w:szCs w:val="26"/>
          <w:lang w:val="ar-SA" w:eastAsia="zh-TW"/>
        </w:rPr>
      </w:pPr>
      <w:r>
        <w:rPr>
          <w:rFonts w:ascii="Simplified Arabic" w:eastAsia="Times New Roman" w:hAnsi="Simplified Arabic"/>
          <w:b/>
          <w:bCs/>
          <w:sz w:val="26"/>
          <w:szCs w:val="26"/>
          <w:rtl/>
          <w:lang w:val="ar-SA" w:eastAsia="zh-TW"/>
        </w:rPr>
        <w:t>رابع</w:t>
      </w:r>
      <w:r w:rsidR="00415098" w:rsidRPr="00A4263A">
        <w:rPr>
          <w:rFonts w:ascii="Simplified Arabic" w:eastAsia="Times New Roman" w:hAnsi="Simplified Arabic" w:hint="default"/>
          <w:b/>
          <w:bCs/>
          <w:sz w:val="26"/>
          <w:szCs w:val="26"/>
          <w:rtl/>
          <w:lang w:val="ar-SA" w:eastAsia="zh-TW"/>
        </w:rPr>
        <w:t xml:space="preserve"> عشر-</w:t>
      </w:r>
      <w:r w:rsidR="00415098" w:rsidRPr="00A4263A">
        <w:rPr>
          <w:rFonts w:ascii="Simplified Arabic" w:eastAsia="Times New Roman" w:hAnsi="Simplified Arabic" w:hint="default"/>
          <w:b/>
          <w:bCs/>
          <w:sz w:val="26"/>
          <w:szCs w:val="26"/>
          <w:rtl/>
          <w:lang w:val="ar-SA" w:eastAsia="zh-TW"/>
        </w:rPr>
        <w:tab/>
        <w:t>حالة التصديق على تعديل كيغالي</w:t>
      </w:r>
    </w:p>
    <w:p w14:paraId="5C2369A2" w14:textId="0E2F7DB3"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عند النظر في هذا البند، كان أمام الأطراف الفقرتان 93 </w:t>
      </w:r>
      <w:r w:rsidR="00A200CA" w:rsidRPr="00812612">
        <w:rPr>
          <w:rFonts w:ascii="Simplified Arabic" w:eastAsia="DengXian" w:hAnsi="Simplified Arabic"/>
          <w:sz w:val="24"/>
          <w:szCs w:val="24"/>
          <w:rtl/>
          <w:lang w:val="en-GB"/>
        </w:rPr>
        <w:t>و94</w:t>
      </w:r>
      <w:r w:rsidRPr="00812612">
        <w:rPr>
          <w:rFonts w:ascii="Simplified Arabic" w:eastAsia="DengXian" w:hAnsi="Simplified Arabic"/>
          <w:sz w:val="24"/>
          <w:szCs w:val="24"/>
          <w:rtl/>
          <w:lang w:val="en-GB"/>
        </w:rPr>
        <w:t xml:space="preserve"> من مذكرة الأمانة بشأن مسائل معروضة على الاجتماع السابع والثلاثين للأطراف في بروتوكول مونتريال لمناقشتها ومعلومات للاطلاع عليها </w:t>
      </w:r>
      <w:r w:rsidRPr="00B43057">
        <w:rPr>
          <w:rFonts w:eastAsia="DengXian" w:cs="Times New Roman"/>
          <w:sz w:val="22"/>
          <w:szCs w:val="22"/>
          <w:lang w:val="en-GB"/>
        </w:rPr>
        <w:t>(UNEP/OzL.Pro.37/2)</w:t>
      </w:r>
      <w:r w:rsidRPr="00812612">
        <w:rPr>
          <w:rFonts w:ascii="Simplified Arabic" w:eastAsia="DengXian" w:hAnsi="Simplified Arabic"/>
          <w:sz w:val="24"/>
          <w:szCs w:val="24"/>
          <w:rtl/>
          <w:lang w:val="en-GB"/>
        </w:rPr>
        <w:t xml:space="preserve">، ومذكرة من الأمانة بشأن حالة التصديق على تعديل كيغالي لبروتوكول مونتريال أو الموافقة عليه أو قبوله </w:t>
      </w:r>
      <w:r w:rsidRPr="00B43057">
        <w:rPr>
          <w:rFonts w:eastAsia="DengXian" w:cs="Times New Roman"/>
          <w:sz w:val="22"/>
          <w:szCs w:val="22"/>
          <w:lang w:val="en-GB"/>
        </w:rPr>
        <w:t>(UNEP/OzL.Pro.37/INF/5)</w:t>
      </w:r>
      <w:r w:rsidRPr="00812612">
        <w:rPr>
          <w:rFonts w:ascii="Simplified Arabic" w:eastAsia="DengXian" w:hAnsi="Simplified Arabic"/>
          <w:sz w:val="24"/>
          <w:szCs w:val="24"/>
          <w:rtl/>
          <w:lang w:val="en-GB"/>
        </w:rPr>
        <w:t xml:space="preserve">، ومشروع مقرر وارد في الوثيقة </w:t>
      </w:r>
      <w:r w:rsidRPr="00D75EEC">
        <w:rPr>
          <w:rFonts w:eastAsia="DengXian" w:cs="Times New Roman"/>
          <w:sz w:val="22"/>
          <w:szCs w:val="22"/>
          <w:rtl/>
          <w:lang w:val="en-GB"/>
        </w:rPr>
        <w:t>UNEP/OzL.Pro.37/3</w:t>
      </w:r>
      <w:r w:rsidRPr="00812612">
        <w:rPr>
          <w:rFonts w:ascii="Simplified Arabic" w:eastAsia="DengXian" w:hAnsi="Simplified Arabic"/>
          <w:sz w:val="24"/>
          <w:szCs w:val="24"/>
          <w:rtl/>
          <w:lang w:val="en-GB"/>
        </w:rPr>
        <w:t xml:space="preserve"> (مشروع المقرر 37/[هاء هاء]).</w:t>
      </w:r>
    </w:p>
    <w:p w14:paraId="55985F2A"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وقالت الرئيسة المشاركة، في معرض تقديمها لهذا البند، إنه حتى 31 تشرين الأول/أكتوبر 2025، كان ما مجموعه 169 طرفاً قد صدق على تعديل كيغالي - أي تبقت تصديقات من 29 طرفاً فقط لبلوغ الهدف المتمثل في تحقيق التصديق العالمي. وسيجري تحديث عدد التصديقات، حسب الاقتضاء، عند النظر في مشروع المقرر 37/[هاء هاء] واعتماده إن أمكن خلال الجزء الرفيع المستوى.</w:t>
      </w:r>
    </w:p>
    <w:p w14:paraId="5187BD00" w14:textId="77777777" w:rsidR="00A935EF" w:rsidRPr="00A21BA7"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A21BA7">
        <w:rPr>
          <w:rFonts w:ascii="Simplified Arabic" w:eastAsia="DengXian" w:hAnsi="Simplified Arabic"/>
          <w:w w:val="107"/>
          <w:sz w:val="24"/>
          <w:szCs w:val="24"/>
          <w:rtl/>
          <w:lang w:val="en-GB"/>
        </w:rPr>
        <w:t>ووافقت الأطراف على إحالة مشروع المقرر لمواصلة النظر فيه واعتماده إن أمكن أثناء الجزء الرفيع المستوى.</w:t>
      </w:r>
    </w:p>
    <w:p w14:paraId="5F6A94AC" w14:textId="721E3154" w:rsidR="00A935EF" w:rsidRPr="001223FB" w:rsidRDefault="00A935EF" w:rsidP="001223FB">
      <w:pPr>
        <w:keepNext/>
        <w:tabs>
          <w:tab w:val="clear" w:pos="1247"/>
          <w:tab w:val="clear" w:pos="1814"/>
          <w:tab w:val="clear" w:pos="2381"/>
          <w:tab w:val="clear" w:pos="2948"/>
          <w:tab w:val="clear" w:pos="3515"/>
        </w:tabs>
        <w:bidi/>
        <w:spacing w:after="120" w:line="360" w:lineRule="exact"/>
        <w:ind w:left="1134" w:hanging="1276"/>
        <w:jc w:val="both"/>
        <w:textDirection w:val="tbRlV"/>
        <w:rPr>
          <w:rFonts w:ascii="Simplified Arabic" w:eastAsia="Times New Roman" w:hAnsi="Simplified Arabic" w:hint="default"/>
          <w:b/>
          <w:bCs/>
          <w:sz w:val="26"/>
          <w:szCs w:val="26"/>
          <w:lang w:val="ar-SA" w:eastAsia="zh-TW"/>
        </w:rPr>
      </w:pPr>
      <w:r w:rsidRPr="001223FB">
        <w:rPr>
          <w:rFonts w:ascii="Simplified Arabic" w:eastAsia="Times New Roman" w:hAnsi="Simplified Arabic"/>
          <w:b/>
          <w:bCs/>
          <w:sz w:val="26"/>
          <w:szCs w:val="26"/>
          <w:rtl/>
          <w:lang w:val="ar-SA" w:eastAsia="zh-TW"/>
        </w:rPr>
        <w:t>خامس عشر-</w:t>
      </w:r>
      <w:r w:rsidRPr="001223FB">
        <w:rPr>
          <w:rFonts w:ascii="Simplified Arabic" w:eastAsia="Times New Roman" w:hAnsi="Simplified Arabic"/>
          <w:b/>
          <w:bCs/>
          <w:sz w:val="26"/>
          <w:szCs w:val="26"/>
          <w:rtl/>
          <w:lang w:val="ar-SA" w:eastAsia="zh-TW"/>
        </w:rPr>
        <w:tab/>
      </w:r>
      <w:r w:rsidR="003F2121" w:rsidRPr="001223FB">
        <w:rPr>
          <w:rFonts w:ascii="Simplified Arabic" w:eastAsia="Times New Roman" w:hAnsi="Simplified Arabic"/>
          <w:b/>
          <w:bCs/>
          <w:sz w:val="26"/>
          <w:szCs w:val="26"/>
          <w:rtl/>
          <w:lang w:val="ar-SA" w:eastAsia="zh-TW"/>
        </w:rPr>
        <w:t>مسائل أخرى</w:t>
      </w:r>
    </w:p>
    <w:p w14:paraId="16D66500" w14:textId="6A697C78" w:rsidR="00A935EF" w:rsidRPr="00812612" w:rsidRDefault="00A935EF" w:rsidP="00812612">
      <w:pPr>
        <w:pStyle w:val="CH2"/>
        <w:keepNext w:val="0"/>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lang w:val="ar-SA" w:eastAsia="zh-TW" w:bidi="en-GB"/>
        </w:rPr>
      </w:pPr>
      <w:r w:rsidRPr="00812612">
        <w:rPr>
          <w:rFonts w:ascii="Simplified Arabic" w:hAnsi="Simplified Arabic" w:cs="Simplified Arabic"/>
          <w:bCs/>
          <w:rtl/>
        </w:rPr>
        <w:t>ضمان استمرار عمليات بروتوكول مونتريال</w:t>
      </w:r>
    </w:p>
    <w:p w14:paraId="39ED74A9" w14:textId="77777777" w:rsidR="00A935EF" w:rsidRPr="001223FB"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1223FB">
        <w:rPr>
          <w:rFonts w:ascii="Simplified Arabic" w:eastAsia="DengXian" w:hAnsi="Simplified Arabic"/>
          <w:sz w:val="24"/>
          <w:szCs w:val="24"/>
          <w:rtl/>
          <w:lang w:val="en-GB"/>
        </w:rPr>
        <w:t>أشارت الرئيسة المشاركة إلى أنه جرى الاتفاق، أثناء اعتماد جدول الأعمال، على النظر في مقترح بشأن تحسين جدول اجتماعات بروتوكول مونتريال.</w:t>
      </w:r>
    </w:p>
    <w:p w14:paraId="65A1520E" w14:textId="265405E4" w:rsidR="00A935EF" w:rsidRPr="001223FB"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1223FB">
        <w:rPr>
          <w:rFonts w:ascii="Simplified Arabic" w:eastAsia="DengXian" w:hAnsi="Simplified Arabic"/>
          <w:sz w:val="24"/>
          <w:szCs w:val="24"/>
          <w:rtl/>
          <w:lang w:val="en-GB"/>
        </w:rPr>
        <w:t xml:space="preserve">وقدم ممثل الولايات المتحدة مشروع مقرر بعنوان </w:t>
      </w:r>
      <w:r w:rsidR="00D5366C" w:rsidRPr="001223FB">
        <w:rPr>
          <w:rFonts w:ascii="Simplified Arabic" w:eastAsia="DengXian" w:hAnsi="Simplified Arabic"/>
          <w:sz w:val="24"/>
          <w:szCs w:val="24"/>
          <w:rtl/>
          <w:lang w:val="en-GB"/>
        </w:rPr>
        <w:t>”</w:t>
      </w:r>
      <w:r w:rsidRPr="001223FB">
        <w:rPr>
          <w:rFonts w:ascii="Simplified Arabic" w:eastAsia="DengXian" w:hAnsi="Simplified Arabic"/>
          <w:sz w:val="24"/>
          <w:szCs w:val="24"/>
          <w:rtl/>
          <w:lang w:val="en-GB"/>
        </w:rPr>
        <w:t>ضمان استمرار عمليات بروتوكول مونتريال</w:t>
      </w:r>
      <w:r w:rsidR="00D5366C" w:rsidRPr="001223FB">
        <w:rPr>
          <w:rFonts w:ascii="Simplified Arabic" w:eastAsia="DengXian" w:hAnsi="Simplified Arabic"/>
          <w:sz w:val="24"/>
          <w:szCs w:val="24"/>
          <w:rtl/>
          <w:lang w:val="en-GB"/>
        </w:rPr>
        <w:t>“</w:t>
      </w:r>
      <w:r w:rsidRPr="001223FB">
        <w:rPr>
          <w:rFonts w:ascii="Simplified Arabic" w:eastAsia="DengXian" w:hAnsi="Simplified Arabic"/>
          <w:sz w:val="24"/>
          <w:szCs w:val="24"/>
          <w:rtl/>
          <w:lang w:val="en-GB"/>
        </w:rPr>
        <w:t xml:space="preserve"> يرد في ورقة غرفة اجتماعات، شاركت النرويج في تقديمه، موضحاً أن من المهم أن تجري جميع الهيئات المتعددة الأطراف استعراضات دورية لتنظيم عملها لضمان استمرار كفاءتها وفعاليتها وتصميمها على النحو الأمثل لدعم التنفيذ. ونظراً لأن غالبية الأطراف في بروتوكول مونتريال تقترب من نهاية مرحلة التخلص التدريجي من مركبات الكربون الهيدروكلورية فلورية وبدأت في تنفيذ خطة التخفيض التدريجي لمركبات الكربون الهيدروفلورية، فإن من المناسب إجراء محادثة استراتيجية بشأن حجم العمل المتوقع في المستقبل وما إذا كان جدول الاجتماعات الحالي متوافقاً مع حجم العمل هذا. ويهدف مشروع المقرر إلى اتخاذ خطوة أولى نحو تحقيق هذه الغاية من خلال مطالبة الأمانة بإعداد تقرير لكي ينظر فيه الفريق العامل المفتوح العضوية في اجتماعه الثامن والأربعين بشأن الخيارات المحتملة، </w:t>
      </w:r>
      <w:r w:rsidRPr="001223FB">
        <w:rPr>
          <w:rFonts w:ascii="Simplified Arabic" w:eastAsia="DengXian" w:hAnsi="Simplified Arabic"/>
          <w:sz w:val="24"/>
          <w:szCs w:val="24"/>
          <w:rtl/>
          <w:lang w:val="en-GB"/>
        </w:rPr>
        <w:lastRenderedPageBreak/>
        <w:t xml:space="preserve">وتقديرات التكاليف ذات الصلة، لإجراء تغييرات على مواعيد ومدة اجتماعات هيئات البروتوكول وعلى دورة قرارات تجديد الموارد. </w:t>
      </w:r>
    </w:p>
    <w:p w14:paraId="78D5DB0B" w14:textId="77777777" w:rsidR="00A935EF" w:rsidRPr="001223FB"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1223FB">
        <w:rPr>
          <w:rFonts w:ascii="Simplified Arabic" w:eastAsia="DengXian" w:hAnsi="Simplified Arabic"/>
          <w:sz w:val="24"/>
          <w:szCs w:val="24"/>
          <w:rtl/>
          <w:lang w:val="en-GB"/>
        </w:rPr>
        <w:t xml:space="preserve">وأشار ممثل النرويج، بصفته مشاركاً في تقديم مشروع المقرر، إلى أنه من غير المرجح أن تتحسن الأوضاع المالية الصعبة الحالية في السنوات المقبلة، وذكّر بأن الأمانة اضطرت إلى تقليص بعض أنشطتها عقب التخفيضات التي أدخلت على الميزانية في الاجتماع السادس والثلاثين للأطراف. ولضمان الاستدامة الطويلة الأجل للبروتوكول، سيكون من المفيد بدء مناقشة أوسع نطاقاً بشأن كيفية ضمان فعالية تكاليف العمليات بموجب بروتوكول مونتريال دون المساس بالعمل الجاري أو المساس بقدرة الصك على مواجهة التحديات الناشئة. </w:t>
      </w:r>
    </w:p>
    <w:p w14:paraId="3F412DC8" w14:textId="77777777" w:rsidR="00A935EF" w:rsidRPr="001223FB"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1223FB">
        <w:rPr>
          <w:rFonts w:ascii="Simplified Arabic" w:eastAsia="DengXian" w:hAnsi="Simplified Arabic"/>
          <w:sz w:val="24"/>
          <w:szCs w:val="24"/>
          <w:rtl/>
          <w:lang w:val="en-GB"/>
        </w:rPr>
        <w:t>وفي المناقشة التي تلت ذلك، قال عدد من الممثلين إنهم يعتبرون المقترح ملائماً، مشددين على أن الهدف هو جمع المعلومات وتقديرات التكاليف بشأن الخيارات الممكنة كنقطة انطلاق للمناقشات بين الأطراف؛ وتحسين الكفاءة، دون المساس بأهداف وفعالية بروتوكول مونتريال؛ وضمان توفير الموارد والدعم الفعالين لأنشطة الأمانة، التي هي أساس نجاح البروتوكول. وأكد العديد منهم على أنه لا ينبغي الحكم مسبقاً على نتائج المقترح.</w:t>
      </w:r>
    </w:p>
    <w:p w14:paraId="42862401" w14:textId="77777777" w:rsidR="00A935EF" w:rsidRPr="001223FB"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1223FB">
        <w:rPr>
          <w:rFonts w:ascii="Simplified Arabic" w:eastAsia="DengXian" w:hAnsi="Simplified Arabic"/>
          <w:sz w:val="24"/>
          <w:szCs w:val="24"/>
          <w:rtl/>
          <w:lang w:val="en-GB"/>
        </w:rPr>
        <w:t>وأعرب بعض الممثلين عن قلقهم بشأن توقيت تقديم المقترح. وحذر ممثل من إجراء تغييرات قد تعرض للخطر هيئةً ناجحةً؛ وأكد آخرون أن هناك مشاريع كبرى تتطلب مناقشة مستفيضة بين الأطراف على وشك أن تُطلق. وحذر أحد الممثلين من أن المقترح قد تكون له آثار تتجاوز تحقيق الكفاءة الإدارية، مع تغييرات في توقيت الاجتماعات ومدتها وهيكلها، وفي دورة اتخاذ القرارات المتعلقة بتجديد الموارد، مما يؤثر على مشاركة الأطراف العاملة بموجب المادة 5 وتنفيذها لبروتوكول مونتريال.</w:t>
      </w:r>
    </w:p>
    <w:p w14:paraId="2F2005BE" w14:textId="77777777" w:rsidR="00A935EF" w:rsidRPr="001223FB"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1223FB">
        <w:rPr>
          <w:rFonts w:ascii="Simplified Arabic" w:eastAsia="DengXian" w:hAnsi="Simplified Arabic"/>
          <w:sz w:val="24"/>
          <w:szCs w:val="24"/>
          <w:rtl/>
          <w:lang w:val="en-GB"/>
        </w:rPr>
        <w:t>وأشار عدد من الممثلين إلى أن المناقشات غير الرسمية ستكون حيوية من أجل فهم نطاق المقترح وآثاره المحتملة بشكل أفضل وتوفير اختصاصات أوضح للأمانة حتى تتمكن من إعداد التقرير المطلوب بشأن التحسينات المحتملة للعمليات. وأضاف ممثل أنه لا يمكن اتخاذ قرارات عقلانية بشأن تعديلات محتملة على جدول الاجتماعات دون إجراء تحليل موضوعي لنجاح الاجتماعات والقرارات السابقة؛ وأكد أن جميع القرارات يجب أن تهدف إلى مساعدة الأطراف على تنفيذ بروتوكول مونتريال.</w:t>
      </w:r>
    </w:p>
    <w:p w14:paraId="7A891985" w14:textId="77777777" w:rsidR="00A935EF" w:rsidRPr="001223FB"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1223FB">
        <w:rPr>
          <w:rFonts w:ascii="Simplified Arabic" w:eastAsia="DengXian" w:hAnsi="Simplified Arabic"/>
          <w:sz w:val="24"/>
          <w:szCs w:val="24"/>
          <w:rtl/>
          <w:lang w:val="en-GB"/>
        </w:rPr>
        <w:t>ووافقت الأطراف على إنشاء فريق اتصال، تشارك في رئاسته كارمن ريفيرو (الأرجنتين) وأليساندرو بيرو (إيطاليا)، لمواصلة مناقشة هذه المسألة. ولضمان مشاركة أكبر عدد ممكن من الوفود، ستبذل جهود متضافرة لتجنب تضارب المواعيد مع أفرقة أخرى.</w:t>
      </w:r>
    </w:p>
    <w:p w14:paraId="78A4F8CD" w14:textId="77777777" w:rsidR="00A935EF" w:rsidRPr="001223FB"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1223FB">
        <w:rPr>
          <w:rFonts w:ascii="Simplified Arabic" w:eastAsia="DengXian" w:hAnsi="Simplified Arabic"/>
          <w:sz w:val="24"/>
          <w:szCs w:val="24"/>
          <w:rtl/>
          <w:lang w:val="en-GB"/>
        </w:rPr>
        <w:t>وفي وقت لاحق، أفاد الرئيس المشارك لفريق الاتصال بأن الفريق قد توصل إلى اتفاق بشأن مشروع مقرر يتعلق بضمان استمرار عمليات بروتوكول مونتريال لكي تنظر فيه الأطراف.</w:t>
      </w:r>
    </w:p>
    <w:p w14:paraId="6BE9C97B" w14:textId="77777777" w:rsidR="00A935EF" w:rsidRPr="001223FB"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7"/>
          <w:sz w:val="24"/>
          <w:szCs w:val="24"/>
          <w:lang w:val="en-GB"/>
        </w:rPr>
      </w:pPr>
      <w:r w:rsidRPr="001223FB">
        <w:rPr>
          <w:rFonts w:ascii="Simplified Arabic" w:eastAsia="DengXian" w:hAnsi="Simplified Arabic"/>
          <w:w w:val="107"/>
          <w:sz w:val="24"/>
          <w:szCs w:val="24"/>
          <w:rtl/>
          <w:lang w:val="en-GB"/>
        </w:rPr>
        <w:t>ووافقت الأطراف على إحالة مشروع المقرر لمواصلة النظر فيه واعتماده إن أمكن أثناء الجزء الرفيع المستوى.</w:t>
      </w:r>
    </w:p>
    <w:p w14:paraId="11588427" w14:textId="77777777" w:rsidR="00AA7607" w:rsidRPr="001223FB" w:rsidRDefault="00AA7607" w:rsidP="001223FB">
      <w:pPr>
        <w:tabs>
          <w:tab w:val="clear" w:pos="1247"/>
          <w:tab w:val="clear" w:pos="1814"/>
          <w:tab w:val="clear" w:pos="2381"/>
          <w:tab w:val="clear" w:pos="2948"/>
          <w:tab w:val="clear" w:pos="3515"/>
        </w:tabs>
        <w:bidi/>
        <w:spacing w:before="240" w:after="240" w:line="360" w:lineRule="exact"/>
        <w:ind w:left="1134"/>
        <w:jc w:val="both"/>
        <w:textDirection w:val="tbRlV"/>
        <w:rPr>
          <w:rFonts w:ascii="Simplified Arabic" w:eastAsia="Times New Roman" w:hAnsi="Simplified Arabic" w:hint="default"/>
          <w:b/>
          <w:bCs/>
          <w:sz w:val="26"/>
          <w:szCs w:val="26"/>
          <w:lang w:val="ar-SA" w:eastAsia="zh-TW"/>
        </w:rPr>
      </w:pPr>
      <w:r w:rsidRPr="001223FB">
        <w:rPr>
          <w:rFonts w:ascii="Simplified Arabic" w:eastAsia="Times New Roman" w:hAnsi="Simplified Arabic" w:hint="default"/>
          <w:b/>
          <w:bCs/>
          <w:sz w:val="26"/>
          <w:szCs w:val="26"/>
          <w:rtl/>
          <w:lang w:val="ar-SA" w:eastAsia="zh-TW"/>
        </w:rPr>
        <w:t>الجزء الثاني: الجزء الرفيع المستوى (6 و7 تشرين الثاني/نوفمبر 2025)</w:t>
      </w:r>
    </w:p>
    <w:p w14:paraId="64197117" w14:textId="77777777" w:rsidR="0061088C" w:rsidRPr="001223FB" w:rsidRDefault="0061088C" w:rsidP="001223FB">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1223FB">
        <w:rPr>
          <w:rFonts w:ascii="Simplified Arabic" w:eastAsia="Times New Roman" w:hAnsi="Simplified Arabic" w:hint="default"/>
          <w:b/>
          <w:bCs/>
          <w:sz w:val="26"/>
          <w:szCs w:val="26"/>
          <w:rtl/>
          <w:lang w:val="ar-SA" w:eastAsia="zh-TW"/>
        </w:rPr>
        <w:t>أولاً-</w:t>
      </w:r>
      <w:r w:rsidRPr="001223FB">
        <w:rPr>
          <w:rFonts w:ascii="Simplified Arabic" w:eastAsia="Times New Roman" w:hAnsi="Simplified Arabic" w:hint="default"/>
          <w:b/>
          <w:bCs/>
          <w:sz w:val="26"/>
          <w:szCs w:val="26"/>
          <w:rtl/>
          <w:lang w:val="ar-SA" w:eastAsia="zh-TW"/>
        </w:rPr>
        <w:tab/>
        <w:t>افتتاح الجزء الرفيع المستوى</w:t>
      </w:r>
    </w:p>
    <w:p w14:paraId="6907AD46"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افتَتَح الجزء الرفيع المستوى، في الساعة 10:05 من صباح يوم الخميس 6 تشرين الثاني/نوفمبر 2025، ندياي شيخ سيلا (السنغال)، نائب رئيس الاجتماع السادس والثلاثين للأطراف في بروتوكول مونتريال، الذي يتولى مهام الرئيس. وبدأ الاجتماع بعرض موسيقي ثقافي.</w:t>
      </w:r>
    </w:p>
    <w:p w14:paraId="70B6864A" w14:textId="77777777" w:rsidR="00FE1845" w:rsidRPr="001223FB" w:rsidRDefault="00FE1845" w:rsidP="001223FB">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4"/>
          <w:szCs w:val="24"/>
          <w:lang w:val="ar-SA" w:eastAsia="zh-TW"/>
        </w:rPr>
      </w:pPr>
      <w:r w:rsidRPr="001223FB">
        <w:rPr>
          <w:rFonts w:ascii="Simplified Arabic" w:eastAsia="Times New Roman" w:hAnsi="Simplified Arabic" w:hint="default"/>
          <w:b/>
          <w:bCs/>
          <w:sz w:val="24"/>
          <w:szCs w:val="24"/>
          <w:rtl/>
          <w:lang w:val="ar-SA" w:eastAsia="zh-TW"/>
        </w:rPr>
        <w:lastRenderedPageBreak/>
        <w:t>ألف-</w:t>
      </w:r>
      <w:r w:rsidRPr="001223FB">
        <w:rPr>
          <w:rFonts w:ascii="Simplified Arabic" w:eastAsia="Times New Roman" w:hAnsi="Simplified Arabic" w:hint="default"/>
          <w:b/>
          <w:bCs/>
          <w:sz w:val="24"/>
          <w:szCs w:val="24"/>
          <w:rtl/>
          <w:lang w:val="ar-SA" w:eastAsia="zh-TW"/>
        </w:rPr>
        <w:tab/>
        <w:t>بيان رئيس الاجتماع السادس والثلاثين للأطراف في بروتوكول مونتريـال</w:t>
      </w:r>
    </w:p>
    <w:p w14:paraId="23ADBA04"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أشار السيد سيلا في كلمته إلى أن الاجتماع السادس والثلاثين للأطراف في بروتوكول مونتريال قد اعتمد عدة مقررات رئيسية بشأن المضي قدما في تنفيذ البروتوكول، مما أرسى الأسس للعديد من المناقشات التي جرت في الاجتماع السابع والثلاثين. وكان من أبرزها المقرر المتعلق بتعزيز الرصد الإقليمي للمواد الخاضعة للرقابة في الغلاف الجوي. وتطلع إلى الخطوات التالية الرامية إلى تعزيز قدرات الرصد في المناطق التي توجد فيها ثغرات.</w:t>
      </w:r>
    </w:p>
    <w:p w14:paraId="5AC60105" w14:textId="4FBBC40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 إلى أن استمرار المناقشات بشأن معالجة الفجوة بين الانبعاثات الملاحظة والمتوقعة من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والمواد الأولية، وزيادة تعزيز مؤسسات بروتوكول مونتريال وإعادة هيكلة أفرقة التقييم، والانفتاح الذي أبدته الأطراف، قد أظهر للعالم لماذا أصبح بروتوكول مونتريال الاتفاق البيئي المتعدد الأطراف الأكثر نجاحاً. إن الصندوق المتعدد الأطراف هو عامل أساسي في استمرار نجاح البروتوكول. وأعرب عن ثقته في أن المناقشات بشأن اختصاصات تجديد موارده لفترة الثلاث سنوات 2027-2029، والتي ستحدد شكل جهود الأطراف العاملة بموجب المادة 5 في المستقبل المنظور، ستنتهي بالتوصل إلى اتفاق.</w:t>
      </w:r>
    </w:p>
    <w:p w14:paraId="79220749"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 إلى أن عام 2025 يصادف الذكرى السنوية الأربعين لاتفاقية فيينا، وأعرب عن أمله في أن تتذكر الأطراف إرث أولئك الذين وضعوا حجر الأساس لمعاهدات الأوزون والذين تقف تلك المعاهدات اليوم على أكتافهم. ودعا الأطراف الـتسعة والعشرين التي لم تصدق بعد على تعديل كيغالي إلى القيام بذلك، حتى يتسنى تحقيق التصديق العالمي بحلول عام 2026، وهو عام الذكرى السنوية العاشرة للتعديل. </w:t>
      </w:r>
    </w:p>
    <w:p w14:paraId="297E7FFF"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وفي الختام، شكر الأطراف، وزملاءه أعضاء المكتب، وأفرقة التقييم، ولجنة التنفيذ، واللجنة التنفيذية للصندوق المتعدد الأطراف ووكالاتها التنفيذية والثنائية، وأمانة الأوزون وأمانة الصندوق المتعدد الأطراف، والرئيسين المشاركين للجزء التحضيري، وجميع الأعضاء الآخرين في أسرة الأوزون على مساهماتهم في المسؤولية المشتركة عن حماية طبقة الأوزون والمناخ. وأعلن أنه فخور بخدمته لعملية أثبتت مرارًا وتكرارًا ما يمكن أن يحققه التفاني والثقة والتفاهم المتبادل من أجل كوكبنا. </w:t>
      </w:r>
    </w:p>
    <w:p w14:paraId="3C22CE96" w14:textId="77777777" w:rsidR="00CE3D5F" w:rsidRPr="001223FB" w:rsidRDefault="00CE3D5F" w:rsidP="001223FB">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4"/>
          <w:szCs w:val="24"/>
          <w:lang w:val="ar-SA" w:eastAsia="zh-TW"/>
        </w:rPr>
      </w:pPr>
      <w:r w:rsidRPr="001223FB">
        <w:rPr>
          <w:rFonts w:ascii="Simplified Arabic" w:eastAsia="Times New Roman" w:hAnsi="Simplified Arabic" w:hint="default"/>
          <w:b/>
          <w:bCs/>
          <w:sz w:val="24"/>
          <w:szCs w:val="24"/>
          <w:rtl/>
          <w:lang w:val="ar-SA" w:eastAsia="zh-TW"/>
        </w:rPr>
        <w:t>باء-</w:t>
      </w:r>
      <w:r w:rsidRPr="001223FB">
        <w:rPr>
          <w:rFonts w:ascii="Simplified Arabic" w:eastAsia="Times New Roman" w:hAnsi="Simplified Arabic" w:hint="default"/>
          <w:b/>
          <w:bCs/>
          <w:sz w:val="24"/>
          <w:szCs w:val="24"/>
          <w:rtl/>
          <w:lang w:val="ar-SA" w:eastAsia="zh-TW"/>
        </w:rPr>
        <w:tab/>
        <w:t>بيان ممثل برنامج الأمم المتحدة للبيئة</w:t>
      </w:r>
    </w:p>
    <w:p w14:paraId="452FD9E5"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رحبت شيلا أغاروال-خان، مديرة شعبة الاقتصاد في برنامج الأمم المتحدة للبيئة، بالأطراف المشاركة في الاجتماع باسم إنغر أندرسن، المديرة التنفيذية لبرنامج الأمم المتحدة للبيئة، التي لم تتمكن من الحضور. وفي بيان قُدم عبر رسالة بالفيديو، أشارت السيدة أندرسن إلى أن عام 2025 يصادف مرور 40 عامًا على اتفاقية فيينا، التي أنشأت من خلالها الحكومات واحدة من أولى المعاهدات البيئية القائمة على أسس علمية حقيقية، مما مهد الطريق لإنشاء بروتوكول مونتريال. وبعد أربعة عقود، واصلت أفرقة التقييم الثلاث التابعة للبروتوكول الاسترشاد بالعلوم في الحفاظ على قوة المعاهدات وأهميتها ومصداقيتها.</w:t>
      </w:r>
    </w:p>
    <w:p w14:paraId="57C709EB"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وقبل ذلك بعامين، في عام 2023، اتفقت الأطراف على أعلى مستوى من تجديد موارد الصندوق المتعدد الأطراف على الإطلاق</w:t>
      </w:r>
      <w:r w:rsidRPr="00812612">
        <w:rPr>
          <w:rFonts w:ascii="Simplified Arabic" w:eastAsia="DengXian" w:hAnsi="Simplified Arabic"/>
          <w:sz w:val="24"/>
          <w:szCs w:val="24"/>
          <w:lang w:val="en-GB"/>
        </w:rPr>
        <w:t>:</w:t>
      </w:r>
      <w:r w:rsidRPr="00812612">
        <w:rPr>
          <w:rFonts w:ascii="Simplified Arabic" w:eastAsia="DengXian" w:hAnsi="Simplified Arabic"/>
          <w:sz w:val="24"/>
          <w:szCs w:val="24"/>
          <w:rtl/>
          <w:lang w:val="en-GB"/>
        </w:rPr>
        <w:t xml:space="preserve"> 965 مليون دولار للفترة 2024-2026، وهو قرار أكد عزم الأطراف الجماعي على حماية طبقة الأوزون والمناخ مع دعم الأطراف العاملة بموجب المادة 5. وقد بدأ العمل الآن على تحديد اختصاصات الدراسة المقبلة لتجديد الموارد. وإدراكاً منها لاختلاف مواقف الأطراف العاملة بموجب المادة 5 والأطراف غير العاملة بموجبها اختلافاً كبيراً بشأن هذه المسألة، شجعت جميع الأطراف على مواصلة الحوار والاستماع. لقد توصلت الأطراف في بروتوكول مونتريال دائماً إلى توافق في الآراء عندما كان ذلك مهماً للغاية، وهي واثقة من أن ذلك يمكن أن يحدث مرة أخرى.</w:t>
      </w:r>
    </w:p>
    <w:p w14:paraId="09D47383" w14:textId="68E99B21"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ووجهت انتباه الأطراف إلى الفجوة الكبيرة التي لوحظت بين القياسات الجوية من أعلى إلى أسفل والانبعاثات المبلغ عنها من أسفل إلى أعلى </w:t>
      </w:r>
      <w:r w:rsidR="003E2E99">
        <w:rPr>
          <w:rFonts w:ascii="Simplified Arabic" w:eastAsia="DengXian" w:hAnsi="Simplified Arabic"/>
          <w:sz w:val="24"/>
          <w:szCs w:val="24"/>
          <w:rtl/>
          <w:lang w:val="en-GB"/>
        </w:rPr>
        <w:t xml:space="preserve">لمركب </w:t>
      </w:r>
      <w:r w:rsidR="004678C7">
        <w:rPr>
          <w:rFonts w:ascii="Simplified Arabic" w:eastAsia="DengXian" w:hAnsi="Simplified Arabic"/>
          <w:sz w:val="24"/>
          <w:szCs w:val="24"/>
          <w:rtl/>
          <w:lang w:val="en-GB"/>
        </w:rPr>
        <w:t>الكربون الهيدروفلوري-23</w:t>
      </w:r>
      <w:r w:rsidRPr="00812612">
        <w:rPr>
          <w:rFonts w:ascii="Simplified Arabic" w:eastAsia="DengXian" w:hAnsi="Simplified Arabic"/>
          <w:sz w:val="24"/>
          <w:szCs w:val="24"/>
          <w:rtl/>
          <w:lang w:val="en-GB"/>
        </w:rPr>
        <w:t xml:space="preserve">، وهو غاز احتباس حراري قوي للغاية وطويل العمر. إن تعزيز رصد الغلاف الجوي هو أمر أساسي في جهود الأطراف، مما يسمح لأفرقة التقييم بتقديم </w:t>
      </w:r>
      <w:r w:rsidRPr="00812612">
        <w:rPr>
          <w:rFonts w:ascii="Simplified Arabic" w:eastAsia="DengXian" w:hAnsi="Simplified Arabic"/>
          <w:sz w:val="24"/>
          <w:szCs w:val="24"/>
          <w:rtl/>
          <w:lang w:val="en-GB"/>
        </w:rPr>
        <w:lastRenderedPageBreak/>
        <w:t xml:space="preserve">تحديثات في الوقت المناسب. وأشارت إلى أنه عندما أشارت عمليات رصد الغلاف الجوي إلى وجود تضارب مماثل في انبعاثات مركب الكربون الكلوروفلوري-11، تحركت الأطراف بسرعة وحافظت على تعافي طبقة الأوزون في المسار الصحيح. </w:t>
      </w:r>
    </w:p>
    <w:p w14:paraId="366014B9" w14:textId="148EA781"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وسلطت أيضاً الضوء على مسألة إدارة المواد المبردة طيلة دورة حياتها، حيث أعربت الأطراف العاملة بموجب المادة 5 عن قلقها إزاء تزايد مخزونات غازات التبريد. ويمكن أن يساعد الاعتماد الشامل لاستراتيجيات إدارة المواد المبردة طيلة دورة حياتها، بدءًا من تحسين الصيانة ومنع التسرب وحتى الاستعادة والاستصلاح والتدمير، في تجنب ما يصل إلى 39 </w:t>
      </w:r>
      <w:r w:rsidR="00475D8E">
        <w:rPr>
          <w:rFonts w:ascii="Simplified Arabic" w:eastAsia="DengXian" w:hAnsi="Simplified Arabic"/>
          <w:sz w:val="24"/>
          <w:szCs w:val="24"/>
          <w:rtl/>
          <w:lang w:val="en-GB"/>
        </w:rPr>
        <w:t>غ</w:t>
      </w:r>
      <w:r w:rsidRPr="00812612">
        <w:rPr>
          <w:rFonts w:ascii="Simplified Arabic" w:eastAsia="DengXian" w:hAnsi="Simplified Arabic"/>
          <w:sz w:val="24"/>
          <w:szCs w:val="24"/>
          <w:rtl/>
          <w:lang w:val="en-GB"/>
        </w:rPr>
        <w:t>ي</w:t>
      </w:r>
      <w:r w:rsidR="008C2843" w:rsidRPr="00812612">
        <w:rPr>
          <w:rFonts w:ascii="Simplified Arabic" w:eastAsia="DengXian" w:hAnsi="Simplified Arabic"/>
          <w:sz w:val="24"/>
          <w:szCs w:val="24"/>
          <w:rtl/>
          <w:lang w:val="en-GB"/>
        </w:rPr>
        <w:t>غ</w:t>
      </w:r>
      <w:r w:rsidRPr="00812612">
        <w:rPr>
          <w:rFonts w:ascii="Simplified Arabic" w:eastAsia="DengXian" w:hAnsi="Simplified Arabic"/>
          <w:sz w:val="24"/>
          <w:szCs w:val="24"/>
          <w:rtl/>
          <w:lang w:val="en-GB"/>
        </w:rPr>
        <w:t xml:space="preserve">ا طن من انبعاثات ثاني أكسيد الكربون المكافئة. </w:t>
      </w:r>
      <w:bookmarkStart w:id="31" w:name="_Hlk213325131"/>
      <w:bookmarkEnd w:id="31"/>
    </w:p>
    <w:p w14:paraId="1F07D686"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ومع اقتراب الذكرى السنوية العاشرة لتعديل كيغالي، شجعت الأطراف الـتسعة والعشرين التي لم تصدق عليه بعد على اغتنام الفرصة والقيام بذلك في أقرب وقت ممكن. وحذرت من أن بروتوكول مونتريال ليس في مأمن من آثار الضغوط التي تمارس على الأمم المتحدة لخفض التكاليف، لكنها أعربت عن ثقتها في أن الأطراف ستجد طريقة لضمان استمرار فعاليته ونجاحه.</w:t>
      </w:r>
    </w:p>
    <w:p w14:paraId="299C2452" w14:textId="77777777" w:rsidR="00D6276D" w:rsidRPr="001223FB" w:rsidRDefault="00D6276D" w:rsidP="001223FB">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4"/>
          <w:szCs w:val="24"/>
          <w:lang w:val="ar-SA" w:eastAsia="zh-TW"/>
        </w:rPr>
      </w:pPr>
      <w:r w:rsidRPr="001223FB">
        <w:rPr>
          <w:rFonts w:ascii="Simplified Arabic" w:eastAsia="Times New Roman" w:hAnsi="Simplified Arabic" w:hint="default"/>
          <w:b/>
          <w:bCs/>
          <w:sz w:val="24"/>
          <w:szCs w:val="24"/>
          <w:rtl/>
          <w:lang w:val="ar-SA" w:eastAsia="zh-TW"/>
        </w:rPr>
        <w:t>جيم-</w:t>
      </w:r>
      <w:r w:rsidRPr="001223FB">
        <w:rPr>
          <w:rFonts w:ascii="Simplified Arabic" w:eastAsia="Times New Roman" w:hAnsi="Simplified Arabic" w:hint="default"/>
          <w:b/>
          <w:bCs/>
          <w:sz w:val="24"/>
          <w:szCs w:val="24"/>
          <w:rtl/>
          <w:lang w:val="ar-SA" w:eastAsia="zh-TW"/>
        </w:rPr>
        <w:tab/>
        <w:t>بيان ممثل حكومة كينيا</w:t>
      </w:r>
    </w:p>
    <w:p w14:paraId="26C75C10"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رحبت ديبورا باراسا، وزيرة البيئة وتغير المناخ والغابات في كينيا، بالمشاركين في نيروبي، وأشارت إلى أن كينيا انضمت إلى اتفاقية فيينا وصدقت على بروتوكول مونتريال في تشرين الثاني/نوفمبر 1988، وصدقت على جميع التعديلات الخمسة للبروتوكول. وشجعت الأطراف التي لم تصدق بعد على جميع التعديلات على القيام بذلك، ولا سيما تعديل كيغالي. </w:t>
      </w:r>
    </w:p>
    <w:p w14:paraId="49239D6A"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وقالت إنها مسرورة لأن بنود جدول أعمال الاجتماع السابع والثلاثين للأطراف تغطي مجموعة واسعة من المسائل ذات الأهمية الحاسمة لضمان استمرار نجاح بروتوكول مونتريال في الحفاظ على مسار تعافي طبقة الأوزون ومكافحة تغير المناخ. وهي على يقين من أن الأطراف ستتفق معها على استمرار الحاجة إلى تمويل كافٍ للأنشطة في البلدان النامية، بما في ذلك وضع خطط التنفيذ لمركبات الكربون الهيدروفلورية بموجب تعديل كيغالي، وتمويل مراكز التميز الوطنية والإقليمية للتبريد المستدام، وبناء قدرات فنيي التبريد وتكييف الهواء، وإنشاء البنية التحتية اللازمة للاستعادة وإعادة التدوير والتدمير، من بين أمور أخرى. </w:t>
      </w:r>
    </w:p>
    <w:p w14:paraId="765ACFE9" w14:textId="65575E65"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وقالت إن كينيا تعمل حالياً على إعداد خطة التنفيذ لمركبات الكربون الهيدروفلورية بموجب تعديل كيغالي الخاصة بها لتقديمها إلى الصندوق المتعدد الأطراف، مما سيمكنها من وضع استراتيجية شاملة تسمح لها بتحقيق أهدافها على صعيد التخفيض التدريجي لمركبات الكربون الهيدروفلورية. وتعكف وزارتها، من خلال وحدة الأوزون الوطنية، على البحث عن وسائل لجمع ونقل غازات التبريد المستعادة من أجل التخلص منها بطريقة آمنة في البلدان التي توجد بها مرافق للتدمير. وبالتعاون مع حكومة ألمانيا، أجرت الوحدة مناقشات أولية مع سبع شركات خاصة بشأن استخدام الغازات المستعادة أو التخلص منها بطريقة آمنة. وشمل نظام الترخيص في كينيا مركبات الكربون الهيدروفلورية ومزائج هذه المركبات، وهو يسهل رصد الواردات بالتعاون مع وكالات الجمارك والإيرادات وإدارة البيئة.</w:t>
      </w:r>
    </w:p>
    <w:p w14:paraId="14E706C6"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ونظراً لأن تكنولوجيات التبريد هي من أكبر العوامل المساهمة في الاحترار العالمي، فإن الضروري التركيز على خفض الانبعاثات من هذا القطاع، وتحسين كفاءة الطاقة، وتنفيذ إجراءات تبريد صديقة للمناخ مثل استخدام المواد المبردة الطبيعية. ومع ذلك، فإن معظم معدات التبريد وتكييف الهواء في كينيا لا تزال تعتمد على تكنولوجيات قديمة؛ كما أن البدائل الصديقة للأوزون والمناخ ليست متوفرة بسهولة، وهناك نقص في الفنيين المدربين. لذلك، تهدف خطة العمل الوطنية للتبريد في كينيا إلى تعزيز وصول جميع الكينيين إلى التبريد المستدام. وبمساعدة من المانحين الدوليين، شمل تنفيذ الخطة حتى الآن تدريب أكثر من مئتي موظف جمركي وأكثر من ألف من فنيي التبريد وتكييف الهواء على تدابير الرقابة واستخدام الهيدروكربونات ومواد التبريد الطبيعية الأخرى. واختتمت كلمتها </w:t>
      </w:r>
      <w:r w:rsidRPr="00812612">
        <w:rPr>
          <w:rFonts w:ascii="Simplified Arabic" w:eastAsia="DengXian" w:hAnsi="Simplified Arabic"/>
          <w:sz w:val="24"/>
          <w:szCs w:val="24"/>
          <w:rtl/>
          <w:lang w:val="en-GB"/>
        </w:rPr>
        <w:lastRenderedPageBreak/>
        <w:t>بدعوة الأطراف إلى الحفاظ على نجاح بروتوكول مونتريال من خلال مواصلة تقديم المساعدة المالية للأطراف العاملة بموجب المادة 5 للوفاء بالتزاماتها.</w:t>
      </w:r>
    </w:p>
    <w:p w14:paraId="687B9FFD" w14:textId="77777777" w:rsidR="00124648" w:rsidRPr="001223FB" w:rsidRDefault="00124648" w:rsidP="001223FB">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1223FB">
        <w:rPr>
          <w:rFonts w:ascii="Simplified Arabic" w:eastAsia="Times New Roman" w:hAnsi="Simplified Arabic" w:hint="default"/>
          <w:b/>
          <w:bCs/>
          <w:sz w:val="26"/>
          <w:szCs w:val="26"/>
          <w:rtl/>
          <w:lang w:val="ar-SA" w:eastAsia="zh-TW"/>
        </w:rPr>
        <w:t>ثانياً-</w:t>
      </w:r>
      <w:r w:rsidRPr="001223FB">
        <w:rPr>
          <w:rFonts w:ascii="Simplified Arabic" w:eastAsia="Times New Roman" w:hAnsi="Simplified Arabic" w:hint="default"/>
          <w:b/>
          <w:bCs/>
          <w:sz w:val="26"/>
          <w:szCs w:val="26"/>
          <w:rtl/>
          <w:lang w:val="ar-SA" w:eastAsia="zh-TW"/>
        </w:rPr>
        <w:tab/>
        <w:t>المسائل التنظيمية</w:t>
      </w:r>
    </w:p>
    <w:p w14:paraId="2A201805" w14:textId="77777777" w:rsidR="00281567" w:rsidRPr="001223FB" w:rsidRDefault="00281567" w:rsidP="001223FB">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4"/>
          <w:szCs w:val="24"/>
          <w:lang w:val="ar-SA" w:eastAsia="zh-TW"/>
        </w:rPr>
      </w:pPr>
      <w:r w:rsidRPr="001223FB">
        <w:rPr>
          <w:rFonts w:ascii="Simplified Arabic" w:eastAsia="Times New Roman" w:hAnsi="Simplified Arabic" w:hint="default"/>
          <w:b/>
          <w:bCs/>
          <w:sz w:val="24"/>
          <w:szCs w:val="24"/>
          <w:rtl/>
          <w:lang w:val="ar-SA" w:eastAsia="zh-TW"/>
        </w:rPr>
        <w:t>ألف-</w:t>
      </w:r>
      <w:r w:rsidRPr="001223FB">
        <w:rPr>
          <w:rFonts w:ascii="Simplified Arabic" w:eastAsia="Times New Roman" w:hAnsi="Simplified Arabic" w:hint="default"/>
          <w:b/>
          <w:bCs/>
          <w:sz w:val="24"/>
          <w:szCs w:val="24"/>
          <w:rtl/>
          <w:lang w:val="ar-SA" w:eastAsia="zh-TW"/>
        </w:rPr>
        <w:tab/>
        <w:t>انتخاب أعضاء مكتب الاجتماع السابع والثلاثين للأطراف في بروتوكول مونتريال</w:t>
      </w:r>
      <w:bookmarkStart w:id="32" w:name="_Hlk204172695"/>
      <w:bookmarkEnd w:id="32"/>
    </w:p>
    <w:p w14:paraId="0A53446E"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وفقاً للفقرة 1 من المادة 21 من النظام الداخلي لاجتماعات الأطراف في بروتوكول مونتريال، انتخب بالتزكية أعضاء مكتب الاجتماع السابع والثلاثين للأطراف التالية أسماؤهم:</w:t>
      </w:r>
    </w:p>
    <w:p w14:paraId="3774EE27" w14:textId="6C004BD0" w:rsidR="00A935EF" w:rsidRPr="00812612" w:rsidRDefault="00A935EF" w:rsidP="001223FB">
      <w:pPr>
        <w:pStyle w:val="Normalnumber"/>
        <w:numPr>
          <w:ilvl w:val="0"/>
          <w:numId w:val="0"/>
        </w:numPr>
        <w:tabs>
          <w:tab w:val="clear" w:pos="1247"/>
          <w:tab w:val="clear" w:pos="1814"/>
          <w:tab w:val="clear" w:pos="2381"/>
          <w:tab w:val="clear" w:pos="2948"/>
          <w:tab w:val="clear" w:pos="3515"/>
        </w:tabs>
        <w:bidi/>
        <w:spacing w:line="360" w:lineRule="exact"/>
        <w:ind w:left="1843"/>
        <w:jc w:val="both"/>
        <w:textDirection w:val="tbRlV"/>
        <w:rPr>
          <w:rFonts w:ascii="Simplified Arabic" w:hAnsi="Simplified Arabic" w:hint="default"/>
          <w:sz w:val="24"/>
          <w:szCs w:val="24"/>
          <w:rtl/>
          <w:lang w:val="ar-SA" w:eastAsia="zh-TW" w:bidi="en-GB"/>
        </w:rPr>
      </w:pPr>
      <w:r w:rsidRPr="00812612">
        <w:rPr>
          <w:rFonts w:ascii="Simplified Arabic" w:hAnsi="Simplified Arabic"/>
          <w:sz w:val="24"/>
          <w:szCs w:val="24"/>
          <w:rtl/>
        </w:rPr>
        <w:t>الرئيس</w:t>
      </w:r>
      <w:r w:rsidRPr="00812612">
        <w:rPr>
          <w:rFonts w:ascii="Simplified Arabic" w:hAnsi="Simplified Arabic"/>
          <w:sz w:val="24"/>
          <w:szCs w:val="24"/>
          <w:rtl/>
        </w:rPr>
        <w:tab/>
      </w:r>
      <w:r w:rsidR="001F3B62">
        <w:rPr>
          <w:rFonts w:ascii="Simplified Arabic" w:hAnsi="Simplified Arabic" w:hint="default"/>
          <w:sz w:val="24"/>
          <w:szCs w:val="24"/>
          <w:rtl/>
        </w:rPr>
        <w:tab/>
      </w:r>
      <w:r w:rsidRPr="00812612">
        <w:rPr>
          <w:rFonts w:ascii="Simplified Arabic" w:hAnsi="Simplified Arabic"/>
          <w:sz w:val="24"/>
          <w:szCs w:val="24"/>
          <w:rtl/>
        </w:rPr>
        <w:t>بول كراينيك (النمسا) (دول أوروبا الغربية ودول أخرى)</w:t>
      </w:r>
    </w:p>
    <w:p w14:paraId="1BE11EDE" w14:textId="5252500B" w:rsidR="00A935EF" w:rsidRPr="00812612" w:rsidRDefault="00A935EF" w:rsidP="001223FB">
      <w:pPr>
        <w:pStyle w:val="Normalnumber"/>
        <w:numPr>
          <w:ilvl w:val="0"/>
          <w:numId w:val="0"/>
        </w:numPr>
        <w:tabs>
          <w:tab w:val="clear" w:pos="1247"/>
          <w:tab w:val="clear" w:pos="1814"/>
          <w:tab w:val="clear" w:pos="2381"/>
          <w:tab w:val="clear" w:pos="2948"/>
          <w:tab w:val="clear" w:pos="3515"/>
        </w:tabs>
        <w:bidi/>
        <w:spacing w:line="360" w:lineRule="exact"/>
        <w:ind w:left="1843"/>
        <w:jc w:val="both"/>
        <w:textDirection w:val="tbRlV"/>
        <w:rPr>
          <w:rFonts w:ascii="Simplified Arabic" w:hAnsi="Simplified Arabic" w:hint="default"/>
          <w:sz w:val="24"/>
          <w:szCs w:val="24"/>
          <w:rtl/>
          <w:lang w:val="ar-SA" w:eastAsia="zh-TW" w:bidi="en-GB"/>
        </w:rPr>
      </w:pPr>
      <w:r w:rsidRPr="00812612">
        <w:rPr>
          <w:rFonts w:ascii="Simplified Arabic" w:hAnsi="Simplified Arabic"/>
          <w:sz w:val="24"/>
          <w:szCs w:val="24"/>
          <w:rtl/>
        </w:rPr>
        <w:t>نائب</w:t>
      </w:r>
      <w:r w:rsidR="00A3598A">
        <w:rPr>
          <w:rFonts w:ascii="Simplified Arabic" w:hAnsi="Simplified Arabic"/>
          <w:sz w:val="24"/>
          <w:szCs w:val="24"/>
          <w:rtl/>
        </w:rPr>
        <w:t>ا</w:t>
      </w:r>
      <w:r w:rsidRPr="00812612">
        <w:rPr>
          <w:rFonts w:ascii="Simplified Arabic" w:hAnsi="Simplified Arabic"/>
          <w:sz w:val="24"/>
          <w:szCs w:val="24"/>
          <w:rtl/>
        </w:rPr>
        <w:t xml:space="preserve"> الرئيس:</w:t>
      </w:r>
      <w:r w:rsidR="001F3B62">
        <w:rPr>
          <w:rFonts w:ascii="Simplified Arabic" w:hAnsi="Simplified Arabic" w:hint="default"/>
          <w:sz w:val="24"/>
          <w:szCs w:val="24"/>
          <w:rtl/>
        </w:rPr>
        <w:tab/>
      </w:r>
      <w:r w:rsidRPr="00812612">
        <w:rPr>
          <w:rFonts w:ascii="Simplified Arabic" w:hAnsi="Simplified Arabic"/>
          <w:sz w:val="24"/>
          <w:szCs w:val="24"/>
          <w:rtl/>
        </w:rPr>
        <w:tab/>
        <w:t>تشن هايجون (الصين) (دول آسيا والمحيط الهادئ)</w:t>
      </w:r>
    </w:p>
    <w:p w14:paraId="2669F62E" w14:textId="675DE428" w:rsidR="00A935EF" w:rsidRPr="00812612" w:rsidRDefault="001F3B62" w:rsidP="001223FB">
      <w:pPr>
        <w:pStyle w:val="Normalnumber"/>
        <w:numPr>
          <w:ilvl w:val="0"/>
          <w:numId w:val="0"/>
        </w:numPr>
        <w:tabs>
          <w:tab w:val="clear" w:pos="1247"/>
          <w:tab w:val="clear" w:pos="1814"/>
          <w:tab w:val="clear" w:pos="2381"/>
          <w:tab w:val="clear" w:pos="2948"/>
          <w:tab w:val="clear" w:pos="3515"/>
        </w:tabs>
        <w:bidi/>
        <w:spacing w:line="360" w:lineRule="exact"/>
        <w:ind w:left="1843"/>
        <w:jc w:val="both"/>
        <w:textDirection w:val="tbRlV"/>
        <w:rPr>
          <w:rFonts w:ascii="Simplified Arabic" w:hAnsi="Simplified Arabic" w:hint="default"/>
          <w:sz w:val="24"/>
          <w:szCs w:val="24"/>
          <w:rtl/>
          <w:lang w:val="ar-SA" w:eastAsia="zh-TW" w:bidi="en-GB"/>
        </w:rPr>
      </w:pPr>
      <w:r>
        <w:rPr>
          <w:rFonts w:ascii="Simplified Arabic" w:hAnsi="Simplified Arabic" w:hint="default"/>
          <w:sz w:val="24"/>
          <w:szCs w:val="24"/>
          <w:rtl/>
        </w:rPr>
        <w:tab/>
      </w:r>
      <w:r>
        <w:rPr>
          <w:rFonts w:ascii="Simplified Arabic" w:hAnsi="Simplified Arabic" w:hint="default"/>
          <w:sz w:val="24"/>
          <w:szCs w:val="24"/>
          <w:rtl/>
        </w:rPr>
        <w:tab/>
      </w:r>
      <w:r w:rsidR="00A935EF" w:rsidRPr="00812612">
        <w:rPr>
          <w:rFonts w:ascii="Simplified Arabic" w:hAnsi="Simplified Arabic"/>
          <w:sz w:val="24"/>
          <w:szCs w:val="24"/>
          <w:rtl/>
        </w:rPr>
        <w:tab/>
        <w:t>أوبيد ميرينغو بالويي (جنوب أفريقيا) (الدول الأفريقية)</w:t>
      </w:r>
    </w:p>
    <w:p w14:paraId="4A15F9C8" w14:textId="024E4B76" w:rsidR="00A935EF" w:rsidRPr="00812612" w:rsidRDefault="00A935EF" w:rsidP="001223FB">
      <w:pPr>
        <w:pStyle w:val="Normalnumber"/>
        <w:numPr>
          <w:ilvl w:val="0"/>
          <w:numId w:val="0"/>
        </w:numPr>
        <w:tabs>
          <w:tab w:val="clear" w:pos="1247"/>
          <w:tab w:val="clear" w:pos="1814"/>
          <w:tab w:val="clear" w:pos="2381"/>
          <w:tab w:val="clear" w:pos="2948"/>
          <w:tab w:val="clear" w:pos="3515"/>
        </w:tabs>
        <w:bidi/>
        <w:spacing w:line="360" w:lineRule="exact"/>
        <w:ind w:left="1843"/>
        <w:jc w:val="both"/>
        <w:textDirection w:val="tbRlV"/>
        <w:rPr>
          <w:rFonts w:ascii="Simplified Arabic" w:hAnsi="Simplified Arabic" w:hint="default"/>
          <w:sz w:val="24"/>
          <w:szCs w:val="24"/>
          <w:rtl/>
          <w:lang w:val="ar-SA" w:eastAsia="zh-TW" w:bidi="en-GB"/>
        </w:rPr>
      </w:pPr>
      <w:r w:rsidRPr="00812612">
        <w:rPr>
          <w:rFonts w:ascii="Simplified Arabic" w:hAnsi="Simplified Arabic"/>
          <w:sz w:val="24"/>
          <w:szCs w:val="24"/>
          <w:rtl/>
        </w:rPr>
        <w:t>المقرر:</w:t>
      </w:r>
      <w:r w:rsidR="001F3B62">
        <w:rPr>
          <w:rFonts w:ascii="Simplified Arabic" w:hAnsi="Simplified Arabic" w:hint="default"/>
          <w:sz w:val="24"/>
          <w:szCs w:val="24"/>
          <w:rtl/>
        </w:rPr>
        <w:tab/>
      </w:r>
      <w:r w:rsidRPr="00812612">
        <w:rPr>
          <w:rFonts w:ascii="Simplified Arabic" w:hAnsi="Simplified Arabic"/>
          <w:sz w:val="24"/>
          <w:szCs w:val="24"/>
          <w:rtl/>
        </w:rPr>
        <w:tab/>
        <w:t>كريستينا فاكا (بنما) (دول أمريكا اللاتينية ومنطقة البحر الكاريبي)</w:t>
      </w:r>
    </w:p>
    <w:p w14:paraId="481C5AE7"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ولم ترد أي ترشيحات لمنصب نائب الرئيس من دول أوروبا الشرقية.</w:t>
      </w:r>
    </w:p>
    <w:p w14:paraId="02D82351"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وشكر السيد كراينيك، عند توليه الرئاسة، سلفه في الرئاسة، كيرين جيمس، والسيد سيلا، وقال إن انتخابه رئيساً للمكتب للمرة الثانية شرف غير متوقع. </w:t>
      </w:r>
    </w:p>
    <w:p w14:paraId="4E3E2075" w14:textId="77777777" w:rsidR="00477F17" w:rsidRPr="001F3B62" w:rsidRDefault="00477F17" w:rsidP="001F3B6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4"/>
          <w:szCs w:val="24"/>
          <w:lang w:val="ar-SA" w:eastAsia="zh-TW"/>
        </w:rPr>
      </w:pPr>
      <w:r w:rsidRPr="001F3B62">
        <w:rPr>
          <w:rFonts w:ascii="Simplified Arabic" w:eastAsia="Times New Roman" w:hAnsi="Simplified Arabic" w:hint="default"/>
          <w:b/>
          <w:bCs/>
          <w:sz w:val="24"/>
          <w:szCs w:val="24"/>
          <w:rtl/>
          <w:lang w:val="ar-SA" w:eastAsia="zh-TW"/>
        </w:rPr>
        <w:t>باء-</w:t>
      </w:r>
      <w:r w:rsidRPr="001F3B62">
        <w:rPr>
          <w:rFonts w:ascii="Simplified Arabic" w:eastAsia="Times New Roman" w:hAnsi="Simplified Arabic" w:hint="default"/>
          <w:b/>
          <w:bCs/>
          <w:sz w:val="24"/>
          <w:szCs w:val="24"/>
          <w:rtl/>
          <w:lang w:val="ar-SA" w:eastAsia="zh-TW"/>
        </w:rPr>
        <w:tab/>
        <w:t>إقرار جدول أعمال الجزء الرفيع المستوى</w:t>
      </w:r>
    </w:p>
    <w:p w14:paraId="0E77FD9A"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أُقر جدول الأعمال التالي للجزء الرفيع المستوى على أساس جدول الأعمال المؤقت الوارد في الفرع الثاني من الوثيقة </w:t>
      </w:r>
      <w:r w:rsidRPr="00D75EEC">
        <w:rPr>
          <w:rFonts w:eastAsia="DengXian" w:cs="Times New Roman"/>
          <w:sz w:val="22"/>
          <w:szCs w:val="22"/>
          <w:rtl/>
          <w:lang w:val="en-GB"/>
        </w:rPr>
        <w:t>UNEP/OzL.Pro.37/1</w:t>
      </w:r>
      <w:r w:rsidRPr="00812612">
        <w:rPr>
          <w:rFonts w:ascii="Simplified Arabic" w:eastAsia="DengXian" w:hAnsi="Simplified Arabic"/>
          <w:sz w:val="24"/>
          <w:szCs w:val="24"/>
          <w:rtl/>
          <w:lang w:val="en-GB"/>
        </w:rPr>
        <w:t>:</w:t>
      </w:r>
    </w:p>
    <w:p w14:paraId="72A2FB69"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افتتاح الجزء الرفيع المستوى:</w:t>
      </w:r>
    </w:p>
    <w:p w14:paraId="7193DC82" w14:textId="77777777" w:rsidR="00E71B4F" w:rsidRPr="00812612" w:rsidRDefault="00E71B4F" w:rsidP="001F3B62">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(أ)</w:t>
      </w:r>
      <w:r w:rsidRPr="00812612">
        <w:rPr>
          <w:rFonts w:ascii="Simplified Arabic" w:eastAsia="Times New Roman" w:hAnsi="Simplified Arabic"/>
          <w:sz w:val="24"/>
          <w:szCs w:val="24"/>
          <w:rtl/>
        </w:rPr>
        <w:tab/>
        <w:t>بيان رئيس الاجتماع السادس والثلاثين للأطراف في بروتوكول مونتريـال؛</w:t>
      </w:r>
    </w:p>
    <w:p w14:paraId="507F60AF" w14:textId="77777777" w:rsidR="00E71B4F" w:rsidRPr="00812612" w:rsidRDefault="00E71B4F" w:rsidP="001F3B62">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(ب)</w:t>
      </w:r>
      <w:r w:rsidRPr="00812612">
        <w:rPr>
          <w:rFonts w:ascii="Simplified Arabic" w:eastAsia="Times New Roman" w:hAnsi="Simplified Arabic"/>
          <w:sz w:val="24"/>
          <w:szCs w:val="24"/>
          <w:rtl/>
        </w:rPr>
        <w:tab/>
        <w:t>بيان ممثل برنامج الأمم المتحدة للبيئة؛</w:t>
      </w:r>
    </w:p>
    <w:p w14:paraId="41AD0459" w14:textId="77777777" w:rsidR="00E71B4F" w:rsidRPr="00812612" w:rsidRDefault="00E71B4F" w:rsidP="001F3B62">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(ج)</w:t>
      </w:r>
      <w:r w:rsidRPr="00812612">
        <w:rPr>
          <w:rFonts w:ascii="Simplified Arabic" w:eastAsia="Times New Roman" w:hAnsi="Simplified Arabic"/>
          <w:sz w:val="24"/>
          <w:szCs w:val="24"/>
          <w:rtl/>
        </w:rPr>
        <w:tab/>
        <w:t>بيان ممثل حكومة كينيا.</w:t>
      </w:r>
    </w:p>
    <w:p w14:paraId="258C9DF4"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المسائل التنظيمية:</w:t>
      </w:r>
    </w:p>
    <w:p w14:paraId="1E946865" w14:textId="77777777" w:rsidR="00E71B4F" w:rsidRPr="00812612" w:rsidRDefault="00E71B4F" w:rsidP="001F3B62">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(أ)</w:t>
      </w:r>
      <w:r w:rsidRPr="00812612">
        <w:rPr>
          <w:rFonts w:ascii="Simplified Arabic" w:eastAsia="Times New Roman" w:hAnsi="Simplified Arabic"/>
          <w:sz w:val="24"/>
          <w:szCs w:val="24"/>
          <w:rtl/>
        </w:rPr>
        <w:tab/>
        <w:t>انتخاب أعضاء مكتب الاجتماع السابع والثلاثين للأطراف في بروتوكول مونتريـال؛</w:t>
      </w:r>
    </w:p>
    <w:p w14:paraId="3E759A7F" w14:textId="77777777" w:rsidR="00E71B4F" w:rsidRPr="00812612" w:rsidRDefault="00E71B4F" w:rsidP="001F3B62">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(ب)</w:t>
      </w:r>
      <w:r w:rsidRPr="00812612">
        <w:rPr>
          <w:rFonts w:ascii="Simplified Arabic" w:eastAsia="Times New Roman" w:hAnsi="Simplified Arabic"/>
          <w:sz w:val="24"/>
          <w:szCs w:val="24"/>
          <w:rtl/>
        </w:rPr>
        <w:tab/>
        <w:t>إقرار جدول أعمال الجزء الرفيع المستوى؛</w:t>
      </w:r>
    </w:p>
    <w:p w14:paraId="40B4CFA1" w14:textId="77777777" w:rsidR="00E71B4F" w:rsidRPr="00812612" w:rsidRDefault="00E71B4F" w:rsidP="001F3B62">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(ج)</w:t>
      </w:r>
      <w:r w:rsidRPr="00812612">
        <w:rPr>
          <w:rFonts w:ascii="Simplified Arabic" w:eastAsia="Times New Roman" w:hAnsi="Simplified Arabic"/>
          <w:sz w:val="24"/>
          <w:szCs w:val="24"/>
          <w:rtl/>
        </w:rPr>
        <w:tab/>
        <w:t>تنظيم الأعمال؛</w:t>
      </w:r>
    </w:p>
    <w:p w14:paraId="738E36FD" w14:textId="77777777" w:rsidR="00E71B4F" w:rsidRPr="00812612" w:rsidRDefault="00E71B4F" w:rsidP="001F3B62">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(د)</w:t>
      </w:r>
      <w:r w:rsidRPr="00812612">
        <w:rPr>
          <w:rFonts w:ascii="Simplified Arabic" w:eastAsia="Times New Roman" w:hAnsi="Simplified Arabic"/>
          <w:sz w:val="24"/>
          <w:szCs w:val="24"/>
          <w:rtl/>
        </w:rPr>
        <w:tab/>
        <w:t>وثائق تفويض الممثلين.</w:t>
      </w:r>
    </w:p>
    <w:p w14:paraId="31E09081"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 xml:space="preserve">العروض المقدمة من أفرقة التقييم بشأن تقاريرها المرحلية، بما في ذلك أي مسائل ناشئة. </w:t>
      </w:r>
    </w:p>
    <w:p w14:paraId="0F1483CD"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عرض من رئيس اللجنة التنفيذية للصندوق المتعدد الأطراف لتنفيذ بروتوكول مونتريال عن أعمال اللجنة التنفيذية وأمانة الصندوق المتعدد الأطراف والوكالات المنفذة للصندوق.</w:t>
      </w:r>
    </w:p>
    <w:p w14:paraId="21110845"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بيانات رؤساء الوفود ومناقشة المواضيع الرئيسية.</w:t>
      </w:r>
    </w:p>
    <w:p w14:paraId="25770CC5"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lowKashida"/>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تــقــريــر الــرئــيــســيــن الــمــشــاركــيــن للجــزء الــتــحــضــيــري والــنــظــر فــي الــمــقــررات الــمــوصــى بــاعــتــمــادهــا فــي الاجــتــمــاع السابع والــثــلاثــيــن للأطــراف.</w:t>
      </w:r>
    </w:p>
    <w:p w14:paraId="6331A2E7"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lastRenderedPageBreak/>
        <w:t>مواعيد ومكان انعقاد الاجتماع الثامن والثلاثين للأطراف في بروتوكول مونتريـال.</w:t>
      </w:r>
    </w:p>
    <w:p w14:paraId="024360BF"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مسائل أخرى.</w:t>
      </w:r>
    </w:p>
    <w:p w14:paraId="6DE33748"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اعتماد المقررات من جانب الاجتماع السابع والثلاثين للأطراف.</w:t>
      </w:r>
    </w:p>
    <w:p w14:paraId="40CCB254"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اعتماد تقرير الاجتماع.</w:t>
      </w:r>
    </w:p>
    <w:p w14:paraId="07E223F3" w14:textId="77777777" w:rsidR="00E71B4F" w:rsidRPr="00812612" w:rsidRDefault="00E71B4F" w:rsidP="008D12FC">
      <w:pPr>
        <w:numPr>
          <w:ilvl w:val="0"/>
          <w:numId w:val="25"/>
        </w:numPr>
        <w:tabs>
          <w:tab w:val="clear" w:pos="1247"/>
          <w:tab w:val="clear" w:pos="1814"/>
          <w:tab w:val="clear" w:pos="2381"/>
          <w:tab w:val="clear" w:pos="2948"/>
          <w:tab w:val="clear" w:pos="3515"/>
          <w:tab w:val="left" w:pos="709"/>
        </w:tabs>
        <w:bidi/>
        <w:spacing w:after="120" w:line="360" w:lineRule="exact"/>
        <w:ind w:left="2552" w:hanging="709"/>
        <w:jc w:val="both"/>
        <w:textDirection w:val="tbRlV"/>
        <w:rPr>
          <w:rFonts w:ascii="Simplified Arabic" w:eastAsia="Times New Roman" w:hAnsi="Simplified Arabic" w:hint="default"/>
          <w:sz w:val="24"/>
          <w:szCs w:val="24"/>
        </w:rPr>
      </w:pPr>
      <w:r w:rsidRPr="00812612">
        <w:rPr>
          <w:rFonts w:ascii="Simplified Arabic" w:eastAsia="Times New Roman" w:hAnsi="Simplified Arabic"/>
          <w:sz w:val="24"/>
          <w:szCs w:val="24"/>
          <w:rtl/>
        </w:rPr>
        <w:t>اختتام الاجتماع.</w:t>
      </w:r>
    </w:p>
    <w:p w14:paraId="3F5B9B99" w14:textId="14172E73" w:rsidR="00A935EF" w:rsidRPr="00812612" w:rsidRDefault="00D86521"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w:t>
      </w:r>
      <w:r w:rsidR="00A935EF" w:rsidRPr="00812612">
        <w:rPr>
          <w:rFonts w:ascii="Simplified Arabic" w:eastAsia="DengXian" w:hAnsi="Simplified Arabic"/>
          <w:sz w:val="24"/>
          <w:szCs w:val="24"/>
          <w:rtl/>
          <w:lang w:val="en-GB"/>
        </w:rPr>
        <w:t xml:space="preserve">طلب ممثلو كازاخستان وقيرغيزستان وطاجيكستان إدراج بند تحت البند 8 من جدول الأعمال، </w:t>
      </w:r>
      <w:r w:rsidR="00D5366C" w:rsidRPr="001F3B62">
        <w:rPr>
          <w:rFonts w:ascii="Simplified Arabic" w:eastAsia="DengXian" w:hAnsi="Simplified Arabic"/>
          <w:sz w:val="24"/>
          <w:szCs w:val="24"/>
          <w:rtl/>
          <w:lang w:val="en-GB"/>
        </w:rPr>
        <w:t>”</w:t>
      </w:r>
      <w:r w:rsidR="00A935EF" w:rsidRPr="00812612">
        <w:rPr>
          <w:rFonts w:ascii="Simplified Arabic" w:eastAsia="DengXian" w:hAnsi="Simplified Arabic"/>
          <w:sz w:val="24"/>
          <w:szCs w:val="24"/>
          <w:rtl/>
          <w:lang w:val="en-GB"/>
        </w:rPr>
        <w:t>مسائل أخرى</w:t>
      </w:r>
      <w:r w:rsidR="00D5366C" w:rsidRPr="001F3B62">
        <w:rPr>
          <w:rFonts w:ascii="Simplified Arabic" w:eastAsia="DengXian" w:hAnsi="Simplified Arabic"/>
          <w:sz w:val="24"/>
          <w:szCs w:val="24"/>
          <w:rtl/>
          <w:lang w:val="en-GB"/>
        </w:rPr>
        <w:t>“</w:t>
      </w:r>
      <w:r w:rsidR="00A935EF" w:rsidRPr="00812612">
        <w:rPr>
          <w:rFonts w:ascii="Simplified Arabic" w:eastAsia="DengXian" w:hAnsi="Simplified Arabic"/>
          <w:sz w:val="24"/>
          <w:szCs w:val="24"/>
          <w:rtl/>
          <w:lang w:val="en-GB"/>
        </w:rPr>
        <w:t>، لإبراز قلقهم العميق إزاء المحاولات الجارية لاستبعاد بلدانهم الثلاثة، إلى جانب تركمانستان وأوزبكستان، من مجموعة دول أوروبا الشرقية، وهو ما يفسر، حسب قولهم، عدم تمكن دول أوروبا الشرقية من التوصل إلى توافق في الآراء بشأن ترشيحاتها لمنصب نائب رئيس المكتب وعضو لجنة التنفيذ وغيرها من الهيئات. ووفقاً لمقدمي هذا الطلب، فإن الأطراف من آسيا الوسطى هي أعضاء في مجموعة دول أوروبا الشرقية لمدة 30 عاماً تقريباً وشغلت مناصب في مؤسسات بروتوكول مونتريال؛ وقيرغيزستان حالياً عضو في اللجنة التنفيذية للصندوق المتعدد الأطراف. وهي أيضأ أعضاء عن مجموعة دول أوروبا الشرقية في العديد من المؤسسات الدولية الأخرى، مثل منظمة الصحة العالمية والاتحاد البريدي الدولي ومنظمة السياحة العالمية. وبموجب القانون الدولي والإجراءات المعتادة لبروتوكول مونتريال، فإن لكل طرف الحق في اختيار المجموعة الإقليمية التي ينضم إليها، ولا يمكن الاتفاق على أي تغييرات في وضع البلدان داخل المجموعات الإقليمية إلا على أساس التوافق. ودعوا الأطراف إلى الكف عن تسييس ما هو في الأساس مسألة إجرائية بحتة، وإلى التمسك بقيم الشراكة والشمولية والاحترام المتبادل التي استرشد بها بروتوكول مونتريال على مدى ما يقرب من أربعة عقود.</w:t>
      </w:r>
    </w:p>
    <w:p w14:paraId="386D1692" w14:textId="2D432636"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ووافقت الأطراف على النظر في هذه المسألة في إطار البند 8 من جدول الأعمال، </w:t>
      </w:r>
      <w:r w:rsidR="00D5366C" w:rsidRPr="001F3B62">
        <w:rPr>
          <w:rFonts w:ascii="Simplified Arabic" w:eastAsia="DengXian" w:hAnsi="Simplified Arabic"/>
          <w:sz w:val="24"/>
          <w:szCs w:val="24"/>
          <w:rtl/>
          <w:lang w:val="en-GB"/>
        </w:rPr>
        <w:t>”</w:t>
      </w:r>
      <w:r w:rsidRPr="00812612">
        <w:rPr>
          <w:rFonts w:ascii="Simplified Arabic" w:eastAsia="DengXian" w:hAnsi="Simplified Arabic"/>
          <w:sz w:val="24"/>
          <w:szCs w:val="24"/>
          <w:rtl/>
          <w:lang w:val="en-GB"/>
        </w:rPr>
        <w:t>مسائل أخرى</w:t>
      </w:r>
      <w:r w:rsidR="00D5366C" w:rsidRPr="001F3B62">
        <w:rPr>
          <w:rFonts w:ascii="Simplified Arabic" w:eastAsia="DengXian" w:hAnsi="Simplified Arabic"/>
          <w:sz w:val="24"/>
          <w:szCs w:val="24"/>
          <w:rtl/>
          <w:lang w:val="en-GB"/>
        </w:rPr>
        <w:t>“</w:t>
      </w:r>
      <w:r w:rsidRPr="00812612">
        <w:rPr>
          <w:rFonts w:ascii="Simplified Arabic" w:eastAsia="DengXian" w:hAnsi="Simplified Arabic"/>
          <w:sz w:val="24"/>
          <w:szCs w:val="24"/>
          <w:rtl/>
          <w:lang w:val="en-GB"/>
        </w:rPr>
        <w:t xml:space="preserve">. </w:t>
      </w:r>
    </w:p>
    <w:p w14:paraId="4C07BEA6" w14:textId="77777777" w:rsidR="00A935EF" w:rsidRPr="001F3B62" w:rsidRDefault="00A935EF" w:rsidP="001F3B6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4"/>
          <w:szCs w:val="24"/>
          <w:lang w:val="ar-SA" w:eastAsia="zh-TW"/>
        </w:rPr>
      </w:pPr>
      <w:r w:rsidRPr="001F3B62">
        <w:rPr>
          <w:rFonts w:ascii="Simplified Arabic" w:eastAsia="Times New Roman" w:hAnsi="Simplified Arabic"/>
          <w:b/>
          <w:bCs/>
          <w:sz w:val="24"/>
          <w:szCs w:val="24"/>
          <w:rtl/>
          <w:lang w:val="ar-SA" w:eastAsia="zh-TW"/>
        </w:rPr>
        <w:t>جيم-</w:t>
      </w:r>
      <w:r w:rsidRPr="001F3B62">
        <w:rPr>
          <w:rFonts w:ascii="Simplified Arabic" w:eastAsia="Times New Roman" w:hAnsi="Simplified Arabic"/>
          <w:b/>
          <w:bCs/>
          <w:sz w:val="24"/>
          <w:szCs w:val="24"/>
          <w:rtl/>
          <w:lang w:val="ar-SA" w:eastAsia="zh-TW"/>
        </w:rPr>
        <w:tab/>
        <w:t>تنظيم الأعمال</w:t>
      </w:r>
    </w:p>
    <w:p w14:paraId="6029B77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اتفقت الأطراف على اتباع إجراءاتها المعتادة.</w:t>
      </w:r>
    </w:p>
    <w:p w14:paraId="3B6FAC1E" w14:textId="77777777" w:rsidR="00A935EF" w:rsidRPr="001F3B62" w:rsidRDefault="00A935EF" w:rsidP="001F3B6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4"/>
          <w:szCs w:val="24"/>
          <w:lang w:val="ar-SA" w:eastAsia="zh-TW"/>
        </w:rPr>
      </w:pPr>
      <w:r w:rsidRPr="001F3B62">
        <w:rPr>
          <w:rFonts w:ascii="Simplified Arabic" w:eastAsia="Times New Roman" w:hAnsi="Simplified Arabic"/>
          <w:b/>
          <w:bCs/>
          <w:sz w:val="24"/>
          <w:szCs w:val="24"/>
          <w:rtl/>
          <w:lang w:val="ar-SA" w:eastAsia="zh-TW"/>
        </w:rPr>
        <w:t>دال-</w:t>
      </w:r>
      <w:r w:rsidRPr="001F3B62">
        <w:rPr>
          <w:rFonts w:ascii="Simplified Arabic" w:eastAsia="Times New Roman" w:hAnsi="Simplified Arabic"/>
          <w:b/>
          <w:bCs/>
          <w:sz w:val="24"/>
          <w:szCs w:val="24"/>
          <w:rtl/>
          <w:lang w:val="ar-SA" w:eastAsia="zh-TW"/>
        </w:rPr>
        <w:tab/>
        <w:t>وثائق تفويض الممثلين</w:t>
      </w:r>
    </w:p>
    <w:p w14:paraId="462ABF9C"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وفقا للمادة 19 من النظام الداخلي لاجتماعات الأطراف في بروتوكول مونتريال، اجتمع مكتب الاجتماع السابع والثلاثين للأطراف في بروتوكول مونتريال لفحص وثائق تفويض ممثلي الأطراف وقدم تقريره إلى الاجتماع السابع والثلاثين للأطراف. وأوصى المكتب في تقريره بالموافقة على وثائق تفويض ممثلي 97 طرفاً من أصل 154 طرفاً ممثلاً في الاجتماع، والتي تبين أنها سليمة. وأشار المكتب إلى أن وثائق تفويض 66 طرفاً من أصل 97 طرفاً كانت أصلية، في حين قُبلت 31 نسخة على أساس أن الوثائق الأصلية ستقدم في أقرب وقت ممكن. كذلك أوصى المكتب بأن يوافق الاجتماع السابع والثلاثون للأطراف مؤقتاً على مشاركة 57 طرفاً على أساس أنها ستحيل وثائق تفويضها إلى الأمانة في أقرب وقت ممكن. وحث المكتب جميع الأطراف التي ستحضر الاجتماعات المقبلة للأطراف على بذل قصارى جهدها لتقديم وثائق التفويض إلى الأمانة وفقاً لمقتضيات المادة 18 من النظام الداخلي. وأشار المكتب أيضاً إلى أن النظام الداخلي يقضي بأن تصدر وثائق التفويض إما من رئيس دولة أو من حكومة أو من وزير خارجية، أو في حالة أي منظمة إقليمية للتكامل الاقتصادي، من السلطة المختصة لتلك المنظمة. </w:t>
      </w:r>
    </w:p>
    <w:p w14:paraId="71058CCD"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الموافقة على التقرير المتعلق بوثائق التفويض الذي قدمه المكتب.</w:t>
      </w:r>
    </w:p>
    <w:p w14:paraId="7CF77919" w14:textId="77777777" w:rsidR="00A935EF" w:rsidRPr="001F3B62" w:rsidRDefault="00A935EF" w:rsidP="001F3B6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1F3B62">
        <w:rPr>
          <w:rFonts w:ascii="Simplified Arabic" w:eastAsia="Times New Roman" w:hAnsi="Simplified Arabic"/>
          <w:b/>
          <w:bCs/>
          <w:sz w:val="26"/>
          <w:szCs w:val="26"/>
          <w:rtl/>
          <w:lang w:val="ar-SA" w:eastAsia="zh-TW"/>
        </w:rPr>
        <w:t>ثالثا-</w:t>
      </w:r>
      <w:r w:rsidRPr="001F3B62">
        <w:rPr>
          <w:rFonts w:ascii="Simplified Arabic" w:eastAsia="Times New Roman" w:hAnsi="Simplified Arabic"/>
          <w:b/>
          <w:bCs/>
          <w:sz w:val="26"/>
          <w:szCs w:val="26"/>
          <w:rtl/>
          <w:lang w:val="ar-SA" w:eastAsia="zh-TW"/>
        </w:rPr>
        <w:tab/>
        <w:t>العروض المقدمة من أفرقة التقييم بشأن تقاريرها المرحلية، بما في ذلك أي مسائل ناشئة</w:t>
      </w:r>
    </w:p>
    <w:p w14:paraId="3CEDB230"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قدم الرئيسان المشاركان لفريق التقييم العلمي، لوسي كاربنتر وكين جاكس، عرضاً عن عمل الفريق. ويرد ملخص للعرض أعده مقدما العرض في الفرع جيم-1 من المرفق الأول للتقرير الحالي.</w:t>
      </w:r>
      <w:bookmarkStart w:id="33" w:name="_Hlk181266219"/>
    </w:p>
    <w:bookmarkEnd w:id="33"/>
    <w:p w14:paraId="05D9A9E4"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lastRenderedPageBreak/>
        <w:t>وقدمت الرئيسة المشاركة لفريق تقييم الآثار البيئية، جانيت ف. بورنمان، عرضاً عن عمل الفريق. ويرد ملخص للعرض أعدته مقدمة العرض في الفرع جيم-2 من المرفق الأول للتقرير الحالي.</w:t>
      </w:r>
    </w:p>
    <w:p w14:paraId="0A574A20"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وقدمت مارتا بيزانو وآشلي وودكوك، الرئيستان المشاركتان لفريق التقييم التكنولوجي والاقتصادي، عرضاً عن عمل الفريق. ويرد ملخص للعرض أعدته مقدمة العرض في الفرع جيم-3 من المرفق الأول للتقرير الحالي.</w:t>
      </w:r>
    </w:p>
    <w:p w14:paraId="51C36D3D"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وشكر الممثلون الأفرقة الثلاثة على عملها وعلى عروضها. </w:t>
      </w:r>
    </w:p>
    <w:p w14:paraId="51429F2A" w14:textId="39BCE79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ورحب عدة ممثلين، من بينهم ممثل تحدث باسم مجموعة من الأطراف، بالعناصر المختلفة التي تضمنتها العروض، بما في ذلك الكم الهائل من المعلومات الإضافية؛ والمعلومات المحددة عن رابع كلوريد الكربون والمواد ذات الأعمار القصيرة جداً وبدائل بروميد الميثيل؛ والعمل على سيناريوهات لتأثير انبعاثات المواد الأولية على طبقة الأوزون؛ وحقيقة أن فقدان الأوزون كان أقل في عام 2025؛ والتركيز على منتجات تحلل المواد الخاضعة للرقابة، مثل المواد الألكيلية البيرفلورية والمتعددة الفلور </w:t>
      </w:r>
      <w:r w:rsidRPr="00B635B8">
        <w:rPr>
          <w:rFonts w:eastAsia="DengXian" w:cs="Times New Roman"/>
          <w:sz w:val="22"/>
          <w:szCs w:val="22"/>
          <w:lang w:val="en-GB"/>
        </w:rPr>
        <w:t>(PFAS)</w:t>
      </w:r>
      <w:r w:rsidRPr="00812612">
        <w:rPr>
          <w:rFonts w:ascii="Simplified Arabic" w:eastAsia="DengXian" w:hAnsi="Simplified Arabic"/>
          <w:sz w:val="24"/>
          <w:szCs w:val="24"/>
          <w:rtl/>
          <w:lang w:val="en-GB"/>
        </w:rPr>
        <w:t xml:space="preserve">، بما في ذلك حمض الخليك الثلاثي الفلور، وبدائلها. </w:t>
      </w:r>
    </w:p>
    <w:p w14:paraId="03E0FE94" w14:textId="1F0D5E34"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وقال السيد وودكوك إن هدف الأفرقة هو تزويد الأطراف بمعلومات موضوعية عن هذه المواد، نظراً لأن هذه المسألة مثيرة للجدل وهناك الكثير من المعلومات الخاطئة عنها. ومن المقرر إدراج معلومات مستكملة أخرى، أعدتها الأفرقة الثلاثة، في التقرير المرحلي لعام 2026 الذي يصدر عن فريق التقييم التكنولوجي والاقتصادي. وتعمل الأفرقة الثلاثة على التوصل إلى توافق في الآراء بشأن هذه المسألة وستبقي الأطراف على علم بذلك. وأشار أحد الممثلين إلى التحديات التي تواجه تعريف المواد الألكيلية البيرفلورية والمتعددة الفلور، وتساءل عن الكيفية التي يمكن بها للأطراف ضمان أن تظل السياسات المتغيرة المتعلقة بهذه المواد قائمة على أسس علمية وألا تعيق عن غير قصد الانتقال إلى بدائل أكثر أمانًا واستدامة. وقالت السيدة بورنمان إن عمل الأفرقة الثلاثة سيظل دائماً قائماً على أسس علمية.</w:t>
      </w:r>
    </w:p>
    <w:p w14:paraId="699331F4" w14:textId="5EE3BC44"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واستشهدت إحدى الممثلات بالإشارة الواردة في العرض الذي قدمه فريق تقييم الآثار البيئية ومفادها أن تقرير التقييم الرباعي السنوات الذي يصدره الفريق سيتضمن معلومات عن قياس المواد الألكيلية البيرفلورية والمتعددة الفلور والكميات الفعلية منها وتقديرات كميات هذه المواد ذات الصلة ببروتوكول مونتريال في المياه الجارية والبحيرات العذبة والمحيطات، وقالت إن بلدها على علم أيضاً بدراسات تظهر زيادة تركيزات حمض الخليك الثلاثي الفلور في مياه الشرب والكائنات الحية، مثل النباتات، ودم الإنسان. ورداً على ذلك، أوضحت السيدة بورنمان أن بعض المعلومات الواردة في العرض التقديمي قد استُقيت من الوثيقة التمهيدية الأقل تفصيلاً للتقييم الذي يجري كل أربع سنوات. وأكدت أن تقرير التقييم الرباعي السنوات الفعلي لعام 2026 سيتناول بالفعل تركيزات حمض الخليك الثلاثي الفلور في الحيوانات والبشر ومياه الشرب والمناطق الطبيعية. واقترح ممثل آخر أن يبحث التقييم في عدد المواد التي يتم الكشف عنها بانتظام في الدم.</w:t>
      </w:r>
    </w:p>
    <w:p w14:paraId="4EF054B3" w14:textId="61BA7290"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وقال ممثل تحدث باسم مجموعة من الأطراف إن التشريع المستقبلي لمنطقته بشأن المواد الألكيلية البيرفلورية والمتعددة الفلور، والذي هو قيد الإعداد، سيهدف إلى توفير اليقين في مواجهة المخاوف العامة بشأن هذه المواد. علاوةً على ذلك، من المرجح أن تتضمن أي تشريعات يجري اعتمادها إعفاءات لأغراض الاستخدام الضروري للقطاعات الحيوية، مثل الطيران. ولذلك فإن لهذه الأطراف قراءة مختلفة للغموض الذي يكتنف استخدام الهالونات في إخماد الحرائق في مجال الطيران، والذي تم وصفه في العرض الذي قدمه فريق التقييم التكنولوجي والاقتصادي. وكان فهمهم أنه لم يتم إلغاء الوقف المؤقت لاستخدام الهالون 1301 في مقصورات الشحن في الطائرات ذات التصميمات الجديدة كلياً في عام 2024، بل سيتم تحديد موعد جديد، وحتى ذلك الحين، سيظل الموعد الحالي لعام 2024 ساريًا.</w:t>
      </w:r>
    </w:p>
    <w:p w14:paraId="74EE48EA" w14:textId="3990B5AE"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وأشارت ممثلةٌ إلى أن فريق التقييم التكنولوجي والاقتصادي قد ذكر أن عدم اليقين التنظيمي فيما يتعلق بالمواد الألكيلية </w:t>
      </w:r>
      <w:r w:rsidR="009953DC" w:rsidRPr="00812612">
        <w:rPr>
          <w:rFonts w:ascii="Simplified Arabic" w:eastAsia="DengXian" w:hAnsi="Simplified Arabic"/>
          <w:sz w:val="24"/>
          <w:szCs w:val="24"/>
          <w:rtl/>
          <w:lang w:val="en-GB"/>
        </w:rPr>
        <w:t>البيرفلورية</w:t>
      </w:r>
      <w:r w:rsidRPr="00812612">
        <w:rPr>
          <w:rFonts w:ascii="Simplified Arabic" w:eastAsia="DengXian" w:hAnsi="Simplified Arabic"/>
          <w:sz w:val="24"/>
          <w:szCs w:val="24"/>
          <w:rtl/>
          <w:lang w:val="en-GB"/>
        </w:rPr>
        <w:t xml:space="preserve"> والمتعددة الفلور قد يؤدي إلى إبطاء الانتقال إلى تكنولوجيات ذات قدرة أقل على إحداث </w:t>
      </w:r>
      <w:r w:rsidRPr="00812612">
        <w:rPr>
          <w:rFonts w:ascii="Simplified Arabic" w:eastAsia="DengXian" w:hAnsi="Simplified Arabic"/>
          <w:sz w:val="24"/>
          <w:szCs w:val="24"/>
          <w:rtl/>
          <w:lang w:val="en-GB"/>
        </w:rPr>
        <w:lastRenderedPageBreak/>
        <w:t>الاحترار العالمي في المجموعة 1 من الأطراف العاملة بموجب المادة 5. ولذلك طلبت توجيهات من الفريق بشأن كيفية ضمان إحراز تقدم مستمر ومتوازن على صعيد التخف</w:t>
      </w:r>
      <w:r w:rsidR="001867EB" w:rsidRPr="00812612">
        <w:rPr>
          <w:rFonts w:ascii="Simplified Arabic" w:eastAsia="DengXian" w:hAnsi="Simplified Arabic"/>
          <w:sz w:val="24"/>
          <w:szCs w:val="24"/>
          <w:rtl/>
          <w:lang w:val="en-GB"/>
        </w:rPr>
        <w:t>ي</w:t>
      </w:r>
      <w:r w:rsidRPr="00812612">
        <w:rPr>
          <w:rFonts w:ascii="Simplified Arabic" w:eastAsia="DengXian" w:hAnsi="Simplified Arabic"/>
          <w:sz w:val="24"/>
          <w:szCs w:val="24"/>
          <w:rtl/>
          <w:lang w:val="en-GB"/>
        </w:rPr>
        <w:t>ض التدريجي لاستخدام مركبات الكربون الهيدروفلورية، ولا سيما في تحديد بدائل آمنة وفعالة من حيث التكلفة وسليمة بيئياً. ورداً على سؤال بشأن محتوى الجدول الجديد الذي يهدف إلى تقييم المعلومات المتعلقة بنواتج التحلل، والذي يعكف على إعداده فريق التقييم العلمي بالتعاون مع الفريقين الآخرين، أوضحت السيدة كاربنتر أنه لم يكن من الممكن عرض الجدول كاملاً أثناء العرض التقديمي. غير أنها أكدت للأطراف أن الجدول سيتضمن بالفعل معلومات عن البدائل.</w:t>
      </w:r>
    </w:p>
    <w:p w14:paraId="74703CCE"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ورداً على أسئلة بشأن السيناريوهات المتعلقة بتأثير انبعاثات المواد الأولية على طبقة الأوزون، أكدت السيدة كاربنتر أن السيناريوهات استخدمت عوامل الانبعاث التي نقحها مؤخراً فريق التقييم التكنولوجي والاقتصادي، والتي هي أعلى من تلك المستخدمة في التقييم السابق، وأنه فيما يتعلق بتكنولوجيا الحد من الانبعاثات، افترض السيناريو الأساسي الامتثال الكامل لبروتوكول مونتريال وتعديل كيغالي لبروتوكول مونتريال. وأشارت السيدة كاربنتر إلى أنه في التقييم الأخير، قُدر التأخير في تعافي طبقة الأوزون بنحو خمس سنوات، وقالت إنه على الرغم من أن هذا التأخير لم يُحسب بعد، فمن المتوقع أن يكون أكبر نظراً لارتفاع عوامل الانبعاث. </w:t>
      </w:r>
    </w:p>
    <w:p w14:paraId="10D99829"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ورداً على سؤال بشأن الدور الذي أدته قيم الانبعاثات في عمل الأفرقة، قالت السيدة كاربنتر إن حساب مستويات الانبعاثات سمح للأفرقة باستخدام نماذجها الحاسوبية وشكل القوة الدافعة وراء الحسابات المتعلقة بتعافي طبقة الأوزون. ومكّن رصد الانبعاثات الأفرقة والأطراف من متابعة عملية التخلص التدريجي من المواد الخاضعة للرقابة والخفض التدريجي لها؛ وتحديد المسائل الناشئة؛ وإبراز الحالات التي أظهرت فيها التقارير مستويات انبعاثات مختلفة عن تلك الملاحظة في الغلاف الجوي.</w:t>
      </w:r>
    </w:p>
    <w:p w14:paraId="06AF10F9" w14:textId="7DF8676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ورداً على سؤال بشأن توفر بدائل للمواد الدافعة الصيدلانية في الأطراف العاملة بموجب المادة 5، قال السيد وودكوك إنه قبل 30 عاماً، كان هناك عدد قليل جداً من الشركات التي تنتج البخاخات، وكان من الممكن إدارة عملية الخفض التدريجي لمركبات الكربون الكلوروفلورية عن كثب وبعناية. بيد أنه يوجد حالياً 94 مصنعاً للبخاخات في جميع أنحاء العالم، كما أن معدل انتشار الربو ومرض الانسداد الرئوي المزمن آخذ في الازدياد. وقد بدأت الشركات الأولى، التي توجد في الأطراف غير العاملة بموجب المادة 5، في الانتقال إلى بدائل ذات قدرة منخفضة على إحداث الاحترار العالمي؛ وقد اختار البعض مادة </w:t>
      </w:r>
      <w:r w:rsidRPr="00B635B8">
        <w:rPr>
          <w:rFonts w:eastAsia="DengXian" w:cs="Times New Roman"/>
          <w:sz w:val="22"/>
          <w:szCs w:val="22"/>
          <w:rtl/>
          <w:lang w:val="en-GB"/>
        </w:rPr>
        <w:t>HFC-152a</w:t>
      </w:r>
      <w:r w:rsidRPr="00812612">
        <w:rPr>
          <w:rFonts w:ascii="Simplified Arabic" w:eastAsia="DengXian" w:hAnsi="Simplified Arabic"/>
          <w:sz w:val="24"/>
          <w:szCs w:val="24"/>
          <w:rtl/>
          <w:lang w:val="en-GB"/>
        </w:rPr>
        <w:t xml:space="preserve">، التي من شأن استخدامها أن يؤدي إلى تحسين في القدرة على إحداث الاحترار العالمي بنحو 90 في المائة. وبدأت شركة واحدة على الأقل في استخدام الأولفينات الهيدروفلورية </w:t>
      </w:r>
      <w:r w:rsidRPr="00B635B8">
        <w:rPr>
          <w:rFonts w:eastAsia="DengXian" w:cs="Times New Roman"/>
          <w:sz w:val="22"/>
          <w:szCs w:val="22"/>
          <w:lang w:val="en-GB"/>
        </w:rPr>
        <w:t>(HFO)</w:t>
      </w:r>
      <w:r w:rsidRPr="00812612">
        <w:rPr>
          <w:rFonts w:ascii="Simplified Arabic" w:eastAsia="DengXian" w:hAnsi="Simplified Arabic"/>
          <w:sz w:val="24"/>
          <w:szCs w:val="24"/>
          <w:rtl/>
          <w:lang w:val="en-GB"/>
        </w:rPr>
        <w:t xml:space="preserve">، وحصل أول بخاخ محدد الجرعات يعمل بهذه الأولفينات على موافقة تنظيمية في أوروبا والمملكة المتحدة خلال الأشهر القليلة الماضية. وأعرب عن رأيه بأن العديد من الشركات تنتظر لترى كيف ستكون ردود فعل الجهات التنظيمية قبل أن تتخذ هي نفسها أي إجراءات. وللأسف، ليست هناك حلول على المدى القريب في الطريق فيما يخص الأطراف العاملة بموجب المادة 5. ومن بين المسائل مسألة توريد المواد الدافعة، التي توفرها حاليا بشكل رئيسي شركة واحدة في المملكة المتحدة. ومع ذلك، يجري الحصول على المزيد من المواد الدافعة الصيدلانية من الصين والهند، وهناك حاجة إلى مزيد من المعلومات بشأن ما إذا كانت إمدادات المواد الدافعة آمنة وما إذا كان بإمكان شركات الأدوية الانتقال بطريقة منظمة. وعلى سبيل المثال، فالمادة الدافعة </w:t>
      </w:r>
      <w:r w:rsidRPr="00B635B8">
        <w:rPr>
          <w:rFonts w:eastAsia="DengXian" w:cs="Times New Roman"/>
          <w:sz w:val="22"/>
          <w:szCs w:val="22"/>
          <w:rtl/>
          <w:lang w:val="en-GB"/>
        </w:rPr>
        <w:t>HFC-152a</w:t>
      </w:r>
      <w:r w:rsidRPr="00812612">
        <w:rPr>
          <w:rFonts w:ascii="Simplified Arabic" w:eastAsia="DengXian" w:hAnsi="Simplified Arabic"/>
          <w:sz w:val="24"/>
          <w:szCs w:val="24"/>
          <w:rtl/>
          <w:lang w:val="en-GB"/>
        </w:rPr>
        <w:t xml:space="preserve"> هي مادة أكثر قابلية للاشتعال، مما تطلب من الشركات اتخاذ تدابير أمان جديدة. </w:t>
      </w:r>
    </w:p>
    <w:p w14:paraId="052ADD27"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وفيما يتعلق بموضوع القابلية للاشتعال، أعرب أحد الممثلين عن قلقه بشأن استخدام المواد القابلة للاشتعال في البخاخات والرغوات، الأمر الذي غالباً ما يكون موضعاً لسوء فهم. إضافةً إلى ذلك، اقترح السيد وودكوك إجراء مناقشات ثنائية على هامش الاجتماع بشأن السؤال المتعلق بالقطاع الفرعي من قطاع التبريد وتكييف الهواء الذي يمثل أكبر صعوبة من حيث استخدام المواد المبردة الطبيعية.</w:t>
      </w:r>
    </w:p>
    <w:p w14:paraId="5872D996"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lastRenderedPageBreak/>
        <w:t xml:space="preserve">وأعرب ممثلٌ عن قلقه، الذي قال إنه يشعر به في جميع أنحاء منطقته، إزاء التقدم البطيء في مجال الاستثمار في بدائل مركبات الكربون الهيدروفلورية، مما يحد من استدامة عمليات التحويل أو يعرضها للخطر أو يجعلها أكثر تعقيداً. </w:t>
      </w:r>
    </w:p>
    <w:p w14:paraId="49124714" w14:textId="5778BAD5"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ورداً على سؤال بشأن المقياس الجديد </w:t>
      </w:r>
      <w:r w:rsidR="00D5366C" w:rsidRPr="001F3B62">
        <w:rPr>
          <w:rFonts w:ascii="Simplified Arabic" w:eastAsia="DengXian" w:hAnsi="Simplified Arabic"/>
          <w:sz w:val="24"/>
          <w:szCs w:val="24"/>
          <w:rtl/>
          <w:lang w:val="en-GB"/>
        </w:rPr>
        <w:t>”</w:t>
      </w:r>
      <w:r w:rsidRPr="00812612">
        <w:rPr>
          <w:rFonts w:ascii="Simplified Arabic" w:eastAsia="DengXian" w:hAnsi="Simplified Arabic"/>
          <w:sz w:val="24"/>
          <w:szCs w:val="24"/>
          <w:rtl/>
          <w:lang w:val="en-GB"/>
        </w:rPr>
        <w:t>نقص كتلة الأوزون</w:t>
      </w:r>
      <w:r w:rsidR="00D5366C" w:rsidRPr="001F3B62">
        <w:rPr>
          <w:rFonts w:ascii="Simplified Arabic" w:eastAsia="DengXian" w:hAnsi="Simplified Arabic"/>
          <w:sz w:val="24"/>
          <w:szCs w:val="24"/>
          <w:rtl/>
          <w:lang w:val="en-GB"/>
        </w:rPr>
        <w:t>“</w:t>
      </w:r>
      <w:r w:rsidRPr="00812612">
        <w:rPr>
          <w:rFonts w:ascii="Simplified Arabic" w:eastAsia="DengXian" w:hAnsi="Simplified Arabic"/>
          <w:sz w:val="24"/>
          <w:szCs w:val="24"/>
          <w:rtl/>
          <w:lang w:val="en-GB"/>
        </w:rPr>
        <w:t>، قال السيد جاكس إن الهدف منه هو تقديم صورة أكثر اكتمالاً عن نقص الأوزون. وهو ينظر في الكمية الكلية للأوزون فوق ثقب الأوزون، بدلاً من حجم الثقب أو متوسط الحد الأدنى لنقص الأوزون وكلاهما لا يبين كامل الفقدان الذي حدث.</w:t>
      </w:r>
    </w:p>
    <w:p w14:paraId="5D3DA035"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ورداً على سؤال بشأن تأثير الدورات الطبيعية، بما في ذلك الدورة الشمسية، على الأوزون، أوضحت السيدة كاربنتر أن التأثير هو بشكل رئيسي في طبقة الاستراتوسفير العليا وأُدرج في نماذج الفريق. ولا يوجد دليل على أن تأثير الدورة الشمسية على المناخ هو أكثر من تأثير طفيف. أما فيما يتعلق بتعافي طبقة الأوزون، فعلى الرغم من وجود تباين كبير، إلا أنه يتبع بشكل عام النمط المتوقع. ولم تكن التقلبات الطبيعية العرضية ناتجة عن الدورات الشمسية فحسب، بل أيضاً عن ظواهر مثل حرائق الغابات والبراكين.</w:t>
      </w:r>
    </w:p>
    <w:p w14:paraId="2037F835" w14:textId="449483B4"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ورداً على تعليق أحد الممثلين بشأن قلة التغطية في تقارير الأفرقة عن مسألة التباين بين القياسات الجوية والانبعاثات المبلغ عنها من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قالت السيدة كاربنتر إن فريق التقييم العلمي وفريق التقييم التكنولوجي والاقتصادي أعدا </w:t>
      </w:r>
      <w:r w:rsidR="006F337E" w:rsidRPr="00812612">
        <w:rPr>
          <w:rFonts w:ascii="Simplified Arabic" w:eastAsia="DengXian" w:hAnsi="Simplified Arabic"/>
          <w:sz w:val="24"/>
          <w:szCs w:val="24"/>
          <w:rtl/>
          <w:lang w:val="en-GB"/>
        </w:rPr>
        <w:t>مؤخراً</w:t>
      </w:r>
      <w:r w:rsidRPr="00812612">
        <w:rPr>
          <w:rFonts w:ascii="Simplified Arabic" w:eastAsia="DengXian" w:hAnsi="Simplified Arabic"/>
          <w:sz w:val="24"/>
          <w:szCs w:val="24"/>
          <w:rtl/>
          <w:lang w:val="en-GB"/>
        </w:rPr>
        <w:t xml:space="preserve"> تقارير محدثة عن هذه المسألة، وقدماها في الجزء التحضيري، وبالتالي اختارا التركيز على هذه المسألة بدرجة أقل في عروضهما في إطار هذا البند من جدول الأعمال. وبطبيعة الحال، ستُدرج توقعات </w:t>
      </w:r>
      <w:r w:rsidR="0038097F" w:rsidRPr="00812612">
        <w:rPr>
          <w:rFonts w:ascii="Simplified Arabic" w:eastAsia="DengXian" w:hAnsi="Simplified Arabic"/>
          <w:sz w:val="24"/>
          <w:szCs w:val="24"/>
          <w:rtl/>
          <w:lang w:val="en-GB"/>
        </w:rPr>
        <w:t>مركب الكربون الهيدروفلوري-23</w:t>
      </w:r>
      <w:r w:rsidRPr="00812612">
        <w:rPr>
          <w:rFonts w:ascii="Simplified Arabic" w:eastAsia="DengXian" w:hAnsi="Simplified Arabic"/>
          <w:sz w:val="24"/>
          <w:szCs w:val="24"/>
          <w:rtl/>
          <w:lang w:val="en-GB"/>
        </w:rPr>
        <w:t xml:space="preserve"> في تقارير التقييم الرباعية السنوات لعام 2026. ووافق السيد وودستوك على أن مسألة التباين مهمة وأنه ينبغي معالجتها بشكل أكثر شمولاً.</w:t>
      </w:r>
    </w:p>
    <w:p w14:paraId="1E39D2C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وطلب ممثل من الأفرقة أن تقدم في تقاريرها المقبلة معلومات أوضح عن المواد التي لها مصادر طبيعية هامة.</w:t>
      </w:r>
    </w:p>
    <w:p w14:paraId="2B573D96"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أحاطت الأطراف علماً بالمعلومات المقدمة.</w:t>
      </w:r>
    </w:p>
    <w:p w14:paraId="79AFBF25" w14:textId="77777777" w:rsidR="004911CA" w:rsidRPr="001F3B62" w:rsidRDefault="004911CA" w:rsidP="001F3B6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1F3B62">
        <w:rPr>
          <w:rFonts w:ascii="Simplified Arabic" w:eastAsia="Times New Roman" w:hAnsi="Simplified Arabic" w:hint="default"/>
          <w:b/>
          <w:bCs/>
          <w:sz w:val="26"/>
          <w:szCs w:val="26"/>
          <w:rtl/>
          <w:lang w:val="ar-SA" w:eastAsia="zh-TW"/>
        </w:rPr>
        <w:t>رابعاً-</w:t>
      </w:r>
      <w:r w:rsidRPr="001F3B62">
        <w:rPr>
          <w:rFonts w:ascii="Simplified Arabic" w:eastAsia="Times New Roman" w:hAnsi="Simplified Arabic" w:hint="default"/>
          <w:b/>
          <w:bCs/>
          <w:sz w:val="26"/>
          <w:szCs w:val="26"/>
          <w:rtl/>
          <w:lang w:val="ar-SA" w:eastAsia="zh-TW"/>
        </w:rPr>
        <w:tab/>
        <w:t>عرض من رئيس اللجنة التنفيذية للصندوق المتعدد الأطراف لتنفيذ بروتوكول مونتريال عن أعمال اللجنة التنفيذية وأمانة الصندوق المتعدد الأطراف والوكالات المنفذة للصندوق</w:t>
      </w:r>
    </w:p>
    <w:p w14:paraId="24851EDE"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قدم أليساندرو بيرو، رئيس اللجنة التنفيذية للصندوق المتعدد الأطراف لتنفيذ بروتوكول مونتريال، تقريراً عن أعمال اللجنة التنفيذية وأمانة الصندوق المتعدد الأطراف والوكالات المنفذة للصندوق منذ انعقاد الاجتماع السابع والثلاثين للأطراف، أوجز فيه المعلومات الواردة في الوثيقة </w:t>
      </w:r>
      <w:r w:rsidRPr="00D75EEC">
        <w:rPr>
          <w:rFonts w:eastAsia="DengXian" w:cs="Times New Roman"/>
          <w:sz w:val="22"/>
          <w:szCs w:val="22"/>
          <w:rtl/>
          <w:lang w:val="en-GB"/>
        </w:rPr>
        <w:t>UNEP/OzL.Pro.37/8</w:t>
      </w:r>
      <w:r w:rsidRPr="00812612">
        <w:rPr>
          <w:rFonts w:ascii="Simplified Arabic" w:eastAsia="DengXian" w:hAnsi="Simplified Arabic"/>
          <w:sz w:val="24"/>
          <w:szCs w:val="24"/>
          <w:rtl/>
          <w:lang w:val="en-GB"/>
        </w:rPr>
        <w:t xml:space="preserve">. ويرد بيانه في المرفق الثاني لهذا التقرير. </w:t>
      </w:r>
    </w:p>
    <w:p w14:paraId="21FDF6DA"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أحاطت الأطراف علماً بالمعلومات المقدمة.</w:t>
      </w:r>
    </w:p>
    <w:p w14:paraId="482DD545" w14:textId="77777777" w:rsidR="00251F8A" w:rsidRPr="001F3B62" w:rsidRDefault="00251F8A" w:rsidP="001F3B62">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1F3B62">
        <w:rPr>
          <w:rFonts w:ascii="Simplified Arabic" w:eastAsia="Times New Roman" w:hAnsi="Simplified Arabic" w:hint="default"/>
          <w:b/>
          <w:bCs/>
          <w:sz w:val="26"/>
          <w:szCs w:val="26"/>
          <w:rtl/>
          <w:lang w:val="ar-SA" w:eastAsia="zh-TW"/>
        </w:rPr>
        <w:t>خامساً-</w:t>
      </w:r>
      <w:r w:rsidRPr="001F3B62">
        <w:rPr>
          <w:rFonts w:ascii="Simplified Arabic" w:eastAsia="Times New Roman" w:hAnsi="Simplified Arabic" w:hint="default"/>
          <w:b/>
          <w:bCs/>
          <w:sz w:val="26"/>
          <w:szCs w:val="26"/>
          <w:rtl/>
          <w:lang w:val="ar-SA" w:eastAsia="zh-TW"/>
        </w:rPr>
        <w:tab/>
        <w:t>بيانات رؤساء الوفود ومناقشة المواضيع الرئيسية</w:t>
      </w:r>
    </w:p>
    <w:p w14:paraId="73CA13EA" w14:textId="4C2F722F"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خلال الجزء الرفيع المستوى، أدلى رؤساء الوفود أو ممثلون عن الأطراف التالية ببيانات: الاتحاد الأوروبي، وأذربيجان، وإكوادور، وإندونيسيا، وأنغولا، وأوغندا، وإيران (جمهورية - الإسلامية)، والبرازيل، وبربادوس، وبنغلاديش، وبوروندي، والبوسنة والهرسك، وبيرو، وتركيا، وتونس، وجزر القمر، وسري لانكا، والسنغال باسم الفريق الأفريقي للمفاوضين بشأن الأوزون، والصين، والعراق، وغامبيا، والفلبين، وفيجي، وفييت نام، وقطر، وكمبوديا، وكوبا، وكوستاريكا، وكولومبيا، وماليزيا، والمكسيك، وملديف، والمملكة العربية السعودية، وموريشيوس، وموزامبيق، وميانمار، ونيجيريا، والهند، واليمن</w:t>
      </w:r>
      <w:r w:rsidR="0023659F">
        <w:rPr>
          <w:rFonts w:ascii="Simplified Arabic" w:eastAsia="DengXian" w:hAnsi="Simplified Arabic"/>
          <w:sz w:val="24"/>
          <w:szCs w:val="24"/>
          <w:rtl/>
          <w:lang w:val="en-GB"/>
        </w:rPr>
        <w:t>.</w:t>
      </w:r>
      <w:r w:rsidRPr="00812612">
        <w:rPr>
          <w:rFonts w:ascii="Simplified Arabic" w:eastAsia="DengXian" w:hAnsi="Simplified Arabic"/>
          <w:sz w:val="24"/>
          <w:szCs w:val="24"/>
          <w:rtl/>
          <w:lang w:val="en-GB"/>
        </w:rPr>
        <w:t xml:space="preserve"> كذلك أدل</w:t>
      </w:r>
      <w:r w:rsidR="00CF0E11" w:rsidRPr="00812612">
        <w:rPr>
          <w:rFonts w:ascii="Simplified Arabic" w:eastAsia="DengXian" w:hAnsi="Simplified Arabic"/>
          <w:sz w:val="24"/>
          <w:szCs w:val="24"/>
          <w:rtl/>
          <w:lang w:val="en-GB"/>
        </w:rPr>
        <w:t>ى ممثلو</w:t>
      </w:r>
      <w:r w:rsidRPr="00812612">
        <w:rPr>
          <w:rFonts w:ascii="Simplified Arabic" w:eastAsia="DengXian" w:hAnsi="Simplified Arabic"/>
          <w:sz w:val="24"/>
          <w:szCs w:val="24"/>
          <w:rtl/>
          <w:lang w:val="en-GB"/>
        </w:rPr>
        <w:t xml:space="preserve"> المجموعة الرئيسية للأطفال والشباب والمعهد الدولي للتبريد ببيانات.</w:t>
      </w:r>
    </w:p>
    <w:p w14:paraId="2A6AF524"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lastRenderedPageBreak/>
        <w:t xml:space="preserve">وأعرب العديد من الممثلين الذين تحدثوا عن شكرهم لحكومة كينيا وشعبها على كرم الضيافة. وأعرب الممثلون أيضاً عن تقديرهم لأمانة الأوزون ومكتبها، وأمانة الصندوق المتعدد الأطراف ولجنته التنفيذية، وبرنامج الأمم المتحدة للبيئة، والوكالات المنفذة، والشركاء المانحين، وأفرقة التقييم، والمنظمات الدولية، وسائر أصحاب المصلحة، لدورهم في ضمان نجاح الاجتماع بصفة خاصة وبروتوكول مونتريال بصفة عامة. </w:t>
      </w:r>
    </w:p>
    <w:p w14:paraId="644B26BD"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وتحدث العديد من الممثلين عن الأهمية السياقية للاجتماع، الذي شكل فرصة للتفكير في التقدم المحرز، وتحديد التحديات المتبقية، وتجديد الالتزام الجماعي بحماية طبقة الأوزون والتخفيف من آثار تغير المناخ. وأشار بعض الممثلين إلى أن عام 2025 يصادف الذكرى السنوية الأربعين لاتفاقية فيينا التي أرست، إلى جانب بروتوكول مونتريال الملحق بها، الأسس للتعاون الدولي اللاحق في مجالات البحث والمراقبة المنهجية والتقييم العلمي من أجل التغلب على التحدي المتمثل في استنفاد طبقة الأوزون.</w:t>
      </w:r>
    </w:p>
    <w:p w14:paraId="321A177F" w14:textId="61D48F50"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وأشاد العديد من المتحدثين بنجاح بروتوكول مونتريال والأطراف فيه في مراقبة المواد المستنفدة للأوزون والتخلص منها تدريجياً، مما عاد بفوائد جمة على صحة الإنسان والبيئة. ويشكل بروتوكول مونتريال علامة فارقة في الإنجازات المتعددة الأطراف – مثالاً على ما يمكن تحقيقه عندما تدرك الأمم أن التحديات البيئية تتجاوز الحدود وتتوحد حول هذا الهدف المشترك. إن هذا النجاح متجذرٌ في الإدراك الجماعي بأن العلم والثقة في نتائج العمل العلمي هما أساس العمل الفعال. وكان أحد الأركان الأساسية لهذا الإنجاز هو الصندوق المتعدد الأطراف، الذي مكن العديد من البلدان من اتخاذ الإجراءات اللازمة على الصعيد الوطني للتخلص التدريجي من المواد المستنفدة لطبقة الأوزون. وفي الآونة الأخيرة، أصبح تعديل كيغالي لبروتوكول مونتريال أحد ركائز التعاون البيئي الدولي. وكما أشار أحد الممثلين، فإن القيمة الحقيقية لبروتوكول مونتريال تكمن في إثباته أنه، حتى مع اختلاف الواقع الاقتصادي والسياسي للبلدان، فإنه يمكنها التوصل إلى اتفاقات وتقاسم المسؤوليات والوفاء بها. وأشار عدة ممثلين إلى مبدأ المسؤوليات المشتركة وإن كانت متباينة، الذي وفر أساسا قانونيا ومؤسسيا عادلا وفعالا لضمان الامتثال وتوفير الدعم التقني والمالي.</w:t>
      </w:r>
    </w:p>
    <w:p w14:paraId="2E044020"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وأكد العديد من الممثلين التزامهم بأهداف تلك الصكوك والمبادئ التي تقوم عليها: العلم كأساس لاتخاذ القرارات، والإنصاف كقوة دافعة للعمل، والتعاون كشرط مسبق للنجاح، ونهج توافقي للتوصل إلى اتفاق.</w:t>
      </w:r>
    </w:p>
    <w:p w14:paraId="741CCF0F" w14:textId="3E81E8C6" w:rsidR="00A935EF" w:rsidRPr="00F1026A"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w w:val="104"/>
          <w:sz w:val="24"/>
          <w:szCs w:val="24"/>
          <w:lang w:val="en-GB"/>
        </w:rPr>
      </w:pPr>
      <w:r w:rsidRPr="00F1026A">
        <w:rPr>
          <w:rFonts w:ascii="Simplified Arabic" w:eastAsia="DengXian" w:hAnsi="Simplified Arabic"/>
          <w:sz w:val="24"/>
          <w:szCs w:val="24"/>
          <w:rtl/>
          <w:lang w:val="en-GB"/>
        </w:rPr>
        <w:t xml:space="preserve">وعلى الرغم من هذه الإنجازات المبهرة، فإن هناك عدداً من التحديات - الحالية والمستقبلية - ستستمر </w:t>
      </w:r>
      <w:r w:rsidRPr="00F1026A">
        <w:rPr>
          <w:rFonts w:ascii="Simplified Arabic" w:eastAsia="DengXian" w:hAnsi="Simplified Arabic"/>
          <w:w w:val="104"/>
          <w:sz w:val="24"/>
          <w:szCs w:val="24"/>
          <w:rtl/>
          <w:lang w:val="en-GB"/>
        </w:rPr>
        <w:t xml:space="preserve">في اختبار قدرة </w:t>
      </w:r>
      <w:r w:rsidR="00D5366C" w:rsidRPr="00F1026A">
        <w:rPr>
          <w:rFonts w:ascii="Simplified Arabic" w:eastAsia="DengXian" w:hAnsi="Simplified Arabic"/>
          <w:w w:val="104"/>
          <w:sz w:val="24"/>
          <w:szCs w:val="24"/>
          <w:rtl/>
          <w:lang w:val="en-GB"/>
        </w:rPr>
        <w:t>”</w:t>
      </w:r>
      <w:r w:rsidRPr="00F1026A">
        <w:rPr>
          <w:rFonts w:ascii="Simplified Arabic" w:eastAsia="DengXian" w:hAnsi="Simplified Arabic"/>
          <w:w w:val="104"/>
          <w:sz w:val="24"/>
          <w:szCs w:val="24"/>
          <w:rtl/>
          <w:lang w:val="en-GB"/>
        </w:rPr>
        <w:t>أسرة الأوزون</w:t>
      </w:r>
      <w:r w:rsidR="00D5366C" w:rsidRPr="00F1026A">
        <w:rPr>
          <w:rFonts w:ascii="Simplified Arabic" w:eastAsia="DengXian" w:hAnsi="Simplified Arabic"/>
          <w:w w:val="104"/>
          <w:sz w:val="24"/>
          <w:szCs w:val="24"/>
          <w:rtl/>
          <w:lang w:val="en-GB"/>
        </w:rPr>
        <w:t>“</w:t>
      </w:r>
      <w:r w:rsidRPr="00F1026A">
        <w:rPr>
          <w:rFonts w:ascii="Simplified Arabic" w:eastAsia="DengXian" w:hAnsi="Simplified Arabic"/>
          <w:w w:val="104"/>
          <w:sz w:val="24"/>
          <w:szCs w:val="24"/>
          <w:rtl/>
          <w:lang w:val="en-GB"/>
        </w:rPr>
        <w:t xml:space="preserve"> على التكيف. وتشمل تلك التحديات عدم اليقين بشأن توفر المواد والتكنولوجيات البديلة في الأسواق وتكلفتها؛ وتوافر الأموال لتسهيل تنفيذ بروتوكول مونتريال؛ وعدم كفاية بناء القدرات والتدريب على مختلف مستويات الحوكمة؛ وعدم مشاركة مجموعة واسعة من أصحاب المصلحة بشكل كافٍ؛ والمخزونات المتزايدة من المواد المستنفدة للأوزون التي يتعين التخلص منها؛ وتأثير النزاعات المسلحة والبيئة الجيوسياسية الصعبة.</w:t>
      </w:r>
    </w:p>
    <w:p w14:paraId="10405E93" w14:textId="64F1318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وهناك تحدٍ كبير يتعلق بالفجوات غير المبررة بين البيانات المبلغ عنها من القاعدة إلى القمة والمستويات العالمية الفعلية لبعض المواد الخاضعة للرقابة. وفي هذا الصدد، ووفقاً لرصد الغلاف الجوي، فإن الانبعاثات الفعلية </w:t>
      </w:r>
      <w:r w:rsidR="004678C7">
        <w:rPr>
          <w:rFonts w:ascii="Simplified Arabic" w:eastAsia="DengXian" w:hAnsi="Simplified Arabic"/>
          <w:sz w:val="24"/>
          <w:szCs w:val="24"/>
          <w:rtl/>
          <w:lang w:val="en-GB"/>
        </w:rPr>
        <w:t>لمركب الكربون الهيدروفلوري-23</w:t>
      </w:r>
      <w:r w:rsidRPr="00812612">
        <w:rPr>
          <w:rFonts w:ascii="Simplified Arabic" w:eastAsia="DengXian" w:hAnsi="Simplified Arabic"/>
          <w:sz w:val="24"/>
          <w:szCs w:val="24"/>
          <w:rtl/>
          <w:lang w:val="en-GB"/>
        </w:rPr>
        <w:t>، وهو ناتج عرضي من عملية إنتاج مركب الكربون الهيدروكلوري فلوري-22 ذو قدرة عالية للغاية على إحداث الاحترار العالمي، أعلى بكثير من الانبعاثات المبلغ عنها، مما يشكل لغزاً عالمياً يتطلب حلاً عاجلاً. وأشارت هذه التباينات والأحداث إلى الحاجة الملحة لاتخاذ تدابير لزيادة انتشار رصد الغلاف الجوي على الصعيد العالمي عن طريق إنشاء محطات إضافية في المواقع ذات الأولوية لتحديد الاحتياجات والثغرات التي يجب معالجتها، والتحقق من تأثير الإجراءات المنفذة على طبقة الأوزون. وقال ممثل بنغلاديش إن بلده يفخر باستضافة محطة رصد الغلاف الجوي في جزيرة بولا، التي ساهمت ببيانات قيّمة في تعزيز رصد الغلاف الجوي العالمي وتقوية الأساس العلمي الذي تستند إليه القرارات السياساتية لبروتوكول مونتريال.</w:t>
      </w:r>
    </w:p>
    <w:p w14:paraId="1078E514"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lastRenderedPageBreak/>
        <w:t xml:space="preserve">وثمة تحديات ناشئة أخرى تتعلق بالمواد الألكيلية البيرفلورية والمتعددة الفلور، التي ارتبط إنتاجها وانبعاثاتها بالمواد الأولية والسلائف المستخدمة في تصنيع المواد المفلورة، واستمرار استخدام مادة الهالون 1301 في قطاع الطيران. </w:t>
      </w:r>
    </w:p>
    <w:p w14:paraId="08F8E22C"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وفيما يتعلق بالهيكل التنظيمي لبروتوكول مونتريال، لا يزال من المهم تعزيز مؤسسات البروتوكول لضمان استمرار الامتثال والاستجابة للبيئة المؤسسية العالمية سريعة التغير. ويشكل النمو في التجارة غير المشروعة مسألة تتطلب مزيداً من اليقظة، مما يسلط الضوء على ضرورة أن تواصل الأطراف تبادل المعلومات وأفضل الممارسات والدروس المستفادة من أجل تعزيز نظم الترخيص والتحقق والإبلاغ.</w:t>
      </w:r>
    </w:p>
    <w:p w14:paraId="4F096469"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ولمواجهة جميع تلك التحديات والاستجابة لها، يتعين على بروتوكول مونتريال أن يظل متيقظاً للاحتياجات والمتطلبات المحددة لمجموعات معينة من البلدان القابلة للتأثر، بما في ذلك الدول الجزرية الصغيرة النامية والبلدان ذات الاستهلاك المنخفض والمنخفض جداً.</w:t>
      </w:r>
    </w:p>
    <w:p w14:paraId="365DF35A"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وظل التمويل والمساعدات الأخرى عاملين حاسمين لنجاح بروتوكول مونتريال، لا سيما وأن البلدان النامية تواجه قيوداً مالية وتكنولوجية وضغوطاً اجتماعية متزايدة للحفاظ على النمو الاقتصادي والاندماج. وأشارت عدة بلدان إلى الحاجة إلى المزيد من المساعدة التقنية والمالية، بما في ذلك نقل التكنولوجيا، للمساعدة في تعزيز المؤسسات وبناء القدرات والتدريب على السلامة، ومعالجة المسائل الناشئة مثل المواد الألكيلية البيرفلورية والمتعددة الفلور والمواد المبردة القابلة للاشتعال والطلب المتزايد على التبريد في مراكز البيانات. ومن بين أولويات التمويل الأخرى التي جرى تحديدها كفاءة الطاقة، وتعميم مراعاة المنظور الجنساني، وإدارة نهاية العمر الافتراضي، والرقمنة في قطاع الصيانة. وأُعرب عن القلق إزاء التكلفة الباهظة للتكنولوجيات البديلة المتاحة حالياً، لا سيما في قطاعي تكييف الهواء والتبريد، وما يترتب على ذلك من تداعيات على الاقتصادات القومية. ولمعالجة هذه المسألة، من الضروري زيادة الدعم التقني والمالي، بما في ذلك من الصندوق المتعدد الأطراف. وقال بعض الممثلين إن هذا الدعم ينبغي أن يقدم بشكل عادل ومنصف ودون تحيز سياسي.</w:t>
      </w:r>
    </w:p>
    <w:p w14:paraId="4D4D8A0D"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وقد ظل الصندوق المتعدد الأطراف الآلية المركزية والأساسية التي مكنت البلدان النامية من مواجهة التحديات المعقدة والامتثال لجداول التخلص التدريجي والتخفيض التدريجي المنصوص عليها في بروتوكول مونتريال وتعديل كيغالي، فضلاً عن كونه منصة للابتكار وبناء القدرات والتقدم المشترك. ومع ذلك، ورغم أن الصندوق المتعدد الأطراف كان نموذجاً للتعاون الفعال، فإنه يحتاج إلى تعزيز لمواجهة المراحل الجديدة. وهناك حاجة إلى آليات تمويل أكثر مرونة وأكثر قابليةً للتنبؤ وأكثر استدامةً من أجل توسيع نطاق العمل وضمان عدم تخلف أي بلد عن الركب. </w:t>
      </w:r>
    </w:p>
    <w:p w14:paraId="32B60411"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ولذلك فإن المناقشات التي دارت في الاجتماع الحالي بشأن اختصاصات دراسة تجديد موارد بروتوكول مونتريال للفترة 2027-2029 هي ذات أهمية بالغة. ومن أجل ضمان استمرار بروتوكول مونتريال على المدى الطويل، فإن من الأهمية بمكان مواصلة الأنشطة والسياسات القائمة على الامتثال والمتعلقة بالخفض التدريجي لمركبات الكربون الهيدروفلورية، بما في ذلك تطوير حلول تستخدم المواد المبردة الطبيعية. ويجب أن يعكس مستوى تجديد الموارد التحديات الحقيقية التي تواجهها البلدان النامية، بما في ذلك البلدان ذات الأسواق الصغيرة ذات الاستهلاك المنخفض، حيث تشكل متطلبات قطاع الخدمات ونقل التكنولوجيا والتدريب التقني والتحقق من البيانات والتعديلات التنظيمية عبئاً كبيراً. </w:t>
      </w:r>
    </w:p>
    <w:p w14:paraId="0BC6D6DF"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ووصف العديد من الممثلين الإجراءات المستمرة المتخذة في بلدانهم، بمساعدة من الصندوق المتعدد الأطراف والوكالات المنفذة، للتخلص التدريجي من المواد المستنفدة للأوزون، وتنفيذ مختلف مراحل خطط إدارة التخلص التدريجي من مركبات الكربون الهيدروكلورية فلورية وتحقيق الامتثال لأحكام بروتوكول مونتريال بوسائل تشمل اتخاذ تدابير تشريعية وسياساتية ومالية ومؤسسية وبرامجية. وقد حُددت مجموعة واسعة من الأنشطة، بما في ذلك حظر استيراد واستخدام مكيفات الهواء التي تعمل بمركبات الكربون الهيدروكلورية فلورية؛ وتعزيز الأطر </w:t>
      </w:r>
      <w:r w:rsidRPr="00812612">
        <w:rPr>
          <w:rFonts w:ascii="Simplified Arabic" w:eastAsia="DengXian" w:hAnsi="Simplified Arabic"/>
          <w:sz w:val="24"/>
          <w:szCs w:val="24"/>
          <w:rtl/>
          <w:lang w:val="en-GB"/>
        </w:rPr>
        <w:lastRenderedPageBreak/>
        <w:t>المؤسسية والتنظيمية من خلال التعاون مع الوكالات الرئيسية؛ وبرامج التدريب والاعتماد للتقنيين وموظفي الجمارك وموظفي إنفاذ القانون وأصحاب المصلحة في الصناعة؛ وحملات التوعية بين تلاميذ المدارس والجمهور العريض؛ وتطوير نظام إلكتروني لإصدار التراخيص وإدارة الحصص لاستيراد المواد الخاضعة للرقابة وتصديرها؛ وتحديد التصنيفات الجمركية للمواد الخاضعة للرقابة، بمساعدة أمانة الأوزون ومنظمة الجمارك العالمية؛ وإنشاء حلقة حوارية تحتوي على بيانات محدثة عن استهلاك مركبات الكربون الهيدروكلورية فلورية ومركبات الكربون الهيدروفلورية لتعزيز كفاءة الإدارة والشفافية.</w:t>
      </w:r>
    </w:p>
    <w:p w14:paraId="662DE28E"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وفيما يتعلق بتعديل كيغالي، قال العديد من الممثلين إن بلدانهم قد صدقت على التعديل الآن أو هي في طور التصديق عليه، إدراكاً منها لأهميته بالنسبة للتوجه المستقبلي لبروتوكول مونتريال ودوره الحاسم في الجهود العالمية لمكافحة تغير المناخ من خلال خفض انبعاثات غازات الاحتباس الحراري. ويتخذ عدد من البلدان إجراءات ذات صلة بما يتماشى مع التزاماتها بموجب تعديل كيغالي، بما في ذلك جمع البيانات لتحديد خط الأساس لاستهلاك مركبات الكربون الهيدروفلورية ووضع خطط للخفض التدريجي لمركبات الكربون الهيدروفلورية. وقال العديد من الممثلين إن بلدانهم قدمت مساهماتها المحددة وطنياً بموجب اتفاق باريس بشأن تغير المناخ.</w:t>
      </w:r>
    </w:p>
    <w:p w14:paraId="09594E9C"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وأشار ممثل إلى المفارقة المتمثلة في أن الاحترار العالمي قد أدى إلى زيادة الطلب على أنظمة التبريد في جميع أنحاء العالم، إلا أن هذا الطلب نفسه قد يؤدي إلى زيادة الاحترار من خلال انبعاثات غازات الاحتباس الحراري مثل مركبات الكربون الهيدروفلورية. وتتطلب معالجة التحدي المزدوج المتمثل في تلبية الطلب على احتياجات التبريد مع الوفاء بالالتزامات بحماية المناخ وطبقة الأوزون تحقيق توازن دقيق. وفي هذا الصدد، قالت ممثلة إن رؤية بلدها لتنفيذ تعديل كيغالي تتمثل في اعتماد نهج متوازن، يفي بالتزامات بروتوكول مونتريال والالتزامات المتعلقة بالمناخ مع تعزيز النمو المستدام.</w:t>
      </w:r>
    </w:p>
    <w:p w14:paraId="4229752A"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وأوجز عدد من الممثلين الإجراءات التي اتخذتها بلدانهم لمواجهة هذا التحدي المزدوج، بما في ذلك من خلال تدابير استراتيجية وسياساتية وتشريعية. وشملت هذه الإجراءات إقامة شراكات بين القطاعين العام والخاص؛ وإنشاء مراكز لاستعادة المواد المبردة وتجديدها؛ وتعزيز التحول التكنولوجي للصناعة نحو استخدام المواد المبردة الطبيعية والبدائل المراعية للمناخ؛ وسن تشريعات تستهدف تحقيق صافي انبعاثات صفري وتنمية خضراء؛ ووضع تدابير لتسهيل التمويل والإجراءات المتعلقة بالمناخ، بما في ذلك نظام تداول حقوق الانبعاثات ونظام معاوضة الكربون واعتمادات الكربون؛ وإعداد استراتيجيات التخفيف والتكيف؛ وإطلاق خطة عمل للتبريد من أجل تلبية احتياجات التبريد الوطنية على نحو مستدام. وتمثل كفاءة الطاقة أحد الاعتبارات الرئيسية، بما في ذلك من خلال اعتماد واستخدام تكنولوجيات عالية الكفاءة ومنخفضة القدرة على إحداث الاحترار العالمي؛ وتنفيذ برامج التدريب المهني وإنشاء نظام وطني لإصدار الشهادات لفنيي التبريد وتكييف الهواء ومقدمي الخدمات؛ وإنشاء مراكز التميز؛ ووضع أو تحديث المعايير الدنيا لأداء الطاقة بالتنسيق مع المؤسسات الوطنية ذات الصلة؛ وإنشاء نظام لوسم المنتجات الكهربائية التي تستوفي تلك المعايير.</w:t>
      </w:r>
    </w:p>
    <w:p w14:paraId="4B809277"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غير أن هناك عددا من التحديات التي تعترض التنفيذ الناجح لتعديل كيغالي. فقد تجاوزت مسألة التبريد الطلب الأساسي على التبريد؛ وأدى التعامل مع كميات كبيرة من المواد المبردة في نهاية عمرها الإنتاجي إلى استنزاف موارد العديد من البلدان. وأبرز العديد من الممثلين أهمية إدارة المواد المبردة طيلة دورة حياتها، لا سيما المواد المبردة التي انتهى عمرها الافتراضي والمقرر تدميرها. وقال ممثل إن التحديات الماثلة مختلفة تماماً عن تلك التي حدثت خلال عملية التخلص التدريجي من المواد المستنفدة للأوزون. فالعديد من البدائل الجديدة ذات القدرة المنخفضة على إحداث الاحترار العالمي قابلة للاشتعال أو سامة أو تعمل تحت ضغط عالٍ، ومن الضروري التعامل معها وتنظيمها بحذر. وتحتاج البلدان إلى تنفيذ استراتيجيات تبريد مستدامة طويلة الأجل لتقليل الاعتماد على مركبات الكربون الهيدروفلورية. </w:t>
      </w:r>
    </w:p>
    <w:p w14:paraId="1E7FC0A4"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lastRenderedPageBreak/>
        <w:t xml:space="preserve">وأفادت ممثلة بأن بلدها أحرز تقدماً في وضع قوائم جرد وطنية وتنفيذ برامج تجريبية لاستعادة تلك الغازات وإعادة تدويرها والتخلص منها بطريقة سليمة بيئياً، وأنه يعتزم وضع نموذج لإدارة دائرية للمواد المبردة قادر على استعادة الغازات المستعملة وتجديدها، والقضاء على الغازات غير القابلة لإعادة الاستخدام، ودمج الفنيين المدربين في مراكز الاستعادة وإعادة التدوير والاستصلاح. وأشار ممثل آخر إلى وضع معايير وطنية للسلامة للتعامل مع المواد المبردة القابلة للاشتعال والسامة لدعم الانتقال الآمن إلى بدائل مراعية للمناخ، وشدد على أهمية الحفاظ على سلامة وجودة المواد المبردة في السوق. وقالت ممثلة إحدى المنظمات المراقِبة إن منظمتها تعتقد أن الانتقال العادل على صعيد التبريد، مع إتاحة الوصول العادل للجميع، لا يمكن تسهيله إلا من خلال التعاون بين جميع أصحاب المصلحة في مجال التبريد واتخاذ قرارات سياساتية قائمة على الأدلة ومستندة إلى معرفة علمية مستقلة وغير متحيزة. </w:t>
      </w:r>
    </w:p>
    <w:p w14:paraId="260E0C27"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وقال العديد من الممثلين إنه على الرغم من الاعتراف والتقدير للمساعدات التي يقدمها الصندوق المتعدد الأطراف والوكالات المنفذة للأنشطة المتعلقة بتعديل كيغالي، لا تزال هناك حاجة إلى تعزيز الدعم الدولي لتسريع التنفيذ وتعزيز الامتثال. وهناك حاجة إلى المساعدة في مجالات مثل جمع البيانات، بما في ذلك إجراء استقصاءات أساسية فيما يخص مركبات الكربون الهيدروفلورية؛ والدعم التقني في مجال تحديد أنواع المواد المبردة لمنع التجارة غير المشروعة والمواد المبردة المقلدة؛ والأدوات والبنية التحتية لإدارة دورة المواد المبردة طيلة دورة حياتها والإشراف السليم على المواد المبردة؛ وبناء القدرات وتقديم المساعدة التقنية لإنفاذ القوانين وتدريب الفنيين والتوعية العامة. وقد واجهت البلدان ذات درجات الحرارة المحيطة العالية تحديات تقنية وتشغيلية خاصة في تنفيذ البدائل، مما استلزم التعاون والمساعدة الدوليين في مجالات مثل الدعم التقني والمالي، وبناء القدرات، ونقل التكنولوجيا، مع ضمان استدامة الحلول، وتحقيق المنفعة المتبادلة، والحفاظ على استقرار الأسواق وسلاسل الإمداد. </w:t>
      </w:r>
    </w:p>
    <w:p w14:paraId="03F4ECF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وأعلن ممثل الفريق الأفريقي للمفاوضين بشأن الأوزون عن إنشاء ذلك الفريق، الذي ستكون مهمته ضمان إسماع صوت أفريقيا في إطار اجتماعات الأطراف وتعزيز مساهمة البلدان الأفريقية في تنفيذ وتشغيل بروتوكول مونتريال وهيئاته المختلفة. وقال إن من بين نتائج اجتماع ضباط الأوزون الوطنيين الأفارقة الذي عقد في داكار في الفترة من 22 إلى 26 أيلول/سبتمبر 2025، التزام بتسريع وتحسين الوصول إلى تقنيات تبريد بديلة مراعية للمناخ ومكافحة إلقاء معدات التبريد التي تحتوي على مواد مبردة عتيقة في أفريقيا. ودعا إلى مزيد من الاستمرار والموثوقية في التمويل لمساعدة البلدان الأفريقية على الاضطلاع بهذه المهام. </w:t>
      </w:r>
    </w:p>
    <w:p w14:paraId="66338D6E"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وساد اعتراف عام بدور الشراكة والتعاون في تحقيق الأهداف البيئية وأهداف رفاه الإنسان، بما في ذلك أهداف بروتوكول مونتريال. وأثبت نجاح البروتوكول كيف يمكن للآليات المتعددة الأطراف أن تحقق فوائد مناخية حقيقية من خلال نقل التكنولوجيا وبناء القدرات وتقديم الدعم العادل. إن الالتزام الجماعي والثقة المتبادلة والنظرة المستقبلية من شأنها أن تمكّن الناس من اغتنام الفرص والتصدي بفعالية للتحديات الملحة والاستدامة الطويلة الأجل للكوكب. وتجسد الاتفاقات البيئية المتعددة الأطراف هذا النهج وتمثل أداة أساسية لتعزيز التعاون الدولي في مواجهة التحديات البيئية العالمية. وأعرب العديد من الممثلين عن التزامهم بالتعاون الإقليمي والدولي كوسيلة لتبادل الخبرات وبناء حلول مشتركة لحماية طبقة الأوزون، والتخفيف من آثار تغير المناخ، وحماية صحة البيئة والبشرية. وقالت ممثلة إن بلدها اقترح مبادرة للحوكمة العالمية تركز على المبادئ الأساسية المتمثلة في الحفاظ على المساواة في السيادة، والالتزام بقواعد القانون الدولي، وممارسة التعددية، والدعوة إلى اتباع نهج محوره الإنسان، والتركيز على العمل. ويمكن أن تساعد مثل هذه المبادرة في تعزيز الحوكمة العالمية للمناخ والبيئة.</w:t>
      </w:r>
    </w:p>
    <w:p w14:paraId="62C59CA9"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وقالت ممثلة أذربيجان إن بلدها سيستضيف الدورة الثالثة عشرة للمنتدى الحضري العالمي في الفترة من 17 إلى 22 أيار/مايو 2026 واليوم العالمي للبيئة في 5 حزيران/يونيه 2026، ودعت جميع الأطراف إلى المشاركة في هذين الحدثين والمساهمة فيهما. </w:t>
      </w:r>
    </w:p>
    <w:p w14:paraId="5217E83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وأشاد ممثل المجموعة الرئيسية للأطفال والشباب بالأمانة لضمانها الشمولية ومشاركة الشباب في الأعمال التي يجري الاضطلاع بها في إطار بروتوكول مونتريال وتعديل كيغالي لبروتوكول مونتريال. واعتبر ملايين الشباب </w:t>
      </w:r>
      <w:r w:rsidRPr="00812612">
        <w:rPr>
          <w:rFonts w:ascii="Simplified Arabic" w:eastAsia="DengXian" w:hAnsi="Simplified Arabic"/>
          <w:sz w:val="24"/>
          <w:szCs w:val="24"/>
          <w:rtl/>
          <w:lang w:val="en-GB"/>
        </w:rPr>
        <w:lastRenderedPageBreak/>
        <w:t>نتائج هذا العمل حيوية لمستقبلهم الجماعي. وكشف الاستطلاع العالمي للشباب بشأن الأوزون وحماية المناخ لعام 2025، الذي أطلق في المنتدى الثاني للشباب بشأن حماية المناخ، نيروبي، 2 تشرين الثاني/نوفمبر 2025، أن الغالبية العظمى من الشباب يشعرون بقلق عميق إزاء تغير المناخ. ومن الضروري دمج معارف ومهارات الشباب في الأنشطة المستقبلية المتعلقة بالأوزون والمناخ.</w:t>
      </w:r>
    </w:p>
    <w:p w14:paraId="7A348A9A"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ووصف العديد من الممثلين كيف أدركت بلدانهم قيمة التعاون في اعتماد نهج شامل للتغلب على التحديات البيئية على المستوى الوطني مع تمكين النمو الاقتصادي. واعتُبرت المساواة والإنصاف، بما في ذلك تعميم مراعاة المنظور الجنساني والالتزام بتلبية احتياجات الفئات الضعيفة والشباب، من العناصر الحيوية للإجراءات الرامية إلى ضمان إقامة مجتمع شمولي يتيح تكافؤ الفرص للجميع. ولدى العديد من البلدان رؤية طويلة الأجل للتنمية المستدامة مكرسة في مجموعة من الصكوك والمبادرات الوطنية، بما في ذلك سياسة واستراتيجية تغير المناخ؛ وسياسات الاقتصاد الأخضر التي شجعت على الانتقال إلى الطاقة النظيفة وكفاءة الطاقة؛ واعتماد نموذج دائري لإدارة النفايات وفقاً لأفضل الممارسات العالمية؛ وتنفيذ خارطة طريق وطنية للانتقال في مجال الطاقة من أجل الاستفادة من الفوائد المتعددة الناشئة عن دمج التخفيض التدريجي لمركبات الكربون الهيدروفلورية مع كفاءة الطاقة؛ ووضع القوانين واللوائح والأنظمة لدعم البرامج البيئية بتشريعات قوية. وتتوافق تلك التدابير دائماً مع الاتفاقات والبرامج البيئية الإقليمية والدولية. </w:t>
      </w:r>
    </w:p>
    <w:p w14:paraId="4CB6231E"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وشمل هذا النهج الشامل والمتكامل مجموعة من الأنشطة المترابطة، بما في ذلك خفض انبعاثات الكربون والانتقال إلى اقتصاد خفيض الكربون؛ والإدارة والرصد الفعالان للموارد الطبيعية، بما في ذلك المياه والتربة والهواء؛ ودعم البحث العلمي، بالتعاون مع المراكز الأكاديمية والبحثية الوطنية، لتشجيع الابتكار في حل المشكلات البيئية.</w:t>
      </w:r>
    </w:p>
    <w:p w14:paraId="026E026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وعرض العديد من الممثلين ما لديهم من أفكار بشأن سُبل المضي قدماً ببروتوكول مونتريال. وأكد العديد من الممثلين مجدداً دعمهم الثابت للبروتوكول في سعيه لتحقيق أهدافه المتعلقة بالأوزون والأهداف البيئية العالمية، بما في ذلك ما يتعلق بتغير المناخ والاحترار العالمي. ويُعَد بروتوكول مونتريال نموذجاً للعمل العالمي المنسق لمواجهة التحديات البيئية. ونجاحه هو تذكير بأن التحديات العالمية تتطلب حلولاً عالمية ترتكز على العلم، وتسترشد بالتعاون، وتقودها الإجراءات. وهو يجسد روح الأمم المتحدة: نظام قائم على الثقة والتضامن والقدرة على توحيد البشرية حول قضايا مشتركة. </w:t>
      </w:r>
    </w:p>
    <w:p w14:paraId="515EEE5A"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وفي عالم يعاني حالياً من النزاعات وعدم المساواة والتضليل الإعلامي، من الأهمية بمكان تجديد تلك الثقة وإثبات أن التوافق يمكن أن يتغلب على الانقسامات، وأن العلم وحسن النية لا يزالان قوتين موحِّدتين. وإذا كان المجتمع قد أثبت قدرته على عكس اتجاه تدمير طبقة الأوزون، فإنه ينبغي أن يكون قادراً على تحقيق أهدافه البيئية الأخرى، وبالتالي توريث بيئة أكثر صحة للأجيال القادمة.</w:t>
      </w:r>
    </w:p>
    <w:p w14:paraId="4C825D96" w14:textId="77777777" w:rsidR="008E0358" w:rsidRPr="004034BA" w:rsidRDefault="008E0358" w:rsidP="004034BA">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4034BA">
        <w:rPr>
          <w:rFonts w:ascii="Simplified Arabic" w:eastAsia="Times New Roman" w:hAnsi="Simplified Arabic" w:hint="default"/>
          <w:b/>
          <w:bCs/>
          <w:sz w:val="26"/>
          <w:szCs w:val="26"/>
          <w:rtl/>
          <w:lang w:val="ar-SA" w:eastAsia="zh-TW"/>
        </w:rPr>
        <w:t>سادساً-</w:t>
      </w:r>
      <w:r w:rsidRPr="004034BA">
        <w:rPr>
          <w:rFonts w:ascii="Simplified Arabic" w:eastAsia="Times New Roman" w:hAnsi="Simplified Arabic" w:hint="default"/>
          <w:b/>
          <w:bCs/>
          <w:sz w:val="26"/>
          <w:szCs w:val="26"/>
          <w:rtl/>
          <w:lang w:val="ar-SA" w:eastAsia="zh-TW"/>
        </w:rPr>
        <w:tab/>
        <w:t>تقرير الرئيسين المشاركين للجزء التحضيري والنظر في المقررات الموصى باعتمادها في الاجتماع السابع والثلاثين للأطراف</w:t>
      </w:r>
    </w:p>
    <w:p w14:paraId="6856853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أفاد الرئيس بأن أعمال الجزء التحضيري اُختتمت بنجاح، وأُقرت مشاريع المقررات للنظر فيها واعتمادها إن أمكن خلال الجزء الرفيع المستوى. </w:t>
      </w:r>
    </w:p>
    <w:p w14:paraId="00D5F74F" w14:textId="77777777" w:rsidR="00120EB5" w:rsidRPr="004034BA" w:rsidRDefault="00120EB5" w:rsidP="004034BA">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4034BA">
        <w:rPr>
          <w:rFonts w:ascii="Simplified Arabic" w:eastAsia="Times New Roman" w:hAnsi="Simplified Arabic" w:hint="default"/>
          <w:b/>
          <w:bCs/>
          <w:sz w:val="26"/>
          <w:szCs w:val="26"/>
          <w:rtl/>
          <w:lang w:val="ar-SA" w:eastAsia="zh-TW"/>
        </w:rPr>
        <w:t>سابعاً-</w:t>
      </w:r>
      <w:r w:rsidRPr="004034BA">
        <w:rPr>
          <w:rFonts w:ascii="Simplified Arabic" w:eastAsia="Times New Roman" w:hAnsi="Simplified Arabic" w:hint="default"/>
          <w:b/>
          <w:bCs/>
          <w:sz w:val="26"/>
          <w:szCs w:val="26"/>
          <w:rtl/>
          <w:lang w:val="ar-SA" w:eastAsia="zh-TW"/>
        </w:rPr>
        <w:tab/>
        <w:t>مواعيد ومكان انعقاد الاجتماع الثامن والثلاثين للأطراف في بروتوكول مونتريـال</w:t>
      </w:r>
    </w:p>
    <w:p w14:paraId="079BCA11"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عرض الرئيس هذا البند، وذكّر بأنه تقرر انعقاد الاجتماع الثامن والثلاثين للأطراف في بروتوكول مونتريال في الفترة من 2 إلى 6 تشرين الثاني/نوفمبر 2026. ودعا أي طرف يرغب في عرض استضافة الاجتماع إلى التحدث.</w:t>
      </w:r>
    </w:p>
    <w:p w14:paraId="7EA3B474"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وأعلنت ممثلة رواندا عن عرض حكومتها استضافة الاجتماع الثامن والثلاثين للأطراف في كيغالي في تشرين الثاني/نوفمبر 2026. وسيصادف الاجتماع الثامن والثلاثون الذكرى السنوية العاشرة للاتفاق على تعديل </w:t>
      </w:r>
      <w:r w:rsidRPr="00812612">
        <w:rPr>
          <w:rFonts w:ascii="Simplified Arabic" w:eastAsia="DengXian" w:hAnsi="Simplified Arabic"/>
          <w:sz w:val="24"/>
          <w:szCs w:val="24"/>
          <w:rtl/>
          <w:lang w:val="en-GB"/>
        </w:rPr>
        <w:lastRenderedPageBreak/>
        <w:t>كيغالي لبروتوكول مونتريال، الذي أسهم إسهاماً رئيسياً في جعل بروتوكول مونتريال الاتفاق الدولي الأكثر فعاليةً في مجال المناخ، حيث ساهم في تجنب ارتفاع الاحترار العالمي بنحو 1,1 درجة مئوية بحلول عام 2100. وقد رافق عرضها عرضٌ بالفيديو.</w:t>
      </w:r>
      <w:bookmarkStart w:id="34" w:name="_Hlk213433629"/>
      <w:bookmarkEnd w:id="34"/>
    </w:p>
    <w:p w14:paraId="694ED4E0"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ووافقت الأطراف على أن يعقد الاجتماع الثامن والثلاثون للأطراف في بروتوكول مونتريال في كيغالي في الفترة من 2 إلى 6 تشرين الثاني/نوفمبر 2025.</w:t>
      </w:r>
    </w:p>
    <w:p w14:paraId="104996A1"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واعتمدت الأطراف بعد ذلك مقرراً بشأن هذه المسألة. ويرد المقرر في الوثيقة </w:t>
      </w:r>
      <w:r w:rsidRPr="00F1026A">
        <w:rPr>
          <w:rFonts w:eastAsia="DengXian" w:cs="Times New Roman"/>
          <w:w w:val="93"/>
          <w:sz w:val="21"/>
          <w:szCs w:val="21"/>
          <w:lang w:val="en-GB"/>
        </w:rPr>
        <w:t>UNEP/OzL.Pro.37/9/Add.1</w:t>
      </w:r>
      <w:r w:rsidRPr="00812612">
        <w:rPr>
          <w:rFonts w:ascii="Simplified Arabic" w:eastAsia="DengXian" w:hAnsi="Simplified Arabic"/>
          <w:sz w:val="24"/>
          <w:szCs w:val="24"/>
          <w:rtl/>
          <w:lang w:val="en-GB"/>
        </w:rPr>
        <w:t>.</w:t>
      </w:r>
    </w:p>
    <w:p w14:paraId="72245EA0" w14:textId="73D77B4D" w:rsidR="00A935EF" w:rsidRPr="004034BA" w:rsidRDefault="00A935EF" w:rsidP="004034BA">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rtl/>
          <w:lang w:val="ar-SA" w:eastAsia="zh-TW" w:bidi="en-GB"/>
        </w:rPr>
      </w:pPr>
      <w:r w:rsidRPr="004034BA">
        <w:rPr>
          <w:rFonts w:ascii="Simplified Arabic" w:eastAsia="Times New Roman" w:hAnsi="Simplified Arabic"/>
          <w:b/>
          <w:bCs/>
          <w:sz w:val="26"/>
          <w:szCs w:val="26"/>
          <w:rtl/>
          <w:lang w:val="ar-SA" w:eastAsia="zh-TW"/>
        </w:rPr>
        <w:t>ثامن</w:t>
      </w:r>
      <w:r w:rsidR="007F4CFF" w:rsidRPr="004034BA">
        <w:rPr>
          <w:rFonts w:ascii="Simplified Arabic" w:eastAsia="Times New Roman" w:hAnsi="Simplified Arabic"/>
          <w:b/>
          <w:bCs/>
          <w:sz w:val="26"/>
          <w:szCs w:val="26"/>
          <w:rtl/>
          <w:lang w:val="ar-SA" w:eastAsia="zh-TW"/>
        </w:rPr>
        <w:t>اً-</w:t>
      </w:r>
      <w:r w:rsidR="00715DD2" w:rsidRPr="004034BA">
        <w:rPr>
          <w:rFonts w:ascii="Simplified Arabic" w:eastAsia="Times New Roman" w:hAnsi="Simplified Arabic" w:hint="default"/>
          <w:b/>
          <w:bCs/>
          <w:sz w:val="26"/>
          <w:szCs w:val="26"/>
          <w:rtl/>
          <w:lang w:val="ar-SA" w:eastAsia="zh-TW"/>
        </w:rPr>
        <w:tab/>
      </w:r>
      <w:r w:rsidR="007F4CFF" w:rsidRPr="004034BA">
        <w:rPr>
          <w:rFonts w:ascii="Simplified Arabic" w:eastAsia="Times New Roman" w:hAnsi="Simplified Arabic"/>
          <w:b/>
          <w:bCs/>
          <w:sz w:val="26"/>
          <w:szCs w:val="26"/>
          <w:rtl/>
          <w:lang w:val="ar-SA" w:eastAsia="zh-TW"/>
        </w:rPr>
        <w:t>مسائل أخرى</w:t>
      </w:r>
    </w:p>
    <w:p w14:paraId="784F0C8B" w14:textId="18CBD2F1" w:rsidR="00A935EF" w:rsidRPr="00812612" w:rsidRDefault="00A935EF" w:rsidP="004034BA">
      <w:pPr>
        <w:pStyle w:val="CH2"/>
        <w:keepLines w:val="0"/>
        <w:tabs>
          <w:tab w:val="clear" w:pos="851"/>
          <w:tab w:val="clear" w:pos="1247"/>
          <w:tab w:val="clear" w:pos="1871"/>
          <w:tab w:val="clear" w:pos="2495"/>
          <w:tab w:val="clear" w:pos="3119"/>
          <w:tab w:val="clear" w:pos="3742"/>
          <w:tab w:val="clear" w:pos="4366"/>
          <w:tab w:val="clear" w:pos="4990"/>
        </w:tabs>
        <w:suppressAutoHyphens w:val="0"/>
        <w:bidi/>
        <w:spacing w:before="0" w:line="360" w:lineRule="exact"/>
        <w:ind w:left="1134" w:right="0" w:firstLine="0"/>
        <w:jc w:val="both"/>
        <w:textDirection w:val="tbRlV"/>
        <w:rPr>
          <w:rFonts w:ascii="Simplified Arabic" w:hAnsi="Simplified Arabic" w:cs="Simplified Arabic"/>
          <w:lang w:val="ar-SA" w:eastAsia="zh-TW" w:bidi="en-GB"/>
        </w:rPr>
      </w:pPr>
      <w:r w:rsidRPr="00812612">
        <w:rPr>
          <w:rFonts w:ascii="Simplified Arabic" w:hAnsi="Simplified Arabic" w:cs="Simplified Arabic"/>
          <w:bCs/>
          <w:rtl/>
        </w:rPr>
        <w:t>عضوية مجموعة دول أوروبا الشرقية</w:t>
      </w:r>
    </w:p>
    <w:p w14:paraId="0BA12A6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أشار الرئيس إلى أن الأطراف اتفقت، أثناء اعتماد جدول الأعمال، على النظر في المسألة المتعلقة بعضوية مجموعة دول أوروبا الشرقية.</w:t>
      </w:r>
    </w:p>
    <w:p w14:paraId="40E49FA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وأكد ممثل قيرغيزستان، عند عرضه للمسألة، أن مجموعة دول أوروبا الشرقية حاولت استبعاد البلدان الخمسة في آسيا الوسطى - أوزبكستان، وتركمانستان، وطاجيكستان، وقيرغيزستان، وكازاخستان - من ترشيح مرشحين لعضوية هيئات بروتوكول مونتريال لعام 2026 ومن انتخاب أعضاء لمكتب الاجتماع السابع والثلاثين للأطراف، وهذا أدى إلى التأثير على عمل البروتوكول وتجاهل الممارسة المتبعة في منظومة الأمم المتحدة، كما أدى إلى تسييس مسألة إجرائية. وأشار إلى أنه في الاجتماع الخامس والثلاثين للأطراف، حيث بُذلت جهود مماثلة، أوضح ممثل للأمانة أن للأطراف الحق في تحديد المجموعة الإقليمية التي تنتمي إليها. وأشار إلى أن بلدان آسيا الوسطى هي أعضاء في مجموعة دول أوروبا الشرقية لأكثر من 30 عاماً، حيث رُشِّح العديد منها وانتُخب لشغل مناصب في هيئات البروتوكول باسم المجموعة. وفي العام السابق فقط، على سبيل المثال، انتُخبت قيرغيزستان في اللجنة التنفيذية للصندوق المتعدد الأطراف. إن عضوية المجموعات الإقليمية غير الرسمية بموجب البروتوكول هي حق سيادي؛ ولا يخضع ذلك لتفسير دول أخرى. ودعا الأطراف والأمانة إلى المساعدة في إيجاد حل، واقترح تغيير اسم التجمع الإقليمي غير الرسمي المنشأ بموجب البروتوكول إلى مجموعة دول أوروبا الشرقية والقوقاز وآسيا الوسطى، وهو اقتراح أيده ممثل آخر.</w:t>
      </w:r>
    </w:p>
    <w:p w14:paraId="1DCD1179"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وأكد ممثل طاجيكستان، بصفته من مقدمي المقترح، أن مبدأ المشاركة المتساوية والشاملة لجميع البلدان في المجموعات الإقليمية يجب أن يظل في صميم عملية صنع القرار في إطار بروتوكول مونتريال. وينبغي أن تناقش أي تغييرات مقترحة تؤثر على أعضاء مجموعة إقليمية بطريقة شفافة وأن تستند إلى التوافق في الآراء والقانون الدولي والممارسات الراسخة التي تتبعها اجتماعات الأطراف. إن أي جهد يؤدي إلى استبعاد أو إعادة انتداب البلدان دون موافقتها من شأنه أن يقوض مبادئ التضامن والشمول والتعاون التي كانت السمة المميزة لنجاح البروتوكول.</w:t>
      </w:r>
    </w:p>
    <w:p w14:paraId="5F241FF4"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وأعرب أحد الممثلين عن تأييده لتصريحات المتحدثين السابقين، مشدداً على ضرورة اتباع الممارسة المستقرة بالاتباع والتصرف وفقاً لمبدأ التوافق. وقال إن وفده يعارض الاستبعاد المتعمد أو إزالة بلدان من مجموعة إقليمية تنتمي إليها. وحث الأطراف على التركيز على المسائل الجوهرية القائمة على العلم المدرجة في جدول الأعمال، وتجنب تسييس الاجتماع السابع والثلاثين للأطراف، والالتزام بمبادئ التضامن والتعاون، بهدف رئيسي هو ضمان التنفيذ الكامل لبروتوكول مونتريال. وقال ممثل آخر إن وفده يشعر بقلق عميق إزاء الجهود الرامية إلى استبعاد خمسة أعضاء قدامى من المجموعة الإقليمية غير الرسمية والانتقاص من قيمة أعمالهم. إن هذا الوضع غير مسبوق: فمن الحق السيادي للبلدان أن تقرر المجموعة غير الرسمية التي تمثلها في منظومة الأمم المتحدة. </w:t>
      </w:r>
    </w:p>
    <w:p w14:paraId="07EABB0C"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وذكر أحد الممثلين أن هيئات بروتوكول مونتريال تعمل في إطار منظومة الأمم المتحدة ووفقا للممارسة التي أرستها الجمعية العامة. ولذلك فإن اجتماع الأطراف ليس هو المنتدى المناسب لمناقشة هذه المسائل. وأيد عدة </w:t>
      </w:r>
      <w:r w:rsidRPr="00812612">
        <w:rPr>
          <w:rFonts w:ascii="Simplified Arabic" w:eastAsia="DengXian" w:hAnsi="Simplified Arabic"/>
          <w:sz w:val="24"/>
          <w:szCs w:val="24"/>
          <w:rtl/>
          <w:lang w:val="en-GB"/>
        </w:rPr>
        <w:lastRenderedPageBreak/>
        <w:t>ممثلين آخرين بيانه. ووافق ممثل آخر على أن اجتماع الأطراف ليس هو المنتدى المناسب لاتخاذ قرار بشأن هذه المسألة، وأشار إلى أن المادة 21 من النظام الداخلي لاجتماعات الأطراف تشير إلى المجموعات الخمس للدول التي أنشأتها الجمعية العامة في قرارها 2997 (د-27) بشأن الترتيبات المؤسسية والمالية للتعاون البيئي الدولي. وأكد ممثل آخر على أهمية الحوار والصلح. وهناك حاجة إلى مزيد من التوجيهات من الأمانة بشأن سبل المضي قدماً؛ ولا يمكن اتخاذ أي قرار في المرحلة الحالية.</w:t>
      </w:r>
    </w:p>
    <w:p w14:paraId="531661F2"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وتساءل ممثل عن سبب عدم إمكانية التفاوض بشأن هذه المسألة في المنتدى الحالي. ونظرا لأن تكوين المجموعات الإقليمية غير الرسمية لم يتغير منذ إنشاء البروتوكول وأن البلدان الخمسة المعنية هي أعضاء في مجموعة دول أوروبا الشرقية لمدة ثلاثة عقود، تساءل عن سبب السعي الآن إلى مواءمة عضوية تلك المجموعة بالذات بشكل أوثق مع المجموعة الإقليمية داخل منظومة الأمم المتحدة. وأيد ممثل آخر تلك الآراء، مشدداً على أن نجاح البروتوكول يعتمد على التعاون الرامي إلى الحفاظ على البيئة للأجيال الحالية والمقبلة. إن تجاهل الممارسات السابقة قد يؤدي إلى تقويض التعاون والوحدة بين الأطراف.</w:t>
      </w:r>
    </w:p>
    <w:p w14:paraId="1CB86FA9"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وقال ممثل كازاخستان، بصفته من مقدمي المقترح، إن وفده يعارض بشدة مبادرة استبعاد بلدان آسيا الوسطى من مجموعة دول أوروبا الشرقية، معتبراً أنها تفتقر إلى أي أساس قانوني، وتتعارض مع الممارسة المتبعة، وتنتهك حقوق الأطراف في انتخاب أعضاء الهيئات الإدارية والفرعية لبروتوكول مونتريال والترشح لعضويتها. وكانت كازاخستان قد انتخبت سابقاً لعضوية المكتب وترغب في تقديم ترشيحها للانتخاب لعضوية اللجنة التنفيذية للصندوق المتعدد الأطراف. وأشار إلى أن قرار الجمعية العامة 2997 (د-27) قد عفا عليه الزمن: فهو لا يعكس الخريطة السياسية الحالية. وقد اعتُمد في عام 1972، عندما كانت البلدان الخمسة في آسيا الوسطى جزءاً من اتحاد الجمهوريات الاشتراكية السوفياتية. علاوةً على ذلك، فقد حل محله القرار 67/251، الذي أصبح بموجبه مجلس إدارة برنامج الأمم المتحدة للبيئة جمعية الأمم المتحدة للبيئة، مما أدى إلى إلغاء نموذج توزيع المقاعد لعام 1972 وتطبيق العضوية العالمية. وبعد حل اتحاد الجمهوريات الاشتراكية السوفياتية في عام 1991، واصلت الدول الخمس المستقلة حديثا المشاركة في مجموعة دول أوروبا الشرقية. وهي أيضاً أعضاء في المجموعات الإقليمية لدول أوروبا الشرقية في كيانات الأمم المتحدة الأخرى. </w:t>
      </w:r>
    </w:p>
    <w:p w14:paraId="6AA06BB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وأضاف أن أي إشارة إلى المادة 21 من النظام الداخلي ينبغي أن تُفهم على أنها إشارة تاريخية إلى التمثيل الجغرافي العادل وليس كإطار ملزم قانوناً. وفي غياب صك ملزم قانوناً يعيد تحديد تكوين المجموعات الإقليمية فإن الممارسة المؤسسية المعتادة هي التي توجه مشاركة البلدان فيها. وشكلت مشاركة بلدان آسيا الوسطى المتواصلة في مجموعة دول أوروبا الشرقية منذ استقلالها حقيقة مؤسسية راسخة تحميها مبادئ التوقعات المشروعة والحقوق المكتسبة. وبمجرد أن تمارس دولة ما على مدى عقود وظائف العضوية ضمن مجموعة إقليمية دون اعتراض من الأعضاء الآخرين، فإنها تكتسب حقوقاً إجرائية لا يمكن تغييرها من جانب واحد أو بأثر رجعي دون موافقتها الصريحة أو قرار حكومي دولي رسمي. وينبغي التمسك بمبدأ المساواة في السيادة بين جميع الدول، على النحو المنصوص عليه في المادة 2 من ميثاق الأمم المتحدة، ومبدأ اليقين القانوني. وطلب الممثل إلى الأمانة أن تعد وثيقة تتضمن معلومات شاملة وتحليلا للمقررات والقرارات والممارسات المتعلقة بتوزيع الدول الأعضاء في الأمم المتحدة على المجموعات الإقليمية المتبعة في جميع كيانات الأمم المتحدة، بما في ذلك الهيئات الفرعية وأمانات الاتفاقيات. وهناك حاجة إلى مزيد من الحوار على أساس الاحترام المتبادل والالتزام بالقانون الدولي؛ ويجب أن يظل تركيز الأطراف الجماعي منصباً على تحقيق الأهداف البيئية المشتركة وضمان مستقبل مستدام للجميع.</w:t>
      </w:r>
    </w:p>
    <w:p w14:paraId="2750B2E8"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وقال بعض الممثلين إن مقترحات التغييرات في المجموعات الإقليمية القائمة، بما في ذلك معايير العضوية فيها، تتطلب تقييماً ومناقشات أكثر تعمقاً تتجاوز نطاق اجتماع الأطراف. </w:t>
      </w:r>
    </w:p>
    <w:p w14:paraId="5DEC31F1" w14:textId="0064B08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وأشار ممثل قيرغيزستان إلى رسالة وردت من أحد ممثلي الأمانة، فقال إن النظام الداخلي لا يشمل المجموعات الإقليمية غير الرسمية. وعندما اعتمدت الجمعية العامة قرارها 2997 (د-27) في عام 1972، كانت </w:t>
      </w:r>
      <w:r w:rsidRPr="00812612">
        <w:rPr>
          <w:rFonts w:ascii="Simplified Arabic" w:eastAsia="DengXian" w:hAnsi="Simplified Arabic"/>
          <w:sz w:val="24"/>
          <w:szCs w:val="24"/>
          <w:rtl/>
          <w:lang w:val="en-GB"/>
        </w:rPr>
        <w:lastRenderedPageBreak/>
        <w:t xml:space="preserve">جميع جمهوريات الاتحاد الاشتراكي السوفياتي </w:t>
      </w:r>
      <w:r w:rsidR="00A557A1">
        <w:rPr>
          <w:rFonts w:ascii="Simplified Arabic" w:eastAsia="DengXian" w:hAnsi="Simplified Arabic"/>
          <w:sz w:val="24"/>
          <w:szCs w:val="24"/>
          <w:rtl/>
          <w:lang w:val="en-GB"/>
        </w:rPr>
        <w:t>الخمس</w:t>
      </w:r>
      <w:r w:rsidRPr="00812612">
        <w:rPr>
          <w:rFonts w:ascii="Simplified Arabic" w:eastAsia="DengXian" w:hAnsi="Simplified Arabic"/>
          <w:sz w:val="24"/>
          <w:szCs w:val="24"/>
          <w:rtl/>
          <w:lang w:val="en-GB"/>
        </w:rPr>
        <w:t xml:space="preserve"> عشرة تنتمي إلى مجموعة دول أوروبا الشرقية. وفي غضون ذلك، لم تصدر أي وثيقة رسمية للأمم المتحدة توضح قائمة البلدان المنتمية إلى تلك المجموعة الإقليمية. علاوةً على ذلك، لم تكن المجموعات الإقليمية قد أنشئت كهيئات تابعة لبروتوكول مونتريال، وكانت تجتمع بشكل غير رسمي، ولم تكن هناك قاعدة تحكم تكوينها، وكان اتخاذ القرارات في تلك المجموعات يستند إلى التوافق في الآراء. </w:t>
      </w:r>
    </w:p>
    <w:p w14:paraId="4944C537"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وردا على سؤال بشأن ما إذا كان بإمكان الأطراف اختيار المجموعة الإقليمية التي تنتمي إليها، أشارت ممثلة للأمانة إلى أنه خلال الاجتماع الخامس والثلاثين للأطراف، أجريت مشاورات غير رسمية بشأن مسألة بلدان أوروبا الشرقية وآسيا الوسطى. وخلال تلك المشاورات، أشارت الممثلة إلى أن أي طرف عضو في إحدى المجموعات الإقليمية يمكنه أن يختار الانضمام إلى مجموعة إقليمية أخرى، شريطة موافقة المجموعة المعنية. ومع ذلك، لا يجوز للأطراف أن تكون أعضاء في أكثر من مجموعة إقليمية واحدة.</w:t>
      </w:r>
    </w:p>
    <w:p w14:paraId="6E4EA093"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وردا على سؤال بشأن ترشيح المرشحين في الاجتماع السابع والثلاثين للأطراف، أوضح الرئيس أن الترشيحات يمكن تقديمها خلال الجزء التحضيري.</w:t>
      </w:r>
    </w:p>
    <w:p w14:paraId="5973202F"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بناء على اقتراح من رئيس الاجتماع السابع والثلاثين للأطراف، وافقت الأطراف على أن تواصل الأطراف المعنية مناقشاتها في الفترة الفاصلة بين الدورات وأن تقدم الأمانة موجزاً للمعلومات الأساسية بحلول الاجتماع الثامن والأربعين للفريق العامل المفتوح العضوية. </w:t>
      </w:r>
    </w:p>
    <w:p w14:paraId="66AA5296" w14:textId="77777777" w:rsidR="00610F12" w:rsidRPr="004034BA" w:rsidRDefault="00610F12" w:rsidP="004034BA">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4034BA">
        <w:rPr>
          <w:rFonts w:ascii="Simplified Arabic" w:eastAsia="Times New Roman" w:hAnsi="Simplified Arabic" w:hint="default"/>
          <w:b/>
          <w:bCs/>
          <w:sz w:val="26"/>
          <w:szCs w:val="26"/>
          <w:rtl/>
          <w:lang w:val="ar-SA" w:eastAsia="zh-TW"/>
        </w:rPr>
        <w:t>تاسعاً-</w:t>
      </w:r>
      <w:r w:rsidRPr="004034BA">
        <w:rPr>
          <w:rFonts w:ascii="Simplified Arabic" w:eastAsia="Times New Roman" w:hAnsi="Simplified Arabic" w:hint="default"/>
          <w:b/>
          <w:bCs/>
          <w:sz w:val="26"/>
          <w:szCs w:val="26"/>
          <w:rtl/>
          <w:lang w:val="ar-SA" w:eastAsia="zh-TW"/>
        </w:rPr>
        <w:tab/>
        <w:t>اعتماد المقررات من جانب الاجتماع السابع والثلاثين للأطراف</w:t>
      </w:r>
    </w:p>
    <w:p w14:paraId="03E62167"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 xml:space="preserve">اعتمد الاجتماع السابع والثلاثون للأطراف في بروتوكول مونتريال القرارات التي تمت الموافقة عليها خلال الجزء التحضيري. وترد المقررات في الوثيقة </w:t>
      </w:r>
      <w:r w:rsidRPr="00D75EEC">
        <w:rPr>
          <w:rFonts w:eastAsia="DengXian" w:cs="Times New Roman"/>
          <w:sz w:val="22"/>
          <w:szCs w:val="22"/>
          <w:lang w:val="en-GB"/>
        </w:rPr>
        <w:t>UNEP/OzL.Pro.37/9/Add.1</w:t>
      </w:r>
      <w:r w:rsidRPr="00812612">
        <w:rPr>
          <w:rFonts w:ascii="Simplified Arabic" w:eastAsia="DengXian" w:hAnsi="Simplified Arabic"/>
          <w:sz w:val="24"/>
          <w:szCs w:val="24"/>
          <w:rtl/>
          <w:lang w:val="en-GB"/>
        </w:rPr>
        <w:t>.</w:t>
      </w:r>
    </w:p>
    <w:p w14:paraId="2E9C158E" w14:textId="277378F1" w:rsidR="00A935EF" w:rsidRPr="004034BA" w:rsidRDefault="00A935EF" w:rsidP="004034BA">
      <w:pPr>
        <w:keepNext/>
        <w:tabs>
          <w:tab w:val="clear" w:pos="1247"/>
          <w:tab w:val="clear" w:pos="1814"/>
          <w:tab w:val="clear" w:pos="2381"/>
          <w:tab w:val="clear" w:pos="2948"/>
          <w:tab w:val="clear" w:pos="3515"/>
        </w:tabs>
        <w:bidi/>
        <w:spacing w:after="120" w:line="360" w:lineRule="exact"/>
        <w:ind w:left="1134" w:hanging="850"/>
        <w:jc w:val="both"/>
        <w:textDirection w:val="tbRlV"/>
        <w:rPr>
          <w:rFonts w:ascii="Simplified Arabic" w:eastAsia="Times New Roman" w:hAnsi="Simplified Arabic" w:hint="default"/>
          <w:b/>
          <w:bCs/>
          <w:sz w:val="26"/>
          <w:szCs w:val="26"/>
          <w:lang w:val="ar-SA" w:eastAsia="zh-TW"/>
        </w:rPr>
      </w:pPr>
      <w:r w:rsidRPr="004034BA">
        <w:rPr>
          <w:rFonts w:ascii="Simplified Arabic" w:eastAsia="Times New Roman" w:hAnsi="Simplified Arabic"/>
          <w:b/>
          <w:bCs/>
          <w:sz w:val="26"/>
          <w:szCs w:val="26"/>
          <w:rtl/>
          <w:lang w:val="ar-SA" w:eastAsia="zh-TW"/>
        </w:rPr>
        <w:t>عاش</w:t>
      </w:r>
      <w:r w:rsidR="00610F12" w:rsidRPr="004034BA">
        <w:rPr>
          <w:rFonts w:ascii="Simplified Arabic" w:eastAsia="Times New Roman" w:hAnsi="Simplified Arabic"/>
          <w:b/>
          <w:bCs/>
          <w:sz w:val="26"/>
          <w:szCs w:val="26"/>
          <w:rtl/>
          <w:lang w:val="ar-SA" w:eastAsia="zh-TW"/>
        </w:rPr>
        <w:t>راً-</w:t>
      </w:r>
      <w:r w:rsidR="004034BA" w:rsidRPr="004034BA">
        <w:rPr>
          <w:rFonts w:ascii="Simplified Arabic" w:eastAsia="Times New Roman" w:hAnsi="Simplified Arabic" w:hint="default"/>
          <w:b/>
          <w:bCs/>
          <w:sz w:val="26"/>
          <w:szCs w:val="26"/>
          <w:rtl/>
          <w:lang w:val="ar-SA" w:eastAsia="zh-TW"/>
        </w:rPr>
        <w:tab/>
      </w:r>
      <w:r w:rsidR="00922087" w:rsidRPr="004034BA">
        <w:rPr>
          <w:rFonts w:ascii="Simplified Arabic" w:eastAsia="Times New Roman" w:hAnsi="Simplified Arabic"/>
          <w:b/>
          <w:bCs/>
          <w:sz w:val="26"/>
          <w:szCs w:val="26"/>
          <w:rtl/>
          <w:lang w:val="ar-SA" w:eastAsia="zh-TW"/>
        </w:rPr>
        <w:t>اعتماد تقرير الاجتماع</w:t>
      </w:r>
    </w:p>
    <w:p w14:paraId="34F3B7B6"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اعتمدت الأطراف هذا التقرير يوم الجمعة، 7 تشرين الثاني/نوفمبر، على أساس مشروع التقرير الذي جرى تعميمه. وعهد إلى الرئيس بأن يضع، بمساعدة الأمانة، الصيغة النهائية للتقرير.</w:t>
      </w:r>
    </w:p>
    <w:p w14:paraId="04DB93C4" w14:textId="51E6EE73" w:rsidR="00A935EF" w:rsidRPr="004034BA" w:rsidRDefault="00A935EF" w:rsidP="004034BA">
      <w:pPr>
        <w:keepNext/>
        <w:tabs>
          <w:tab w:val="clear" w:pos="1247"/>
          <w:tab w:val="clear" w:pos="1814"/>
          <w:tab w:val="clear" w:pos="2381"/>
          <w:tab w:val="clear" w:pos="2948"/>
          <w:tab w:val="clear" w:pos="3515"/>
        </w:tabs>
        <w:bidi/>
        <w:spacing w:after="120" w:line="360" w:lineRule="exact"/>
        <w:ind w:left="1134" w:hanging="1135"/>
        <w:jc w:val="both"/>
        <w:textDirection w:val="tbRlV"/>
        <w:rPr>
          <w:rFonts w:ascii="Simplified Arabic" w:eastAsia="Times New Roman" w:hAnsi="Simplified Arabic" w:hint="default"/>
          <w:b/>
          <w:bCs/>
          <w:sz w:val="26"/>
          <w:szCs w:val="26"/>
          <w:lang w:val="ar-SA" w:eastAsia="zh-TW"/>
        </w:rPr>
      </w:pPr>
      <w:r w:rsidRPr="004034BA">
        <w:rPr>
          <w:rFonts w:ascii="Simplified Arabic" w:eastAsia="Times New Roman" w:hAnsi="Simplified Arabic"/>
          <w:b/>
          <w:bCs/>
          <w:sz w:val="26"/>
          <w:szCs w:val="26"/>
          <w:rtl/>
          <w:lang w:val="ar-SA" w:eastAsia="zh-TW"/>
        </w:rPr>
        <w:t>حادي عشر-</w:t>
      </w:r>
      <w:r w:rsidRPr="004034BA">
        <w:rPr>
          <w:rFonts w:ascii="Simplified Arabic" w:eastAsia="Times New Roman" w:hAnsi="Simplified Arabic"/>
          <w:b/>
          <w:bCs/>
          <w:sz w:val="26"/>
          <w:szCs w:val="26"/>
          <w:rtl/>
          <w:lang w:val="ar-SA" w:eastAsia="zh-TW"/>
        </w:rPr>
        <w:tab/>
      </w:r>
      <w:r w:rsidR="00922087" w:rsidRPr="004034BA">
        <w:rPr>
          <w:rFonts w:ascii="Simplified Arabic" w:eastAsia="Times New Roman" w:hAnsi="Simplified Arabic"/>
          <w:b/>
          <w:bCs/>
          <w:sz w:val="26"/>
          <w:szCs w:val="26"/>
          <w:rtl/>
          <w:lang w:val="ar-SA" w:eastAsia="zh-TW"/>
        </w:rPr>
        <w:t>اختتام الاجتماع</w:t>
      </w:r>
    </w:p>
    <w:p w14:paraId="530B62BC" w14:textId="77777777" w:rsidR="00A935EF" w:rsidRPr="00812612" w:rsidRDefault="00A935EF" w:rsidP="008D12FC">
      <w:pPr>
        <w:numPr>
          <w:ilvl w:val="0"/>
          <w:numId w:val="1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hint="default"/>
          <w:sz w:val="24"/>
          <w:szCs w:val="24"/>
          <w:lang w:val="en-GB"/>
        </w:rPr>
      </w:pPr>
      <w:r w:rsidRPr="00812612">
        <w:rPr>
          <w:rFonts w:ascii="Simplified Arabic" w:eastAsia="DengXian" w:hAnsi="Simplified Arabic"/>
          <w:sz w:val="24"/>
          <w:szCs w:val="24"/>
          <w:rtl/>
          <w:lang w:val="en-GB"/>
        </w:rPr>
        <w:t>بعد تبادل عبارات المجاملة المعتادة، أُعلن اختتام الاجتماع في الساعة 12:10 من صباح يوم السبت 8 تشرين الثاني/نوفمبر 2025.</w:t>
      </w:r>
    </w:p>
    <w:p w14:paraId="76D796FE" w14:textId="77777777" w:rsidR="00A935EF" w:rsidRPr="00812612" w:rsidRDefault="00A935EF" w:rsidP="00812612">
      <w:pPr>
        <w:tabs>
          <w:tab w:val="clear" w:pos="1247"/>
          <w:tab w:val="clear" w:pos="1814"/>
          <w:tab w:val="clear" w:pos="2381"/>
          <w:tab w:val="clear" w:pos="2948"/>
          <w:tab w:val="clear" w:pos="3515"/>
        </w:tabs>
        <w:bidi/>
        <w:spacing w:after="120" w:line="360" w:lineRule="exact"/>
        <w:ind w:left="1134"/>
        <w:jc w:val="both"/>
        <w:rPr>
          <w:rFonts w:ascii="Simplified Arabic" w:hAnsi="Simplified Arabic" w:hint="default"/>
          <w:sz w:val="24"/>
          <w:szCs w:val="24"/>
          <w:lang w:val="en-US"/>
        </w:rPr>
      </w:pPr>
      <w:r w:rsidRPr="00812612">
        <w:rPr>
          <w:rFonts w:ascii="Simplified Arabic" w:hAnsi="Simplified Arabic"/>
          <w:sz w:val="24"/>
          <w:szCs w:val="24"/>
        </w:rPr>
        <w:br w:type="page"/>
      </w:r>
    </w:p>
    <w:p w14:paraId="47C8802A" w14:textId="77777777" w:rsidR="00A935EF" w:rsidRPr="004034BA" w:rsidRDefault="00A935EF" w:rsidP="004034BA">
      <w:pPr>
        <w:pStyle w:val="ZZAnxheader"/>
        <w:tabs>
          <w:tab w:val="clear" w:pos="624"/>
          <w:tab w:val="clear" w:pos="1247"/>
          <w:tab w:val="clear" w:pos="1871"/>
          <w:tab w:val="clear" w:pos="2495"/>
          <w:tab w:val="clear" w:pos="3119"/>
          <w:tab w:val="clear" w:pos="3742"/>
          <w:tab w:val="clear" w:pos="4366"/>
          <w:tab w:val="clear" w:pos="4990"/>
        </w:tabs>
        <w:bidi/>
        <w:spacing w:after="360" w:line="360" w:lineRule="exact"/>
        <w:jc w:val="both"/>
        <w:textDirection w:val="tbRlV"/>
        <w:rPr>
          <w:rFonts w:ascii="Simplified Arabic" w:hAnsi="Simplified Arabic" w:cs="Simplified Arabic"/>
          <w:sz w:val="30"/>
          <w:szCs w:val="30"/>
          <w:rtl/>
          <w:lang w:val="ar-SA" w:eastAsia="zh-TW" w:bidi="en-GB"/>
        </w:rPr>
      </w:pPr>
      <w:r w:rsidRPr="004034BA">
        <w:rPr>
          <w:rFonts w:ascii="Simplified Arabic" w:hAnsi="Simplified Arabic" w:cs="Simplified Arabic"/>
          <w:sz w:val="30"/>
          <w:szCs w:val="30"/>
          <w:rtl/>
        </w:rPr>
        <w:lastRenderedPageBreak/>
        <w:t>المرفق الأول</w:t>
      </w:r>
    </w:p>
    <w:p w14:paraId="71E9A8B1" w14:textId="77777777" w:rsidR="00A935EF" w:rsidRPr="004034BA" w:rsidRDefault="00A935EF" w:rsidP="004034BA">
      <w:pPr>
        <w:pStyle w:val="ZZAnxtitle"/>
        <w:tabs>
          <w:tab w:val="clear" w:pos="624"/>
          <w:tab w:val="clear" w:pos="1247"/>
          <w:tab w:val="clear" w:pos="1871"/>
          <w:tab w:val="clear" w:pos="2495"/>
          <w:tab w:val="clear" w:pos="3119"/>
          <w:tab w:val="clear" w:pos="3742"/>
          <w:tab w:val="clear" w:pos="4366"/>
          <w:tab w:val="clear" w:pos="4990"/>
        </w:tabs>
        <w:bidi/>
        <w:spacing w:before="0" w:after="240" w:line="360" w:lineRule="exact"/>
        <w:ind w:left="1134"/>
        <w:jc w:val="both"/>
        <w:textDirection w:val="tbRlV"/>
        <w:rPr>
          <w:rFonts w:ascii="Simplified Arabic" w:hAnsi="Simplified Arabic" w:cs="Simplified Arabic"/>
          <w:szCs w:val="28"/>
          <w:rtl/>
          <w:lang w:val="ar-SA" w:eastAsia="zh-TW" w:bidi="en-GB"/>
        </w:rPr>
      </w:pPr>
      <w:r w:rsidRPr="004034BA">
        <w:rPr>
          <w:rFonts w:ascii="Simplified Arabic" w:hAnsi="Simplified Arabic" w:cs="Simplified Arabic"/>
          <w:szCs w:val="28"/>
          <w:rtl/>
        </w:rPr>
        <w:t>موجزات للعروض التي قدمها أعضاء أفرقة التقييم ولجان الخيارات التقنية</w:t>
      </w:r>
      <w:r w:rsidRPr="004034BA">
        <w:rPr>
          <w:rStyle w:val="FootnoteReference"/>
          <w:rFonts w:ascii="Simplified Arabic" w:hAnsi="Simplified Arabic" w:cs="Simplified Arabic"/>
          <w:sz w:val="32"/>
          <w:szCs w:val="32"/>
          <w:rtl/>
        </w:rPr>
        <w:footnoteReference w:customMarkFollows="1" w:id="5"/>
        <w:t>*</w:t>
      </w:r>
    </w:p>
    <w:p w14:paraId="2BF97B8C" w14:textId="060469DF" w:rsidR="00A935EF" w:rsidRPr="004034BA" w:rsidRDefault="00A935EF" w:rsidP="004034BA">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rtl/>
          <w:lang w:val="ar-SA" w:eastAsia="zh-TW" w:bidi="en-GB"/>
        </w:rPr>
      </w:pPr>
      <w:r w:rsidRPr="004034BA">
        <w:rPr>
          <w:rFonts w:ascii="Simplified Arabic" w:hAnsi="Simplified Arabic" w:cs="Simplified Arabic"/>
          <w:bCs/>
          <w:rtl/>
        </w:rPr>
        <w:t>ألف-</w:t>
      </w:r>
      <w:r w:rsidRPr="004034BA">
        <w:rPr>
          <w:rFonts w:ascii="Simplified Arabic" w:hAnsi="Simplified Arabic" w:cs="Simplified Arabic"/>
          <w:bCs/>
          <w:rtl/>
        </w:rPr>
        <w:tab/>
        <w:t>تقرير فريق التقييم العلمي عن الاستجابة للمقرر 36/3</w:t>
      </w:r>
    </w:p>
    <w:p w14:paraId="1D057D68" w14:textId="7909EAA7" w:rsidR="00A935EF" w:rsidRPr="00812612" w:rsidRDefault="00A935EF" w:rsidP="004034BA">
      <w:pPr>
        <w:pStyle w:val="Normalnumber"/>
        <w:tabs>
          <w:tab w:val="clear" w:pos="624"/>
          <w:tab w:val="clear" w:pos="1247"/>
          <w:tab w:val="clear" w:pos="1814"/>
          <w:tab w:val="clear" w:pos="2381"/>
          <w:tab w:val="clear" w:pos="2948"/>
          <w:tab w:val="clear" w:pos="3515"/>
          <w:tab w:val="left" w:pos="1843"/>
        </w:tabs>
        <w:bidi/>
        <w:spacing w:line="360" w:lineRule="exact"/>
        <w:ind w:left="1134"/>
        <w:jc w:val="both"/>
        <w:rPr>
          <w:rFonts w:ascii="Simplified Arabic" w:hAnsi="Simplified Arabic" w:hint="default"/>
          <w:sz w:val="24"/>
          <w:szCs w:val="24"/>
          <w:rtl/>
          <w:lang w:bidi="en-GB"/>
        </w:rPr>
      </w:pPr>
      <w:r w:rsidRPr="00812612">
        <w:rPr>
          <w:rFonts w:ascii="Simplified Arabic" w:hAnsi="Simplified Arabic" w:hint="default"/>
          <w:sz w:val="24"/>
          <w:szCs w:val="24"/>
          <w:rtl/>
        </w:rPr>
        <w:t>أوجز العرض محتويات التقرير، مسلطاً الضوء على النتائج التي اعتبرت الأكثر أهمية للأطراف. وفي ذلك التقرير، استُمدت تقديرات انبعاثات مركب الكربون الهيدروفلوري-23 من عمليات الرصد الجوية حتى عام 2022. وفي هذا التقرير التكميلي، ترد تقديرات محدَّثة للانبعاثات مستقاة من عمليات رصد الغلاف الجوي حتى عام 2023. وتظل الاستنتاجات الأساسية الواردة في هذا التقرير كما هي استناداً إلى السنة الإضافية من القياسات والانبعاثات المستمدة من الرصد وتحديثات الكميات المبلغ عنها والكميات المستمدة من التقارير التي أصبحت متاحة لعام 2024.</w:t>
      </w:r>
    </w:p>
    <w:p w14:paraId="76A8C68F" w14:textId="5571CA74" w:rsidR="00A935EF" w:rsidRPr="00F1026A" w:rsidRDefault="00A935EF" w:rsidP="00F1026A">
      <w:pPr>
        <w:pStyle w:val="Normalnumber"/>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tl/>
          <w:lang w:val="ar-SA" w:eastAsia="zh-TW" w:bidi="en-GB"/>
        </w:rPr>
      </w:pPr>
      <w:r w:rsidRPr="00F1026A">
        <w:rPr>
          <w:rFonts w:ascii="Simplified Arabic" w:hAnsi="Simplified Arabic" w:hint="default"/>
          <w:w w:val="104"/>
          <w:sz w:val="24"/>
          <w:szCs w:val="24"/>
          <w:rtl/>
        </w:rPr>
        <w:t>وخلال عام 2023، استمرت الزيادة في المتوسط العالمي لتركيز مركب الكربون الهيدروفلوري-23 في الغلاف الجوي. وبلغ متوسط التركيز العالمي المقيس في عام 2023 ما مقداره 36,8 ± 0,9 جزء من التريليون، وهو ما يزيد بمقدار 0,97 ± 0,04 جزء من التريليون عن المتوسط المقيس في عام 2022 والذي بلغ 35,9 ± 0,9. وكانت هذه الزيادة السنوية أقل بقليل من متوسط التغير الذي رُصِد في الفترة من عام 2015 إلى عام 2023 والبالغ 1,10 ± 0,13 جزء من التريليون في السنة.</w:t>
      </w:r>
    </w:p>
    <w:p w14:paraId="43D65C9A" w14:textId="1AD78907" w:rsidR="00A935EF" w:rsidRPr="00F1026A" w:rsidRDefault="00A935EF" w:rsidP="00F1026A">
      <w:pPr>
        <w:pStyle w:val="Normalnumber"/>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tl/>
          <w:lang w:val="ar-SA" w:eastAsia="zh-TW" w:bidi="en-GB"/>
        </w:rPr>
      </w:pPr>
      <w:r w:rsidRPr="00F1026A">
        <w:rPr>
          <w:rFonts w:ascii="Simplified Arabic" w:hAnsi="Simplified Arabic" w:hint="default"/>
          <w:w w:val="104"/>
          <w:sz w:val="24"/>
          <w:szCs w:val="24"/>
          <w:rtl/>
        </w:rPr>
        <w:t xml:space="preserve">وبلغ إجمالي الانبعاثات العالمية من </w:t>
      </w:r>
      <w:r w:rsidR="001D6ED8" w:rsidRPr="00F1026A">
        <w:rPr>
          <w:rFonts w:ascii="Simplified Arabic" w:hAnsi="Simplified Arabic" w:hint="default"/>
          <w:w w:val="104"/>
          <w:sz w:val="24"/>
          <w:szCs w:val="24"/>
          <w:rtl/>
        </w:rPr>
        <w:t>مركب الكربون الهيدروفلوري-23</w:t>
      </w:r>
      <w:r w:rsidRPr="00F1026A">
        <w:rPr>
          <w:rFonts w:ascii="Simplified Arabic" w:hAnsi="Simplified Arabic" w:hint="default"/>
          <w:w w:val="104"/>
          <w:sz w:val="24"/>
          <w:szCs w:val="24"/>
          <w:rtl/>
        </w:rPr>
        <w:t xml:space="preserve"> في عام 2023 المستمدة من قياسات التركيزات في الغلاف الجوي 14,2 ± 0,7 كيلو طن، وهي مماثلة للانبعاثات في عام 2022 (14,4 ± 0,6). ويتناقض التغير الطفيف في الانبعاثات خلال هذه السنوات مع الانخفاض السنوي الأكبر خلال الفترة من 2019 إلى 2022 الذي بلغ متوسطه 0,8 كيلو طن/سنة. وكان إنتاج مركب الكربون الهيدروكلوري فلوري-22 المبلغ عنه لجميع الاستخدامات، والذي لا يزال أكبر مصدر معروف للناتج العرضي، </w:t>
      </w:r>
      <w:r w:rsidR="001D6ED8" w:rsidRPr="00F1026A">
        <w:rPr>
          <w:rFonts w:ascii="Simplified Arabic" w:hAnsi="Simplified Arabic" w:hint="default"/>
          <w:w w:val="104"/>
          <w:sz w:val="24"/>
          <w:szCs w:val="24"/>
          <w:rtl/>
        </w:rPr>
        <w:t>مركب الكربون الهيدروفلوري-23</w:t>
      </w:r>
      <w:r w:rsidRPr="00F1026A">
        <w:rPr>
          <w:rFonts w:ascii="Simplified Arabic" w:hAnsi="Simplified Arabic" w:hint="default"/>
          <w:w w:val="104"/>
          <w:sz w:val="24"/>
          <w:szCs w:val="24"/>
          <w:rtl/>
        </w:rPr>
        <w:t>، أقل بنسبة 1,9 في المئة في عام 2023 مقارنة بعام 2022 (1197 كيلو طن في عام 2022 و1175 كيلو طن في عام 2023).</w:t>
      </w:r>
    </w:p>
    <w:p w14:paraId="11AB5524" w14:textId="277137D2" w:rsidR="00A935EF" w:rsidRPr="00812612" w:rsidRDefault="00A935EF" w:rsidP="004034BA">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 xml:space="preserve">وتؤكد النتائج العلمية الجديدة أن </w:t>
      </w:r>
      <w:r w:rsidR="001D6ED8"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ينتج عن تفاعلات أكسدة بعض الغازات المفلورة الموجودة في الغلاف الجوي. ويُقدَّر مصدر </w:t>
      </w:r>
      <w:r w:rsidR="00705342" w:rsidRPr="00812612">
        <w:rPr>
          <w:rFonts w:ascii="Simplified Arabic" w:eastAsia="DengXian" w:hAnsi="Simplified Arabic" w:hint="default"/>
          <w:sz w:val="24"/>
          <w:szCs w:val="24"/>
          <w:rtl/>
          <w:lang w:val="en-GB"/>
        </w:rPr>
        <w:t>مركب الكربون الهيدروفلوري-23</w:t>
      </w:r>
      <w:r w:rsidR="00705342" w:rsidRPr="00812612">
        <w:rPr>
          <w:rFonts w:ascii="Simplified Arabic" w:eastAsia="DengXian" w:hAnsi="Simplified Arabic"/>
          <w:sz w:val="24"/>
          <w:szCs w:val="24"/>
          <w:rtl/>
          <w:lang w:val="en-GB"/>
        </w:rPr>
        <w:t xml:space="preserve"> </w:t>
      </w:r>
      <w:r w:rsidRPr="00812612">
        <w:rPr>
          <w:rFonts w:ascii="Simplified Arabic" w:hAnsi="Simplified Arabic" w:hint="default"/>
          <w:sz w:val="24"/>
          <w:szCs w:val="24"/>
          <w:rtl/>
        </w:rPr>
        <w:t>هذا بأقل من 0,22 كيلوطن في السنة في عام 2023. وهذه القيمة المنقحة أصغر من القيمة المقدَّرة سابقاً (تقرير فريق التقييم العلمي لعام 2024) وتظل هي الحد الأعلى، مما يعني أن القيمة الفعلية من المحتمل أن تكون أصغر.</w:t>
      </w:r>
    </w:p>
    <w:p w14:paraId="74EE0DB5" w14:textId="77777777" w:rsidR="00A935EF" w:rsidRPr="00812612" w:rsidRDefault="00A935EF" w:rsidP="004034BA">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واستمر في عام 2023 الاختلاف أو الفرق بين الانبعاثات العالمية المستمدة من قياسات الغلاف الجوي وتلك المبلغ عنها أو المقدرة من المعلومات المقدمة إلى اتفاقية الأمم المتحدة الإطارية بشأن تغير المناخ والصندوق المتعدد الأطراف لتنفيذ بروتوكول مونتريال وأمانة الأوزون، ولا يزال كبيراً.</w:t>
      </w:r>
    </w:p>
    <w:p w14:paraId="6B90CB77" w14:textId="289D2A7B" w:rsidR="00A935EF" w:rsidRPr="00812612" w:rsidRDefault="00A935EF" w:rsidP="004034BA">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 xml:space="preserve">وفي ظل التغيرات الطفيفة في الانبعاثات في الفترة من عام 2022 إلى عام 2023 المستمدة من التغيرات في التركيزات في الجو عالمياً والانبعاثات المبلغ عنها المتاحة، فإن الفجوة في فهمنا لانبعاثات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في عام 2023 التي تتراوح بين 11,4 كيلوطن و12,8 كيلوطن في السنة مماثلة للفجوة المقدرة لعام 2022 في التقرير السابق عن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(تقرير فريق التقييم العلمي لعام 2024) والتي تتراوح بين 10,5 كيلوطن و12,5 كيلوطن في السنة.</w:t>
      </w:r>
    </w:p>
    <w:p w14:paraId="2CDA9808" w14:textId="7A2A0484" w:rsidR="00A935EF" w:rsidRPr="00812612" w:rsidRDefault="00A935EF" w:rsidP="004034BA">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lastRenderedPageBreak/>
        <w:t xml:space="preserve">ولا تُسوَّى الفجوة بين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المبلَغ عنها وتلك المستخلَصة من التركيزات في الغلاف الجوي من خلال النظر في جميع المصادر المعروفة بخلاف إنتاج مركب الكربون الهيدروكلوري فلوري-22. ويقدِّر التقييم المحدَّث لعام 2025 الذي أجراه فريق التقييم التكنولوجي والاقتصادي أن تتراوح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من جميع المصادر المعروفة والتخفيفات المبلغ عنها بعد عام 2020 بين 1,6 كيلوطن و3,7 كيلوطن في السنة، وهو أقل بكثير من الانبعاثات المستمدة من الغلاف الجوي خلال عام 2023 والتي بلغت 14,2 ± 0,7 كيلوطن في السنة. وتترتب على إضافة الإنتاج النابع من أكسدة الغلاف الجوي للغازات الصناعية المفلورة إلى التقديرات المحدثة لفريق التقييم التكنولوجي والاقتصادي فجوةُ انبعاثات في عام 2023 تتراوح بين 9,6 كيلوطن و13,3 كيلوطن في السنة.</w:t>
      </w:r>
    </w:p>
    <w:p w14:paraId="590731DD" w14:textId="3A714BE4" w:rsidR="00A935EF" w:rsidRPr="00812612" w:rsidRDefault="00A935EF" w:rsidP="004034BA">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 xml:space="preserve">وتتزامن الفجوات المتزايدة في الانبعاثات بين عامي 2015 و2018 مع زيادات في التخفيف المبلغ عنه </w:t>
      </w:r>
      <w:r w:rsidR="00884E21">
        <w:rPr>
          <w:rFonts w:ascii="Simplified Arabic" w:eastAsia="DengXian" w:hAnsi="Simplified Arabic"/>
          <w:sz w:val="24"/>
          <w:szCs w:val="24"/>
          <w:rtl/>
          <w:lang w:val="en-GB"/>
        </w:rPr>
        <w:t>لمركب الكربون الهيدروفلوري-23</w:t>
      </w:r>
      <w:r w:rsidR="000E6704">
        <w:rPr>
          <w:rFonts w:ascii="Simplified Arabic" w:eastAsia="DengXian" w:hAnsi="Simplified Arabic"/>
          <w:sz w:val="24"/>
          <w:szCs w:val="24"/>
          <w:rtl/>
          <w:lang w:val="en-GB"/>
        </w:rPr>
        <w:t xml:space="preserve"> </w:t>
      </w:r>
      <w:r w:rsidRPr="00812612">
        <w:rPr>
          <w:rFonts w:ascii="Simplified Arabic" w:hAnsi="Simplified Arabic" w:hint="default"/>
          <w:sz w:val="24"/>
          <w:szCs w:val="24"/>
          <w:rtl/>
        </w:rPr>
        <w:t>من جانب عدد محدود من البلدان العاملة بموجب المادة 5. وبعد عام 2019، انخفضت فجوة الانبعاثات من 15 كيلوطن في السنة إلى 11-12,5 كيلوطن في السنة في عام 2023؛ وزادت التخفيفات المبلغ عنها من جميع البلدان خلال هذه السنوات إلى ما قيمته 23 كيلوطن في السنة في عام 2023.</w:t>
      </w:r>
    </w:p>
    <w:p w14:paraId="0410C5A7" w14:textId="11034CD2" w:rsidR="00A935EF" w:rsidRPr="00812612" w:rsidRDefault="00A935EF" w:rsidP="00F1026A">
      <w:pPr>
        <w:pStyle w:val="Normalnumber"/>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 xml:space="preserve">وتزامن انخفاض فجوات الانبعاثات بعد عام 2019 مع انخفاض نسبة الانبعاثات المستمدة من عمليات الرصد العالمية مقارنةً بإجمالي إنتاج مركب الكربون الهيدروكلوري فلوري-22 المبلغ عنه </w:t>
      </w:r>
      <w:r w:rsidRPr="001E047A">
        <w:rPr>
          <w:rFonts w:cs="Times New Roman" w:hint="default"/>
          <w:sz w:val="22"/>
          <w:szCs w:val="22"/>
          <w:rtl/>
        </w:rPr>
        <w:t>(E23/P22)</w:t>
      </w:r>
      <w:r w:rsidRPr="00812612">
        <w:rPr>
          <w:rFonts w:ascii="Simplified Arabic" w:hAnsi="Simplified Arabic" w:hint="default"/>
          <w:sz w:val="24"/>
          <w:szCs w:val="24"/>
          <w:rtl/>
        </w:rPr>
        <w:t xml:space="preserve">. ولم تتغير هذه النسبة البالغة 1,1 في المئة في عام 2023 عن عام 2022. وتتسق الانخفاضات في فجوات الانبعاثات وفي قيم نسبة الانبعاثات المستمدة من عمليات الرصد العالمية إلى إجمالي إنتاج مركب الكربون الهيدروكلوري فلوري-22 بعد عام 2019 مع زيادة وتيرة تخفيف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إجمالاً، أو تحسين عملية إنتاج مركب الكربون الهيدروكلوري فلوري-22 لمواصلة تقليل توليد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كناتج عرضي وما يتصل به من انبعاثات، أو تقليل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من مصادر غير معروفة أو غير محسوبة بدقة.</w:t>
      </w:r>
    </w:p>
    <w:p w14:paraId="127B4D65" w14:textId="5B3BBDE5" w:rsidR="00A935EF" w:rsidRPr="00812612" w:rsidRDefault="00A935EF" w:rsidP="004034BA">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 xml:space="preserve">وليس لدينا فهم كامل بعد للمساهمات الإقليمية في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على مستوى العالم. فقد اقتصر مجموع تقديرات الانبعاثات الإقليمية المتاحة كافة المستمدة من الرصد على 6,1 ± 0,7 كيلوطن في السنة من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في عام 2023، أو 43 ± 10 في المئة من الانبعاثات العالمية في تلك السنة. وتتضمن هذه التقديرات انبعاثات عدد من البلدان أو أجزاء من بلدان جرى تحديثها حتى عام 2023 بناءً على قياسات الغلاف الجوي المستمرة. ولا تزال تقديرات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من عدد كبير من المناطق غير متوفرة بسبب ثغرات في رصد الغلاف الجوي.</w:t>
      </w:r>
    </w:p>
    <w:p w14:paraId="1F54D83C" w14:textId="3F4197B1" w:rsidR="00A935EF" w:rsidRPr="00F1026A" w:rsidRDefault="00A935EF" w:rsidP="00F1026A">
      <w:pPr>
        <w:pStyle w:val="Normalnumber"/>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10"/>
          <w:sz w:val="24"/>
          <w:szCs w:val="24"/>
          <w:rtl/>
          <w:lang w:val="ar-SA" w:eastAsia="zh-TW" w:bidi="en-GB"/>
        </w:rPr>
      </w:pPr>
      <w:r w:rsidRPr="00F1026A">
        <w:rPr>
          <w:rFonts w:ascii="Simplified Arabic" w:hAnsi="Simplified Arabic" w:hint="default"/>
          <w:w w:val="110"/>
          <w:sz w:val="24"/>
          <w:szCs w:val="24"/>
          <w:rtl/>
        </w:rPr>
        <w:t xml:space="preserve">وقد أسفرت القياسات المستمرة التي أُجريت في محطة غوسان في جمهورية كوريا عن التقديرات التالية: بلوغ انبعاثات </w:t>
      </w:r>
      <w:r w:rsidR="00705342" w:rsidRPr="00F1026A">
        <w:rPr>
          <w:rFonts w:ascii="Simplified Arabic" w:hAnsi="Simplified Arabic" w:hint="default"/>
          <w:w w:val="110"/>
          <w:sz w:val="24"/>
          <w:szCs w:val="24"/>
          <w:rtl/>
        </w:rPr>
        <w:t>مركب الكربون الهيدروفلوري-23</w:t>
      </w:r>
      <w:r w:rsidRPr="00F1026A">
        <w:rPr>
          <w:rFonts w:ascii="Simplified Arabic" w:hAnsi="Simplified Arabic" w:hint="default"/>
          <w:w w:val="110"/>
          <w:sz w:val="24"/>
          <w:szCs w:val="24"/>
          <w:rtl/>
        </w:rPr>
        <w:t xml:space="preserve"> الصادرة عن الجزء الشرقي من الصين 5,6 ± 0,7 كيلوطن في السنة في عام 2023؛ و0,23 ± 0,02 كيلوطن في السنة من جمهورية كوريا؛ و0,10 ± 0,07 كيلوطن في السنة من الجزء الغربي من اليابان؛ و0,01 ± 0,01 كيلوطن في السنة من جمهورية كوريا الشعبية الديمقراطية.</w:t>
      </w:r>
    </w:p>
    <w:p w14:paraId="14F846A6" w14:textId="12CE0C68" w:rsidR="00A935EF" w:rsidRPr="00812612" w:rsidRDefault="00A935EF" w:rsidP="004034BA">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 xml:space="preserve">كانت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من شرق الصين في جميع السنوات بعد عام 2019 أقل من القيمة القصوى المستمدة لعام 2019 البالغة 8,0 ± 0,4 كيلو طن/سنة. ,كانت الانبعاثات من شرق الصين في عام 2023 أكبر بمقدار 4,7 ± 0,7 كيلوطن من الـ 0,9 كيلوطن التي أُبلغت بها أمانة الأوزون عن الصين بأكملها في ذلك العام، وتمثل هذه الانبعاثات 40 ± 10 في المئة من فجوة الانبعاثات العالمية في عام 2023. وكان مجموع الانبعاثات في جمهورية كوريا وغرب اليابان وجمهورية كوريا الشعبية الديمقراطية أقل بدرجة ملحوظة في عام 2023 مما كان عليه خلال الفترة 2018-2022، وظل أكبر مما أُبلِغت به أمانة الأوزون أو </w:t>
      </w:r>
      <w:r w:rsidRPr="00812612">
        <w:rPr>
          <w:rFonts w:ascii="Simplified Arabic" w:hAnsi="Simplified Arabic" w:hint="default"/>
          <w:sz w:val="24"/>
          <w:szCs w:val="24"/>
          <w:rtl/>
        </w:rPr>
        <w:lastRenderedPageBreak/>
        <w:t>اتفاقية الأمم المتحدة الإطارية بشأن تغير المناخ في السنوات الأخيرة، بحوالي 0,3 ± 0,07 كيلوطن، وهو ما يمثل 1,5 في المئة إلى 3 في المئة من فجوة الانبعاثات العالمية.</w:t>
      </w:r>
    </w:p>
    <w:p w14:paraId="13BB0169" w14:textId="7D74EB0B" w:rsidR="00A935EF" w:rsidRPr="00812612" w:rsidRDefault="00A935EF" w:rsidP="00C61055">
      <w:pPr>
        <w:pStyle w:val="Normalnumber"/>
        <w:tabs>
          <w:tab w:val="clear" w:pos="624"/>
          <w:tab w:val="clear" w:pos="1247"/>
          <w:tab w:val="clear" w:pos="1814"/>
          <w:tab w:val="clear" w:pos="2381"/>
          <w:tab w:val="clear" w:pos="2948"/>
          <w:tab w:val="clear" w:pos="3515"/>
          <w:tab w:val="left" w:pos="1843"/>
        </w:tabs>
        <w:bidi/>
        <w:spacing w:after="140" w:line="37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 xml:space="preserve">وأسفرت القياسات المستمرة للغلاف الجوي التي أُجريت في شبكة من المواقع في أوروبا عن التقديرات التالية: بلوغ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الصادرة عن مجموع البلدان في شمال غرب أوروبا بما في ذلك أيرلندا والمملكة المتحدة وفرنسا وهولندا وبلجيكا ولكسمبرغ وألمانيا 0,15 ± 0,04 كيلوطن في السنة في عام 2023. وكانت هذه الانبعاثات أكبر بمقدار 0,1 ± 0,04 كيلوطن من الانبعاثات التي أُبلغت بها اتفاقية الأمم المتحدة الإطارية بشأن تغير المناخ في عام 2022 (آخر سنة متاحة)، وتمثل هذه المنطقة 0,7 في المئة إلى 1,5 في المئة من فجوة الانبعاثات العالمية.</w:t>
      </w:r>
    </w:p>
    <w:p w14:paraId="0831C7FA" w14:textId="41455F12" w:rsidR="00A935EF" w:rsidRPr="00812612" w:rsidRDefault="00A935EF" w:rsidP="00C61055">
      <w:pPr>
        <w:pStyle w:val="Normalnumber"/>
        <w:tabs>
          <w:tab w:val="clear" w:pos="624"/>
          <w:tab w:val="clear" w:pos="1247"/>
          <w:tab w:val="clear" w:pos="1814"/>
          <w:tab w:val="clear" w:pos="2381"/>
          <w:tab w:val="clear" w:pos="2948"/>
          <w:tab w:val="clear" w:pos="3515"/>
          <w:tab w:val="left" w:pos="1843"/>
        </w:tabs>
        <w:bidi/>
        <w:spacing w:after="140" w:line="37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 xml:space="preserve">وقد أسفرت قياسات الغلاف الجوي المستمرة، التي أجريت في محطة كيب غريم الأساسية لتلوث الهواء في جنوب أستراليا، عن تقدير لانبعاثات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من أستراليا في عام 2023 بلغ 0,025 كيلوطن في السنة (لم يُحدد هامش لعدم اليقين)، وهو ما يقل بمقدار 0,03 كيلوطن في السنة عما أبلِغت به الاتفاقية الإطارية بشأن تغير المناخ في تلك السنة.</w:t>
      </w:r>
    </w:p>
    <w:p w14:paraId="78D18973" w14:textId="15C4F22E" w:rsidR="00A935EF" w:rsidRPr="00812612" w:rsidRDefault="00A935EF" w:rsidP="00C61055">
      <w:pPr>
        <w:pStyle w:val="Normalnumber"/>
        <w:tabs>
          <w:tab w:val="clear" w:pos="624"/>
          <w:tab w:val="clear" w:pos="1247"/>
          <w:tab w:val="clear" w:pos="1814"/>
          <w:tab w:val="clear" w:pos="2381"/>
          <w:tab w:val="clear" w:pos="2948"/>
          <w:tab w:val="clear" w:pos="3515"/>
          <w:tab w:val="left" w:pos="1843"/>
        </w:tabs>
        <w:bidi/>
        <w:spacing w:after="140" w:line="370" w:lineRule="exact"/>
        <w:ind w:left="1134"/>
        <w:jc w:val="both"/>
        <w:textDirection w:val="tbRlV"/>
        <w:rPr>
          <w:rFonts w:ascii="Simplified Arabic" w:hAnsi="Simplified Arabic" w:hint="default"/>
          <w:sz w:val="24"/>
          <w:szCs w:val="24"/>
          <w:rtl/>
          <w:lang w:val="ar-SA" w:eastAsia="zh-TW" w:bidi="en-GB"/>
        </w:rPr>
      </w:pPr>
      <w:r w:rsidRPr="00812612">
        <w:rPr>
          <w:rFonts w:ascii="Simplified Arabic" w:hAnsi="Simplified Arabic" w:hint="default"/>
          <w:sz w:val="24"/>
          <w:szCs w:val="24"/>
          <w:rtl/>
        </w:rPr>
        <w:t xml:space="preserve">وبلغ إنتاج مركب الكربون الهيدروكلوري فلوري-22 من البلدان التي تم تقدير انبعاثاتها الإقليمية في عام 2023، أي الصين وجمهورية كوريا وجمهورية كوريا الشعبية الديمقراطية واليابان والاتحاد الأوروبي والمملكة المتحدة، زهاء 85 في المئة من إنتاج مركب الكربون الهيدروكلوري فلوري-22 المبلغ عنه في تلك السنة. أما فيما يخص البلدان المسؤولة عما تبقى من إنتاج مركب الكربون الهيدروكلوري فلوري-22 التي أُبلغت بها أمانة الأوزون خلال عام 2023 (الاتحاد الروسي والأرجنتين والمكسيك والهند والولايات المتحدة الأمريكية)، فتظل تقديرات انبعاثاتها من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المستمدة من الغلاف الجوي غير متاحة في عهد تعديل كيغالي (أي بعد عام 2019).</w:t>
      </w:r>
    </w:p>
    <w:p w14:paraId="1992F37F" w14:textId="24524B70" w:rsidR="00A935EF" w:rsidRPr="004034BA" w:rsidRDefault="00A935EF" w:rsidP="00C61055">
      <w:pPr>
        <w:pStyle w:val="CH2"/>
        <w:keepNext w:val="0"/>
        <w:keepLines w:val="0"/>
        <w:tabs>
          <w:tab w:val="clear" w:pos="851"/>
          <w:tab w:val="clear" w:pos="1247"/>
          <w:tab w:val="clear" w:pos="1871"/>
          <w:tab w:val="clear" w:pos="2495"/>
          <w:tab w:val="clear" w:pos="3119"/>
          <w:tab w:val="clear" w:pos="3742"/>
          <w:tab w:val="clear" w:pos="4366"/>
          <w:tab w:val="clear" w:pos="4990"/>
        </w:tabs>
        <w:suppressAutoHyphens w:val="0"/>
        <w:bidi/>
        <w:spacing w:before="0" w:after="140" w:line="370" w:lineRule="exact"/>
        <w:ind w:left="1134" w:right="0" w:hanging="850"/>
        <w:jc w:val="both"/>
        <w:textDirection w:val="tbRlV"/>
        <w:rPr>
          <w:rFonts w:ascii="Simplified Arabic" w:hAnsi="Simplified Arabic" w:cs="Simplified Arabic"/>
          <w:bCs/>
          <w:rtl/>
          <w:lang w:val="ar-SA" w:eastAsia="zh-TW" w:bidi="en-GB"/>
        </w:rPr>
      </w:pPr>
      <w:r w:rsidRPr="004034BA">
        <w:rPr>
          <w:rFonts w:ascii="Simplified Arabic" w:hAnsi="Simplified Arabic" w:cs="Simplified Arabic"/>
          <w:bCs/>
          <w:rtl/>
        </w:rPr>
        <w:t>باء-</w:t>
      </w:r>
      <w:r w:rsidRPr="004034BA">
        <w:rPr>
          <w:rFonts w:ascii="Simplified Arabic" w:hAnsi="Simplified Arabic" w:cs="Simplified Arabic"/>
          <w:bCs/>
          <w:rtl/>
        </w:rPr>
        <w:tab/>
        <w:t>تقرير فريق التقييم التكنولوجي والاقتصادي عن الاستجابة للمقرر 36/3</w:t>
      </w:r>
    </w:p>
    <w:p w14:paraId="35940636" w14:textId="691EF9CD" w:rsidR="00A935EF" w:rsidRPr="00C406A0" w:rsidRDefault="00A935EF" w:rsidP="00C61055">
      <w:pPr>
        <w:pStyle w:val="Normalnumber"/>
        <w:tabs>
          <w:tab w:val="clear" w:pos="624"/>
          <w:tab w:val="clear" w:pos="1247"/>
          <w:tab w:val="clear" w:pos="1814"/>
          <w:tab w:val="clear" w:pos="2381"/>
          <w:tab w:val="clear" w:pos="2948"/>
          <w:tab w:val="clear" w:pos="3515"/>
          <w:tab w:val="left" w:pos="1843"/>
        </w:tabs>
        <w:bidi/>
        <w:spacing w:after="140" w:line="37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قدم تاكيشي إريغوتشي، الرئيس المشارك للجنة الخيارات التقنية الطبية والكيميائية، نك كامبل الذي عرض رد فريق التقييم التكنولوجي والاقتصادي على المقرر 36/3 بشأن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w:t>
      </w:r>
    </w:p>
    <w:p w14:paraId="0ABF0C81" w14:textId="1954BF15" w:rsidR="00A935EF" w:rsidRPr="00C406A0" w:rsidRDefault="00A935EF" w:rsidP="00C61055">
      <w:pPr>
        <w:pStyle w:val="Normalnumber"/>
        <w:tabs>
          <w:tab w:val="clear" w:pos="624"/>
          <w:tab w:val="clear" w:pos="1247"/>
          <w:tab w:val="clear" w:pos="1814"/>
          <w:tab w:val="clear" w:pos="2381"/>
          <w:tab w:val="clear" w:pos="2948"/>
          <w:tab w:val="clear" w:pos="3515"/>
          <w:tab w:val="left" w:pos="1843"/>
        </w:tabs>
        <w:bidi/>
        <w:spacing w:after="140" w:line="37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وذكر السيد كامبل أن فريق التقييم التكنولوجي والاقتصادي قد كُلف بمهمة تحديث التقارير السابقة عن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وتقديم مقارنات لأفضل الممارسات في مجال القياس والتحقق. وتناول العرض التحديث فقط، أما مقارنة أفضل الممارسات فقد أُدرجت في التقرير الكامل. وأشار إلى أن التقارير الرئيسية التي سبق أن أعدها الفريق تشمل: تقرير التقييم للجنة الخيارات التقنية الطبية والكيميائية لعام 2022 وردود فريق التقييم التكنولوجي والاقتصادي على المقررين 34/7 و35/7 بشأن 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وقادت لجنة الخيارات التقنية الطبية والكيميائية عملية إعداد التقرير، بالتعاون مع فريق التقييم العلمي لتقديم استنتاجات منسقة تضمنت معلومات محدثة عن الانبعاثات الناتجة عن الاستخدامات الاستهلاكية </w:t>
      </w:r>
      <w:r w:rsidR="00884E21">
        <w:rPr>
          <w:rFonts w:ascii="Simplified Arabic" w:eastAsia="DengXian" w:hAnsi="Simplified Arabic"/>
          <w:sz w:val="24"/>
          <w:szCs w:val="24"/>
          <w:rtl/>
          <w:lang w:val="en-GB"/>
        </w:rPr>
        <w:t>لمركب الكربون الهيدروفلوري-23</w:t>
      </w:r>
      <w:r w:rsidR="000E6704">
        <w:rPr>
          <w:rFonts w:ascii="Simplified Arabic" w:eastAsia="DengXian" w:hAnsi="Simplified Arabic"/>
          <w:sz w:val="24"/>
          <w:szCs w:val="24"/>
          <w:rtl/>
          <w:lang w:val="en-GB"/>
        </w:rPr>
        <w:t xml:space="preserve"> </w:t>
      </w:r>
      <w:r w:rsidRPr="00812612">
        <w:rPr>
          <w:rFonts w:ascii="Simplified Arabic" w:hAnsi="Simplified Arabic" w:hint="default"/>
          <w:sz w:val="24"/>
          <w:szCs w:val="24"/>
          <w:rtl/>
        </w:rPr>
        <w:t>ونواتج عرضية من مواد أخرى.</w:t>
      </w:r>
    </w:p>
    <w:p w14:paraId="5E4F5DE5" w14:textId="078D3657" w:rsidR="00A935EF" w:rsidRPr="00C406A0" w:rsidRDefault="00A935EF" w:rsidP="00C61055">
      <w:pPr>
        <w:pStyle w:val="Normalnumber"/>
        <w:tabs>
          <w:tab w:val="clear" w:pos="624"/>
          <w:tab w:val="clear" w:pos="1247"/>
          <w:tab w:val="clear" w:pos="1814"/>
          <w:tab w:val="clear" w:pos="2381"/>
          <w:tab w:val="clear" w:pos="2948"/>
          <w:tab w:val="clear" w:pos="3515"/>
          <w:tab w:val="left" w:pos="1843"/>
        </w:tabs>
        <w:bidi/>
        <w:spacing w:after="140" w:line="37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وكمعلومات أساسية، لوحظ أن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يتولد من خلال آليات كيميائية مختلفة أثناء عمليات الإنتاج، بما في ذلك التفاعل المفرط والتفاعلات الجانبية غير المقصودة. إن بيانات استهلاك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محدودة لأن هذا المركب يُنتج أساساً لاستخدامه كمادة أولية وله استخدامات قليلة جداً ذات انبعاثات. وقد أُبلغ عن استهلاك عالمي من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يتراوح بين 000 1 و000 10 طن في عام 2023، مع زيادة كبيرة من عام 2021 إلى عام 2023، لا سيما في تطبيقات الإلكترونيات.</w:t>
      </w:r>
    </w:p>
    <w:p w14:paraId="25D1FA67" w14:textId="4AE1B133" w:rsidR="00A935EF" w:rsidRPr="00C61055" w:rsidRDefault="00A935EF" w:rsidP="00C61055">
      <w:pPr>
        <w:pStyle w:val="Normalnumber"/>
        <w:keepNext/>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7"/>
          <w:sz w:val="24"/>
          <w:szCs w:val="24"/>
          <w:rtl/>
          <w:lang w:bidi="en-GB"/>
        </w:rPr>
      </w:pPr>
      <w:r w:rsidRPr="00C61055">
        <w:rPr>
          <w:rFonts w:ascii="Simplified Arabic" w:hAnsi="Simplified Arabic" w:hint="default"/>
          <w:w w:val="107"/>
          <w:sz w:val="24"/>
          <w:szCs w:val="24"/>
          <w:rtl/>
        </w:rPr>
        <w:lastRenderedPageBreak/>
        <w:t xml:space="preserve">وقدم السيد كامبل تقديرات محدثة لكميات </w:t>
      </w:r>
      <w:r w:rsidR="00705342" w:rsidRPr="00C61055">
        <w:rPr>
          <w:rFonts w:ascii="Simplified Arabic" w:hAnsi="Simplified Arabic" w:hint="default"/>
          <w:w w:val="107"/>
          <w:sz w:val="24"/>
          <w:szCs w:val="24"/>
          <w:rtl/>
        </w:rPr>
        <w:t>مركب الكربون الهيدروفلوري-23</w:t>
      </w:r>
      <w:r w:rsidRPr="00C61055">
        <w:rPr>
          <w:rFonts w:ascii="Simplified Arabic" w:hAnsi="Simplified Arabic" w:hint="default"/>
          <w:w w:val="107"/>
          <w:sz w:val="24"/>
          <w:szCs w:val="24"/>
          <w:rtl/>
        </w:rPr>
        <w:t xml:space="preserve"> المتولدة من انبعاثات مرافق الغازات المفلورة، مشيراً إلى أن الإنتاج الكلي من مركب الكربون الهيدروكلوري فلوري-22 في عام 2023 بلغ 751 174 1 طناً، مع توليد كميات من </w:t>
      </w:r>
      <w:r w:rsidR="00705342" w:rsidRPr="00C61055">
        <w:rPr>
          <w:rFonts w:ascii="Simplified Arabic" w:hAnsi="Simplified Arabic" w:hint="default"/>
          <w:w w:val="107"/>
          <w:sz w:val="24"/>
          <w:szCs w:val="24"/>
          <w:rtl/>
        </w:rPr>
        <w:t>مركب الكربون الهيدروفلوري-23</w:t>
      </w:r>
      <w:r w:rsidRPr="00C61055">
        <w:rPr>
          <w:rFonts w:ascii="Simplified Arabic" w:hAnsi="Simplified Arabic" w:hint="default"/>
          <w:w w:val="107"/>
          <w:sz w:val="24"/>
          <w:szCs w:val="24"/>
          <w:rtl/>
        </w:rPr>
        <w:t xml:space="preserve"> كناتج عرضي، تقدر بما يتراوح بين 000 18 و 000 36 طن. ولم يأخذ ذلك في الاعتبار حرق </w:t>
      </w:r>
      <w:r w:rsidR="00705342" w:rsidRPr="00C61055">
        <w:rPr>
          <w:rFonts w:ascii="Simplified Arabic" w:hAnsi="Simplified Arabic" w:hint="default"/>
          <w:w w:val="107"/>
          <w:sz w:val="24"/>
          <w:szCs w:val="24"/>
          <w:rtl/>
        </w:rPr>
        <w:t>مركب الكربون الهيدروفلوري-23</w:t>
      </w:r>
      <w:r w:rsidRPr="00C61055">
        <w:rPr>
          <w:rFonts w:ascii="Simplified Arabic" w:hAnsi="Simplified Arabic" w:hint="default"/>
          <w:w w:val="107"/>
          <w:sz w:val="24"/>
          <w:szCs w:val="24"/>
          <w:rtl/>
        </w:rPr>
        <w:t xml:space="preserve"> في المرافق. وبلغت انبعاثات </w:t>
      </w:r>
      <w:r w:rsidR="00705342" w:rsidRPr="00C61055">
        <w:rPr>
          <w:rFonts w:ascii="Simplified Arabic" w:hAnsi="Simplified Arabic" w:hint="default"/>
          <w:w w:val="107"/>
          <w:sz w:val="24"/>
          <w:szCs w:val="24"/>
          <w:rtl/>
        </w:rPr>
        <w:t>مركب الكربون الهيدروفلوري-23</w:t>
      </w:r>
      <w:r w:rsidRPr="00C61055">
        <w:rPr>
          <w:rFonts w:ascii="Simplified Arabic" w:hAnsi="Simplified Arabic" w:hint="default"/>
          <w:w w:val="107"/>
          <w:sz w:val="24"/>
          <w:szCs w:val="24"/>
          <w:rtl/>
        </w:rPr>
        <w:t xml:space="preserve"> من مرافق الغازات المفلورة التي أبلغت عنها الأطراف 959 طناً في عام 2023.</w:t>
      </w:r>
    </w:p>
    <w:p w14:paraId="037FFD97" w14:textId="2F22577D"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وعُرض جدول يوضح التقديرات المحدثة من جانب فريق التقييم التكنولوجي والاقتصادي لانبعاثات </w:t>
      </w:r>
      <w:r w:rsidR="00705342" w:rsidRPr="00812612">
        <w:rPr>
          <w:rFonts w:ascii="Simplified Arabic" w:hAnsi="Simplified Arabic" w:hint="default"/>
          <w:sz w:val="24"/>
          <w:szCs w:val="24"/>
          <w:rtl/>
        </w:rPr>
        <w:t>مركب الكربون الهيدروفلوري-23</w:t>
      </w:r>
      <w:r w:rsidRPr="00812612">
        <w:rPr>
          <w:rFonts w:ascii="Simplified Arabic" w:hAnsi="Simplified Arabic" w:hint="default"/>
          <w:sz w:val="24"/>
          <w:szCs w:val="24"/>
          <w:rtl/>
        </w:rPr>
        <w:t xml:space="preserve"> من مصادر انبعاثات معروفة، والتي تراوحت بين 600 1 و700 3 طن سنويًا. وقدم فريق التقييم العلمي تقديراً تنازلياً بـلغ </w:t>
      </w:r>
      <w:r w:rsidR="00A557A1">
        <w:rPr>
          <w:rFonts w:ascii="Simplified Arabic" w:hAnsi="Simplified Arabic"/>
          <w:sz w:val="24"/>
          <w:szCs w:val="24"/>
          <w:rtl/>
        </w:rPr>
        <w:t>200 14</w:t>
      </w:r>
      <w:r w:rsidRPr="00812612">
        <w:rPr>
          <w:rFonts w:ascii="Simplified Arabic" w:hAnsi="Simplified Arabic" w:hint="default"/>
          <w:sz w:val="24"/>
          <w:szCs w:val="24"/>
          <w:rtl/>
        </w:rPr>
        <w:t xml:space="preserve"> ± 700 طن لعام 2023.</w:t>
      </w:r>
    </w:p>
    <w:p w14:paraId="603037DC" w14:textId="6BC5D152"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tl/>
          <w:lang w:bidi="en-GB"/>
        </w:rPr>
      </w:pPr>
      <w:r w:rsidRPr="00C406A0">
        <w:rPr>
          <w:rFonts w:ascii="Simplified Arabic" w:hAnsi="Simplified Arabic" w:hint="default"/>
          <w:w w:val="104"/>
          <w:sz w:val="24"/>
          <w:szCs w:val="24"/>
          <w:rtl/>
        </w:rPr>
        <w:t xml:space="preserve">وباختصار، لوحظ أنه لا يزال هناك نقص كبير في فهم الانبعاثات العالمية من </w:t>
      </w:r>
      <w:r w:rsidR="00705342" w:rsidRPr="00C406A0">
        <w:rPr>
          <w:rFonts w:ascii="Simplified Arabic" w:hAnsi="Simplified Arabic" w:hint="default"/>
          <w:w w:val="104"/>
          <w:sz w:val="24"/>
          <w:szCs w:val="24"/>
          <w:rtl/>
        </w:rPr>
        <w:t>مركب الكربون الهيدروفلوري-23</w:t>
      </w:r>
      <w:r w:rsidRPr="00C406A0">
        <w:rPr>
          <w:rFonts w:ascii="Simplified Arabic" w:hAnsi="Simplified Arabic" w:hint="default"/>
          <w:w w:val="104"/>
          <w:sz w:val="24"/>
          <w:szCs w:val="24"/>
          <w:rtl/>
        </w:rPr>
        <w:t xml:space="preserve"> حيث تتراوح الفجوة بين التقديرات المبلغ عنها والتقديرات المستمدة من الغلاف الجوي بين 9,6 و13,3 كيلوطن/سنة. ويعتقد فريق التقييم التكنولوجي والاقتصادي أنه قد أدرج جميع المصادر الرئيسية المعروفة </w:t>
      </w:r>
      <w:r w:rsidR="00884E21">
        <w:rPr>
          <w:rFonts w:ascii="Simplified Arabic" w:eastAsia="DengXian" w:hAnsi="Simplified Arabic"/>
          <w:sz w:val="24"/>
          <w:szCs w:val="24"/>
          <w:rtl/>
          <w:lang w:val="en-GB"/>
        </w:rPr>
        <w:t>لمركب الكربون الهيدروفلوري-23</w:t>
      </w:r>
      <w:r w:rsidR="000E6704">
        <w:rPr>
          <w:rFonts w:ascii="Simplified Arabic" w:eastAsia="DengXian" w:hAnsi="Simplified Arabic"/>
          <w:sz w:val="24"/>
          <w:szCs w:val="24"/>
          <w:rtl/>
          <w:lang w:val="en-GB"/>
        </w:rPr>
        <w:t xml:space="preserve"> </w:t>
      </w:r>
      <w:r w:rsidRPr="00C406A0">
        <w:rPr>
          <w:rFonts w:ascii="Simplified Arabic" w:hAnsi="Simplified Arabic" w:hint="default"/>
          <w:w w:val="104"/>
          <w:sz w:val="24"/>
          <w:szCs w:val="24"/>
          <w:rtl/>
        </w:rPr>
        <w:t>في تقديراته التصاعدية وأن الشكوك الصغيرة في هذه التقديرات لا يمكن أن تفسر الفجوة في الانبعاثات.</w:t>
      </w:r>
    </w:p>
    <w:p w14:paraId="34DBE0FE" w14:textId="70AD7FA6" w:rsidR="00A935EF" w:rsidRPr="00C406A0" w:rsidRDefault="00A935EF" w:rsidP="00C406A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rtl/>
          <w:lang w:val="ar-SA" w:eastAsia="zh-TW" w:bidi="en-GB"/>
        </w:rPr>
      </w:pPr>
      <w:r w:rsidRPr="00C406A0">
        <w:rPr>
          <w:rFonts w:ascii="Simplified Arabic" w:hAnsi="Simplified Arabic" w:cs="Simplified Arabic"/>
          <w:bCs/>
          <w:rtl/>
        </w:rPr>
        <w:t>جيم-</w:t>
      </w:r>
      <w:r w:rsidRPr="00C406A0">
        <w:rPr>
          <w:rFonts w:ascii="Simplified Arabic" w:hAnsi="Simplified Arabic" w:cs="Simplified Arabic"/>
          <w:bCs/>
          <w:rtl/>
        </w:rPr>
        <w:tab/>
        <w:t>عروض قدمتها أفرقة التقييم بشأن التقدم المحرز في أعمالها والمسائل الناشئة فيما يخص التقييم الرباعي السنوات لعام 2026</w:t>
      </w:r>
    </w:p>
    <w:p w14:paraId="72534397" w14:textId="4B06FE56" w:rsidR="00A935EF" w:rsidRPr="00C406A0" w:rsidRDefault="00A935EF" w:rsidP="00C406A0">
      <w:pPr>
        <w:pStyle w:val="CH3"/>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tl/>
          <w:lang w:val="ar-SA" w:eastAsia="zh-TW" w:bidi="en-GB"/>
        </w:rPr>
      </w:pPr>
      <w:r w:rsidRPr="00C406A0">
        <w:rPr>
          <w:rFonts w:ascii="Simplified Arabic" w:hAnsi="Simplified Arabic" w:cs="Simplified Arabic"/>
          <w:bCs/>
          <w:sz w:val="24"/>
          <w:szCs w:val="24"/>
          <w:rtl/>
        </w:rPr>
        <w:t>1-</w:t>
      </w:r>
      <w:r w:rsidRPr="00C406A0">
        <w:rPr>
          <w:rFonts w:ascii="Simplified Arabic" w:hAnsi="Simplified Arabic" w:cs="Simplified Arabic"/>
          <w:bCs/>
          <w:sz w:val="24"/>
          <w:szCs w:val="24"/>
          <w:rtl/>
        </w:rPr>
        <w:tab/>
        <w:t>عرض مقدم من فريق التقييم العلمي</w:t>
      </w:r>
    </w:p>
    <w:p w14:paraId="7F54F774"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C406A0">
        <w:rPr>
          <w:rFonts w:ascii="Simplified Arabic" w:hAnsi="Simplified Arabic" w:hint="default"/>
          <w:sz w:val="24"/>
          <w:szCs w:val="24"/>
          <w:rtl/>
        </w:rPr>
        <w:t>سلط العرض الضوء على تاريخ التقييم العلمي لاستنفاد الأوزون الذي يمتد لأكثر من 40 عامًا. وذكّر العرض الأطراف بالاختصاصات الممنوحة لفريق التقييم العلمي، وبيّن كيف سيتم تنظيم التقرير استجابة لتلك الاختصاصات. إن ترك تنظيم الفصول كما هو في التقييم الأخير يعالج جميع الاختصاصات بشكل فعال.</w:t>
      </w:r>
    </w:p>
    <w:p w14:paraId="79A62A3A"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C406A0">
        <w:rPr>
          <w:rFonts w:ascii="Simplified Arabic" w:hAnsi="Simplified Arabic" w:hint="default"/>
          <w:sz w:val="24"/>
          <w:szCs w:val="24"/>
          <w:rtl/>
        </w:rPr>
        <w:t>وستُستخدم مجموعة متنوعة من الجنسيات والأنواع الاجتماعية والمراحل المهنية للقيادة في إنتاج كل فصل في هذا التقييم. وعندما يُدرَج المؤلفون المشاركون، فإن التمثيل يكون من 17 بلداً. ويكون التمثيل أوسع بكثير عندما يجري تضمين جميع المساهمين الآخرين في الفصول وعملية استعراض الأقران.</w:t>
      </w:r>
    </w:p>
    <w:p w14:paraId="76AEF478" w14:textId="4F6A5B4F"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C406A0">
        <w:rPr>
          <w:rFonts w:ascii="Simplified Arabic" w:hAnsi="Simplified Arabic" w:hint="default"/>
          <w:sz w:val="24"/>
          <w:szCs w:val="24"/>
          <w:rtl/>
        </w:rPr>
        <w:t>وعُرض الجدول الزمني لإعداد التقرير الرباعي السنوات، الذي يوضح أن التقييم يسير وفق الجدول الزمني المحدد وأنه جاهز لعرضه في الاجتماع المقبل للأطراف. وقدم العرض أيضاً جميع الوثائق الأخرى التي استند إليها مؤلفو الفصول في العديد من الفصول.</w:t>
      </w:r>
    </w:p>
    <w:p w14:paraId="30E5941C" w14:textId="482E73E5"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C406A0">
        <w:rPr>
          <w:rFonts w:ascii="Simplified Arabic" w:hAnsi="Simplified Arabic" w:hint="default"/>
          <w:sz w:val="24"/>
          <w:szCs w:val="24"/>
          <w:rtl/>
        </w:rPr>
        <w:t>ومن ثم استعرض العرض كل فصل واختار نقطة أو نقطتين علميتين بارزتين من كل فصل، حيث أن المسودات الأولى موجودة الآن ومتاحة للاستعراض. وشمل ذلك التحديث للمرفق الذي يحتوي على بيانات علمية مادية حاسمة للعديد من الجزيئات ذات الصلة ببروتوكول مونتريال. وسيتم إضافة جدول جديد إلى المرفق يتضمن معلومات أساسية عن كيفية تفكك الغازات ذات الصلة ببروتوكول مونتريال إلى أحماض رئيسية مقاومة للتحلل (</w:t>
      </w:r>
      <w:r w:rsidR="000E3301" w:rsidRPr="00C406A0">
        <w:rPr>
          <w:rFonts w:ascii="Simplified Arabic" w:hAnsi="Simplified Arabic"/>
          <w:sz w:val="24"/>
          <w:szCs w:val="24"/>
          <w:rtl/>
        </w:rPr>
        <w:t>و</w:t>
      </w:r>
      <w:r w:rsidR="000E3301" w:rsidRPr="00C406A0">
        <w:rPr>
          <w:rFonts w:ascii="Simplified Arabic" w:hAnsi="Simplified Arabic" w:hint="default"/>
          <w:sz w:val="24"/>
          <w:szCs w:val="24"/>
          <w:rtl/>
        </w:rPr>
        <w:t>مركب الكربون الهيدروفلوري-23</w:t>
      </w:r>
      <w:r w:rsidRPr="00C406A0">
        <w:rPr>
          <w:rFonts w:ascii="Simplified Arabic" w:hAnsi="Simplified Arabic" w:hint="default"/>
          <w:sz w:val="24"/>
          <w:szCs w:val="24"/>
          <w:rtl/>
        </w:rPr>
        <w:t>)، وهو أمر يهم الأطراف والجمهور، وسيوفَّر جدول مرجعي مكتمل للعمل المستقبلي لفريق التقييم العلمي، وفريق التقييم التكنولوجي والاقتصادي، وفريق تقييم الآثار البيئية.</w:t>
      </w:r>
    </w:p>
    <w:p w14:paraId="726FBB07"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C406A0">
        <w:rPr>
          <w:rFonts w:ascii="Simplified Arabic" w:hAnsi="Simplified Arabic" w:hint="default"/>
          <w:sz w:val="24"/>
          <w:szCs w:val="24"/>
          <w:rtl/>
        </w:rPr>
        <w:t>أخيرًا، بين العرض التقديمي حالة ثقب الأوزون في القطب الجنوبي لعام 2025 ومقارنتها بالسنوات الماضية. ووفقًا لبعض المقاييس التقليدية، فإن هذه الفجوة متواضعة، وأضعف قليلاً من المتوسط. وأظهر مقياس أكثر شمولاً لفقدان الأوزون انخفاضاً كبيراً في إجمالي فقدان الأوزون في عام 2025 مقارنة بالفترة 1990-2010. إن ثقب الأوزون يتلاشى هذا العام في وقت أبكر بكثير من الأعوام السابقة بسبب زيادة عدم الاستقرار في الغلاف الجوي هذا العام مقارنة بالأعوام الماضية.</w:t>
      </w:r>
    </w:p>
    <w:p w14:paraId="4366F8F9" w14:textId="66580CF8" w:rsidR="00A935EF" w:rsidRPr="00C406A0" w:rsidRDefault="00A935EF" w:rsidP="00C406A0">
      <w:pPr>
        <w:pStyle w:val="CH3"/>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tl/>
          <w:lang w:val="ar-SA" w:eastAsia="zh-TW" w:bidi="en-GB"/>
        </w:rPr>
      </w:pPr>
      <w:r w:rsidRPr="00C406A0">
        <w:rPr>
          <w:rFonts w:ascii="Simplified Arabic" w:hAnsi="Simplified Arabic" w:cs="Simplified Arabic"/>
          <w:bCs/>
          <w:sz w:val="24"/>
          <w:szCs w:val="24"/>
          <w:rtl/>
        </w:rPr>
        <w:lastRenderedPageBreak/>
        <w:t>2-</w:t>
      </w:r>
      <w:r w:rsidRPr="00C406A0">
        <w:rPr>
          <w:rFonts w:ascii="Simplified Arabic" w:hAnsi="Simplified Arabic" w:cs="Simplified Arabic"/>
          <w:bCs/>
          <w:sz w:val="24"/>
          <w:szCs w:val="24"/>
          <w:rtl/>
        </w:rPr>
        <w:tab/>
        <w:t>عرض مقدم من فريق تقييم الآثار البيئية</w:t>
      </w:r>
    </w:p>
    <w:p w14:paraId="606A44FE"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باسم فريق تقييم الآثار البيئية والرئيس المشارك بول بارنز، قدمت الرئيسة المشاركة جانيت بورنمان موجزاً للتقدم المحرز والمسائل الناشئة للتقييم الرباعي السنوات لعام 2026 بما يتماشى مع الآثار البيئية لاستنفاد الأوزون الاستراتوسفيري والأشعة فوق البنفسجية والتفاعلات مع تغير المناخ. </w:t>
      </w:r>
    </w:p>
    <w:p w14:paraId="67E5AAA0" w14:textId="06E7C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وعُرضت الجداول الزمنية المؤدية إلى التقييم الرباعي السنوات لعامي 2025 و2026؛ وكذلك قُدمت لمحة عامة عن الفصول العشرة: التغيرات في طبقة الأوزون والأشعة فوق البنفسجية وتفاعلها مع النظام المناخي، العواقب المحتملة لحقن ال</w:t>
      </w:r>
      <w:r w:rsidR="00C61055">
        <w:rPr>
          <w:rFonts w:ascii="Simplified Arabic" w:hAnsi="Simplified Arabic"/>
          <w:sz w:val="24"/>
          <w:szCs w:val="24"/>
          <w:rtl/>
        </w:rPr>
        <w:t>آ</w:t>
      </w:r>
      <w:r w:rsidRPr="00812612">
        <w:rPr>
          <w:rFonts w:ascii="Simplified Arabic" w:hAnsi="Simplified Arabic" w:hint="default"/>
          <w:sz w:val="24"/>
          <w:szCs w:val="24"/>
          <w:rtl/>
        </w:rPr>
        <w:t>يروسولات في الاستراتوسفير، الآثار الناجمة عن الأشعة فوق البنفسجية على التروبوسفير، المواد الألكيلية البيرفلورية والمتعددة الفلور ذات الصلة ببروتوكول مونتريال: التعريفات والأهمية والآثار، والكيمياء ومصير وسمية بدائل المواد المستنفدة للأوزون ونواتج تحللها، والنظم الإيكولوجية البرية والمائية، والمواد الاصطناعية والطبيعية في البيئة، ومصير المواد البلاستيكية في البيئة، والتأثيرات التفاعلية للأشعة فوق البنفسجية وتغير المناخ على صحة الإنسان.</w:t>
      </w:r>
    </w:p>
    <w:p w14:paraId="70CF9A9B" w14:textId="4BE95695"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وقد جرى التركيز على بعض المسائل الناشئة، ومنها: (أ) الزيادات المتوقعة في الأشعة فوق البنفسجية بسبب الطائرات فوق الصوتية، وإطلاق الصواريخ، وأكسيد النيتروز؛ </w:t>
      </w:r>
      <w:r w:rsidR="00F6578E">
        <w:rPr>
          <w:rFonts w:ascii="Simplified Arabic" w:hAnsi="Simplified Arabic"/>
          <w:sz w:val="24"/>
          <w:szCs w:val="24"/>
          <w:rtl/>
        </w:rPr>
        <w:t>(</w:t>
      </w:r>
      <w:r w:rsidRPr="00812612">
        <w:rPr>
          <w:rFonts w:ascii="Simplified Arabic" w:hAnsi="Simplified Arabic" w:hint="default"/>
          <w:sz w:val="24"/>
          <w:szCs w:val="24"/>
          <w:rtl/>
        </w:rPr>
        <w:t>ب) عرض الآثار المحتملة لحقن ال</w:t>
      </w:r>
      <w:r w:rsidR="00C61055">
        <w:rPr>
          <w:rFonts w:ascii="Simplified Arabic" w:hAnsi="Simplified Arabic"/>
          <w:sz w:val="24"/>
          <w:szCs w:val="24"/>
          <w:rtl/>
        </w:rPr>
        <w:t>آ</w:t>
      </w:r>
      <w:r w:rsidRPr="00812612">
        <w:rPr>
          <w:rFonts w:ascii="Simplified Arabic" w:hAnsi="Simplified Arabic" w:hint="default"/>
          <w:sz w:val="24"/>
          <w:szCs w:val="24"/>
          <w:rtl/>
        </w:rPr>
        <w:t xml:space="preserve">يروسولات في الاستراتوسفير (على سبيل المثال، باستخدام الكبريتات من ثاني أكسيد الكبريت) كنوع من أنواع التدخل المناخي الذي اقتُرح للحد مؤقتًا من الاحترار العالمي عن طريق عكس الإشعاع بعيدًا عن سطح الأرض؛ </w:t>
      </w:r>
      <w:r w:rsidR="00F6578E">
        <w:rPr>
          <w:rFonts w:ascii="Simplified Arabic" w:hAnsi="Simplified Arabic"/>
          <w:sz w:val="24"/>
          <w:szCs w:val="24"/>
          <w:rtl/>
        </w:rPr>
        <w:t>(</w:t>
      </w:r>
      <w:r w:rsidRPr="00812612">
        <w:rPr>
          <w:rFonts w:ascii="Simplified Arabic" w:hAnsi="Simplified Arabic" w:hint="default"/>
          <w:sz w:val="24"/>
          <w:szCs w:val="24"/>
          <w:rtl/>
        </w:rPr>
        <w:t>ج) وضع نص تمهيدي، بتنسيق من فريق تقييم الآثار البيئية وبالتعاون مع فريق التقييم التكنولوجي والاقتصادي وفريق التقييم العلمي، لمعالجة المفاهيم الخاطئة وزيادة فهم المواد الألكيلية البيرفلورية والمتعددة الفلور ذات الصلة ببروتوكول مونتريال، بما في ذلك حمض الخليك الثلاثي الفلور وحمض البيرفلوروبروبانويك وحمض البيرفلوروبيوتانويك الشديدة المقاومة للتحلل.</w:t>
      </w:r>
    </w:p>
    <w:p w14:paraId="676B2E62" w14:textId="5AF67D3A" w:rsidR="00A935EF" w:rsidRPr="00C406A0" w:rsidRDefault="00A935EF" w:rsidP="00C406A0">
      <w:pPr>
        <w:pStyle w:val="CH3"/>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tl/>
          <w:lang w:val="ar-SA" w:eastAsia="zh-TW" w:bidi="en-GB"/>
        </w:rPr>
      </w:pPr>
      <w:r w:rsidRPr="00C406A0">
        <w:rPr>
          <w:rFonts w:ascii="Simplified Arabic" w:hAnsi="Simplified Arabic" w:cs="Simplified Arabic"/>
          <w:bCs/>
          <w:sz w:val="24"/>
          <w:szCs w:val="24"/>
          <w:rtl/>
        </w:rPr>
        <w:t>3-</w:t>
      </w:r>
      <w:r w:rsidRPr="00C406A0">
        <w:rPr>
          <w:rFonts w:ascii="Simplified Arabic" w:hAnsi="Simplified Arabic" w:cs="Simplified Arabic"/>
          <w:bCs/>
          <w:sz w:val="24"/>
          <w:szCs w:val="24"/>
          <w:rtl/>
        </w:rPr>
        <w:tab/>
        <w:t>عرض مقدم من فريق التقييم التكنولوجي والاقتصادي</w:t>
      </w:r>
    </w:p>
    <w:p w14:paraId="15DF4C08" w14:textId="26F2F682"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قدمت مارتا بيزانو، الرئيسة المشاركة لفريق التقييم التكنولوجي والاقتصادي، عرضاً عن التقدم المحرز في أعمال الفريق والمسائل الناشئة، باسم الرئيسين المشاركين آشلي وودكوك وبيلا مارانيون، مشيرةً إلى أن السيدة مارانيون لم تتمكن من حضور الاجتماع. ومن ثم شكرت زملاءها في الفريق وأكثر من 150 عضواً في لجان الخيارات التقنية العاملين تحت إشراف الفريق لإصدار التقارير التي طلبتها الأطراف، على أساس طوعي. بعد ذلك قدمت السيدة بيزانو موجزاً لتقارير الفريق المقرر تقديمها في عامي 2026 و2027، حيث سلطت الضوء على التقارير المرحلية لعام 2026، وتقارير تجديد موارد الصندوق المتعدد الأطراف (التي من المحتمل أن تحتاج إلى تقرير تكميلي في وقت لاحق من العام)، وتقارير التقييم الرباعية السنوات المقرر تقديمها في نهاية العام من كل من لجان الخيارات التقنية وفريق التقييم التكنولوجي والاقتصادي نفسه. وأضافت أنه في عام 2027، وبصرف النظر عن التقارير المرحلية المعتادة، سيتعين على الفريق إعداد تقرير توليفي بالتعاون مع الأفرقة الأخرى، بالإضافة إلى إجراء استعراض دوري لبدائل مركبات الكربون الهيدروفلورية وفقاً للمقرر </w:t>
      </w:r>
      <w:r w:rsidR="002648F9">
        <w:rPr>
          <w:rFonts w:ascii="Simplified Arabic" w:hAnsi="Simplified Arabic"/>
          <w:sz w:val="24"/>
          <w:szCs w:val="24"/>
          <w:rtl/>
        </w:rPr>
        <w:t>28</w:t>
      </w:r>
      <w:r w:rsidRPr="00812612">
        <w:rPr>
          <w:rFonts w:ascii="Simplified Arabic" w:hAnsi="Simplified Arabic" w:hint="default"/>
          <w:sz w:val="24"/>
          <w:szCs w:val="24"/>
          <w:rtl/>
        </w:rPr>
        <w:t>/2.</w:t>
      </w:r>
    </w:p>
    <w:p w14:paraId="32748DFF"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ثم وصفت السيدة بيزانو الأعمال الجارية حالياً، قبل صدور الاختصاصات النهائية الناتجة عن الاجتماع السابع والثلاثين للأطراف بشأن دراسة تجديد الموارد التي سيتعين على الفريق إعدادها في الوقت المناسب للفريق العامل المفتوح العضوية العام المقبل. وهذا إطار زمني قصير يبلغ زهاء 4 أشهر، لذا يعمل الفريق على تحديث نهجه في النمذجة وبدأ في الاتصال والتنسيق مع أمانة الأوزون وأمانة الصندوق المتعدد الأطراف للحصول على بيانات محدثة حتى نهاية عام 2025.</w:t>
      </w:r>
    </w:p>
    <w:p w14:paraId="3C78473A" w14:textId="3DA3E6E9" w:rsidR="00A935EF" w:rsidRPr="00F6578E" w:rsidRDefault="00A935EF" w:rsidP="00F6578E">
      <w:pPr>
        <w:pStyle w:val="Normalnumber"/>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tl/>
          <w:lang w:bidi="en-GB"/>
        </w:rPr>
      </w:pPr>
      <w:r w:rsidRPr="00F6578E">
        <w:rPr>
          <w:rFonts w:ascii="Simplified Arabic" w:hAnsi="Simplified Arabic" w:hint="default"/>
          <w:sz w:val="24"/>
          <w:szCs w:val="24"/>
          <w:rtl/>
        </w:rPr>
        <w:t xml:space="preserve">بعد ذلك قدمت موجزاً للمواضيع التي سيجري تناولها في تقارير التقييم لعام 2026 بموجب المقرر 35/3، بما في ذلك التقدم التقني في قطاعي الإنتاج والاستهلاك على صعيد الانتقال إلى بدائل المواد الخاضعة </w:t>
      </w:r>
      <w:r w:rsidRPr="00F6578E">
        <w:rPr>
          <w:rFonts w:ascii="Simplified Arabic" w:hAnsi="Simplified Arabic" w:hint="default"/>
          <w:sz w:val="24"/>
          <w:szCs w:val="24"/>
          <w:rtl/>
        </w:rPr>
        <w:lastRenderedPageBreak/>
        <w:t>للرقابة في جميع القطاعات؛ واستخدامات عوامل المعالجة والمواد الأولية؛ وانبعاثات المواد الخاضعة للرقابة؛ وحالة الأرصدة والمخزونات من المواد المذكورة؛ والتحديات التي تواجهها الأطراف في الحفاظ على عمليات التخلص التدريجي التي أمكن تحقيقها بالفعل؛ وتأثير التخلص التدريجي من المواد المستنفدة للأوزون والخفض التدريجي لمركبات الكربون الهيدروفلورية على التنمية المستدامة؛ والتقدم المحرز في تطوير بدائل لمركبات الكربون الهيدروفلورية مع مراعاة كفاءة الطاقة والسلامة ومدى ملاءمتها للبلدان ذات درجات الحرارة المحيطة العالية؛ ومعلومات عن الاستخدامات التي لم تكن تستخدم فيها مركبات الكربون الهيدروكلورية فلورية من قبل؛ وتقييم بشأن ما إذا كان إنتاج الأولفينات الهيدروفلورية يؤدي إلى انبعاثات متسربة من مركبات الكربون الهيدروفلورية؛ والآثار المحتملة للسياسات واللوائح المتجددة (على سبيل المثال بشأن المواد الألكيلية البيرفلورية والمتعددة الفلور) فيما يتعلق بإدارة المواد الخاضعة للرقابة وبدائلها ونواتج تحللها؛ ومعلومات عن إدارة المواد المبردة، مع إيلاء اهتمام خاص لمنع التسرب وإدارة نهاية العمر.</w:t>
      </w:r>
    </w:p>
    <w:p w14:paraId="6D5162DF"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وفي ختام العرض، ذكرت السيدة بيزانو أن تقرير التقييم لعام 2026 سيتناول ثمانية مقررات إضافية اتخذتها الأطراف في السنوات الأخيرة وتتعلق بالاستخدامات المختبرية والتحليلية، وعوامل المعالجة، ومركبات الكربون الهيدروفلورية غير المدرجة في المرفق واو من البروتوكول، وتوافر مركبات الكربون الهيدروكلورية فلورية، وإدارة المواد المبردة طيلة دورة حياتها، والمواد ذات الأعمار القصيرة جداً، والتطورات المتعلقة بالبخاخات المحددة الجرعات، وبدائل مركبات الكربون الهيدروفلورية في المجموعة 2 من الأطراف العاملة بالمادة 5.</w:t>
      </w:r>
    </w:p>
    <w:p w14:paraId="664AE6F1"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وبدأ آشلي وودكوك الجزء الثاني من عرض فريق التقييم التكنولوجي والاقتصادي فوجه الشكر إلى لجان الخيارات التقنية على السماح له بعرض المسائل الرئيسية في قطاعاتها.</w:t>
      </w:r>
    </w:p>
    <w:p w14:paraId="628A94F9"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وفي مجال الرغوة، أُنجزت بنجاح عملية التحول من استخدام مركبات الكربون الهيدروكلورية فلورية ومركبات الكربون الهيدروفلورية كعوامل نفخ. إن عوامل النفخ المفلورة أكثر تكلفة، ونتيجة لذلك، انتقلت العديد من الشركات إلى استخدام بدائل أو مزائج غير مفلورة. ولكن هناك تنازلات؛ فعوامل النفخ المفلورة يمكن أن تعزز الأداء الحراري. وبالتالي، قد تجد الرغاوي التي تحتوي على كميات أقل من عوامل النفخ المفلورة صعوبة في تلبية المعايير الحرارية. وبعض عوامل نفخ الرغاوى غير المفلورة لها قابلية أعلى للاشتعال وسمية أكبر مقارنةً بعوامل النفخ المفلورة وقد تتطلب معالجة واحتياطات مختلفة من أجل استخدامها بأمان. وقد أعربت لجنة الخيارات التقنية للرغاوى عن قلقها إزاء ما ورد من أن بعض الشركات الصغيرة والمتوسطة قد استخدمت عوامل نفخ قابلة للاشتعال دون اتخاذ احتياطات السلامة الكافية. </w:t>
      </w:r>
    </w:p>
    <w:p w14:paraId="79820419"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ومن ثم انتقل السيد وودكوك إلى موضوع إخماد الحرائق. فقد أدى عدم اليقين الناجم عن اللوائح المحتملة الشاملة المتعلقة بالمواد الألكيلية البيرفلورية والمتعددة الفلور إلى أن تلغي منظمة الطيران المدني الدولي الوقف المؤقت لعام 2024 لاستخدام الهالون 1301 في مقصورات الشحن في الطائرات ذات التصميمات الجديدة تمامًا (القرار </w:t>
      </w:r>
      <w:r w:rsidRPr="001E047A">
        <w:rPr>
          <w:rFonts w:cs="Times New Roman" w:hint="default"/>
          <w:sz w:val="22"/>
          <w:szCs w:val="22"/>
          <w:rtl/>
        </w:rPr>
        <w:t>A42-11</w:t>
      </w:r>
      <w:r w:rsidRPr="00812612">
        <w:rPr>
          <w:rFonts w:ascii="Simplified Arabic" w:hAnsi="Simplified Arabic" w:hint="default"/>
          <w:sz w:val="24"/>
          <w:szCs w:val="24"/>
          <w:rtl/>
        </w:rPr>
        <w:t>). ونتيجةً لذلك، يلتزم الطيران المدني باستخدام الهالون 1301 لمدة لا تقل عن 50 عامًا، أي ما يتجاوز بكثير جميع تواريخ النفاد المتوقعة. وتواصل لجنة الخيارات التقنية لإخماد الحرائق العمل مع منظمة الطيران المدني الدولي وستراقب جهودها بشأن ترشيح محتمل للهالون 1301 للاستخدامات الضرورية. وقد تتطلب استخدامات أخرى دائمة أيضًا استخدام الهالونات لفترة أطول، مما يزيد من احتمال تقديم ترشيحات للاستخدامات الضرورية في المستقبل. وتظل إدارة دورة الحياة أمراً أساسياً لتقليل الانبعاثات إلى أدنى حد ممكن، والحفاظ على أرصدة مواد إخماد الحرائق لاستخدامها في المستقبل.</w:t>
      </w:r>
    </w:p>
    <w:p w14:paraId="0BE425A7" w14:textId="5D17B620" w:rsidR="00A935EF" w:rsidRPr="00F6578E" w:rsidRDefault="00A935EF" w:rsidP="00F6578E">
      <w:pPr>
        <w:pStyle w:val="Normalnumber"/>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tl/>
          <w:lang w:bidi="en-GB"/>
        </w:rPr>
      </w:pPr>
      <w:r w:rsidRPr="00F6578E">
        <w:rPr>
          <w:rFonts w:ascii="Simplified Arabic" w:hAnsi="Simplified Arabic" w:hint="default"/>
          <w:w w:val="104"/>
          <w:sz w:val="24"/>
          <w:szCs w:val="24"/>
          <w:rtl/>
        </w:rPr>
        <w:t xml:space="preserve">بعد ذلك انتقل السيد وودكوك إلى موضوع بروميد الميثيل. وتشير بيانات عام 2024 إلى زيادة بنحو </w:t>
      </w:r>
      <w:r w:rsidR="00F6578E" w:rsidRPr="00F6578E">
        <w:rPr>
          <w:rFonts w:ascii="Simplified Arabic" w:hAnsi="Simplified Arabic"/>
          <w:w w:val="104"/>
          <w:sz w:val="24"/>
          <w:szCs w:val="24"/>
          <w:rtl/>
        </w:rPr>
        <w:t>000 2</w:t>
      </w:r>
      <w:r w:rsidRPr="00F6578E">
        <w:rPr>
          <w:rFonts w:ascii="Simplified Arabic" w:hAnsi="Simplified Arabic" w:hint="default"/>
          <w:w w:val="104"/>
          <w:sz w:val="24"/>
          <w:szCs w:val="24"/>
          <w:rtl/>
        </w:rPr>
        <w:t xml:space="preserve"> طن أو 25 في المئة في استخدام بروميد الميثيل في الحجر الصحي ومعالجات ما قبل الشحن. ولم تعد انبعاثات بروميد الميثيل في انخفاض، ولا تزال هناك فجوة كبيرة فيما يتعلق بخطوط الأساس الطبيعية. وذكر أن هناك الآن بدائل لاستخدامات بروميد الميثيل في الحجر الصحي ومعالجات ما قبل </w:t>
      </w:r>
      <w:r w:rsidRPr="00F6578E">
        <w:rPr>
          <w:rFonts w:ascii="Simplified Arabic" w:hAnsi="Simplified Arabic" w:hint="default"/>
          <w:w w:val="104"/>
          <w:sz w:val="24"/>
          <w:szCs w:val="24"/>
          <w:rtl/>
        </w:rPr>
        <w:lastRenderedPageBreak/>
        <w:t>الشحن المتبقية التي تبلغ زهاء 000 10 طن، ويجري اعتماد بعضها في قطاعات رئيسية بما في ذلك الأخشاب والحبوب (مثل الفوسفين، وفورمات الإيثيل، و</w:t>
      </w:r>
      <w:r w:rsidR="006415B9" w:rsidRPr="006415B9">
        <w:rPr>
          <w:rFonts w:ascii="Simplified Arabic" w:hAnsi="Simplified Arabic" w:hint="default"/>
          <w:w w:val="104"/>
          <w:sz w:val="24"/>
          <w:szCs w:val="24"/>
          <w:rtl/>
        </w:rPr>
        <w:t>الإيثان الثنائي النيتريل</w:t>
      </w:r>
      <w:r w:rsidRPr="00F6578E">
        <w:rPr>
          <w:rFonts w:ascii="Simplified Arabic" w:hAnsi="Simplified Arabic" w:hint="default"/>
          <w:w w:val="104"/>
          <w:sz w:val="24"/>
          <w:szCs w:val="24"/>
          <w:rtl/>
        </w:rPr>
        <w:t xml:space="preserve">). وعلى وجه الخصوص، هناك بدائل لمعظم استخدامات ما قبل الشحن التي تمثل زهاء ثلث الكميات المستخدمة في الحجر الصحي ومعالجات ما قبل الشحن. وسيتناول تقرير التقييم من لجنة الخيارات التقنية لبروميد الميثيل استخدامات هذه المادة في التربة قبل الزراعة، وتأثير خفض حدود سلامة العمال (من 5 جزء في المليون إلى 1 جزء في المليون) مما قد يقلل من استخدامها. ومن الناحية الإيجابية، سيُلخص التقرير أيضًا الفوائد الرئيسية التي ستعود على طبقة الأوزون نتيجة للتخلص التدريجي التام من استخدامات 000 62 طن من استخدامات بروميد الميثيل غير المتعلقة بالحجر ومعالجات ما قبل الشحن. </w:t>
      </w:r>
    </w:p>
    <w:p w14:paraId="4A8520CE" w14:textId="2AAC73B6"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وتتمتع لجنة الخيارات التقنية الطبية والكيميائية بمحفظة واسعة للغاية. وسيتضمن تقرير التقييم الخاص بها الإنتاج واستخدام المواد الخاضعة للرقابة كمواد أولية والمعلومات الواردة من الأطراف بموجب المقرر 36/5؛ ومعلومات محدثة عن </w:t>
      </w:r>
      <w:r w:rsidR="00705342" w:rsidRPr="00812612">
        <w:rPr>
          <w:rFonts w:ascii="Simplified Arabic" w:hAnsi="Simplified Arabic" w:hint="default"/>
          <w:sz w:val="24"/>
          <w:szCs w:val="24"/>
          <w:rtl/>
        </w:rPr>
        <w:t>مركب الكربون الهيدروفلوري-</w:t>
      </w:r>
      <w:r w:rsidR="00A02635" w:rsidRPr="00812612">
        <w:rPr>
          <w:rFonts w:ascii="Simplified Arabic" w:hAnsi="Simplified Arabic"/>
          <w:sz w:val="24"/>
          <w:szCs w:val="24"/>
          <w:rtl/>
        </w:rPr>
        <w:t>23</w:t>
      </w:r>
      <w:r w:rsidRPr="00812612">
        <w:rPr>
          <w:rFonts w:ascii="Simplified Arabic" w:hAnsi="Simplified Arabic" w:hint="default"/>
          <w:sz w:val="24"/>
          <w:szCs w:val="24"/>
          <w:rtl/>
        </w:rPr>
        <w:t xml:space="preserve"> ورابع كلوريد الكربون، والمواد ذات الأعمار القصيرة جداً، وبروميد البروبيل، وعوامل المعالجة، والاستخدامات المختبرية والتحليلية، بما في ذلك المعلومات ذات الصلة بالبدائل؛ ومركبات الكربون الهيدروفلورية غير المدرجة في المرفق واو، بما في ذلك معلومات عن استخدام المنتجات، على النحو الذي حدده فريق التقييم العلمي. وستُقدم تحديثات بشأن الزيادة في كميات المواد الخاضعة للرقابة المستخدمة في طلاء سطح رقائق أشباه الموصلات وغيرها من منتجات تصنيع الإلكترونيات، واستخدام المواد الخاضعة للرقابة، وتوافر واعتماد بدائل لل</w:t>
      </w:r>
      <w:r w:rsidR="001E047A">
        <w:rPr>
          <w:rFonts w:ascii="Simplified Arabic" w:hAnsi="Simplified Arabic"/>
          <w:sz w:val="24"/>
          <w:szCs w:val="24"/>
          <w:rtl/>
        </w:rPr>
        <w:t>آ</w:t>
      </w:r>
      <w:r w:rsidRPr="00812612">
        <w:rPr>
          <w:rFonts w:ascii="Simplified Arabic" w:hAnsi="Simplified Arabic" w:hint="default"/>
          <w:sz w:val="24"/>
          <w:szCs w:val="24"/>
          <w:rtl/>
        </w:rPr>
        <w:t>يروسولات والبخاخات المحددة الجرعات؛ وستشمل أيضاً أي معلومات جديدة عن تقنيات التدمير.</w:t>
      </w:r>
    </w:p>
    <w:p w14:paraId="70484DF5" w14:textId="3F5DBCE2"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 xml:space="preserve">وفي قطاع التبريد وتكييف الهواء والمضخات الحرارية، ذكر السيد وودكوك أنه لم يتم إدخال أي مواد مبردة جديدة مكونة من عنصر واحد، ولم يتم الإعلان سوى عن عدد محدود من المزائج الزيوتروبية. وسيقدم تقييم لجنة الخيارات التقنية للتبريد وتكييف الهواء والمضخات الحرارية تقريراً عن استمرار الانتقال إلى المواد المبردة من الفئات </w:t>
      </w:r>
      <w:r w:rsidRPr="00D75EEC">
        <w:rPr>
          <w:rFonts w:cs="Times New Roman" w:hint="default"/>
          <w:sz w:val="22"/>
          <w:szCs w:val="22"/>
          <w:rtl/>
        </w:rPr>
        <w:t>A1</w:t>
      </w:r>
      <w:r w:rsidRPr="00812612">
        <w:rPr>
          <w:rFonts w:ascii="Simplified Arabic" w:hAnsi="Simplified Arabic" w:hint="default"/>
          <w:sz w:val="24"/>
          <w:szCs w:val="24"/>
          <w:rtl/>
        </w:rPr>
        <w:t xml:space="preserve"> و</w:t>
      </w:r>
      <w:r w:rsidRPr="00D75EEC">
        <w:rPr>
          <w:rFonts w:cs="Times New Roman" w:hint="default"/>
          <w:sz w:val="22"/>
          <w:szCs w:val="22"/>
          <w:rtl/>
        </w:rPr>
        <w:t>A2L/B2L</w:t>
      </w:r>
      <w:r w:rsidRPr="00812612">
        <w:rPr>
          <w:rFonts w:ascii="Simplified Arabic" w:hAnsi="Simplified Arabic" w:hint="default"/>
          <w:sz w:val="24"/>
          <w:szCs w:val="24"/>
          <w:rtl/>
        </w:rPr>
        <w:t xml:space="preserve"> و</w:t>
      </w:r>
      <w:r w:rsidRPr="00D75EEC">
        <w:rPr>
          <w:rFonts w:cs="Times New Roman" w:hint="default"/>
          <w:sz w:val="22"/>
          <w:szCs w:val="22"/>
          <w:rtl/>
        </w:rPr>
        <w:t>A3</w:t>
      </w:r>
      <w:r w:rsidRPr="00812612">
        <w:rPr>
          <w:rFonts w:ascii="Simplified Arabic" w:hAnsi="Simplified Arabic" w:hint="default"/>
          <w:sz w:val="24"/>
          <w:szCs w:val="24"/>
          <w:rtl/>
        </w:rPr>
        <w:t xml:space="preserve"> ذات القدرة الأقل على إحداث الاحترار العالمي، على الرغم من اختلاف وتيرة التغيير بين مختلف قطاعات التبريد وتكييف الهواء والمضخات الحرارية، وحسب المنطقة. وصرح السيد وودكوك بأن المعلومات والمعرفة المحدودة عن استخدام المواد المبردة القابلة للاشتعال، من الفئة </w:t>
      </w:r>
      <w:r w:rsidRPr="001E047A">
        <w:rPr>
          <w:rFonts w:cs="Times New Roman" w:hint="default"/>
          <w:sz w:val="22"/>
          <w:szCs w:val="22"/>
          <w:rtl/>
        </w:rPr>
        <w:t>A2L</w:t>
      </w:r>
      <w:r w:rsidRPr="00812612">
        <w:rPr>
          <w:rFonts w:ascii="Simplified Arabic" w:hAnsi="Simplified Arabic" w:hint="default"/>
          <w:sz w:val="24"/>
          <w:szCs w:val="24"/>
          <w:rtl/>
        </w:rPr>
        <w:t xml:space="preserve"> و</w:t>
      </w:r>
      <w:r w:rsidRPr="001E047A">
        <w:rPr>
          <w:rFonts w:cs="Times New Roman" w:hint="default"/>
          <w:sz w:val="22"/>
          <w:szCs w:val="22"/>
          <w:rtl/>
        </w:rPr>
        <w:t>A3</w:t>
      </w:r>
      <w:r w:rsidRPr="00812612">
        <w:rPr>
          <w:rFonts w:ascii="Simplified Arabic" w:hAnsi="Simplified Arabic" w:hint="default"/>
          <w:sz w:val="24"/>
          <w:szCs w:val="24"/>
          <w:rtl/>
        </w:rPr>
        <w:t xml:space="preserve"> على السواء، لا تزال تشكل عقبة كبيرة أمام اعتماد مواد مبردة ذات قدرة أقل على إحداث الاحترار العالمي، في الأطراف العاملة بموجب المادة 5 وبعض الأطراف غير العاملة بموجبها. وسيركز تقرير التقييم على المسائل الشاملة مثل كفاءة الطاقة وإدارة المواد المبردة طيلة دورة حياتها ونمو مراكز البيانات.</w:t>
      </w:r>
    </w:p>
    <w:p w14:paraId="20E3A904" w14:textId="6DECF061"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أخيرًا، انتقل السيد وودكوك إلى مناقشة مسألة المواد الألكيلية البيرفلورية والمتعددة الفلور وتأثيرها المحتمل على بروتوكول مونتريال. وناقش اهتمام وسائل الإعلام والجمهور بـ</w:t>
      </w:r>
      <w:r w:rsidR="00D5366C">
        <w:rPr>
          <w:rFonts w:ascii="Simplified Arabic" w:hAnsi="Simplified Arabic"/>
          <w:sz w:val="24"/>
          <w:szCs w:val="24"/>
          <w:rtl/>
        </w:rPr>
        <w:t xml:space="preserve"> ”</w:t>
      </w:r>
      <w:r w:rsidRPr="00812612">
        <w:rPr>
          <w:rFonts w:ascii="Simplified Arabic" w:hAnsi="Simplified Arabic" w:hint="default"/>
          <w:sz w:val="24"/>
          <w:szCs w:val="24"/>
          <w:rtl/>
        </w:rPr>
        <w:t>المواد الكيميائية الدائمة</w:t>
      </w:r>
      <w:r w:rsidR="00D5366C">
        <w:rPr>
          <w:rFonts w:ascii="Simplified Arabic" w:hAnsi="Simplified Arabic"/>
          <w:sz w:val="24"/>
          <w:szCs w:val="24"/>
          <w:rtl/>
        </w:rPr>
        <w:t>“</w:t>
      </w:r>
      <w:r w:rsidRPr="00812612">
        <w:rPr>
          <w:rFonts w:ascii="Simplified Arabic" w:hAnsi="Simplified Arabic" w:hint="default"/>
          <w:sz w:val="24"/>
          <w:szCs w:val="24"/>
          <w:rtl/>
        </w:rPr>
        <w:t xml:space="preserve"> التي أصبحت تُعامل خطأً على أنها مرادفة لمصطلح </w:t>
      </w:r>
      <w:r w:rsidR="00D5366C">
        <w:rPr>
          <w:rFonts w:ascii="Simplified Arabic" w:hAnsi="Simplified Arabic"/>
          <w:sz w:val="24"/>
          <w:szCs w:val="24"/>
          <w:rtl/>
        </w:rPr>
        <w:t>”</w:t>
      </w:r>
      <w:r w:rsidRPr="00812612">
        <w:rPr>
          <w:rFonts w:ascii="Simplified Arabic" w:hAnsi="Simplified Arabic" w:hint="default"/>
          <w:sz w:val="24"/>
          <w:szCs w:val="24"/>
          <w:rtl/>
        </w:rPr>
        <w:t>المواد الألكيلية البيرفلورية والمتعددة الفلور</w:t>
      </w:r>
      <w:r w:rsidR="001E047A">
        <w:rPr>
          <w:rFonts w:ascii="Simplified Arabic" w:hAnsi="Simplified Arabic"/>
          <w:sz w:val="24"/>
          <w:szCs w:val="24"/>
          <w:rtl/>
        </w:rPr>
        <w:t>“</w:t>
      </w:r>
      <w:r w:rsidRPr="00812612">
        <w:rPr>
          <w:rFonts w:ascii="Simplified Arabic" w:hAnsi="Simplified Arabic" w:hint="default"/>
          <w:sz w:val="24"/>
          <w:szCs w:val="24"/>
          <w:rtl/>
        </w:rPr>
        <w:t>. وذكر أن هناك أكثر من 15 تعريفًا للمواد الألكيلية البيرفلورية والمتعددة الفلور تستند في الغالب إلى التركيب الكيميائي بدلاً من التأثير على صحة الإنسان والبيئة. وقد بدأ ذلك بفرض ضوابط على حمض البيرفلوروكتانويك وحمض السلفونيك البيرفلوروكتاني اللذين يعتبران من المواد السامة المقاومة للتحلل والمتراكمة بيولوجياً وهي مدرجة في جميع تعريفات المواد الألكيلية البيرفلورية والمتعددة الفلور. والمشكلة هي أن خصائص مقاومة التحلل والتراكم البيولوجي والسمية لهذين الحمضين يتم توسيعها بشكل غير صحيح لتشمل مواد كيميائية أخرى بما في ذلك المواد الخاضعة للرقابة بموجب بروتوكول مونتريال وبدائلها.</w:t>
      </w:r>
    </w:p>
    <w:p w14:paraId="58D7BF6A" w14:textId="77777777" w:rsidR="00A935EF" w:rsidRPr="00F6578E" w:rsidRDefault="00A935EF" w:rsidP="00F6578E">
      <w:pPr>
        <w:pStyle w:val="Normalnumber"/>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w w:val="104"/>
          <w:sz w:val="24"/>
          <w:szCs w:val="24"/>
          <w:rtl/>
          <w:lang w:bidi="en-GB"/>
        </w:rPr>
      </w:pPr>
      <w:r w:rsidRPr="00F6578E">
        <w:rPr>
          <w:rFonts w:ascii="Simplified Arabic" w:hAnsi="Simplified Arabic" w:hint="default"/>
          <w:w w:val="104"/>
          <w:sz w:val="24"/>
          <w:szCs w:val="24"/>
          <w:rtl/>
        </w:rPr>
        <w:t xml:space="preserve">وأكد السيد وودكوك أن المواد الخاضعة للرقابة بموجب بروتوكول مونتريال وبدائلها ليست مواد سامة مقاومة للتحلل وغير قابلة للتراكم البيولوجي. ومع ذلك، فإن بعض المواد الخاضعة للرقابة بموجب بروتوكول مونتريال وبدائلها تتحلل بدرجات متفاوتة إلى أملاح حمض الخليك الثلاثي الفلور. وهذا الحمض مقاوم للتحلل </w:t>
      </w:r>
      <w:r w:rsidRPr="00F6578E">
        <w:rPr>
          <w:rFonts w:ascii="Simplified Arabic" w:hAnsi="Simplified Arabic" w:hint="default"/>
          <w:w w:val="104"/>
          <w:sz w:val="24"/>
          <w:szCs w:val="24"/>
          <w:rtl/>
        </w:rPr>
        <w:lastRenderedPageBreak/>
        <w:t>في المياه السطحية وفي بعض المناطق آخذ في الازدياد. ويتميز حمض الخليك الثلاثي الفلور بسميته المنخفضة، ومن المتوقع حالياً أن تظل تركيزاته أقل بكثير من التركيزات التي تثير القلق من حيث السمية. ومع ذلك، هناك أيضًا ثغرات معرفية بشأن المساهمات النسبية لهذا الحمض في البيئة من مصادر أخرى (مثل الأدوية ومبيدات الآفات).</w:t>
      </w:r>
    </w:p>
    <w:p w14:paraId="67D731DA"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وأوضح السيد وودكوك أن عدم اليقين بشأن اللوائح المحتملة الواسعة النطاق المتعلقة بالمواد الألكيلية البيرفلورية والمتعددة الفلور يؤخر الاستثمار التجاري في عملية الانتقال، وقد يحد من توفر البدائل في بعض التطبيقات. وقد يؤدي ذلك إلى إبطاء عملية الخفض التدريجي لمركبات الكربون الهيدروفلورية بسبب بطء استخدام البدائل ذات القدرة الأقل على إحداث الاحترار العالمي، بل وقد يؤدي إلى انخفاض كفاءة الطاقة في بعض التطبيقات. وقدم السيد وودكوك أيضاً مثالين على الآثار الخاصة بقطاعات معينة. وفي مجال إخماد الحرائق، هناك عدم يقين حقيقي بشأن الإدارة الطويلة الأجل للهالونات. أما فيما يخص المواد الدافعة ذات القدرة المنخفضة على إحداث الاحترار العالمي المستخدمة في البخاخات المحددة الجرعات، فقد بدأ الانتقال بالفعل، ولكن هناك عدم يقين بشأن أيٍ من هذه المواد الدافعة ذات القدرة المنخفضة على إحداث الاحترار العالمي ستكون متاحة على المدى الطويل. وذكر أن هناك 94 شركة أدوية محتملة بصدد التحول، وأكثر من مليار مريض يحتاجون إلى حماية صحتهم.</w:t>
      </w:r>
    </w:p>
    <w:p w14:paraId="45A06B0F" w14:textId="77777777" w:rsidR="00A935EF" w:rsidRPr="00C406A0" w:rsidRDefault="00A935EF" w:rsidP="00C406A0">
      <w:pPr>
        <w:pStyle w:val="Normalnumbe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812612">
        <w:rPr>
          <w:rFonts w:ascii="Simplified Arabic" w:hAnsi="Simplified Arabic" w:hint="default"/>
          <w:sz w:val="24"/>
          <w:szCs w:val="24"/>
          <w:rtl/>
        </w:rPr>
        <w:t>وستنسق الأفرقة الثلاثة جهودنا لإبقاء الأطراف على اطلاع تام بالتطورات الجديدة في القواعد التنظيمية المتعلقة بالمواد الألكيلية البيرفلورية والمتعددة الفلور التي قد تؤثر على بروتوكول مونتريال.</w:t>
      </w:r>
    </w:p>
    <w:p w14:paraId="2FB50F33" w14:textId="77777777" w:rsidR="00C406A0" w:rsidRDefault="00C406A0">
      <w:pPr>
        <w:tabs>
          <w:tab w:val="clear" w:pos="1247"/>
          <w:tab w:val="clear" w:pos="1814"/>
          <w:tab w:val="clear" w:pos="2381"/>
          <w:tab w:val="clear" w:pos="2948"/>
          <w:tab w:val="clear" w:pos="3515"/>
        </w:tabs>
        <w:rPr>
          <w:rFonts w:ascii="Simplified Arabic" w:eastAsia="Times New Roman" w:hAnsi="Simplified Arabic" w:hint="default"/>
          <w:b/>
          <w:bCs/>
          <w:sz w:val="24"/>
          <w:szCs w:val="24"/>
          <w:rtl/>
        </w:rPr>
      </w:pPr>
      <w:r>
        <w:rPr>
          <w:rFonts w:ascii="Simplified Arabic" w:hAnsi="Simplified Arabic"/>
          <w:sz w:val="24"/>
          <w:szCs w:val="24"/>
        </w:rPr>
        <w:br w:type="page"/>
      </w:r>
    </w:p>
    <w:p w14:paraId="1EDAC26D" w14:textId="632F7C01" w:rsidR="00A935EF" w:rsidRPr="00C406A0" w:rsidRDefault="00A935EF" w:rsidP="00C406A0">
      <w:pPr>
        <w:pStyle w:val="ZZAnxheader"/>
        <w:tabs>
          <w:tab w:val="clear" w:pos="624"/>
          <w:tab w:val="clear" w:pos="1247"/>
          <w:tab w:val="clear" w:pos="1871"/>
          <w:tab w:val="clear" w:pos="2495"/>
          <w:tab w:val="clear" w:pos="3119"/>
          <w:tab w:val="clear" w:pos="3742"/>
          <w:tab w:val="clear" w:pos="4366"/>
          <w:tab w:val="clear" w:pos="4990"/>
        </w:tabs>
        <w:bidi/>
        <w:spacing w:after="360" w:line="360" w:lineRule="exact"/>
        <w:jc w:val="both"/>
        <w:textDirection w:val="tbRlV"/>
        <w:rPr>
          <w:rFonts w:ascii="Simplified Arabic" w:hAnsi="Simplified Arabic" w:cs="Simplified Arabic"/>
          <w:sz w:val="30"/>
          <w:szCs w:val="30"/>
          <w:rtl/>
          <w:lang w:val="ar-SA" w:eastAsia="zh-TW" w:bidi="en-GB"/>
        </w:rPr>
      </w:pPr>
      <w:r w:rsidRPr="00C406A0">
        <w:rPr>
          <w:rFonts w:ascii="Simplified Arabic" w:hAnsi="Simplified Arabic" w:cs="Simplified Arabic"/>
          <w:sz w:val="30"/>
          <w:szCs w:val="30"/>
          <w:rtl/>
        </w:rPr>
        <w:lastRenderedPageBreak/>
        <w:t>المرفق الثاني</w:t>
      </w:r>
    </w:p>
    <w:p w14:paraId="5CA7FE2C" w14:textId="3D27F113" w:rsidR="00263F95" w:rsidRPr="00C406A0" w:rsidRDefault="00A935EF" w:rsidP="00C406A0">
      <w:pPr>
        <w:pStyle w:val="ZZAnxtitle"/>
        <w:tabs>
          <w:tab w:val="clear" w:pos="624"/>
          <w:tab w:val="clear" w:pos="1247"/>
          <w:tab w:val="clear" w:pos="1871"/>
          <w:tab w:val="clear" w:pos="2495"/>
          <w:tab w:val="clear" w:pos="3119"/>
          <w:tab w:val="clear" w:pos="3742"/>
          <w:tab w:val="clear" w:pos="4366"/>
          <w:tab w:val="clear" w:pos="4990"/>
        </w:tabs>
        <w:bidi/>
        <w:spacing w:before="0" w:after="240" w:line="360" w:lineRule="exact"/>
        <w:ind w:left="1134"/>
        <w:jc w:val="both"/>
        <w:textDirection w:val="tbRlV"/>
        <w:rPr>
          <w:rFonts w:ascii="Simplified Arabic" w:hAnsi="Simplified Arabic" w:cs="Simplified Arabic"/>
          <w:szCs w:val="28"/>
          <w:lang w:val="en-US" w:eastAsia="zh-TW"/>
        </w:rPr>
      </w:pPr>
      <w:r w:rsidRPr="00C406A0">
        <w:rPr>
          <w:rFonts w:ascii="Simplified Arabic" w:hAnsi="Simplified Arabic" w:cs="Simplified Arabic"/>
          <w:szCs w:val="28"/>
          <w:rtl/>
        </w:rPr>
        <w:t>بيان رئيس اللجنة التنفيذية للصندوق المتعدد الأطراف لتنفيذ بروتوكول مونتريال عن أعمال اللجنة التنفيذية وأمانة الصندوق المتعدد الأطراف والوكالات المنفذة للصندوق</w:t>
      </w:r>
      <w:r w:rsidR="003F1CA9" w:rsidRPr="00C406A0">
        <w:rPr>
          <w:rFonts w:ascii="Simplified Arabic" w:hAnsi="Simplified Arabic" w:cs="Simplified Arabic"/>
          <w:sz w:val="32"/>
          <w:szCs w:val="32"/>
          <w:vertAlign w:val="superscript"/>
        </w:rPr>
        <w:footnoteReference w:customMarkFollows="1" w:id="6"/>
        <w:t>*</w:t>
      </w:r>
    </w:p>
    <w:p w14:paraId="3CB1E44A" w14:textId="519190FF" w:rsidR="00A935EF" w:rsidRPr="00263F95" w:rsidRDefault="00263F95"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bidi="en-GB"/>
        </w:rPr>
      </w:pPr>
      <w:r w:rsidRPr="00263F95">
        <w:rPr>
          <w:rFonts w:ascii="Simplified Arabic" w:hAnsi="Simplified Arabic" w:cs="Simplified Arabic" w:hint="cs"/>
          <w:sz w:val="24"/>
          <w:szCs w:val="24"/>
          <w:rtl/>
        </w:rPr>
        <w:t xml:space="preserve">السيد </w:t>
      </w:r>
      <w:r w:rsidR="00A935EF" w:rsidRPr="00263F95">
        <w:rPr>
          <w:rFonts w:ascii="Simplified Arabic" w:hAnsi="Simplified Arabic" w:cs="Simplified Arabic"/>
          <w:sz w:val="24"/>
          <w:szCs w:val="24"/>
          <w:rtl/>
        </w:rPr>
        <w:t xml:space="preserve">الرئيس، الأطراف الموقرة، </w:t>
      </w:r>
    </w:p>
    <w:p w14:paraId="0F8FCE17"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باسم اللجنة التنفيذية للصندوق المتعدد الأطراف، يسرني أن أبلغ الأطراف بالخطوات التي قطعتها اللجنة التنفيذية منذ الاجتماع السادس والثلاثين للأطراف في عام 2024. وهناك مقرران يهيمنان على الصورة العامة كانا ثمرة لسنوات عديدة من المناقشات.</w:t>
      </w:r>
    </w:p>
    <w:p w14:paraId="1AE20EB7" w14:textId="77777777" w:rsidR="00A935EF" w:rsidRPr="00812612" w:rsidRDefault="00A935EF" w:rsidP="008D12FC">
      <w:pPr>
        <w:pStyle w:val="NormalNonumber"/>
        <w:numPr>
          <w:ilvl w:val="0"/>
          <w:numId w:val="24"/>
        </w:numPr>
        <w:tabs>
          <w:tab w:val="clear" w:pos="624"/>
          <w:tab w:val="clear" w:pos="1247"/>
          <w:tab w:val="clear" w:pos="1871"/>
          <w:tab w:val="clear" w:pos="2495"/>
          <w:tab w:val="clear" w:pos="3119"/>
          <w:tab w:val="clear" w:pos="3742"/>
          <w:tab w:val="clear" w:pos="4366"/>
          <w:tab w:val="clear" w:pos="4990"/>
          <w:tab w:val="left" w:pos="709"/>
        </w:tabs>
        <w:bidi/>
        <w:spacing w:after="100" w:line="360" w:lineRule="exact"/>
        <w:ind w:left="2552" w:hanging="709"/>
        <w:jc w:val="lowKashida"/>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أولاً، تنفيذ تعديل كيغالي من خلال الاتفاق على المبادئ التوجيهية المتعلقة بتكاليف التخفيض التدريجي لمركبات الكربون الهيدروفلورية في البلدان العاملة بالمادة 5 فيما يتعلق بالتكاليف الإضافية المؤهلة لقطاع التصنيع، بما في ذلك مستوى تمويلها، وكذلك الاتفاق على نقطة البداية للتخفيضات الإجمالية المستدامة في استهلاك مركبات الكربون الهيدروفلورية، استجابة لمقرركم 28/2؛ </w:t>
      </w:r>
    </w:p>
    <w:p w14:paraId="6D5B4B75" w14:textId="77777777" w:rsidR="00A935EF" w:rsidRPr="00812612" w:rsidRDefault="00A935EF" w:rsidP="008D12FC">
      <w:pPr>
        <w:pStyle w:val="NormalNonumber"/>
        <w:numPr>
          <w:ilvl w:val="0"/>
          <w:numId w:val="24"/>
        </w:numPr>
        <w:tabs>
          <w:tab w:val="clear" w:pos="624"/>
          <w:tab w:val="clear" w:pos="1247"/>
          <w:tab w:val="clear" w:pos="1871"/>
          <w:tab w:val="clear" w:pos="2495"/>
          <w:tab w:val="clear" w:pos="3119"/>
          <w:tab w:val="clear" w:pos="3742"/>
          <w:tab w:val="clear" w:pos="4366"/>
          <w:tab w:val="clear" w:pos="4990"/>
          <w:tab w:val="left" w:pos="709"/>
        </w:tabs>
        <w:bidi/>
        <w:spacing w:after="100" w:line="360" w:lineRule="exact"/>
        <w:ind w:left="2552" w:hanging="709"/>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ثانياً، الإطار التشغيلي للحفاظ على كفاءة الطاقة و/أو تعزيزها في التقنيات والمعدات البديلة في قطاع الصناعات التحويلية عند الخفض التدريجي لمركبات الكربون الهيدروفلورية، ومستويات تمويل هذه المشاريع، بما في ذلك طريقة تمويل مبتكرة متجددة للمستخدمين النهائيين. </w:t>
      </w:r>
    </w:p>
    <w:p w14:paraId="626AC48F"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وتقدم الوثيقة 37/8 وصفاً شاملاً لمداولات ونتائج عمل اللجنة خلال الفترة المشمولة بالتقرير، والمسائل السياساتية التي جرى البت فيها، والمشاريع التي تمت الموافقة عليها، وحالة تنفيذ المشاريع الجارية، فضلا عن تخطيط الأعمال والمسائل المالية والإدارية. أيضاً تقدم النشرة الإخبارية السنوية لأمانة الصندوق المتعدد الأطراف نظرة عامة على الإنجازات التي تحققت في عام 2024. </w:t>
      </w:r>
    </w:p>
    <w:p w14:paraId="350381EF"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وفي عرضي التقديمي، سأقدم لكم لمحة موجزة عن بعض المقررات. </w:t>
      </w:r>
    </w:p>
    <w:p w14:paraId="629C7B73"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وقد وافقت اللجنة التنفيذية سابقاً على المبادئ ومستويات التمويل المتعلقة بالتكاليف الإضافية المؤهلة لقطاع خدمات التبريد للمرحلة الأولى من خطط التنفيذ لمركبات الكربون الهيدروفلورية بموجب تعديل كيغالي. وفي الاجتماع الخامس والتسعين، توصلت اللجنة إلى اتفاق بشأن المبادئ التوجيهية المتعلقة بالتكاليف في قطاع الصناعات التحويلية، وفي الاجتماع السادس والتسعين، بشأن نقطة الانطلاق للتخفيضات الإجمالية المستدامة. وتضمن هذه المقررات التمويل وتشجع البلدان على تقديم خططها. وقد أدت هذه العملية، استجابة لمقرركم 28/2 إلى اختتام المفاوضات التي كانت جارية منذ عام 2017. </w:t>
      </w:r>
    </w:p>
    <w:p w14:paraId="2838CB83" w14:textId="1A49A6AE"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lowKashida"/>
        <w:textDirection w:val="tbRlV"/>
        <w:rPr>
          <w:rFonts w:ascii="Simplified Arabic" w:hAnsi="Simplified Arabic" w:cs="Simplified Arabic"/>
          <w:sz w:val="24"/>
          <w:szCs w:val="24"/>
          <w:rtl/>
          <w:lang w:val="en-US" w:eastAsia="zh-TW"/>
        </w:rPr>
      </w:pPr>
      <w:r w:rsidRPr="00812612">
        <w:rPr>
          <w:rFonts w:ascii="Simplified Arabic" w:hAnsi="Simplified Arabic" w:cs="Simplified Arabic"/>
          <w:sz w:val="24"/>
          <w:szCs w:val="24"/>
          <w:rtl/>
        </w:rPr>
        <w:t>وأعطيت الأولوية للمؤسسات الصغيرة والمتوسطة الحجم في المبادئ التوجيهية. وقد تحصل المؤسسات الصغيرة والمتوسطة الحجم العاملة في قطاعات رغوة البولي يوريثان والتبريد وتكييف الهواء على تمويل إضافي لدعم الامتثال. وتشجع المبادئ التوجيهية اتباع نهج مرن وقائم على البلدان، مما يسمح للبلدان العاملة بالمادة 5 بإعطاء الأولوية لمركبات الكربون الهيدروفلورية، وتحديد القطاعات، واختيار التكنولوجيات، وتكييف الاستراتيجيات مع الظروف الوطنية</w:t>
      </w:r>
      <w:r w:rsidR="003F1CA9" w:rsidRPr="00812612">
        <w:rPr>
          <w:rFonts w:ascii="Simplified Arabic" w:hAnsi="Simplified Arabic" w:cs="Simplified Arabic" w:hint="cs"/>
          <w:sz w:val="24"/>
          <w:szCs w:val="24"/>
          <w:rtl/>
        </w:rPr>
        <w:t>.</w:t>
      </w:r>
    </w:p>
    <w:p w14:paraId="25E4272D"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كذلك وافقت اللجنة على نموذج الاتفاق بين البلدان العاملة بالمادة 5 واللجنة للمرحلة الأولى من خطط التنفيذ لمركبات الكربون الهيدروفلورية بموجب تعديل كيغالي، ووافقت على التحقق من استهلاك مركبات الكربون الهيدروفلورية في البلدان ذات الاستهلاك المنخفض التي تمت الموافقة على المراحل الخاصة بها. ويمكن أيضًا </w:t>
      </w:r>
      <w:r w:rsidRPr="00812612">
        <w:rPr>
          <w:rFonts w:ascii="Simplified Arabic" w:hAnsi="Simplified Arabic" w:cs="Simplified Arabic"/>
          <w:sz w:val="24"/>
          <w:szCs w:val="24"/>
          <w:rtl/>
        </w:rPr>
        <w:lastRenderedPageBreak/>
        <w:t>إدراج البوليولات المسبقة المزج المستوردة في قطاع رغوة البولي يوريثان للتمويل في المرحلة الأولى من خطط التنفيذ لمركبات الكربون الهيدروفلورية بموجب تعديل كيغالي من أجل التخلص التدريجي منها بالكامل، وسيتم البت في تمويل استهلاك مركبات الكربون الهيدروفلورية في القطاع الفرعي للتركيب والتجميع المحلي على أساس كل حالة على حدة.</w:t>
      </w:r>
    </w:p>
    <w:p w14:paraId="3CBFA0DF"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وفيما يتعلق بالتخلص، اتخذت اللجنة بالفعل عدة قرارات وستواصل النظر في هذه المسألة في إطار مناقشة إدارة المواد المبردة طيلة دورة حياتها عملاً بالمقرر 35/11، في اجتماعها السابع والتسعين.</w:t>
      </w:r>
    </w:p>
    <w:p w14:paraId="1E8B5558"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lowKashida"/>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وبعد القرار الهام بشأن الإطار التشغيلي لتعزيز كفاءة الطاقة عند الخفض التدريجي لمركبات الكربون الهيدروفلورية، الذي تم الاتفاق عليه في الاجتماع الرابع والتسعين، وافقت اللجنة في اجتماعها الخامس والتسعين على آلية صندوق متجدد ابتكارية بنافذة تمويل قدره 40 مليون دولار من دولارات الولايات المتحدة. وستدعم هذه النافذة مشروعين تجريبيين في البلدان العاملة بالمادة 5، وهما مصممان لإنشاء صناديق متجددة للمستخدمين النهائيين في مجال كفاءة الطاقة. وبفضل هذه الآلية، ستُستخدم المدفوعات المستردة من المستفيدين لتجديد موارد الصناديق، مما يضمن دورة إضافية من الدعم المالي للمستفيدين الآخرين. وسيستمر المشروعان التجريبيان لمدة ثماني سنوات، وسيعيدان في نهاية المطاف الأموال إلى الصندوق المتعدد الأطراف، مما يزيد من تأثير الاستثمار الأولي إلى أقصى حد ممكن. وسيتم البت في اختيار هذين المشروعين التجريبيين في العام المقبل خلال الاجتماع الثامن والتسعين للجنة التنفيذية. </w:t>
      </w:r>
    </w:p>
    <w:p w14:paraId="6255CBA3"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وقد عُقدت جلسات لمدة نصف يوم بشأن النهج الاستراتيجية لتنفيذ تعديل كيغالي والمساهمة في التبريد المستدام في إطار الصندوق المتعدد الأطراف على هامش الاجتماعين الخامس والتسعين والسادس والتسعين بهدف تحديد الفرص العالية الأثر للصندوق لدعم الجهود التي تتجاوز الامتثال لتعديل كيغالي. وستُناقَش هذه المسألة بمزيد من التفصيل استناداً إلى وثيقة أعدتها أمانة الصندوق في الاجتماع الثامن والتسعين للجنة التنفيذية. </w:t>
      </w:r>
    </w:p>
    <w:p w14:paraId="10720EAD"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وفي الاجتماع نفسه، سيُنظر أيضا بشكل أعمق في التحديات المتعلقة بمسائل سلسلة الإمداد التي تصبح أكثر وضوحا عند تنفيذ المشروعين، استنادا إلى وثيقة أعدتها أمانة الصندوق. </w:t>
      </w:r>
    </w:p>
    <w:p w14:paraId="02A9A9E4"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وقررت اللجنة في اجتماعها السادس والتسعين أيضا النظر في إنشاء نافذة تمويل في الاجتماع الثامن والتسعين لثلاثة مشاريع تجريبية بهدف تعزيز الرصد الإقليمي في الغلاف الجوي للمواد الخاضعة للرقابة بموجب بروتوكول مونتريال، وطلبت إلى الأمانة إعداد مشروع مبادئ توجيهية لإعداد وتنفيذ هذين المشروعين التجريبيين. وهذا موضوع نوقش باستفاضة في الجزء التحضيري من هذا الاجتماع، وهو يُظهر مستوى التعاون القائم بين مختلف مؤسسات معاهدات الأوزون. </w:t>
      </w:r>
    </w:p>
    <w:p w14:paraId="41E7354B"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السيد الرئيس، الأطراف الموقرة، </w:t>
      </w:r>
    </w:p>
    <w:p w14:paraId="5DF45131"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في الفترة المشمولة بالتقرير هذه، وافقنا على مشاريع بقيمة 136,5 مليون دولار من دولارات الولايات المتحدة. ويعتمد نجاحنا على التنفيذ الميداني وعلى قدرة أولئك الذين يحتاجون إلى هذه الأموال على التكيف مع الأهداف البيئية لمعاهداتنا بأقل تأثير مالي واجتماعي. لذا، فقد حان الوقت لتوجيه الشكر إلى برنامج الأمم المتحدة الإنمائي وبرنامج الأمم المتحدة للبيئة ومنظمة الأمم المتحدة للتنمية الصناعية والبنك الدولي، وكذلك إلى الوكالات الثنائية، على عملهم المتفاني مع البلدان. </w:t>
      </w:r>
    </w:p>
    <w:p w14:paraId="00DBB892"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ويقدم برنامج الأمم المتحدة الإنمائي الدعم التقني إلى 47 بلداً لتحقيق أهدافها المتعلقة بمركبات الكربون الهيدروكلورية فلورية بموجب بروتوكول مونتريال، وقدم الدعم إلى 34 بلداً لإعداد خطط التنفيذ لمركبات الكربون الهيدروفلورية بموجب تعديل كيغالي الخاصة بها، وقد تم تقديم عدد 22 من هذه الخطط بالفعل، مع تعزيز بناء قدرات البلدان العاملة بالمادة 5 دعماً لتعديل كيغالي. وحصلت الوكالة على الموافقة لإعداد صندوق متجدد لتعزيز كفاءة الطاقة للمستخدمين النهائيين في قطاع السياحة في كولومبيا وغانا والأردن. كذلك أسفرت أعماله عن زيادة مشاركة المرأة في الدورات والاجتماعات المنظمة في إطار بروتوكول مونتريال.</w:t>
      </w:r>
    </w:p>
    <w:p w14:paraId="08445E82"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lastRenderedPageBreak/>
        <w:t>ويساعد برنامج الأمم المتحدة للبيئة 101 بلداً في تعزيز المؤسسات، ووضع السياسات والحصص، والإبلاغ عن البيانات، وقد يسر الامتثال من خلال الشبكات الإقليمية وأدوات مراكز تبادل المعلومات. وساعد برنامج الأمم المتحدة للبيئة 102 بلداً على تنفيذ خطط إدارة التخلص التدريجي من مركبات الكربون الهيدروكلورية فلورية وقدم الدعم لـ 50 بلداً على صعيد خطط التنفيذ لمركبات الكربون الهيدروفلورية بموجب تعديل كيغالي، بما في ذلك الترويج للتكنولوجيات الفعالة من حيث الطاقة ذات القدرة المنخفضة على إحداث الاحترار العالمي في قطاع خدمات التبريد. وقد أوليت عناية خاصة للبلدان ذات الاستخدام المنخفض من خلال تقديم المساعدة التقنية والسياساتية الملائمة. ويساعد برنامج الأمم المتحدة للبيئة 63 بلداً في إعداد قوائم جرد وخطط لإدارة أرصدة المواد الخاضعة للرقابة المستعملة أو غير المرغوب فيها.</w:t>
      </w:r>
    </w:p>
    <w:p w14:paraId="41EA4DCF" w14:textId="5FD2DDDA"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وتنفذ منظمة الأمم المتحدة للتنمية الصناعية (اليونيدو) خطط إدارة التخلص التدريجي من مركبات الكربون الهيدروكلورية فلورية في 68 بلداً، وخطط التنفيذ لمركبات الكربون الهيدروفلورية بموجب تعديل كيغالي في 22 بلداً، ومشاريع تنمية القدرات المؤسسية في 14 بلداً، وتدمير انبعاثات الناتج العرضي، </w:t>
      </w:r>
      <w:r w:rsidR="00705342" w:rsidRPr="00812612">
        <w:rPr>
          <w:rFonts w:ascii="Simplified Arabic" w:hAnsi="Simplified Arabic" w:cs="Simplified Arabic"/>
          <w:sz w:val="24"/>
          <w:szCs w:val="24"/>
          <w:rtl/>
        </w:rPr>
        <w:t>مركب الكربون الهيدروفلوري-23</w:t>
      </w:r>
      <w:r w:rsidRPr="00812612">
        <w:rPr>
          <w:rFonts w:ascii="Simplified Arabic" w:hAnsi="Simplified Arabic" w:cs="Simplified Arabic"/>
          <w:sz w:val="24"/>
          <w:szCs w:val="24"/>
          <w:rtl/>
        </w:rPr>
        <w:t xml:space="preserve"> في بلدين. وهناك ثلاثة مشاريع استثمارية في مجال مركبات الكربون الهيدروفلورية قيد التنفيذ في مجال تصنيع أجهزة تكييف الهواء في المناطق السكنية وأجهزة التبريد المنزلية والتجارية. وتواصل منظمة الأمم المتحدة للتنمية الصناعية دعم البلدان في إتمام عملية التخلص التدريجي من مركبات الكربون الهيدروكلورية فلورية والخفض التدريجي لمركبات الكربون الهيدروفلورية. ومن خلال نوافذ التمويل، تنفذ اليونيدو أنشطة تتعلق بكفاءة الطاقة في 11 بلداً من البلدان ذات الاستهلاك المنخفض، ومشاريع تجريبية في 14 بلداً، وجرداً لإدارة أرصدة المواد الخاضعة للرقابة المستعملة أو غير المرغوب فيها في 25 بلداً. </w:t>
      </w:r>
    </w:p>
    <w:p w14:paraId="54B7E676"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وواصل البنك الدولي المضي قدماً في إعداد خطط التنفيذ لمركبات الكربون الهيدروفلورية بموجب تعديل كيغالي التي تسعى إلى دمج جوانب مثل كفاءة الطاقة وإدارة دورة الحياة، بما يتماشى مع التزامه الأوسع نطاقاً بتعظيم الفوائد المناخية الإضافية. ويشمل ذلك الموافقة على مشروع تجريبي لتعزيز كفاءة الطاقة في التبريد التجاري إلى جانب التخفيض التدريجي لاستخدام مركبات الكربون الهيدروفلورية. وقد ساعد البنك البلدان من خلال تنظيم فعاليات لتبادل المعرفة وتقديم الدعم التقني والاستشاري، بما في ذلك توفير التوجيه بشأن تخصيص الحصص. وواصل البنك دعم البلدان لإنجاز المرحلة الثانية من خطة إدارة التخلص التدريجي من مركبات الكربون الهيدروكلورية فلورية والمرحلة الثانية من التخلص التدريجي من إنتاج مركبات الكربون الهيدروكلورية فلورية في بلد واحد. ويعد البنك مشاريع لدعم المستخدمين النهائيين في غرينادا وتايلند وتركيا في إطار آلية الصندوق المتجدد.</w:t>
      </w:r>
    </w:p>
    <w:p w14:paraId="2E112060"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السيد الرئيس، الأطراف الموقرة، </w:t>
      </w:r>
    </w:p>
    <w:p w14:paraId="6213BEBE" w14:textId="77777777" w:rsidR="00A935EF" w:rsidRPr="00812612" w:rsidRDefault="00A935EF" w:rsidP="00F6578E">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lowKashida"/>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 xml:space="preserve">يتمثل عمل الصندوق المتعدد الأطراف في تحويل الاقتصادات وتمكين الناس. وقد استثمر الصندوق في نقل التكنولوجيا والتدريب وبناء القدرات. ويتم إيجاد فرص عمل جديدة، وتحفيز الابتكار التكنولوجي في البلدان في جميع أنحاء العالم، مما يخلق وظائف جديدة ويحسن سبل العيش. </w:t>
      </w:r>
    </w:p>
    <w:p w14:paraId="2A895DE2"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اسمحوا لي أن أعرب عن خالص تقديري لأعضاء اللجنة التنفيذية على دعمهم لي في منصبي كرئيس، ولأمانة الصندوق، والوكالات الثنائية والمنفذة، على عملهم الدؤوب وتفانيهم في تحقيق أهدافنا المشتركة. وأود أن أشكر زميلتي السيدة ماريا أنتونيلا بارودي من الأرجنتين، التي تولت رئاسة أحد اجتماعات اللجنة التنفيذية منذ الاجتماع الأخير للأطراف.</w:t>
      </w:r>
    </w:p>
    <w:p w14:paraId="72E37F4A"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وأود أيضاً أن أشكر الأطراف على التزامها القوي بتنفيذ بروتوكول مونتريال وعلى التوجيهات التي تقدمونها إلى اللجنة التنفيذية.</w:t>
      </w:r>
    </w:p>
    <w:p w14:paraId="1C973212" w14:textId="77777777" w:rsidR="00A935EF" w:rsidRPr="00812612" w:rsidRDefault="00A935EF" w:rsidP="00C406A0">
      <w:pPr>
        <w:pStyle w:val="NormalNonumber"/>
        <w:tabs>
          <w:tab w:val="clear" w:pos="624"/>
          <w:tab w:val="clear" w:pos="1247"/>
          <w:tab w:val="clear" w:pos="1871"/>
          <w:tab w:val="clear" w:pos="2495"/>
          <w:tab w:val="clear" w:pos="3119"/>
          <w:tab w:val="clear" w:pos="3742"/>
          <w:tab w:val="clear" w:pos="4366"/>
          <w:tab w:val="clear" w:pos="4990"/>
        </w:tabs>
        <w:bidi/>
        <w:spacing w:after="100" w:line="360" w:lineRule="exact"/>
        <w:ind w:left="1134"/>
        <w:jc w:val="both"/>
        <w:textDirection w:val="tbRlV"/>
        <w:rPr>
          <w:rFonts w:ascii="Simplified Arabic" w:hAnsi="Simplified Arabic" w:cs="Simplified Arabic"/>
          <w:sz w:val="24"/>
          <w:szCs w:val="24"/>
          <w:rtl/>
          <w:lang w:val="ar-SA" w:eastAsia="zh-TW" w:bidi="en-GB"/>
        </w:rPr>
      </w:pPr>
      <w:r w:rsidRPr="00812612">
        <w:rPr>
          <w:rFonts w:ascii="Simplified Arabic" w:hAnsi="Simplified Arabic" w:cs="Simplified Arabic"/>
          <w:sz w:val="24"/>
          <w:szCs w:val="24"/>
          <w:rtl/>
        </w:rPr>
        <w:t>شكراً لكم</w:t>
      </w:r>
    </w:p>
    <w:p w14:paraId="18D3BB86" w14:textId="50F8247E" w:rsidR="00E603F9" w:rsidRPr="00812612" w:rsidRDefault="007229EF" w:rsidP="00951FEC">
      <w:pPr>
        <w:pStyle w:val="Normalnumber"/>
        <w:numPr>
          <w:ilvl w:val="0"/>
          <w:numId w:val="0"/>
        </w:numPr>
        <w:tabs>
          <w:tab w:val="clear" w:pos="1247"/>
          <w:tab w:val="clear" w:pos="1814"/>
          <w:tab w:val="clear" w:pos="2381"/>
          <w:tab w:val="clear" w:pos="2948"/>
          <w:tab w:val="clear" w:pos="3515"/>
        </w:tabs>
        <w:bidi/>
        <w:spacing w:before="480" w:after="100" w:line="360" w:lineRule="exact"/>
        <w:ind w:left="1134"/>
        <w:jc w:val="center"/>
        <w:textDirection w:val="tbRlV"/>
        <w:rPr>
          <w:rFonts w:ascii="Simplified Arabic" w:eastAsiaTheme="minorEastAsia" w:hAnsi="Simplified Arabic" w:hint="default"/>
          <w:sz w:val="24"/>
          <w:szCs w:val="24"/>
          <w:rtl/>
          <w:lang w:val="en-US" w:eastAsia="zh-TW"/>
        </w:rPr>
      </w:pPr>
      <w:r w:rsidRPr="00812612">
        <w:rPr>
          <w:rFonts w:ascii="Simplified Arabic" w:eastAsiaTheme="minorEastAsia" w:hAnsi="Simplified Arabic"/>
          <w:sz w:val="24"/>
          <w:szCs w:val="24"/>
          <w:rtl/>
          <w:lang w:val="en-US" w:eastAsia="zh-TW"/>
        </w:rPr>
        <w:t>____________</w:t>
      </w:r>
    </w:p>
    <w:sectPr w:rsidR="00E603F9" w:rsidRPr="00812612" w:rsidSect="00812612">
      <w:headerReference w:type="even" r:id="rId12"/>
      <w:headerReference w:type="default" r:id="rId13"/>
      <w:footerReference w:type="even" r:id="rId14"/>
      <w:footerReference w:type="default" r:id="rId15"/>
      <w:headerReference w:type="first" r:id="rId16"/>
      <w:footerReference w:type="first" r:id="rId17"/>
      <w:pgSz w:w="11907" w:h="16839" w:code="9"/>
      <w:pgMar w:top="907" w:right="1418" w:bottom="1418" w:left="992" w:header="539" w:footer="975" w:gutter="0"/>
      <w:cols w:space="539"/>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0280" w14:textId="77777777" w:rsidR="00232C22" w:rsidRPr="00C20895" w:rsidRDefault="00232C22">
      <w:pPr>
        <w:rPr>
          <w:rFonts w:hint="default"/>
        </w:rPr>
      </w:pPr>
      <w:r w:rsidRPr="00C20895">
        <w:separator/>
      </w:r>
    </w:p>
  </w:endnote>
  <w:endnote w:type="continuationSeparator" w:id="0">
    <w:p w14:paraId="78D53A43" w14:textId="77777777" w:rsidR="00232C22" w:rsidRPr="00C20895" w:rsidRDefault="00232C22">
      <w:pPr>
        <w:rPr>
          <w:rFonts w:hint="default"/>
        </w:rPr>
      </w:pPr>
      <w:r w:rsidRPr="00C20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ED7E" w14:textId="2C1D3363" w:rsidR="007A36F8" w:rsidRPr="00812612" w:rsidRDefault="00C20895" w:rsidP="00812612">
    <w:pPr>
      <w:pStyle w:val="Header"/>
      <w:pBdr>
        <w:bottom w:val="none" w:sz="0" w:space="0" w:color="auto"/>
      </w:pBdr>
      <w:tabs>
        <w:tab w:val="clear" w:pos="1247"/>
        <w:tab w:val="clear" w:pos="1814"/>
        <w:tab w:val="clear" w:pos="2381"/>
        <w:tab w:val="clear" w:pos="2948"/>
        <w:tab w:val="clear" w:pos="3515"/>
        <w:tab w:val="clear" w:pos="4536"/>
        <w:tab w:val="clear" w:pos="9072"/>
      </w:tabs>
      <w:bidi/>
      <w:rPr>
        <w:rFonts w:ascii="Times New Roman Bold" w:hAnsi="Times New Roman Bold" w:hint="eastAsia"/>
        <w:szCs w:val="18"/>
        <w:lang w:val="en-GB"/>
      </w:rPr>
    </w:pPr>
    <w:r w:rsidRPr="00812612">
      <w:rPr>
        <w:rFonts w:ascii="Times New Roman Bold" w:hAnsi="Times New Roman Bold"/>
        <w:szCs w:val="18"/>
        <w:lang w:val="en-GB"/>
      </w:rPr>
      <w:fldChar w:fldCharType="begin"/>
    </w:r>
    <w:r w:rsidRPr="00812612">
      <w:rPr>
        <w:rFonts w:ascii="Times New Roman Bold" w:hAnsi="Times New Roman Bold"/>
        <w:szCs w:val="18"/>
        <w:lang w:val="en-GB"/>
      </w:rPr>
      <w:instrText xml:space="preserve"> PAGE </w:instrText>
    </w:r>
    <w:r w:rsidRPr="00812612">
      <w:rPr>
        <w:rFonts w:ascii="Times New Roman Bold" w:hAnsi="Times New Roman Bold"/>
        <w:szCs w:val="18"/>
        <w:lang w:val="en-GB"/>
      </w:rPr>
      <w:fldChar w:fldCharType="separate"/>
    </w:r>
    <w:r w:rsidRPr="00812612">
      <w:rPr>
        <w:rFonts w:ascii="Times New Roman Bold" w:hAnsi="Times New Roman Bold"/>
        <w:szCs w:val="18"/>
        <w:lang w:val="en-GB"/>
      </w:rPr>
      <w:t>1</w:t>
    </w:r>
    <w:r w:rsidRPr="00812612">
      <w:rPr>
        <w:rFonts w:ascii="Times New Roman Bold" w:hAnsi="Times New Roman Bold"/>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3327" w14:textId="4625980E" w:rsidR="007A36F8" w:rsidRPr="00812612" w:rsidRDefault="00C20895" w:rsidP="00812612">
    <w:pPr>
      <w:pStyle w:val="Header"/>
      <w:pBdr>
        <w:bottom w:val="none" w:sz="0" w:space="0" w:color="auto"/>
      </w:pBdr>
      <w:tabs>
        <w:tab w:val="clear" w:pos="1247"/>
        <w:tab w:val="clear" w:pos="1814"/>
        <w:tab w:val="clear" w:pos="2381"/>
        <w:tab w:val="clear" w:pos="2948"/>
        <w:tab w:val="clear" w:pos="3515"/>
        <w:tab w:val="clear" w:pos="4536"/>
        <w:tab w:val="clear" w:pos="9072"/>
      </w:tabs>
      <w:bidi/>
      <w:jc w:val="right"/>
      <w:rPr>
        <w:rFonts w:ascii="Times New Roman Bold" w:hAnsi="Times New Roman Bold" w:hint="eastAsia"/>
        <w:szCs w:val="18"/>
        <w:lang w:val="en-GB"/>
      </w:rPr>
    </w:pPr>
    <w:r w:rsidRPr="00812612">
      <w:rPr>
        <w:rFonts w:ascii="Times New Roman Bold" w:hAnsi="Times New Roman Bold"/>
        <w:szCs w:val="18"/>
        <w:lang w:val="en-GB"/>
      </w:rPr>
      <w:fldChar w:fldCharType="begin"/>
    </w:r>
    <w:r w:rsidRPr="00812612">
      <w:rPr>
        <w:rFonts w:ascii="Times New Roman Bold" w:hAnsi="Times New Roman Bold"/>
        <w:szCs w:val="18"/>
        <w:lang w:val="en-GB"/>
      </w:rPr>
      <w:instrText xml:space="preserve"> PAGE \* MERGEFORMAT </w:instrText>
    </w:r>
    <w:r w:rsidRPr="00812612">
      <w:rPr>
        <w:rFonts w:ascii="Times New Roman Bold" w:hAnsi="Times New Roman Bold"/>
        <w:szCs w:val="18"/>
        <w:lang w:val="en-GB"/>
      </w:rPr>
      <w:fldChar w:fldCharType="separate"/>
    </w:r>
    <w:r w:rsidRPr="00812612">
      <w:rPr>
        <w:rFonts w:ascii="Times New Roman Bold" w:hAnsi="Times New Roman Bold"/>
        <w:szCs w:val="18"/>
        <w:lang w:val="en-GB"/>
      </w:rPr>
      <w:t>1</w:t>
    </w:r>
    <w:r w:rsidRPr="00812612">
      <w:rPr>
        <w:rFonts w:ascii="Times New Roman Bold" w:hAnsi="Times New Roman Bold"/>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47EE" w14:textId="5B43B8FD" w:rsidR="00555DB8" w:rsidRPr="00B00E77" w:rsidRDefault="00B00E77" w:rsidP="00B00E77">
    <w:pPr>
      <w:pStyle w:val="Footer"/>
      <w:tabs>
        <w:tab w:val="clear" w:pos="1814"/>
        <w:tab w:val="clear" w:pos="2381"/>
        <w:tab w:val="clear" w:pos="2948"/>
        <w:tab w:val="clear" w:pos="3515"/>
        <w:tab w:val="clear" w:pos="8641"/>
        <w:tab w:val="left" w:pos="1701"/>
      </w:tabs>
      <w:bidi/>
      <w:rPr>
        <w:rFonts w:asciiTheme="majorBidi" w:hAnsiTheme="majorBidi" w:cstheme="majorBidi" w:hint="default"/>
        <w:b w:val="0"/>
        <w:bCs/>
        <w:sz w:val="20"/>
        <w:szCs w:val="20"/>
        <w:lang w:val="en-GB"/>
      </w:rPr>
    </w:pPr>
    <w:r w:rsidRPr="00B00E77">
      <w:rPr>
        <w:rFonts w:asciiTheme="majorBidi" w:hAnsiTheme="majorBidi" w:cstheme="majorBidi" w:hint="default"/>
        <w:b w:val="0"/>
        <w:bCs/>
        <w:sz w:val="20"/>
        <w:szCs w:val="20"/>
        <w:lang w:val="en-GB"/>
      </w:rPr>
      <w:t>K251</w:t>
    </w:r>
    <w:r w:rsidR="00870B76">
      <w:rPr>
        <w:rFonts w:asciiTheme="majorBidi" w:hAnsiTheme="majorBidi" w:cstheme="majorBidi" w:hint="default"/>
        <w:b w:val="0"/>
        <w:bCs/>
        <w:sz w:val="20"/>
        <w:szCs w:val="20"/>
        <w:lang w:val="en-GB"/>
      </w:rPr>
      <w:t>8262</w:t>
    </w:r>
    <w:r w:rsidRPr="00B00E77">
      <w:rPr>
        <w:rFonts w:asciiTheme="majorBidi" w:hAnsiTheme="majorBidi" w:cstheme="majorBidi" w:hint="default"/>
        <w:b w:val="0"/>
        <w:bCs/>
        <w:sz w:val="20"/>
        <w:szCs w:val="20"/>
        <w:lang w:val="en-GB"/>
      </w:rPr>
      <w:t>[A]</w:t>
    </w:r>
    <w:r w:rsidRPr="00B00E77">
      <w:rPr>
        <w:rFonts w:asciiTheme="majorBidi" w:hAnsiTheme="majorBidi" w:cstheme="majorBidi" w:hint="default"/>
        <w:b w:val="0"/>
        <w:bCs/>
        <w:sz w:val="20"/>
        <w:szCs w:val="20"/>
        <w:lang w:val="en-GB"/>
      </w:rPr>
      <w:tab/>
    </w:r>
    <w:r w:rsidR="003C1A76">
      <w:rPr>
        <w:rFonts w:asciiTheme="majorBidi" w:hAnsiTheme="majorBidi" w:cstheme="majorBidi" w:hint="default"/>
        <w:b w:val="0"/>
        <w:bCs/>
        <w:sz w:val="20"/>
        <w:szCs w:val="20"/>
        <w:lang w:val="en-GB"/>
      </w:rPr>
      <w:t>250226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E78E" w14:textId="77777777" w:rsidR="00232C22" w:rsidRPr="00263F95" w:rsidRDefault="00232C22" w:rsidP="00263F95">
      <w:pPr>
        <w:pStyle w:val="Footnote-Separator"/>
        <w:tabs>
          <w:tab w:val="clear" w:pos="624"/>
          <w:tab w:val="clear" w:pos="1247"/>
          <w:tab w:val="clear" w:pos="1871"/>
          <w:tab w:val="clear" w:pos="2495"/>
          <w:tab w:val="clear" w:pos="3119"/>
          <w:tab w:val="clear" w:pos="3742"/>
          <w:tab w:val="clear" w:pos="4366"/>
          <w:tab w:val="clear" w:pos="4990"/>
        </w:tabs>
        <w:bidi/>
        <w:spacing w:before="0"/>
        <w:ind w:left="567"/>
        <w:rPr>
          <w:rFonts w:ascii="Simplified Arabic" w:hAnsi="Simplified Arabic" w:cs="Simplified Arabic"/>
          <w:b/>
          <w:bCs/>
          <w:sz w:val="20"/>
        </w:rPr>
      </w:pPr>
      <w:r w:rsidRPr="00263F95">
        <w:rPr>
          <w:rFonts w:ascii="Simplified Arabic" w:hAnsi="Simplified Arabic" w:cs="Simplified Arabic"/>
          <w:b/>
          <w:bCs/>
          <w:sz w:val="20"/>
        </w:rPr>
        <w:separator/>
      </w:r>
    </w:p>
  </w:footnote>
  <w:footnote w:type="continuationSeparator" w:id="0">
    <w:p w14:paraId="08901FBA" w14:textId="77777777" w:rsidR="00232C22" w:rsidRPr="00C20895" w:rsidRDefault="00232C22" w:rsidP="00C70B49">
      <w:pPr>
        <w:pStyle w:val="Footnote-Separator"/>
      </w:pPr>
      <w:r w:rsidRPr="00C20895">
        <w:continuationSeparator/>
      </w:r>
    </w:p>
  </w:footnote>
  <w:footnote w:type="continuationNotice" w:id="1">
    <w:p w14:paraId="3D7BB51F" w14:textId="77777777" w:rsidR="00232C22" w:rsidRPr="00C20895" w:rsidRDefault="00232C22" w:rsidP="00C70B49">
      <w:pPr>
        <w:pStyle w:val="ASpacer"/>
      </w:pPr>
    </w:p>
  </w:footnote>
  <w:footnote w:id="2">
    <w:p w14:paraId="333EE9D0" w14:textId="1591C1B9" w:rsidR="009D1165" w:rsidRPr="00263F95" w:rsidRDefault="00715DD2" w:rsidP="00263F95">
      <w:pPr>
        <w:pStyle w:val="FootnoteText"/>
        <w:keepLines/>
        <w:tabs>
          <w:tab w:val="clear" w:pos="1247"/>
          <w:tab w:val="clear" w:pos="1814"/>
          <w:tab w:val="clear" w:pos="2381"/>
          <w:tab w:val="clear" w:pos="2948"/>
          <w:tab w:val="clear" w:pos="3515"/>
        </w:tabs>
        <w:kinsoku w:val="0"/>
        <w:overflowPunct w:val="0"/>
        <w:autoSpaceDE w:val="0"/>
        <w:autoSpaceDN w:val="0"/>
        <w:bidi/>
        <w:spacing w:after="40" w:line="280" w:lineRule="exact"/>
        <w:ind w:left="1134"/>
        <w:jc w:val="both"/>
        <w:rPr>
          <w:rFonts w:ascii="Simplified Arabic" w:hAnsi="Simplified Arabic" w:hint="default"/>
          <w:szCs w:val="20"/>
          <w:rtl/>
        </w:rPr>
      </w:pPr>
      <w:r w:rsidRPr="00263F95">
        <w:rPr>
          <w:rFonts w:ascii="Simplified Arabic" w:hAnsi="Simplified Arabic"/>
          <w:szCs w:val="20"/>
          <w:rtl/>
        </w:rPr>
        <w:t>(</w:t>
      </w:r>
      <w:r w:rsidR="009D1165" w:rsidRPr="00263F95">
        <w:rPr>
          <w:rStyle w:val="FootnoteReference"/>
          <w:rFonts w:ascii="Simplified Arabic" w:hAnsi="Simplified Arabic" w:hint="default"/>
          <w:szCs w:val="20"/>
          <w:vertAlign w:val="baseline"/>
        </w:rPr>
        <w:footnoteRef/>
      </w:r>
      <w:r w:rsidRPr="00263F95">
        <w:rPr>
          <w:rFonts w:ascii="Simplified Arabic" w:hAnsi="Simplified Arabic"/>
          <w:szCs w:val="20"/>
          <w:rtl/>
        </w:rPr>
        <w:t>)</w:t>
      </w:r>
      <w:r w:rsidR="009D1165" w:rsidRPr="00263F95">
        <w:rPr>
          <w:rFonts w:ascii="Simplified Arabic" w:hAnsi="Simplified Arabic" w:hint="default"/>
          <w:szCs w:val="20"/>
        </w:rPr>
        <w:t xml:space="preserve"> </w:t>
      </w:r>
      <w:r w:rsidR="009679E2" w:rsidRPr="00263F95">
        <w:rPr>
          <w:rFonts w:ascii="Simplified Arabic" w:hAnsi="Simplified Arabic"/>
          <w:szCs w:val="20"/>
          <w:rtl/>
        </w:rPr>
        <w:t xml:space="preserve">أُجري </w:t>
      </w:r>
      <w:r w:rsidR="009679E2" w:rsidRPr="00263F95">
        <w:rPr>
          <w:rFonts w:ascii="Simplified Arabic" w:hAnsi="Simplified Arabic" w:hint="default"/>
          <w:szCs w:val="20"/>
          <w:rtl/>
        </w:rPr>
        <w:t>التصحيح لاحقا</w:t>
      </w:r>
      <w:r w:rsidR="009679E2" w:rsidRPr="00263F95">
        <w:rPr>
          <w:rFonts w:ascii="Simplified Arabic" w:hAnsi="Simplified Arabic"/>
          <w:szCs w:val="20"/>
          <w:rtl/>
        </w:rPr>
        <w:t>ً</w:t>
      </w:r>
      <w:r w:rsidR="009679E2" w:rsidRPr="00263F95">
        <w:rPr>
          <w:rFonts w:ascii="Simplified Arabic" w:hAnsi="Simplified Arabic" w:hint="default"/>
          <w:szCs w:val="20"/>
          <w:rtl/>
        </w:rPr>
        <w:t xml:space="preserve"> </w:t>
      </w:r>
      <w:r w:rsidR="00174B90" w:rsidRPr="00263F95">
        <w:rPr>
          <w:rFonts w:ascii="Simplified Arabic" w:hAnsi="Simplified Arabic"/>
          <w:szCs w:val="20"/>
          <w:rtl/>
        </w:rPr>
        <w:t>في</w:t>
      </w:r>
      <w:r w:rsidR="009679E2" w:rsidRPr="00263F95">
        <w:rPr>
          <w:rFonts w:ascii="Simplified Arabic" w:hAnsi="Simplified Arabic" w:hint="default"/>
          <w:szCs w:val="20"/>
          <w:rtl/>
        </w:rPr>
        <w:t xml:space="preserve"> شريحة العرض التقديمي </w:t>
      </w:r>
      <w:r w:rsidR="00174B90" w:rsidRPr="00263F95">
        <w:rPr>
          <w:rFonts w:ascii="Simplified Arabic" w:hAnsi="Simplified Arabic"/>
          <w:szCs w:val="20"/>
          <w:rtl/>
        </w:rPr>
        <w:t>وفي</w:t>
      </w:r>
      <w:r w:rsidR="009679E2" w:rsidRPr="00263F95">
        <w:rPr>
          <w:rFonts w:ascii="Simplified Arabic" w:hAnsi="Simplified Arabic" w:hint="default"/>
          <w:szCs w:val="20"/>
          <w:rtl/>
        </w:rPr>
        <w:t xml:space="preserve"> الفقرة 93 من هذا التقرير</w:t>
      </w:r>
      <w:r w:rsidR="009679E2" w:rsidRPr="00263F95">
        <w:rPr>
          <w:rFonts w:ascii="Simplified Arabic" w:hAnsi="Simplified Arabic" w:hint="default"/>
          <w:szCs w:val="20"/>
        </w:rPr>
        <w:t>.</w:t>
      </w:r>
    </w:p>
  </w:footnote>
  <w:footnote w:id="3">
    <w:p w14:paraId="6F689D80" w14:textId="126F6C85" w:rsidR="00A935EF" w:rsidRPr="00263F95" w:rsidRDefault="00715DD2" w:rsidP="00263F95">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en-US" w:eastAsia="zh-TW" w:bidi="en-GB"/>
        </w:rPr>
      </w:pPr>
      <w:r w:rsidRPr="00263F95">
        <w:rPr>
          <w:rFonts w:ascii="Simplified Arabic" w:hAnsi="Simplified Arabic" w:cs="Simplified Arabic" w:hint="cs"/>
          <w:sz w:val="20"/>
          <w:rtl/>
        </w:rPr>
        <w:t>(</w:t>
      </w:r>
      <w:r w:rsidR="00A935EF" w:rsidRPr="00263F95">
        <w:rPr>
          <w:rStyle w:val="FootnoteReference"/>
          <w:rFonts w:ascii="Simplified Arabic" w:hAnsi="Simplified Arabic" w:cs="Simplified Arabic"/>
          <w:szCs w:val="20"/>
          <w:vertAlign w:val="baseline"/>
          <w:rtl/>
        </w:rPr>
        <w:footnoteRef/>
      </w:r>
      <w:r w:rsidRPr="00263F95">
        <w:rPr>
          <w:rFonts w:ascii="Simplified Arabic" w:hAnsi="Simplified Arabic" w:cs="Simplified Arabic" w:hint="cs"/>
          <w:sz w:val="20"/>
          <w:rtl/>
        </w:rPr>
        <w:t>)</w:t>
      </w:r>
      <w:r w:rsidR="00A935EF" w:rsidRPr="00263F95">
        <w:rPr>
          <w:rFonts w:ascii="Simplified Arabic" w:hAnsi="Simplified Arabic" w:cs="Simplified Arabic"/>
          <w:sz w:val="20"/>
          <w:rtl/>
        </w:rPr>
        <w:t xml:space="preserve"> </w:t>
      </w:r>
      <w:hyperlink r:id="rId1" w:history="1">
        <w:r w:rsidR="001223FB">
          <w:rPr>
            <w:rStyle w:val="Hyperlink"/>
            <w:rFonts w:asciiTheme="majorBidi" w:hAnsiTheme="majorBidi" w:cstheme="majorBidi"/>
            <w:w w:val="97"/>
            <w:sz w:val="17"/>
            <w:szCs w:val="17"/>
          </w:rPr>
          <w:t>https://ozone.unep.org/system/files/documents/IM_concept-note-and-provisional-programme_final-draft_for-posting.pdf</w:t>
        </w:r>
      </w:hyperlink>
      <w:r w:rsidR="00A935EF" w:rsidRPr="00263F95">
        <w:rPr>
          <w:rFonts w:ascii="Simplified Arabic" w:hAnsi="Simplified Arabic" w:cs="Simplified Arabic"/>
          <w:sz w:val="20"/>
          <w:rtl/>
        </w:rPr>
        <w:t>.</w:t>
      </w:r>
      <w:hyperlink r:id="rId2" w:history="1"/>
    </w:p>
  </w:footnote>
  <w:footnote w:id="4">
    <w:p w14:paraId="1B6F23D9" w14:textId="2F3D4DEB" w:rsidR="00A935EF" w:rsidRPr="00263F95" w:rsidRDefault="00715DD2" w:rsidP="00263F95">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en-US" w:eastAsia="zh-TW" w:bidi="en-GB"/>
        </w:rPr>
      </w:pPr>
      <w:r w:rsidRPr="00263F95">
        <w:rPr>
          <w:rFonts w:ascii="Simplified Arabic" w:hAnsi="Simplified Arabic" w:cs="Simplified Arabic" w:hint="cs"/>
          <w:sz w:val="20"/>
          <w:rtl/>
        </w:rPr>
        <w:t>(</w:t>
      </w:r>
      <w:r w:rsidR="00A935EF" w:rsidRPr="00263F95">
        <w:rPr>
          <w:rStyle w:val="FootnoteReference"/>
          <w:rFonts w:ascii="Simplified Arabic" w:hAnsi="Simplified Arabic" w:cs="Simplified Arabic"/>
          <w:szCs w:val="20"/>
          <w:vertAlign w:val="baseline"/>
          <w:rtl/>
        </w:rPr>
        <w:footnoteRef/>
      </w:r>
      <w:r w:rsidRPr="00263F95">
        <w:rPr>
          <w:rFonts w:ascii="Simplified Arabic" w:hAnsi="Simplified Arabic" w:cs="Simplified Arabic" w:hint="cs"/>
          <w:sz w:val="20"/>
          <w:rtl/>
        </w:rPr>
        <w:t>)</w:t>
      </w:r>
      <w:r w:rsidR="00A935EF" w:rsidRPr="00263F95">
        <w:rPr>
          <w:rFonts w:ascii="Simplified Arabic" w:hAnsi="Simplified Arabic" w:cs="Simplified Arabic"/>
          <w:sz w:val="20"/>
          <w:rtl/>
        </w:rPr>
        <w:t xml:space="preserve"> </w:t>
      </w:r>
      <w:hyperlink r:id="rId3" w:history="1">
        <w:r w:rsidR="001223FB">
          <w:rPr>
            <w:rStyle w:val="Hyperlink"/>
            <w:rFonts w:asciiTheme="majorBidi" w:hAnsiTheme="majorBidi" w:cstheme="majorBidi"/>
            <w:sz w:val="17"/>
            <w:szCs w:val="17"/>
          </w:rPr>
          <w:t>https://ozone.unep.org/meetings/informal-meeting-facilitating-implementation-montreal-protocol/presentations</w:t>
        </w:r>
      </w:hyperlink>
      <w:r w:rsidR="00A935EF" w:rsidRPr="00263F95">
        <w:rPr>
          <w:rFonts w:ascii="Simplified Arabic" w:hAnsi="Simplified Arabic" w:cs="Simplified Arabic"/>
          <w:sz w:val="20"/>
          <w:rtl/>
        </w:rPr>
        <w:t>.</w:t>
      </w:r>
    </w:p>
  </w:footnote>
  <w:footnote w:id="5">
    <w:p w14:paraId="11BF087D" w14:textId="77777777" w:rsidR="00A935EF" w:rsidRPr="00263F95" w:rsidRDefault="00A935EF" w:rsidP="00263F95">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sidRPr="00263F95">
        <w:rPr>
          <w:rFonts w:ascii="Simplified Arabic" w:hAnsi="Simplified Arabic" w:cs="Simplified Arabic"/>
          <w:sz w:val="20"/>
          <w:rtl/>
        </w:rPr>
        <w:t>* تُعرض الموجزات بالصيغة التي وردت بها، من دون تحرير رسمي.</w:t>
      </w:r>
    </w:p>
  </w:footnote>
  <w:footnote w:id="6">
    <w:p w14:paraId="42159B41" w14:textId="0AA5DF70" w:rsidR="003F1CA9" w:rsidRPr="00263F95" w:rsidRDefault="003F1CA9" w:rsidP="00263F95">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rPr>
          <w:rFonts w:ascii="Simplified Arabic" w:hAnsi="Simplified Arabic" w:cs="Simplified Arabic"/>
          <w:sz w:val="20"/>
          <w:rtl/>
          <w:lang w:val="en-US"/>
        </w:rPr>
      </w:pPr>
      <w:r w:rsidRPr="00263F95">
        <w:rPr>
          <w:rStyle w:val="FootnoteReference"/>
          <w:rFonts w:ascii="Simplified Arabic" w:hAnsi="Simplified Arabic" w:cs="Simplified Arabic"/>
          <w:szCs w:val="20"/>
          <w:vertAlign w:val="baseline"/>
        </w:rPr>
        <w:t>*</w:t>
      </w:r>
      <w:r w:rsidRPr="00263F95">
        <w:rPr>
          <w:rFonts w:ascii="Simplified Arabic" w:hAnsi="Simplified Arabic" w:cs="Simplified Arabic" w:hint="cs"/>
          <w:sz w:val="20"/>
          <w:rtl/>
          <w:lang w:val="en-US"/>
        </w:rPr>
        <w:t xml:space="preserve"> </w:t>
      </w:r>
      <w:r w:rsidR="003B6AB5" w:rsidRPr="00263F95">
        <w:rPr>
          <w:rFonts w:ascii="Simplified Arabic" w:hAnsi="Simplified Arabic" w:cs="Simplified Arabic"/>
          <w:sz w:val="20"/>
          <w:rtl/>
        </w:rPr>
        <w:t>يعرض البيان بالصيغة التي ورد بها، من دون تحرير رسمي</w:t>
      </w:r>
      <w:r w:rsidR="00715DD2" w:rsidRPr="00263F95">
        <w:rPr>
          <w:rFonts w:ascii="Simplified Arabic" w:hAnsi="Simplified Arabic" w:cs="Simplified Arabic" w:hint="cs"/>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DC9F" w14:textId="1B6C5756" w:rsidR="007A36F8" w:rsidRPr="00812612" w:rsidRDefault="00086C60" w:rsidP="00812612">
    <w:pPr>
      <w:pStyle w:val="Header"/>
      <w:tabs>
        <w:tab w:val="clear" w:pos="1247"/>
        <w:tab w:val="clear" w:pos="1814"/>
        <w:tab w:val="clear" w:pos="2381"/>
        <w:tab w:val="clear" w:pos="2948"/>
        <w:tab w:val="clear" w:pos="3515"/>
        <w:tab w:val="clear" w:pos="4536"/>
        <w:tab w:val="clear" w:pos="9072"/>
      </w:tabs>
      <w:bidi/>
      <w:rPr>
        <w:rFonts w:ascii="Times New Roman Bold" w:hAnsi="Times New Roman Bold" w:hint="eastAsia"/>
        <w:sz w:val="17"/>
        <w:szCs w:val="17"/>
        <w:lang w:val="en-GB"/>
      </w:rPr>
    </w:pPr>
    <w:r w:rsidRPr="00812612">
      <w:rPr>
        <w:rFonts w:ascii="Times New Roman Bold" w:hAnsi="Times New Roman Bold" w:hint="default"/>
        <w:sz w:val="17"/>
        <w:szCs w:val="17"/>
        <w:lang w:val="en-GB"/>
      </w:rPr>
      <w:t>UNEP/OzL.Pro.37/</w:t>
    </w:r>
    <w:r w:rsidR="0012767C" w:rsidRPr="00812612">
      <w:rPr>
        <w:rFonts w:ascii="Times New Roman Bold" w:hAnsi="Times New Roman Bold" w:hint="default"/>
        <w:sz w:val="17"/>
        <w:szCs w:val="17"/>
        <w:lang w:val="en-GB"/>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4E3" w14:textId="6F2E0A12" w:rsidR="007A36F8" w:rsidRPr="00812612" w:rsidRDefault="00086C60" w:rsidP="00812612">
    <w:pPr>
      <w:pStyle w:val="Header"/>
      <w:tabs>
        <w:tab w:val="clear" w:pos="1247"/>
        <w:tab w:val="clear" w:pos="1814"/>
        <w:tab w:val="clear" w:pos="2381"/>
        <w:tab w:val="clear" w:pos="2948"/>
        <w:tab w:val="clear" w:pos="3515"/>
        <w:tab w:val="clear" w:pos="4536"/>
        <w:tab w:val="clear" w:pos="9072"/>
      </w:tabs>
      <w:bidi/>
      <w:jc w:val="right"/>
      <w:rPr>
        <w:rFonts w:ascii="Times New Roman Bold" w:hAnsi="Times New Roman Bold" w:hint="eastAsia"/>
        <w:sz w:val="17"/>
        <w:szCs w:val="17"/>
        <w:lang w:val="en-GB"/>
      </w:rPr>
    </w:pPr>
    <w:r w:rsidRPr="00812612">
      <w:rPr>
        <w:rFonts w:ascii="Times New Roman Bold" w:hAnsi="Times New Roman Bold" w:hint="default"/>
        <w:sz w:val="17"/>
        <w:szCs w:val="17"/>
        <w:lang w:val="en-GB"/>
      </w:rPr>
      <w:t>UNEP/OzL.Pro.37/</w:t>
    </w:r>
    <w:r w:rsidR="0012767C" w:rsidRPr="00812612">
      <w:rPr>
        <w:rFonts w:ascii="Times New Roman Bold" w:hAnsi="Times New Roman Bold" w:hint="default"/>
        <w:sz w:val="17"/>
        <w:szCs w:val="17"/>
        <w:lang w:val="en-G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2EF3" w14:textId="77777777" w:rsidR="00555DB8" w:rsidRDefault="00555DB8" w:rsidP="00086C60">
    <w:pPr>
      <w:pStyle w:val="Header"/>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0E92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7AC0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AE51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6ED1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6C74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C28A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84BC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2AE8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BC11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6EB0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61C19"/>
    <w:multiLevelType w:val="hybridMultilevel"/>
    <w:tmpl w:val="5C0EF69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090F3355"/>
    <w:multiLevelType w:val="singleLevel"/>
    <w:tmpl w:val="676ADECA"/>
    <w:lvl w:ilvl="0">
      <w:start w:val="1"/>
      <w:numFmt w:val="decimal"/>
      <w:pStyle w:val="StyleLevel1After6ptLinespacingsingle"/>
      <w:lvlText w:val="%1."/>
      <w:lvlJc w:val="left"/>
      <w:pPr>
        <w:tabs>
          <w:tab w:val="num" w:pos="360"/>
        </w:tabs>
        <w:ind w:left="0" w:firstLine="0"/>
      </w:pPr>
      <w:rPr>
        <w:rFonts w:ascii="Times New Roman" w:hAnsi="Times New Roman" w:hint="default"/>
        <w:b w:val="0"/>
        <w:i w:val="0"/>
        <w:sz w:val="22"/>
      </w:rPr>
    </w:lvl>
  </w:abstractNum>
  <w:abstractNum w:abstractNumId="13"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20811F57"/>
    <w:multiLevelType w:val="hybridMultilevel"/>
    <w:tmpl w:val="FEDE37BE"/>
    <w:lvl w:ilvl="0" w:tplc="FFFFFFFF">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 w15:restartNumberingAfterBreak="0">
    <w:nsid w:val="230943BF"/>
    <w:multiLevelType w:val="hybridMultilevel"/>
    <w:tmpl w:val="840E8876"/>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414FC"/>
    <w:multiLevelType w:val="hybridMultilevel"/>
    <w:tmpl w:val="8932E5B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FC1D4A"/>
    <w:multiLevelType w:val="hybridMultilevel"/>
    <w:tmpl w:val="C324D48C"/>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9" w15:restartNumberingAfterBreak="0">
    <w:nsid w:val="48C203A3"/>
    <w:multiLevelType w:val="hybridMultilevel"/>
    <w:tmpl w:val="75BAE14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512B27B0"/>
    <w:multiLevelType w:val="hybridMultilevel"/>
    <w:tmpl w:val="38EE59C4"/>
    <w:lvl w:ilvl="0" w:tplc="091E1222">
      <w:start w:val="1"/>
      <w:numFmt w:val="decimal"/>
      <w:lvlText w:val="%1-"/>
      <w:lvlJc w:val="left"/>
      <w:pPr>
        <w:ind w:left="2486" w:hanging="360"/>
      </w:pPr>
      <w:rPr>
        <w:rFonts w:ascii="Simplified Arabic" w:hAnsi="Simplified Arabic" w:cs="Simplified Arabic" w:hint="default"/>
        <w:sz w:val="24"/>
        <w:szCs w:val="24"/>
        <w:lang w:bidi="ar-SA"/>
      </w:rPr>
    </w:lvl>
    <w:lvl w:ilvl="1" w:tplc="100C0019" w:tentative="1">
      <w:start w:val="1"/>
      <w:numFmt w:val="lowerLetter"/>
      <w:lvlText w:val="%2."/>
      <w:lvlJc w:val="left"/>
      <w:pPr>
        <w:ind w:left="2688" w:hanging="360"/>
      </w:pPr>
    </w:lvl>
    <w:lvl w:ilvl="2" w:tplc="100C001B" w:tentative="1">
      <w:start w:val="1"/>
      <w:numFmt w:val="lowerRoman"/>
      <w:lvlText w:val="%3."/>
      <w:lvlJc w:val="right"/>
      <w:pPr>
        <w:ind w:left="3408" w:hanging="180"/>
      </w:pPr>
    </w:lvl>
    <w:lvl w:ilvl="3" w:tplc="100C000F" w:tentative="1">
      <w:start w:val="1"/>
      <w:numFmt w:val="decimal"/>
      <w:lvlText w:val="%4."/>
      <w:lvlJc w:val="left"/>
      <w:pPr>
        <w:ind w:left="4128" w:hanging="360"/>
      </w:pPr>
    </w:lvl>
    <w:lvl w:ilvl="4" w:tplc="100C0019" w:tentative="1">
      <w:start w:val="1"/>
      <w:numFmt w:val="lowerLetter"/>
      <w:lvlText w:val="%5."/>
      <w:lvlJc w:val="left"/>
      <w:pPr>
        <w:ind w:left="4848" w:hanging="360"/>
      </w:pPr>
    </w:lvl>
    <w:lvl w:ilvl="5" w:tplc="100C001B" w:tentative="1">
      <w:start w:val="1"/>
      <w:numFmt w:val="lowerRoman"/>
      <w:lvlText w:val="%6."/>
      <w:lvlJc w:val="right"/>
      <w:pPr>
        <w:ind w:left="5568" w:hanging="180"/>
      </w:pPr>
    </w:lvl>
    <w:lvl w:ilvl="6" w:tplc="100C000F" w:tentative="1">
      <w:start w:val="1"/>
      <w:numFmt w:val="decimal"/>
      <w:lvlText w:val="%7."/>
      <w:lvlJc w:val="left"/>
      <w:pPr>
        <w:ind w:left="6288" w:hanging="360"/>
      </w:pPr>
    </w:lvl>
    <w:lvl w:ilvl="7" w:tplc="100C0019" w:tentative="1">
      <w:start w:val="1"/>
      <w:numFmt w:val="lowerLetter"/>
      <w:lvlText w:val="%8."/>
      <w:lvlJc w:val="left"/>
      <w:pPr>
        <w:ind w:left="7008" w:hanging="360"/>
      </w:pPr>
    </w:lvl>
    <w:lvl w:ilvl="8" w:tplc="100C001B" w:tentative="1">
      <w:start w:val="1"/>
      <w:numFmt w:val="lowerRoman"/>
      <w:lvlText w:val="%9."/>
      <w:lvlJc w:val="right"/>
      <w:pPr>
        <w:ind w:left="7728" w:hanging="180"/>
      </w:pPr>
    </w:lvl>
  </w:abstractNum>
  <w:abstractNum w:abstractNumId="21" w15:restartNumberingAfterBreak="0">
    <w:nsid w:val="52A66A9D"/>
    <w:multiLevelType w:val="multilevel"/>
    <w:tmpl w:val="DBD405E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2" w15:restartNumberingAfterBreak="0">
    <w:nsid w:val="534F4ABB"/>
    <w:multiLevelType w:val="hybridMultilevel"/>
    <w:tmpl w:val="EEA01DEC"/>
    <w:lvl w:ilvl="0" w:tplc="48BA82D4">
      <w:start w:val="1"/>
      <w:numFmt w:val="decimal"/>
      <w:lvlText w:val="%1-"/>
      <w:lvlJc w:val="left"/>
      <w:pPr>
        <w:ind w:left="1968" w:hanging="360"/>
      </w:pPr>
      <w:rPr>
        <w:rFonts w:hint="default"/>
        <w:sz w:val="24"/>
        <w:szCs w:val="24"/>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3"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242644713">
    <w:abstractNumId w:val="23"/>
  </w:num>
  <w:num w:numId="2" w16cid:durableId="1933662228">
    <w:abstractNumId w:val="17"/>
  </w:num>
  <w:num w:numId="3" w16cid:durableId="1991909117">
    <w:abstractNumId w:val="10"/>
  </w:num>
  <w:num w:numId="4" w16cid:durableId="1138956019">
    <w:abstractNumId w:val="13"/>
  </w:num>
  <w:num w:numId="5" w16cid:durableId="613561673">
    <w:abstractNumId w:val="9"/>
  </w:num>
  <w:num w:numId="6" w16cid:durableId="1851675114">
    <w:abstractNumId w:val="7"/>
  </w:num>
  <w:num w:numId="7" w16cid:durableId="131288331">
    <w:abstractNumId w:val="6"/>
  </w:num>
  <w:num w:numId="8" w16cid:durableId="2018312553">
    <w:abstractNumId w:val="5"/>
  </w:num>
  <w:num w:numId="9" w16cid:durableId="322438105">
    <w:abstractNumId w:val="4"/>
  </w:num>
  <w:num w:numId="10" w16cid:durableId="1639918952">
    <w:abstractNumId w:val="8"/>
  </w:num>
  <w:num w:numId="11" w16cid:durableId="1439835462">
    <w:abstractNumId w:val="3"/>
  </w:num>
  <w:num w:numId="12" w16cid:durableId="26951412">
    <w:abstractNumId w:val="2"/>
  </w:num>
  <w:num w:numId="13" w16cid:durableId="1818179073">
    <w:abstractNumId w:val="1"/>
  </w:num>
  <w:num w:numId="14" w16cid:durableId="2058820549">
    <w:abstractNumId w:val="0"/>
  </w:num>
  <w:num w:numId="15" w16cid:durableId="9377582">
    <w:abstractNumId w:val="21"/>
  </w:num>
  <w:num w:numId="16" w16cid:durableId="1293904655">
    <w:abstractNumId w:val="12"/>
  </w:num>
  <w:num w:numId="17" w16cid:durableId="1466969096">
    <w:abstractNumId w:val="20"/>
  </w:num>
  <w:num w:numId="18" w16cid:durableId="1246376327">
    <w:abstractNumId w:val="22"/>
  </w:num>
  <w:num w:numId="19" w16cid:durableId="1967930592">
    <w:abstractNumId w:val="16"/>
  </w:num>
  <w:num w:numId="20" w16cid:durableId="1309476258">
    <w:abstractNumId w:val="19"/>
  </w:num>
  <w:num w:numId="21" w16cid:durableId="1866400941">
    <w:abstractNumId w:val="15"/>
  </w:num>
  <w:num w:numId="22" w16cid:durableId="1831479158">
    <w:abstractNumId w:val="11"/>
  </w:num>
  <w:num w:numId="23" w16cid:durableId="1339961343">
    <w:abstractNumId w:val="21"/>
  </w:num>
  <w:num w:numId="24" w16cid:durableId="143157483">
    <w:abstractNumId w:val="18"/>
  </w:num>
  <w:num w:numId="25" w16cid:durableId="13221461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ar-SA"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9D"/>
    <w:rsid w:val="0000316B"/>
    <w:rsid w:val="0000641A"/>
    <w:rsid w:val="00006F54"/>
    <w:rsid w:val="00011108"/>
    <w:rsid w:val="000133CA"/>
    <w:rsid w:val="000149E6"/>
    <w:rsid w:val="0001678B"/>
    <w:rsid w:val="00016AF3"/>
    <w:rsid w:val="000208C8"/>
    <w:rsid w:val="00020FDD"/>
    <w:rsid w:val="00022951"/>
    <w:rsid w:val="000247B0"/>
    <w:rsid w:val="000262AE"/>
    <w:rsid w:val="00026997"/>
    <w:rsid w:val="0003344F"/>
    <w:rsid w:val="00033E0B"/>
    <w:rsid w:val="00034DCC"/>
    <w:rsid w:val="00035EDE"/>
    <w:rsid w:val="00043A42"/>
    <w:rsid w:val="000444ED"/>
    <w:rsid w:val="00046DA0"/>
    <w:rsid w:val="000509B4"/>
    <w:rsid w:val="00052EA7"/>
    <w:rsid w:val="0005351A"/>
    <w:rsid w:val="00056B2C"/>
    <w:rsid w:val="0006035B"/>
    <w:rsid w:val="00065652"/>
    <w:rsid w:val="00067B22"/>
    <w:rsid w:val="0007166E"/>
    <w:rsid w:val="00071886"/>
    <w:rsid w:val="000742BC"/>
    <w:rsid w:val="000763EA"/>
    <w:rsid w:val="0008041D"/>
    <w:rsid w:val="00082A0C"/>
    <w:rsid w:val="00082DCD"/>
    <w:rsid w:val="00083504"/>
    <w:rsid w:val="00083DE3"/>
    <w:rsid w:val="00086C60"/>
    <w:rsid w:val="0008710B"/>
    <w:rsid w:val="000917AA"/>
    <w:rsid w:val="00095120"/>
    <w:rsid w:val="00095C0E"/>
    <w:rsid w:val="0009640C"/>
    <w:rsid w:val="000969B3"/>
    <w:rsid w:val="000A09C5"/>
    <w:rsid w:val="000A69AA"/>
    <w:rsid w:val="000A722A"/>
    <w:rsid w:val="000B21D5"/>
    <w:rsid w:val="000B22A2"/>
    <w:rsid w:val="000B312F"/>
    <w:rsid w:val="000B40BC"/>
    <w:rsid w:val="000C2A52"/>
    <w:rsid w:val="000C2F33"/>
    <w:rsid w:val="000C3DA1"/>
    <w:rsid w:val="000C46A9"/>
    <w:rsid w:val="000C7935"/>
    <w:rsid w:val="000D3022"/>
    <w:rsid w:val="000D33C0"/>
    <w:rsid w:val="000D5884"/>
    <w:rsid w:val="000D62C0"/>
    <w:rsid w:val="000D6941"/>
    <w:rsid w:val="000D6CB9"/>
    <w:rsid w:val="000D71B6"/>
    <w:rsid w:val="000E0405"/>
    <w:rsid w:val="000E143C"/>
    <w:rsid w:val="000E278E"/>
    <w:rsid w:val="000E3301"/>
    <w:rsid w:val="000E5476"/>
    <w:rsid w:val="000E6418"/>
    <w:rsid w:val="000E6704"/>
    <w:rsid w:val="000F1BC3"/>
    <w:rsid w:val="000F2D3B"/>
    <w:rsid w:val="000F6CFF"/>
    <w:rsid w:val="00100D79"/>
    <w:rsid w:val="00101A3B"/>
    <w:rsid w:val="0010479A"/>
    <w:rsid w:val="00106988"/>
    <w:rsid w:val="0010798F"/>
    <w:rsid w:val="001108C5"/>
    <w:rsid w:val="00110E23"/>
    <w:rsid w:val="001112F2"/>
    <w:rsid w:val="00115260"/>
    <w:rsid w:val="001152A2"/>
    <w:rsid w:val="00115934"/>
    <w:rsid w:val="00115F73"/>
    <w:rsid w:val="001202E3"/>
    <w:rsid w:val="00120EB5"/>
    <w:rsid w:val="001223FB"/>
    <w:rsid w:val="00123699"/>
    <w:rsid w:val="00124648"/>
    <w:rsid w:val="00126E6A"/>
    <w:rsid w:val="0012767C"/>
    <w:rsid w:val="00127B23"/>
    <w:rsid w:val="0013059D"/>
    <w:rsid w:val="00131E1C"/>
    <w:rsid w:val="00134B18"/>
    <w:rsid w:val="00134C0B"/>
    <w:rsid w:val="0013771F"/>
    <w:rsid w:val="0014083A"/>
    <w:rsid w:val="00141A55"/>
    <w:rsid w:val="00141F2F"/>
    <w:rsid w:val="001424E5"/>
    <w:rsid w:val="00143240"/>
    <w:rsid w:val="001446A3"/>
    <w:rsid w:val="00144B69"/>
    <w:rsid w:val="001523B7"/>
    <w:rsid w:val="001531D0"/>
    <w:rsid w:val="00155395"/>
    <w:rsid w:val="0015660D"/>
    <w:rsid w:val="00164176"/>
    <w:rsid w:val="0017061C"/>
    <w:rsid w:val="00171377"/>
    <w:rsid w:val="00172E6C"/>
    <w:rsid w:val="00173D27"/>
    <w:rsid w:val="00174739"/>
    <w:rsid w:val="00174B90"/>
    <w:rsid w:val="001767B1"/>
    <w:rsid w:val="00176DE1"/>
    <w:rsid w:val="0018127C"/>
    <w:rsid w:val="001813CF"/>
    <w:rsid w:val="00181EC8"/>
    <w:rsid w:val="00181FC0"/>
    <w:rsid w:val="00183A5C"/>
    <w:rsid w:val="00184349"/>
    <w:rsid w:val="00185539"/>
    <w:rsid w:val="001867EB"/>
    <w:rsid w:val="00187CEF"/>
    <w:rsid w:val="0019161E"/>
    <w:rsid w:val="00191E69"/>
    <w:rsid w:val="001942F2"/>
    <w:rsid w:val="00195F33"/>
    <w:rsid w:val="00195FEC"/>
    <w:rsid w:val="00197C63"/>
    <w:rsid w:val="001A1AA1"/>
    <w:rsid w:val="001A529D"/>
    <w:rsid w:val="001A5EE1"/>
    <w:rsid w:val="001A7FF9"/>
    <w:rsid w:val="001B06CA"/>
    <w:rsid w:val="001B1617"/>
    <w:rsid w:val="001B504B"/>
    <w:rsid w:val="001B74DF"/>
    <w:rsid w:val="001B7BFA"/>
    <w:rsid w:val="001C0A74"/>
    <w:rsid w:val="001C29FC"/>
    <w:rsid w:val="001C406A"/>
    <w:rsid w:val="001C629E"/>
    <w:rsid w:val="001C68CE"/>
    <w:rsid w:val="001C714B"/>
    <w:rsid w:val="001C799D"/>
    <w:rsid w:val="001D3874"/>
    <w:rsid w:val="001D4704"/>
    <w:rsid w:val="001D5344"/>
    <w:rsid w:val="001D6ED8"/>
    <w:rsid w:val="001D731A"/>
    <w:rsid w:val="001D7E75"/>
    <w:rsid w:val="001E047A"/>
    <w:rsid w:val="001E0C0C"/>
    <w:rsid w:val="001E22D1"/>
    <w:rsid w:val="001E56D2"/>
    <w:rsid w:val="001E696E"/>
    <w:rsid w:val="001E7C02"/>
    <w:rsid w:val="001E7D56"/>
    <w:rsid w:val="001F2C28"/>
    <w:rsid w:val="001F3B62"/>
    <w:rsid w:val="001F4B6B"/>
    <w:rsid w:val="001F51C2"/>
    <w:rsid w:val="001F75DE"/>
    <w:rsid w:val="00200D58"/>
    <w:rsid w:val="002013BE"/>
    <w:rsid w:val="0020227B"/>
    <w:rsid w:val="002032B8"/>
    <w:rsid w:val="002045DC"/>
    <w:rsid w:val="002058F1"/>
    <w:rsid w:val="002063A4"/>
    <w:rsid w:val="00206F97"/>
    <w:rsid w:val="00210E88"/>
    <w:rsid w:val="0021145B"/>
    <w:rsid w:val="00211B55"/>
    <w:rsid w:val="00211DF8"/>
    <w:rsid w:val="00214277"/>
    <w:rsid w:val="0021486E"/>
    <w:rsid w:val="00215C4D"/>
    <w:rsid w:val="00215FE4"/>
    <w:rsid w:val="00216531"/>
    <w:rsid w:val="0022141A"/>
    <w:rsid w:val="00221433"/>
    <w:rsid w:val="00223304"/>
    <w:rsid w:val="00223F34"/>
    <w:rsid w:val="00226E1F"/>
    <w:rsid w:val="0022762D"/>
    <w:rsid w:val="00231769"/>
    <w:rsid w:val="00231F08"/>
    <w:rsid w:val="00232303"/>
    <w:rsid w:val="002323A3"/>
    <w:rsid w:val="00232C22"/>
    <w:rsid w:val="00233392"/>
    <w:rsid w:val="00234806"/>
    <w:rsid w:val="00235115"/>
    <w:rsid w:val="00235BBE"/>
    <w:rsid w:val="0023659F"/>
    <w:rsid w:val="002378D6"/>
    <w:rsid w:val="002434DE"/>
    <w:rsid w:val="00243D36"/>
    <w:rsid w:val="00247707"/>
    <w:rsid w:val="00251F8A"/>
    <w:rsid w:val="002550C8"/>
    <w:rsid w:val="00256086"/>
    <w:rsid w:val="00256A55"/>
    <w:rsid w:val="002572ED"/>
    <w:rsid w:val="00260B36"/>
    <w:rsid w:val="00260CE9"/>
    <w:rsid w:val="00261D36"/>
    <w:rsid w:val="002622F5"/>
    <w:rsid w:val="00263171"/>
    <w:rsid w:val="00263BA5"/>
    <w:rsid w:val="00263F95"/>
    <w:rsid w:val="002648F9"/>
    <w:rsid w:val="0026541E"/>
    <w:rsid w:val="00267CA6"/>
    <w:rsid w:val="00277919"/>
    <w:rsid w:val="00281567"/>
    <w:rsid w:val="00286740"/>
    <w:rsid w:val="00287B42"/>
    <w:rsid w:val="002906AB"/>
    <w:rsid w:val="002929D8"/>
    <w:rsid w:val="002935C2"/>
    <w:rsid w:val="00294E56"/>
    <w:rsid w:val="002969AF"/>
    <w:rsid w:val="002A0020"/>
    <w:rsid w:val="002A237D"/>
    <w:rsid w:val="002A23EA"/>
    <w:rsid w:val="002A4C53"/>
    <w:rsid w:val="002B01C4"/>
    <w:rsid w:val="002B0672"/>
    <w:rsid w:val="002B0DCC"/>
    <w:rsid w:val="002B1B4C"/>
    <w:rsid w:val="002B247F"/>
    <w:rsid w:val="002B44A7"/>
    <w:rsid w:val="002B57B1"/>
    <w:rsid w:val="002B7B37"/>
    <w:rsid w:val="002C145D"/>
    <w:rsid w:val="002C1FF8"/>
    <w:rsid w:val="002C271B"/>
    <w:rsid w:val="002C2C3E"/>
    <w:rsid w:val="002C3F8A"/>
    <w:rsid w:val="002C533E"/>
    <w:rsid w:val="002C5525"/>
    <w:rsid w:val="002C6D90"/>
    <w:rsid w:val="002D027F"/>
    <w:rsid w:val="002D0447"/>
    <w:rsid w:val="002D3C2E"/>
    <w:rsid w:val="002D5D5D"/>
    <w:rsid w:val="002D6585"/>
    <w:rsid w:val="002D6CFB"/>
    <w:rsid w:val="002D79DC"/>
    <w:rsid w:val="002D7A85"/>
    <w:rsid w:val="002D7B60"/>
    <w:rsid w:val="002E19D4"/>
    <w:rsid w:val="002E6D3D"/>
    <w:rsid w:val="002F0362"/>
    <w:rsid w:val="002F3919"/>
    <w:rsid w:val="002F4761"/>
    <w:rsid w:val="002F5477"/>
    <w:rsid w:val="002F5C79"/>
    <w:rsid w:val="002F6213"/>
    <w:rsid w:val="003002CC"/>
    <w:rsid w:val="00300EA6"/>
    <w:rsid w:val="003019E2"/>
    <w:rsid w:val="003101DC"/>
    <w:rsid w:val="00313868"/>
    <w:rsid w:val="0031413F"/>
    <w:rsid w:val="003148BB"/>
    <w:rsid w:val="00314CC0"/>
    <w:rsid w:val="00316016"/>
    <w:rsid w:val="00317976"/>
    <w:rsid w:val="00323885"/>
    <w:rsid w:val="00327195"/>
    <w:rsid w:val="00331475"/>
    <w:rsid w:val="00332605"/>
    <w:rsid w:val="00332F2B"/>
    <w:rsid w:val="0033468C"/>
    <w:rsid w:val="003365C1"/>
    <w:rsid w:val="003370F5"/>
    <w:rsid w:val="00337D0C"/>
    <w:rsid w:val="00340091"/>
    <w:rsid w:val="00341634"/>
    <w:rsid w:val="003419A3"/>
    <w:rsid w:val="00341E1D"/>
    <w:rsid w:val="00346384"/>
    <w:rsid w:val="003474D4"/>
    <w:rsid w:val="00350A71"/>
    <w:rsid w:val="00351A93"/>
    <w:rsid w:val="00355EA9"/>
    <w:rsid w:val="003578DE"/>
    <w:rsid w:val="00357BCE"/>
    <w:rsid w:val="00360A18"/>
    <w:rsid w:val="00362B7B"/>
    <w:rsid w:val="00362DAC"/>
    <w:rsid w:val="00364333"/>
    <w:rsid w:val="00365066"/>
    <w:rsid w:val="003650C4"/>
    <w:rsid w:val="00365F6B"/>
    <w:rsid w:val="00370BF9"/>
    <w:rsid w:val="00371340"/>
    <w:rsid w:val="003726E0"/>
    <w:rsid w:val="0037368A"/>
    <w:rsid w:val="003759E2"/>
    <w:rsid w:val="00377284"/>
    <w:rsid w:val="0038097F"/>
    <w:rsid w:val="00385584"/>
    <w:rsid w:val="0038578F"/>
    <w:rsid w:val="003863CC"/>
    <w:rsid w:val="00386999"/>
    <w:rsid w:val="00390145"/>
    <w:rsid w:val="00394379"/>
    <w:rsid w:val="00395CD8"/>
    <w:rsid w:val="00396257"/>
    <w:rsid w:val="00397EB8"/>
    <w:rsid w:val="003A07AB"/>
    <w:rsid w:val="003A086E"/>
    <w:rsid w:val="003A2EAB"/>
    <w:rsid w:val="003A37B8"/>
    <w:rsid w:val="003A4FD0"/>
    <w:rsid w:val="003A5858"/>
    <w:rsid w:val="003A69D1"/>
    <w:rsid w:val="003A7705"/>
    <w:rsid w:val="003B048F"/>
    <w:rsid w:val="003B1545"/>
    <w:rsid w:val="003B2171"/>
    <w:rsid w:val="003B46D9"/>
    <w:rsid w:val="003B475A"/>
    <w:rsid w:val="003B6AB5"/>
    <w:rsid w:val="003C035E"/>
    <w:rsid w:val="003C07A5"/>
    <w:rsid w:val="003C1A76"/>
    <w:rsid w:val="003C3267"/>
    <w:rsid w:val="003C3755"/>
    <w:rsid w:val="003C409D"/>
    <w:rsid w:val="003C463B"/>
    <w:rsid w:val="003C5BA6"/>
    <w:rsid w:val="003C6DF4"/>
    <w:rsid w:val="003D6AEF"/>
    <w:rsid w:val="003D7082"/>
    <w:rsid w:val="003D7C26"/>
    <w:rsid w:val="003E0CE3"/>
    <w:rsid w:val="003E2E99"/>
    <w:rsid w:val="003E304A"/>
    <w:rsid w:val="003E35E7"/>
    <w:rsid w:val="003E545F"/>
    <w:rsid w:val="003F00B1"/>
    <w:rsid w:val="003F0E85"/>
    <w:rsid w:val="003F16EC"/>
    <w:rsid w:val="003F1CA9"/>
    <w:rsid w:val="003F2121"/>
    <w:rsid w:val="003F2530"/>
    <w:rsid w:val="003F3D6A"/>
    <w:rsid w:val="003F5D3A"/>
    <w:rsid w:val="003F6DB6"/>
    <w:rsid w:val="004022D7"/>
    <w:rsid w:val="004034BA"/>
    <w:rsid w:val="00404CB5"/>
    <w:rsid w:val="00405251"/>
    <w:rsid w:val="00407D4E"/>
    <w:rsid w:val="00410C55"/>
    <w:rsid w:val="00411A15"/>
    <w:rsid w:val="0041254A"/>
    <w:rsid w:val="00415098"/>
    <w:rsid w:val="0041604D"/>
    <w:rsid w:val="00416854"/>
    <w:rsid w:val="00417312"/>
    <w:rsid w:val="00417725"/>
    <w:rsid w:val="0041779A"/>
    <w:rsid w:val="00417B99"/>
    <w:rsid w:val="004201B2"/>
    <w:rsid w:val="00421CC4"/>
    <w:rsid w:val="004228BE"/>
    <w:rsid w:val="004243EA"/>
    <w:rsid w:val="00424BE6"/>
    <w:rsid w:val="004269BA"/>
    <w:rsid w:val="00434D06"/>
    <w:rsid w:val="00436D8D"/>
    <w:rsid w:val="00437BE2"/>
    <w:rsid w:val="00437F26"/>
    <w:rsid w:val="00441A74"/>
    <w:rsid w:val="0044394F"/>
    <w:rsid w:val="00444097"/>
    <w:rsid w:val="00445487"/>
    <w:rsid w:val="00450341"/>
    <w:rsid w:val="004526FC"/>
    <w:rsid w:val="0045412C"/>
    <w:rsid w:val="00454769"/>
    <w:rsid w:val="00456D58"/>
    <w:rsid w:val="004572F2"/>
    <w:rsid w:val="00457AD4"/>
    <w:rsid w:val="00457EFF"/>
    <w:rsid w:val="0046146C"/>
    <w:rsid w:val="004635F1"/>
    <w:rsid w:val="00466991"/>
    <w:rsid w:val="004678C7"/>
    <w:rsid w:val="0047064C"/>
    <w:rsid w:val="00470B85"/>
    <w:rsid w:val="004722A9"/>
    <w:rsid w:val="00473FC7"/>
    <w:rsid w:val="00474AE6"/>
    <w:rsid w:val="00474D90"/>
    <w:rsid w:val="00475D8E"/>
    <w:rsid w:val="00476C67"/>
    <w:rsid w:val="00477AFF"/>
    <w:rsid w:val="00477F17"/>
    <w:rsid w:val="004819B1"/>
    <w:rsid w:val="00481F0B"/>
    <w:rsid w:val="0048523D"/>
    <w:rsid w:val="00485BC0"/>
    <w:rsid w:val="00486541"/>
    <w:rsid w:val="004866C9"/>
    <w:rsid w:val="004911CA"/>
    <w:rsid w:val="0049385B"/>
    <w:rsid w:val="00495BFE"/>
    <w:rsid w:val="004A0657"/>
    <w:rsid w:val="004A3DC5"/>
    <w:rsid w:val="004A42E1"/>
    <w:rsid w:val="004A6355"/>
    <w:rsid w:val="004B162C"/>
    <w:rsid w:val="004B5675"/>
    <w:rsid w:val="004B5DB2"/>
    <w:rsid w:val="004C0C83"/>
    <w:rsid w:val="004C200F"/>
    <w:rsid w:val="004C3BBE"/>
    <w:rsid w:val="004C3DBE"/>
    <w:rsid w:val="004C5C96"/>
    <w:rsid w:val="004C63BE"/>
    <w:rsid w:val="004D06A4"/>
    <w:rsid w:val="004D60EA"/>
    <w:rsid w:val="004E1069"/>
    <w:rsid w:val="004E170C"/>
    <w:rsid w:val="004E1D30"/>
    <w:rsid w:val="004E59D4"/>
    <w:rsid w:val="004E79AC"/>
    <w:rsid w:val="004E79C4"/>
    <w:rsid w:val="004F1A81"/>
    <w:rsid w:val="004F296A"/>
    <w:rsid w:val="004F3635"/>
    <w:rsid w:val="004F44D2"/>
    <w:rsid w:val="005051B7"/>
    <w:rsid w:val="00506AE1"/>
    <w:rsid w:val="005104E0"/>
    <w:rsid w:val="005202BD"/>
    <w:rsid w:val="005218D9"/>
    <w:rsid w:val="00523B45"/>
    <w:rsid w:val="00525DB1"/>
    <w:rsid w:val="00532E47"/>
    <w:rsid w:val="00533220"/>
    <w:rsid w:val="005353C9"/>
    <w:rsid w:val="00536186"/>
    <w:rsid w:val="00536826"/>
    <w:rsid w:val="00540C21"/>
    <w:rsid w:val="00544CBB"/>
    <w:rsid w:val="0054592A"/>
    <w:rsid w:val="00545D0C"/>
    <w:rsid w:val="00546E07"/>
    <w:rsid w:val="00550518"/>
    <w:rsid w:val="0055097B"/>
    <w:rsid w:val="005512F2"/>
    <w:rsid w:val="00551DB8"/>
    <w:rsid w:val="005521C0"/>
    <w:rsid w:val="00552CD6"/>
    <w:rsid w:val="00555209"/>
    <w:rsid w:val="00555BDA"/>
    <w:rsid w:val="00555DB8"/>
    <w:rsid w:val="005561CB"/>
    <w:rsid w:val="00556B73"/>
    <w:rsid w:val="00557BCC"/>
    <w:rsid w:val="00561FD1"/>
    <w:rsid w:val="0056229F"/>
    <w:rsid w:val="005630D6"/>
    <w:rsid w:val="005658E7"/>
    <w:rsid w:val="00567B40"/>
    <w:rsid w:val="0057076E"/>
    <w:rsid w:val="00572018"/>
    <w:rsid w:val="0057315F"/>
    <w:rsid w:val="00574C92"/>
    <w:rsid w:val="00575DF1"/>
    <w:rsid w:val="00576104"/>
    <w:rsid w:val="005820F7"/>
    <w:rsid w:val="00583EFA"/>
    <w:rsid w:val="00585DDE"/>
    <w:rsid w:val="005900C7"/>
    <w:rsid w:val="005923D5"/>
    <w:rsid w:val="00592EB8"/>
    <w:rsid w:val="005940BC"/>
    <w:rsid w:val="00594BA0"/>
    <w:rsid w:val="005972B3"/>
    <w:rsid w:val="005A08E6"/>
    <w:rsid w:val="005A1552"/>
    <w:rsid w:val="005B39C4"/>
    <w:rsid w:val="005B4A5D"/>
    <w:rsid w:val="005B681A"/>
    <w:rsid w:val="005B6E9F"/>
    <w:rsid w:val="005C2404"/>
    <w:rsid w:val="005C290B"/>
    <w:rsid w:val="005C44E9"/>
    <w:rsid w:val="005C64B2"/>
    <w:rsid w:val="005C666E"/>
    <w:rsid w:val="005C67C8"/>
    <w:rsid w:val="005C6C5D"/>
    <w:rsid w:val="005D0249"/>
    <w:rsid w:val="005D10B8"/>
    <w:rsid w:val="005D2535"/>
    <w:rsid w:val="005D30C7"/>
    <w:rsid w:val="005D317B"/>
    <w:rsid w:val="005D6E8C"/>
    <w:rsid w:val="005E0442"/>
    <w:rsid w:val="005E0A1D"/>
    <w:rsid w:val="005E1D2F"/>
    <w:rsid w:val="005E2505"/>
    <w:rsid w:val="005F100C"/>
    <w:rsid w:val="005F3ADE"/>
    <w:rsid w:val="005F68DA"/>
    <w:rsid w:val="005F70C9"/>
    <w:rsid w:val="005F75E6"/>
    <w:rsid w:val="006014DD"/>
    <w:rsid w:val="006075E0"/>
    <w:rsid w:val="0060773B"/>
    <w:rsid w:val="00607D94"/>
    <w:rsid w:val="0061088C"/>
    <w:rsid w:val="00610B87"/>
    <w:rsid w:val="00610F12"/>
    <w:rsid w:val="00615537"/>
    <w:rsid w:val="006157B5"/>
    <w:rsid w:val="006215C9"/>
    <w:rsid w:val="00622B29"/>
    <w:rsid w:val="00622D37"/>
    <w:rsid w:val="00623F52"/>
    <w:rsid w:val="00626FC6"/>
    <w:rsid w:val="006303B4"/>
    <w:rsid w:val="0063131B"/>
    <w:rsid w:val="00633CEB"/>
    <w:rsid w:val="00633D3D"/>
    <w:rsid w:val="00633F3A"/>
    <w:rsid w:val="0063428B"/>
    <w:rsid w:val="006415B9"/>
    <w:rsid w:val="00641703"/>
    <w:rsid w:val="00641BAC"/>
    <w:rsid w:val="006431A6"/>
    <w:rsid w:val="006446BA"/>
    <w:rsid w:val="006459F6"/>
    <w:rsid w:val="006501AD"/>
    <w:rsid w:val="00650279"/>
    <w:rsid w:val="00651BFA"/>
    <w:rsid w:val="006533B3"/>
    <w:rsid w:val="006539DE"/>
    <w:rsid w:val="00653DEC"/>
    <w:rsid w:val="00657CD1"/>
    <w:rsid w:val="0066150C"/>
    <w:rsid w:val="0066207B"/>
    <w:rsid w:val="00662AF7"/>
    <w:rsid w:val="00663A80"/>
    <w:rsid w:val="00663AF6"/>
    <w:rsid w:val="00665A4B"/>
    <w:rsid w:val="00671C5E"/>
    <w:rsid w:val="006724AD"/>
    <w:rsid w:val="0067294E"/>
    <w:rsid w:val="00672B40"/>
    <w:rsid w:val="006731FE"/>
    <w:rsid w:val="006817C6"/>
    <w:rsid w:val="006837E3"/>
    <w:rsid w:val="006914FA"/>
    <w:rsid w:val="00692E2A"/>
    <w:rsid w:val="00693422"/>
    <w:rsid w:val="006937A3"/>
    <w:rsid w:val="00694DFC"/>
    <w:rsid w:val="006A2172"/>
    <w:rsid w:val="006A477B"/>
    <w:rsid w:val="006A4F6D"/>
    <w:rsid w:val="006A5EE4"/>
    <w:rsid w:val="006A71E5"/>
    <w:rsid w:val="006A76F2"/>
    <w:rsid w:val="006B27E3"/>
    <w:rsid w:val="006B70D9"/>
    <w:rsid w:val="006C16C9"/>
    <w:rsid w:val="006C2948"/>
    <w:rsid w:val="006C3DDA"/>
    <w:rsid w:val="006D1C31"/>
    <w:rsid w:val="006D2203"/>
    <w:rsid w:val="006D29E2"/>
    <w:rsid w:val="006D3277"/>
    <w:rsid w:val="006D5156"/>
    <w:rsid w:val="006D6F6B"/>
    <w:rsid w:val="006D7EFB"/>
    <w:rsid w:val="006E24ED"/>
    <w:rsid w:val="006E29EF"/>
    <w:rsid w:val="006E35D2"/>
    <w:rsid w:val="006E5677"/>
    <w:rsid w:val="006E5A99"/>
    <w:rsid w:val="006E6672"/>
    <w:rsid w:val="006E6722"/>
    <w:rsid w:val="006F10F1"/>
    <w:rsid w:val="006F337E"/>
    <w:rsid w:val="006F4787"/>
    <w:rsid w:val="006F66B8"/>
    <w:rsid w:val="0070123A"/>
    <w:rsid w:val="00701970"/>
    <w:rsid w:val="007027B9"/>
    <w:rsid w:val="00702F24"/>
    <w:rsid w:val="00702FF5"/>
    <w:rsid w:val="00704C0C"/>
    <w:rsid w:val="00705342"/>
    <w:rsid w:val="007117E9"/>
    <w:rsid w:val="00712F07"/>
    <w:rsid w:val="0071377B"/>
    <w:rsid w:val="00713D8F"/>
    <w:rsid w:val="00715DD2"/>
    <w:rsid w:val="00715E88"/>
    <w:rsid w:val="00715EF3"/>
    <w:rsid w:val="00715F5D"/>
    <w:rsid w:val="00716B27"/>
    <w:rsid w:val="00716D5B"/>
    <w:rsid w:val="00720DAF"/>
    <w:rsid w:val="00721256"/>
    <w:rsid w:val="00721380"/>
    <w:rsid w:val="00722947"/>
    <w:rsid w:val="007229EF"/>
    <w:rsid w:val="0072508B"/>
    <w:rsid w:val="00730531"/>
    <w:rsid w:val="007306FD"/>
    <w:rsid w:val="00732257"/>
    <w:rsid w:val="00734CAA"/>
    <w:rsid w:val="00736583"/>
    <w:rsid w:val="00736671"/>
    <w:rsid w:val="00736E0F"/>
    <w:rsid w:val="00742207"/>
    <w:rsid w:val="00742DA4"/>
    <w:rsid w:val="00743E63"/>
    <w:rsid w:val="0074782E"/>
    <w:rsid w:val="0075473A"/>
    <w:rsid w:val="00755106"/>
    <w:rsid w:val="0075533C"/>
    <w:rsid w:val="00757581"/>
    <w:rsid w:val="0075779B"/>
    <w:rsid w:val="0076110D"/>
    <w:rsid w:val="007611A0"/>
    <w:rsid w:val="00764477"/>
    <w:rsid w:val="007658A0"/>
    <w:rsid w:val="00765EEF"/>
    <w:rsid w:val="0077027F"/>
    <w:rsid w:val="00771290"/>
    <w:rsid w:val="00771992"/>
    <w:rsid w:val="00772146"/>
    <w:rsid w:val="00775983"/>
    <w:rsid w:val="00782E6B"/>
    <w:rsid w:val="00783907"/>
    <w:rsid w:val="0078644F"/>
    <w:rsid w:val="007913D3"/>
    <w:rsid w:val="0079255E"/>
    <w:rsid w:val="007954CA"/>
    <w:rsid w:val="00796D3F"/>
    <w:rsid w:val="007A12C7"/>
    <w:rsid w:val="007A1683"/>
    <w:rsid w:val="007A36F8"/>
    <w:rsid w:val="007A43C9"/>
    <w:rsid w:val="007A5C12"/>
    <w:rsid w:val="007A6116"/>
    <w:rsid w:val="007A7BED"/>
    <w:rsid w:val="007A7CB0"/>
    <w:rsid w:val="007B0407"/>
    <w:rsid w:val="007B059E"/>
    <w:rsid w:val="007B1C24"/>
    <w:rsid w:val="007B3422"/>
    <w:rsid w:val="007B3B0D"/>
    <w:rsid w:val="007B5347"/>
    <w:rsid w:val="007B68A3"/>
    <w:rsid w:val="007B7F62"/>
    <w:rsid w:val="007C04C6"/>
    <w:rsid w:val="007C2541"/>
    <w:rsid w:val="007C2FF9"/>
    <w:rsid w:val="007C4676"/>
    <w:rsid w:val="007D0BF4"/>
    <w:rsid w:val="007D41B3"/>
    <w:rsid w:val="007D6569"/>
    <w:rsid w:val="007D66A8"/>
    <w:rsid w:val="007D69D6"/>
    <w:rsid w:val="007D773D"/>
    <w:rsid w:val="007D7E07"/>
    <w:rsid w:val="007E003F"/>
    <w:rsid w:val="007E0ED0"/>
    <w:rsid w:val="007E1605"/>
    <w:rsid w:val="007E2419"/>
    <w:rsid w:val="007E4FA9"/>
    <w:rsid w:val="007E561B"/>
    <w:rsid w:val="007E751D"/>
    <w:rsid w:val="007F4CFF"/>
    <w:rsid w:val="007F51C4"/>
    <w:rsid w:val="007F5A00"/>
    <w:rsid w:val="007F70FE"/>
    <w:rsid w:val="0080165D"/>
    <w:rsid w:val="00802E72"/>
    <w:rsid w:val="00805F1D"/>
    <w:rsid w:val="008066F7"/>
    <w:rsid w:val="00806D53"/>
    <w:rsid w:val="00812612"/>
    <w:rsid w:val="00813D65"/>
    <w:rsid w:val="008164F2"/>
    <w:rsid w:val="00821395"/>
    <w:rsid w:val="0082429A"/>
    <w:rsid w:val="00824FDD"/>
    <w:rsid w:val="008258CF"/>
    <w:rsid w:val="008265E7"/>
    <w:rsid w:val="00830E26"/>
    <w:rsid w:val="00830FB0"/>
    <w:rsid w:val="00836166"/>
    <w:rsid w:val="00837377"/>
    <w:rsid w:val="00843576"/>
    <w:rsid w:val="00843A6D"/>
    <w:rsid w:val="00843B64"/>
    <w:rsid w:val="0084670A"/>
    <w:rsid w:val="00846CC7"/>
    <w:rsid w:val="008470BD"/>
    <w:rsid w:val="008478FC"/>
    <w:rsid w:val="00847AF4"/>
    <w:rsid w:val="00847FEA"/>
    <w:rsid w:val="00851E8A"/>
    <w:rsid w:val="00855AD3"/>
    <w:rsid w:val="00856630"/>
    <w:rsid w:val="00862D13"/>
    <w:rsid w:val="008643D7"/>
    <w:rsid w:val="00865AB8"/>
    <w:rsid w:val="00867BFF"/>
    <w:rsid w:val="00870B76"/>
    <w:rsid w:val="00872FC7"/>
    <w:rsid w:val="008741F3"/>
    <w:rsid w:val="00877502"/>
    <w:rsid w:val="00882057"/>
    <w:rsid w:val="0088256C"/>
    <w:rsid w:val="008826E0"/>
    <w:rsid w:val="00882A34"/>
    <w:rsid w:val="0088480A"/>
    <w:rsid w:val="00884E21"/>
    <w:rsid w:val="0088757A"/>
    <w:rsid w:val="00893E4F"/>
    <w:rsid w:val="008944CD"/>
    <w:rsid w:val="00894850"/>
    <w:rsid w:val="008957DD"/>
    <w:rsid w:val="00897D98"/>
    <w:rsid w:val="008A26B4"/>
    <w:rsid w:val="008A422F"/>
    <w:rsid w:val="008A4B54"/>
    <w:rsid w:val="008A6A83"/>
    <w:rsid w:val="008A6DF2"/>
    <w:rsid w:val="008A71E7"/>
    <w:rsid w:val="008A7807"/>
    <w:rsid w:val="008B0257"/>
    <w:rsid w:val="008B0D6B"/>
    <w:rsid w:val="008B2A09"/>
    <w:rsid w:val="008B3832"/>
    <w:rsid w:val="008B4CC9"/>
    <w:rsid w:val="008B6B0D"/>
    <w:rsid w:val="008C0A8F"/>
    <w:rsid w:val="008C0B48"/>
    <w:rsid w:val="008C13F0"/>
    <w:rsid w:val="008C1B8B"/>
    <w:rsid w:val="008C24C2"/>
    <w:rsid w:val="008C2843"/>
    <w:rsid w:val="008C4E9B"/>
    <w:rsid w:val="008C6D8B"/>
    <w:rsid w:val="008C786A"/>
    <w:rsid w:val="008D12FC"/>
    <w:rsid w:val="008D1C51"/>
    <w:rsid w:val="008D2718"/>
    <w:rsid w:val="008D2C2F"/>
    <w:rsid w:val="008D3AE0"/>
    <w:rsid w:val="008D7C99"/>
    <w:rsid w:val="008E0358"/>
    <w:rsid w:val="008E0FCB"/>
    <w:rsid w:val="008E1842"/>
    <w:rsid w:val="008E3595"/>
    <w:rsid w:val="008E3E15"/>
    <w:rsid w:val="008E77AA"/>
    <w:rsid w:val="008E78C2"/>
    <w:rsid w:val="008F1E36"/>
    <w:rsid w:val="008F4C67"/>
    <w:rsid w:val="008F55DB"/>
    <w:rsid w:val="00900250"/>
    <w:rsid w:val="00900895"/>
    <w:rsid w:val="00901F50"/>
    <w:rsid w:val="00906B1C"/>
    <w:rsid w:val="00907107"/>
    <w:rsid w:val="0090765B"/>
    <w:rsid w:val="009077E6"/>
    <w:rsid w:val="00907D78"/>
    <w:rsid w:val="00912622"/>
    <w:rsid w:val="00916FA7"/>
    <w:rsid w:val="00920B76"/>
    <w:rsid w:val="0092178C"/>
    <w:rsid w:val="00922087"/>
    <w:rsid w:val="009226BF"/>
    <w:rsid w:val="0092493F"/>
    <w:rsid w:val="00925858"/>
    <w:rsid w:val="0092701E"/>
    <w:rsid w:val="009305DF"/>
    <w:rsid w:val="00930B88"/>
    <w:rsid w:val="0093344F"/>
    <w:rsid w:val="00934CF0"/>
    <w:rsid w:val="009351E6"/>
    <w:rsid w:val="009366E7"/>
    <w:rsid w:val="009378B3"/>
    <w:rsid w:val="009378DC"/>
    <w:rsid w:val="00940DCC"/>
    <w:rsid w:val="0094179A"/>
    <w:rsid w:val="00942D67"/>
    <w:rsid w:val="00943322"/>
    <w:rsid w:val="00943D53"/>
    <w:rsid w:val="0094459E"/>
    <w:rsid w:val="00944C09"/>
    <w:rsid w:val="00944DBC"/>
    <w:rsid w:val="00945864"/>
    <w:rsid w:val="009479FA"/>
    <w:rsid w:val="00950977"/>
    <w:rsid w:val="00951789"/>
    <w:rsid w:val="00951A7B"/>
    <w:rsid w:val="00951FEC"/>
    <w:rsid w:val="00953593"/>
    <w:rsid w:val="00953C56"/>
    <w:rsid w:val="00955BF9"/>
    <w:rsid w:val="009564A6"/>
    <w:rsid w:val="00957228"/>
    <w:rsid w:val="00961A33"/>
    <w:rsid w:val="009628B9"/>
    <w:rsid w:val="00967131"/>
    <w:rsid w:val="00967621"/>
    <w:rsid w:val="009679E2"/>
    <w:rsid w:val="00967E6A"/>
    <w:rsid w:val="009744F8"/>
    <w:rsid w:val="00975548"/>
    <w:rsid w:val="0098049A"/>
    <w:rsid w:val="00980797"/>
    <w:rsid w:val="00980BA0"/>
    <w:rsid w:val="00981560"/>
    <w:rsid w:val="00990B54"/>
    <w:rsid w:val="009935AC"/>
    <w:rsid w:val="009953DC"/>
    <w:rsid w:val="00995805"/>
    <w:rsid w:val="009A1049"/>
    <w:rsid w:val="009A5D2B"/>
    <w:rsid w:val="009A6054"/>
    <w:rsid w:val="009A6261"/>
    <w:rsid w:val="009B3690"/>
    <w:rsid w:val="009B4A0F"/>
    <w:rsid w:val="009B5908"/>
    <w:rsid w:val="009B6E3B"/>
    <w:rsid w:val="009C0FEC"/>
    <w:rsid w:val="009C11D2"/>
    <w:rsid w:val="009C13A4"/>
    <w:rsid w:val="009C1BA5"/>
    <w:rsid w:val="009C1E01"/>
    <w:rsid w:val="009C3525"/>
    <w:rsid w:val="009C6562"/>
    <w:rsid w:val="009C6C70"/>
    <w:rsid w:val="009D0922"/>
    <w:rsid w:val="009D0B63"/>
    <w:rsid w:val="009D1165"/>
    <w:rsid w:val="009D251F"/>
    <w:rsid w:val="009D50C2"/>
    <w:rsid w:val="009D6BC2"/>
    <w:rsid w:val="009E058D"/>
    <w:rsid w:val="009E1900"/>
    <w:rsid w:val="009E1A50"/>
    <w:rsid w:val="009E307E"/>
    <w:rsid w:val="009E343D"/>
    <w:rsid w:val="009E47E3"/>
    <w:rsid w:val="009E55BD"/>
    <w:rsid w:val="009F1D90"/>
    <w:rsid w:val="009F7BA2"/>
    <w:rsid w:val="00A02635"/>
    <w:rsid w:val="00A03A4A"/>
    <w:rsid w:val="00A03DB3"/>
    <w:rsid w:val="00A0444D"/>
    <w:rsid w:val="00A04A8C"/>
    <w:rsid w:val="00A05EA5"/>
    <w:rsid w:val="00A07870"/>
    <w:rsid w:val="00A07F19"/>
    <w:rsid w:val="00A109C0"/>
    <w:rsid w:val="00A10E59"/>
    <w:rsid w:val="00A1348D"/>
    <w:rsid w:val="00A13F6B"/>
    <w:rsid w:val="00A1409D"/>
    <w:rsid w:val="00A142D1"/>
    <w:rsid w:val="00A1489E"/>
    <w:rsid w:val="00A155E2"/>
    <w:rsid w:val="00A15E17"/>
    <w:rsid w:val="00A15EDA"/>
    <w:rsid w:val="00A17243"/>
    <w:rsid w:val="00A200CA"/>
    <w:rsid w:val="00A21BA7"/>
    <w:rsid w:val="00A232EE"/>
    <w:rsid w:val="00A265C0"/>
    <w:rsid w:val="00A321C0"/>
    <w:rsid w:val="00A34BF0"/>
    <w:rsid w:val="00A350FD"/>
    <w:rsid w:val="00A3598A"/>
    <w:rsid w:val="00A4175F"/>
    <w:rsid w:val="00A4263A"/>
    <w:rsid w:val="00A44411"/>
    <w:rsid w:val="00A469FA"/>
    <w:rsid w:val="00A503FF"/>
    <w:rsid w:val="00A50E94"/>
    <w:rsid w:val="00A557A1"/>
    <w:rsid w:val="00A559BF"/>
    <w:rsid w:val="00A55B01"/>
    <w:rsid w:val="00A569AA"/>
    <w:rsid w:val="00A56B5B"/>
    <w:rsid w:val="00A60367"/>
    <w:rsid w:val="00A603FF"/>
    <w:rsid w:val="00A6321F"/>
    <w:rsid w:val="00A63E87"/>
    <w:rsid w:val="00A657DD"/>
    <w:rsid w:val="00A666A6"/>
    <w:rsid w:val="00A675FD"/>
    <w:rsid w:val="00A70CDB"/>
    <w:rsid w:val="00A715A4"/>
    <w:rsid w:val="00A72437"/>
    <w:rsid w:val="00A73DC8"/>
    <w:rsid w:val="00A80611"/>
    <w:rsid w:val="00A84B15"/>
    <w:rsid w:val="00A87016"/>
    <w:rsid w:val="00A91449"/>
    <w:rsid w:val="00A935EF"/>
    <w:rsid w:val="00A9491D"/>
    <w:rsid w:val="00A9580C"/>
    <w:rsid w:val="00A96B80"/>
    <w:rsid w:val="00AA1D0B"/>
    <w:rsid w:val="00AA40D3"/>
    <w:rsid w:val="00AA4414"/>
    <w:rsid w:val="00AA7607"/>
    <w:rsid w:val="00AB1F69"/>
    <w:rsid w:val="00AB25C1"/>
    <w:rsid w:val="00AB5340"/>
    <w:rsid w:val="00AB635F"/>
    <w:rsid w:val="00AC010E"/>
    <w:rsid w:val="00AC01CC"/>
    <w:rsid w:val="00AC0D23"/>
    <w:rsid w:val="00AC102C"/>
    <w:rsid w:val="00AC16B8"/>
    <w:rsid w:val="00AC39BC"/>
    <w:rsid w:val="00AC52C4"/>
    <w:rsid w:val="00AC6F54"/>
    <w:rsid w:val="00AC708C"/>
    <w:rsid w:val="00AC7C96"/>
    <w:rsid w:val="00AD19F8"/>
    <w:rsid w:val="00AD4F18"/>
    <w:rsid w:val="00AE214F"/>
    <w:rsid w:val="00AE237D"/>
    <w:rsid w:val="00AE2A3D"/>
    <w:rsid w:val="00AE502A"/>
    <w:rsid w:val="00AE510C"/>
    <w:rsid w:val="00AE6378"/>
    <w:rsid w:val="00AE6EC3"/>
    <w:rsid w:val="00AF0DF7"/>
    <w:rsid w:val="00AF1C4D"/>
    <w:rsid w:val="00AF69D2"/>
    <w:rsid w:val="00AF69E2"/>
    <w:rsid w:val="00AF7106"/>
    <w:rsid w:val="00AF7199"/>
    <w:rsid w:val="00AF7C07"/>
    <w:rsid w:val="00B005B1"/>
    <w:rsid w:val="00B00E77"/>
    <w:rsid w:val="00B013D7"/>
    <w:rsid w:val="00B0305E"/>
    <w:rsid w:val="00B07E6C"/>
    <w:rsid w:val="00B1760D"/>
    <w:rsid w:val="00B22C93"/>
    <w:rsid w:val="00B23B27"/>
    <w:rsid w:val="00B27589"/>
    <w:rsid w:val="00B3103C"/>
    <w:rsid w:val="00B31593"/>
    <w:rsid w:val="00B31ADC"/>
    <w:rsid w:val="00B33676"/>
    <w:rsid w:val="00B37177"/>
    <w:rsid w:val="00B373F5"/>
    <w:rsid w:val="00B3760E"/>
    <w:rsid w:val="00B37723"/>
    <w:rsid w:val="00B37EF9"/>
    <w:rsid w:val="00B405B7"/>
    <w:rsid w:val="00B40AD1"/>
    <w:rsid w:val="00B42CE4"/>
    <w:rsid w:val="00B43057"/>
    <w:rsid w:val="00B440DE"/>
    <w:rsid w:val="00B45E6D"/>
    <w:rsid w:val="00B4724B"/>
    <w:rsid w:val="00B504B3"/>
    <w:rsid w:val="00B52222"/>
    <w:rsid w:val="00B523A2"/>
    <w:rsid w:val="00B54FE7"/>
    <w:rsid w:val="00B57C47"/>
    <w:rsid w:val="00B6051F"/>
    <w:rsid w:val="00B6195F"/>
    <w:rsid w:val="00B635B8"/>
    <w:rsid w:val="00B636D3"/>
    <w:rsid w:val="00B64C19"/>
    <w:rsid w:val="00B66461"/>
    <w:rsid w:val="00B66901"/>
    <w:rsid w:val="00B67768"/>
    <w:rsid w:val="00B67CDA"/>
    <w:rsid w:val="00B70A27"/>
    <w:rsid w:val="00B71547"/>
    <w:rsid w:val="00B71E6D"/>
    <w:rsid w:val="00B71F74"/>
    <w:rsid w:val="00B72070"/>
    <w:rsid w:val="00B73AE6"/>
    <w:rsid w:val="00B779E1"/>
    <w:rsid w:val="00B81067"/>
    <w:rsid w:val="00B82F35"/>
    <w:rsid w:val="00B859A3"/>
    <w:rsid w:val="00B90544"/>
    <w:rsid w:val="00B91EE1"/>
    <w:rsid w:val="00B979B1"/>
    <w:rsid w:val="00BA0090"/>
    <w:rsid w:val="00BA04AF"/>
    <w:rsid w:val="00BA1235"/>
    <w:rsid w:val="00BA1A67"/>
    <w:rsid w:val="00BA2A42"/>
    <w:rsid w:val="00BA51B0"/>
    <w:rsid w:val="00BA63BC"/>
    <w:rsid w:val="00BB49DE"/>
    <w:rsid w:val="00BB4C68"/>
    <w:rsid w:val="00BB5510"/>
    <w:rsid w:val="00BB5E51"/>
    <w:rsid w:val="00BB6A98"/>
    <w:rsid w:val="00BC07FE"/>
    <w:rsid w:val="00BC0BF1"/>
    <w:rsid w:val="00BC5E3B"/>
    <w:rsid w:val="00BC5E4A"/>
    <w:rsid w:val="00BC6DC4"/>
    <w:rsid w:val="00BD0163"/>
    <w:rsid w:val="00BD159E"/>
    <w:rsid w:val="00BD3741"/>
    <w:rsid w:val="00BD6629"/>
    <w:rsid w:val="00BE1EA8"/>
    <w:rsid w:val="00BE40BB"/>
    <w:rsid w:val="00BE5B5F"/>
    <w:rsid w:val="00BE68C9"/>
    <w:rsid w:val="00BE6A34"/>
    <w:rsid w:val="00BE6DD0"/>
    <w:rsid w:val="00BE7655"/>
    <w:rsid w:val="00BF0196"/>
    <w:rsid w:val="00BF0277"/>
    <w:rsid w:val="00BF1407"/>
    <w:rsid w:val="00BF1DB4"/>
    <w:rsid w:val="00BF38D2"/>
    <w:rsid w:val="00BF5452"/>
    <w:rsid w:val="00BF6A3D"/>
    <w:rsid w:val="00BF702E"/>
    <w:rsid w:val="00BF721F"/>
    <w:rsid w:val="00C006DD"/>
    <w:rsid w:val="00C01323"/>
    <w:rsid w:val="00C01C88"/>
    <w:rsid w:val="00C040A5"/>
    <w:rsid w:val="00C068BD"/>
    <w:rsid w:val="00C06E60"/>
    <w:rsid w:val="00C117EF"/>
    <w:rsid w:val="00C1400A"/>
    <w:rsid w:val="00C17C1E"/>
    <w:rsid w:val="00C20163"/>
    <w:rsid w:val="00C20895"/>
    <w:rsid w:val="00C209B5"/>
    <w:rsid w:val="00C220AC"/>
    <w:rsid w:val="00C22945"/>
    <w:rsid w:val="00C26F55"/>
    <w:rsid w:val="00C2769B"/>
    <w:rsid w:val="00C30A81"/>
    <w:rsid w:val="00C30C63"/>
    <w:rsid w:val="00C32B37"/>
    <w:rsid w:val="00C36B8B"/>
    <w:rsid w:val="00C406A0"/>
    <w:rsid w:val="00C41508"/>
    <w:rsid w:val="00C415D0"/>
    <w:rsid w:val="00C43130"/>
    <w:rsid w:val="00C46184"/>
    <w:rsid w:val="00C46422"/>
    <w:rsid w:val="00C46D2B"/>
    <w:rsid w:val="00C46DB8"/>
    <w:rsid w:val="00C475F8"/>
    <w:rsid w:val="00C47DBF"/>
    <w:rsid w:val="00C53666"/>
    <w:rsid w:val="00C54439"/>
    <w:rsid w:val="00C54D07"/>
    <w:rsid w:val="00C552FF"/>
    <w:rsid w:val="00C558DA"/>
    <w:rsid w:val="00C55AF3"/>
    <w:rsid w:val="00C563B5"/>
    <w:rsid w:val="00C57DC0"/>
    <w:rsid w:val="00C60713"/>
    <w:rsid w:val="00C609BD"/>
    <w:rsid w:val="00C60CBE"/>
    <w:rsid w:val="00C61055"/>
    <w:rsid w:val="00C6287E"/>
    <w:rsid w:val="00C63F35"/>
    <w:rsid w:val="00C65109"/>
    <w:rsid w:val="00C6539D"/>
    <w:rsid w:val="00C65D96"/>
    <w:rsid w:val="00C66C6D"/>
    <w:rsid w:val="00C70B49"/>
    <w:rsid w:val="00C7138E"/>
    <w:rsid w:val="00C71EBB"/>
    <w:rsid w:val="00C7579B"/>
    <w:rsid w:val="00C75C7C"/>
    <w:rsid w:val="00C81951"/>
    <w:rsid w:val="00C81998"/>
    <w:rsid w:val="00C82887"/>
    <w:rsid w:val="00C82D38"/>
    <w:rsid w:val="00C83A8F"/>
    <w:rsid w:val="00C8428D"/>
    <w:rsid w:val="00C84759"/>
    <w:rsid w:val="00C87E17"/>
    <w:rsid w:val="00C90D80"/>
    <w:rsid w:val="00C923B7"/>
    <w:rsid w:val="00C94CCF"/>
    <w:rsid w:val="00C97578"/>
    <w:rsid w:val="00C976B7"/>
    <w:rsid w:val="00CA2254"/>
    <w:rsid w:val="00CA55B1"/>
    <w:rsid w:val="00CA6C7F"/>
    <w:rsid w:val="00CA78AF"/>
    <w:rsid w:val="00CB0695"/>
    <w:rsid w:val="00CB0D55"/>
    <w:rsid w:val="00CB1AAA"/>
    <w:rsid w:val="00CB6F8C"/>
    <w:rsid w:val="00CB7617"/>
    <w:rsid w:val="00CB7E8C"/>
    <w:rsid w:val="00CC0260"/>
    <w:rsid w:val="00CC10A6"/>
    <w:rsid w:val="00CC1EEC"/>
    <w:rsid w:val="00CC359B"/>
    <w:rsid w:val="00CC6C3C"/>
    <w:rsid w:val="00CC7063"/>
    <w:rsid w:val="00CD3CFC"/>
    <w:rsid w:val="00CD5EB8"/>
    <w:rsid w:val="00CD6AC7"/>
    <w:rsid w:val="00CD7044"/>
    <w:rsid w:val="00CE033A"/>
    <w:rsid w:val="00CE08B9"/>
    <w:rsid w:val="00CE29DD"/>
    <w:rsid w:val="00CE36FC"/>
    <w:rsid w:val="00CE3D5F"/>
    <w:rsid w:val="00CE524C"/>
    <w:rsid w:val="00CE57CC"/>
    <w:rsid w:val="00CE7CFD"/>
    <w:rsid w:val="00CF0E11"/>
    <w:rsid w:val="00CF141F"/>
    <w:rsid w:val="00CF4777"/>
    <w:rsid w:val="00CF5176"/>
    <w:rsid w:val="00CF5AF8"/>
    <w:rsid w:val="00CF6C33"/>
    <w:rsid w:val="00CF7B01"/>
    <w:rsid w:val="00D01AB0"/>
    <w:rsid w:val="00D02CB2"/>
    <w:rsid w:val="00D0394E"/>
    <w:rsid w:val="00D03BA5"/>
    <w:rsid w:val="00D067BB"/>
    <w:rsid w:val="00D06883"/>
    <w:rsid w:val="00D068CA"/>
    <w:rsid w:val="00D070CC"/>
    <w:rsid w:val="00D1352A"/>
    <w:rsid w:val="00D13EDE"/>
    <w:rsid w:val="00D169AF"/>
    <w:rsid w:val="00D16B2C"/>
    <w:rsid w:val="00D1730A"/>
    <w:rsid w:val="00D2011A"/>
    <w:rsid w:val="00D25249"/>
    <w:rsid w:val="00D255A7"/>
    <w:rsid w:val="00D27A70"/>
    <w:rsid w:val="00D30535"/>
    <w:rsid w:val="00D351D9"/>
    <w:rsid w:val="00D356A4"/>
    <w:rsid w:val="00D44172"/>
    <w:rsid w:val="00D45AD5"/>
    <w:rsid w:val="00D47125"/>
    <w:rsid w:val="00D4796C"/>
    <w:rsid w:val="00D50197"/>
    <w:rsid w:val="00D526D8"/>
    <w:rsid w:val="00D5366C"/>
    <w:rsid w:val="00D53A8B"/>
    <w:rsid w:val="00D53C30"/>
    <w:rsid w:val="00D57C0A"/>
    <w:rsid w:val="00D6276D"/>
    <w:rsid w:val="00D63B8C"/>
    <w:rsid w:val="00D656AE"/>
    <w:rsid w:val="00D70646"/>
    <w:rsid w:val="00D712FD"/>
    <w:rsid w:val="00D72CB6"/>
    <w:rsid w:val="00D739CC"/>
    <w:rsid w:val="00D749D0"/>
    <w:rsid w:val="00D75EEC"/>
    <w:rsid w:val="00D80149"/>
    <w:rsid w:val="00D805B1"/>
    <w:rsid w:val="00D8093D"/>
    <w:rsid w:val="00D8108C"/>
    <w:rsid w:val="00D82403"/>
    <w:rsid w:val="00D842AE"/>
    <w:rsid w:val="00D86521"/>
    <w:rsid w:val="00D9211C"/>
    <w:rsid w:val="00D92DE0"/>
    <w:rsid w:val="00D92FEF"/>
    <w:rsid w:val="00D93435"/>
    <w:rsid w:val="00D93A0F"/>
    <w:rsid w:val="00D94CE8"/>
    <w:rsid w:val="00DA0B9F"/>
    <w:rsid w:val="00DA1BCA"/>
    <w:rsid w:val="00DA1E62"/>
    <w:rsid w:val="00DA236E"/>
    <w:rsid w:val="00DA272C"/>
    <w:rsid w:val="00DA3D87"/>
    <w:rsid w:val="00DA3FFA"/>
    <w:rsid w:val="00DA48F9"/>
    <w:rsid w:val="00DA5E51"/>
    <w:rsid w:val="00DA698E"/>
    <w:rsid w:val="00DA7191"/>
    <w:rsid w:val="00DA7299"/>
    <w:rsid w:val="00DB3683"/>
    <w:rsid w:val="00DB36B7"/>
    <w:rsid w:val="00DB3E23"/>
    <w:rsid w:val="00DB5A28"/>
    <w:rsid w:val="00DB634D"/>
    <w:rsid w:val="00DB73C7"/>
    <w:rsid w:val="00DC46FF"/>
    <w:rsid w:val="00DC5254"/>
    <w:rsid w:val="00DC58F6"/>
    <w:rsid w:val="00DD089E"/>
    <w:rsid w:val="00DD1A4F"/>
    <w:rsid w:val="00DD2643"/>
    <w:rsid w:val="00DD3107"/>
    <w:rsid w:val="00DD35C3"/>
    <w:rsid w:val="00DD5EFF"/>
    <w:rsid w:val="00DD7C2C"/>
    <w:rsid w:val="00DE6E55"/>
    <w:rsid w:val="00DE7999"/>
    <w:rsid w:val="00DF15EB"/>
    <w:rsid w:val="00DF1745"/>
    <w:rsid w:val="00DF242A"/>
    <w:rsid w:val="00DF46ED"/>
    <w:rsid w:val="00DF5660"/>
    <w:rsid w:val="00E01C9A"/>
    <w:rsid w:val="00E054AE"/>
    <w:rsid w:val="00E0574F"/>
    <w:rsid w:val="00E06797"/>
    <w:rsid w:val="00E07FB7"/>
    <w:rsid w:val="00E107CB"/>
    <w:rsid w:val="00E10B12"/>
    <w:rsid w:val="00E11C57"/>
    <w:rsid w:val="00E122BC"/>
    <w:rsid w:val="00E1265B"/>
    <w:rsid w:val="00E13A93"/>
    <w:rsid w:val="00E13B48"/>
    <w:rsid w:val="00E1404F"/>
    <w:rsid w:val="00E17B85"/>
    <w:rsid w:val="00E212EF"/>
    <w:rsid w:val="00E21C83"/>
    <w:rsid w:val="00E24ADA"/>
    <w:rsid w:val="00E24EF3"/>
    <w:rsid w:val="00E256F6"/>
    <w:rsid w:val="00E27825"/>
    <w:rsid w:val="00E3057C"/>
    <w:rsid w:val="00E31D7E"/>
    <w:rsid w:val="00E32F59"/>
    <w:rsid w:val="00E33215"/>
    <w:rsid w:val="00E347DB"/>
    <w:rsid w:val="00E37F15"/>
    <w:rsid w:val="00E440CD"/>
    <w:rsid w:val="00E46D9A"/>
    <w:rsid w:val="00E509D1"/>
    <w:rsid w:val="00E54B68"/>
    <w:rsid w:val="00E565FF"/>
    <w:rsid w:val="00E600D6"/>
    <w:rsid w:val="00E603F9"/>
    <w:rsid w:val="00E630BA"/>
    <w:rsid w:val="00E63C75"/>
    <w:rsid w:val="00E63C7A"/>
    <w:rsid w:val="00E63FC9"/>
    <w:rsid w:val="00E65388"/>
    <w:rsid w:val="00E66DF7"/>
    <w:rsid w:val="00E67833"/>
    <w:rsid w:val="00E71B4F"/>
    <w:rsid w:val="00E74ACB"/>
    <w:rsid w:val="00E74BC6"/>
    <w:rsid w:val="00E82320"/>
    <w:rsid w:val="00E8479F"/>
    <w:rsid w:val="00E84FDF"/>
    <w:rsid w:val="00E85B7D"/>
    <w:rsid w:val="00E87B85"/>
    <w:rsid w:val="00E9121B"/>
    <w:rsid w:val="00E91714"/>
    <w:rsid w:val="00E918CC"/>
    <w:rsid w:val="00E94B48"/>
    <w:rsid w:val="00E96526"/>
    <w:rsid w:val="00E96614"/>
    <w:rsid w:val="00EA0AE2"/>
    <w:rsid w:val="00EA10B7"/>
    <w:rsid w:val="00EA292F"/>
    <w:rsid w:val="00EA39E5"/>
    <w:rsid w:val="00EA465F"/>
    <w:rsid w:val="00EA6441"/>
    <w:rsid w:val="00EA6D6E"/>
    <w:rsid w:val="00EA777B"/>
    <w:rsid w:val="00EB2878"/>
    <w:rsid w:val="00EB3106"/>
    <w:rsid w:val="00EB3E8D"/>
    <w:rsid w:val="00EB573F"/>
    <w:rsid w:val="00EB61AA"/>
    <w:rsid w:val="00EB7284"/>
    <w:rsid w:val="00EC0A50"/>
    <w:rsid w:val="00EC5A46"/>
    <w:rsid w:val="00EC63E2"/>
    <w:rsid w:val="00EC680C"/>
    <w:rsid w:val="00ED0087"/>
    <w:rsid w:val="00ED1E8D"/>
    <w:rsid w:val="00ED1F3E"/>
    <w:rsid w:val="00ED2A4B"/>
    <w:rsid w:val="00ED3223"/>
    <w:rsid w:val="00EE1BA8"/>
    <w:rsid w:val="00EE1E98"/>
    <w:rsid w:val="00EE397B"/>
    <w:rsid w:val="00EE4483"/>
    <w:rsid w:val="00EE4EC2"/>
    <w:rsid w:val="00EE4F8C"/>
    <w:rsid w:val="00EE5261"/>
    <w:rsid w:val="00EE5D64"/>
    <w:rsid w:val="00EE7CE2"/>
    <w:rsid w:val="00EF1021"/>
    <w:rsid w:val="00EF162E"/>
    <w:rsid w:val="00EF1DFC"/>
    <w:rsid w:val="00EF22B3"/>
    <w:rsid w:val="00EF469A"/>
    <w:rsid w:val="00EF6256"/>
    <w:rsid w:val="00EF64EA"/>
    <w:rsid w:val="00EF697A"/>
    <w:rsid w:val="00F011E7"/>
    <w:rsid w:val="00F03B69"/>
    <w:rsid w:val="00F0762E"/>
    <w:rsid w:val="00F07A50"/>
    <w:rsid w:val="00F1026A"/>
    <w:rsid w:val="00F113DA"/>
    <w:rsid w:val="00F122F3"/>
    <w:rsid w:val="00F162ED"/>
    <w:rsid w:val="00F163E9"/>
    <w:rsid w:val="00F21F34"/>
    <w:rsid w:val="00F22222"/>
    <w:rsid w:val="00F23184"/>
    <w:rsid w:val="00F242FF"/>
    <w:rsid w:val="00F2430F"/>
    <w:rsid w:val="00F25F15"/>
    <w:rsid w:val="00F26926"/>
    <w:rsid w:val="00F269F3"/>
    <w:rsid w:val="00F315B6"/>
    <w:rsid w:val="00F319FC"/>
    <w:rsid w:val="00F323B5"/>
    <w:rsid w:val="00F3324F"/>
    <w:rsid w:val="00F37DC8"/>
    <w:rsid w:val="00F41FBC"/>
    <w:rsid w:val="00F439B3"/>
    <w:rsid w:val="00F43BED"/>
    <w:rsid w:val="00F43F15"/>
    <w:rsid w:val="00F45AA8"/>
    <w:rsid w:val="00F502DD"/>
    <w:rsid w:val="00F50EBE"/>
    <w:rsid w:val="00F511D5"/>
    <w:rsid w:val="00F516C2"/>
    <w:rsid w:val="00F52A1B"/>
    <w:rsid w:val="00F61171"/>
    <w:rsid w:val="00F620AD"/>
    <w:rsid w:val="00F638FC"/>
    <w:rsid w:val="00F6414F"/>
    <w:rsid w:val="00F65053"/>
    <w:rsid w:val="00F650C3"/>
    <w:rsid w:val="00F65530"/>
    <w:rsid w:val="00F6578E"/>
    <w:rsid w:val="00F65987"/>
    <w:rsid w:val="00F65D85"/>
    <w:rsid w:val="00F66F99"/>
    <w:rsid w:val="00F672EB"/>
    <w:rsid w:val="00F7203C"/>
    <w:rsid w:val="00F72FC9"/>
    <w:rsid w:val="00F73F66"/>
    <w:rsid w:val="00F74966"/>
    <w:rsid w:val="00F74C7B"/>
    <w:rsid w:val="00F75453"/>
    <w:rsid w:val="00F76EBC"/>
    <w:rsid w:val="00F77ACD"/>
    <w:rsid w:val="00F8091E"/>
    <w:rsid w:val="00F80BFE"/>
    <w:rsid w:val="00F855BC"/>
    <w:rsid w:val="00F8615C"/>
    <w:rsid w:val="00F87017"/>
    <w:rsid w:val="00F9040B"/>
    <w:rsid w:val="00F90ABB"/>
    <w:rsid w:val="00F9164F"/>
    <w:rsid w:val="00F92796"/>
    <w:rsid w:val="00F928D1"/>
    <w:rsid w:val="00F969E5"/>
    <w:rsid w:val="00F978AD"/>
    <w:rsid w:val="00F97AEE"/>
    <w:rsid w:val="00F97E54"/>
    <w:rsid w:val="00FA060A"/>
    <w:rsid w:val="00FA138E"/>
    <w:rsid w:val="00FA1C95"/>
    <w:rsid w:val="00FA2FA9"/>
    <w:rsid w:val="00FA44AD"/>
    <w:rsid w:val="00FA451A"/>
    <w:rsid w:val="00FA4BE7"/>
    <w:rsid w:val="00FA6BB0"/>
    <w:rsid w:val="00FA6E50"/>
    <w:rsid w:val="00FB1DFB"/>
    <w:rsid w:val="00FB545D"/>
    <w:rsid w:val="00FC6389"/>
    <w:rsid w:val="00FD2D77"/>
    <w:rsid w:val="00FD5860"/>
    <w:rsid w:val="00FE048C"/>
    <w:rsid w:val="00FE11C8"/>
    <w:rsid w:val="00FE1845"/>
    <w:rsid w:val="00FE1A93"/>
    <w:rsid w:val="00FE2421"/>
    <w:rsid w:val="00FE352D"/>
    <w:rsid w:val="00FE40EB"/>
    <w:rsid w:val="00FE4D02"/>
    <w:rsid w:val="00FE51C9"/>
    <w:rsid w:val="00FE7B2F"/>
    <w:rsid w:val="00FE7D62"/>
    <w:rsid w:val="00FF168A"/>
    <w:rsid w:val="00FF34B9"/>
    <w:rsid w:val="00FF3751"/>
    <w:rsid w:val="00FF3819"/>
    <w:rsid w:val="0BB9434C"/>
    <w:rsid w:val="114197EF"/>
    <w:rsid w:val="25DCF25B"/>
    <w:rsid w:val="27729950"/>
    <w:rsid w:val="2BEBCCF8"/>
    <w:rsid w:val="373670E1"/>
    <w:rsid w:val="46F5F918"/>
    <w:rsid w:val="6406EE9A"/>
    <w:rsid w:val="6D1662B6"/>
    <w:rsid w:val="7F750A3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B0EE4"/>
  <w15:chartTrackingRefBased/>
  <w15:docId w15:val="{B9878DF5-D1B2-4F23-A6E7-6611118C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1112F2"/>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rsid w:val="00C20895"/>
    <w:pPr>
      <w:numPr>
        <w:numId w:val="1"/>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rsid w:val="00C20895"/>
    <w:pPr>
      <w:numPr>
        <w:numId w:val="2"/>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rsid w:val="00C20895"/>
    <w:pPr>
      <w:numPr>
        <w:numId w:val="3"/>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rsid w:val="00C20895"/>
    <w:pPr>
      <w:keepNext/>
      <w:keepLines/>
      <w:numPr>
        <w:ilvl w:val="3"/>
        <w:numId w:val="1"/>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rsid w:val="00C20895"/>
    <w:pPr>
      <w:numPr>
        <w:numId w:val="4"/>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20895"/>
    <w:pPr>
      <w:numPr>
        <w:ilvl w:val="5"/>
        <w:numId w:val="1"/>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20895"/>
    <w:pPr>
      <w:widowControl w:val="0"/>
      <w:numPr>
        <w:ilvl w:val="6"/>
        <w:numId w:val="1"/>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20895"/>
    <w:pPr>
      <w:widowControl w:val="0"/>
      <w:numPr>
        <w:ilvl w:val="7"/>
        <w:numId w:val="1"/>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20895"/>
    <w:pPr>
      <w:keepNext/>
      <w:widowControl w:val="0"/>
      <w:numPr>
        <w:ilvl w:val="8"/>
        <w:numId w:val="1"/>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20895"/>
    <w:rPr>
      <w:rFonts w:ascii="Times New Roman" w:hAnsi="Times New Roman"/>
      <w:b/>
      <w:sz w:val="18"/>
    </w:rPr>
  </w:style>
  <w:style w:type="table" w:customStyle="1" w:styleId="Tabledocright">
    <w:name w:val="Table_doc_right"/>
    <w:basedOn w:val="TableNormal"/>
    <w:rsid w:val="00C20895"/>
    <w:pPr>
      <w:spacing w:before="40" w:after="40"/>
    </w:pPr>
    <w:rPr>
      <w:sz w:val="18"/>
      <w:szCs w:val="18"/>
    </w:rPr>
    <w:tblPr/>
  </w:style>
  <w:style w:type="paragraph" w:styleId="TOC6">
    <w:name w:val="toc 6"/>
    <w:basedOn w:val="Normal"/>
    <w:next w:val="Normal"/>
    <w:semiHidden/>
    <w:rsid w:val="00C20895"/>
    <w:pPr>
      <w:ind w:left="1000"/>
    </w:pPr>
    <w:rPr>
      <w:sz w:val="18"/>
      <w:szCs w:val="18"/>
    </w:rPr>
  </w:style>
  <w:style w:type="paragraph" w:styleId="TOC7">
    <w:name w:val="toc 7"/>
    <w:basedOn w:val="Normal"/>
    <w:next w:val="Normal"/>
    <w:autoRedefine/>
    <w:semiHidden/>
    <w:rsid w:val="00C20895"/>
    <w:pPr>
      <w:ind w:left="1200"/>
    </w:pPr>
    <w:rPr>
      <w:sz w:val="18"/>
      <w:szCs w:val="18"/>
    </w:rPr>
  </w:style>
  <w:style w:type="paragraph" w:styleId="TOC8">
    <w:name w:val="toc 8"/>
    <w:basedOn w:val="Normal"/>
    <w:next w:val="Normal"/>
    <w:autoRedefine/>
    <w:semiHidden/>
    <w:rsid w:val="00C20895"/>
    <w:pPr>
      <w:ind w:left="1400"/>
    </w:pPr>
    <w:rPr>
      <w:sz w:val="18"/>
      <w:szCs w:val="18"/>
    </w:rPr>
  </w:style>
  <w:style w:type="paragraph" w:styleId="TOC9">
    <w:name w:val="toc 9"/>
    <w:basedOn w:val="Normal"/>
    <w:next w:val="Normal"/>
    <w:autoRedefine/>
    <w:semiHidden/>
    <w:rsid w:val="00C20895"/>
    <w:pPr>
      <w:ind w:left="1600"/>
    </w:pPr>
    <w:rPr>
      <w:sz w:val="18"/>
      <w:szCs w:val="18"/>
    </w:rPr>
  </w:style>
  <w:style w:type="paragraph" w:customStyle="1" w:styleId="Titlefigure">
    <w:name w:val="Title_figure"/>
    <w:basedOn w:val="Titletable"/>
    <w:next w:val="NormalNonumber"/>
    <w:rsid w:val="00C20895"/>
    <w:pPr>
      <w:tabs>
        <w:tab w:val="clear" w:pos="4990"/>
      </w:tabs>
    </w:pPr>
    <w:rPr>
      <w:bCs w:val="0"/>
    </w:rPr>
  </w:style>
  <w:style w:type="paragraph" w:styleId="TableofFigures">
    <w:name w:val="table of figures"/>
    <w:basedOn w:val="Normal"/>
    <w:next w:val="Normal"/>
    <w:autoRedefine/>
    <w:semiHidden/>
    <w:rsid w:val="00C20895"/>
    <w:pPr>
      <w:ind w:left="1814" w:hanging="567"/>
    </w:pPr>
  </w:style>
  <w:style w:type="paragraph" w:customStyle="1" w:styleId="CH1">
    <w:name w:val="CH1"/>
    <w:basedOn w:val="Normal-pool"/>
    <w:next w:val="CH2"/>
    <w:qFormat/>
    <w:rsid w:val="00C2089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2089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2089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20895"/>
    <w:rPr>
      <w:rFonts w:ascii="Arial" w:hAnsi="Arial"/>
      <w:sz w:val="16"/>
    </w:rPr>
    <w:tblPr/>
  </w:style>
  <w:style w:type="paragraph" w:customStyle="1" w:styleId="CH5">
    <w:name w:val="CH5"/>
    <w:basedOn w:val="Normal-pool"/>
    <w:next w:val="Normalnumber"/>
    <w:unhideWhenUsed/>
    <w:rsid w:val="00C2089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20895"/>
    <w:pPr>
      <w:tabs>
        <w:tab w:val="left" w:pos="4321"/>
        <w:tab w:val="right" w:pos="8641"/>
      </w:tabs>
      <w:spacing w:before="60"/>
    </w:pPr>
    <w:rPr>
      <w:b/>
      <w:sz w:val="18"/>
    </w:rPr>
  </w:style>
  <w:style w:type="paragraph" w:customStyle="1" w:styleId="Footer-pool">
    <w:name w:val="Footer-pool"/>
    <w:basedOn w:val="Normal-pool"/>
    <w:next w:val="Normal-pool"/>
    <w:rsid w:val="00C20895"/>
    <w:pPr>
      <w:tabs>
        <w:tab w:val="right" w:pos="8641"/>
      </w:tabs>
      <w:spacing w:after="120"/>
    </w:pPr>
    <w:rPr>
      <w:b/>
      <w:sz w:val="18"/>
    </w:rPr>
  </w:style>
  <w:style w:type="paragraph" w:customStyle="1" w:styleId="Header-pool">
    <w:name w:val="Header-pool"/>
    <w:basedOn w:val="Normal"/>
    <w:next w:val="Normal"/>
    <w:rsid w:val="00C20895"/>
    <w:pPr>
      <w:pBdr>
        <w:bottom w:val="single" w:sz="4" w:space="1" w:color="auto"/>
      </w:pBdr>
      <w:tabs>
        <w:tab w:val="right" w:pos="9072"/>
      </w:tabs>
    </w:pPr>
    <w:rPr>
      <w:b/>
      <w:sz w:val="18"/>
    </w:rPr>
  </w:style>
  <w:style w:type="character" w:styleId="FootnoteReference">
    <w:name w:val="footnote reference"/>
    <w:aliases w:val="Footnote text,16 Point,Superscript 6 Point,Footnote Text1,Footnote Text2,number,Footnote reference number,Footnote symbol,note TESI,-E Fußnotenzeichen,SUPERS,stylish,ftref,Footnote Reference Superscript,-E Fuﬂnotenzeichen,fr,Ref,註腳內容"/>
    <w:uiPriority w:val="99"/>
    <w:unhideWhenUsed/>
    <w:qFormat/>
    <w:rsid w:val="00C20895"/>
    <w:rPr>
      <w:rFonts w:ascii="Times New Roman" w:hAnsi="Times New Roman"/>
      <w:color w:val="auto"/>
      <w:sz w:val="20"/>
      <w:szCs w:val="18"/>
      <w:vertAlign w:val="superscript"/>
    </w:rPr>
  </w:style>
  <w:style w:type="table" w:customStyle="1" w:styleId="AATable">
    <w:name w:val="AA_Table"/>
    <w:basedOn w:val="TableNormal"/>
    <w:semiHidden/>
    <w:rsid w:val="00C20895"/>
    <w:tblPr>
      <w:tblStyleRowBandSize w:val="1"/>
      <w:tblStyleColBandSize w:val="1"/>
      <w:jc w:val="right"/>
    </w:tblPr>
    <w:trPr>
      <w:jc w:val="right"/>
    </w:trPr>
    <w:tcPr>
      <w:tcBorders>
        <w:bottom w:val="single" w:sz="4" w:space="0" w:color="auto"/>
      </w:tcBorders>
    </w:tc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C20895"/>
    <w:pPr>
      <w:keepNext/>
      <w:keepLines/>
      <w:suppressAutoHyphens/>
    </w:pPr>
    <w:rPr>
      <w:b/>
    </w:rPr>
  </w:style>
  <w:style w:type="paragraph" w:customStyle="1" w:styleId="AATitle2">
    <w:name w:val="AA_Title2"/>
    <w:basedOn w:val="AATitle"/>
    <w:rsid w:val="00C20895"/>
    <w:pPr>
      <w:keepNext w:val="0"/>
      <w:keepLines w:val="0"/>
      <w:tabs>
        <w:tab w:val="clear" w:pos="4990"/>
      </w:tabs>
      <w:spacing w:before="120" w:after="120"/>
    </w:pPr>
  </w:style>
  <w:style w:type="paragraph" w:customStyle="1" w:styleId="BBTitle">
    <w:name w:val="BB_Title"/>
    <w:basedOn w:val="Normal-pool"/>
    <w:link w:val="BBTitleChar"/>
    <w:qFormat/>
    <w:rsid w:val="00C20895"/>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20895"/>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20895"/>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C20895"/>
    <w:rPr>
      <w:color w:val="0000FF"/>
      <w:u w:val="none"/>
    </w:rPr>
  </w:style>
  <w:style w:type="numbering" w:customStyle="1" w:styleId="Normallist">
    <w:name w:val="Normal_list"/>
    <w:basedOn w:val="NoList"/>
    <w:rsid w:val="00C20895"/>
    <w:pPr>
      <w:numPr>
        <w:numId w:val="15"/>
      </w:numPr>
    </w:pPr>
  </w:style>
  <w:style w:type="paragraph" w:customStyle="1" w:styleId="NormalNonumber">
    <w:name w:val="Normal_No_number"/>
    <w:basedOn w:val="Normal-pool"/>
    <w:qFormat/>
    <w:rsid w:val="00C20895"/>
    <w:pPr>
      <w:spacing w:after="120"/>
      <w:ind w:left="1247"/>
    </w:pPr>
  </w:style>
  <w:style w:type="paragraph" w:customStyle="1" w:styleId="Normalnumber">
    <w:name w:val="Normal_number"/>
    <w:basedOn w:val="Normal"/>
    <w:link w:val="NormalnumberChar"/>
    <w:qFormat/>
    <w:rsid w:val="00C20895"/>
    <w:pPr>
      <w:numPr>
        <w:numId w:val="23"/>
      </w:numPr>
      <w:spacing w:after="120"/>
    </w:pPr>
  </w:style>
  <w:style w:type="paragraph" w:customStyle="1" w:styleId="Titletable">
    <w:name w:val="Title_table"/>
    <w:basedOn w:val="Normal-pool"/>
    <w:next w:val="NormalNonumber"/>
    <w:rsid w:val="00C20895"/>
    <w:pPr>
      <w:keepNext/>
      <w:keepLines/>
      <w:suppressAutoHyphens/>
      <w:spacing w:after="60"/>
      <w:ind w:left="1247"/>
    </w:pPr>
    <w:rPr>
      <w:b/>
      <w:bCs/>
    </w:rPr>
  </w:style>
  <w:style w:type="paragraph" w:styleId="TOC1">
    <w:name w:val="toc 1"/>
    <w:basedOn w:val="Normal"/>
    <w:next w:val="Normal"/>
    <w:autoRedefine/>
    <w:uiPriority w:val="39"/>
    <w:unhideWhenUsed/>
    <w:rsid w:val="00C20895"/>
    <w:pPr>
      <w:tabs>
        <w:tab w:val="right" w:leader="dot" w:pos="9486"/>
      </w:tabs>
      <w:spacing w:before="240"/>
      <w:ind w:left="1984" w:hanging="737"/>
    </w:pPr>
    <w:rPr>
      <w:bCs/>
    </w:rPr>
  </w:style>
  <w:style w:type="paragraph" w:styleId="TOC2">
    <w:name w:val="toc 2"/>
    <w:basedOn w:val="Normal"/>
    <w:next w:val="Normal"/>
    <w:uiPriority w:val="39"/>
    <w:unhideWhenUsed/>
    <w:rsid w:val="00C20895"/>
    <w:pPr>
      <w:tabs>
        <w:tab w:val="right" w:leader="dot" w:pos="9486"/>
      </w:tabs>
      <w:spacing w:before="60"/>
      <w:ind w:left="2608" w:hanging="737"/>
    </w:pPr>
  </w:style>
  <w:style w:type="paragraph" w:styleId="TOC3">
    <w:name w:val="toc 3"/>
    <w:basedOn w:val="Normal"/>
    <w:next w:val="Normal"/>
    <w:uiPriority w:val="39"/>
    <w:unhideWhenUsed/>
    <w:rsid w:val="00C20895"/>
    <w:pPr>
      <w:tabs>
        <w:tab w:val="right" w:leader="dot" w:pos="9486"/>
      </w:tabs>
      <w:ind w:left="3232" w:hanging="737"/>
    </w:pPr>
    <w:rPr>
      <w:iCs/>
    </w:rPr>
  </w:style>
  <w:style w:type="paragraph" w:styleId="TOC4">
    <w:name w:val="toc 4"/>
    <w:basedOn w:val="Normal"/>
    <w:next w:val="Normal"/>
    <w:uiPriority w:val="39"/>
    <w:unhideWhenUsed/>
    <w:rsid w:val="00C20895"/>
    <w:pPr>
      <w:tabs>
        <w:tab w:val="left" w:pos="1000"/>
        <w:tab w:val="right" w:leader="dot" w:pos="9486"/>
      </w:tabs>
      <w:ind w:left="3856" w:hanging="737"/>
    </w:pPr>
    <w:rPr>
      <w:szCs w:val="18"/>
    </w:rPr>
  </w:style>
  <w:style w:type="paragraph" w:styleId="TOC5">
    <w:name w:val="toc 5"/>
    <w:basedOn w:val="Normal"/>
    <w:next w:val="Normal"/>
    <w:uiPriority w:val="39"/>
    <w:rsid w:val="00C20895"/>
    <w:pPr>
      <w:tabs>
        <w:tab w:val="right" w:leader="dot" w:pos="9486"/>
      </w:tabs>
      <w:ind w:left="4479" w:hanging="737"/>
    </w:pPr>
    <w:rPr>
      <w:sz w:val="18"/>
      <w:szCs w:val="18"/>
    </w:rPr>
  </w:style>
  <w:style w:type="paragraph" w:customStyle="1" w:styleId="ZZAnxheader">
    <w:name w:val="ZZ_Anx_header"/>
    <w:basedOn w:val="Normal-pool"/>
    <w:rsid w:val="00C20895"/>
    <w:rPr>
      <w:b/>
      <w:bCs/>
      <w:sz w:val="28"/>
      <w:szCs w:val="22"/>
    </w:rPr>
  </w:style>
  <w:style w:type="paragraph" w:customStyle="1" w:styleId="ZZAnxtitle">
    <w:name w:val="ZZ_Anx_title"/>
    <w:basedOn w:val="Normal-pool"/>
    <w:rsid w:val="00C20895"/>
    <w:pPr>
      <w:spacing w:before="360" w:after="120"/>
      <w:ind w:left="1247"/>
    </w:pPr>
    <w:rPr>
      <w:b/>
      <w:bCs/>
      <w:sz w:val="28"/>
      <w:szCs w:val="26"/>
    </w:rPr>
  </w:style>
  <w:style w:type="paragraph" w:styleId="NormalWeb">
    <w:name w:val="Normal (Web)"/>
    <w:basedOn w:val="Normal"/>
    <w:uiPriority w:val="99"/>
    <w:semiHidden/>
    <w:unhideWhenUsed/>
    <w:rsid w:val="00C2089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20895"/>
    <w:pPr>
      <w:spacing w:before="40" w:after="40"/>
    </w:pPr>
    <w:rPr>
      <w:sz w:val="18"/>
    </w:rPr>
  </w:style>
  <w:style w:type="paragraph" w:customStyle="1" w:styleId="Footnote-Text">
    <w:name w:val="Footnote-Text"/>
    <w:basedOn w:val="Normal-pool"/>
    <w:rsid w:val="00C20895"/>
    <w:pPr>
      <w:spacing w:before="20" w:after="40"/>
      <w:ind w:left="1247"/>
    </w:pPr>
    <w:rPr>
      <w:sz w:val="18"/>
    </w:rPr>
  </w:style>
  <w:style w:type="paragraph" w:customStyle="1" w:styleId="AConvName">
    <w:name w:val="A_ConvName"/>
    <w:basedOn w:val="Normal-pool"/>
    <w:next w:val="Normal-pool"/>
    <w:rsid w:val="00C20895"/>
    <w:pPr>
      <w:spacing w:before="120" w:after="240"/>
    </w:pPr>
    <w:rPr>
      <w:rFonts w:ascii="Arial" w:hAnsi="Arial"/>
      <w:b/>
      <w:sz w:val="28"/>
    </w:rPr>
  </w:style>
  <w:style w:type="paragraph" w:customStyle="1" w:styleId="ASymbol">
    <w:name w:val="A_Symbol"/>
    <w:basedOn w:val="Normal-pool"/>
    <w:rsid w:val="00C20895"/>
    <w:pPr>
      <w:tabs>
        <w:tab w:val="clear" w:pos="624"/>
        <w:tab w:val="clear" w:pos="1247"/>
        <w:tab w:val="right" w:pos="2920"/>
      </w:tabs>
    </w:pPr>
    <w:rPr>
      <w:rFonts w:eastAsia="SimSun"/>
    </w:rPr>
  </w:style>
  <w:style w:type="paragraph" w:customStyle="1" w:styleId="AText">
    <w:name w:val="A_Text"/>
    <w:basedOn w:val="Normal-pool"/>
    <w:rsid w:val="00C20895"/>
    <w:pPr>
      <w:spacing w:before="120"/>
    </w:pPr>
  </w:style>
  <w:style w:type="paragraph" w:customStyle="1" w:styleId="ATwoLetters">
    <w:name w:val="A_TwoLetters"/>
    <w:basedOn w:val="Normal-pool"/>
    <w:next w:val="Normal-pool"/>
    <w:rsid w:val="00C2089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2089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20895"/>
    <w:rPr>
      <w:rFonts w:ascii="Tahoma" w:hAnsi="Tahoma" w:cs="Tahoma"/>
      <w:sz w:val="16"/>
      <w:szCs w:val="16"/>
    </w:rPr>
  </w:style>
  <w:style w:type="character" w:customStyle="1" w:styleId="BalloonTextChar">
    <w:name w:val="Balloon Text Char"/>
    <w:basedOn w:val="DefaultParagraphFont"/>
    <w:link w:val="BalloonText"/>
    <w:rsid w:val="00C20895"/>
    <w:rPr>
      <w:rFonts w:ascii="Tahoma" w:eastAsia="Times New Roman" w:hAnsi="Tahoma" w:cs="Tahoma"/>
      <w:sz w:val="16"/>
      <w:szCs w:val="16"/>
    </w:rPr>
  </w:style>
  <w:style w:type="character" w:styleId="CommentReference">
    <w:name w:val="annotation reference"/>
    <w:basedOn w:val="DefaultParagraphFont"/>
    <w:semiHidden/>
    <w:unhideWhenUsed/>
    <w:rsid w:val="00C20895"/>
    <w:rPr>
      <w:sz w:val="16"/>
      <w:szCs w:val="16"/>
    </w:rPr>
  </w:style>
  <w:style w:type="paragraph" w:styleId="CommentText">
    <w:name w:val="annotation text"/>
    <w:basedOn w:val="Normal"/>
    <w:link w:val="CommentTextChar"/>
    <w:unhideWhenUsed/>
    <w:rsid w:val="00C20895"/>
  </w:style>
  <w:style w:type="character" w:customStyle="1" w:styleId="CommentTextChar">
    <w:name w:val="Comment Text Char"/>
    <w:basedOn w:val="DefaultParagraphFont"/>
    <w:link w:val="CommentText"/>
    <w:rsid w:val="00C20895"/>
    <w:rPr>
      <w:rFonts w:eastAsia="Times New Roman"/>
    </w:rPr>
  </w:style>
  <w:style w:type="paragraph" w:styleId="CommentSubject">
    <w:name w:val="annotation subject"/>
    <w:basedOn w:val="CommentText"/>
    <w:next w:val="CommentText"/>
    <w:link w:val="CommentSubjectChar"/>
    <w:semiHidden/>
    <w:unhideWhenUsed/>
    <w:rsid w:val="00C20895"/>
    <w:rPr>
      <w:b/>
      <w:bCs/>
    </w:rPr>
  </w:style>
  <w:style w:type="character" w:customStyle="1" w:styleId="CommentSubjectChar">
    <w:name w:val="Comment Subject Char"/>
    <w:basedOn w:val="CommentTextChar"/>
    <w:link w:val="CommentSubject"/>
    <w:semiHidden/>
    <w:rsid w:val="00C20895"/>
    <w:rPr>
      <w:rFonts w:eastAsia="Times New Roman"/>
      <w:b/>
      <w:bCs/>
    </w:rPr>
  </w:style>
  <w:style w:type="character" w:styleId="FollowedHyperlink">
    <w:name w:val="FollowedHyperlink"/>
    <w:uiPriority w:val="99"/>
    <w:semiHidden/>
    <w:rsid w:val="00C20895"/>
    <w:rPr>
      <w:color w:val="0000FF"/>
      <w:u w:val="none"/>
    </w:rPr>
  </w:style>
  <w:style w:type="character" w:customStyle="1" w:styleId="FooterChar">
    <w:name w:val="Footer Char"/>
    <w:basedOn w:val="DefaultParagraphFont"/>
    <w:link w:val="CH4"/>
    <w:rsid w:val="00C20895"/>
    <w:rPr>
      <w:rFonts w:eastAsia="Times New Roman"/>
      <w:b/>
    </w:rPr>
  </w:style>
  <w:style w:type="character" w:customStyle="1" w:styleId="HeaderChar">
    <w:name w:val="Header Char"/>
    <w:basedOn w:val="DefaultParagraphFont"/>
    <w:link w:val="Header"/>
    <w:semiHidden/>
    <w:rsid w:val="00C20895"/>
    <w:rPr>
      <w:rFonts w:eastAsia="Times New Roman"/>
      <w:b/>
      <w:sz w:val="18"/>
    </w:rPr>
  </w:style>
  <w:style w:type="character" w:customStyle="1" w:styleId="Heading1Char">
    <w:name w:val="Heading 1 Char"/>
    <w:basedOn w:val="DefaultParagraphFont"/>
    <w:link w:val="Heading1"/>
    <w:rsid w:val="00C20895"/>
    <w:rPr>
      <w:rFonts w:eastAsia="Times New Roman" w:cs="Simplified Arabic"/>
      <w:b/>
      <w:sz w:val="28"/>
      <w:szCs w:val="25"/>
    </w:rPr>
  </w:style>
  <w:style w:type="character" w:customStyle="1" w:styleId="Heading2Char">
    <w:name w:val="Heading 2 Char"/>
    <w:basedOn w:val="DefaultParagraphFont"/>
    <w:link w:val="Heading2"/>
    <w:rsid w:val="00C20895"/>
    <w:rPr>
      <w:rFonts w:eastAsia="Times New Roman" w:cs="Simplified Arabic"/>
      <w:b/>
      <w:sz w:val="24"/>
      <w:szCs w:val="25"/>
    </w:rPr>
  </w:style>
  <w:style w:type="character" w:customStyle="1" w:styleId="Heading3Char">
    <w:name w:val="Heading 3 Char"/>
    <w:basedOn w:val="DefaultParagraphFont"/>
    <w:link w:val="Heading3"/>
    <w:rsid w:val="00C20895"/>
    <w:rPr>
      <w:rFonts w:eastAsia="Times New Roman" w:cs="Simplified Arabic"/>
      <w:b/>
      <w:szCs w:val="25"/>
    </w:rPr>
  </w:style>
  <w:style w:type="character" w:customStyle="1" w:styleId="Heading4Char">
    <w:name w:val="Heading 4 Char"/>
    <w:basedOn w:val="DefaultParagraphFont"/>
    <w:link w:val="Heading4"/>
    <w:rsid w:val="00C20895"/>
    <w:rPr>
      <w:rFonts w:cs="Simplified Arabic"/>
      <w:b/>
      <w:szCs w:val="25"/>
    </w:rPr>
  </w:style>
  <w:style w:type="character" w:customStyle="1" w:styleId="Heading5Char">
    <w:name w:val="Heading 5 Char"/>
    <w:basedOn w:val="DefaultParagraphFont"/>
    <w:link w:val="Heading5"/>
    <w:rsid w:val="00C20895"/>
    <w:rPr>
      <w:rFonts w:eastAsia="Times New Roman"/>
      <w:b/>
    </w:rPr>
  </w:style>
  <w:style w:type="character" w:customStyle="1" w:styleId="Heading6Char">
    <w:name w:val="Heading 6 Char"/>
    <w:basedOn w:val="DefaultParagraphFont"/>
    <w:link w:val="Heading6"/>
    <w:semiHidden/>
    <w:rsid w:val="00C20895"/>
    <w:rPr>
      <w:rFonts w:eastAsia="Times New Roman"/>
      <w:bCs/>
      <w:sz w:val="24"/>
    </w:rPr>
  </w:style>
  <w:style w:type="character" w:customStyle="1" w:styleId="Heading7Char">
    <w:name w:val="Heading 7 Char"/>
    <w:basedOn w:val="DefaultParagraphFont"/>
    <w:link w:val="Heading7"/>
    <w:semiHidden/>
    <w:rsid w:val="00C20895"/>
    <w:rPr>
      <w:rFonts w:eastAsia="Times New Roman"/>
      <w:b/>
      <w:snapToGrid w:val="0"/>
      <w:u w:val="single"/>
    </w:rPr>
  </w:style>
  <w:style w:type="character" w:customStyle="1" w:styleId="Heading8Char">
    <w:name w:val="Heading 8 Char"/>
    <w:basedOn w:val="DefaultParagraphFont"/>
    <w:link w:val="Heading8"/>
    <w:semiHidden/>
    <w:rsid w:val="00C20895"/>
    <w:rPr>
      <w:rFonts w:eastAsia="Times New Roman"/>
      <w:b/>
      <w:snapToGrid w:val="0"/>
      <w:u w:val="single"/>
    </w:rPr>
  </w:style>
  <w:style w:type="character" w:customStyle="1" w:styleId="Heading9Char">
    <w:name w:val="Heading 9 Char"/>
    <w:basedOn w:val="DefaultParagraphFont"/>
    <w:link w:val="Heading9"/>
    <w:semiHidden/>
    <w:rsid w:val="00C20895"/>
    <w:rPr>
      <w:rFonts w:cs="Simplified Arabic"/>
      <w:snapToGrid w:val="0"/>
      <w:szCs w:val="30"/>
      <w:u w:val="single"/>
    </w:rPr>
  </w:style>
  <w:style w:type="paragraph" w:styleId="ListParagraph">
    <w:name w:val="List Paragraph"/>
    <w:basedOn w:val="Normal"/>
    <w:link w:val="ListParagraphChar"/>
    <w:uiPriority w:val="34"/>
    <w:qFormat/>
    <w:rsid w:val="00C20895"/>
    <w:pPr>
      <w:ind w:left="720"/>
      <w:contextualSpacing/>
    </w:pPr>
  </w:style>
  <w:style w:type="paragraph" w:styleId="NoSpacing">
    <w:name w:val="No Spacing"/>
    <w:uiPriority w:val="1"/>
    <w:qFormat/>
    <w:rsid w:val="00C20895"/>
    <w:rPr>
      <w:rFonts w:asciiTheme="minorHAnsi" w:eastAsiaTheme="minorHAnsi" w:hAnsiTheme="minorHAnsi" w:cstheme="minorBidi"/>
      <w:sz w:val="22"/>
      <w:szCs w:val="22"/>
    </w:rPr>
  </w:style>
  <w:style w:type="character" w:customStyle="1" w:styleId="NormalnumberChar">
    <w:name w:val="Normal_number Char"/>
    <w:link w:val="Normalnumber"/>
    <w:qFormat/>
    <w:rsid w:val="00C20895"/>
    <w:rPr>
      <w:rFonts w:cs="Simplified Arabic"/>
      <w:szCs w:val="30"/>
    </w:rPr>
  </w:style>
  <w:style w:type="character" w:styleId="PlaceholderText">
    <w:name w:val="Placeholder Text"/>
    <w:basedOn w:val="DefaultParagraphFont"/>
    <w:uiPriority w:val="99"/>
    <w:semiHidden/>
    <w:rsid w:val="00C20895"/>
    <w:rPr>
      <w:color w:val="808080"/>
    </w:rPr>
  </w:style>
  <w:style w:type="table" w:styleId="TableGrid">
    <w:name w:val="Table Grid"/>
    <w:basedOn w:val="TableNormal"/>
    <w:rsid w:val="00C20895"/>
    <w:tblPr/>
  </w:style>
  <w:style w:type="paragraph" w:customStyle="1" w:styleId="ALogo">
    <w:name w:val="A_Logo"/>
    <w:basedOn w:val="Normal-pool"/>
    <w:link w:val="ALogoChar"/>
    <w:rsid w:val="00C20895"/>
    <w:pPr>
      <w:spacing w:before="120" w:after="240"/>
    </w:pPr>
  </w:style>
  <w:style w:type="character" w:customStyle="1" w:styleId="ALogoChar">
    <w:name w:val="A_Logo Char"/>
    <w:basedOn w:val="DefaultParagraphFont"/>
    <w:link w:val="ALogo"/>
    <w:rsid w:val="00C20895"/>
    <w:rPr>
      <w:rFonts w:eastAsia="Times New Roman"/>
    </w:rPr>
  </w:style>
  <w:style w:type="paragraph" w:customStyle="1" w:styleId="ASpacer">
    <w:name w:val="A_Spacer"/>
    <w:basedOn w:val="Normal-pool"/>
    <w:link w:val="ASpacerChar"/>
    <w:qFormat/>
    <w:rsid w:val="00C20895"/>
    <w:rPr>
      <w:sz w:val="2"/>
    </w:rPr>
  </w:style>
  <w:style w:type="character" w:customStyle="1" w:styleId="ASpacerChar">
    <w:name w:val="A_Spacer Char"/>
    <w:basedOn w:val="DefaultParagraphFont"/>
    <w:link w:val="ASpacer"/>
    <w:rsid w:val="00C20895"/>
    <w:rPr>
      <w:rFonts w:eastAsia="Times New Roman"/>
      <w:sz w:val="2"/>
    </w:rPr>
  </w:style>
  <w:style w:type="paragraph" w:customStyle="1" w:styleId="AATitle1">
    <w:name w:val="AA_Title1"/>
    <w:basedOn w:val="Normal-pool"/>
    <w:rsid w:val="00C20895"/>
  </w:style>
  <w:style w:type="character" w:styleId="UnresolvedMention">
    <w:name w:val="Unresolved Mention"/>
    <w:basedOn w:val="DefaultParagraphFont"/>
    <w:uiPriority w:val="99"/>
    <w:semiHidden/>
    <w:rsid w:val="00C20895"/>
    <w:rPr>
      <w:color w:val="605E5C"/>
      <w:shd w:val="clear" w:color="auto" w:fill="E1DFDD"/>
    </w:rPr>
  </w:style>
  <w:style w:type="paragraph" w:customStyle="1" w:styleId="ANormal">
    <w:name w:val="A_Normal"/>
    <w:basedOn w:val="Normal-pool"/>
    <w:rsid w:val="00C20895"/>
  </w:style>
  <w:style w:type="paragraph" w:customStyle="1" w:styleId="AText0">
    <w:name w:val="A_Text0"/>
    <w:basedOn w:val="AText"/>
    <w:next w:val="AText"/>
    <w:rsid w:val="00C20895"/>
    <w:pPr>
      <w:tabs>
        <w:tab w:val="clear" w:pos="4990"/>
      </w:tabs>
      <w:spacing w:before="0" w:after="120"/>
    </w:pPr>
  </w:style>
  <w:style w:type="paragraph" w:styleId="Footer">
    <w:name w:val="footer"/>
    <w:basedOn w:val="Normal"/>
    <w:link w:val="FooterChar1"/>
    <w:unhideWhenUsed/>
    <w:rsid w:val="00C20895"/>
    <w:pPr>
      <w:tabs>
        <w:tab w:val="clear" w:pos="1247"/>
        <w:tab w:val="right" w:pos="8641"/>
      </w:tabs>
    </w:pPr>
    <w:rPr>
      <w:b/>
      <w:sz w:val="18"/>
    </w:rPr>
  </w:style>
  <w:style w:type="character" w:customStyle="1" w:styleId="FooterChar1">
    <w:name w:val="Footer Char1"/>
    <w:basedOn w:val="DefaultParagraphFont"/>
    <w:link w:val="Footer"/>
    <w:rsid w:val="00C20895"/>
    <w:rPr>
      <w:rFonts w:eastAsia="Times New Roman"/>
      <w:b/>
      <w:sz w:val="18"/>
    </w:rPr>
  </w:style>
  <w:style w:type="paragraph" w:customStyle="1" w:styleId="Normal-pool">
    <w:name w:val="Normal-pool"/>
    <w:link w:val="Normal-poolChar"/>
    <w:qFormat/>
    <w:rsid w:val="00C20895"/>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C2089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20895"/>
    <w:pPr>
      <w:spacing w:before="60"/>
      <w:ind w:left="624"/>
    </w:pPr>
    <w:rPr>
      <w:rFonts w:eastAsiaTheme="minorEastAsia"/>
      <w:sz w:val="18"/>
    </w:rPr>
  </w:style>
  <w:style w:type="paragraph" w:styleId="Bibliography">
    <w:name w:val="Bibliography"/>
    <w:basedOn w:val="Normal"/>
    <w:next w:val="Normal"/>
    <w:uiPriority w:val="37"/>
    <w:semiHidden/>
    <w:rsid w:val="00C20895"/>
  </w:style>
  <w:style w:type="paragraph" w:styleId="BlockText">
    <w:name w:val="Block Text"/>
    <w:basedOn w:val="Normal"/>
    <w:uiPriority w:val="99"/>
    <w:semiHidden/>
    <w:unhideWhenUsed/>
    <w:rsid w:val="00C208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20895"/>
    <w:pPr>
      <w:spacing w:after="120"/>
    </w:pPr>
  </w:style>
  <w:style w:type="character" w:customStyle="1" w:styleId="BodyTextChar">
    <w:name w:val="Body Text Char"/>
    <w:basedOn w:val="DefaultParagraphFont"/>
    <w:link w:val="BodyText"/>
    <w:uiPriority w:val="99"/>
    <w:semiHidden/>
    <w:rsid w:val="00C20895"/>
    <w:rPr>
      <w:rFonts w:eastAsia="Times New Roman"/>
    </w:rPr>
  </w:style>
  <w:style w:type="paragraph" w:styleId="BodyText2">
    <w:name w:val="Body Text 2"/>
    <w:basedOn w:val="Normal"/>
    <w:link w:val="BodyText2Char"/>
    <w:uiPriority w:val="99"/>
    <w:semiHidden/>
    <w:unhideWhenUsed/>
    <w:rsid w:val="00C20895"/>
    <w:pPr>
      <w:spacing w:after="120" w:line="480" w:lineRule="auto"/>
    </w:pPr>
  </w:style>
  <w:style w:type="character" w:customStyle="1" w:styleId="BodyText2Char">
    <w:name w:val="Body Text 2 Char"/>
    <w:basedOn w:val="DefaultParagraphFont"/>
    <w:link w:val="BodyText2"/>
    <w:uiPriority w:val="99"/>
    <w:semiHidden/>
    <w:rsid w:val="00C20895"/>
    <w:rPr>
      <w:rFonts w:eastAsia="Times New Roman"/>
    </w:rPr>
  </w:style>
  <w:style w:type="paragraph" w:styleId="BodyText3">
    <w:name w:val="Body Text 3"/>
    <w:basedOn w:val="Normal"/>
    <w:link w:val="BodyText3Char"/>
    <w:uiPriority w:val="99"/>
    <w:semiHidden/>
    <w:unhideWhenUsed/>
    <w:rsid w:val="00C20895"/>
    <w:pPr>
      <w:spacing w:after="120"/>
    </w:pPr>
    <w:rPr>
      <w:sz w:val="16"/>
      <w:szCs w:val="16"/>
    </w:rPr>
  </w:style>
  <w:style w:type="character" w:customStyle="1" w:styleId="BodyText3Char">
    <w:name w:val="Body Text 3 Char"/>
    <w:basedOn w:val="DefaultParagraphFont"/>
    <w:link w:val="BodyText3"/>
    <w:uiPriority w:val="99"/>
    <w:semiHidden/>
    <w:rsid w:val="00C20895"/>
    <w:rPr>
      <w:rFonts w:eastAsia="Times New Roman"/>
      <w:sz w:val="16"/>
      <w:szCs w:val="16"/>
    </w:rPr>
  </w:style>
  <w:style w:type="paragraph" w:styleId="BodyTextFirstIndent">
    <w:name w:val="Body Text First Indent"/>
    <w:basedOn w:val="BodyText"/>
    <w:link w:val="BodyTextFirstIndentChar"/>
    <w:uiPriority w:val="99"/>
    <w:semiHidden/>
    <w:unhideWhenUsed/>
    <w:rsid w:val="00C20895"/>
    <w:pPr>
      <w:spacing w:after="0"/>
      <w:ind w:firstLine="360"/>
    </w:pPr>
  </w:style>
  <w:style w:type="character" w:customStyle="1" w:styleId="BodyTextFirstIndentChar">
    <w:name w:val="Body Text First Indent Char"/>
    <w:basedOn w:val="BodyTextChar"/>
    <w:link w:val="BodyTextFirstIndent"/>
    <w:uiPriority w:val="99"/>
    <w:semiHidden/>
    <w:rsid w:val="00C20895"/>
    <w:rPr>
      <w:rFonts w:eastAsia="Times New Roman"/>
    </w:rPr>
  </w:style>
  <w:style w:type="paragraph" w:styleId="BodyTextIndent">
    <w:name w:val="Body Text Indent"/>
    <w:basedOn w:val="Normal"/>
    <w:link w:val="BodyTextIndentChar"/>
    <w:uiPriority w:val="99"/>
    <w:unhideWhenUsed/>
    <w:rsid w:val="00C20895"/>
    <w:pPr>
      <w:spacing w:after="120"/>
      <w:ind w:left="283"/>
    </w:pPr>
  </w:style>
  <w:style w:type="character" w:customStyle="1" w:styleId="BodyTextIndentChar">
    <w:name w:val="Body Text Indent Char"/>
    <w:basedOn w:val="DefaultParagraphFont"/>
    <w:link w:val="BodyTextIndent"/>
    <w:uiPriority w:val="99"/>
    <w:rsid w:val="00C20895"/>
    <w:rPr>
      <w:rFonts w:eastAsia="Times New Roman"/>
    </w:rPr>
  </w:style>
  <w:style w:type="paragraph" w:styleId="BodyTextFirstIndent2">
    <w:name w:val="Body Text First Indent 2"/>
    <w:basedOn w:val="BodyTextIndent"/>
    <w:link w:val="BodyTextFirstIndent2Char"/>
    <w:uiPriority w:val="99"/>
    <w:semiHidden/>
    <w:unhideWhenUsed/>
    <w:rsid w:val="00C2089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20895"/>
    <w:rPr>
      <w:rFonts w:eastAsia="Times New Roman"/>
    </w:rPr>
  </w:style>
  <w:style w:type="paragraph" w:styleId="BodyTextIndent2">
    <w:name w:val="Body Text Indent 2"/>
    <w:basedOn w:val="Normal"/>
    <w:link w:val="BodyTextIndent2Char"/>
    <w:uiPriority w:val="99"/>
    <w:semiHidden/>
    <w:unhideWhenUsed/>
    <w:rsid w:val="00C20895"/>
    <w:pPr>
      <w:spacing w:after="120" w:line="480" w:lineRule="auto"/>
      <w:ind w:left="283"/>
    </w:pPr>
  </w:style>
  <w:style w:type="character" w:customStyle="1" w:styleId="BodyTextIndent2Char">
    <w:name w:val="Body Text Indent 2 Char"/>
    <w:basedOn w:val="DefaultParagraphFont"/>
    <w:link w:val="BodyTextIndent2"/>
    <w:uiPriority w:val="99"/>
    <w:semiHidden/>
    <w:rsid w:val="00C20895"/>
    <w:rPr>
      <w:rFonts w:eastAsia="Times New Roman"/>
    </w:rPr>
  </w:style>
  <w:style w:type="paragraph" w:styleId="BodyTextIndent3">
    <w:name w:val="Body Text Indent 3"/>
    <w:basedOn w:val="Normal"/>
    <w:link w:val="BodyTextIndent3Char"/>
    <w:uiPriority w:val="99"/>
    <w:semiHidden/>
    <w:unhideWhenUsed/>
    <w:rsid w:val="00C2089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0895"/>
    <w:rPr>
      <w:rFonts w:eastAsia="Times New Roman"/>
      <w:sz w:val="16"/>
      <w:szCs w:val="16"/>
    </w:rPr>
  </w:style>
  <w:style w:type="character" w:styleId="BookTitle">
    <w:name w:val="Book Title"/>
    <w:basedOn w:val="DefaultParagraphFont"/>
    <w:uiPriority w:val="33"/>
    <w:qFormat/>
    <w:rsid w:val="00C20895"/>
    <w:rPr>
      <w:b/>
      <w:bCs/>
      <w:i/>
      <w:iCs/>
      <w:spacing w:val="5"/>
    </w:rPr>
  </w:style>
  <w:style w:type="paragraph" w:styleId="Caption">
    <w:name w:val="caption"/>
    <w:basedOn w:val="Normal"/>
    <w:next w:val="Normal"/>
    <w:unhideWhenUsed/>
    <w:qFormat/>
    <w:rsid w:val="00C20895"/>
    <w:pPr>
      <w:spacing w:after="200"/>
    </w:pPr>
    <w:rPr>
      <w:i/>
      <w:iCs/>
      <w:color w:val="1F497D" w:themeColor="text2"/>
      <w:sz w:val="18"/>
      <w:szCs w:val="18"/>
    </w:rPr>
  </w:style>
  <w:style w:type="paragraph" w:styleId="Closing">
    <w:name w:val="Closing"/>
    <w:basedOn w:val="Normal"/>
    <w:link w:val="ClosingChar"/>
    <w:uiPriority w:val="99"/>
    <w:semiHidden/>
    <w:unhideWhenUsed/>
    <w:rsid w:val="00C20895"/>
    <w:pPr>
      <w:ind w:left="4252"/>
    </w:pPr>
  </w:style>
  <w:style w:type="character" w:customStyle="1" w:styleId="ClosingChar">
    <w:name w:val="Closing Char"/>
    <w:basedOn w:val="DefaultParagraphFont"/>
    <w:link w:val="Closing"/>
    <w:uiPriority w:val="99"/>
    <w:semiHidden/>
    <w:rsid w:val="00C20895"/>
    <w:rPr>
      <w:rFonts w:eastAsia="Times New Roman"/>
    </w:rPr>
  </w:style>
  <w:style w:type="table" w:styleId="ColorfulGrid">
    <w:name w:val="Colorful Grid"/>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unhideWhenUsed/>
    <w:rsid w:val="00C20895"/>
    <w:rPr>
      <w:rFonts w:cs="Simplified Arabic" w:hint="cs"/>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semiHidden/>
    <w:unhideWhenUsed/>
    <w:rsid w:val="00C20895"/>
    <w:rPr>
      <w:rFonts w:cs="Simplified Arabic" w:hint="cs"/>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semiHidden/>
    <w:unhideWhenUsed/>
    <w:rsid w:val="00C20895"/>
    <w:rPr>
      <w:rFonts w:cs="Simplified Arabic" w:hint="cs"/>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semiHidden/>
    <w:unhideWhenUsed/>
    <w:rsid w:val="00C20895"/>
    <w:rPr>
      <w:rFonts w:cs="Simplified Arabic" w:hint="cs"/>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semiHidden/>
    <w:unhideWhenUsed/>
    <w:rsid w:val="00C20895"/>
    <w:rPr>
      <w:rFonts w:cs="Simplified Arabic" w:hint="cs"/>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semiHidden/>
    <w:unhideWhenUsed/>
    <w:rsid w:val="00C20895"/>
    <w:rPr>
      <w:rFonts w:cs="Simplified Arabic" w:hint="cs"/>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semiHidden/>
    <w:unhideWhenUsed/>
    <w:rsid w:val="00C20895"/>
    <w:rPr>
      <w:rFonts w:cs="Simplified Arabic" w:hint="cs"/>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Shading">
    <w:name w:val="Colorful Shading"/>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20895"/>
    <w:rPr>
      <w:rFonts w:cs="Simplified Arabic" w:hint="cs"/>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semiHidden/>
    <w:unhideWhenUsed/>
    <w:rsid w:val="00C20895"/>
    <w:rPr>
      <w:rFonts w:cs="Simplified Arabic" w:hint="cs"/>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style>
  <w:style w:type="table" w:styleId="DarkList-Accent2">
    <w:name w:val="Dark List Accent 2"/>
    <w:basedOn w:val="TableNormal"/>
    <w:uiPriority w:val="70"/>
    <w:semiHidden/>
    <w:unhideWhenUsed/>
    <w:rsid w:val="00C20895"/>
    <w:rPr>
      <w:rFonts w:cs="Simplified Arabic" w:hint="cs"/>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style>
  <w:style w:type="table" w:styleId="DarkList-Accent3">
    <w:name w:val="Dark List Accent 3"/>
    <w:basedOn w:val="TableNormal"/>
    <w:uiPriority w:val="70"/>
    <w:semiHidden/>
    <w:unhideWhenUsed/>
    <w:rsid w:val="00C20895"/>
    <w:rPr>
      <w:rFonts w:cs="Simplified Arabic" w:hint="cs"/>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style>
  <w:style w:type="table" w:styleId="DarkList-Accent4">
    <w:name w:val="Dark List Accent 4"/>
    <w:basedOn w:val="TableNormal"/>
    <w:uiPriority w:val="70"/>
    <w:semiHidden/>
    <w:unhideWhenUsed/>
    <w:rsid w:val="00C20895"/>
    <w:rPr>
      <w:rFonts w:cs="Simplified Arabic" w:hint="cs"/>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style>
  <w:style w:type="table" w:styleId="DarkList-Accent5">
    <w:name w:val="Dark List Accent 5"/>
    <w:basedOn w:val="TableNormal"/>
    <w:uiPriority w:val="70"/>
    <w:semiHidden/>
    <w:unhideWhenUsed/>
    <w:rsid w:val="00C20895"/>
    <w:rPr>
      <w:rFonts w:cs="Simplified Arabic" w:hint="cs"/>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style>
  <w:style w:type="table" w:styleId="DarkList-Accent6">
    <w:name w:val="Dark List Accent 6"/>
    <w:basedOn w:val="TableNormal"/>
    <w:uiPriority w:val="70"/>
    <w:semiHidden/>
    <w:unhideWhenUsed/>
    <w:rsid w:val="00C20895"/>
    <w:rPr>
      <w:rFonts w:cs="Simplified Arabic" w:hint="cs"/>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style>
  <w:style w:type="paragraph" w:styleId="Date">
    <w:name w:val="Date"/>
    <w:basedOn w:val="Normal"/>
    <w:next w:val="Normal"/>
    <w:link w:val="DateChar"/>
    <w:uiPriority w:val="99"/>
    <w:semiHidden/>
    <w:unhideWhenUsed/>
    <w:rsid w:val="00C20895"/>
  </w:style>
  <w:style w:type="character" w:customStyle="1" w:styleId="DateChar">
    <w:name w:val="Date Char"/>
    <w:basedOn w:val="DefaultParagraphFont"/>
    <w:link w:val="Date"/>
    <w:uiPriority w:val="99"/>
    <w:semiHidden/>
    <w:rsid w:val="00C20895"/>
    <w:rPr>
      <w:rFonts w:eastAsia="Times New Roman"/>
    </w:rPr>
  </w:style>
  <w:style w:type="paragraph" w:styleId="DocumentMap">
    <w:name w:val="Document Map"/>
    <w:basedOn w:val="Normal"/>
    <w:link w:val="DocumentMapChar"/>
    <w:uiPriority w:val="99"/>
    <w:semiHidden/>
    <w:unhideWhenUsed/>
    <w:rsid w:val="00C2089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089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20895"/>
  </w:style>
  <w:style w:type="character" w:customStyle="1" w:styleId="E-mailSignatureChar">
    <w:name w:val="E-mail Signature Char"/>
    <w:basedOn w:val="DefaultParagraphFont"/>
    <w:link w:val="E-mailSignature"/>
    <w:uiPriority w:val="99"/>
    <w:semiHidden/>
    <w:rsid w:val="00C20895"/>
    <w:rPr>
      <w:rFonts w:eastAsia="Times New Roman"/>
    </w:rPr>
  </w:style>
  <w:style w:type="character" w:styleId="Emphasis">
    <w:name w:val="Emphasis"/>
    <w:basedOn w:val="DefaultParagraphFont"/>
    <w:uiPriority w:val="20"/>
    <w:qFormat/>
    <w:rsid w:val="00C20895"/>
    <w:rPr>
      <w:i/>
      <w:iCs/>
    </w:rPr>
  </w:style>
  <w:style w:type="character" w:styleId="EndnoteReference">
    <w:name w:val="endnote reference"/>
    <w:basedOn w:val="DefaultParagraphFont"/>
    <w:uiPriority w:val="99"/>
    <w:semiHidden/>
    <w:unhideWhenUsed/>
    <w:rsid w:val="00C20895"/>
    <w:rPr>
      <w:vertAlign w:val="superscript"/>
    </w:rPr>
  </w:style>
  <w:style w:type="paragraph" w:styleId="EndnoteText">
    <w:name w:val="endnote text"/>
    <w:basedOn w:val="Normal"/>
    <w:link w:val="EndnoteTextChar"/>
    <w:uiPriority w:val="99"/>
    <w:semiHidden/>
    <w:unhideWhenUsed/>
    <w:rsid w:val="00C20895"/>
  </w:style>
  <w:style w:type="character" w:customStyle="1" w:styleId="EndnoteTextChar">
    <w:name w:val="Endnote Text Char"/>
    <w:basedOn w:val="DefaultParagraphFont"/>
    <w:link w:val="EndnoteText"/>
    <w:uiPriority w:val="99"/>
    <w:semiHidden/>
    <w:rsid w:val="00C20895"/>
    <w:rPr>
      <w:rFonts w:eastAsia="Times New Roman"/>
    </w:rPr>
  </w:style>
  <w:style w:type="paragraph" w:styleId="EnvelopeAddress">
    <w:name w:val="envelope address"/>
    <w:basedOn w:val="Normal"/>
    <w:uiPriority w:val="99"/>
    <w:semiHidden/>
    <w:unhideWhenUsed/>
    <w:rsid w:val="00C208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2089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20895"/>
  </w:style>
  <w:style w:type="character" w:customStyle="1" w:styleId="FootnoteTextChar">
    <w:name w:val="Footnote Text Char"/>
    <w:basedOn w:val="DefaultParagraphFont"/>
    <w:link w:val="FootnoteText"/>
    <w:uiPriority w:val="99"/>
    <w:semiHidden/>
    <w:rsid w:val="00C20895"/>
    <w:rPr>
      <w:rFonts w:eastAsia="Times New Roman"/>
    </w:rPr>
  </w:style>
  <w:style w:type="table" w:styleId="GridTable1Light">
    <w:name w:val="Grid Table 1 Light"/>
    <w:basedOn w:val="TableNormal"/>
    <w:uiPriority w:val="46"/>
    <w:rsid w:val="00C20895"/>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C20895"/>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C20895"/>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rsid w:val="00C20895"/>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rsid w:val="00C20895"/>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rsid w:val="00C20895"/>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C20895"/>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20895"/>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C20895"/>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rsid w:val="00C20895"/>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C20895"/>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rsid w:val="00C20895"/>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rsid w:val="00C20895"/>
    <w:tblPr>
      <w:tblStyleRowBandSize w:val="1"/>
      <w:tblStyleColBandSize w:val="1"/>
    </w:tblPr>
    <w:tcPr>
      <w:tcBorders>
        <w:top w:val="double" w:sz="2" w:space="0" w:color="92CDDC" w:themeColor="accent5" w:themeTint="99"/>
        <w:bottom w:val="nil"/>
      </w:tcBorders>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C20895"/>
    <w:tblPr>
      <w:tblStyleRowBandSize w:val="1"/>
      <w:tblStyleColBandSize w:val="1"/>
    </w:tblPr>
    <w:tcPr>
      <w:tcBorders>
        <w:top w:val="double" w:sz="2" w:space="0" w:color="FABF8F" w:themeColor="accent6" w:themeTint="99"/>
        <w:bottom w:val="nil"/>
      </w:tcBorders>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rsid w:val="00C20895"/>
    <w:tblPr>
      <w:tblStyleRowBandSize w:val="1"/>
      <w:tblStyleColBandSize w:val="1"/>
    </w:tblPr>
    <w:tcPr>
      <w:tcBorders>
        <w:top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20895"/>
    <w:tblPr>
      <w:tblStyleRowBandSize w:val="1"/>
      <w:tblStyleColBandSize w:val="1"/>
    </w:tblPr>
    <w:tcPr>
      <w:tcBorders>
        <w:top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20895"/>
    <w:tblPr>
      <w:tblStyleRowBandSize w:val="1"/>
      <w:tblStyleColBandSize w:val="1"/>
    </w:tblPr>
    <w:tcPr>
      <w:tcBorders>
        <w:top w:val="nil"/>
        <w:bottom w:val="nil"/>
        <w:right w:val="nil"/>
      </w:tcBorders>
      <w:shd w:val="clear" w:color="auto" w:fill="F2DBD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20895"/>
    <w:tblPr>
      <w:tblStyleRowBandSize w:val="1"/>
      <w:tblStyleColBandSize w:val="1"/>
    </w:tblPr>
    <w:tcPr>
      <w:tcBorders>
        <w:top w:val="nil"/>
        <w:bottom w:val="nil"/>
        <w:right w:val="nil"/>
      </w:tcBorders>
      <w:shd w:val="clear" w:color="auto" w:fill="EAF1D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20895"/>
    <w:tblPr>
      <w:tblStyleRowBandSize w:val="1"/>
      <w:tblStyleColBandSize w:val="1"/>
    </w:tblPr>
    <w:tcPr>
      <w:tcBorders>
        <w:top w:val="nil"/>
        <w:bottom w:val="nil"/>
        <w:right w:val="nil"/>
      </w:tcBorders>
      <w:shd w:val="clear" w:color="auto" w:fill="E5DF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20895"/>
    <w:tblPr>
      <w:tblStyleRowBandSize w:val="1"/>
      <w:tblStyleColBandSize w:val="1"/>
    </w:tblPr>
    <w:tcPr>
      <w:tcBorders>
        <w:top w:val="nil"/>
        <w:bottom w:val="nil"/>
        <w:right w:val="nil"/>
      </w:tcBorders>
      <w:shd w:val="clear" w:color="auto" w:fill="DAEEF3"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20895"/>
    <w:tblPr>
      <w:tblStyleRowBandSize w:val="1"/>
      <w:tblStyleColBandSize w:val="1"/>
    </w:tblPr>
    <w:tcPr>
      <w:tcBorders>
        <w:top w:val="nil"/>
        <w:bottom w:val="nil"/>
        <w:right w:val="nil"/>
      </w:tcBorders>
      <w:shd w:val="clear" w:color="auto" w:fill="FDE9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20895"/>
    <w:tblPr>
      <w:tblStyleRowBandSize w:val="1"/>
      <w:tblStyleColBandSize w:val="1"/>
    </w:tblPr>
    <w:tcPr>
      <w:tcBorders>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C20895"/>
    <w:tblPr>
      <w:tblStyleRowBandSize w:val="1"/>
      <w:tblStyleColBandSize w:val="1"/>
    </w:tblPr>
    <w:tcPr>
      <w:tcBorders>
        <w:right w:val="single" w:sz="4" w:space="0" w:color="4F81BD" w:themeColor="accent1"/>
      </w:tcBorders>
      <w:shd w:val="clear" w:color="auto" w:fill="DBE5F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C20895"/>
    <w:tblPr>
      <w:tblStyleRowBandSize w:val="1"/>
      <w:tblStyleColBandSize w:val="1"/>
    </w:tblPr>
    <w:tcPr>
      <w:tcBorders>
        <w:right w:val="single" w:sz="4" w:space="0" w:color="C0504D" w:themeColor="accent2"/>
      </w:tcBorders>
      <w:shd w:val="clear" w:color="auto" w:fill="F2DBDB"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C20895"/>
    <w:tblPr>
      <w:tblStyleRowBandSize w:val="1"/>
      <w:tblStyleColBandSize w:val="1"/>
    </w:tblPr>
    <w:tcPr>
      <w:tcBorders>
        <w:right w:val="single" w:sz="4" w:space="0" w:color="9BBB59" w:themeColor="accent3"/>
      </w:tcBorders>
      <w:shd w:val="clear" w:color="auto" w:fill="EAF1D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basedOn w:val="TableNormal"/>
    <w:uiPriority w:val="49"/>
    <w:rsid w:val="00C20895"/>
    <w:tblPr>
      <w:tblStyleRowBandSize w:val="1"/>
      <w:tblStyleColBandSize w:val="1"/>
    </w:tblPr>
    <w:tcPr>
      <w:tcBorders>
        <w:right w:val="single" w:sz="4" w:space="0" w:color="8064A2" w:themeColor="accent4"/>
      </w:tcBorders>
      <w:shd w:val="clear" w:color="auto" w:fill="E5DFE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C20895"/>
    <w:tblPr>
      <w:tblStyleRowBandSize w:val="1"/>
      <w:tblStyleColBandSize w:val="1"/>
    </w:tblPr>
    <w:tcPr>
      <w:tcBorders>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rsid w:val="00C20895"/>
    <w:tblPr>
      <w:tblStyleRowBandSize w:val="1"/>
      <w:tblStyleColBandSize w:val="1"/>
    </w:tblPr>
    <w:tcPr>
      <w:tcBorders>
        <w:right w:val="single" w:sz="4" w:space="0" w:color="F79646" w:themeColor="accent6"/>
      </w:tcBorders>
      <w:shd w:val="clear" w:color="auto" w:fill="FDE9D9"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50"/>
    <w:rsid w:val="00C20895"/>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styleId="GridTable5Dark-Accent6">
    <w:name w:val="Grid Table 5 Dark Accent 6"/>
    <w:basedOn w:val="TableNormal"/>
    <w:uiPriority w:val="50"/>
    <w:rsid w:val="00C20895"/>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styleId="GridTable6Colorful">
    <w:name w:val="Grid Table 6 Colorful"/>
    <w:basedOn w:val="TableNormal"/>
    <w:uiPriority w:val="51"/>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20895"/>
    <w:rPr>
      <w:color w:val="2B579A"/>
      <w:shd w:val="clear" w:color="auto" w:fill="E1DFDD"/>
    </w:rPr>
  </w:style>
  <w:style w:type="character" w:styleId="HTMLAcronym">
    <w:name w:val="HTML Acronym"/>
    <w:basedOn w:val="DefaultParagraphFont"/>
    <w:uiPriority w:val="99"/>
    <w:semiHidden/>
    <w:unhideWhenUsed/>
    <w:rsid w:val="00C20895"/>
  </w:style>
  <w:style w:type="paragraph" w:styleId="HTMLAddress">
    <w:name w:val="HTML Address"/>
    <w:basedOn w:val="Normal"/>
    <w:link w:val="HTMLAddressChar"/>
    <w:uiPriority w:val="99"/>
    <w:semiHidden/>
    <w:unhideWhenUsed/>
    <w:rsid w:val="00C20895"/>
    <w:rPr>
      <w:i/>
      <w:iCs/>
    </w:rPr>
  </w:style>
  <w:style w:type="character" w:customStyle="1" w:styleId="HTMLAddressChar">
    <w:name w:val="HTML Address Char"/>
    <w:basedOn w:val="DefaultParagraphFont"/>
    <w:link w:val="HTMLAddress"/>
    <w:uiPriority w:val="99"/>
    <w:semiHidden/>
    <w:rsid w:val="00C20895"/>
    <w:rPr>
      <w:rFonts w:eastAsia="Times New Roman"/>
      <w:i/>
      <w:iCs/>
    </w:rPr>
  </w:style>
  <w:style w:type="character" w:styleId="HTMLCite">
    <w:name w:val="HTML Cite"/>
    <w:basedOn w:val="DefaultParagraphFont"/>
    <w:uiPriority w:val="99"/>
    <w:semiHidden/>
    <w:unhideWhenUsed/>
    <w:rsid w:val="00C20895"/>
    <w:rPr>
      <w:i/>
      <w:iCs/>
    </w:rPr>
  </w:style>
  <w:style w:type="character" w:styleId="HTMLCode">
    <w:name w:val="HTML Code"/>
    <w:basedOn w:val="DefaultParagraphFont"/>
    <w:uiPriority w:val="99"/>
    <w:semiHidden/>
    <w:unhideWhenUsed/>
    <w:rsid w:val="00C20895"/>
    <w:rPr>
      <w:rFonts w:ascii="Consolas" w:hAnsi="Consolas"/>
      <w:sz w:val="20"/>
      <w:szCs w:val="20"/>
    </w:rPr>
  </w:style>
  <w:style w:type="character" w:styleId="HTMLDefinition">
    <w:name w:val="HTML Definition"/>
    <w:basedOn w:val="DefaultParagraphFont"/>
    <w:uiPriority w:val="99"/>
    <w:semiHidden/>
    <w:unhideWhenUsed/>
    <w:rsid w:val="00C20895"/>
    <w:rPr>
      <w:i/>
      <w:iCs/>
    </w:rPr>
  </w:style>
  <w:style w:type="character" w:styleId="HTMLKeyboard">
    <w:name w:val="HTML Keyboard"/>
    <w:basedOn w:val="DefaultParagraphFont"/>
    <w:uiPriority w:val="99"/>
    <w:semiHidden/>
    <w:unhideWhenUsed/>
    <w:rsid w:val="00C20895"/>
    <w:rPr>
      <w:rFonts w:ascii="Consolas" w:hAnsi="Consolas"/>
      <w:sz w:val="20"/>
      <w:szCs w:val="20"/>
    </w:rPr>
  </w:style>
  <w:style w:type="paragraph" w:styleId="HTMLPreformatted">
    <w:name w:val="HTML Preformatted"/>
    <w:basedOn w:val="Normal"/>
    <w:link w:val="HTMLPreformattedChar"/>
    <w:uiPriority w:val="99"/>
    <w:semiHidden/>
    <w:unhideWhenUsed/>
    <w:rsid w:val="00C20895"/>
    <w:rPr>
      <w:rFonts w:ascii="Consolas" w:hAnsi="Consolas"/>
    </w:rPr>
  </w:style>
  <w:style w:type="character" w:customStyle="1" w:styleId="HTMLPreformattedChar">
    <w:name w:val="HTML Preformatted Char"/>
    <w:basedOn w:val="DefaultParagraphFont"/>
    <w:link w:val="HTMLPreformatted"/>
    <w:uiPriority w:val="99"/>
    <w:semiHidden/>
    <w:rsid w:val="00C20895"/>
    <w:rPr>
      <w:rFonts w:ascii="Consolas" w:eastAsia="Times New Roman" w:hAnsi="Consolas"/>
    </w:rPr>
  </w:style>
  <w:style w:type="character" w:styleId="HTMLSample">
    <w:name w:val="HTML Sample"/>
    <w:basedOn w:val="DefaultParagraphFont"/>
    <w:uiPriority w:val="99"/>
    <w:semiHidden/>
    <w:unhideWhenUsed/>
    <w:rsid w:val="00C20895"/>
    <w:rPr>
      <w:rFonts w:ascii="Consolas" w:hAnsi="Consolas"/>
      <w:sz w:val="24"/>
      <w:szCs w:val="24"/>
    </w:rPr>
  </w:style>
  <w:style w:type="character" w:styleId="HTMLTypewriter">
    <w:name w:val="HTML Typewriter"/>
    <w:basedOn w:val="DefaultParagraphFont"/>
    <w:uiPriority w:val="99"/>
    <w:semiHidden/>
    <w:unhideWhenUsed/>
    <w:rsid w:val="00C20895"/>
    <w:rPr>
      <w:rFonts w:ascii="Consolas" w:hAnsi="Consolas"/>
      <w:sz w:val="20"/>
      <w:szCs w:val="20"/>
    </w:rPr>
  </w:style>
  <w:style w:type="character" w:styleId="HTMLVariable">
    <w:name w:val="HTML Variable"/>
    <w:basedOn w:val="DefaultParagraphFont"/>
    <w:uiPriority w:val="99"/>
    <w:semiHidden/>
    <w:unhideWhenUsed/>
    <w:rsid w:val="00C20895"/>
    <w:rPr>
      <w:i/>
      <w:iCs/>
    </w:rPr>
  </w:style>
  <w:style w:type="paragraph" w:styleId="Index1">
    <w:name w:val="index 1"/>
    <w:basedOn w:val="Normal"/>
    <w:next w:val="Normal"/>
    <w:autoRedefine/>
    <w:uiPriority w:val="99"/>
    <w:semiHidden/>
    <w:unhideWhenUsed/>
    <w:rsid w:val="00C20895"/>
    <w:pPr>
      <w:tabs>
        <w:tab w:val="clear" w:pos="1247"/>
      </w:tabs>
      <w:ind w:left="200" w:hanging="200"/>
    </w:pPr>
  </w:style>
  <w:style w:type="paragraph" w:styleId="Index2">
    <w:name w:val="index 2"/>
    <w:basedOn w:val="Normal"/>
    <w:next w:val="Normal"/>
    <w:autoRedefine/>
    <w:uiPriority w:val="99"/>
    <w:semiHidden/>
    <w:unhideWhenUsed/>
    <w:rsid w:val="00C20895"/>
    <w:pPr>
      <w:tabs>
        <w:tab w:val="clear" w:pos="1247"/>
      </w:tabs>
      <w:ind w:left="400" w:hanging="200"/>
    </w:pPr>
  </w:style>
  <w:style w:type="paragraph" w:styleId="Index3">
    <w:name w:val="index 3"/>
    <w:basedOn w:val="Normal"/>
    <w:next w:val="Normal"/>
    <w:autoRedefine/>
    <w:uiPriority w:val="99"/>
    <w:semiHidden/>
    <w:unhideWhenUsed/>
    <w:rsid w:val="00C20895"/>
    <w:pPr>
      <w:tabs>
        <w:tab w:val="clear" w:pos="1247"/>
      </w:tabs>
      <w:ind w:left="600" w:hanging="200"/>
    </w:pPr>
  </w:style>
  <w:style w:type="paragraph" w:styleId="Index4">
    <w:name w:val="index 4"/>
    <w:basedOn w:val="Normal"/>
    <w:next w:val="Normal"/>
    <w:autoRedefine/>
    <w:uiPriority w:val="99"/>
    <w:semiHidden/>
    <w:unhideWhenUsed/>
    <w:rsid w:val="00C20895"/>
    <w:pPr>
      <w:tabs>
        <w:tab w:val="clear" w:pos="1247"/>
      </w:tabs>
      <w:ind w:left="800" w:hanging="200"/>
    </w:pPr>
  </w:style>
  <w:style w:type="paragraph" w:styleId="Index5">
    <w:name w:val="index 5"/>
    <w:basedOn w:val="Normal"/>
    <w:next w:val="Normal"/>
    <w:autoRedefine/>
    <w:uiPriority w:val="99"/>
    <w:semiHidden/>
    <w:unhideWhenUsed/>
    <w:rsid w:val="00C20895"/>
    <w:pPr>
      <w:tabs>
        <w:tab w:val="clear" w:pos="1247"/>
      </w:tabs>
      <w:ind w:left="1000" w:hanging="200"/>
    </w:pPr>
  </w:style>
  <w:style w:type="paragraph" w:styleId="Index6">
    <w:name w:val="index 6"/>
    <w:basedOn w:val="Normal"/>
    <w:next w:val="Normal"/>
    <w:autoRedefine/>
    <w:uiPriority w:val="99"/>
    <w:semiHidden/>
    <w:unhideWhenUsed/>
    <w:rsid w:val="00C20895"/>
    <w:pPr>
      <w:tabs>
        <w:tab w:val="clear" w:pos="1247"/>
      </w:tabs>
      <w:ind w:left="1200" w:hanging="200"/>
    </w:pPr>
  </w:style>
  <w:style w:type="paragraph" w:styleId="Index7">
    <w:name w:val="index 7"/>
    <w:basedOn w:val="Normal"/>
    <w:next w:val="Normal"/>
    <w:autoRedefine/>
    <w:uiPriority w:val="99"/>
    <w:semiHidden/>
    <w:unhideWhenUsed/>
    <w:rsid w:val="00C20895"/>
    <w:pPr>
      <w:tabs>
        <w:tab w:val="clear" w:pos="1247"/>
      </w:tabs>
      <w:ind w:left="1400" w:hanging="200"/>
    </w:pPr>
  </w:style>
  <w:style w:type="paragraph" w:styleId="Index8">
    <w:name w:val="index 8"/>
    <w:basedOn w:val="Normal"/>
    <w:next w:val="Normal"/>
    <w:autoRedefine/>
    <w:uiPriority w:val="99"/>
    <w:semiHidden/>
    <w:unhideWhenUsed/>
    <w:rsid w:val="00C20895"/>
    <w:pPr>
      <w:tabs>
        <w:tab w:val="clear" w:pos="1247"/>
      </w:tabs>
      <w:ind w:left="1600" w:hanging="200"/>
    </w:pPr>
  </w:style>
  <w:style w:type="paragraph" w:styleId="Index9">
    <w:name w:val="index 9"/>
    <w:basedOn w:val="Normal"/>
    <w:next w:val="Normal"/>
    <w:autoRedefine/>
    <w:uiPriority w:val="99"/>
    <w:semiHidden/>
    <w:unhideWhenUsed/>
    <w:rsid w:val="00C20895"/>
    <w:pPr>
      <w:tabs>
        <w:tab w:val="clear" w:pos="1247"/>
      </w:tabs>
      <w:ind w:left="1800" w:hanging="200"/>
    </w:pPr>
  </w:style>
  <w:style w:type="paragraph" w:styleId="IndexHeading">
    <w:name w:val="index heading"/>
    <w:basedOn w:val="Normal"/>
    <w:next w:val="Index1"/>
    <w:uiPriority w:val="99"/>
    <w:semiHidden/>
    <w:unhideWhenUsed/>
    <w:rsid w:val="00C20895"/>
    <w:rPr>
      <w:rFonts w:asciiTheme="majorHAnsi" w:eastAsiaTheme="majorEastAsia" w:hAnsiTheme="majorHAnsi" w:cstheme="majorBidi"/>
      <w:b/>
      <w:bCs/>
    </w:rPr>
  </w:style>
  <w:style w:type="character" w:styleId="IntenseEmphasis">
    <w:name w:val="Intense Emphasis"/>
    <w:basedOn w:val="DefaultParagraphFont"/>
    <w:uiPriority w:val="21"/>
    <w:qFormat/>
    <w:rsid w:val="00C20895"/>
    <w:rPr>
      <w:i/>
      <w:iCs/>
      <w:color w:val="4F81BD" w:themeColor="accent1"/>
    </w:rPr>
  </w:style>
  <w:style w:type="paragraph" w:styleId="IntenseQuote">
    <w:name w:val="Intense Quote"/>
    <w:basedOn w:val="Normal"/>
    <w:next w:val="Normal"/>
    <w:link w:val="IntenseQuoteChar"/>
    <w:uiPriority w:val="30"/>
    <w:qFormat/>
    <w:rsid w:val="00C20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20895"/>
    <w:rPr>
      <w:rFonts w:eastAsia="Times New Roman"/>
      <w:i/>
      <w:iCs/>
      <w:color w:val="4F81BD" w:themeColor="accent1"/>
    </w:rPr>
  </w:style>
  <w:style w:type="character" w:styleId="IntenseReference">
    <w:name w:val="Intense Reference"/>
    <w:basedOn w:val="DefaultParagraphFont"/>
    <w:uiPriority w:val="32"/>
    <w:qFormat/>
    <w:rsid w:val="00C20895"/>
    <w:rPr>
      <w:b/>
      <w:bCs/>
      <w:smallCaps/>
      <w:color w:val="4F81BD" w:themeColor="accent1"/>
      <w:spacing w:val="5"/>
    </w:rPr>
  </w:style>
  <w:style w:type="table" w:styleId="LightGrid">
    <w:name w:val="Light Grid"/>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20895"/>
    <w:rPr>
      <w:rFonts w:cs="Simplified Arabic" w:hint="cs"/>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C20895"/>
    <w:rPr>
      <w:rFonts w:cs="Simplified Arabic" w:hint="cs"/>
    </w:r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C20895"/>
    <w:rPr>
      <w:rFonts w:cs="Simplified Arabic" w:hint="cs"/>
    </w:r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C20895"/>
    <w:rPr>
      <w:rFonts w:cs="Simplified Arabic" w:hint="cs"/>
    </w:r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C20895"/>
    <w:rPr>
      <w:rFonts w:cs="Simplified Arabic" w:hint="cs"/>
    </w:r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C20895"/>
    <w:rPr>
      <w:rFonts w:cs="Simplified Arabic" w:hint="cs"/>
    </w:r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C20895"/>
    <w:rPr>
      <w:rFonts w:cs="Simplified Arabic" w:hint="cs"/>
    </w:r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C20895"/>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0895"/>
    <w:rPr>
      <w:color w:val="365F91" w:themeColor="accent1" w:themeShade="BF"/>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20895"/>
    <w:rPr>
      <w:color w:val="943634" w:themeColor="accent2" w:themeShade="BF"/>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20895"/>
    <w:rPr>
      <w:color w:val="76923C" w:themeColor="accent3" w:themeShade="BF"/>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20895"/>
    <w:rPr>
      <w:color w:val="5F497A" w:themeColor="accent4" w:themeShade="BF"/>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20895"/>
    <w:rPr>
      <w:color w:val="31849B" w:themeColor="accent5" w:themeShade="BF"/>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20895"/>
    <w:rPr>
      <w:color w:val="E36C0A" w:themeColor="accent6" w:themeShade="BF"/>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20895"/>
  </w:style>
  <w:style w:type="paragraph" w:styleId="List">
    <w:name w:val="List"/>
    <w:basedOn w:val="Normal"/>
    <w:uiPriority w:val="99"/>
    <w:semiHidden/>
    <w:unhideWhenUsed/>
    <w:rsid w:val="00C20895"/>
    <w:pPr>
      <w:ind w:left="283" w:hanging="283"/>
      <w:contextualSpacing/>
    </w:pPr>
  </w:style>
  <w:style w:type="paragraph" w:styleId="List2">
    <w:name w:val="List 2"/>
    <w:basedOn w:val="Normal"/>
    <w:uiPriority w:val="99"/>
    <w:semiHidden/>
    <w:unhideWhenUsed/>
    <w:rsid w:val="00C20895"/>
    <w:pPr>
      <w:ind w:left="566" w:hanging="283"/>
      <w:contextualSpacing/>
    </w:pPr>
  </w:style>
  <w:style w:type="paragraph" w:styleId="List3">
    <w:name w:val="List 3"/>
    <w:basedOn w:val="Normal"/>
    <w:uiPriority w:val="99"/>
    <w:semiHidden/>
    <w:unhideWhenUsed/>
    <w:rsid w:val="00C20895"/>
    <w:pPr>
      <w:ind w:left="849" w:hanging="283"/>
      <w:contextualSpacing/>
    </w:pPr>
  </w:style>
  <w:style w:type="paragraph" w:styleId="List4">
    <w:name w:val="List 4"/>
    <w:basedOn w:val="Normal"/>
    <w:uiPriority w:val="99"/>
    <w:semiHidden/>
    <w:unhideWhenUsed/>
    <w:rsid w:val="00C20895"/>
    <w:pPr>
      <w:ind w:left="1132" w:hanging="283"/>
      <w:contextualSpacing/>
    </w:pPr>
  </w:style>
  <w:style w:type="paragraph" w:styleId="List5">
    <w:name w:val="List 5"/>
    <w:basedOn w:val="Normal"/>
    <w:uiPriority w:val="99"/>
    <w:semiHidden/>
    <w:unhideWhenUsed/>
    <w:rsid w:val="00C20895"/>
    <w:pPr>
      <w:ind w:left="1415" w:hanging="283"/>
      <w:contextualSpacing/>
    </w:pPr>
  </w:style>
  <w:style w:type="paragraph" w:styleId="ListBullet">
    <w:name w:val="List Bullet"/>
    <w:basedOn w:val="Normal"/>
    <w:uiPriority w:val="99"/>
    <w:semiHidden/>
    <w:rsid w:val="00C20895"/>
    <w:pPr>
      <w:numPr>
        <w:numId w:val="5"/>
      </w:numPr>
      <w:contextualSpacing/>
    </w:pPr>
  </w:style>
  <w:style w:type="paragraph" w:styleId="ListBullet2">
    <w:name w:val="List Bullet 2"/>
    <w:basedOn w:val="Normal"/>
    <w:uiPriority w:val="99"/>
    <w:semiHidden/>
    <w:unhideWhenUsed/>
    <w:rsid w:val="00C20895"/>
    <w:pPr>
      <w:numPr>
        <w:numId w:val="6"/>
      </w:numPr>
      <w:contextualSpacing/>
    </w:pPr>
  </w:style>
  <w:style w:type="paragraph" w:styleId="ListBullet3">
    <w:name w:val="List Bullet 3"/>
    <w:basedOn w:val="Normal"/>
    <w:uiPriority w:val="99"/>
    <w:semiHidden/>
    <w:unhideWhenUsed/>
    <w:rsid w:val="00C20895"/>
    <w:pPr>
      <w:numPr>
        <w:numId w:val="7"/>
      </w:numPr>
      <w:contextualSpacing/>
    </w:pPr>
  </w:style>
  <w:style w:type="paragraph" w:styleId="ListBullet4">
    <w:name w:val="List Bullet 4"/>
    <w:basedOn w:val="Normal"/>
    <w:uiPriority w:val="99"/>
    <w:semiHidden/>
    <w:unhideWhenUsed/>
    <w:rsid w:val="00C20895"/>
    <w:pPr>
      <w:numPr>
        <w:numId w:val="8"/>
      </w:numPr>
      <w:contextualSpacing/>
    </w:pPr>
  </w:style>
  <w:style w:type="paragraph" w:styleId="ListBullet5">
    <w:name w:val="List Bullet 5"/>
    <w:basedOn w:val="Normal"/>
    <w:uiPriority w:val="99"/>
    <w:semiHidden/>
    <w:unhideWhenUsed/>
    <w:rsid w:val="00C20895"/>
    <w:pPr>
      <w:numPr>
        <w:numId w:val="9"/>
      </w:numPr>
      <w:contextualSpacing/>
    </w:pPr>
  </w:style>
  <w:style w:type="paragraph" w:styleId="ListContinue">
    <w:name w:val="List Continue"/>
    <w:basedOn w:val="Normal"/>
    <w:uiPriority w:val="99"/>
    <w:semiHidden/>
    <w:unhideWhenUsed/>
    <w:rsid w:val="00C20895"/>
    <w:pPr>
      <w:spacing w:after="120"/>
      <w:ind w:left="283"/>
      <w:contextualSpacing/>
    </w:pPr>
  </w:style>
  <w:style w:type="paragraph" w:styleId="ListContinue2">
    <w:name w:val="List Continue 2"/>
    <w:basedOn w:val="Normal"/>
    <w:uiPriority w:val="99"/>
    <w:semiHidden/>
    <w:unhideWhenUsed/>
    <w:rsid w:val="00C20895"/>
    <w:pPr>
      <w:spacing w:after="120"/>
      <w:ind w:left="566"/>
      <w:contextualSpacing/>
    </w:pPr>
  </w:style>
  <w:style w:type="paragraph" w:styleId="ListContinue3">
    <w:name w:val="List Continue 3"/>
    <w:basedOn w:val="Normal"/>
    <w:uiPriority w:val="99"/>
    <w:semiHidden/>
    <w:rsid w:val="00C20895"/>
    <w:pPr>
      <w:spacing w:after="120"/>
      <w:ind w:left="849"/>
      <w:contextualSpacing/>
    </w:pPr>
  </w:style>
  <w:style w:type="paragraph" w:styleId="ListContinue4">
    <w:name w:val="List Continue 4"/>
    <w:basedOn w:val="Normal"/>
    <w:uiPriority w:val="99"/>
    <w:semiHidden/>
    <w:rsid w:val="00C20895"/>
    <w:pPr>
      <w:spacing w:after="120"/>
      <w:ind w:left="1132"/>
      <w:contextualSpacing/>
    </w:pPr>
  </w:style>
  <w:style w:type="paragraph" w:styleId="ListContinue5">
    <w:name w:val="List Continue 5"/>
    <w:basedOn w:val="Normal"/>
    <w:uiPriority w:val="99"/>
    <w:semiHidden/>
    <w:rsid w:val="00C20895"/>
    <w:pPr>
      <w:spacing w:after="120"/>
      <w:ind w:left="1415"/>
      <w:contextualSpacing/>
    </w:pPr>
  </w:style>
  <w:style w:type="paragraph" w:styleId="ListNumber">
    <w:name w:val="List Number"/>
    <w:basedOn w:val="Normal"/>
    <w:rsid w:val="00C20895"/>
    <w:pPr>
      <w:numPr>
        <w:numId w:val="10"/>
      </w:numPr>
      <w:contextualSpacing/>
    </w:pPr>
  </w:style>
  <w:style w:type="paragraph" w:styleId="ListNumber2">
    <w:name w:val="List Number 2"/>
    <w:basedOn w:val="Normal"/>
    <w:uiPriority w:val="99"/>
    <w:semiHidden/>
    <w:unhideWhenUsed/>
    <w:rsid w:val="00C20895"/>
    <w:pPr>
      <w:numPr>
        <w:numId w:val="11"/>
      </w:numPr>
      <w:contextualSpacing/>
    </w:pPr>
  </w:style>
  <w:style w:type="paragraph" w:styleId="ListNumber3">
    <w:name w:val="List Number 3"/>
    <w:basedOn w:val="Normal"/>
    <w:uiPriority w:val="99"/>
    <w:semiHidden/>
    <w:unhideWhenUsed/>
    <w:rsid w:val="00C20895"/>
    <w:pPr>
      <w:numPr>
        <w:numId w:val="12"/>
      </w:numPr>
      <w:contextualSpacing/>
    </w:pPr>
  </w:style>
  <w:style w:type="paragraph" w:styleId="ListNumber4">
    <w:name w:val="List Number 4"/>
    <w:basedOn w:val="Normal"/>
    <w:uiPriority w:val="99"/>
    <w:semiHidden/>
    <w:unhideWhenUsed/>
    <w:rsid w:val="00C20895"/>
    <w:pPr>
      <w:numPr>
        <w:numId w:val="13"/>
      </w:numPr>
      <w:contextualSpacing/>
    </w:pPr>
  </w:style>
  <w:style w:type="paragraph" w:styleId="ListNumber5">
    <w:name w:val="List Number 5"/>
    <w:basedOn w:val="Normal"/>
    <w:uiPriority w:val="99"/>
    <w:semiHidden/>
    <w:unhideWhenUsed/>
    <w:rsid w:val="00C20895"/>
    <w:pPr>
      <w:numPr>
        <w:numId w:val="14"/>
      </w:numPr>
      <w:contextualSpacing/>
    </w:pPr>
  </w:style>
  <w:style w:type="table" w:styleId="ListTable1Light">
    <w:name w:val="List Table 1 Light"/>
    <w:basedOn w:val="TableNormal"/>
    <w:uiPriority w:val="46"/>
    <w:rsid w:val="00C20895"/>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20895"/>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20895"/>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20895"/>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20895"/>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20895"/>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20895"/>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20895"/>
    <w:rPr>
      <w:rFonts w:cs="Simplified Arabic" w:hint="c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C20895"/>
    <w:rPr>
      <w:rFonts w:cs="Simplified Arabic" w:hint="c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C20895"/>
    <w:rPr>
      <w:rFonts w:cs="Simplified Arabic" w:hint="c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C20895"/>
    <w:rPr>
      <w:rFonts w:cs="Simplified Arabic" w:hint="c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C20895"/>
    <w:rPr>
      <w:rFonts w:cs="Simplified Arabic" w:hint="c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C20895"/>
    <w:rPr>
      <w:rFonts w:cs="Simplified Arabic" w:hint="c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C20895"/>
    <w:rPr>
      <w:rFonts w:cs="Simplified Arabic" w:hint="c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C20895"/>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20895"/>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20895"/>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20895"/>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20895"/>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20895"/>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20895"/>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20895"/>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20895"/>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20895"/>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20895"/>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20895"/>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20895"/>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20895"/>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20895"/>
    <w:rPr>
      <w:rFonts w:cs="Simplified Arabic" w:hint="cs"/>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20895"/>
    <w:rPr>
      <w:rFonts w:cs="Simplified Arabic" w:hint="cs"/>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20895"/>
    <w:rPr>
      <w:rFonts w:cs="Simplified Arabic" w:hint="cs"/>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20895"/>
    <w:rPr>
      <w:rFonts w:cs="Simplified Arabic" w:hint="cs"/>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20895"/>
    <w:rPr>
      <w:rFonts w:cs="Simplified Arabic" w:hint="cs"/>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20895"/>
    <w:rPr>
      <w:rFonts w:cs="Simplified Arabic" w:hint="cs"/>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20895"/>
    <w:rPr>
      <w:rFonts w:cs="Simplified Arabic" w:hint="cs"/>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20895"/>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20895"/>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20895"/>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20895"/>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20895"/>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20895"/>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20895"/>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20895"/>
    <w:rPr>
      <w:rFonts w:cs="Simplified Arabic" w:hint="cs"/>
      <w:color w:val="000000" w:themeColor="text1"/>
    </w:r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0895"/>
    <w:rPr>
      <w:rFonts w:cs="Simplified Arabic" w:hint="cs"/>
      <w:color w:val="365F91" w:themeColor="accent1" w:themeShade="BF"/>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20895"/>
    <w:rPr>
      <w:rFonts w:cs="Simplified Arabic" w:hint="cs"/>
      <w:color w:val="943634" w:themeColor="accent2" w:themeShade="BF"/>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20895"/>
    <w:rPr>
      <w:rFonts w:cs="Simplified Arabic" w:hint="cs"/>
      <w:color w:val="76923C" w:themeColor="accent3" w:themeShade="BF"/>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0895"/>
    <w:rPr>
      <w:rFonts w:cs="Simplified Arabic" w:hint="cs"/>
      <w:color w:val="5F497A" w:themeColor="accent4" w:themeShade="BF"/>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20895"/>
    <w:rPr>
      <w:rFonts w:cs="Simplified Arabic" w:hint="cs"/>
      <w:color w:val="31849B" w:themeColor="accent5" w:themeShade="BF"/>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20895"/>
    <w:rPr>
      <w:rFonts w:cs="Simplified Arabic" w:hint="cs"/>
      <w:color w:val="E36C0A" w:themeColor="accent6" w:themeShade="BF"/>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2089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rPr>
  </w:style>
  <w:style w:type="character" w:customStyle="1" w:styleId="MacroTextChar">
    <w:name w:val="Macro Text Char"/>
    <w:basedOn w:val="DefaultParagraphFont"/>
    <w:link w:val="MacroText"/>
    <w:uiPriority w:val="99"/>
    <w:semiHidden/>
    <w:rsid w:val="00C20895"/>
    <w:rPr>
      <w:rFonts w:ascii="Consolas" w:eastAsia="Times New Roman" w:hAnsi="Consolas"/>
    </w:rPr>
  </w:style>
  <w:style w:type="table" w:styleId="MediumGrid1">
    <w:name w:val="Medium Grid 1"/>
    <w:basedOn w:val="TableNormal"/>
    <w:uiPriority w:val="67"/>
    <w:semiHidden/>
    <w:unhideWhenUsed/>
    <w:rsid w:val="00C20895"/>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semiHidden/>
    <w:unhideWhenUsed/>
    <w:rsid w:val="00C20895"/>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semiHidden/>
    <w:unhideWhenUsed/>
    <w:rsid w:val="00C20895"/>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semiHidden/>
    <w:unhideWhenUsed/>
    <w:rsid w:val="00C20895"/>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semiHidden/>
    <w:unhideWhenUsed/>
    <w:rsid w:val="00C20895"/>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semiHidden/>
    <w:unhideWhenUsed/>
    <w:rsid w:val="00C20895"/>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semiHidden/>
    <w:unhideWhenUsed/>
    <w:rsid w:val="00C20895"/>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MediumGrid3-Accent1">
    <w:name w:val="Medium Grid 3 Accent 1"/>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styleId="MediumGrid3-Accent2">
    <w:name w:val="Medium Grid 3 Accent 2"/>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styleId="MediumGrid3-Accent3">
    <w:name w:val="Medium Grid 3 Accent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styleId="MediumGrid3-Accent4">
    <w:name w:val="Medium Grid 3 Accent 4"/>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styleId="MediumGrid3-Accent5">
    <w:name w:val="Medium Grid 3 Accent 5"/>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styleId="MediumGrid3-Accent6">
    <w:name w:val="Medium Grid 3 Accent 6"/>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MediumList1">
    <w:name w:val="Medium List 1"/>
    <w:basedOn w:val="TableNormal"/>
    <w:uiPriority w:val="65"/>
    <w:semiHidden/>
    <w:unhideWhenUsed/>
    <w:rsid w:val="00C20895"/>
    <w:rPr>
      <w:rFonts w:cs="Simplified Arabic" w:hint="cs"/>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sid w:val="00C20895"/>
    <w:rPr>
      <w:rFonts w:cs="Simplified Arabic" w:hint="cs"/>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sid w:val="00C20895"/>
    <w:rPr>
      <w:rFonts w:cs="Simplified Arabic" w:hint="cs"/>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sid w:val="00C20895"/>
    <w:rPr>
      <w:rFonts w:cs="Simplified Arabic" w:hint="cs"/>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sid w:val="00C20895"/>
    <w:rPr>
      <w:rFonts w:cs="Simplified Arabic" w:hint="cs"/>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sid w:val="00C20895"/>
    <w:rPr>
      <w:rFonts w:cs="Simplified Arabic" w:hint="cs"/>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sid w:val="00C20895"/>
    <w:rPr>
      <w:rFonts w:cs="Simplified Arabic" w:hint="cs"/>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semiHidden/>
    <w:unhideWhenUsed/>
    <w:rsid w:val="00C20895"/>
    <w:rPr>
      <w:rFonts w:cs="Simplified Arabic" w:hint="cs"/>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0895"/>
    <w:rPr>
      <w:rFonts w:cs="Simplified Arabic" w:hint="cs"/>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0895"/>
    <w:rPr>
      <w:rFonts w:cs="Simplified Arabic" w:hint="cs"/>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0895"/>
    <w:rPr>
      <w:rFonts w:cs="Simplified Arabic" w:hint="cs"/>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0895"/>
    <w:rPr>
      <w:rFonts w:cs="Simplified Arabic" w:hint="cs"/>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0895"/>
    <w:rPr>
      <w:rFonts w:cs="Simplified Arabic" w:hint="cs"/>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0895"/>
    <w:rPr>
      <w:rFonts w:cs="Simplified Arabic" w:hint="cs"/>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0895"/>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C20895"/>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rsid w:val="00C20895"/>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rsid w:val="00C20895"/>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rsid w:val="00C20895"/>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rsid w:val="00C20895"/>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rsid w:val="00C20895"/>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20895"/>
    <w:rPr>
      <w:color w:val="2B579A"/>
      <w:shd w:val="clear" w:color="auto" w:fill="E1DFDD"/>
    </w:rPr>
  </w:style>
  <w:style w:type="paragraph" w:styleId="MessageHeader">
    <w:name w:val="Message Header"/>
    <w:basedOn w:val="Normal"/>
    <w:link w:val="MessageHeaderChar"/>
    <w:uiPriority w:val="99"/>
    <w:semiHidden/>
    <w:rsid w:val="00C208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089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C20895"/>
    <w:pPr>
      <w:ind w:left="720"/>
    </w:pPr>
  </w:style>
  <w:style w:type="paragraph" w:styleId="NoteHeading">
    <w:name w:val="Note Heading"/>
    <w:basedOn w:val="Normal"/>
    <w:next w:val="Normal"/>
    <w:link w:val="NoteHeadingChar"/>
    <w:uiPriority w:val="99"/>
    <w:semiHidden/>
    <w:unhideWhenUsed/>
    <w:rsid w:val="00C20895"/>
  </w:style>
  <w:style w:type="character" w:customStyle="1" w:styleId="NoteHeadingChar">
    <w:name w:val="Note Heading Char"/>
    <w:basedOn w:val="DefaultParagraphFont"/>
    <w:link w:val="NoteHeading"/>
    <w:uiPriority w:val="99"/>
    <w:semiHidden/>
    <w:rsid w:val="00C20895"/>
    <w:rPr>
      <w:rFonts w:eastAsia="Times New Roman"/>
    </w:rPr>
  </w:style>
  <w:style w:type="table" w:styleId="PlainTable1">
    <w:name w:val="Plain Table 1"/>
    <w:basedOn w:val="TableNormal"/>
    <w:uiPriority w:val="41"/>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C20895"/>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styleId="PlainTable3">
    <w:name w:val="Plain Table 3"/>
    <w:basedOn w:val="TableNormal"/>
    <w:uiPriority w:val="43"/>
    <w:rsid w:val="00C20895"/>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C20895"/>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20895"/>
    <w:rPr>
      <w:rFonts w:ascii="Consolas" w:hAnsi="Consolas"/>
      <w:sz w:val="21"/>
      <w:szCs w:val="21"/>
    </w:rPr>
  </w:style>
  <w:style w:type="character" w:customStyle="1" w:styleId="PlainTextChar">
    <w:name w:val="Plain Text Char"/>
    <w:basedOn w:val="DefaultParagraphFont"/>
    <w:link w:val="PlainText"/>
    <w:uiPriority w:val="99"/>
    <w:semiHidden/>
    <w:rsid w:val="00C20895"/>
    <w:rPr>
      <w:rFonts w:ascii="Consolas" w:eastAsia="Times New Roman" w:hAnsi="Consolas"/>
      <w:sz w:val="21"/>
      <w:szCs w:val="21"/>
    </w:rPr>
  </w:style>
  <w:style w:type="paragraph" w:styleId="Quote">
    <w:name w:val="Quote"/>
    <w:basedOn w:val="Normal"/>
    <w:next w:val="Normal"/>
    <w:link w:val="QuoteChar"/>
    <w:uiPriority w:val="29"/>
    <w:qFormat/>
    <w:rsid w:val="00C20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20895"/>
    <w:rPr>
      <w:rFonts w:eastAsia="Times New Roman"/>
      <w:i/>
      <w:iCs/>
      <w:color w:val="404040" w:themeColor="text1" w:themeTint="BF"/>
    </w:rPr>
  </w:style>
  <w:style w:type="paragraph" w:styleId="Salutation">
    <w:name w:val="Salutation"/>
    <w:basedOn w:val="Normal"/>
    <w:next w:val="Normal"/>
    <w:link w:val="SalutationChar"/>
    <w:uiPriority w:val="99"/>
    <w:semiHidden/>
    <w:unhideWhenUsed/>
    <w:rsid w:val="00C20895"/>
  </w:style>
  <w:style w:type="character" w:customStyle="1" w:styleId="SalutationChar">
    <w:name w:val="Salutation Char"/>
    <w:basedOn w:val="DefaultParagraphFont"/>
    <w:link w:val="Salutation"/>
    <w:uiPriority w:val="99"/>
    <w:semiHidden/>
    <w:rsid w:val="00C20895"/>
    <w:rPr>
      <w:rFonts w:eastAsia="Times New Roman"/>
    </w:rPr>
  </w:style>
  <w:style w:type="paragraph" w:styleId="Signature">
    <w:name w:val="Signature"/>
    <w:basedOn w:val="Normal"/>
    <w:link w:val="SignatureChar"/>
    <w:uiPriority w:val="99"/>
    <w:semiHidden/>
    <w:unhideWhenUsed/>
    <w:rsid w:val="00C20895"/>
    <w:pPr>
      <w:ind w:left="4252"/>
    </w:pPr>
  </w:style>
  <w:style w:type="character" w:customStyle="1" w:styleId="SignatureChar">
    <w:name w:val="Signature Char"/>
    <w:basedOn w:val="DefaultParagraphFont"/>
    <w:link w:val="Signature"/>
    <w:uiPriority w:val="99"/>
    <w:semiHidden/>
    <w:rsid w:val="00C20895"/>
    <w:rPr>
      <w:rFonts w:eastAsia="Times New Roman"/>
    </w:rPr>
  </w:style>
  <w:style w:type="character" w:styleId="SmartHyperlink">
    <w:name w:val="Smart Hyperlink"/>
    <w:basedOn w:val="DefaultParagraphFont"/>
    <w:uiPriority w:val="99"/>
    <w:semiHidden/>
    <w:rsid w:val="00C20895"/>
    <w:rPr>
      <w:u w:val="dotted"/>
    </w:rPr>
  </w:style>
  <w:style w:type="character" w:styleId="SmartLink">
    <w:name w:val="Smart Link"/>
    <w:basedOn w:val="DefaultParagraphFont"/>
    <w:uiPriority w:val="99"/>
    <w:semiHidden/>
    <w:unhideWhenUsed/>
    <w:rsid w:val="00C20895"/>
    <w:rPr>
      <w:color w:val="0000FF"/>
      <w:u w:val="single"/>
      <w:shd w:val="clear" w:color="auto" w:fill="F3F2F1"/>
    </w:rPr>
  </w:style>
  <w:style w:type="character" w:styleId="Strong">
    <w:name w:val="Strong"/>
    <w:basedOn w:val="DefaultParagraphFont"/>
    <w:uiPriority w:val="22"/>
    <w:qFormat/>
    <w:rsid w:val="00C20895"/>
    <w:rPr>
      <w:b/>
      <w:bCs/>
    </w:rPr>
  </w:style>
  <w:style w:type="paragraph" w:styleId="Subtitle">
    <w:name w:val="Subtitle"/>
    <w:basedOn w:val="Normal"/>
    <w:next w:val="Normal"/>
    <w:link w:val="SubtitleChar"/>
    <w:uiPriority w:val="11"/>
    <w:qFormat/>
    <w:rsid w:val="00C208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20895"/>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C20895"/>
    <w:rPr>
      <w:i/>
      <w:iCs/>
      <w:color w:val="404040" w:themeColor="text1" w:themeTint="BF"/>
    </w:rPr>
  </w:style>
  <w:style w:type="character" w:styleId="SubtleReference">
    <w:name w:val="Subtle Reference"/>
    <w:basedOn w:val="DefaultParagraphFont"/>
    <w:uiPriority w:val="31"/>
    <w:qFormat/>
    <w:rsid w:val="00C20895"/>
    <w:rPr>
      <w:smallCaps/>
      <w:color w:val="5A5A5A" w:themeColor="text1" w:themeTint="A5"/>
    </w:rPr>
  </w:style>
  <w:style w:type="table" w:styleId="Table3Deffects1">
    <w:name w:val="Table 3D effect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nwCell">
      <w:rPr>
        <w:b/>
        <w:bCs/>
        <w:color w:val="FFFFFF"/>
      </w:rPr>
    </w:tblStylePr>
  </w:style>
  <w:style w:type="table" w:styleId="TableColumns1">
    <w:name w:val="Table Column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Grid1">
    <w:name w:val="Table Grid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i/>
        <w:iCs/>
      </w:rPr>
    </w:tblStylePr>
    <w:tblStylePr w:type="lastCol">
      <w:rPr>
        <w:i/>
        <w:iCs/>
      </w:rPr>
    </w:tblStylePr>
  </w:style>
  <w:style w:type="table" w:styleId="TableGrid2">
    <w:name w:val="Table Grid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styleId="TableGrid6">
    <w:name w:val="Table Grid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GridLight">
    <w:name w:val="Grid Table Light"/>
    <w:basedOn w:val="TableNormal"/>
    <w:uiPriority w:val="40"/>
    <w:rsid w:val="00C20895"/>
    <w:tblPr/>
  </w:style>
  <w:style w:type="table" w:styleId="TableList1">
    <w:name w:val="Table List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rFonts w:cs="Simplified Arabic" w:hint="c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Pr w:type="firstRow">
      <w:rPr>
        <w:b/>
        <w:bCs/>
        <w:color w:val="FFFFFF"/>
      </w:rPr>
    </w:tblStylePr>
  </w:style>
  <w:style w:type="table" w:styleId="TableList5">
    <w:name w:val="Table List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Pr w:type="firstRow">
      <w:rPr>
        <w:b/>
        <w:bCs/>
      </w:rPr>
    </w:tblStylePr>
    <w:tblStylePr w:type="firstCol">
      <w:rPr>
        <w:b/>
        <w:bCs/>
      </w:rPr>
    </w:tblStylePr>
  </w:style>
  <w:style w:type="table" w:styleId="TableList6">
    <w:name w:val="Table List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TableList7">
    <w:name w:val="Table List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paragraph" w:styleId="TableofAuthorities">
    <w:name w:val="table of authorities"/>
    <w:basedOn w:val="Normal"/>
    <w:next w:val="Normal"/>
    <w:uiPriority w:val="99"/>
    <w:semiHidden/>
    <w:unhideWhenUsed/>
    <w:rsid w:val="00C20895"/>
    <w:pPr>
      <w:tabs>
        <w:tab w:val="clear" w:pos="1247"/>
      </w:tabs>
      <w:ind w:left="200" w:hanging="200"/>
    </w:pPr>
  </w:style>
  <w:style w:type="table" w:styleId="TableProfessional">
    <w:name w:val="Table Professional"/>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style>
  <w:style w:type="table" w:styleId="TableSimple1">
    <w:name w:val="Table Simp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StylePr>
  </w:style>
  <w:style w:type="table" w:styleId="TableSubtle1">
    <w:name w:val="Table Subt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style>
  <w:style w:type="table" w:styleId="TableWeb1">
    <w:name w:val="Table Web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2">
    <w:name w:val="Table Web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3">
    <w:name w:val="Table Web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paragraph" w:styleId="Title">
    <w:name w:val="Title"/>
    <w:basedOn w:val="Normal"/>
    <w:next w:val="Normal"/>
    <w:link w:val="TitleChar"/>
    <w:uiPriority w:val="10"/>
    <w:qFormat/>
    <w:rsid w:val="00C208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89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208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2089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C20895"/>
    <w:rPr>
      <w:rFonts w:eastAsia="Times New Roman"/>
    </w:rPr>
  </w:style>
  <w:style w:type="character" w:customStyle="1" w:styleId="BBTitleChar">
    <w:name w:val="BB_Title Char"/>
    <w:link w:val="BBTitle"/>
    <w:rsid w:val="00C20895"/>
    <w:rPr>
      <w:rFonts w:eastAsia="Times New Roman"/>
      <w:b/>
      <w:sz w:val="28"/>
      <w:szCs w:val="28"/>
    </w:rPr>
  </w:style>
  <w:style w:type="paragraph" w:styleId="Revision">
    <w:name w:val="Revision"/>
    <w:hidden/>
    <w:uiPriority w:val="99"/>
    <w:semiHidden/>
    <w:rsid w:val="00C20895"/>
    <w:rPr>
      <w:rFonts w:eastAsia="Times New Roman"/>
    </w:rPr>
  </w:style>
  <w:style w:type="numbering" w:customStyle="1" w:styleId="NoList1">
    <w:name w:val="No List1"/>
    <w:next w:val="NoList"/>
    <w:uiPriority w:val="99"/>
    <w:semiHidden/>
    <w:unhideWhenUsed/>
    <w:rsid w:val="00314CC0"/>
  </w:style>
  <w:style w:type="table" w:customStyle="1" w:styleId="Tabledocright1">
    <w:name w:val="Table_doc_right1"/>
    <w:basedOn w:val="TableNormal"/>
    <w:rsid w:val="00314CC0"/>
    <w:pPr>
      <w:spacing w:before="40" w:after="40"/>
    </w:pPr>
    <w:rPr>
      <w:sz w:val="18"/>
      <w:szCs w:val="18"/>
      <w:lang w:val="en-GB"/>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Footertable1">
    <w:name w:val="Footer_table1"/>
    <w:basedOn w:val="TableNormal"/>
    <w:semiHidden/>
    <w:rsid w:val="00314CC0"/>
    <w:rPr>
      <w:rFonts w:ascii="Arial" w:hAnsi="Arial"/>
      <w:sz w:val="16"/>
      <w:lang w:val="en-GB"/>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table" w:customStyle="1" w:styleId="AATable1">
    <w:name w:val="AA_Table1"/>
    <w:basedOn w:val="TableNormal"/>
    <w:semiHidden/>
    <w:rsid w:val="00314CC0"/>
    <w:rPr>
      <w:lang w:val="en-GB"/>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1">
    <w:name w:val="Normal_list1"/>
    <w:basedOn w:val="NoList"/>
    <w:rsid w:val="00314CC0"/>
  </w:style>
  <w:style w:type="table" w:customStyle="1" w:styleId="TableGrid10">
    <w:name w:val="Table Grid1"/>
    <w:basedOn w:val="TableNormal"/>
    <w:next w:val="TableGrid"/>
    <w:rsid w:val="00314CC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s">
    <w:name w:val="ContentControls"/>
    <w:basedOn w:val="DefaultParagraphFont"/>
    <w:uiPriority w:val="1"/>
    <w:rsid w:val="00314CC0"/>
    <w:rPr>
      <w:rFonts w:eastAsia="DengXian"/>
      <w:color w:val="000000"/>
    </w:rPr>
  </w:style>
  <w:style w:type="table" w:customStyle="1" w:styleId="ColorfulGrid1">
    <w:name w:val="Colorful Grid1"/>
    <w:basedOn w:val="TableNormal"/>
    <w:next w:val="ColorfulGrid"/>
    <w:uiPriority w:val="73"/>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customStyle="1" w:styleId="ColorfulGrid-Accent21">
    <w:name w:val="Colorful Grid - Accent 21"/>
    <w:basedOn w:val="TableNormal"/>
    <w:next w:val="ColorfulGrid-Accent2"/>
    <w:uiPriority w:val="73"/>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customStyle="1" w:styleId="ColorfulGrid-Accent31">
    <w:name w:val="Colorful Grid - Accent 31"/>
    <w:basedOn w:val="TableNormal"/>
    <w:next w:val="ColorfulGrid-Accent3"/>
    <w:uiPriority w:val="73"/>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customStyle="1" w:styleId="ColorfulGrid-Accent41">
    <w:name w:val="Colorful Grid - Accent 41"/>
    <w:basedOn w:val="TableNormal"/>
    <w:next w:val="ColorfulGrid-Accent4"/>
    <w:uiPriority w:val="73"/>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customStyle="1" w:styleId="ColorfulGrid-Accent51">
    <w:name w:val="Colorful Grid - Accent 51"/>
    <w:basedOn w:val="TableNormal"/>
    <w:next w:val="ColorfulGrid-Accent5"/>
    <w:uiPriority w:val="73"/>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customStyle="1" w:styleId="ColorfulGrid-Accent61">
    <w:name w:val="Colorful Grid - Accent 61"/>
    <w:basedOn w:val="TableNormal"/>
    <w:next w:val="ColorfulGrid-Accent6"/>
    <w:uiPriority w:val="73"/>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table" w:customStyle="1" w:styleId="ColorfulList1">
    <w:name w:val="Colorful List1"/>
    <w:basedOn w:val="TableNormal"/>
    <w:next w:val="ColorfulList"/>
    <w:uiPriority w:val="72"/>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customStyle="1" w:styleId="ColorfulList-Accent21">
    <w:name w:val="Colorful List - Accent 21"/>
    <w:basedOn w:val="TableNormal"/>
    <w:next w:val="ColorfulList-Accent2"/>
    <w:uiPriority w:val="72"/>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customStyle="1" w:styleId="ColorfulList-Accent31">
    <w:name w:val="Colorful List - Accent 31"/>
    <w:basedOn w:val="TableNormal"/>
    <w:next w:val="ColorfulList-Accent3"/>
    <w:uiPriority w:val="72"/>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customStyle="1" w:styleId="ColorfulList-Accent41">
    <w:name w:val="Colorful List - Accent 41"/>
    <w:basedOn w:val="TableNormal"/>
    <w:next w:val="ColorfulList-Accent4"/>
    <w:uiPriority w:val="72"/>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customStyle="1" w:styleId="ColorfulList-Accent51">
    <w:name w:val="Colorful List - Accent 51"/>
    <w:basedOn w:val="TableNormal"/>
    <w:next w:val="ColorfulList-Accent5"/>
    <w:uiPriority w:val="72"/>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customStyle="1" w:styleId="ColorfulList-Accent61">
    <w:name w:val="Colorful List - Accent 61"/>
    <w:basedOn w:val="TableNormal"/>
    <w:next w:val="ColorfulList-Accent6"/>
    <w:uiPriority w:val="72"/>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customStyle="1" w:styleId="ColorfulShading1">
    <w:name w:val="Colorful Shading1"/>
    <w:basedOn w:val="TableNormal"/>
    <w:next w:val="ColorfulShading"/>
    <w:uiPriority w:val="71"/>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customStyle="1" w:styleId="ColorfulShading-Accent41">
    <w:name w:val="Colorful Shading - Accent 41"/>
    <w:basedOn w:val="TableNormal"/>
    <w:next w:val="ColorfulShading-Accent4"/>
    <w:uiPriority w:val="71"/>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314CC0"/>
    <w:rPr>
      <w:rFonts w:eastAsia="DengXian" w:hAnsi="Aptos" w:cs="Simplified Arabic" w:hint="cs"/>
      <w:color w:val="FFFFFF"/>
      <w:kern w:val="2"/>
      <w:sz w:val="24"/>
      <w:szCs w:val="24"/>
      <w:lang w:val="en-GB"/>
      <w14:ligatures w14:val="standardContextual"/>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314CC0"/>
    <w:rPr>
      <w:rFonts w:eastAsia="DengXian" w:hAnsi="Aptos" w:cs="Simplified Arabic" w:hint="cs"/>
      <w:color w:val="FFFFFF"/>
      <w:kern w:val="2"/>
      <w:sz w:val="24"/>
      <w:szCs w:val="24"/>
      <w:lang w:val="en-GB"/>
      <w14:ligatures w14:val="standardContextual"/>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customStyle="1" w:styleId="DarkList-Accent21">
    <w:name w:val="Dark List - Accent 21"/>
    <w:basedOn w:val="TableNormal"/>
    <w:next w:val="DarkList-Accent2"/>
    <w:uiPriority w:val="70"/>
    <w:semiHidden/>
    <w:unhideWhenUsed/>
    <w:rsid w:val="00314CC0"/>
    <w:rPr>
      <w:rFonts w:eastAsia="DengXian" w:hAnsi="Aptos" w:cs="Simplified Arabic" w:hint="cs"/>
      <w:color w:val="FFFFFF"/>
      <w:kern w:val="2"/>
      <w:sz w:val="24"/>
      <w:szCs w:val="24"/>
      <w:lang w:val="en-GB"/>
      <w14:ligatures w14:val="standardContextual"/>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customStyle="1" w:styleId="DarkList-Accent31">
    <w:name w:val="Dark List - Accent 31"/>
    <w:basedOn w:val="TableNormal"/>
    <w:next w:val="DarkList-Accent3"/>
    <w:uiPriority w:val="70"/>
    <w:semiHidden/>
    <w:unhideWhenUsed/>
    <w:rsid w:val="00314CC0"/>
    <w:rPr>
      <w:rFonts w:eastAsia="DengXian" w:hAnsi="Aptos" w:cs="Simplified Arabic" w:hint="cs"/>
      <w:color w:val="FFFFFF"/>
      <w:kern w:val="2"/>
      <w:sz w:val="24"/>
      <w:szCs w:val="24"/>
      <w:lang w:val="en-GB"/>
      <w14:ligatures w14:val="standardContextual"/>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customStyle="1" w:styleId="DarkList-Accent41">
    <w:name w:val="Dark List - Accent 41"/>
    <w:basedOn w:val="TableNormal"/>
    <w:next w:val="DarkList-Accent4"/>
    <w:uiPriority w:val="70"/>
    <w:semiHidden/>
    <w:unhideWhenUsed/>
    <w:rsid w:val="00314CC0"/>
    <w:rPr>
      <w:rFonts w:eastAsia="DengXian" w:hAnsi="Aptos" w:cs="Simplified Arabic" w:hint="cs"/>
      <w:color w:val="FFFFFF"/>
      <w:kern w:val="2"/>
      <w:sz w:val="24"/>
      <w:szCs w:val="24"/>
      <w:lang w:val="en-GB"/>
      <w14:ligatures w14:val="standardContextual"/>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customStyle="1" w:styleId="DarkList-Accent51">
    <w:name w:val="Dark List - Accent 51"/>
    <w:basedOn w:val="TableNormal"/>
    <w:next w:val="DarkList-Accent5"/>
    <w:uiPriority w:val="70"/>
    <w:semiHidden/>
    <w:unhideWhenUsed/>
    <w:rsid w:val="00314CC0"/>
    <w:rPr>
      <w:rFonts w:eastAsia="DengXian" w:hAnsi="Aptos" w:cs="Simplified Arabic" w:hint="cs"/>
      <w:color w:val="FFFFFF"/>
      <w:kern w:val="2"/>
      <w:sz w:val="24"/>
      <w:szCs w:val="24"/>
      <w:lang w:val="en-GB"/>
      <w14:ligatures w14:val="standardContextual"/>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customStyle="1" w:styleId="DarkList-Accent61">
    <w:name w:val="Dark List - Accent 61"/>
    <w:basedOn w:val="TableNormal"/>
    <w:next w:val="DarkList-Accent6"/>
    <w:uiPriority w:val="70"/>
    <w:semiHidden/>
    <w:unhideWhenUsed/>
    <w:rsid w:val="00314CC0"/>
    <w:rPr>
      <w:rFonts w:eastAsia="DengXian" w:hAnsi="Aptos" w:cs="Simplified Arabic" w:hint="cs"/>
      <w:color w:val="FFFFFF"/>
      <w:kern w:val="2"/>
      <w:sz w:val="24"/>
      <w:szCs w:val="24"/>
      <w:lang w:val="en-GB"/>
      <w14:ligatures w14:val="standardContextual"/>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table" w:customStyle="1" w:styleId="GridTable1Light1">
    <w:name w:val="Grid Table 1 Light1"/>
    <w:basedOn w:val="TableNormal"/>
    <w:next w:val="GridTable1Light"/>
    <w:uiPriority w:val="46"/>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B3E5A1"/>
        <w:left w:val="single" w:sz="4" w:space="0" w:color="B3E5A1"/>
        <w:bottom w:val="single" w:sz="4" w:space="0" w:color="B3E5A1"/>
        <w:right w:val="single" w:sz="4" w:space="0" w:color="B3E5A1"/>
        <w:insideH w:val="single" w:sz="4" w:space="0" w:color="B3E5A1"/>
        <w:insideV w:val="single" w:sz="4" w:space="0" w:color="B3E5A1"/>
      </w:tblBorders>
    </w:tblPr>
    <w:tblStylePr w:type="firstRow">
      <w:rPr>
        <w:b/>
        <w:bCs/>
      </w:rPr>
      <w:tblPr/>
      <w:tcPr>
        <w:tcBorders>
          <w:bottom w:val="single" w:sz="12" w:space="0" w:color="8DD873"/>
        </w:tcBorders>
      </w:tcPr>
    </w:tblStylePr>
    <w:tblStylePr w:type="lastRow">
      <w:rPr>
        <w:b/>
        <w:bCs/>
      </w:rPr>
      <w:tblPr/>
      <w:tcPr>
        <w:tcBorders>
          <w:top w:val="double" w:sz="2" w:space="0" w:color="8DD873"/>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314CC0"/>
    <w:rPr>
      <w:rFonts w:ascii="Aptos" w:eastAsia="DengXian" w:hAnsi="Aptos" w:cs="Arial"/>
      <w:kern w:val="2"/>
      <w:sz w:val="24"/>
      <w:szCs w:val="24"/>
      <w:lang w:val="en-GB"/>
      <w14:ligatures w14:val="standardContextu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314CC0"/>
    <w:rPr>
      <w:rFonts w:ascii="Aptos" w:eastAsia="DengXian" w:hAnsi="Aptos" w:cs="Arial"/>
      <w:kern w:val="2"/>
      <w:sz w:val="24"/>
      <w:szCs w:val="24"/>
      <w:lang w:val="en-GB"/>
      <w14:ligatures w14:val="standardContextual"/>
    </w:rPr>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2-Accent21">
    <w:name w:val="Grid Table 2 - Accent 21"/>
    <w:basedOn w:val="TableNormal"/>
    <w:next w:val="GridTable2-Accent2"/>
    <w:uiPriority w:val="47"/>
    <w:rsid w:val="00314CC0"/>
    <w:rPr>
      <w:rFonts w:ascii="Aptos" w:eastAsia="DengXian" w:hAnsi="Aptos" w:cs="Arial"/>
      <w:kern w:val="2"/>
      <w:sz w:val="24"/>
      <w:szCs w:val="24"/>
      <w:lang w:val="en-GB"/>
      <w14:ligatures w14:val="standardContextual"/>
    </w:rPr>
    <w:tblPr>
      <w:tblStyleRowBandSize w:val="1"/>
      <w:tblStyleColBandSize w:val="1"/>
      <w:tblBorders>
        <w:top w:val="single" w:sz="2" w:space="0" w:color="F1A983"/>
        <w:bottom w:val="single" w:sz="2" w:space="0" w:color="F1A983"/>
        <w:insideH w:val="single" w:sz="2" w:space="0" w:color="F1A983"/>
        <w:insideV w:val="single" w:sz="2" w:space="0" w:color="F1A983"/>
      </w:tblBorders>
    </w:tblPr>
    <w:tblStylePr w:type="firstRow">
      <w:rPr>
        <w:b/>
        <w:bCs/>
      </w:rPr>
      <w:tblPr/>
      <w:tcPr>
        <w:tcBorders>
          <w:top w:val="nil"/>
          <w:bottom w:val="single" w:sz="12" w:space="0" w:color="F1A983"/>
          <w:insideH w:val="nil"/>
          <w:insideV w:val="nil"/>
        </w:tcBorders>
        <w:shd w:val="clear" w:color="auto" w:fill="FFFFFF"/>
      </w:tcPr>
    </w:tblStylePr>
    <w:tblStylePr w:type="lastRow">
      <w:rPr>
        <w:b/>
        <w:bCs/>
      </w:rPr>
      <w:tblPr/>
      <w:tcPr>
        <w:tcBorders>
          <w:top w:val="double" w:sz="2" w:space="0" w:color="F1A9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GridTable2-Accent31">
    <w:name w:val="Grid Table 2 - Accent 31"/>
    <w:basedOn w:val="TableNormal"/>
    <w:next w:val="GridTable2-Accent3"/>
    <w:uiPriority w:val="47"/>
    <w:rsid w:val="00314CC0"/>
    <w:rPr>
      <w:rFonts w:ascii="Aptos" w:eastAsia="DengXian" w:hAnsi="Aptos" w:cs="Arial"/>
      <w:kern w:val="2"/>
      <w:sz w:val="24"/>
      <w:szCs w:val="24"/>
      <w:lang w:val="en-GB"/>
      <w14:ligatures w14:val="standardContextual"/>
    </w:rPr>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2-Accent41">
    <w:name w:val="Grid Table 2 - Accent 41"/>
    <w:basedOn w:val="TableNormal"/>
    <w:next w:val="GridTable2-Accent4"/>
    <w:uiPriority w:val="47"/>
    <w:rsid w:val="00314CC0"/>
    <w:rPr>
      <w:rFonts w:ascii="Aptos" w:eastAsia="DengXian" w:hAnsi="Aptos" w:cs="Arial"/>
      <w:kern w:val="2"/>
      <w:sz w:val="24"/>
      <w:szCs w:val="24"/>
      <w:lang w:val="en-GB"/>
      <w14:ligatures w14:val="standardContextual"/>
    </w:rPr>
    <w:tblPr>
      <w:tblStyleRowBandSize w:val="1"/>
      <w:tblStyleColBandSize w:val="1"/>
      <w:tblBorders>
        <w:top w:val="single" w:sz="2" w:space="0" w:color="60CAF3"/>
        <w:bottom w:val="single" w:sz="2" w:space="0" w:color="60CAF3"/>
        <w:insideH w:val="single" w:sz="2" w:space="0" w:color="60CAF3"/>
        <w:insideV w:val="single" w:sz="2" w:space="0" w:color="60CAF3"/>
      </w:tblBorders>
    </w:tblPr>
    <w:tblStylePr w:type="firstRow">
      <w:rPr>
        <w:b/>
        <w:bCs/>
      </w:rPr>
      <w:tblPr/>
      <w:tcPr>
        <w:tcBorders>
          <w:top w:val="nil"/>
          <w:bottom w:val="single" w:sz="12" w:space="0" w:color="60CAF3"/>
          <w:insideH w:val="nil"/>
          <w:insideV w:val="nil"/>
        </w:tcBorders>
        <w:shd w:val="clear" w:color="auto" w:fill="FFFFFF"/>
      </w:tcPr>
    </w:tblStylePr>
    <w:tblStylePr w:type="lastRow">
      <w:rPr>
        <w:b/>
        <w:bCs/>
      </w:rPr>
      <w:tblPr/>
      <w:tcPr>
        <w:tcBorders>
          <w:top w:val="double" w:sz="2" w:space="0" w:color="60CAF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2-Accent51">
    <w:name w:val="Grid Table 2 - Accent 51"/>
    <w:basedOn w:val="TableNormal"/>
    <w:next w:val="GridTable2-Accent5"/>
    <w:uiPriority w:val="47"/>
    <w:rsid w:val="00314CC0"/>
    <w:rPr>
      <w:rFonts w:ascii="Aptos" w:eastAsia="DengXian" w:hAnsi="Aptos" w:cs="Arial"/>
      <w:kern w:val="2"/>
      <w:sz w:val="24"/>
      <w:szCs w:val="24"/>
      <w:lang w:val="en-GB"/>
      <w14:ligatures w14:val="standardContextual"/>
    </w:rPr>
    <w:tblPr>
      <w:tblStyleRowBandSize w:val="1"/>
      <w:tblStyleColBandSize w:val="1"/>
      <w:tblBorders>
        <w:top w:val="single" w:sz="2" w:space="0" w:color="D86DCB"/>
        <w:bottom w:val="single" w:sz="2" w:space="0" w:color="D86DCB"/>
        <w:insideH w:val="single" w:sz="2" w:space="0" w:color="D86DCB"/>
        <w:insideV w:val="single" w:sz="2" w:space="0" w:color="D86DCB"/>
      </w:tblBorders>
    </w:tblPr>
    <w:tblStylePr w:type="firstRow">
      <w:rPr>
        <w:b/>
        <w:bCs/>
      </w:rPr>
      <w:tblPr/>
      <w:tcPr>
        <w:tcBorders>
          <w:top w:val="nil"/>
          <w:bottom w:val="single" w:sz="12" w:space="0" w:color="D86DCB"/>
          <w:insideH w:val="nil"/>
          <w:insideV w:val="nil"/>
        </w:tcBorders>
        <w:shd w:val="clear" w:color="auto" w:fill="FFFFFF"/>
      </w:tcPr>
    </w:tblStylePr>
    <w:tblStylePr w:type="lastRow">
      <w:rPr>
        <w:b/>
        <w:bCs/>
      </w:rPr>
      <w:tblPr/>
      <w:tcPr>
        <w:tcBorders>
          <w:top w:val="double" w:sz="2" w:space="0" w:color="D86D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2-Accent61">
    <w:name w:val="Grid Table 2 - Accent 61"/>
    <w:basedOn w:val="TableNormal"/>
    <w:next w:val="GridTable2-Accent6"/>
    <w:uiPriority w:val="47"/>
    <w:rsid w:val="00314CC0"/>
    <w:rPr>
      <w:rFonts w:ascii="Aptos" w:eastAsia="DengXian" w:hAnsi="Aptos" w:cs="Arial"/>
      <w:kern w:val="2"/>
      <w:sz w:val="24"/>
      <w:szCs w:val="24"/>
      <w:lang w:val="en-GB"/>
      <w14:ligatures w14:val="standardContextual"/>
    </w:rPr>
    <w:tblPr>
      <w:tblStyleRowBandSize w:val="1"/>
      <w:tblStyleColBandSize w:val="1"/>
      <w:tblBorders>
        <w:top w:val="single" w:sz="2" w:space="0" w:color="8DD873"/>
        <w:bottom w:val="single" w:sz="2" w:space="0" w:color="8DD873"/>
        <w:insideH w:val="single" w:sz="2" w:space="0" w:color="8DD873"/>
        <w:insideV w:val="single" w:sz="2" w:space="0" w:color="8DD873"/>
      </w:tblBorders>
    </w:tblPr>
    <w:tblStylePr w:type="firstRow">
      <w:rPr>
        <w:b/>
        <w:bCs/>
      </w:rPr>
      <w:tblPr/>
      <w:tcPr>
        <w:tcBorders>
          <w:top w:val="nil"/>
          <w:bottom w:val="single" w:sz="12" w:space="0" w:color="8DD873"/>
          <w:insideH w:val="nil"/>
          <w:insideV w:val="nil"/>
        </w:tcBorders>
        <w:shd w:val="clear" w:color="auto" w:fill="FFFFFF"/>
      </w:tcPr>
    </w:tblStylePr>
    <w:tblStylePr w:type="lastRow">
      <w:rPr>
        <w:b/>
        <w:bCs/>
      </w:rPr>
      <w:tblPr/>
      <w:tcPr>
        <w:tcBorders>
          <w:top w:val="double" w:sz="2" w:space="0" w:color="8DD8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31">
    <w:name w:val="Grid Table 31"/>
    <w:basedOn w:val="TableNormal"/>
    <w:next w:val="GridTable3"/>
    <w:uiPriority w:val="48"/>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customStyle="1" w:styleId="GridTable3-Accent21">
    <w:name w:val="Grid Table 3 - Accent 21"/>
    <w:basedOn w:val="TableNormal"/>
    <w:next w:val="GridTable3-Accent2"/>
    <w:uiPriority w:val="48"/>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customStyle="1" w:styleId="GridTable3-Accent31">
    <w:name w:val="Grid Table 3 - Accent 31"/>
    <w:basedOn w:val="TableNormal"/>
    <w:next w:val="GridTable3-Accent3"/>
    <w:uiPriority w:val="48"/>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customStyle="1" w:styleId="GridTable3-Accent41">
    <w:name w:val="Grid Table 3 - Accent 41"/>
    <w:basedOn w:val="TableNormal"/>
    <w:next w:val="GridTable3-Accent4"/>
    <w:uiPriority w:val="48"/>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customStyle="1" w:styleId="GridTable3-Accent51">
    <w:name w:val="Grid Table 3 - Accent 51"/>
    <w:basedOn w:val="TableNormal"/>
    <w:next w:val="GridTable3-Accent5"/>
    <w:uiPriority w:val="48"/>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customStyle="1" w:styleId="GridTable3-Accent61">
    <w:name w:val="Grid Table 3 - Accent 61"/>
    <w:basedOn w:val="TableNormal"/>
    <w:next w:val="GridTable3-Accent6"/>
    <w:uiPriority w:val="48"/>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table" w:customStyle="1" w:styleId="GridTable41">
    <w:name w:val="Grid Table 41"/>
    <w:basedOn w:val="TableNormal"/>
    <w:next w:val="GridTable4"/>
    <w:uiPriority w:val="49"/>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4-Accent21">
    <w:name w:val="Grid Table 4 - Accent 21"/>
    <w:basedOn w:val="TableNormal"/>
    <w:next w:val="GridTable4-Accent2"/>
    <w:uiPriority w:val="49"/>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GridTable4-Accent31">
    <w:name w:val="Grid Table 4 - Accent 31"/>
    <w:basedOn w:val="TableNormal"/>
    <w:next w:val="GridTable4-Accent3"/>
    <w:uiPriority w:val="49"/>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4-Accent41">
    <w:name w:val="Grid Table 4 - Accent 41"/>
    <w:basedOn w:val="TableNormal"/>
    <w:next w:val="GridTable4-Accent4"/>
    <w:uiPriority w:val="49"/>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4-Accent51">
    <w:name w:val="Grid Table 4 - Accent 51"/>
    <w:basedOn w:val="TableNormal"/>
    <w:next w:val="GridTable4-Accent5"/>
    <w:uiPriority w:val="49"/>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4-Accent61">
    <w:name w:val="Grid Table 4 - Accent 61"/>
    <w:basedOn w:val="TableNormal"/>
    <w:next w:val="GridTable4-Accent6"/>
    <w:uiPriority w:val="49"/>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5Dark1">
    <w:name w:val="Grid Table 5 Dark1"/>
    <w:basedOn w:val="TableNormal"/>
    <w:next w:val="GridTable5Dark"/>
    <w:uiPriority w:val="50"/>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GridTable5Dark-Accent21">
    <w:name w:val="Grid Table 5 Dark - Accent 21"/>
    <w:basedOn w:val="TableNormal"/>
    <w:next w:val="GridTable5Dark-Accent2"/>
    <w:uiPriority w:val="50"/>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 w:type="table" w:customStyle="1" w:styleId="GridTable5Dark-Accent31">
    <w:name w:val="Grid Table 5 Dark - Accent 31"/>
    <w:basedOn w:val="TableNormal"/>
    <w:next w:val="GridTable5Dark-Accent3"/>
    <w:uiPriority w:val="50"/>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F0C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96B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96B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96B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96B24"/>
      </w:tcPr>
    </w:tblStylePr>
    <w:tblStylePr w:type="band1Vert">
      <w:tblPr/>
      <w:tcPr>
        <w:shd w:val="clear" w:color="auto" w:fill="84E290"/>
      </w:tcPr>
    </w:tblStylePr>
    <w:tblStylePr w:type="band1Horz">
      <w:tblPr/>
      <w:tcPr>
        <w:shd w:val="clear" w:color="auto" w:fill="84E290"/>
      </w:tcPr>
    </w:tblStylePr>
  </w:style>
  <w:style w:type="table" w:customStyle="1" w:styleId="GridTable5Dark-Accent41">
    <w:name w:val="Grid Table 5 Dark - Accent 41"/>
    <w:basedOn w:val="TableNormal"/>
    <w:next w:val="GridTable5Dark-Accent4"/>
    <w:uiPriority w:val="50"/>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customStyle="1" w:styleId="GridTable5Dark-Accent51">
    <w:name w:val="Grid Table 5 Dark - Accent 51"/>
    <w:basedOn w:val="TableNormal"/>
    <w:next w:val="GridTable5Dark-Accent5"/>
    <w:uiPriority w:val="50"/>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CE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2B9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2B9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2B9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2B93"/>
      </w:tcPr>
    </w:tblStylePr>
    <w:tblStylePr w:type="band1Vert">
      <w:tblPr/>
      <w:tcPr>
        <w:shd w:val="clear" w:color="auto" w:fill="E59EDC"/>
      </w:tcPr>
    </w:tblStylePr>
    <w:tblStylePr w:type="band1Horz">
      <w:tblPr/>
      <w:tcPr>
        <w:shd w:val="clear" w:color="auto" w:fill="E59EDC"/>
      </w:tcPr>
    </w:tblStylePr>
  </w:style>
  <w:style w:type="table" w:customStyle="1" w:styleId="GridTable5Dark-Accent61">
    <w:name w:val="Grid Table 5 Dark - Accent 61"/>
    <w:basedOn w:val="TableNormal"/>
    <w:next w:val="GridTable5Dark-Accent6"/>
    <w:uiPriority w:val="50"/>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6Colorful1">
    <w:name w:val="Grid Table 6 Colorful1"/>
    <w:basedOn w:val="TableNormal"/>
    <w:next w:val="GridTable6Colorful"/>
    <w:uiPriority w:val="51"/>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314CC0"/>
    <w:rPr>
      <w:rFonts w:ascii="Aptos" w:eastAsia="DengXian" w:hAnsi="Aptos" w:cs="Arial"/>
      <w:color w:val="0F4761"/>
      <w:kern w:val="2"/>
      <w:sz w:val="24"/>
      <w:szCs w:val="24"/>
      <w:lang w:val="en-GB"/>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bottom w:val="single" w:sz="12" w:space="0" w:color="45B0E1"/>
        </w:tcBorders>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6Colorful-Accent21">
    <w:name w:val="Grid Table 6 Colorful - Accent 21"/>
    <w:basedOn w:val="TableNormal"/>
    <w:next w:val="GridTable6Colorful-Accent2"/>
    <w:uiPriority w:val="51"/>
    <w:rsid w:val="00314CC0"/>
    <w:rPr>
      <w:rFonts w:ascii="Aptos" w:eastAsia="DengXian" w:hAnsi="Aptos" w:cs="Arial"/>
      <w:color w:val="BF4E14"/>
      <w:kern w:val="2"/>
      <w:sz w:val="24"/>
      <w:szCs w:val="24"/>
      <w:lang w:val="en-GB"/>
      <w14:ligatures w14:val="standardContextual"/>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bottom w:val="single" w:sz="12" w:space="0" w:color="F1A983"/>
        </w:tcBorders>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GridTable6Colorful-Accent31">
    <w:name w:val="Grid Table 6 Colorful - Accent 31"/>
    <w:basedOn w:val="TableNormal"/>
    <w:next w:val="GridTable6Colorful-Accent3"/>
    <w:uiPriority w:val="51"/>
    <w:rsid w:val="00314CC0"/>
    <w:rPr>
      <w:rFonts w:ascii="Aptos" w:eastAsia="DengXian" w:hAnsi="Aptos" w:cs="Arial"/>
      <w:color w:val="124F1A"/>
      <w:kern w:val="2"/>
      <w:sz w:val="24"/>
      <w:szCs w:val="24"/>
      <w:lang w:val="en-GB"/>
      <w14:ligatures w14:val="standardContextual"/>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bottom w:val="single" w:sz="12" w:space="0" w:color="47D459"/>
        </w:tcBorders>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6Colorful-Accent41">
    <w:name w:val="Grid Table 6 Colorful - Accent 41"/>
    <w:basedOn w:val="TableNormal"/>
    <w:next w:val="GridTable6Colorful-Accent4"/>
    <w:uiPriority w:val="51"/>
    <w:rsid w:val="00314CC0"/>
    <w:rPr>
      <w:rFonts w:ascii="Aptos" w:eastAsia="DengXian" w:hAnsi="Aptos" w:cs="Arial"/>
      <w:color w:val="0B769F"/>
      <w:kern w:val="2"/>
      <w:sz w:val="24"/>
      <w:szCs w:val="24"/>
      <w:lang w:val="en-GB"/>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bottom w:val="single" w:sz="12" w:space="0" w:color="60CAF3"/>
        </w:tcBorders>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6Colorful-Accent51">
    <w:name w:val="Grid Table 6 Colorful - Accent 51"/>
    <w:basedOn w:val="TableNormal"/>
    <w:next w:val="GridTable6Colorful-Accent5"/>
    <w:uiPriority w:val="51"/>
    <w:rsid w:val="00314CC0"/>
    <w:rPr>
      <w:rFonts w:ascii="Aptos" w:eastAsia="DengXian" w:hAnsi="Aptos" w:cs="Arial"/>
      <w:color w:val="77206D"/>
      <w:kern w:val="2"/>
      <w:sz w:val="24"/>
      <w:szCs w:val="24"/>
      <w:lang w:val="en-GB"/>
      <w14:ligatures w14:val="standardContextual"/>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bottom w:val="single" w:sz="12" w:space="0" w:color="D86DCB"/>
        </w:tcBorders>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6Colorful-Accent61">
    <w:name w:val="Grid Table 6 Colorful - Accent 61"/>
    <w:basedOn w:val="TableNormal"/>
    <w:next w:val="GridTable6Colorful-Accent6"/>
    <w:uiPriority w:val="51"/>
    <w:rsid w:val="00314CC0"/>
    <w:rPr>
      <w:rFonts w:ascii="Aptos" w:eastAsia="DengXian" w:hAnsi="Aptos" w:cs="Arial"/>
      <w:color w:val="3A7C22"/>
      <w:kern w:val="2"/>
      <w:sz w:val="24"/>
      <w:szCs w:val="24"/>
      <w:lang w:val="en-GB"/>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bottom w:val="single" w:sz="12" w:space="0" w:color="8DD873"/>
        </w:tcBorders>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7Colorful1">
    <w:name w:val="Grid Table 7 Colorful1"/>
    <w:basedOn w:val="TableNormal"/>
    <w:next w:val="GridTable7Colorful"/>
    <w:uiPriority w:val="52"/>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314CC0"/>
    <w:rPr>
      <w:rFonts w:ascii="Aptos" w:eastAsia="DengXian" w:hAnsi="Aptos" w:cs="Arial"/>
      <w:color w:val="0F4761"/>
      <w:kern w:val="2"/>
      <w:sz w:val="24"/>
      <w:szCs w:val="24"/>
      <w:lang w:val="en-GB"/>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customStyle="1" w:styleId="GridTable7Colorful-Accent21">
    <w:name w:val="Grid Table 7 Colorful - Accent 21"/>
    <w:basedOn w:val="TableNormal"/>
    <w:next w:val="GridTable7Colorful-Accent2"/>
    <w:uiPriority w:val="52"/>
    <w:rsid w:val="00314CC0"/>
    <w:rPr>
      <w:rFonts w:ascii="Aptos" w:eastAsia="DengXian" w:hAnsi="Aptos" w:cs="Arial"/>
      <w:color w:val="BF4E14"/>
      <w:kern w:val="2"/>
      <w:sz w:val="24"/>
      <w:szCs w:val="24"/>
      <w:lang w:val="en-GB"/>
      <w14:ligatures w14:val="standardContextual"/>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customStyle="1" w:styleId="GridTable7Colorful-Accent31">
    <w:name w:val="Grid Table 7 Colorful - Accent 31"/>
    <w:basedOn w:val="TableNormal"/>
    <w:next w:val="GridTable7Colorful-Accent3"/>
    <w:uiPriority w:val="52"/>
    <w:rsid w:val="00314CC0"/>
    <w:rPr>
      <w:rFonts w:ascii="Aptos" w:eastAsia="DengXian" w:hAnsi="Aptos" w:cs="Arial"/>
      <w:color w:val="124F1A"/>
      <w:kern w:val="2"/>
      <w:sz w:val="24"/>
      <w:szCs w:val="24"/>
      <w:lang w:val="en-GB"/>
      <w14:ligatures w14:val="standardContextual"/>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customStyle="1" w:styleId="GridTable7Colorful-Accent41">
    <w:name w:val="Grid Table 7 Colorful - Accent 41"/>
    <w:basedOn w:val="TableNormal"/>
    <w:next w:val="GridTable7Colorful-Accent4"/>
    <w:uiPriority w:val="52"/>
    <w:rsid w:val="00314CC0"/>
    <w:rPr>
      <w:rFonts w:ascii="Aptos" w:eastAsia="DengXian" w:hAnsi="Aptos" w:cs="Arial"/>
      <w:color w:val="0B769F"/>
      <w:kern w:val="2"/>
      <w:sz w:val="24"/>
      <w:szCs w:val="24"/>
      <w:lang w:val="en-GB"/>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customStyle="1" w:styleId="GridTable7Colorful-Accent51">
    <w:name w:val="Grid Table 7 Colorful - Accent 51"/>
    <w:basedOn w:val="TableNormal"/>
    <w:next w:val="GridTable7Colorful-Accent5"/>
    <w:uiPriority w:val="52"/>
    <w:rsid w:val="00314CC0"/>
    <w:rPr>
      <w:rFonts w:ascii="Aptos" w:eastAsia="DengXian" w:hAnsi="Aptos" w:cs="Arial"/>
      <w:color w:val="77206D"/>
      <w:kern w:val="2"/>
      <w:sz w:val="24"/>
      <w:szCs w:val="24"/>
      <w:lang w:val="en-GB"/>
      <w14:ligatures w14:val="standardContextual"/>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customStyle="1" w:styleId="GridTable7Colorful-Accent61">
    <w:name w:val="Grid Table 7 Colorful - Accent 61"/>
    <w:basedOn w:val="TableNormal"/>
    <w:next w:val="GridTable7Colorful-Accent6"/>
    <w:uiPriority w:val="52"/>
    <w:rsid w:val="00314CC0"/>
    <w:rPr>
      <w:rFonts w:ascii="Aptos" w:eastAsia="DengXian" w:hAnsi="Aptos" w:cs="Arial"/>
      <w:color w:val="3A7C22"/>
      <w:kern w:val="2"/>
      <w:sz w:val="24"/>
      <w:szCs w:val="24"/>
      <w:lang w:val="en-GB"/>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table" w:customStyle="1" w:styleId="LightGrid1">
    <w:name w:val="Light Grid1"/>
    <w:basedOn w:val="TableNormal"/>
    <w:next w:val="LightGrid"/>
    <w:uiPriority w:val="62"/>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ptos Display" w:eastAsia="DengXian Light" w:hAnsi="Aptos Display"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Aptos Display" w:eastAsia="DengXian Light" w:hAnsi="Aptos Display"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LightGrid-Accent21">
    <w:name w:val="Light Grid - Accent 21"/>
    <w:basedOn w:val="TableNormal"/>
    <w:next w:val="LightGrid-Accent2"/>
    <w:uiPriority w:val="62"/>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Aptos Display" w:eastAsia="DengXian Light" w:hAnsi="Aptos Display"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LightGrid-Accent31">
    <w:name w:val="Light Grid - Accent 31"/>
    <w:basedOn w:val="TableNormal"/>
    <w:next w:val="LightGrid-Accent3"/>
    <w:uiPriority w:val="62"/>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Aptos Display" w:eastAsia="DengXian Light" w:hAnsi="Aptos Display"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LightGrid-Accent41">
    <w:name w:val="Light Grid - Accent 41"/>
    <w:basedOn w:val="TableNormal"/>
    <w:next w:val="LightGrid-Accent4"/>
    <w:uiPriority w:val="62"/>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Aptos Display" w:eastAsia="DengXian Light" w:hAnsi="Aptos Display"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LightGrid-Accent51">
    <w:name w:val="Light Grid - Accent 51"/>
    <w:basedOn w:val="TableNormal"/>
    <w:next w:val="LightGrid-Accent5"/>
    <w:uiPriority w:val="62"/>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Aptos Display" w:eastAsia="DengXian Light" w:hAnsi="Aptos Display"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LightGrid-Accent61">
    <w:name w:val="Light Grid - Accent 61"/>
    <w:basedOn w:val="TableNormal"/>
    <w:next w:val="LightGrid-Accent6"/>
    <w:uiPriority w:val="62"/>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Aptos Display" w:eastAsia="DengXian Light" w:hAnsi="Aptos Display"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LightList1">
    <w:name w:val="Light List1"/>
    <w:basedOn w:val="TableNormal"/>
    <w:next w:val="LightList"/>
    <w:uiPriority w:val="61"/>
    <w:semiHidden/>
    <w:unhideWhenUsed/>
    <w:rsid w:val="00314CC0"/>
    <w:rPr>
      <w:rFonts w:eastAsia="DengXian" w:hAnsi="Aptos" w:cs="Simplified Arabic" w:hint="cs"/>
      <w:kern w:val="2"/>
      <w:sz w:val="24"/>
      <w:szCs w:val="24"/>
      <w:lang w:val="en-GB"/>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314CC0"/>
    <w:rPr>
      <w:rFonts w:eastAsia="DengXian" w:hAnsi="Aptos" w:cs="Simplified Arabic" w:hint="cs"/>
      <w:kern w:val="2"/>
      <w:sz w:val="24"/>
      <w:szCs w:val="24"/>
      <w:lang w:val="en-GB"/>
      <w14:ligatures w14:val="standardContextual"/>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customStyle="1" w:styleId="LightList-Accent21">
    <w:name w:val="Light List - Accent 21"/>
    <w:basedOn w:val="TableNormal"/>
    <w:next w:val="LightList-Accent2"/>
    <w:uiPriority w:val="61"/>
    <w:semiHidden/>
    <w:unhideWhenUsed/>
    <w:rsid w:val="00314CC0"/>
    <w:rPr>
      <w:rFonts w:eastAsia="DengXian" w:hAnsi="Aptos" w:cs="Simplified Arabic" w:hint="cs"/>
      <w:kern w:val="2"/>
      <w:sz w:val="24"/>
      <w:szCs w:val="24"/>
      <w:lang w:val="en-GB"/>
      <w14:ligatures w14:val="standardContextual"/>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customStyle="1" w:styleId="LightList-Accent31">
    <w:name w:val="Light List - Accent 31"/>
    <w:basedOn w:val="TableNormal"/>
    <w:next w:val="LightList-Accent3"/>
    <w:uiPriority w:val="61"/>
    <w:semiHidden/>
    <w:unhideWhenUsed/>
    <w:rsid w:val="00314CC0"/>
    <w:rPr>
      <w:rFonts w:eastAsia="DengXian" w:hAnsi="Aptos" w:cs="Simplified Arabic" w:hint="cs"/>
      <w:kern w:val="2"/>
      <w:sz w:val="24"/>
      <w:szCs w:val="24"/>
      <w:lang w:val="en-GB"/>
      <w14:ligatures w14:val="standardContextual"/>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customStyle="1" w:styleId="LightList-Accent41">
    <w:name w:val="Light List - Accent 41"/>
    <w:basedOn w:val="TableNormal"/>
    <w:next w:val="LightList-Accent4"/>
    <w:uiPriority w:val="61"/>
    <w:semiHidden/>
    <w:unhideWhenUsed/>
    <w:rsid w:val="00314CC0"/>
    <w:rPr>
      <w:rFonts w:eastAsia="DengXian" w:hAnsi="Aptos" w:cs="Simplified Arabic" w:hint="cs"/>
      <w:kern w:val="2"/>
      <w:sz w:val="24"/>
      <w:szCs w:val="24"/>
      <w:lang w:val="en-GB"/>
      <w14:ligatures w14:val="standardContextual"/>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customStyle="1" w:styleId="LightList-Accent51">
    <w:name w:val="Light List - Accent 51"/>
    <w:basedOn w:val="TableNormal"/>
    <w:next w:val="LightList-Accent5"/>
    <w:uiPriority w:val="61"/>
    <w:semiHidden/>
    <w:unhideWhenUsed/>
    <w:rsid w:val="00314CC0"/>
    <w:rPr>
      <w:rFonts w:eastAsia="DengXian" w:hAnsi="Aptos" w:cs="Simplified Arabic" w:hint="cs"/>
      <w:kern w:val="2"/>
      <w:sz w:val="24"/>
      <w:szCs w:val="24"/>
      <w:lang w:val="en-GB"/>
      <w14:ligatures w14:val="standardContextual"/>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customStyle="1" w:styleId="LightList-Accent61">
    <w:name w:val="Light List - Accent 61"/>
    <w:basedOn w:val="TableNormal"/>
    <w:next w:val="LightList-Accent6"/>
    <w:uiPriority w:val="61"/>
    <w:semiHidden/>
    <w:unhideWhenUsed/>
    <w:rsid w:val="00314CC0"/>
    <w:rPr>
      <w:rFonts w:eastAsia="DengXian" w:hAnsi="Aptos" w:cs="Simplified Arabic" w:hint="cs"/>
      <w:kern w:val="2"/>
      <w:sz w:val="24"/>
      <w:szCs w:val="24"/>
      <w:lang w:val="en-GB"/>
      <w14:ligatures w14:val="standardContextual"/>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customStyle="1" w:styleId="LightShading1">
    <w:name w:val="Light Shading1"/>
    <w:basedOn w:val="TableNormal"/>
    <w:next w:val="LightShading"/>
    <w:uiPriority w:val="60"/>
    <w:semiHidden/>
    <w:unhideWhenUsed/>
    <w:rsid w:val="00314CC0"/>
    <w:rPr>
      <w:rFonts w:ascii="Aptos" w:eastAsia="DengXian" w:hAnsi="Aptos" w:cs="Arial"/>
      <w:color w:val="000000"/>
      <w:kern w:val="2"/>
      <w:sz w:val="24"/>
      <w:szCs w:val="24"/>
      <w:lang w:val="en-GB"/>
      <w14:ligatures w14:val="standardContextua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314CC0"/>
    <w:rPr>
      <w:rFonts w:ascii="Aptos" w:eastAsia="DengXian" w:hAnsi="Aptos" w:cs="Arial"/>
      <w:color w:val="0F4761"/>
      <w:kern w:val="2"/>
      <w:sz w:val="24"/>
      <w:szCs w:val="24"/>
      <w:lang w:val="en-GB"/>
      <w14:ligatures w14:val="standardContextual"/>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Shading-Accent21">
    <w:name w:val="Light Shading - Accent 21"/>
    <w:basedOn w:val="TableNormal"/>
    <w:next w:val="LightShading-Accent2"/>
    <w:uiPriority w:val="60"/>
    <w:semiHidden/>
    <w:unhideWhenUsed/>
    <w:rsid w:val="00314CC0"/>
    <w:rPr>
      <w:rFonts w:ascii="Aptos" w:eastAsia="DengXian" w:hAnsi="Aptos" w:cs="Arial"/>
      <w:color w:val="BF4E14"/>
      <w:kern w:val="2"/>
      <w:sz w:val="24"/>
      <w:szCs w:val="24"/>
      <w:lang w:val="en-GB"/>
      <w14:ligatures w14:val="standardContextual"/>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Shading-Accent31">
    <w:name w:val="Light Shading - Accent 31"/>
    <w:basedOn w:val="TableNormal"/>
    <w:next w:val="LightShading-Accent3"/>
    <w:uiPriority w:val="60"/>
    <w:semiHidden/>
    <w:unhideWhenUsed/>
    <w:rsid w:val="00314CC0"/>
    <w:rPr>
      <w:rFonts w:ascii="Aptos" w:eastAsia="DengXian" w:hAnsi="Aptos" w:cs="Arial"/>
      <w:color w:val="124F1A"/>
      <w:kern w:val="2"/>
      <w:sz w:val="24"/>
      <w:szCs w:val="24"/>
      <w:lang w:val="en-GB"/>
      <w14:ligatures w14:val="standardContextual"/>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Shading-Accent41">
    <w:name w:val="Light Shading - Accent 41"/>
    <w:basedOn w:val="TableNormal"/>
    <w:next w:val="LightShading-Accent4"/>
    <w:uiPriority w:val="60"/>
    <w:semiHidden/>
    <w:unhideWhenUsed/>
    <w:rsid w:val="00314CC0"/>
    <w:rPr>
      <w:rFonts w:ascii="Aptos" w:eastAsia="DengXian" w:hAnsi="Aptos" w:cs="Arial"/>
      <w:color w:val="0B769F"/>
      <w:kern w:val="2"/>
      <w:sz w:val="24"/>
      <w:szCs w:val="24"/>
      <w:lang w:val="en-GB"/>
      <w14:ligatures w14:val="standardContextual"/>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Shading-Accent51">
    <w:name w:val="Light Shading - Accent 51"/>
    <w:basedOn w:val="TableNormal"/>
    <w:next w:val="LightShading-Accent5"/>
    <w:uiPriority w:val="60"/>
    <w:semiHidden/>
    <w:unhideWhenUsed/>
    <w:rsid w:val="00314CC0"/>
    <w:rPr>
      <w:rFonts w:ascii="Aptos" w:eastAsia="DengXian" w:hAnsi="Aptos" w:cs="Arial"/>
      <w:color w:val="77206D"/>
      <w:kern w:val="2"/>
      <w:sz w:val="24"/>
      <w:szCs w:val="24"/>
      <w:lang w:val="en-GB"/>
      <w14:ligatures w14:val="standardContextual"/>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Shading-Accent61">
    <w:name w:val="Light Shading - Accent 61"/>
    <w:basedOn w:val="TableNormal"/>
    <w:next w:val="LightShading-Accent6"/>
    <w:uiPriority w:val="60"/>
    <w:semiHidden/>
    <w:unhideWhenUsed/>
    <w:rsid w:val="00314CC0"/>
    <w:rPr>
      <w:rFonts w:ascii="Aptos" w:eastAsia="DengXian" w:hAnsi="Aptos" w:cs="Arial"/>
      <w:color w:val="3A7C22"/>
      <w:kern w:val="2"/>
      <w:sz w:val="24"/>
      <w:szCs w:val="24"/>
      <w:lang w:val="en-GB"/>
      <w14:ligatures w14:val="standardContextual"/>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stTable1Light1">
    <w:name w:val="List Table 1 Light1"/>
    <w:basedOn w:val="TableNormal"/>
    <w:next w:val="ListTable1Light"/>
    <w:uiPriority w:val="46"/>
    <w:rsid w:val="00314CC0"/>
    <w:rPr>
      <w:rFonts w:eastAsia="DengXian" w:hAnsi="Aptos" w:cs="Simplified Arabic" w:hint="cs"/>
      <w:kern w:val="2"/>
      <w:sz w:val="24"/>
      <w:szCs w:val="24"/>
      <w:lang w:val="en-GB"/>
      <w14:ligatures w14:val="standardContextua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314CC0"/>
    <w:rPr>
      <w:rFonts w:eastAsia="DengXian" w:hAnsi="Aptos" w:cs="Simplified Arabic" w:hint="cs"/>
      <w:kern w:val="2"/>
      <w:sz w:val="24"/>
      <w:szCs w:val="24"/>
      <w:lang w:val="en-GB"/>
      <w14:ligatures w14:val="standardContextual"/>
    </w:rPr>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1Light-Accent21">
    <w:name w:val="List Table 1 Light - Accent 21"/>
    <w:basedOn w:val="TableNormal"/>
    <w:next w:val="ListTable1Light-Accent2"/>
    <w:uiPriority w:val="46"/>
    <w:rsid w:val="00314CC0"/>
    <w:rPr>
      <w:rFonts w:eastAsia="DengXian" w:hAnsi="Aptos" w:cs="Simplified Arabic" w:hint="cs"/>
      <w:kern w:val="2"/>
      <w:sz w:val="24"/>
      <w:szCs w:val="24"/>
      <w:lang w:val="en-GB"/>
      <w14:ligatures w14:val="standardContextual"/>
    </w:rPr>
    <w:tblPr>
      <w:tblStyleRowBandSize w:val="1"/>
      <w:tblStyleColBandSize w:val="1"/>
    </w:tblPr>
    <w:tblStylePr w:type="firstRow">
      <w:rPr>
        <w:b/>
        <w:bCs/>
      </w:rPr>
      <w:tblPr/>
      <w:tcPr>
        <w:tcBorders>
          <w:bottom w:val="single" w:sz="4" w:space="0" w:color="F1A983"/>
        </w:tcBorders>
      </w:tcPr>
    </w:tblStylePr>
    <w:tblStylePr w:type="lastRow">
      <w:rPr>
        <w:b/>
        <w:bCs/>
      </w:rPr>
      <w:tblPr/>
      <w:tcPr>
        <w:tcBorders>
          <w:top w:val="sing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1Light-Accent31">
    <w:name w:val="List Table 1 Light - Accent 31"/>
    <w:basedOn w:val="TableNormal"/>
    <w:next w:val="ListTable1Light-Accent3"/>
    <w:uiPriority w:val="46"/>
    <w:rsid w:val="00314CC0"/>
    <w:rPr>
      <w:rFonts w:eastAsia="DengXian" w:hAnsi="Aptos" w:cs="Simplified Arabic" w:hint="cs"/>
      <w:kern w:val="2"/>
      <w:sz w:val="24"/>
      <w:szCs w:val="24"/>
      <w:lang w:val="en-GB"/>
      <w14:ligatures w14:val="standardContextual"/>
    </w:rPr>
    <w:tblPr>
      <w:tblStyleRowBandSize w:val="1"/>
      <w:tblStyleColBandSize w:val="1"/>
    </w:tblPr>
    <w:tblStylePr w:type="firstRow">
      <w:rPr>
        <w:b/>
        <w:bCs/>
      </w:rPr>
      <w:tblPr/>
      <w:tcPr>
        <w:tcBorders>
          <w:bottom w:val="single" w:sz="4" w:space="0" w:color="47D459"/>
        </w:tcBorders>
      </w:tcPr>
    </w:tblStylePr>
    <w:tblStylePr w:type="lastRow">
      <w:rPr>
        <w:b/>
        <w:bCs/>
      </w:rPr>
      <w:tblPr/>
      <w:tcPr>
        <w:tcBorders>
          <w:top w:val="sing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1Light-Accent41">
    <w:name w:val="List Table 1 Light - Accent 41"/>
    <w:basedOn w:val="TableNormal"/>
    <w:next w:val="ListTable1Light-Accent4"/>
    <w:uiPriority w:val="46"/>
    <w:rsid w:val="00314CC0"/>
    <w:rPr>
      <w:rFonts w:eastAsia="DengXian" w:hAnsi="Aptos" w:cs="Simplified Arabic" w:hint="cs"/>
      <w:kern w:val="2"/>
      <w:sz w:val="24"/>
      <w:szCs w:val="24"/>
      <w:lang w:val="en-GB"/>
      <w14:ligatures w14:val="standardContextual"/>
    </w:rPr>
    <w:tblPr>
      <w:tblStyleRowBandSize w:val="1"/>
      <w:tblStyleColBandSize w:val="1"/>
    </w:tblPr>
    <w:tblStylePr w:type="firstRow">
      <w:rPr>
        <w:b/>
        <w:bCs/>
      </w:rPr>
      <w:tblPr/>
      <w:tcPr>
        <w:tcBorders>
          <w:bottom w:val="single" w:sz="4" w:space="0" w:color="60CAF3"/>
        </w:tcBorders>
      </w:tcPr>
    </w:tblStylePr>
    <w:tblStylePr w:type="lastRow">
      <w:rPr>
        <w:b/>
        <w:bCs/>
      </w:rPr>
      <w:tblPr/>
      <w:tcPr>
        <w:tcBorders>
          <w:top w:val="sing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1Light-Accent51">
    <w:name w:val="List Table 1 Light - Accent 51"/>
    <w:basedOn w:val="TableNormal"/>
    <w:next w:val="ListTable1Light-Accent5"/>
    <w:uiPriority w:val="46"/>
    <w:rsid w:val="00314CC0"/>
    <w:rPr>
      <w:rFonts w:eastAsia="DengXian" w:hAnsi="Aptos" w:cs="Simplified Arabic" w:hint="cs"/>
      <w:kern w:val="2"/>
      <w:sz w:val="24"/>
      <w:szCs w:val="24"/>
      <w:lang w:val="en-GB"/>
      <w14:ligatures w14:val="standardContextual"/>
    </w:rPr>
    <w:tblPr>
      <w:tblStyleRowBandSize w:val="1"/>
      <w:tblStyleColBandSize w:val="1"/>
    </w:tblPr>
    <w:tblStylePr w:type="firstRow">
      <w:rPr>
        <w:b/>
        <w:bCs/>
      </w:rPr>
      <w:tblPr/>
      <w:tcPr>
        <w:tcBorders>
          <w:bottom w:val="single" w:sz="4" w:space="0" w:color="D86DCB"/>
        </w:tcBorders>
      </w:tcPr>
    </w:tblStylePr>
    <w:tblStylePr w:type="lastRow">
      <w:rPr>
        <w:b/>
        <w:bCs/>
      </w:rPr>
      <w:tblPr/>
      <w:tcPr>
        <w:tcBorders>
          <w:top w:val="sing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1Light-Accent61">
    <w:name w:val="List Table 1 Light - Accent 61"/>
    <w:basedOn w:val="TableNormal"/>
    <w:next w:val="ListTable1Light-Accent6"/>
    <w:uiPriority w:val="46"/>
    <w:rsid w:val="00314CC0"/>
    <w:rPr>
      <w:rFonts w:eastAsia="DengXian" w:hAnsi="Aptos" w:cs="Simplified Arabic" w:hint="cs"/>
      <w:kern w:val="2"/>
      <w:sz w:val="24"/>
      <w:szCs w:val="24"/>
      <w:lang w:val="en-GB"/>
      <w14:ligatures w14:val="standardContextual"/>
    </w:rPr>
    <w:tblPr>
      <w:tblStyleRowBandSize w:val="1"/>
      <w:tblStyleColBandSize w:val="1"/>
    </w:tblPr>
    <w:tblStylePr w:type="firstRow">
      <w:rPr>
        <w:b/>
        <w:bCs/>
      </w:rPr>
      <w:tblPr/>
      <w:tcPr>
        <w:tcBorders>
          <w:bottom w:val="single" w:sz="4" w:space="0" w:color="8DD873"/>
        </w:tcBorders>
      </w:tcPr>
    </w:tblStylePr>
    <w:tblStylePr w:type="lastRow">
      <w:rPr>
        <w:b/>
        <w:bCs/>
      </w:rPr>
      <w:tblPr/>
      <w:tcPr>
        <w:tcBorders>
          <w:top w:val="sing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21">
    <w:name w:val="List Table 21"/>
    <w:basedOn w:val="TableNormal"/>
    <w:next w:val="ListTable2"/>
    <w:uiPriority w:val="47"/>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45B0E1"/>
        <w:bottom w:val="single" w:sz="4" w:space="0" w:color="45B0E1"/>
        <w:insideH w:val="single" w:sz="4" w:space="0" w:color="45B0E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2-Accent21">
    <w:name w:val="List Table 2 - Accent 21"/>
    <w:basedOn w:val="TableNormal"/>
    <w:next w:val="ListTable2-Accent2"/>
    <w:uiPriority w:val="47"/>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F1A983"/>
        <w:bottom w:val="single" w:sz="4" w:space="0" w:color="F1A983"/>
        <w:insideH w:val="single" w:sz="4" w:space="0" w:color="F1A9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2-Accent31">
    <w:name w:val="List Table 2 - Accent 31"/>
    <w:basedOn w:val="TableNormal"/>
    <w:next w:val="ListTable2-Accent3"/>
    <w:uiPriority w:val="47"/>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47D459"/>
        <w:bottom w:val="single" w:sz="4" w:space="0" w:color="47D459"/>
        <w:insideH w:val="single" w:sz="4" w:space="0" w:color="47D45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2-Accent41">
    <w:name w:val="List Table 2 - Accent 41"/>
    <w:basedOn w:val="TableNormal"/>
    <w:next w:val="ListTable2-Accent4"/>
    <w:uiPriority w:val="47"/>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60CAF3"/>
        <w:bottom w:val="single" w:sz="4" w:space="0" w:color="60CAF3"/>
        <w:insideH w:val="single" w:sz="4" w:space="0" w:color="60C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2-Accent51">
    <w:name w:val="List Table 2 - Accent 51"/>
    <w:basedOn w:val="TableNormal"/>
    <w:next w:val="ListTable2-Accent5"/>
    <w:uiPriority w:val="47"/>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D86DCB"/>
        <w:bottom w:val="single" w:sz="4" w:space="0" w:color="D86DCB"/>
        <w:insideH w:val="single" w:sz="4" w:space="0" w:color="D86D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2-Accent61">
    <w:name w:val="List Table 2 - Accent 61"/>
    <w:basedOn w:val="TableNormal"/>
    <w:next w:val="ListTable2-Accent6"/>
    <w:uiPriority w:val="47"/>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8DD873"/>
        <w:bottom w:val="single" w:sz="4" w:space="0" w:color="8DD873"/>
        <w:insideH w:val="single" w:sz="4" w:space="0" w:color="8DD8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1">
    <w:name w:val="List Table 31"/>
    <w:basedOn w:val="TableNormal"/>
    <w:next w:val="ListTable3"/>
    <w:uiPriority w:val="48"/>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customStyle="1" w:styleId="ListTable3-Accent21">
    <w:name w:val="List Table 3 - Accent 21"/>
    <w:basedOn w:val="TableNormal"/>
    <w:next w:val="ListTable3-Accent2"/>
    <w:uiPriority w:val="48"/>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customStyle="1" w:styleId="ListTable3-Accent31">
    <w:name w:val="List Table 3 - Accent 31"/>
    <w:basedOn w:val="TableNormal"/>
    <w:next w:val="ListTable3-Accent3"/>
    <w:uiPriority w:val="48"/>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196B24"/>
        <w:left w:val="single" w:sz="4" w:space="0" w:color="196B24"/>
        <w:bottom w:val="single" w:sz="4" w:space="0" w:color="196B24"/>
        <w:right w:val="single" w:sz="4" w:space="0" w:color="196B24"/>
      </w:tblBorders>
    </w:tblPr>
    <w:tblStylePr w:type="firstRow">
      <w:rPr>
        <w:b/>
        <w:bCs/>
        <w:color w:val="FFFFFF"/>
      </w:rPr>
      <w:tblPr/>
      <w:tcPr>
        <w:shd w:val="clear" w:color="auto" w:fill="196B24"/>
      </w:tcPr>
    </w:tblStylePr>
    <w:tblStylePr w:type="lastRow">
      <w:rPr>
        <w:b/>
        <w:bCs/>
      </w:rPr>
      <w:tblPr/>
      <w:tcPr>
        <w:tcBorders>
          <w:top w:val="double" w:sz="4" w:space="0" w:color="196B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96B24"/>
          <w:right w:val="single" w:sz="4" w:space="0" w:color="196B24"/>
        </w:tcBorders>
      </w:tcPr>
    </w:tblStylePr>
    <w:tblStylePr w:type="band1Horz">
      <w:tblPr/>
      <w:tcPr>
        <w:tcBorders>
          <w:top w:val="single" w:sz="4" w:space="0" w:color="196B24"/>
          <w:bottom w:val="single" w:sz="4" w:space="0" w:color="196B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left w:val="nil"/>
        </w:tcBorders>
      </w:tcPr>
    </w:tblStylePr>
    <w:tblStylePr w:type="swCell">
      <w:tblPr/>
      <w:tcPr>
        <w:tcBorders>
          <w:top w:val="double" w:sz="4" w:space="0" w:color="196B24"/>
          <w:right w:val="nil"/>
        </w:tcBorders>
      </w:tcPr>
    </w:tblStylePr>
  </w:style>
  <w:style w:type="table" w:customStyle="1" w:styleId="ListTable3-Accent41">
    <w:name w:val="List Table 3 - Accent 41"/>
    <w:basedOn w:val="TableNormal"/>
    <w:next w:val="ListTable3-Accent4"/>
    <w:uiPriority w:val="48"/>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customStyle="1" w:styleId="ListTable3-Accent51">
    <w:name w:val="List Table 3 - Accent 51"/>
    <w:basedOn w:val="TableNormal"/>
    <w:next w:val="ListTable3-Accent5"/>
    <w:uiPriority w:val="48"/>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 w:type="table" w:customStyle="1" w:styleId="ListTable3-Accent61">
    <w:name w:val="List Table 3 - Accent 61"/>
    <w:basedOn w:val="TableNormal"/>
    <w:next w:val="ListTable3-Accent6"/>
    <w:uiPriority w:val="48"/>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ListTable41">
    <w:name w:val="List Table 41"/>
    <w:basedOn w:val="TableNormal"/>
    <w:next w:val="ListTable4"/>
    <w:uiPriority w:val="49"/>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4-Accent21">
    <w:name w:val="List Table 4 - Accent 21"/>
    <w:basedOn w:val="TableNormal"/>
    <w:next w:val="ListTable4-Accent2"/>
    <w:uiPriority w:val="49"/>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tcBorders>
        <w:shd w:val="clear" w:color="auto" w:fill="E97132"/>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4-Accent31">
    <w:name w:val="List Table 4 - Accent 31"/>
    <w:basedOn w:val="TableNormal"/>
    <w:next w:val="ListTable4-Accent3"/>
    <w:uiPriority w:val="49"/>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tcBorders>
        <w:shd w:val="clear" w:color="auto" w:fill="196B24"/>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4-Accent41">
    <w:name w:val="List Table 4 - Accent 41"/>
    <w:basedOn w:val="TableNormal"/>
    <w:next w:val="ListTable4-Accent4"/>
    <w:uiPriority w:val="49"/>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4-Accent51">
    <w:name w:val="List Table 4 - Accent 51"/>
    <w:basedOn w:val="TableNormal"/>
    <w:next w:val="ListTable4-Accent5"/>
    <w:uiPriority w:val="49"/>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tcBorders>
        <w:shd w:val="clear" w:color="auto" w:fill="A02B93"/>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4-Accent61">
    <w:name w:val="List Table 4 - Accent 61"/>
    <w:basedOn w:val="TableNormal"/>
    <w:next w:val="ListTable4-Accent6"/>
    <w:uiPriority w:val="49"/>
    <w:rsid w:val="00314CC0"/>
    <w:rPr>
      <w:rFonts w:eastAsia="DengXian" w:hAnsi="Aptos" w:cs="Simplified Arabic" w:hint="cs"/>
      <w:kern w:val="2"/>
      <w:sz w:val="24"/>
      <w:szCs w:val="24"/>
      <w:lang w:val="en-GB"/>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tcBorders>
        <w:shd w:val="clear" w:color="auto" w:fill="4EA72E"/>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5Dark1">
    <w:name w:val="List Table 5 Dark1"/>
    <w:basedOn w:val="TableNormal"/>
    <w:next w:val="ListTable5Dark"/>
    <w:uiPriority w:val="50"/>
    <w:rsid w:val="00314CC0"/>
    <w:rPr>
      <w:rFonts w:eastAsia="DengXian" w:hAnsi="Aptos" w:cs="Simplified Arabic" w:hint="cs"/>
      <w:color w:val="FFFFFF"/>
      <w:kern w:val="2"/>
      <w:sz w:val="24"/>
      <w:szCs w:val="24"/>
      <w:lang w:val="en-GB"/>
      <w14:ligatures w14:val="standardContextual"/>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314CC0"/>
    <w:rPr>
      <w:rFonts w:eastAsia="DengXian" w:hAnsi="Aptos" w:cs="Simplified Arabic" w:hint="cs"/>
      <w:color w:val="FFFFFF"/>
      <w:kern w:val="2"/>
      <w:sz w:val="24"/>
      <w:szCs w:val="24"/>
      <w:lang w:val="en-GB"/>
      <w14:ligatures w14:val="standardContextual"/>
    </w:rPr>
    <w:tblPr>
      <w:tblStyleRowBandSize w:val="1"/>
      <w:tblStyleColBandSize w:val="1"/>
      <w:tblBorders>
        <w:top w:val="single" w:sz="24" w:space="0" w:color="156082"/>
        <w:left w:val="single" w:sz="24" w:space="0" w:color="156082"/>
        <w:bottom w:val="single" w:sz="24" w:space="0" w:color="156082"/>
        <w:right w:val="single" w:sz="24" w:space="0" w:color="156082"/>
      </w:tblBorders>
    </w:tblPr>
    <w:tcPr>
      <w:shd w:val="clear" w:color="auto" w:fill="15608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314CC0"/>
    <w:rPr>
      <w:rFonts w:eastAsia="DengXian" w:hAnsi="Aptos" w:cs="Simplified Arabic" w:hint="cs"/>
      <w:color w:val="FFFFFF"/>
      <w:kern w:val="2"/>
      <w:sz w:val="24"/>
      <w:szCs w:val="24"/>
      <w:lang w:val="en-GB"/>
      <w14:ligatures w14:val="standardContextual"/>
    </w:rPr>
    <w:tblPr>
      <w:tblStyleRowBandSize w:val="1"/>
      <w:tblStyleColBandSize w:val="1"/>
      <w:tblBorders>
        <w:top w:val="single" w:sz="24" w:space="0" w:color="E97132"/>
        <w:left w:val="single" w:sz="24" w:space="0" w:color="E97132"/>
        <w:bottom w:val="single" w:sz="24" w:space="0" w:color="E97132"/>
        <w:right w:val="single" w:sz="24" w:space="0" w:color="E97132"/>
      </w:tblBorders>
    </w:tblPr>
    <w:tcPr>
      <w:shd w:val="clear" w:color="auto" w:fill="E971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314CC0"/>
    <w:rPr>
      <w:rFonts w:eastAsia="DengXian" w:hAnsi="Aptos" w:cs="Simplified Arabic" w:hint="cs"/>
      <w:color w:val="FFFFFF"/>
      <w:kern w:val="2"/>
      <w:sz w:val="24"/>
      <w:szCs w:val="24"/>
      <w:lang w:val="en-GB"/>
      <w14:ligatures w14:val="standardContextual"/>
    </w:rPr>
    <w:tblPr>
      <w:tblStyleRowBandSize w:val="1"/>
      <w:tblStyleColBandSize w:val="1"/>
      <w:tblBorders>
        <w:top w:val="single" w:sz="24" w:space="0" w:color="196B24"/>
        <w:left w:val="single" w:sz="24" w:space="0" w:color="196B24"/>
        <w:bottom w:val="single" w:sz="24" w:space="0" w:color="196B24"/>
        <w:right w:val="single" w:sz="24" w:space="0" w:color="196B24"/>
      </w:tblBorders>
    </w:tblPr>
    <w:tcPr>
      <w:shd w:val="clear" w:color="auto" w:fill="196B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314CC0"/>
    <w:rPr>
      <w:rFonts w:eastAsia="DengXian" w:hAnsi="Aptos" w:cs="Simplified Arabic" w:hint="cs"/>
      <w:color w:val="FFFFFF"/>
      <w:kern w:val="2"/>
      <w:sz w:val="24"/>
      <w:szCs w:val="24"/>
      <w:lang w:val="en-GB"/>
      <w14:ligatures w14:val="standardContextual"/>
    </w:rPr>
    <w:tblPr>
      <w:tblStyleRowBandSize w:val="1"/>
      <w:tblStyleColBandSize w:val="1"/>
      <w:tblBorders>
        <w:top w:val="single" w:sz="24" w:space="0" w:color="0F9ED5"/>
        <w:left w:val="single" w:sz="24" w:space="0" w:color="0F9ED5"/>
        <w:bottom w:val="single" w:sz="24" w:space="0" w:color="0F9ED5"/>
        <w:right w:val="single" w:sz="24" w:space="0" w:color="0F9ED5"/>
      </w:tblBorders>
    </w:tblPr>
    <w:tcPr>
      <w:shd w:val="clear" w:color="auto" w:fill="0F9E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314CC0"/>
    <w:rPr>
      <w:rFonts w:eastAsia="DengXian" w:hAnsi="Aptos" w:cs="Simplified Arabic" w:hint="cs"/>
      <w:color w:val="FFFFFF"/>
      <w:kern w:val="2"/>
      <w:sz w:val="24"/>
      <w:szCs w:val="24"/>
      <w:lang w:val="en-GB"/>
      <w14:ligatures w14:val="standardContextual"/>
    </w:rPr>
    <w:tblPr>
      <w:tblStyleRowBandSize w:val="1"/>
      <w:tblStyleColBandSize w:val="1"/>
      <w:tblBorders>
        <w:top w:val="single" w:sz="24" w:space="0" w:color="A02B93"/>
        <w:left w:val="single" w:sz="24" w:space="0" w:color="A02B93"/>
        <w:bottom w:val="single" w:sz="24" w:space="0" w:color="A02B93"/>
        <w:right w:val="single" w:sz="24" w:space="0" w:color="A02B93"/>
      </w:tblBorders>
    </w:tblPr>
    <w:tcPr>
      <w:shd w:val="clear" w:color="auto" w:fill="A02B9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314CC0"/>
    <w:rPr>
      <w:rFonts w:eastAsia="DengXian" w:hAnsi="Aptos" w:cs="Simplified Arabic" w:hint="cs"/>
      <w:color w:val="FFFFFF"/>
      <w:kern w:val="2"/>
      <w:sz w:val="24"/>
      <w:szCs w:val="24"/>
      <w:lang w:val="en-GB"/>
      <w14:ligatures w14:val="standardContextual"/>
    </w:rPr>
    <w:tblPr>
      <w:tblStyleRowBandSize w:val="1"/>
      <w:tblStyleColBandSize w:val="1"/>
      <w:tblBorders>
        <w:top w:val="single" w:sz="24" w:space="0" w:color="4EA72E"/>
        <w:left w:val="single" w:sz="24" w:space="0" w:color="4EA72E"/>
        <w:bottom w:val="single" w:sz="24" w:space="0" w:color="4EA72E"/>
        <w:right w:val="single" w:sz="24" w:space="0" w:color="4EA72E"/>
      </w:tblBorders>
    </w:tblPr>
    <w:tcPr>
      <w:shd w:val="clear" w:color="auto" w:fill="4EA72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314CC0"/>
    <w:rPr>
      <w:rFonts w:eastAsia="DengXian" w:hAnsi="Aptos" w:cs="Simplified Arabic" w:hint="cs"/>
      <w:color w:val="0F4761"/>
      <w:kern w:val="2"/>
      <w:sz w:val="24"/>
      <w:szCs w:val="24"/>
      <w:lang w:val="en-GB"/>
      <w14:ligatures w14:val="standardContextual"/>
    </w:rPr>
    <w:tblPr>
      <w:tblStyleRowBandSize w:val="1"/>
      <w:tblStyleColBandSize w:val="1"/>
      <w:tblBorders>
        <w:top w:val="single" w:sz="4" w:space="0" w:color="156082"/>
        <w:bottom w:val="single" w:sz="4" w:space="0" w:color="156082"/>
      </w:tblBorders>
    </w:tblPr>
    <w:tblStylePr w:type="firstRow">
      <w:rPr>
        <w:b/>
        <w:bCs/>
      </w:rPr>
      <w:tblPr/>
      <w:tcPr>
        <w:tcBorders>
          <w:bottom w:val="single" w:sz="4" w:space="0" w:color="156082"/>
        </w:tcBorders>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6Colorful-Accent21">
    <w:name w:val="List Table 6 Colorful - Accent 21"/>
    <w:basedOn w:val="TableNormal"/>
    <w:next w:val="ListTable6Colorful-Accent2"/>
    <w:uiPriority w:val="51"/>
    <w:rsid w:val="00314CC0"/>
    <w:rPr>
      <w:rFonts w:eastAsia="DengXian" w:hAnsi="Aptos" w:cs="Simplified Arabic" w:hint="cs"/>
      <w:color w:val="BF4E14"/>
      <w:kern w:val="2"/>
      <w:sz w:val="24"/>
      <w:szCs w:val="24"/>
      <w:lang w:val="en-GB"/>
      <w14:ligatures w14:val="standardContextual"/>
    </w:rPr>
    <w:tblPr>
      <w:tblStyleRowBandSize w:val="1"/>
      <w:tblStyleColBandSize w:val="1"/>
      <w:tblBorders>
        <w:top w:val="single" w:sz="4" w:space="0" w:color="E97132"/>
        <w:bottom w:val="single" w:sz="4" w:space="0" w:color="E97132"/>
      </w:tblBorders>
    </w:tblPr>
    <w:tblStylePr w:type="firstRow">
      <w:rPr>
        <w:b/>
        <w:bCs/>
      </w:rPr>
      <w:tblPr/>
      <w:tcPr>
        <w:tcBorders>
          <w:bottom w:val="single" w:sz="4" w:space="0" w:color="E97132"/>
        </w:tcBorders>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6Colorful-Accent31">
    <w:name w:val="List Table 6 Colorful - Accent 31"/>
    <w:basedOn w:val="TableNormal"/>
    <w:next w:val="ListTable6Colorful-Accent3"/>
    <w:uiPriority w:val="51"/>
    <w:rsid w:val="00314CC0"/>
    <w:rPr>
      <w:rFonts w:eastAsia="DengXian" w:hAnsi="Aptos" w:cs="Simplified Arabic" w:hint="cs"/>
      <w:color w:val="124F1A"/>
      <w:kern w:val="2"/>
      <w:sz w:val="24"/>
      <w:szCs w:val="24"/>
      <w:lang w:val="en-GB"/>
      <w14:ligatures w14:val="standardContextual"/>
    </w:rPr>
    <w:tblPr>
      <w:tblStyleRowBandSize w:val="1"/>
      <w:tblStyleColBandSize w:val="1"/>
      <w:tblBorders>
        <w:top w:val="single" w:sz="4" w:space="0" w:color="196B24"/>
        <w:bottom w:val="single" w:sz="4" w:space="0" w:color="196B24"/>
      </w:tblBorders>
    </w:tblPr>
    <w:tblStylePr w:type="firstRow">
      <w:rPr>
        <w:b/>
        <w:bCs/>
      </w:rPr>
      <w:tblPr/>
      <w:tcPr>
        <w:tcBorders>
          <w:bottom w:val="single" w:sz="4" w:space="0" w:color="196B24"/>
        </w:tcBorders>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6Colorful-Accent41">
    <w:name w:val="List Table 6 Colorful - Accent 41"/>
    <w:basedOn w:val="TableNormal"/>
    <w:next w:val="ListTable6Colorful-Accent4"/>
    <w:uiPriority w:val="51"/>
    <w:rsid w:val="00314CC0"/>
    <w:rPr>
      <w:rFonts w:eastAsia="DengXian" w:hAnsi="Aptos" w:cs="Simplified Arabic" w:hint="cs"/>
      <w:color w:val="0B769F"/>
      <w:kern w:val="2"/>
      <w:sz w:val="24"/>
      <w:szCs w:val="24"/>
      <w:lang w:val="en-GB"/>
      <w14:ligatures w14:val="standardContextual"/>
    </w:rPr>
    <w:tblPr>
      <w:tblStyleRowBandSize w:val="1"/>
      <w:tblStyleColBandSize w:val="1"/>
      <w:tblBorders>
        <w:top w:val="single" w:sz="4" w:space="0" w:color="0F9ED5"/>
        <w:bottom w:val="single" w:sz="4" w:space="0" w:color="0F9ED5"/>
      </w:tblBorders>
    </w:tblPr>
    <w:tblStylePr w:type="firstRow">
      <w:rPr>
        <w:b/>
        <w:bCs/>
      </w:rPr>
      <w:tblPr/>
      <w:tcPr>
        <w:tcBorders>
          <w:bottom w:val="single" w:sz="4" w:space="0" w:color="0F9ED5"/>
        </w:tcBorders>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6Colorful-Accent51">
    <w:name w:val="List Table 6 Colorful - Accent 51"/>
    <w:basedOn w:val="TableNormal"/>
    <w:next w:val="ListTable6Colorful-Accent5"/>
    <w:uiPriority w:val="51"/>
    <w:rsid w:val="00314CC0"/>
    <w:rPr>
      <w:rFonts w:eastAsia="DengXian" w:hAnsi="Aptos" w:cs="Simplified Arabic" w:hint="cs"/>
      <w:color w:val="77206D"/>
      <w:kern w:val="2"/>
      <w:sz w:val="24"/>
      <w:szCs w:val="24"/>
      <w:lang w:val="en-GB"/>
      <w14:ligatures w14:val="standardContextual"/>
    </w:rPr>
    <w:tblPr>
      <w:tblStyleRowBandSize w:val="1"/>
      <w:tblStyleColBandSize w:val="1"/>
      <w:tblBorders>
        <w:top w:val="single" w:sz="4" w:space="0" w:color="A02B93"/>
        <w:bottom w:val="single" w:sz="4" w:space="0" w:color="A02B93"/>
      </w:tblBorders>
    </w:tblPr>
    <w:tblStylePr w:type="firstRow">
      <w:rPr>
        <w:b/>
        <w:bCs/>
      </w:rPr>
      <w:tblPr/>
      <w:tcPr>
        <w:tcBorders>
          <w:bottom w:val="single" w:sz="4" w:space="0" w:color="A02B93"/>
        </w:tcBorders>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6Colorful-Accent61">
    <w:name w:val="List Table 6 Colorful - Accent 61"/>
    <w:basedOn w:val="TableNormal"/>
    <w:next w:val="ListTable6Colorful-Accent6"/>
    <w:uiPriority w:val="51"/>
    <w:rsid w:val="00314CC0"/>
    <w:rPr>
      <w:rFonts w:eastAsia="DengXian" w:hAnsi="Aptos" w:cs="Simplified Arabic" w:hint="cs"/>
      <w:color w:val="3A7C22"/>
      <w:kern w:val="2"/>
      <w:sz w:val="24"/>
      <w:szCs w:val="24"/>
      <w:lang w:val="en-GB"/>
      <w14:ligatures w14:val="standardContextual"/>
    </w:rPr>
    <w:tblPr>
      <w:tblStyleRowBandSize w:val="1"/>
      <w:tblStyleColBandSize w:val="1"/>
      <w:tblBorders>
        <w:top w:val="single" w:sz="4" w:space="0" w:color="4EA72E"/>
        <w:bottom w:val="single" w:sz="4" w:space="0" w:color="4EA72E"/>
      </w:tblBorders>
    </w:tblPr>
    <w:tblStylePr w:type="firstRow">
      <w:rPr>
        <w:b/>
        <w:bCs/>
      </w:rPr>
      <w:tblPr/>
      <w:tcPr>
        <w:tcBorders>
          <w:bottom w:val="single" w:sz="4" w:space="0" w:color="4EA72E"/>
        </w:tcBorders>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7Colorful1">
    <w:name w:val="List Table 7 Colorful1"/>
    <w:basedOn w:val="TableNormal"/>
    <w:next w:val="ListTable7Colorful"/>
    <w:uiPriority w:val="52"/>
    <w:rsid w:val="00314CC0"/>
    <w:rPr>
      <w:rFonts w:eastAsia="DengXian" w:hAnsi="Aptos" w:cs="Simplified Arabic" w:hint="cs"/>
      <w:color w:val="000000"/>
      <w:kern w:val="2"/>
      <w:sz w:val="24"/>
      <w:szCs w:val="24"/>
      <w:lang w:val="en-GB"/>
      <w14:ligatures w14:val="standardContextual"/>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000000"/>
        </w:tcBorders>
        <w:shd w:val="clear" w:color="auto" w:fill="FFFFFF"/>
      </w:tcPr>
    </w:tblStylePr>
    <w:tblStylePr w:type="lastRow">
      <w:rPr>
        <w:rFonts w:ascii="Aptos Display" w:eastAsia="DengXian Light" w:hAnsi="Aptos Display" w:cs="Times New Roman"/>
        <w:i/>
        <w:iCs/>
        <w:sz w:val="26"/>
      </w:rPr>
      <w:tblPr/>
      <w:tcPr>
        <w:tcBorders>
          <w:top w:val="single" w:sz="4" w:space="0" w:color="000000"/>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000000"/>
        </w:tcBorders>
        <w:shd w:val="clear" w:color="auto" w:fill="FFFFFF"/>
      </w:tcPr>
    </w:tblStylePr>
    <w:tblStylePr w:type="lastCol">
      <w:rPr>
        <w:rFonts w:ascii="Aptos Display" w:eastAsia="DengXian Light" w:hAnsi="Aptos Display"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314CC0"/>
    <w:rPr>
      <w:rFonts w:eastAsia="DengXian" w:hAnsi="Aptos" w:cs="Simplified Arabic" w:hint="cs"/>
      <w:color w:val="0F4761"/>
      <w:kern w:val="2"/>
      <w:sz w:val="24"/>
      <w:szCs w:val="24"/>
      <w:lang w:val="en-GB"/>
      <w14:ligatures w14:val="standardContextual"/>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156082"/>
        </w:tcBorders>
        <w:shd w:val="clear" w:color="auto" w:fill="FFFFFF"/>
      </w:tcPr>
    </w:tblStylePr>
    <w:tblStylePr w:type="lastRow">
      <w:rPr>
        <w:rFonts w:ascii="Aptos Display" w:eastAsia="DengXian Light" w:hAnsi="Aptos Display" w:cs="Times New Roman"/>
        <w:i/>
        <w:iCs/>
        <w:sz w:val="26"/>
      </w:rPr>
      <w:tblPr/>
      <w:tcPr>
        <w:tcBorders>
          <w:top w:val="single" w:sz="4" w:space="0" w:color="156082"/>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156082"/>
        </w:tcBorders>
        <w:shd w:val="clear" w:color="auto" w:fill="FFFFFF"/>
      </w:tcPr>
    </w:tblStylePr>
    <w:tblStylePr w:type="lastCol">
      <w:rPr>
        <w:rFonts w:ascii="Aptos Display" w:eastAsia="DengXian Light" w:hAnsi="Aptos Display" w:cs="Times New Roman"/>
        <w:i/>
        <w:iCs/>
        <w:sz w:val="26"/>
      </w:rPr>
      <w:tblPr/>
      <w:tcPr>
        <w:tcBorders>
          <w:left w:val="single" w:sz="4" w:space="0" w:color="156082"/>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314CC0"/>
    <w:rPr>
      <w:rFonts w:eastAsia="DengXian" w:hAnsi="Aptos" w:cs="Simplified Arabic" w:hint="cs"/>
      <w:color w:val="BF4E14"/>
      <w:kern w:val="2"/>
      <w:sz w:val="24"/>
      <w:szCs w:val="24"/>
      <w:lang w:val="en-GB"/>
      <w14:ligatures w14:val="standardContextual"/>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E97132"/>
        </w:tcBorders>
        <w:shd w:val="clear" w:color="auto" w:fill="FFFFFF"/>
      </w:tcPr>
    </w:tblStylePr>
    <w:tblStylePr w:type="lastRow">
      <w:rPr>
        <w:rFonts w:ascii="Aptos Display" w:eastAsia="DengXian Light" w:hAnsi="Aptos Display" w:cs="Times New Roman"/>
        <w:i/>
        <w:iCs/>
        <w:sz w:val="26"/>
      </w:rPr>
      <w:tblPr/>
      <w:tcPr>
        <w:tcBorders>
          <w:top w:val="single" w:sz="4" w:space="0" w:color="E97132"/>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E97132"/>
        </w:tcBorders>
        <w:shd w:val="clear" w:color="auto" w:fill="FFFFFF"/>
      </w:tcPr>
    </w:tblStylePr>
    <w:tblStylePr w:type="lastCol">
      <w:rPr>
        <w:rFonts w:ascii="Aptos Display" w:eastAsia="DengXian Light" w:hAnsi="Aptos Display" w:cs="Times New Roman"/>
        <w:i/>
        <w:iCs/>
        <w:sz w:val="26"/>
      </w:rPr>
      <w:tblPr/>
      <w:tcPr>
        <w:tcBorders>
          <w:left w:val="single" w:sz="4" w:space="0" w:color="E97132"/>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314CC0"/>
    <w:rPr>
      <w:rFonts w:eastAsia="DengXian" w:hAnsi="Aptos" w:cs="Simplified Arabic" w:hint="cs"/>
      <w:color w:val="124F1A"/>
      <w:kern w:val="2"/>
      <w:sz w:val="24"/>
      <w:szCs w:val="24"/>
      <w:lang w:val="en-GB"/>
      <w14:ligatures w14:val="standardContextual"/>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196B24"/>
        </w:tcBorders>
        <w:shd w:val="clear" w:color="auto" w:fill="FFFFFF"/>
      </w:tcPr>
    </w:tblStylePr>
    <w:tblStylePr w:type="lastRow">
      <w:rPr>
        <w:rFonts w:ascii="Aptos Display" w:eastAsia="DengXian Light" w:hAnsi="Aptos Display" w:cs="Times New Roman"/>
        <w:i/>
        <w:iCs/>
        <w:sz w:val="26"/>
      </w:rPr>
      <w:tblPr/>
      <w:tcPr>
        <w:tcBorders>
          <w:top w:val="single" w:sz="4" w:space="0" w:color="196B24"/>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196B24"/>
        </w:tcBorders>
        <w:shd w:val="clear" w:color="auto" w:fill="FFFFFF"/>
      </w:tcPr>
    </w:tblStylePr>
    <w:tblStylePr w:type="lastCol">
      <w:rPr>
        <w:rFonts w:ascii="Aptos Display" w:eastAsia="DengXian Light" w:hAnsi="Aptos Display" w:cs="Times New Roman"/>
        <w:i/>
        <w:iCs/>
        <w:sz w:val="26"/>
      </w:rPr>
      <w:tblPr/>
      <w:tcPr>
        <w:tcBorders>
          <w:left w:val="single" w:sz="4" w:space="0" w:color="196B24"/>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314CC0"/>
    <w:rPr>
      <w:rFonts w:eastAsia="DengXian" w:hAnsi="Aptos" w:cs="Simplified Arabic" w:hint="cs"/>
      <w:color w:val="0B769F"/>
      <w:kern w:val="2"/>
      <w:sz w:val="24"/>
      <w:szCs w:val="24"/>
      <w:lang w:val="en-GB"/>
      <w14:ligatures w14:val="standardContextual"/>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0F9ED5"/>
        </w:tcBorders>
        <w:shd w:val="clear" w:color="auto" w:fill="FFFFFF"/>
      </w:tcPr>
    </w:tblStylePr>
    <w:tblStylePr w:type="lastRow">
      <w:rPr>
        <w:rFonts w:ascii="Aptos Display" w:eastAsia="DengXian Light" w:hAnsi="Aptos Display" w:cs="Times New Roman"/>
        <w:i/>
        <w:iCs/>
        <w:sz w:val="26"/>
      </w:rPr>
      <w:tblPr/>
      <w:tcPr>
        <w:tcBorders>
          <w:top w:val="single" w:sz="4" w:space="0" w:color="0F9ED5"/>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0F9ED5"/>
        </w:tcBorders>
        <w:shd w:val="clear" w:color="auto" w:fill="FFFFFF"/>
      </w:tcPr>
    </w:tblStylePr>
    <w:tblStylePr w:type="lastCol">
      <w:rPr>
        <w:rFonts w:ascii="Aptos Display" w:eastAsia="DengXian Light" w:hAnsi="Aptos Display" w:cs="Times New Roman"/>
        <w:i/>
        <w:iCs/>
        <w:sz w:val="26"/>
      </w:rPr>
      <w:tblPr/>
      <w:tcPr>
        <w:tcBorders>
          <w:left w:val="single" w:sz="4" w:space="0" w:color="0F9ED5"/>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314CC0"/>
    <w:rPr>
      <w:rFonts w:eastAsia="DengXian" w:hAnsi="Aptos" w:cs="Simplified Arabic" w:hint="cs"/>
      <w:color w:val="77206D"/>
      <w:kern w:val="2"/>
      <w:sz w:val="24"/>
      <w:szCs w:val="24"/>
      <w:lang w:val="en-GB"/>
      <w14:ligatures w14:val="standardContextual"/>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A02B93"/>
        </w:tcBorders>
        <w:shd w:val="clear" w:color="auto" w:fill="FFFFFF"/>
      </w:tcPr>
    </w:tblStylePr>
    <w:tblStylePr w:type="lastRow">
      <w:rPr>
        <w:rFonts w:ascii="Aptos Display" w:eastAsia="DengXian Light" w:hAnsi="Aptos Display" w:cs="Times New Roman"/>
        <w:i/>
        <w:iCs/>
        <w:sz w:val="26"/>
      </w:rPr>
      <w:tblPr/>
      <w:tcPr>
        <w:tcBorders>
          <w:top w:val="single" w:sz="4" w:space="0" w:color="A02B93"/>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A02B93"/>
        </w:tcBorders>
        <w:shd w:val="clear" w:color="auto" w:fill="FFFFFF"/>
      </w:tcPr>
    </w:tblStylePr>
    <w:tblStylePr w:type="lastCol">
      <w:rPr>
        <w:rFonts w:ascii="Aptos Display" w:eastAsia="DengXian Light" w:hAnsi="Aptos Display" w:cs="Times New Roman"/>
        <w:i/>
        <w:iCs/>
        <w:sz w:val="26"/>
      </w:rPr>
      <w:tblPr/>
      <w:tcPr>
        <w:tcBorders>
          <w:left w:val="single" w:sz="4" w:space="0" w:color="A02B93"/>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314CC0"/>
    <w:rPr>
      <w:rFonts w:eastAsia="DengXian" w:hAnsi="Aptos" w:cs="Simplified Arabic" w:hint="cs"/>
      <w:color w:val="3A7C22"/>
      <w:kern w:val="2"/>
      <w:sz w:val="24"/>
      <w:szCs w:val="24"/>
      <w:lang w:val="en-GB"/>
      <w14:ligatures w14:val="standardContextual"/>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4EA72E"/>
        </w:tcBorders>
        <w:shd w:val="clear" w:color="auto" w:fill="FFFFFF"/>
      </w:tcPr>
    </w:tblStylePr>
    <w:tblStylePr w:type="lastRow">
      <w:rPr>
        <w:rFonts w:ascii="Aptos Display" w:eastAsia="DengXian Light" w:hAnsi="Aptos Display" w:cs="Times New Roman"/>
        <w:i/>
        <w:iCs/>
        <w:sz w:val="26"/>
      </w:rPr>
      <w:tblPr/>
      <w:tcPr>
        <w:tcBorders>
          <w:top w:val="single" w:sz="4" w:space="0" w:color="4EA72E"/>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4EA72E"/>
        </w:tcBorders>
        <w:shd w:val="clear" w:color="auto" w:fill="FFFFFF"/>
      </w:tcPr>
    </w:tblStylePr>
    <w:tblStylePr w:type="lastCol">
      <w:rPr>
        <w:rFonts w:ascii="Aptos Display" w:eastAsia="DengXian Light" w:hAnsi="Aptos Display" w:cs="Times New Roman"/>
        <w:i/>
        <w:iCs/>
        <w:sz w:val="26"/>
      </w:rPr>
      <w:tblPr/>
      <w:tcPr>
        <w:tcBorders>
          <w:left w:val="single" w:sz="4" w:space="0" w:color="4EA72E"/>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1-Accent21">
    <w:name w:val="Medium Grid 1 - Accent 21"/>
    <w:basedOn w:val="TableNormal"/>
    <w:next w:val="MediumGrid1-Accent2"/>
    <w:uiPriority w:val="67"/>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1-Accent31">
    <w:name w:val="Medium Grid 1 - Accent 31"/>
    <w:basedOn w:val="TableNormal"/>
    <w:next w:val="MediumGrid1-Accent3"/>
    <w:uiPriority w:val="67"/>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customStyle="1" w:styleId="MediumGrid1-Accent41">
    <w:name w:val="Medium Grid 1 - Accent 41"/>
    <w:basedOn w:val="TableNormal"/>
    <w:next w:val="MediumGrid1-Accent4"/>
    <w:uiPriority w:val="67"/>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customStyle="1" w:styleId="MediumGrid1-Accent51">
    <w:name w:val="Medium Grid 1 - Accent 51"/>
    <w:basedOn w:val="TableNormal"/>
    <w:next w:val="MediumGrid1-Accent5"/>
    <w:uiPriority w:val="67"/>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customStyle="1" w:styleId="MediumGrid1-Accent61">
    <w:name w:val="Medium Grid 1 - Accent 61"/>
    <w:basedOn w:val="TableNormal"/>
    <w:next w:val="MediumGrid1-Accent6"/>
    <w:uiPriority w:val="67"/>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customStyle="1" w:styleId="MediumGrid21">
    <w:name w:val="Medium Grid 21"/>
    <w:basedOn w:val="TableNormal"/>
    <w:next w:val="MediumGrid2"/>
    <w:uiPriority w:val="68"/>
    <w:semiHidden/>
    <w:unhideWhenUsed/>
    <w:rsid w:val="00314CC0"/>
    <w:rPr>
      <w:rFonts w:ascii="Aptos Display" w:eastAsia="DengXian Light" w:hAnsi="Aptos Display"/>
      <w:color w:val="000000"/>
      <w:kern w:val="2"/>
      <w:sz w:val="24"/>
      <w:szCs w:val="24"/>
      <w:lang w:val="en-GB"/>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314CC0"/>
    <w:rPr>
      <w:rFonts w:ascii="Aptos Display" w:eastAsia="DengXian Light" w:hAnsi="Aptos Display"/>
      <w:color w:val="000000"/>
      <w:kern w:val="2"/>
      <w:sz w:val="24"/>
      <w:szCs w:val="24"/>
      <w:lang w:val="en-GB"/>
      <w14:ligatures w14:val="standardContextual"/>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314CC0"/>
    <w:rPr>
      <w:rFonts w:ascii="Aptos Display" w:eastAsia="DengXian Light" w:hAnsi="Aptos Display"/>
      <w:color w:val="000000"/>
      <w:kern w:val="2"/>
      <w:sz w:val="24"/>
      <w:szCs w:val="24"/>
      <w:lang w:val="en-GB"/>
      <w14:ligatures w14:val="standardContextual"/>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314CC0"/>
    <w:rPr>
      <w:rFonts w:ascii="Aptos Display" w:eastAsia="DengXian Light" w:hAnsi="Aptos Display"/>
      <w:color w:val="000000"/>
      <w:kern w:val="2"/>
      <w:sz w:val="24"/>
      <w:szCs w:val="24"/>
      <w:lang w:val="en-GB"/>
      <w14:ligatures w14:val="standardContextual"/>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314CC0"/>
    <w:rPr>
      <w:rFonts w:ascii="Aptos Display" w:eastAsia="DengXian Light" w:hAnsi="Aptos Display"/>
      <w:color w:val="000000"/>
      <w:kern w:val="2"/>
      <w:sz w:val="24"/>
      <w:szCs w:val="24"/>
      <w:lang w:val="en-GB"/>
      <w14:ligatures w14:val="standardContextual"/>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314CC0"/>
    <w:rPr>
      <w:rFonts w:ascii="Aptos Display" w:eastAsia="DengXian Light" w:hAnsi="Aptos Display"/>
      <w:color w:val="000000"/>
      <w:kern w:val="2"/>
      <w:sz w:val="24"/>
      <w:szCs w:val="24"/>
      <w:lang w:val="en-GB"/>
      <w14:ligatures w14:val="standardContextual"/>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314CC0"/>
    <w:rPr>
      <w:rFonts w:ascii="Aptos Display" w:eastAsia="DengXian Light" w:hAnsi="Aptos Display"/>
      <w:color w:val="000000"/>
      <w:kern w:val="2"/>
      <w:sz w:val="24"/>
      <w:szCs w:val="24"/>
      <w:lang w:val="en-GB"/>
      <w14:ligatures w14:val="standardContextual"/>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customStyle="1" w:styleId="MediumGrid3-Accent21">
    <w:name w:val="Medium Grid 3 - Accent 21"/>
    <w:basedOn w:val="TableNormal"/>
    <w:next w:val="MediumGrid3-Accent2"/>
    <w:uiPriority w:val="69"/>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customStyle="1" w:styleId="MediumGrid3-Accent31">
    <w:name w:val="Medium Grid 3 - Accent 31"/>
    <w:basedOn w:val="TableNormal"/>
    <w:next w:val="MediumGrid3-Accent3"/>
    <w:uiPriority w:val="69"/>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customStyle="1" w:styleId="MediumGrid3-Accent41">
    <w:name w:val="Medium Grid 3 - Accent 41"/>
    <w:basedOn w:val="TableNormal"/>
    <w:next w:val="MediumGrid3-Accent4"/>
    <w:uiPriority w:val="69"/>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customStyle="1" w:styleId="MediumGrid3-Accent51">
    <w:name w:val="Medium Grid 3 - Accent 51"/>
    <w:basedOn w:val="TableNormal"/>
    <w:next w:val="MediumGrid3-Accent5"/>
    <w:uiPriority w:val="69"/>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customStyle="1" w:styleId="MediumGrid3-Accent61">
    <w:name w:val="Medium Grid 3 - Accent 61"/>
    <w:basedOn w:val="TableNormal"/>
    <w:next w:val="MediumGrid3-Accent6"/>
    <w:uiPriority w:val="69"/>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customStyle="1" w:styleId="MediumList11">
    <w:name w:val="Medium List 11"/>
    <w:basedOn w:val="TableNormal"/>
    <w:next w:val="MediumList1"/>
    <w:uiPriority w:val="65"/>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000000"/>
        <w:bottom w:val="single" w:sz="8" w:space="0" w:color="000000"/>
      </w:tblBorders>
    </w:tblPr>
    <w:tblStylePr w:type="firstRow">
      <w:rPr>
        <w:rFonts w:ascii="Aptos Display" w:eastAsia="DengXian Light" w:hAnsi="Aptos Display" w:cs="Times New Roman"/>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156082"/>
        <w:bottom w:val="single" w:sz="8" w:space="0" w:color="156082"/>
      </w:tblBorders>
    </w:tblPr>
    <w:tblStylePr w:type="firstRow">
      <w:rPr>
        <w:rFonts w:ascii="Aptos Display" w:eastAsia="DengXian Light" w:hAnsi="Aptos Display"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customStyle="1" w:styleId="MediumList1-Accent21">
    <w:name w:val="Medium List 1 - Accent 21"/>
    <w:basedOn w:val="TableNormal"/>
    <w:next w:val="MediumList1-Accent2"/>
    <w:uiPriority w:val="65"/>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E97132"/>
        <w:bottom w:val="single" w:sz="8" w:space="0" w:color="E97132"/>
      </w:tblBorders>
    </w:tblPr>
    <w:tblStylePr w:type="firstRow">
      <w:rPr>
        <w:rFonts w:ascii="Aptos Display" w:eastAsia="DengXian Light" w:hAnsi="Aptos Display"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customStyle="1" w:styleId="MediumList1-Accent31">
    <w:name w:val="Medium List 1 - Accent 31"/>
    <w:basedOn w:val="TableNormal"/>
    <w:next w:val="MediumList1-Accent3"/>
    <w:uiPriority w:val="65"/>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196B24"/>
        <w:bottom w:val="single" w:sz="8" w:space="0" w:color="196B24"/>
      </w:tblBorders>
    </w:tblPr>
    <w:tblStylePr w:type="firstRow">
      <w:rPr>
        <w:rFonts w:ascii="Aptos Display" w:eastAsia="DengXian Light" w:hAnsi="Aptos Display"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customStyle="1" w:styleId="MediumList1-Accent41">
    <w:name w:val="Medium List 1 - Accent 41"/>
    <w:basedOn w:val="TableNormal"/>
    <w:next w:val="MediumList1-Accent4"/>
    <w:uiPriority w:val="65"/>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0F9ED5"/>
        <w:bottom w:val="single" w:sz="8" w:space="0" w:color="0F9ED5"/>
      </w:tblBorders>
    </w:tblPr>
    <w:tblStylePr w:type="firstRow">
      <w:rPr>
        <w:rFonts w:ascii="Aptos Display" w:eastAsia="DengXian Light" w:hAnsi="Aptos Display"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customStyle="1" w:styleId="MediumList1-Accent51">
    <w:name w:val="Medium List 1 - Accent 51"/>
    <w:basedOn w:val="TableNormal"/>
    <w:next w:val="MediumList1-Accent5"/>
    <w:uiPriority w:val="65"/>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A02B93"/>
        <w:bottom w:val="single" w:sz="8" w:space="0" w:color="A02B93"/>
      </w:tblBorders>
    </w:tblPr>
    <w:tblStylePr w:type="firstRow">
      <w:rPr>
        <w:rFonts w:ascii="Aptos Display" w:eastAsia="DengXian Light" w:hAnsi="Aptos Display"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customStyle="1" w:styleId="MediumList1-Accent61">
    <w:name w:val="Medium List 1 - Accent 61"/>
    <w:basedOn w:val="TableNormal"/>
    <w:next w:val="MediumList1-Accent6"/>
    <w:uiPriority w:val="65"/>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4EA72E"/>
        <w:bottom w:val="single" w:sz="8" w:space="0" w:color="4EA72E"/>
      </w:tblBorders>
    </w:tblPr>
    <w:tblStylePr w:type="firstRow">
      <w:rPr>
        <w:rFonts w:ascii="Aptos Display" w:eastAsia="DengXian Light" w:hAnsi="Aptos Display"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customStyle="1" w:styleId="MediumList21">
    <w:name w:val="Medium List 21"/>
    <w:basedOn w:val="TableNormal"/>
    <w:next w:val="MediumList2"/>
    <w:uiPriority w:val="66"/>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314CC0"/>
    <w:rPr>
      <w:rFonts w:eastAsia="DengXian" w:hAnsi="Aptos" w:cs="Simplified Arabic" w:hint="cs"/>
      <w:color w:val="000000"/>
      <w:kern w:val="2"/>
      <w:sz w:val="24"/>
      <w:szCs w:val="24"/>
      <w:lang w:val="en-GB"/>
      <w14:ligatures w14:val="standardContextual"/>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314CC0"/>
    <w:rPr>
      <w:rFonts w:ascii="Aptos" w:eastAsia="DengXian" w:hAnsi="Aptos" w:cs="Arial"/>
      <w:kern w:val="2"/>
      <w:sz w:val="24"/>
      <w:szCs w:val="24"/>
      <w:lang w:val="en-GB"/>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next w:val="PlainTable1"/>
    <w:uiPriority w:val="41"/>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314CC0"/>
    <w:rPr>
      <w:rFonts w:ascii="Aptos" w:eastAsia="DengXian" w:hAnsi="Aptos" w:cs="Arial"/>
      <w:kern w:val="2"/>
      <w:sz w:val="24"/>
      <w:szCs w:val="24"/>
      <w:lang w:val="en-GB"/>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314CC0"/>
    <w:rPr>
      <w:rFonts w:ascii="Aptos" w:eastAsia="DengXian" w:hAnsi="Aptos" w:cs="Arial"/>
      <w:kern w:val="2"/>
      <w:sz w:val="24"/>
      <w:szCs w:val="24"/>
      <w:lang w:val="en-GB"/>
      <w14:ligatures w14:val="standardContextual"/>
    </w:rPr>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314CC0"/>
    <w:rPr>
      <w:rFonts w:ascii="Aptos" w:eastAsia="DengXian" w:hAnsi="Aptos" w:cs="Arial"/>
      <w:kern w:val="2"/>
      <w:sz w:val="24"/>
      <w:szCs w:val="24"/>
      <w:lang w:val="en-GB"/>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314CC0"/>
    <w:rPr>
      <w:rFonts w:ascii="Aptos" w:eastAsia="DengXian" w:hAnsi="Aptos" w:cs="Arial"/>
      <w:kern w:val="2"/>
      <w:sz w:val="24"/>
      <w:szCs w:val="24"/>
      <w:lang w:val="en-GB"/>
      <w14:ligatures w14:val="standardContextual"/>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7F7F7F"/>
        </w:tcBorders>
        <w:shd w:val="clear" w:color="auto" w:fill="FFFFFF"/>
      </w:tcPr>
    </w:tblStylePr>
    <w:tblStylePr w:type="lastRow">
      <w:rPr>
        <w:rFonts w:ascii="Aptos Display" w:eastAsia="DengXian Light"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7F7F7F"/>
        </w:tcBorders>
        <w:shd w:val="clear" w:color="auto" w:fill="FFFFFF"/>
      </w:tcPr>
    </w:tblStylePr>
    <w:tblStylePr w:type="lastCol">
      <w:rPr>
        <w:rFonts w:ascii="Aptos Display" w:eastAsia="DengXian Light"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Link1">
    <w:name w:val="SmartLink1"/>
    <w:basedOn w:val="DefaultParagraphFont"/>
    <w:uiPriority w:val="99"/>
    <w:semiHidden/>
    <w:unhideWhenUsed/>
    <w:rsid w:val="00314CC0"/>
    <w:rPr>
      <w:color w:val="0000FF"/>
      <w:u w:val="single"/>
      <w:shd w:val="clear" w:color="auto" w:fill="F3F2F1"/>
    </w:rPr>
  </w:style>
  <w:style w:type="table" w:customStyle="1" w:styleId="Table3Deffects11">
    <w:name w:val="Table 3D effects 11"/>
    <w:basedOn w:val="TableNormal"/>
    <w:next w:val="Table3Deffects1"/>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color w:val="000080"/>
      <w:kern w:val="2"/>
      <w:sz w:val="24"/>
      <w:szCs w:val="24"/>
      <w:lang w:val="en-GB"/>
      <w14:ligatures w14:val="standardContextu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color w:val="FFFFFF"/>
      <w:kern w:val="2"/>
      <w:sz w:val="24"/>
      <w:szCs w:val="24"/>
      <w:lang w:val="en-GB"/>
      <w14:ligatures w14:val="standardContextu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b/>
      <w:bCs/>
      <w:kern w:val="2"/>
      <w:sz w:val="24"/>
      <w:szCs w:val="24"/>
      <w:lang w:val="en-GB"/>
      <w14:ligatures w14:val="standardContextu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b/>
      <w:bCs/>
      <w:kern w:val="2"/>
      <w:sz w:val="24"/>
      <w:szCs w:val="24"/>
      <w:lang w:val="en-GB"/>
      <w14:ligatures w14:val="standardContextua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b/>
      <w:bCs/>
      <w:kern w:val="2"/>
      <w:sz w:val="24"/>
      <w:szCs w:val="24"/>
      <w:lang w:val="en-GB"/>
      <w14:ligatures w14:val="standardContextu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b/>
      <w:bCs/>
      <w:kern w:val="2"/>
      <w:sz w:val="24"/>
      <w:szCs w:val="24"/>
      <w:lang w:val="en-GB"/>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314CC0"/>
    <w:rPr>
      <w:rFonts w:ascii="Aptos" w:eastAsia="DengXian" w:hAnsi="Aptos" w:cs="Arial"/>
      <w:kern w:val="2"/>
      <w:sz w:val="24"/>
      <w:szCs w:val="24"/>
      <w:lang w:val="en-GB"/>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TableNormal"/>
    <w:next w:val="TableList1"/>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eastAsia="DengXian" w:hAnsi="Aptos" w:cs="Simplified Arabic" w:hint="cs"/>
      <w:kern w:val="2"/>
      <w:sz w:val="24"/>
      <w:szCs w:val="24"/>
      <w:lang w:val="en-GB"/>
      <w14:ligatures w14:val="standardContextu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eastAsia="DengXian" w:hAnsi="Aptos" w:cs="Simplified Arabic" w:hint="cs"/>
      <w:kern w:val="2"/>
      <w:sz w:val="24"/>
      <w:szCs w:val="24"/>
      <w:lang w:val="en-GB"/>
      <w14:ligatures w14:val="standardContextu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eastAsia="DengXian" w:hAnsi="Aptos" w:cs="Simplified Arabic" w:hint="cs"/>
      <w:kern w:val="2"/>
      <w:sz w:val="24"/>
      <w:szCs w:val="24"/>
      <w:lang w:val="en-GB"/>
      <w14:ligatures w14:val="standardContextu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eastAsia="DengXian" w:hAnsi="Aptos" w:cs="Simplified Arabic" w:hint="cs"/>
      <w:kern w:val="2"/>
      <w:sz w:val="24"/>
      <w:szCs w:val="24"/>
      <w:lang w:val="en-GB"/>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eastAsia="DengXian" w:hAnsi="Aptos" w:cs="Simplified Arabic" w:hint="cs"/>
      <w:kern w:val="2"/>
      <w:sz w:val="24"/>
      <w:szCs w:val="24"/>
      <w:lang w:val="en-GB"/>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eastAsia="DengXian" w:hAnsi="Aptos" w:cs="Simplified Arabic" w:hint="cs"/>
      <w:kern w:val="2"/>
      <w:sz w:val="24"/>
      <w:szCs w:val="24"/>
      <w:lang w:val="en-GB"/>
      <w14:ligatures w14:val="standardContextu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eastAsia="DengXian" w:hAnsi="Aptos" w:cs="Simplified Arabic" w:hint="cs"/>
      <w:kern w:val="2"/>
      <w:sz w:val="24"/>
      <w:szCs w:val="24"/>
      <w:lang w:val="en-GB"/>
      <w14:ligatures w14:val="standardContextu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eastAsia="DengXian" w:hAnsi="Aptos" w:cs="Simplified Arabic" w:hint="cs"/>
      <w:kern w:val="2"/>
      <w:sz w:val="24"/>
      <w:szCs w:val="24"/>
      <w:lang w:val="en-GB"/>
      <w14:ligatures w14:val="standardContextu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314CC0"/>
    <w:pPr>
      <w:tabs>
        <w:tab w:val="left" w:pos="624"/>
        <w:tab w:val="left" w:pos="1247"/>
        <w:tab w:val="left" w:pos="1871"/>
        <w:tab w:val="left" w:pos="2495"/>
        <w:tab w:val="left" w:pos="3119"/>
        <w:tab w:val="left" w:pos="3742"/>
        <w:tab w:val="left" w:pos="4366"/>
      </w:tabs>
      <w:adjustRightInd w:val="0"/>
      <w:snapToGrid w:val="0"/>
    </w:pPr>
    <w:rPr>
      <w:rFonts w:ascii="Aptos" w:eastAsia="DengXian" w:hAnsi="Aptos" w:cs="Arial"/>
      <w:kern w:val="2"/>
      <w:sz w:val="24"/>
      <w:szCs w:val="24"/>
      <w:lang w:val="en-GB"/>
      <w14:ligatures w14:val="standardContextu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2Char">
    <w:name w:val="CH2 Char"/>
    <w:link w:val="CH2"/>
    <w:rsid w:val="00314CC0"/>
    <w:rPr>
      <w:rFonts w:eastAsia="Times New Roman"/>
      <w:b/>
      <w:sz w:val="24"/>
      <w:szCs w:val="24"/>
    </w:rPr>
  </w:style>
  <w:style w:type="paragraph" w:customStyle="1" w:styleId="StyleLevel1After6ptLinespacingsingle">
    <w:name w:val="Style Level1 + After:  6 pt Line spacing:  single"/>
    <w:basedOn w:val="Normal"/>
    <w:rsid w:val="00314CC0"/>
    <w:pPr>
      <w:numPr>
        <w:numId w:val="16"/>
      </w:numPr>
      <w:tabs>
        <w:tab w:val="clear" w:pos="360"/>
        <w:tab w:val="num" w:pos="4560"/>
      </w:tabs>
      <w:suppressAutoHyphens/>
      <w:spacing w:after="120"/>
    </w:pPr>
    <w:rPr>
      <w:rFonts w:eastAsia="Times New Roman" w:cs="Times New Roman" w:hint="default"/>
      <w:szCs w:val="20"/>
      <w:lang w:val="en-US" w:eastAsia="en-US" w:bidi="ar-EG"/>
    </w:rPr>
  </w:style>
  <w:style w:type="paragraph" w:customStyle="1" w:styleId="ARAATitle1">
    <w:name w:val="AR_AA_Title1"/>
    <w:basedOn w:val="Normal"/>
    <w:qFormat/>
    <w:rsid w:val="00314CC0"/>
    <w:pPr>
      <w:keepNext/>
      <w:keepLines/>
      <w:tabs>
        <w:tab w:val="left" w:pos="4082"/>
      </w:tabs>
      <w:suppressAutoHyphens/>
      <w:bidi/>
      <w:spacing w:line="320" w:lineRule="exact"/>
    </w:pPr>
    <w:rPr>
      <w:rFonts w:cs="Times New Roman" w:hint="default"/>
      <w:bCs/>
      <w:szCs w:val="20"/>
      <w:lang w:val="ru-RU" w:eastAsia="en-US"/>
    </w:rPr>
  </w:style>
  <w:style w:type="paragraph" w:customStyle="1" w:styleId="ARAATitle">
    <w:name w:val="AR_AA_Title"/>
    <w:basedOn w:val="Normal"/>
    <w:qFormat/>
    <w:rsid w:val="00314CC0"/>
    <w:pPr>
      <w:keepNext/>
      <w:keepLines/>
      <w:tabs>
        <w:tab w:val="left" w:pos="4082"/>
      </w:tabs>
      <w:suppressAutoHyphens/>
      <w:spacing w:line="320" w:lineRule="exact"/>
    </w:pPr>
    <w:rPr>
      <w:rFonts w:cs="Times New Roman" w:hint="default"/>
      <w:b/>
      <w:bCs/>
      <w:szCs w:val="20"/>
      <w:lang w:val="ru-RU" w:eastAsia="en-US"/>
    </w:rPr>
  </w:style>
  <w:style w:type="character" w:customStyle="1" w:styleId="ListParagraphChar">
    <w:name w:val="List Paragraph Char"/>
    <w:link w:val="ListParagraph"/>
    <w:uiPriority w:val="34"/>
    <w:locked/>
    <w:rsid w:val="00314CC0"/>
    <w:rPr>
      <w:rFonts w:cs="Simplified Arabic"/>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informal-meeting-facilitating-implementation-montreal-protocol/presentations" TargetMode="External"/><Relationship Id="rId2" Type="http://schemas.openxmlformats.org/officeDocument/2006/relationships/hyperlink" Target="https://ozone.unep.org/system/files/documents/IM_concept-note-and-provisional-programme_final-draft_for-posting.pdf" TargetMode="External"/><Relationship Id="rId1" Type="http://schemas.openxmlformats.org/officeDocument/2006/relationships/hyperlink" Target="https://ozone.unep.org/system/files/documents/IM_concept-note-and-provisional-programme_final-draft_for-post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19" ma:contentTypeDescription="Create a new document." ma:contentTypeScope="" ma:versionID="0c4eed3d105fec5c5087b38dccd347da">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968b99cb2fdce75cb9c2846cfd1778c7"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90816257-552C-47F4-BF64-E2E072423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10</TotalTime>
  <Pages>59</Pages>
  <Words>27645</Words>
  <Characters>157582</Characters>
  <Application>Microsoft Office Word</Application>
  <DocSecurity>0</DocSecurity>
  <PresentationFormat/>
  <Lines>1313</Lines>
  <Paragraphs>369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184858</CharactersWithSpaces>
  <SharedDoc>false</SharedDoc>
  <HyperlinkBase/>
  <HLinks>
    <vt:vector size="12" baseType="variant">
      <vt:variant>
        <vt:i4>7864322</vt:i4>
      </vt:variant>
      <vt:variant>
        <vt:i4>3</vt:i4>
      </vt:variant>
      <vt:variant>
        <vt:i4>0</vt:i4>
      </vt:variant>
      <vt:variant>
        <vt:i4>5</vt:i4>
      </vt:variant>
      <vt:variant>
        <vt:lpwstr>mailto:sophia.mylona@un.org</vt:lpwstr>
      </vt:variant>
      <vt:variant>
        <vt:lpwstr/>
      </vt:variant>
      <vt:variant>
        <vt:i4>3604557</vt:i4>
      </vt:variant>
      <vt:variant>
        <vt:i4>0</vt:i4>
      </vt:variant>
      <vt:variant>
        <vt:i4>0</vt:i4>
      </vt:variant>
      <vt:variant>
        <vt:i4>5</vt:i4>
      </vt:variant>
      <vt:variant>
        <vt:lpwstr>mailto:dhyey.solanki@un.org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K2518262-a-OzL-Pro-37-9</dc:title>
  <dc:subject/>
  <dc:creator>Ramy Eljazzar</dc:creator>
  <cp:keywords/>
  <dc:description/>
  <cp:lastModifiedBy>Ramy Eljazzar</cp:lastModifiedBy>
  <cp:revision>11</cp:revision>
  <cp:lastPrinted>2026-02-25T02:20:00Z</cp:lastPrinted>
  <dcterms:created xsi:type="dcterms:W3CDTF">2026-02-24T20:09:00Z</dcterms:created>
  <dcterms:modified xsi:type="dcterms:W3CDTF">2026-02-25T02:20:00Z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Office_x0020_of_x0020_Origin">
    <vt:lpwstr/>
  </property>
  <property fmtid="{D5CDD505-2E9C-101B-9397-08002B2CF9AE}" pid="12" name="lcf76f155ced4ddcb4097134ff3c332f">
    <vt:lpwstr/>
  </property>
  <property fmtid="{D5CDD505-2E9C-101B-9397-08002B2CF9AE}" pid="13" name="Office of Origin">
    <vt:lpwstr/>
  </property>
  <property fmtid="{D5CDD505-2E9C-101B-9397-08002B2CF9AE}" pid="14" name="ContentTypeId">
    <vt:lpwstr>0x010100A8527E0A0837F64083645E115EB57567</vt:lpwstr>
  </property>
  <property fmtid="{D5CDD505-2E9C-101B-9397-08002B2CF9AE}" pid="15" name="TranslatedWith">
    <vt:lpwstr>Mercury</vt:lpwstr>
  </property>
  <property fmtid="{D5CDD505-2E9C-101B-9397-08002B2CF9AE}" pid="16" name="GeneratedBy">
    <vt:lpwstr>diallo444@hotmail.com</vt:lpwstr>
  </property>
  <property fmtid="{D5CDD505-2E9C-101B-9397-08002B2CF9AE}" pid="17" name="GeneratedDate">
    <vt:lpwstr>11/05/2025 16:32:13</vt:lpwstr>
  </property>
  <property fmtid="{D5CDD505-2E9C-101B-9397-08002B2CF9AE}" pid="18" name="OriginalDocID">
    <vt:lpwstr>c5ffeef2-ccdd-4c9c-8ebb-6936593159b1</vt:lpwstr>
  </property>
</Properties>
</file>