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8F611A" w:rsidRPr="003A0655" w14:paraId="184B1648" w14:textId="77777777" w:rsidTr="008F611A">
        <w:trPr>
          <w:trHeight w:val="850"/>
        </w:trPr>
        <w:tc>
          <w:tcPr>
            <w:tcW w:w="1559" w:type="dxa"/>
          </w:tcPr>
          <w:p w14:paraId="446AB5E5" w14:textId="1FDE2F9A" w:rsidR="008F611A" w:rsidRPr="003A0655" w:rsidRDefault="008F611A" w:rsidP="008F611A">
            <w:pPr>
              <w:pStyle w:val="AUnitedNations"/>
            </w:pPr>
            <w:r w:rsidRPr="003A0655">
              <w:t xml:space="preserve">Nations </w:t>
            </w:r>
            <w:r w:rsidRPr="003A0655">
              <w:br/>
              <w:t>Unies</w:t>
            </w:r>
          </w:p>
        </w:tc>
        <w:tc>
          <w:tcPr>
            <w:tcW w:w="6520" w:type="dxa"/>
          </w:tcPr>
          <w:p w14:paraId="4CD0ECA1" w14:textId="5F9FFFB5" w:rsidR="008F611A" w:rsidRPr="003A0655" w:rsidRDefault="008F611A" w:rsidP="008F611A">
            <w:pPr>
              <w:pStyle w:val="Normal-pool"/>
            </w:pPr>
            <w:r w:rsidRPr="003A0655">
              <w:rPr>
                <w:noProof/>
              </w:rPr>
              <w:drawing>
                <wp:anchor distT="0" distB="0" distL="114300" distR="114300" simplePos="0" relativeHeight="251658240" behindDoc="0" locked="0" layoutInCell="1" allowOverlap="1" wp14:anchorId="18219E52" wp14:editId="3C63EE6C">
                  <wp:simplePos x="0" y="0"/>
                  <wp:positionH relativeFrom="column">
                    <wp:posOffset>3175</wp:posOffset>
                  </wp:positionH>
                  <wp:positionV relativeFrom="paragraph">
                    <wp:posOffset>-4445</wp:posOffset>
                  </wp:positionV>
                  <wp:extent cx="1269153" cy="573559"/>
                  <wp:effectExtent l="0" t="0" r="7620" b="0"/>
                  <wp:wrapNone/>
                  <wp:docPr id="374652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5242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0612BF8C" w14:textId="77777777" w:rsidR="008F611A" w:rsidRPr="003A0655" w:rsidRDefault="008F611A" w:rsidP="008F611A">
            <w:pPr>
              <w:pStyle w:val="Normal-pool"/>
            </w:pPr>
          </w:p>
        </w:tc>
      </w:tr>
    </w:tbl>
    <w:p w14:paraId="3A12046B" w14:textId="77777777" w:rsidR="008F611A" w:rsidRPr="003A0655" w:rsidRDefault="008F611A" w:rsidP="008F611A">
      <w:pPr>
        <w:pStyle w:val="ASpacer"/>
      </w:pPr>
    </w:p>
    <w:tbl>
      <w:tblPr>
        <w:tblW w:w="9496" w:type="dxa"/>
        <w:tblLook w:val="0000" w:firstRow="0" w:lastRow="0" w:firstColumn="0" w:lastColumn="0" w:noHBand="0" w:noVBand="0"/>
      </w:tblPr>
      <w:tblGrid>
        <w:gridCol w:w="6378"/>
        <w:gridCol w:w="3118"/>
      </w:tblGrid>
      <w:tr w:rsidR="000E2FE4" w:rsidRPr="003A0655" w14:paraId="40ED930C" w14:textId="77777777" w:rsidTr="008F611A">
        <w:trPr>
          <w:trHeight w:val="340"/>
        </w:trPr>
        <w:tc>
          <w:tcPr>
            <w:tcW w:w="3358" w:type="pct"/>
            <w:vAlign w:val="bottom"/>
          </w:tcPr>
          <w:p w14:paraId="4D7CB863" w14:textId="77777777" w:rsidR="008F611A" w:rsidRPr="003A0655" w:rsidRDefault="008F611A" w:rsidP="008F611A">
            <w:pPr>
              <w:pStyle w:val="Normal-pool"/>
            </w:pPr>
          </w:p>
        </w:tc>
        <w:tc>
          <w:tcPr>
            <w:tcW w:w="1642" w:type="pct"/>
            <w:noWrap/>
            <w:vAlign w:val="bottom"/>
          </w:tcPr>
          <w:p w14:paraId="44BA7A2B" w14:textId="08BD1B5A" w:rsidR="008F611A" w:rsidRPr="003A0655" w:rsidRDefault="008F611A" w:rsidP="008F611A">
            <w:pPr>
              <w:pStyle w:val="ASymbol"/>
            </w:pPr>
            <w:r w:rsidRPr="003A0655">
              <w:rPr>
                <w:b/>
                <w:sz w:val="28"/>
              </w:rPr>
              <w:t>UNEP</w:t>
            </w:r>
            <w:r w:rsidRPr="003A0655">
              <w:t>/OzL.Pro.</w:t>
            </w:r>
            <w:bookmarkStart w:id="0" w:name="Symbol1A"/>
            <w:r w:rsidRPr="003A0655">
              <w:t>37</w:t>
            </w:r>
            <w:bookmarkStart w:id="1" w:name="Symbol1B"/>
            <w:bookmarkEnd w:id="0"/>
            <w:r w:rsidRPr="003A0655">
              <w:t>/9</w:t>
            </w:r>
            <w:bookmarkEnd w:id="1"/>
          </w:p>
        </w:tc>
      </w:tr>
    </w:tbl>
    <w:p w14:paraId="5B119B36" w14:textId="77777777" w:rsidR="008F611A" w:rsidRPr="003A0655" w:rsidRDefault="008F611A" w:rsidP="008F611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8F611A" w:rsidRPr="003A0655" w14:paraId="1B7839E5" w14:textId="77777777" w:rsidTr="008F611A">
        <w:trPr>
          <w:trHeight w:val="2098"/>
        </w:trPr>
        <w:tc>
          <w:tcPr>
            <w:tcW w:w="5386" w:type="dxa"/>
          </w:tcPr>
          <w:p w14:paraId="1B9993B5" w14:textId="6B22F6AB" w:rsidR="008F611A" w:rsidRPr="003A0655" w:rsidRDefault="008F611A" w:rsidP="008F611A">
            <w:pPr>
              <w:pStyle w:val="AConvName"/>
            </w:pPr>
            <w:r w:rsidRPr="003A0655">
              <w:t xml:space="preserve">Protocole de Montréal </w:t>
            </w:r>
            <w:r w:rsidRPr="003A0655">
              <w:br/>
              <w:t xml:space="preserve">relatif à des substances </w:t>
            </w:r>
            <w:r w:rsidRPr="003A0655">
              <w:br/>
              <w:t xml:space="preserve">qui appauvrissent </w:t>
            </w:r>
            <w:r w:rsidRPr="003A0655">
              <w:br/>
              <w:t>la couche d</w:t>
            </w:r>
            <w:r w:rsidR="000B3BB8" w:rsidRPr="003A0655">
              <w:t>’</w:t>
            </w:r>
            <w:r w:rsidRPr="003A0655">
              <w:t>ozone</w:t>
            </w:r>
          </w:p>
        </w:tc>
        <w:tc>
          <w:tcPr>
            <w:tcW w:w="992" w:type="dxa"/>
          </w:tcPr>
          <w:p w14:paraId="6DC44C83" w14:textId="77777777" w:rsidR="008F611A" w:rsidRPr="003A0655" w:rsidRDefault="008F611A" w:rsidP="008F611A">
            <w:pPr>
              <w:pStyle w:val="Normal-pool"/>
            </w:pPr>
          </w:p>
        </w:tc>
        <w:tc>
          <w:tcPr>
            <w:tcW w:w="3118" w:type="dxa"/>
          </w:tcPr>
          <w:p w14:paraId="5C7C8007" w14:textId="09E2A0B3" w:rsidR="008F611A" w:rsidRPr="003A0655" w:rsidRDefault="008F611A" w:rsidP="008F611A">
            <w:pPr>
              <w:pStyle w:val="AText"/>
            </w:pPr>
            <w:proofErr w:type="spellStart"/>
            <w:r w:rsidRPr="003A0655">
              <w:t>Distr</w:t>
            </w:r>
            <w:proofErr w:type="spellEnd"/>
            <w:r w:rsidRPr="003A0655">
              <w:t xml:space="preserve">. </w:t>
            </w:r>
            <w:bookmarkStart w:id="2" w:name="Distribution"/>
            <w:r w:rsidRPr="003A0655">
              <w:t>générale</w:t>
            </w:r>
            <w:bookmarkEnd w:id="2"/>
            <w:r w:rsidRPr="003A0655">
              <w:t xml:space="preserve"> </w:t>
            </w:r>
          </w:p>
          <w:p w14:paraId="08D017C0" w14:textId="080E8A88" w:rsidR="008F611A" w:rsidRPr="003A0655" w:rsidRDefault="008F611A" w:rsidP="008F611A">
            <w:pPr>
              <w:pStyle w:val="AText0"/>
            </w:pPr>
            <w:bookmarkStart w:id="3" w:name="DistributionDate"/>
            <w:r w:rsidRPr="003A0655">
              <w:t xml:space="preserve">12 novembre 2025 </w:t>
            </w:r>
            <w:bookmarkEnd w:id="3"/>
            <w:r w:rsidRPr="003A0655">
              <w:t xml:space="preserve"> </w:t>
            </w:r>
          </w:p>
          <w:p w14:paraId="1EB8328E" w14:textId="7F49BF20" w:rsidR="008F611A" w:rsidRPr="003A0655" w:rsidRDefault="008F611A" w:rsidP="008F611A">
            <w:pPr>
              <w:pStyle w:val="AText"/>
            </w:pPr>
            <w:bookmarkStart w:id="4" w:name="DistributionLang"/>
            <w:r w:rsidRPr="003A0655">
              <w:t xml:space="preserve">Français </w:t>
            </w:r>
            <w:r w:rsidRPr="003A0655">
              <w:br/>
              <w:t>Original</w:t>
            </w:r>
            <w:r w:rsidR="000B3BB8" w:rsidRPr="003A0655">
              <w:t> </w:t>
            </w:r>
            <w:r w:rsidRPr="003A0655">
              <w:t>: anglais</w:t>
            </w:r>
            <w:bookmarkEnd w:id="4"/>
          </w:p>
        </w:tc>
      </w:tr>
    </w:tbl>
    <w:p w14:paraId="44403490" w14:textId="77777777" w:rsidR="008F611A" w:rsidRPr="003A0655" w:rsidRDefault="008F611A" w:rsidP="008F611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8F611A" w:rsidRPr="003A0655" w14:paraId="4FE1C7B6" w14:textId="77777777" w:rsidTr="008F611A">
        <w:trPr>
          <w:trHeight w:val="57"/>
        </w:trPr>
        <w:tc>
          <w:tcPr>
            <w:tcW w:w="5301" w:type="dxa"/>
          </w:tcPr>
          <w:p w14:paraId="00494220" w14:textId="29C7C0F0" w:rsidR="008F611A" w:rsidRPr="003A0655" w:rsidRDefault="008F611A" w:rsidP="008F611A">
            <w:pPr>
              <w:pStyle w:val="AATitle"/>
            </w:pPr>
            <w:bookmarkStart w:id="5" w:name="CorNot1Text"/>
            <w:r w:rsidRPr="003A0655">
              <w:t xml:space="preserve">Trente-septième Réunion des Parties au </w:t>
            </w:r>
            <w:r w:rsidRPr="003A0655">
              <w:br/>
              <w:t xml:space="preserve">Protocole de Montréal relatif à des substances </w:t>
            </w:r>
            <w:r w:rsidRPr="003A0655">
              <w:br/>
              <w:t>qui appauvrissent la couche d</w:t>
            </w:r>
            <w:r w:rsidR="000B3BB8" w:rsidRPr="003A0655">
              <w:t>’</w:t>
            </w:r>
            <w:r w:rsidRPr="003A0655">
              <w:t>ozone</w:t>
            </w:r>
            <w:bookmarkEnd w:id="5"/>
            <w:r w:rsidRPr="003A0655">
              <w:t xml:space="preserve"> </w:t>
            </w:r>
          </w:p>
          <w:p w14:paraId="550116B3" w14:textId="1403B959" w:rsidR="008F611A" w:rsidRPr="003A0655" w:rsidRDefault="008F611A" w:rsidP="008F611A">
            <w:pPr>
              <w:pStyle w:val="AATitle1"/>
            </w:pPr>
            <w:bookmarkStart w:id="6" w:name="CorNot1VenueDate"/>
            <w:r w:rsidRPr="003A0655">
              <w:t>Nairobi, 3-7 novembre 2025</w:t>
            </w:r>
            <w:bookmarkEnd w:id="6"/>
            <w:r w:rsidRPr="003A0655">
              <w:t xml:space="preserve">  </w:t>
            </w:r>
          </w:p>
        </w:tc>
        <w:tc>
          <w:tcPr>
            <w:tcW w:w="4195" w:type="dxa"/>
          </w:tcPr>
          <w:p w14:paraId="25D0A1F4" w14:textId="77777777" w:rsidR="008F611A" w:rsidRPr="003A0655" w:rsidRDefault="008F611A" w:rsidP="008F611A">
            <w:pPr>
              <w:pStyle w:val="Normal-pool"/>
            </w:pPr>
          </w:p>
        </w:tc>
      </w:tr>
    </w:tbl>
    <w:p w14:paraId="656F2627" w14:textId="3C2167DF" w:rsidR="00716B27" w:rsidRPr="003A0655" w:rsidRDefault="009526FF" w:rsidP="008F611A">
      <w:pPr>
        <w:pStyle w:val="BBTitle"/>
        <w:tabs>
          <w:tab w:val="left" w:pos="4990"/>
        </w:tabs>
        <w:rPr>
          <w:rFonts w:eastAsiaTheme="minorEastAsia"/>
          <w:bCs/>
        </w:rPr>
      </w:pPr>
      <w:r w:rsidRPr="003A0655">
        <w:rPr>
          <w:bCs/>
        </w:rPr>
        <w:t xml:space="preserve">Rapport </w:t>
      </w:r>
      <w:r w:rsidR="00716B27" w:rsidRPr="003A0655">
        <w:rPr>
          <w:bCs/>
        </w:rPr>
        <w:t>de la trente-septième</w:t>
      </w:r>
      <w:r w:rsidR="007C3CFA" w:rsidRPr="003A0655">
        <w:rPr>
          <w:bCs/>
        </w:rPr>
        <w:t> </w:t>
      </w:r>
      <w:r w:rsidR="00716B27" w:rsidRPr="003A0655">
        <w:rPr>
          <w:bCs/>
        </w:rPr>
        <w:t xml:space="preserve">Réunion </w:t>
      </w:r>
      <w:r w:rsidR="00716B27" w:rsidRPr="003A0655">
        <w:rPr>
          <w:rFonts w:eastAsiaTheme="minorEastAsia"/>
          <w:bCs/>
          <w:lang w:eastAsia="en-US"/>
        </w:rPr>
        <w:t>des</w:t>
      </w:r>
      <w:r w:rsidR="00716B27" w:rsidRPr="003A0655">
        <w:rPr>
          <w:bCs/>
        </w:rPr>
        <w:t xml:space="preserve"> Parties au</w:t>
      </w:r>
      <w:r w:rsidR="007C3CFA" w:rsidRPr="003A0655">
        <w:rPr>
          <w:bCs/>
        </w:rPr>
        <w:t> </w:t>
      </w:r>
      <w:r w:rsidR="00716B27" w:rsidRPr="003A0655">
        <w:rPr>
          <w:bCs/>
        </w:rPr>
        <w:t>Protocole de</w:t>
      </w:r>
      <w:r w:rsidR="007C3CFA" w:rsidRPr="003A0655">
        <w:rPr>
          <w:bCs/>
        </w:rPr>
        <w:t> </w:t>
      </w:r>
      <w:r w:rsidR="00716B27" w:rsidRPr="003A0655">
        <w:rPr>
          <w:bCs/>
        </w:rPr>
        <w:t>Montréal relatif à des substances qui</w:t>
      </w:r>
      <w:r w:rsidR="005627F6" w:rsidRPr="003A0655">
        <w:rPr>
          <w:bCs/>
        </w:rPr>
        <w:t> </w:t>
      </w:r>
      <w:r w:rsidR="00716B27" w:rsidRPr="003A0655">
        <w:rPr>
          <w:bCs/>
        </w:rPr>
        <w:t>appauvrissent la couche d</w:t>
      </w:r>
      <w:r w:rsidR="000B3BB8" w:rsidRPr="003A0655">
        <w:rPr>
          <w:bCs/>
        </w:rPr>
        <w:t>’</w:t>
      </w:r>
      <w:r w:rsidR="00716B27" w:rsidRPr="003A0655">
        <w:rPr>
          <w:bCs/>
        </w:rPr>
        <w:t>ozone</w:t>
      </w:r>
    </w:p>
    <w:p w14:paraId="7417967C" w14:textId="77777777" w:rsidR="00716B27" w:rsidRPr="003A0655" w:rsidRDefault="00716B27" w:rsidP="00716B27">
      <w:pPr>
        <w:pStyle w:val="CH1"/>
        <w:rPr>
          <w:rFonts w:eastAsiaTheme="minorEastAsia"/>
        </w:rPr>
      </w:pPr>
      <w:r w:rsidRPr="003A0655">
        <w:tab/>
      </w:r>
      <w:r w:rsidRPr="003A0655">
        <w:tab/>
      </w:r>
      <w:r w:rsidRPr="003A0655">
        <w:rPr>
          <w:bCs/>
        </w:rPr>
        <w:t>Introduction</w:t>
      </w:r>
    </w:p>
    <w:p w14:paraId="47F4F79A" w14:textId="1D4671B2" w:rsidR="00F978AD" w:rsidRPr="003A0655" w:rsidRDefault="00F978AD" w:rsidP="00AB635F">
      <w:pPr>
        <w:pStyle w:val="Normalnumber"/>
        <w:tabs>
          <w:tab w:val="clear" w:pos="1247"/>
        </w:tabs>
      </w:pPr>
      <w:r w:rsidRPr="003A0655">
        <w:t>La trente-septième</w:t>
      </w:r>
      <w:r w:rsidR="00A461DE" w:rsidRPr="003A0655">
        <w:t> </w:t>
      </w:r>
      <w:r w:rsidRPr="003A0655">
        <w:t>Réunion des Parties au Protocole de</w:t>
      </w:r>
      <w:r w:rsidR="00A461DE" w:rsidRPr="003A0655">
        <w:t> </w:t>
      </w:r>
      <w:r w:rsidRPr="003A0655">
        <w:t>Montréal relatif à des substances qui appauvrissent la couche d</w:t>
      </w:r>
      <w:r w:rsidR="000B3BB8" w:rsidRPr="003A0655">
        <w:t>’</w:t>
      </w:r>
      <w:r w:rsidRPr="003A0655">
        <w:t>ozone s</w:t>
      </w:r>
      <w:r w:rsidR="000B3BB8" w:rsidRPr="003A0655">
        <w:t>’</w:t>
      </w:r>
      <w:r w:rsidRPr="003A0655">
        <w:t>est tenue au siège du Programme des Nations</w:t>
      </w:r>
      <w:r w:rsidR="00C876C2" w:rsidRPr="003A0655">
        <w:t> </w:t>
      </w:r>
      <w:r w:rsidRPr="003A0655">
        <w:t>Unies pour l</w:t>
      </w:r>
      <w:r w:rsidR="000B3BB8" w:rsidRPr="003A0655">
        <w:t>’</w:t>
      </w:r>
      <w:r w:rsidRPr="003A0655">
        <w:t>environnement (PNUE) du 3</w:t>
      </w:r>
      <w:r w:rsidR="003D7038" w:rsidRPr="003A0655">
        <w:t xml:space="preserve"> </w:t>
      </w:r>
      <w:r w:rsidRPr="003A0655">
        <w:t>au 7</w:t>
      </w:r>
      <w:r w:rsidR="003D7038" w:rsidRPr="003A0655">
        <w:t> </w:t>
      </w:r>
      <w:r w:rsidRPr="003A0655">
        <w:t>novembre 2025.</w:t>
      </w:r>
    </w:p>
    <w:p w14:paraId="1BCB9FCC" w14:textId="2C63FC1C" w:rsidR="00C20895" w:rsidRPr="003A0655" w:rsidRDefault="00C20895" w:rsidP="005D30C7">
      <w:pPr>
        <w:pStyle w:val="CH1"/>
        <w:keepNext w:val="0"/>
        <w:keepLines w:val="0"/>
        <w:spacing w:before="180"/>
      </w:pPr>
      <w:r w:rsidRPr="003A0655">
        <w:tab/>
      </w:r>
      <w:r w:rsidRPr="003A0655">
        <w:tab/>
      </w:r>
      <w:r w:rsidRPr="003A0655">
        <w:rPr>
          <w:bCs/>
        </w:rPr>
        <w:t>Première partie</w:t>
      </w:r>
      <w:r w:rsidR="00E35240" w:rsidRPr="003A0655">
        <w:rPr>
          <w:bCs/>
        </w:rPr>
        <w:t> </w:t>
      </w:r>
      <w:r w:rsidRPr="003A0655">
        <w:rPr>
          <w:bCs/>
        </w:rPr>
        <w:t>: débat préparatoire (3-5</w:t>
      </w:r>
      <w:r w:rsidR="00A461DE" w:rsidRPr="003A0655">
        <w:rPr>
          <w:bCs/>
        </w:rPr>
        <w:t> </w:t>
      </w:r>
      <w:r w:rsidRPr="003A0655">
        <w:rPr>
          <w:bCs/>
        </w:rPr>
        <w:t>novembre 2025)</w:t>
      </w:r>
    </w:p>
    <w:p w14:paraId="6DBE0835" w14:textId="61C3F52E" w:rsidR="00C20895" w:rsidRPr="003A0655" w:rsidRDefault="008E258D" w:rsidP="005D30C7">
      <w:pPr>
        <w:pStyle w:val="CH1"/>
        <w:keepNext w:val="0"/>
        <w:keepLines w:val="0"/>
      </w:pPr>
      <w:r w:rsidRPr="003A0655">
        <w:rPr>
          <w:bCs/>
        </w:rPr>
        <w:tab/>
      </w:r>
      <w:r w:rsidR="005D30C7" w:rsidRPr="003A0655">
        <w:rPr>
          <w:bCs/>
        </w:rPr>
        <w:t>I.</w:t>
      </w:r>
      <w:r w:rsidR="005D30C7" w:rsidRPr="003A0655">
        <w:tab/>
      </w:r>
      <w:r w:rsidR="005D30C7" w:rsidRPr="003A0655">
        <w:rPr>
          <w:bCs/>
        </w:rPr>
        <w:t>Ouverture du débat préparatoire</w:t>
      </w:r>
    </w:p>
    <w:p w14:paraId="2E4DD4D0" w14:textId="1EC5FF75" w:rsidR="00F978AD" w:rsidRPr="003A0655" w:rsidRDefault="00F978AD" w:rsidP="00AB635F">
      <w:pPr>
        <w:pStyle w:val="Normalnumber"/>
        <w:tabs>
          <w:tab w:val="clear" w:pos="1247"/>
        </w:tabs>
      </w:pPr>
      <w:r w:rsidRPr="003A0655">
        <w:t>Le débat préparatoire a été ouvert par ses Coprésidentes, Annie</w:t>
      </w:r>
      <w:r w:rsidR="00A461DE" w:rsidRPr="003A0655">
        <w:t> </w:t>
      </w:r>
      <w:r w:rsidRPr="003A0655">
        <w:t>Gabriel (Australie) et Shontelle</w:t>
      </w:r>
      <w:r w:rsidR="00A461DE" w:rsidRPr="003A0655">
        <w:t> </w:t>
      </w:r>
      <w:r w:rsidRPr="003A0655">
        <w:t>Wellington (Barbade), à 10</w:t>
      </w:r>
      <w:r w:rsidR="00F436AF" w:rsidRPr="003A0655">
        <w:t> </w:t>
      </w:r>
      <w:r w:rsidRPr="003A0655">
        <w:t>h</w:t>
      </w:r>
      <w:r w:rsidR="00F436AF" w:rsidRPr="003A0655">
        <w:t> </w:t>
      </w:r>
      <w:r w:rsidRPr="003A0655">
        <w:t>05, le lundi 3</w:t>
      </w:r>
      <w:r w:rsidR="00A461DE" w:rsidRPr="003A0655">
        <w:t> </w:t>
      </w:r>
      <w:r w:rsidRPr="003A0655">
        <w:t>novembre 2025. Une déclaration liminaire a été prononcée par Megumi</w:t>
      </w:r>
      <w:r w:rsidR="00A461DE" w:rsidRPr="003A0655">
        <w:t> </w:t>
      </w:r>
      <w:r w:rsidRPr="003A0655">
        <w:t>Seki, Secrétaire</w:t>
      </w:r>
      <w:r w:rsidR="00A461DE" w:rsidRPr="003A0655">
        <w:t> </w:t>
      </w:r>
      <w:r w:rsidRPr="003A0655">
        <w:t>exécutive du Secrétariat de l</w:t>
      </w:r>
      <w:r w:rsidR="000B3BB8" w:rsidRPr="003A0655">
        <w:t>’</w:t>
      </w:r>
      <w:r w:rsidRPr="003A0655">
        <w:t>ozone.</w:t>
      </w:r>
    </w:p>
    <w:p w14:paraId="7AE9F744" w14:textId="55A46CAE" w:rsidR="00F978AD" w:rsidRPr="003A0655" w:rsidRDefault="00F978AD" w:rsidP="00AB635F">
      <w:pPr>
        <w:pStyle w:val="Normalnumber"/>
        <w:tabs>
          <w:tab w:val="clear" w:pos="1247"/>
        </w:tabs>
      </w:pPr>
      <w:r w:rsidRPr="003A0655">
        <w:t>Souhaitant la bienvenue aux participant</w:t>
      </w:r>
      <w:r w:rsidR="00DE5F08" w:rsidRPr="003A0655">
        <w:t>(e)</w:t>
      </w:r>
      <w:r w:rsidRPr="003A0655">
        <w:t>s, Mme</w:t>
      </w:r>
      <w:r w:rsidRPr="003A0655">
        <w:rPr>
          <w:vertAlign w:val="superscript"/>
        </w:rPr>
        <w:t xml:space="preserve"> </w:t>
      </w:r>
      <w:r w:rsidRPr="003A0655">
        <w:t xml:space="preserve">Seki les a </w:t>
      </w:r>
      <w:proofErr w:type="gramStart"/>
      <w:r w:rsidRPr="003A0655">
        <w:t>invité</w:t>
      </w:r>
      <w:proofErr w:type="gramEnd"/>
      <w:r w:rsidR="00DE5F08" w:rsidRPr="003A0655">
        <w:t>(e)</w:t>
      </w:r>
      <w:r w:rsidRPr="003A0655">
        <w:t xml:space="preserve">s à observer une minute de silence à la mémoire de Cornelius Rhein (Union européenne), décédé </w:t>
      </w:r>
      <w:r w:rsidR="00CA3F7F" w:rsidRPr="003A0655">
        <w:t xml:space="preserve">soudainement </w:t>
      </w:r>
      <w:r w:rsidRPr="003A0655">
        <w:t xml:space="preserve">quelques jours </w:t>
      </w:r>
      <w:r w:rsidR="00DE5F08" w:rsidRPr="003A0655">
        <w:t>auparavant</w:t>
      </w:r>
      <w:r w:rsidRPr="003A0655">
        <w:t>. Une</w:t>
      </w:r>
      <w:r w:rsidR="00A461DE" w:rsidRPr="003A0655">
        <w:t> </w:t>
      </w:r>
      <w:r w:rsidRPr="003A0655">
        <w:t>minute de silence a donc été observée. Rendant hommage à M. Rhein, M</w:t>
      </w:r>
      <w:r w:rsidR="00681D7F" w:rsidRPr="003A0655">
        <w:t>me</w:t>
      </w:r>
      <w:r w:rsidRPr="003A0655">
        <w:t xml:space="preserve"> Seki a déclaré qu</w:t>
      </w:r>
      <w:r w:rsidR="000B3BB8" w:rsidRPr="003A0655">
        <w:t>’</w:t>
      </w:r>
      <w:r w:rsidRPr="003A0655">
        <w:t xml:space="preserve">il </w:t>
      </w:r>
      <w:r w:rsidR="00DE5F08" w:rsidRPr="003A0655">
        <w:t xml:space="preserve">avait été </w:t>
      </w:r>
      <w:r w:rsidRPr="003A0655">
        <w:t>admiré pour son professionnalisme, son enthousiasme et son engagement inébranlable en faveur de la protection de la couche d</w:t>
      </w:r>
      <w:r w:rsidR="000B3BB8" w:rsidRPr="003A0655">
        <w:t>’</w:t>
      </w:r>
      <w:r w:rsidRPr="003A0655">
        <w:t>ozone et de l</w:t>
      </w:r>
      <w:r w:rsidR="000B3BB8" w:rsidRPr="003A0655">
        <w:t>’</w:t>
      </w:r>
      <w:r w:rsidRPr="003A0655">
        <w:t>environnement. Il avait notamment joué un rôle clé dans le processus du Protocole de</w:t>
      </w:r>
      <w:r w:rsidR="00A461DE" w:rsidRPr="003A0655">
        <w:t> </w:t>
      </w:r>
      <w:r w:rsidRPr="003A0655">
        <w:t>Montréal et dans les négociations et la mise en œuvre de l</w:t>
      </w:r>
      <w:r w:rsidR="000B3BB8" w:rsidRPr="003A0655">
        <w:t>’</w:t>
      </w:r>
      <w:r w:rsidRPr="003A0655">
        <w:t>Amendement de</w:t>
      </w:r>
      <w:r w:rsidR="00A461DE" w:rsidRPr="003A0655">
        <w:t> </w:t>
      </w:r>
      <w:r w:rsidRPr="003A0655">
        <w:t>Kigali</w:t>
      </w:r>
      <w:r w:rsidR="00E148D8" w:rsidRPr="003A0655">
        <w:t xml:space="preserve"> au Protocole</w:t>
      </w:r>
      <w:r w:rsidRPr="003A0655">
        <w:t>, participé au Comité d</w:t>
      </w:r>
      <w:r w:rsidR="000B3BB8" w:rsidRPr="003A0655">
        <w:t>’</w:t>
      </w:r>
      <w:r w:rsidRPr="003A0655">
        <w:t>application de la procédure applicable en cas de non-respect du Protocole de</w:t>
      </w:r>
      <w:r w:rsidR="00906B5B" w:rsidRPr="003A0655">
        <w:t> </w:t>
      </w:r>
      <w:r w:rsidRPr="003A0655">
        <w:t>Montréal et été membre du comité directeur du projet pilote financé par l</w:t>
      </w:r>
      <w:r w:rsidR="000B3BB8" w:rsidRPr="003A0655">
        <w:t>’</w:t>
      </w:r>
      <w:r w:rsidRPr="003A0655">
        <w:t>Union européenne sur la quantification au niveau régional des émissions de substances réglementées par le Protocole.</w:t>
      </w:r>
    </w:p>
    <w:p w14:paraId="7CBFE562" w14:textId="54D02F35" w:rsidR="00F978AD" w:rsidRPr="003A0655" w:rsidRDefault="00F978AD" w:rsidP="00AB635F">
      <w:pPr>
        <w:pStyle w:val="Normalnumber"/>
        <w:tabs>
          <w:tab w:val="clear" w:pos="1247"/>
        </w:tabs>
      </w:pPr>
      <w:r w:rsidRPr="003A0655">
        <w:t>En ce qui concernait les travaux de la réunion en cours, Mme Seki a déclaré qu</w:t>
      </w:r>
      <w:r w:rsidR="000B3BB8" w:rsidRPr="003A0655">
        <w:t>’</w:t>
      </w:r>
      <w:r w:rsidRPr="003A0655">
        <w:t>un certain nombre de questions clés devaient être abordées, notamment le cadre de l</w:t>
      </w:r>
      <w:r w:rsidR="000B3BB8" w:rsidRPr="003A0655">
        <w:t>’</w:t>
      </w:r>
      <w:r w:rsidRPr="003A0655">
        <w:t>étude sur la reconstitution des ressources du Fonds multilatéral aux fins d</w:t>
      </w:r>
      <w:r w:rsidR="000B3BB8" w:rsidRPr="003A0655">
        <w:t>’</w:t>
      </w:r>
      <w:r w:rsidRPr="003A0655">
        <w:t>application du Protocole de</w:t>
      </w:r>
      <w:r w:rsidR="00906B5B" w:rsidRPr="003A0655">
        <w:t> </w:t>
      </w:r>
      <w:r w:rsidRPr="003A0655">
        <w:t>Montréal pour la période</w:t>
      </w:r>
      <w:r w:rsidR="00792458" w:rsidRPr="003A0655">
        <w:t> </w:t>
      </w:r>
      <w:r w:rsidRPr="003A0655">
        <w:t>2027-2029, les utilisations de substances réglementées comme produits intermédiaires, le</w:t>
      </w:r>
      <w:r w:rsidR="00857949" w:rsidRPr="003A0655">
        <w:t> </w:t>
      </w:r>
      <w:r w:rsidRPr="003A0655">
        <w:t>halon 1301 et la persistance de son utilisation dans l</w:t>
      </w:r>
      <w:r w:rsidR="000B3BB8" w:rsidRPr="003A0655">
        <w:t>’</w:t>
      </w:r>
      <w:r w:rsidRPr="003A0655">
        <w:t>industrie aéronautique, ainsi que les initiatives nationales et régionales à l</w:t>
      </w:r>
      <w:r w:rsidR="000B3BB8" w:rsidRPr="003A0655">
        <w:t>’</w:t>
      </w:r>
      <w:r w:rsidRPr="003A0655">
        <w:t>appui de la mise en œuvre de l</w:t>
      </w:r>
      <w:r w:rsidR="000B3BB8" w:rsidRPr="003A0655">
        <w:t>’</w:t>
      </w:r>
      <w:r w:rsidRPr="003A0655">
        <w:t>Amendement de</w:t>
      </w:r>
      <w:r w:rsidR="00906B5B" w:rsidRPr="003A0655">
        <w:t> </w:t>
      </w:r>
      <w:r w:rsidRPr="003A0655">
        <w:t>Kigali au Protocole. Au</w:t>
      </w:r>
      <w:r w:rsidR="00857949" w:rsidRPr="003A0655">
        <w:t> </w:t>
      </w:r>
      <w:r w:rsidRPr="003A0655">
        <w:t>cours de la réunion informelle d</w:t>
      </w:r>
      <w:r w:rsidR="000B3BB8" w:rsidRPr="003A0655">
        <w:t>’</w:t>
      </w:r>
      <w:r w:rsidRPr="003A0655">
        <w:t>une journée qui s</w:t>
      </w:r>
      <w:r w:rsidR="000B3BB8" w:rsidRPr="003A0655">
        <w:t>’</w:t>
      </w:r>
      <w:r w:rsidR="00CA3F7F" w:rsidRPr="003A0655">
        <w:t>était</w:t>
      </w:r>
      <w:r w:rsidRPr="003A0655">
        <w:t xml:space="preserve"> tenue la veille, les participant</w:t>
      </w:r>
      <w:r w:rsidR="00DE5F08" w:rsidRPr="003A0655">
        <w:t>(e)</w:t>
      </w:r>
      <w:r w:rsidRPr="003A0655">
        <w:t xml:space="preserve">s </w:t>
      </w:r>
      <w:r w:rsidR="00CA3F7F" w:rsidRPr="003A0655">
        <w:t>avaient</w:t>
      </w:r>
      <w:r w:rsidRPr="003A0655">
        <w:t xml:space="preserve"> débattu des moyens de renforcer le Protocole. L</w:t>
      </w:r>
      <w:r w:rsidR="000B3BB8" w:rsidRPr="003A0655">
        <w:t>’</w:t>
      </w:r>
      <w:r w:rsidRPr="003A0655">
        <w:t xml:space="preserve">oratrice a dit espérer que le dialogue avait été </w:t>
      </w:r>
      <w:r w:rsidR="00CA3F7F" w:rsidRPr="003A0655">
        <w:t>productif</w:t>
      </w:r>
      <w:r w:rsidRPr="003A0655">
        <w:t xml:space="preserve"> et qu</w:t>
      </w:r>
      <w:r w:rsidR="000B3BB8" w:rsidRPr="003A0655">
        <w:t>’</w:t>
      </w:r>
      <w:r w:rsidRPr="003A0655">
        <w:t xml:space="preserve">il se traduirait par </w:t>
      </w:r>
      <w:r w:rsidR="00CA3F7F" w:rsidRPr="003A0655">
        <w:t xml:space="preserve">la prise </w:t>
      </w:r>
      <w:r w:rsidRPr="003A0655">
        <w:t>de mesures concrètes lors de la réunion en cours.</w:t>
      </w:r>
    </w:p>
    <w:p w14:paraId="68CFE034" w14:textId="71C5A24D" w:rsidR="00F978AD" w:rsidRPr="003A0655" w:rsidRDefault="00F978AD" w:rsidP="00E86016">
      <w:pPr>
        <w:pStyle w:val="Normalnumber"/>
        <w:keepNext/>
        <w:keepLines/>
        <w:tabs>
          <w:tab w:val="clear" w:pos="1247"/>
        </w:tabs>
      </w:pPr>
      <w:r w:rsidRPr="003A0655">
        <w:lastRenderedPageBreak/>
        <w:t>L</w:t>
      </w:r>
      <w:r w:rsidR="000B3BB8" w:rsidRPr="003A0655">
        <w:t>’</w:t>
      </w:r>
      <w:r w:rsidRPr="003A0655">
        <w:t>oratrice a rappelé que, à la quarante-septième</w:t>
      </w:r>
      <w:r w:rsidR="003274D3" w:rsidRPr="003A0655">
        <w:t> </w:t>
      </w:r>
      <w:r w:rsidRPr="003A0655">
        <w:t>réunion du Groupe de travail à composition non limitée des Parties au Protocole de</w:t>
      </w:r>
      <w:r w:rsidR="00906B5B" w:rsidRPr="003A0655">
        <w:t> </w:t>
      </w:r>
      <w:r w:rsidRPr="003A0655">
        <w:t>Montréal relatif à des substances qui appauvrissent l</w:t>
      </w:r>
      <w:r w:rsidR="000B3BB8" w:rsidRPr="003A0655">
        <w:t>’</w:t>
      </w:r>
      <w:r w:rsidRPr="003A0655">
        <w:t>ozone, qui</w:t>
      </w:r>
      <w:r w:rsidR="008A6635" w:rsidRPr="003A0655">
        <w:t> </w:t>
      </w:r>
      <w:r w:rsidRPr="003A0655">
        <w:t>s</w:t>
      </w:r>
      <w:r w:rsidR="000B3BB8" w:rsidRPr="003A0655">
        <w:t>’</w:t>
      </w:r>
      <w:r w:rsidR="00CA3F7F" w:rsidRPr="003A0655">
        <w:t>était</w:t>
      </w:r>
      <w:r w:rsidRPr="003A0655">
        <w:t xml:space="preserve"> tenue à Bangkok en juillet 2025, le Coprésident du Comité</w:t>
      </w:r>
      <w:r w:rsidR="00302A81" w:rsidRPr="003A0655">
        <w:t> </w:t>
      </w:r>
      <w:r w:rsidRPr="003A0655">
        <w:t>consultatif du fonds d</w:t>
      </w:r>
      <w:r w:rsidR="000B3BB8" w:rsidRPr="003A0655">
        <w:t>’</w:t>
      </w:r>
      <w:r w:rsidRPr="003A0655">
        <w:t>affectation spéciale général destiné à financer des activités de recherche et d</w:t>
      </w:r>
      <w:r w:rsidR="000B3BB8" w:rsidRPr="003A0655">
        <w:t>’</w:t>
      </w:r>
      <w:r w:rsidRPr="003A0655">
        <w:t>observations systématiques au titre de la Convention de</w:t>
      </w:r>
      <w:r w:rsidR="00906B5B" w:rsidRPr="003A0655">
        <w:t> </w:t>
      </w:r>
      <w:r w:rsidRPr="003A0655">
        <w:t xml:space="preserve">Vienne </w:t>
      </w:r>
      <w:r w:rsidR="00E148D8" w:rsidRPr="003A0655">
        <w:t>pour la protection de la couche d</w:t>
      </w:r>
      <w:r w:rsidR="000B3BB8" w:rsidRPr="003A0655">
        <w:t>’</w:t>
      </w:r>
      <w:r w:rsidR="00E148D8" w:rsidRPr="003A0655">
        <w:t xml:space="preserve">ozone </w:t>
      </w:r>
      <w:r w:rsidRPr="003A0655">
        <w:t>avait présenté un exposé sur la surveillance atmosphérique des substances réglementées et que le Secrétariat avait rendu compte des progrès accomplis dans la mise en œuvre des activités connexes. Des nouvelles informations à jour seraient fournies lors de la réunion en cours sur les activités visant à évaluer l</w:t>
      </w:r>
      <w:r w:rsidR="000B3BB8" w:rsidRPr="003A0655">
        <w:t>’</w:t>
      </w:r>
      <w:r w:rsidRPr="003A0655">
        <w:t>adéquation des emplacements potentiels pour la mise en place d</w:t>
      </w:r>
      <w:r w:rsidR="000B3BB8" w:rsidRPr="003A0655">
        <w:t>’</w:t>
      </w:r>
      <w:r w:rsidRPr="003A0655">
        <w:t>une surveillance régionale des émissions de substances réglementées et à affiner les prévisions de dépenses associées à la mise en place de stations de surveillance. Le Groupe de l</w:t>
      </w:r>
      <w:r w:rsidR="000B3BB8" w:rsidRPr="003A0655">
        <w:t>’</w:t>
      </w:r>
      <w:r w:rsidRPr="003A0655">
        <w:t>évaluation scientifique et le Groupe de l</w:t>
      </w:r>
      <w:r w:rsidR="000B3BB8" w:rsidRPr="003A0655">
        <w:t>’</w:t>
      </w:r>
      <w:r w:rsidRPr="003A0655">
        <w:t>évaluation technique et économique présenteraient leurs rapports actualisés sur les émissions d</w:t>
      </w:r>
      <w:r w:rsidR="000B3BB8" w:rsidRPr="003A0655">
        <w:t>’</w:t>
      </w:r>
      <w:proofErr w:type="spellStart"/>
      <w:r w:rsidRPr="003A0655">
        <w:t>hydrofluorocarbone</w:t>
      </w:r>
      <w:proofErr w:type="spellEnd"/>
      <w:r w:rsidR="00D40A5C" w:rsidRPr="003A0655">
        <w:t> </w:t>
      </w:r>
      <w:r w:rsidRPr="003A0655">
        <w:t>23 (HFC</w:t>
      </w:r>
      <w:r w:rsidR="000B3BB8" w:rsidRPr="003A0655">
        <w:noBreakHyphen/>
      </w:r>
      <w:r w:rsidRPr="003A0655">
        <w:t xml:space="preserve">23), </w:t>
      </w:r>
      <w:r w:rsidR="00CA3F7F" w:rsidRPr="003A0655">
        <w:t>qui permettraient</w:t>
      </w:r>
      <w:r w:rsidRPr="003A0655">
        <w:t xml:space="preserve"> de démontrer la </w:t>
      </w:r>
      <w:r w:rsidR="00DE5F08" w:rsidRPr="003A0655">
        <w:t xml:space="preserve">réactivité </w:t>
      </w:r>
      <w:r w:rsidRPr="003A0655">
        <w:t xml:space="preserve">du Protocole </w:t>
      </w:r>
      <w:r w:rsidR="00DE5F08" w:rsidRPr="003A0655">
        <w:t>face</w:t>
      </w:r>
      <w:r w:rsidRPr="003A0655">
        <w:t xml:space="preserve"> aux nouvelles menaces. La science restait la pierre angulaire du Protocole, et si les lacunes en matière de surveillance atmosphérique pouvaient être comblées, cela constituerait une étape essentielle dans le renforcement du Protocole et de la Convention de</w:t>
      </w:r>
      <w:r w:rsidR="003534AB" w:rsidRPr="003A0655">
        <w:t> </w:t>
      </w:r>
      <w:r w:rsidRPr="003A0655">
        <w:t>Vienne.</w:t>
      </w:r>
    </w:p>
    <w:p w14:paraId="09D9119F" w14:textId="5AA15B25" w:rsidR="00F978AD" w:rsidRPr="003A0655" w:rsidRDefault="00F978AD" w:rsidP="00AB635F">
      <w:pPr>
        <w:pStyle w:val="Normalnumber"/>
        <w:tabs>
          <w:tab w:val="clear" w:pos="1247"/>
        </w:tabs>
      </w:pPr>
      <w:r w:rsidRPr="003A0655">
        <w:t>Enfin, compte tenu de l</w:t>
      </w:r>
      <w:r w:rsidR="000B3BB8" w:rsidRPr="003A0655">
        <w:t>’</w:t>
      </w:r>
      <w:r w:rsidRPr="003A0655">
        <w:t>évolution du climat géopolitique, des obstacles croissants au multilatéralisme, d</w:t>
      </w:r>
      <w:r w:rsidR="00CA3F7F" w:rsidRPr="003A0655">
        <w:t xml:space="preserve">es </w:t>
      </w:r>
      <w:r w:rsidRPr="003A0655">
        <w:t>incertitude</w:t>
      </w:r>
      <w:r w:rsidR="00CA3F7F" w:rsidRPr="003A0655">
        <w:t>s</w:t>
      </w:r>
      <w:r w:rsidRPr="003A0655">
        <w:t xml:space="preserve"> financière</w:t>
      </w:r>
      <w:r w:rsidR="00CA3F7F" w:rsidRPr="003A0655">
        <w:t>s</w:t>
      </w:r>
      <w:r w:rsidRPr="003A0655">
        <w:t xml:space="preserve"> et de l</w:t>
      </w:r>
      <w:r w:rsidR="000B3BB8" w:rsidRPr="003A0655">
        <w:t>’</w:t>
      </w:r>
      <w:r w:rsidRPr="003A0655">
        <w:t>évolution des priorités, l</w:t>
      </w:r>
      <w:r w:rsidR="000B3BB8" w:rsidRPr="003A0655">
        <w:t>’</w:t>
      </w:r>
      <w:r w:rsidR="00DE5F08" w:rsidRPr="003A0655">
        <w:t>ONU</w:t>
      </w:r>
      <w:r w:rsidRPr="003A0655">
        <w:t xml:space="preserve">, </w:t>
      </w:r>
      <w:r w:rsidR="009F58AD" w:rsidRPr="003A0655">
        <w:t>et notamment</w:t>
      </w:r>
      <w:r w:rsidRPr="003A0655">
        <w:t xml:space="preserve"> le PNUE, avait pris des mesures pour améliorer l</w:t>
      </w:r>
      <w:r w:rsidR="000B3BB8" w:rsidRPr="003A0655">
        <w:t>’</w:t>
      </w:r>
      <w:r w:rsidRPr="003A0655">
        <w:t>efficacité et réaffirmer la valeur du multilatéralisme. Le</w:t>
      </w:r>
      <w:r w:rsidR="00C03E1D" w:rsidRPr="003A0655">
        <w:t> </w:t>
      </w:r>
      <w:r w:rsidRPr="003A0655">
        <w:t xml:space="preserve">Secrétariat avait également </w:t>
      </w:r>
      <w:r w:rsidR="00CA3F7F" w:rsidRPr="003A0655">
        <w:t>fait en sorte d</w:t>
      </w:r>
      <w:r w:rsidR="000B3BB8" w:rsidRPr="003A0655">
        <w:t>’</w:t>
      </w:r>
      <w:r w:rsidRPr="003A0655">
        <w:t xml:space="preserve">économiser des fonds à chaque fois que possible, </w:t>
      </w:r>
      <w:r w:rsidR="00DE5F08" w:rsidRPr="003A0655">
        <w:t>redoublant d</w:t>
      </w:r>
      <w:r w:rsidR="000B3BB8" w:rsidRPr="003A0655">
        <w:t>’</w:t>
      </w:r>
      <w:r w:rsidR="00DE5F08" w:rsidRPr="003A0655">
        <w:t>efforts</w:t>
      </w:r>
      <w:r w:rsidRPr="003A0655">
        <w:t xml:space="preserve"> avec </w:t>
      </w:r>
      <w:r w:rsidR="00DE5F08" w:rsidRPr="003A0655">
        <w:t>des effectifs réduits</w:t>
      </w:r>
      <w:r w:rsidRPr="003A0655">
        <w:t>, pour garantir l</w:t>
      </w:r>
      <w:r w:rsidR="000B3BB8" w:rsidRPr="003A0655">
        <w:t>’</w:t>
      </w:r>
      <w:r w:rsidRPr="003A0655">
        <w:t>efficacité du Protocole de</w:t>
      </w:r>
      <w:r w:rsidR="003534AB" w:rsidRPr="003A0655">
        <w:t> </w:t>
      </w:r>
      <w:r w:rsidRPr="003A0655">
        <w:t>Montréal</w:t>
      </w:r>
      <w:r w:rsidR="00CA3F7F" w:rsidRPr="003A0655">
        <w:t>,</w:t>
      </w:r>
      <w:r w:rsidRPr="003A0655">
        <w:t xml:space="preserve"> un</w:t>
      </w:r>
      <w:r w:rsidR="00F82A56" w:rsidRPr="003A0655">
        <w:t> </w:t>
      </w:r>
      <w:r w:rsidRPr="003A0655">
        <w:t>traité qui représentait un</w:t>
      </w:r>
      <w:r w:rsidR="00404DB6" w:rsidRPr="003A0655">
        <w:t xml:space="preserve"> grand</w:t>
      </w:r>
      <w:r w:rsidRPr="003A0655">
        <w:t xml:space="preserve"> espoir et la preuve que la coopération mondiale fonctionnait.</w:t>
      </w:r>
    </w:p>
    <w:p w14:paraId="6785B55C" w14:textId="596A426A" w:rsidR="00C20895" w:rsidRPr="003A0655" w:rsidRDefault="008E258D" w:rsidP="005D30C7">
      <w:pPr>
        <w:pStyle w:val="CH1"/>
        <w:keepNext w:val="0"/>
        <w:keepLines w:val="0"/>
      </w:pPr>
      <w:r w:rsidRPr="003A0655">
        <w:rPr>
          <w:bCs/>
        </w:rPr>
        <w:tab/>
      </w:r>
      <w:r w:rsidR="005D30C7" w:rsidRPr="003A0655">
        <w:rPr>
          <w:bCs/>
        </w:rPr>
        <w:t>II.</w:t>
      </w:r>
      <w:r w:rsidR="005D30C7" w:rsidRPr="003A0655">
        <w:tab/>
      </w:r>
      <w:r w:rsidR="005D30C7" w:rsidRPr="003A0655">
        <w:rPr>
          <w:bCs/>
        </w:rPr>
        <w:t>Questions d</w:t>
      </w:r>
      <w:r w:rsidR="000B3BB8" w:rsidRPr="003A0655">
        <w:rPr>
          <w:bCs/>
        </w:rPr>
        <w:t>’</w:t>
      </w:r>
      <w:r w:rsidR="005D30C7" w:rsidRPr="003A0655">
        <w:rPr>
          <w:bCs/>
        </w:rPr>
        <w:t>organisation</w:t>
      </w:r>
    </w:p>
    <w:p w14:paraId="0F8B77E5" w14:textId="1DD32EFE" w:rsidR="00261D36" w:rsidRPr="003A0655" w:rsidRDefault="008E258D" w:rsidP="00AB635F">
      <w:pPr>
        <w:pStyle w:val="CH2"/>
      </w:pPr>
      <w:r w:rsidRPr="003A0655">
        <w:rPr>
          <w:bCs/>
        </w:rPr>
        <w:tab/>
      </w:r>
      <w:r w:rsidR="00B90544" w:rsidRPr="003A0655">
        <w:rPr>
          <w:bCs/>
        </w:rPr>
        <w:t>A.</w:t>
      </w:r>
      <w:r w:rsidR="00B90544" w:rsidRPr="003A0655">
        <w:tab/>
      </w:r>
      <w:r w:rsidR="00B90544" w:rsidRPr="003A0655">
        <w:rPr>
          <w:bCs/>
        </w:rPr>
        <w:t>Participation</w:t>
      </w:r>
    </w:p>
    <w:p w14:paraId="74834E20" w14:textId="3BFB8B7A" w:rsidR="00261D36" w:rsidRPr="003A0655" w:rsidRDefault="00261D36" w:rsidP="00AB635F">
      <w:pPr>
        <w:pStyle w:val="Normalnumber"/>
        <w:tabs>
          <w:tab w:val="clear" w:pos="1247"/>
        </w:tabs>
      </w:pPr>
      <w:r w:rsidRPr="003A0655">
        <w:t xml:space="preserve">Les Parties au Protocole de Montréal indiquées ci-après étaient représentées : </w:t>
      </w:r>
      <w:r w:rsidR="00374F7F" w:rsidRPr="003A0655">
        <w:t xml:space="preserve">Afrique du Sud, Albanie, Allemagne, Angola, Arabie saoudite, </w:t>
      </w:r>
      <w:r w:rsidR="00FD5A8E" w:rsidRPr="003A0655">
        <w:t xml:space="preserve">Argentine, Arménie, Australie, Autriche, Azerbaïdjan, Bahreïn, Bangladesh, Barbade, Belgique, Belize, Bénin, Bhoutan, Bosnie-Herzégovine, Botswana, Brésil, </w:t>
      </w:r>
      <w:r w:rsidR="00374F7F" w:rsidRPr="003A0655">
        <w:t>Brunei</w:t>
      </w:r>
      <w:r w:rsidR="00FD5A8E" w:rsidRPr="003A0655">
        <w:t xml:space="preserve"> Darussalam, Burkina Faso, Burundi, Cambodge, Cameroun, Canada, Chili, Chine, </w:t>
      </w:r>
      <w:r w:rsidR="00374F7F" w:rsidRPr="003A0655">
        <w:t xml:space="preserve">Chypre, </w:t>
      </w:r>
      <w:r w:rsidR="00FD5A8E" w:rsidRPr="003A0655">
        <w:t>Colombie, Comores, Costa Rica, Côte d</w:t>
      </w:r>
      <w:r w:rsidR="000B3BB8" w:rsidRPr="003A0655">
        <w:t>’</w:t>
      </w:r>
      <w:r w:rsidR="00FD5A8E" w:rsidRPr="003A0655">
        <w:t xml:space="preserve">Ivoire, Cuba, Danemark, Djibouti, Dominique, Égypte, El Salvador, </w:t>
      </w:r>
      <w:r w:rsidR="00374F7F" w:rsidRPr="003A0655">
        <w:t xml:space="preserve">Émirats arabes unis, Équateur, Estonie, Eswatini, État de Palestine, </w:t>
      </w:r>
      <w:r w:rsidR="006548F3" w:rsidRPr="003A0655">
        <w:br/>
      </w:r>
      <w:r w:rsidR="00374F7F" w:rsidRPr="003A0655">
        <w:t xml:space="preserve">États-Unis d’Amérique, Fédération de Russie, </w:t>
      </w:r>
      <w:r w:rsidR="00FD5A8E" w:rsidRPr="003A0655">
        <w:t xml:space="preserve">Fidji, Finlande, France, Gabon, Gambie, Géorgie, Ghana, Grenade, Guatemala, Guinée, Guinée-Bissau, Haïti, </w:t>
      </w:r>
      <w:r w:rsidR="00374F7F" w:rsidRPr="003A0655">
        <w:t xml:space="preserve">Îles Cook, Îles Salomon, </w:t>
      </w:r>
      <w:r w:rsidR="00FD5A8E" w:rsidRPr="003A0655">
        <w:t>Inde, Indonésie, Iran</w:t>
      </w:r>
      <w:r w:rsidR="006548F3" w:rsidRPr="003A0655">
        <w:t> </w:t>
      </w:r>
      <w:r w:rsidR="00FD5A8E" w:rsidRPr="003A0655">
        <w:t>(République</w:t>
      </w:r>
      <w:r w:rsidR="006548F3" w:rsidRPr="003A0655">
        <w:t> </w:t>
      </w:r>
      <w:r w:rsidR="00FD5A8E" w:rsidRPr="003A0655">
        <w:t>islamique d</w:t>
      </w:r>
      <w:r w:rsidR="000B3BB8" w:rsidRPr="003A0655">
        <w:t>’</w:t>
      </w:r>
      <w:r w:rsidR="00FD5A8E" w:rsidRPr="003A0655">
        <w:t xml:space="preserve">), </w:t>
      </w:r>
      <w:r w:rsidR="00374F7F" w:rsidRPr="003A0655">
        <w:t>Iraq</w:t>
      </w:r>
      <w:r w:rsidR="00FD5A8E" w:rsidRPr="003A0655">
        <w:t xml:space="preserve">, Irlande, Israël, Italie, Jamaïque, Japon, Jordanie, Kazakhstan, Kenya, Kirghizistan, </w:t>
      </w:r>
      <w:r w:rsidR="00374F7F" w:rsidRPr="003A0655">
        <w:t xml:space="preserve">Koweït, </w:t>
      </w:r>
      <w:r w:rsidR="00FD5A8E" w:rsidRPr="003A0655">
        <w:t xml:space="preserve">Lesotho, </w:t>
      </w:r>
      <w:r w:rsidR="00374F7F" w:rsidRPr="003A0655">
        <w:t xml:space="preserve">Liban, </w:t>
      </w:r>
      <w:r w:rsidR="00FD5A8E" w:rsidRPr="003A0655">
        <w:t xml:space="preserve">Libéria, Libye, Liechtenstein, Lituanie, Luxembourg, </w:t>
      </w:r>
      <w:r w:rsidR="00374F7F" w:rsidRPr="003A0655">
        <w:t xml:space="preserve">Macédoine du Nord, </w:t>
      </w:r>
      <w:r w:rsidR="00FD5A8E" w:rsidRPr="003A0655">
        <w:t xml:space="preserve">Madagascar, Malaisie, </w:t>
      </w:r>
      <w:r w:rsidR="00374F7F" w:rsidRPr="003A0655">
        <w:t xml:space="preserve">Malawi, </w:t>
      </w:r>
      <w:r w:rsidR="00FD5A8E" w:rsidRPr="003A0655">
        <w:t xml:space="preserve">Maldives, Mali, </w:t>
      </w:r>
      <w:r w:rsidR="00374F7F" w:rsidRPr="003A0655">
        <w:t xml:space="preserve">Maroc, Maurice, </w:t>
      </w:r>
      <w:r w:rsidR="00FD5A8E" w:rsidRPr="003A0655">
        <w:t xml:space="preserve">Mauritanie, Mexique, Micronésie (États fédérés de), Mongolie, Monténégro, Mozambique, Myanmar, Namibie, Népal, Nicaragua, Niger, Nigéria, Norvège, </w:t>
      </w:r>
      <w:r w:rsidR="00374F7F" w:rsidRPr="003A0655">
        <w:t xml:space="preserve">Nouvelle-Zélande, </w:t>
      </w:r>
      <w:r w:rsidR="00FD5A8E" w:rsidRPr="003A0655">
        <w:t xml:space="preserve">Oman, </w:t>
      </w:r>
      <w:r w:rsidR="00374F7F" w:rsidRPr="003A0655">
        <w:t xml:space="preserve">Ouganda, </w:t>
      </w:r>
      <w:r w:rsidR="00FD5A8E" w:rsidRPr="003A0655">
        <w:t xml:space="preserve">Pakistan, Palaos, Panama, Papouasie-Nouvelle-Guinée, Paraguay, </w:t>
      </w:r>
      <w:r w:rsidR="00374F7F" w:rsidRPr="003A0655">
        <w:t xml:space="preserve">Pays-Bas (Royaume des), </w:t>
      </w:r>
      <w:r w:rsidR="00FD5A8E" w:rsidRPr="003A0655">
        <w:t xml:space="preserve">Pérou, Philippines, Pologne, Portugal, Qatar, République arabe syrienne, </w:t>
      </w:r>
      <w:r w:rsidR="00374F7F" w:rsidRPr="003A0655">
        <w:t xml:space="preserve">République centrafricaine, République de Corée, République démocratique du Congo, République démocratique populaire lao, République dominicaine, République-Unie de Tanzanie, </w:t>
      </w:r>
      <w:r w:rsidR="00FD5A8E" w:rsidRPr="003A0655">
        <w:t>Royaume-Uni de Grande-Bretagne et d</w:t>
      </w:r>
      <w:r w:rsidR="000B3BB8" w:rsidRPr="003A0655">
        <w:t>’</w:t>
      </w:r>
      <w:r w:rsidR="00FD5A8E" w:rsidRPr="003A0655">
        <w:t xml:space="preserve">Irlande du Nord, </w:t>
      </w:r>
      <w:r w:rsidR="00374F7F" w:rsidRPr="003A0655">
        <w:t xml:space="preserve">Rwanda, Saint-Kitts-et-Nevis, Saint-Siège, Samoa, Sénégal, Serbie, Seychelles, Sierra Leone, Singapour, Slovaquie, Soudan du Sud, Sri Lanka, Suède, Suisse, Tadjikistan, Tchad, Tchéquie, Thaïlande, Timor-Leste, Togo, Tunisie, Türkiye, Union européenne, </w:t>
      </w:r>
      <w:r w:rsidR="00FD5A8E" w:rsidRPr="003A0655">
        <w:t xml:space="preserve">Uruguay, Vanuatu, </w:t>
      </w:r>
      <w:r w:rsidR="00374F7F" w:rsidRPr="003A0655">
        <w:t>Viet Nam</w:t>
      </w:r>
      <w:r w:rsidR="00FD5A8E" w:rsidRPr="003A0655">
        <w:t>, Yémen, Zambie</w:t>
      </w:r>
      <w:r w:rsidR="008123EA" w:rsidRPr="003A0655">
        <w:t xml:space="preserve"> et</w:t>
      </w:r>
      <w:r w:rsidR="00FD5A8E" w:rsidRPr="003A0655">
        <w:t xml:space="preserve"> Zimbabwe.</w:t>
      </w:r>
    </w:p>
    <w:p w14:paraId="6C591BD5" w14:textId="59BCDCC2" w:rsidR="00261D36" w:rsidRPr="003A0655" w:rsidRDefault="00261D36" w:rsidP="00AB635F">
      <w:pPr>
        <w:pStyle w:val="Normalnumber"/>
        <w:tabs>
          <w:tab w:val="clear" w:pos="1247"/>
        </w:tabs>
      </w:pPr>
      <w:r w:rsidRPr="003A0655">
        <w:t>Les organismes, organisations et institutions spécialisées des Nations</w:t>
      </w:r>
      <w:r w:rsidR="00C876C2" w:rsidRPr="003A0655">
        <w:t> </w:t>
      </w:r>
      <w:r w:rsidRPr="003A0655">
        <w:t>Unies ci-après étaient représentés</w:t>
      </w:r>
      <w:r w:rsidR="00CA3F7F" w:rsidRPr="003A0655">
        <w:t> </w:t>
      </w:r>
      <w:r w:rsidRPr="003A0655">
        <w:t xml:space="preserve">: </w:t>
      </w:r>
      <w:r w:rsidR="001F49D8" w:rsidRPr="003A0655">
        <w:t>Banque mondiale, Organisation météorologique mondiale</w:t>
      </w:r>
      <w:r w:rsidR="00400B9B" w:rsidRPr="003A0655">
        <w:t>,</w:t>
      </w:r>
      <w:r w:rsidR="001F49D8" w:rsidRPr="003A0655">
        <w:t xml:space="preserve"> Organisation mondiale des douanes, Organisation des Nations Unies pour le développement industriel, Programme des Nations Unies pour le développement, PNUE, Secrétariat des conventions </w:t>
      </w:r>
      <w:r w:rsidR="008506FC" w:rsidRPr="003A0655">
        <w:t>d</w:t>
      </w:r>
      <w:r w:rsidR="001F49D8" w:rsidRPr="003A0655">
        <w:t>e Bâle, de Rotterdam et de Stockholm et secrétariat du Fonds multilatéral aux fins d</w:t>
      </w:r>
      <w:r w:rsidR="000B3BB8" w:rsidRPr="003A0655">
        <w:t>’</w:t>
      </w:r>
      <w:r w:rsidR="001F49D8" w:rsidRPr="003A0655">
        <w:t>application du Protocole de Montréal.</w:t>
      </w:r>
      <w:r w:rsidR="001F49D8" w:rsidRPr="003A0655">
        <w:rPr>
          <w:color w:val="333333"/>
          <w:sz w:val="26"/>
          <w:szCs w:val="26"/>
          <w:shd w:val="clear" w:color="auto" w:fill="FFFFFF"/>
        </w:rPr>
        <w:t xml:space="preserve"> </w:t>
      </w:r>
      <w:r w:rsidR="001F49D8" w:rsidRPr="003A0655">
        <w:t>Les groupes d</w:t>
      </w:r>
      <w:r w:rsidR="000B3BB8" w:rsidRPr="003A0655">
        <w:t>’</w:t>
      </w:r>
      <w:r w:rsidR="001F49D8" w:rsidRPr="003A0655">
        <w:t>évaluation du Protocole de Montréal étaient également représentés.</w:t>
      </w:r>
      <w:r w:rsidR="001F49D8" w:rsidRPr="003A0655" w:rsidDel="001F49D8">
        <w:t xml:space="preserve"> </w:t>
      </w:r>
    </w:p>
    <w:p w14:paraId="318D9E1C" w14:textId="4988F528" w:rsidR="00261D36" w:rsidRPr="003A0655" w:rsidRDefault="00261D36" w:rsidP="00AB635F">
      <w:pPr>
        <w:pStyle w:val="Normalnumber"/>
        <w:tabs>
          <w:tab w:val="clear" w:pos="1247"/>
        </w:tabs>
      </w:pPr>
      <w:r w:rsidRPr="003A0655">
        <w:t>Les organisations et entités intergouvernementales et non gouvernementales, industrielles, universitaires et autres ci-après étaient également représentées</w:t>
      </w:r>
      <w:r w:rsidR="00CA3F7F" w:rsidRPr="003A0655">
        <w:t> </w:t>
      </w:r>
      <w:r w:rsidRPr="003A0655">
        <w:t>:</w:t>
      </w:r>
      <w:r w:rsidRPr="003A0655">
        <w:rPr>
          <w:rFonts w:asciiTheme="majorBidi" w:hAnsiTheme="majorBidi" w:cstheme="majorBidi"/>
        </w:rPr>
        <w:t xml:space="preserve"> </w:t>
      </w:r>
      <w:proofErr w:type="spellStart"/>
      <w:r w:rsidR="00922DA6" w:rsidRPr="003A0655">
        <w:rPr>
          <w:rFonts w:asciiTheme="majorBidi" w:hAnsiTheme="majorBidi" w:cstheme="majorBidi"/>
        </w:rPr>
        <w:t>A-Gas</w:t>
      </w:r>
      <w:proofErr w:type="spellEnd"/>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Australia</w:t>
      </w:r>
      <w:proofErr w:type="spellEnd"/>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Pty</w:t>
      </w:r>
      <w:proofErr w:type="spellEnd"/>
      <w:r w:rsidR="00922DA6" w:rsidRPr="003A0655">
        <w:rPr>
          <w:rFonts w:asciiTheme="majorBidi" w:hAnsiTheme="majorBidi" w:cstheme="majorBidi"/>
        </w:rPr>
        <w:t xml:space="preserve"> Limited</w:t>
      </w:r>
      <w:r w:rsidR="000A200B" w:rsidRPr="003A0655">
        <w:rPr>
          <w:rFonts w:asciiTheme="majorBidi" w:hAnsiTheme="majorBidi" w:cstheme="majorBidi"/>
        </w:rPr>
        <w:t xml:space="preserve"> </w:t>
      </w:r>
      <w:r w:rsidR="00922DA6" w:rsidRPr="003A0655">
        <w:rPr>
          <w:rFonts w:asciiTheme="majorBidi" w:hAnsiTheme="majorBidi" w:cstheme="majorBidi"/>
        </w:rPr>
        <w:t xml:space="preserve">; Alliance for </w:t>
      </w:r>
      <w:proofErr w:type="spellStart"/>
      <w:r w:rsidR="00922DA6" w:rsidRPr="003A0655">
        <w:rPr>
          <w:rFonts w:asciiTheme="majorBidi" w:hAnsiTheme="majorBidi" w:cstheme="majorBidi"/>
        </w:rPr>
        <w:t>Responsible</w:t>
      </w:r>
      <w:proofErr w:type="spellEnd"/>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Atmospheric</w:t>
      </w:r>
      <w:proofErr w:type="spellEnd"/>
      <w:r w:rsidR="00922DA6" w:rsidRPr="003A0655">
        <w:rPr>
          <w:rFonts w:asciiTheme="majorBidi" w:hAnsiTheme="majorBidi" w:cstheme="majorBidi"/>
        </w:rPr>
        <w:t xml:space="preserve"> Policy ; Association des distributeurs, conditionneurs, récupérateurs et </w:t>
      </w:r>
      <w:proofErr w:type="spellStart"/>
      <w:r w:rsidR="00922DA6" w:rsidRPr="003A0655">
        <w:rPr>
          <w:rFonts w:asciiTheme="majorBidi" w:hAnsiTheme="majorBidi" w:cstheme="majorBidi"/>
        </w:rPr>
        <w:t>retraiteurs</w:t>
      </w:r>
      <w:proofErr w:type="spellEnd"/>
      <w:r w:rsidR="00922DA6" w:rsidRPr="003A0655">
        <w:rPr>
          <w:rFonts w:asciiTheme="majorBidi" w:hAnsiTheme="majorBidi" w:cstheme="majorBidi"/>
        </w:rPr>
        <w:t xml:space="preserve"> de réfrigérants ; Carbon </w:t>
      </w:r>
      <w:proofErr w:type="spellStart"/>
      <w:r w:rsidR="00922DA6" w:rsidRPr="003A0655">
        <w:rPr>
          <w:rFonts w:asciiTheme="majorBidi" w:hAnsiTheme="majorBidi" w:cstheme="majorBidi"/>
        </w:rPr>
        <w:t>Containment</w:t>
      </w:r>
      <w:proofErr w:type="spellEnd"/>
      <w:r w:rsidR="00922DA6" w:rsidRPr="003A0655">
        <w:rPr>
          <w:rFonts w:asciiTheme="majorBidi" w:hAnsiTheme="majorBidi" w:cstheme="majorBidi"/>
        </w:rPr>
        <w:t xml:space="preserve"> Lab ; Centre for </w:t>
      </w:r>
      <w:proofErr w:type="spellStart"/>
      <w:r w:rsidR="00922DA6" w:rsidRPr="003A0655">
        <w:rPr>
          <w:rFonts w:asciiTheme="majorBidi" w:hAnsiTheme="majorBidi" w:cstheme="majorBidi"/>
        </w:rPr>
        <w:t>Environment</w:t>
      </w:r>
      <w:proofErr w:type="spellEnd"/>
      <w:r w:rsidR="00922DA6" w:rsidRPr="003A0655">
        <w:rPr>
          <w:rFonts w:asciiTheme="majorBidi" w:hAnsiTheme="majorBidi" w:cstheme="majorBidi"/>
        </w:rPr>
        <w:t xml:space="preserve"> Justice and </w:t>
      </w:r>
      <w:proofErr w:type="spellStart"/>
      <w:r w:rsidR="00922DA6" w:rsidRPr="003A0655">
        <w:rPr>
          <w:rFonts w:asciiTheme="majorBidi" w:hAnsiTheme="majorBidi" w:cstheme="majorBidi"/>
        </w:rPr>
        <w:t>Development</w:t>
      </w:r>
      <w:proofErr w:type="spellEnd"/>
      <w:r w:rsidR="00922DA6" w:rsidRPr="003A0655">
        <w:rPr>
          <w:rFonts w:asciiTheme="majorBidi" w:hAnsiTheme="majorBidi" w:cstheme="majorBidi"/>
        </w:rPr>
        <w:t xml:space="preserve"> ; </w:t>
      </w:r>
      <w:proofErr w:type="spellStart"/>
      <w:r w:rsidR="00922DA6" w:rsidRPr="003A0655">
        <w:rPr>
          <w:rFonts w:asciiTheme="majorBidi" w:hAnsiTheme="majorBidi" w:cstheme="majorBidi"/>
        </w:rPr>
        <w:t>Chemours</w:t>
      </w:r>
      <w:proofErr w:type="spellEnd"/>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Belgium</w:t>
      </w:r>
      <w:proofErr w:type="spellEnd"/>
      <w:r w:rsidR="00922DA6" w:rsidRPr="003A0655">
        <w:rPr>
          <w:rFonts w:asciiTheme="majorBidi" w:hAnsiTheme="majorBidi" w:cstheme="majorBidi"/>
        </w:rPr>
        <w:t xml:space="preserve"> BVBA</w:t>
      </w:r>
      <w:r w:rsidR="00ED7BA3" w:rsidRPr="003A0655">
        <w:rPr>
          <w:rFonts w:asciiTheme="majorBidi" w:hAnsiTheme="majorBidi" w:cstheme="majorBidi"/>
        </w:rPr>
        <w:t> </w:t>
      </w:r>
      <w:r w:rsidR="00922DA6" w:rsidRPr="003A0655">
        <w:rPr>
          <w:rFonts w:asciiTheme="majorBidi" w:hAnsiTheme="majorBidi" w:cstheme="majorBidi"/>
        </w:rPr>
        <w:t xml:space="preserve">; Collaborative </w:t>
      </w:r>
      <w:proofErr w:type="spellStart"/>
      <w:r w:rsidR="00922DA6" w:rsidRPr="003A0655">
        <w:rPr>
          <w:rFonts w:asciiTheme="majorBidi" w:hAnsiTheme="majorBidi" w:cstheme="majorBidi"/>
        </w:rPr>
        <w:t>Labeling</w:t>
      </w:r>
      <w:proofErr w:type="spellEnd"/>
      <w:r w:rsidR="00922DA6" w:rsidRPr="003A0655">
        <w:rPr>
          <w:rFonts w:asciiTheme="majorBidi" w:hAnsiTheme="majorBidi" w:cstheme="majorBidi"/>
        </w:rPr>
        <w:t xml:space="preserve"> and Appliance Standards Programme (CLASP)</w:t>
      </w:r>
      <w:r w:rsidR="000504AC" w:rsidRPr="003A0655">
        <w:rPr>
          <w:rFonts w:asciiTheme="majorBidi" w:hAnsiTheme="majorBidi" w:cstheme="majorBidi"/>
        </w:rPr>
        <w:t> ;</w:t>
      </w:r>
      <w:r w:rsidR="00922DA6" w:rsidRPr="003A0655">
        <w:rPr>
          <w:rFonts w:asciiTheme="majorBidi" w:hAnsiTheme="majorBidi" w:cstheme="majorBidi"/>
        </w:rPr>
        <w:t xml:space="preserve"> </w:t>
      </w:r>
      <w:r w:rsidR="000A200B" w:rsidRPr="003A0655">
        <w:rPr>
          <w:rFonts w:asciiTheme="majorBidi" w:hAnsiTheme="majorBidi" w:cstheme="majorBidi"/>
        </w:rPr>
        <w:t>Conseil de coopération des États arabes du Golfe ;</w:t>
      </w:r>
      <w:r w:rsidR="00922DA6" w:rsidRPr="003A0655">
        <w:rPr>
          <w:rFonts w:asciiTheme="majorBidi" w:hAnsiTheme="majorBidi" w:cstheme="majorBidi"/>
        </w:rPr>
        <w:t xml:space="preserve"> Daikin ; Daikin Industries Limited ; Danfoss A/S (Danemark) ; Deutsche Gesellschaft </w:t>
      </w:r>
      <w:proofErr w:type="spellStart"/>
      <w:r w:rsidR="00922DA6" w:rsidRPr="003A0655">
        <w:rPr>
          <w:rFonts w:asciiTheme="majorBidi" w:hAnsiTheme="majorBidi" w:cstheme="majorBidi"/>
        </w:rPr>
        <w:t>für</w:t>
      </w:r>
      <w:proofErr w:type="spellEnd"/>
      <w:r w:rsidR="00922DA6" w:rsidRPr="003A0655">
        <w:rPr>
          <w:rFonts w:asciiTheme="majorBidi" w:hAnsiTheme="majorBidi" w:cstheme="majorBidi"/>
        </w:rPr>
        <w:t xml:space="preserve"> Internationale </w:t>
      </w:r>
      <w:proofErr w:type="spellStart"/>
      <w:r w:rsidR="00922DA6" w:rsidRPr="003A0655">
        <w:rPr>
          <w:rFonts w:asciiTheme="majorBidi" w:hAnsiTheme="majorBidi" w:cstheme="majorBidi"/>
        </w:rPr>
        <w:t>Zusammenarbeit</w:t>
      </w:r>
      <w:proofErr w:type="spellEnd"/>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lastRenderedPageBreak/>
        <w:t>GmbH</w:t>
      </w:r>
      <w:proofErr w:type="spellEnd"/>
      <w:r w:rsidR="00ED7BA3" w:rsidRPr="003A0655">
        <w:rPr>
          <w:rFonts w:asciiTheme="majorBidi" w:hAnsiTheme="majorBidi" w:cstheme="majorBidi"/>
        </w:rPr>
        <w:t> </w:t>
      </w:r>
      <w:r w:rsidR="00922DA6" w:rsidRPr="003A0655">
        <w:rPr>
          <w:rFonts w:asciiTheme="majorBidi" w:hAnsiTheme="majorBidi" w:cstheme="majorBidi"/>
        </w:rPr>
        <w:t xml:space="preserve">; </w:t>
      </w:r>
      <w:r w:rsidR="000A200B" w:rsidRPr="003A0655">
        <w:rPr>
          <w:rFonts w:asciiTheme="majorBidi" w:hAnsiTheme="majorBidi" w:cstheme="majorBidi"/>
        </w:rPr>
        <w:t>Énergie durable pour tous </w:t>
      </w:r>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Environmental</w:t>
      </w:r>
      <w:proofErr w:type="spellEnd"/>
      <w:r w:rsidR="00922DA6" w:rsidRPr="003A0655">
        <w:rPr>
          <w:rFonts w:asciiTheme="majorBidi" w:hAnsiTheme="majorBidi" w:cstheme="majorBidi"/>
        </w:rPr>
        <w:t xml:space="preserve"> Investigation Agency</w:t>
      </w:r>
      <w:r w:rsidR="000A200B" w:rsidRPr="003A0655">
        <w:rPr>
          <w:rFonts w:asciiTheme="majorBidi" w:hAnsiTheme="majorBidi" w:cstheme="majorBidi"/>
        </w:rPr>
        <w:t> </w:t>
      </w:r>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Glencoe</w:t>
      </w:r>
      <w:proofErr w:type="spellEnd"/>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Strategies</w:t>
      </w:r>
      <w:proofErr w:type="spellEnd"/>
      <w:r w:rsidR="00922DA6" w:rsidRPr="003A0655">
        <w:rPr>
          <w:rFonts w:asciiTheme="majorBidi" w:hAnsiTheme="majorBidi" w:cstheme="majorBidi"/>
        </w:rPr>
        <w:t xml:space="preserve"> LLC ; Global Policy Associates ; </w:t>
      </w:r>
      <w:r w:rsidR="000A200B" w:rsidRPr="003A0655">
        <w:rPr>
          <w:rFonts w:asciiTheme="majorBidi" w:hAnsiTheme="majorBidi" w:cstheme="majorBidi"/>
        </w:rPr>
        <w:t xml:space="preserve">grand groupe des enfants et des jeunes; </w:t>
      </w:r>
      <w:proofErr w:type="spellStart"/>
      <w:r w:rsidR="00922DA6" w:rsidRPr="003A0655">
        <w:rPr>
          <w:rFonts w:asciiTheme="majorBidi" w:hAnsiTheme="majorBidi" w:cstheme="majorBidi"/>
        </w:rPr>
        <w:t>Guidehouse</w:t>
      </w:r>
      <w:proofErr w:type="spellEnd"/>
      <w:r w:rsidR="00922DA6" w:rsidRPr="003A0655">
        <w:rPr>
          <w:rFonts w:asciiTheme="majorBidi" w:hAnsiTheme="majorBidi" w:cstheme="majorBidi"/>
        </w:rPr>
        <w:t xml:space="preserve"> Germany </w:t>
      </w:r>
      <w:proofErr w:type="spellStart"/>
      <w:r w:rsidR="00922DA6" w:rsidRPr="003A0655">
        <w:rPr>
          <w:rFonts w:asciiTheme="majorBidi" w:hAnsiTheme="majorBidi" w:cstheme="majorBidi"/>
        </w:rPr>
        <w:t>GmbH</w:t>
      </w:r>
      <w:proofErr w:type="spellEnd"/>
      <w:r w:rsidR="00922DA6" w:rsidRPr="003A0655">
        <w:rPr>
          <w:rFonts w:asciiTheme="majorBidi" w:hAnsiTheme="majorBidi" w:cstheme="majorBidi"/>
        </w:rPr>
        <w:t xml:space="preserve"> ; </w:t>
      </w:r>
      <w:proofErr w:type="spellStart"/>
      <w:r w:rsidR="000504AC" w:rsidRPr="003A0655">
        <w:rPr>
          <w:rFonts w:asciiTheme="majorBidi" w:hAnsiTheme="majorBidi" w:cstheme="majorBidi"/>
        </w:rPr>
        <w:t>Iforest</w:t>
      </w:r>
      <w:proofErr w:type="spellEnd"/>
      <w:r w:rsidR="000504AC" w:rsidRPr="003A0655">
        <w:rPr>
          <w:rFonts w:asciiTheme="majorBidi" w:hAnsiTheme="majorBidi" w:cstheme="majorBidi"/>
        </w:rPr>
        <w:t> </w:t>
      </w:r>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Industrial</w:t>
      </w:r>
      <w:proofErr w:type="spellEnd"/>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Technology</w:t>
      </w:r>
      <w:proofErr w:type="spellEnd"/>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Research</w:t>
      </w:r>
      <w:proofErr w:type="spellEnd"/>
      <w:r w:rsidR="00922DA6" w:rsidRPr="003A0655">
        <w:rPr>
          <w:rFonts w:asciiTheme="majorBidi" w:hAnsiTheme="majorBidi" w:cstheme="majorBidi"/>
        </w:rPr>
        <w:t xml:space="preserve"> Institute</w:t>
      </w:r>
      <w:r w:rsidR="000504AC" w:rsidRPr="003A0655">
        <w:rPr>
          <w:rFonts w:asciiTheme="majorBidi" w:hAnsiTheme="majorBidi" w:cstheme="majorBidi"/>
        </w:rPr>
        <w:t> </w:t>
      </w:r>
      <w:r w:rsidR="00922DA6" w:rsidRPr="003A0655">
        <w:rPr>
          <w:rFonts w:asciiTheme="majorBidi" w:hAnsiTheme="majorBidi" w:cstheme="majorBidi"/>
        </w:rPr>
        <w:t xml:space="preserve">; </w:t>
      </w:r>
      <w:r w:rsidR="000A200B" w:rsidRPr="003A0655">
        <w:rPr>
          <w:rFonts w:asciiTheme="majorBidi" w:hAnsiTheme="majorBidi" w:cstheme="majorBidi"/>
        </w:rPr>
        <w:t>Institut international du froid </w:t>
      </w:r>
      <w:r w:rsidR="00922DA6" w:rsidRPr="003A0655">
        <w:rPr>
          <w:rFonts w:asciiTheme="majorBidi" w:hAnsiTheme="majorBidi" w:cstheme="majorBidi"/>
        </w:rPr>
        <w:t xml:space="preserve">; Institute for Energy and </w:t>
      </w:r>
      <w:proofErr w:type="spellStart"/>
      <w:r w:rsidR="00922DA6" w:rsidRPr="003A0655">
        <w:rPr>
          <w:rFonts w:asciiTheme="majorBidi" w:hAnsiTheme="majorBidi" w:cstheme="majorBidi"/>
        </w:rPr>
        <w:t>Climate</w:t>
      </w:r>
      <w:proofErr w:type="spellEnd"/>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Strategies</w:t>
      </w:r>
      <w:proofErr w:type="spellEnd"/>
      <w:r w:rsidR="00922DA6" w:rsidRPr="003A0655">
        <w:rPr>
          <w:rFonts w:asciiTheme="majorBidi" w:hAnsiTheme="majorBidi" w:cstheme="majorBidi"/>
        </w:rPr>
        <w:t xml:space="preserve"> ; Institute for </w:t>
      </w:r>
      <w:proofErr w:type="spellStart"/>
      <w:r w:rsidR="00922DA6" w:rsidRPr="003A0655">
        <w:rPr>
          <w:rFonts w:asciiTheme="majorBidi" w:hAnsiTheme="majorBidi" w:cstheme="majorBidi"/>
        </w:rPr>
        <w:t>Governance</w:t>
      </w:r>
      <w:proofErr w:type="spellEnd"/>
      <w:r w:rsidR="00922DA6" w:rsidRPr="003A0655">
        <w:rPr>
          <w:rFonts w:asciiTheme="majorBidi" w:hAnsiTheme="majorBidi" w:cstheme="majorBidi"/>
        </w:rPr>
        <w:t xml:space="preserve"> and </w:t>
      </w:r>
      <w:proofErr w:type="spellStart"/>
      <w:r w:rsidR="00922DA6" w:rsidRPr="003A0655">
        <w:rPr>
          <w:rFonts w:asciiTheme="majorBidi" w:hAnsiTheme="majorBidi" w:cstheme="majorBidi"/>
        </w:rPr>
        <w:t>Sustainable</w:t>
      </w:r>
      <w:proofErr w:type="spellEnd"/>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Development</w:t>
      </w:r>
      <w:proofErr w:type="spellEnd"/>
      <w:r w:rsidR="00922DA6" w:rsidRPr="003A0655">
        <w:rPr>
          <w:rFonts w:asciiTheme="majorBidi" w:hAnsiTheme="majorBidi" w:cstheme="majorBidi"/>
        </w:rPr>
        <w:t xml:space="preserve"> ; International Energy Initiative</w:t>
      </w:r>
      <w:r w:rsidR="000504AC" w:rsidRPr="003A0655">
        <w:rPr>
          <w:rFonts w:asciiTheme="majorBidi" w:hAnsiTheme="majorBidi" w:cstheme="majorBidi"/>
        </w:rPr>
        <w:t> </w:t>
      </w:r>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Labtech</w:t>
      </w:r>
      <w:proofErr w:type="spellEnd"/>
      <w:r w:rsidR="00922DA6" w:rsidRPr="003A0655">
        <w:rPr>
          <w:rFonts w:asciiTheme="majorBidi" w:hAnsiTheme="majorBidi" w:cstheme="majorBidi"/>
        </w:rPr>
        <w:t xml:space="preserve"> International Limited ; Ligue des États arabes</w:t>
      </w:r>
      <w:r w:rsidR="000A200B" w:rsidRPr="003A0655">
        <w:rPr>
          <w:rFonts w:asciiTheme="majorBidi" w:hAnsiTheme="majorBidi" w:cstheme="majorBidi"/>
        </w:rPr>
        <w:t> </w:t>
      </w:r>
      <w:r w:rsidR="00922DA6" w:rsidRPr="003A0655">
        <w:rPr>
          <w:rFonts w:asciiTheme="majorBidi" w:hAnsiTheme="majorBidi" w:cstheme="majorBidi"/>
        </w:rPr>
        <w:t xml:space="preserve">; Manitoba Ozone Protection </w:t>
      </w:r>
      <w:proofErr w:type="spellStart"/>
      <w:r w:rsidR="00922DA6" w:rsidRPr="003A0655">
        <w:rPr>
          <w:rFonts w:asciiTheme="majorBidi" w:hAnsiTheme="majorBidi" w:cstheme="majorBidi"/>
        </w:rPr>
        <w:t>Industry</w:t>
      </w:r>
      <w:proofErr w:type="spellEnd"/>
      <w:r w:rsidR="00922DA6" w:rsidRPr="003A0655">
        <w:rPr>
          <w:rFonts w:asciiTheme="majorBidi" w:hAnsiTheme="majorBidi" w:cstheme="majorBidi"/>
        </w:rPr>
        <w:t xml:space="preserve"> Association ; MEBROM Corporation</w:t>
      </w:r>
      <w:r w:rsidR="000A200B" w:rsidRPr="003A0655">
        <w:rPr>
          <w:rFonts w:asciiTheme="majorBidi" w:hAnsiTheme="majorBidi" w:cstheme="majorBidi"/>
        </w:rPr>
        <w:t> </w:t>
      </w:r>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Mexichem</w:t>
      </w:r>
      <w:proofErr w:type="spellEnd"/>
      <w:r w:rsidR="00922DA6" w:rsidRPr="003A0655">
        <w:rPr>
          <w:rFonts w:asciiTheme="majorBidi" w:hAnsiTheme="majorBidi" w:cstheme="majorBidi"/>
        </w:rPr>
        <w:t xml:space="preserve"> UK Limited</w:t>
      </w:r>
      <w:r w:rsidR="000504AC" w:rsidRPr="003A0655">
        <w:rPr>
          <w:rFonts w:asciiTheme="majorBidi" w:hAnsiTheme="majorBidi" w:cstheme="majorBidi"/>
        </w:rPr>
        <w:t> </w:t>
      </w:r>
      <w:r w:rsidR="00922DA6" w:rsidRPr="003A0655">
        <w:rPr>
          <w:rFonts w:asciiTheme="majorBidi" w:hAnsiTheme="majorBidi" w:cstheme="majorBidi"/>
        </w:rPr>
        <w:t xml:space="preserve">; Natural </w:t>
      </w:r>
      <w:proofErr w:type="spellStart"/>
      <w:r w:rsidR="00922DA6" w:rsidRPr="003A0655">
        <w:rPr>
          <w:rFonts w:asciiTheme="majorBidi" w:hAnsiTheme="majorBidi" w:cstheme="majorBidi"/>
        </w:rPr>
        <w:t>Resources</w:t>
      </w:r>
      <w:proofErr w:type="spellEnd"/>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Defense</w:t>
      </w:r>
      <w:proofErr w:type="spellEnd"/>
      <w:r w:rsidR="00922DA6" w:rsidRPr="003A0655">
        <w:rPr>
          <w:rFonts w:asciiTheme="majorBidi" w:hAnsiTheme="majorBidi" w:cstheme="majorBidi"/>
        </w:rPr>
        <w:t xml:space="preserve"> Council</w:t>
      </w:r>
      <w:r w:rsidR="000504AC" w:rsidRPr="003A0655">
        <w:rPr>
          <w:rFonts w:asciiTheme="majorBidi" w:hAnsiTheme="majorBidi" w:cstheme="majorBidi"/>
        </w:rPr>
        <w:t> </w:t>
      </w:r>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Ökorecherche</w:t>
      </w:r>
      <w:proofErr w:type="spellEnd"/>
      <w:r w:rsidR="000504AC" w:rsidRPr="003A0655">
        <w:rPr>
          <w:rFonts w:asciiTheme="majorBidi" w:hAnsiTheme="majorBidi" w:cstheme="majorBidi"/>
        </w:rPr>
        <w:t> </w:t>
      </w:r>
      <w:r w:rsidR="00922DA6" w:rsidRPr="003A0655">
        <w:rPr>
          <w:rFonts w:asciiTheme="majorBidi" w:hAnsiTheme="majorBidi" w:cstheme="majorBidi"/>
        </w:rPr>
        <w:t xml:space="preserve">; Overseas </w:t>
      </w:r>
      <w:proofErr w:type="spellStart"/>
      <w:r w:rsidR="00922DA6" w:rsidRPr="003A0655">
        <w:rPr>
          <w:rFonts w:asciiTheme="majorBidi" w:hAnsiTheme="majorBidi" w:cstheme="majorBidi"/>
        </w:rPr>
        <w:t>Environmental</w:t>
      </w:r>
      <w:proofErr w:type="spellEnd"/>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Cooperation</w:t>
      </w:r>
      <w:proofErr w:type="spellEnd"/>
      <w:r w:rsidR="00922DA6" w:rsidRPr="003A0655">
        <w:rPr>
          <w:rFonts w:asciiTheme="majorBidi" w:hAnsiTheme="majorBidi" w:cstheme="majorBidi"/>
        </w:rPr>
        <w:t xml:space="preserve"> Centre</w:t>
      </w:r>
      <w:r w:rsidR="000504AC" w:rsidRPr="003A0655">
        <w:rPr>
          <w:rFonts w:asciiTheme="majorBidi" w:hAnsiTheme="majorBidi" w:cstheme="majorBidi"/>
        </w:rPr>
        <w:t> </w:t>
      </w:r>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Refrigerant</w:t>
      </w:r>
      <w:proofErr w:type="spellEnd"/>
      <w:r w:rsidR="00922DA6" w:rsidRPr="003A0655">
        <w:rPr>
          <w:rFonts w:asciiTheme="majorBidi" w:hAnsiTheme="majorBidi" w:cstheme="majorBidi"/>
        </w:rPr>
        <w:t xml:space="preserve"> Gas </w:t>
      </w:r>
      <w:proofErr w:type="spellStart"/>
      <w:r w:rsidR="00922DA6" w:rsidRPr="003A0655">
        <w:rPr>
          <w:rFonts w:asciiTheme="majorBidi" w:hAnsiTheme="majorBidi" w:cstheme="majorBidi"/>
        </w:rPr>
        <w:t>Manufacturers</w:t>
      </w:r>
      <w:proofErr w:type="spellEnd"/>
      <w:r w:rsidR="00922DA6" w:rsidRPr="003A0655">
        <w:rPr>
          <w:rFonts w:asciiTheme="majorBidi" w:hAnsiTheme="majorBidi" w:cstheme="majorBidi"/>
        </w:rPr>
        <w:t xml:space="preserve"> Association ; </w:t>
      </w:r>
      <w:proofErr w:type="spellStart"/>
      <w:r w:rsidR="00922DA6" w:rsidRPr="003A0655">
        <w:rPr>
          <w:rFonts w:asciiTheme="majorBidi" w:hAnsiTheme="majorBidi" w:cstheme="majorBidi"/>
        </w:rPr>
        <w:t>Refrigerant</w:t>
      </w:r>
      <w:proofErr w:type="spellEnd"/>
      <w:r w:rsidR="00922DA6" w:rsidRPr="003A0655">
        <w:rPr>
          <w:rFonts w:asciiTheme="majorBidi" w:hAnsiTheme="majorBidi" w:cstheme="majorBidi"/>
        </w:rPr>
        <w:t xml:space="preserve"> Reclaim </w:t>
      </w:r>
      <w:proofErr w:type="spellStart"/>
      <w:r w:rsidR="00922DA6" w:rsidRPr="003A0655">
        <w:rPr>
          <w:rFonts w:asciiTheme="majorBidi" w:hAnsiTheme="majorBidi" w:cstheme="majorBidi"/>
        </w:rPr>
        <w:t>Australia</w:t>
      </w:r>
      <w:proofErr w:type="spellEnd"/>
      <w:r w:rsidR="00922DA6" w:rsidRPr="003A0655">
        <w:rPr>
          <w:rFonts w:asciiTheme="majorBidi" w:hAnsiTheme="majorBidi" w:cstheme="majorBidi"/>
        </w:rPr>
        <w:t xml:space="preserve"> ; </w:t>
      </w:r>
      <w:proofErr w:type="spellStart"/>
      <w:r w:rsidR="00922DA6" w:rsidRPr="003A0655">
        <w:rPr>
          <w:rFonts w:asciiTheme="majorBidi" w:hAnsiTheme="majorBidi" w:cstheme="majorBidi"/>
        </w:rPr>
        <w:t>Refrigerants</w:t>
      </w:r>
      <w:proofErr w:type="spellEnd"/>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Australia</w:t>
      </w:r>
      <w:proofErr w:type="spellEnd"/>
      <w:r w:rsidR="000A200B" w:rsidRPr="003A0655">
        <w:rPr>
          <w:rFonts w:asciiTheme="majorBidi" w:hAnsiTheme="majorBidi" w:cstheme="majorBidi"/>
        </w:rPr>
        <w:t> </w:t>
      </w:r>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Renerge</w:t>
      </w:r>
      <w:proofErr w:type="spellEnd"/>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Resources</w:t>
      </w:r>
      <w:proofErr w:type="spellEnd"/>
      <w:r w:rsidR="00922DA6" w:rsidRPr="003A0655">
        <w:rPr>
          <w:rFonts w:asciiTheme="majorBidi" w:hAnsiTheme="majorBidi" w:cstheme="majorBidi"/>
        </w:rPr>
        <w:t xml:space="preserve"> Limited ; Siemens Energy</w:t>
      </w:r>
      <w:r w:rsidR="003C3DAE" w:rsidRPr="003A0655">
        <w:rPr>
          <w:rFonts w:asciiTheme="majorBidi" w:hAnsiTheme="majorBidi" w:cstheme="majorBidi"/>
        </w:rPr>
        <w:t> </w:t>
      </w:r>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SilverLining</w:t>
      </w:r>
      <w:proofErr w:type="spellEnd"/>
      <w:r w:rsidR="00922DA6" w:rsidRPr="003A0655">
        <w:rPr>
          <w:rFonts w:asciiTheme="majorBidi" w:hAnsiTheme="majorBidi" w:cstheme="majorBidi"/>
        </w:rPr>
        <w:t xml:space="preserve"> ; Solutions for Our </w:t>
      </w:r>
      <w:proofErr w:type="spellStart"/>
      <w:r w:rsidR="00922DA6" w:rsidRPr="003A0655">
        <w:rPr>
          <w:rFonts w:asciiTheme="majorBidi" w:hAnsiTheme="majorBidi" w:cstheme="majorBidi"/>
        </w:rPr>
        <w:t>Climate</w:t>
      </w:r>
      <w:proofErr w:type="spellEnd"/>
      <w:r w:rsidR="000A200B" w:rsidRPr="003A0655">
        <w:rPr>
          <w:rFonts w:asciiTheme="majorBidi" w:hAnsiTheme="majorBidi" w:cstheme="majorBidi"/>
        </w:rPr>
        <w:t> </w:t>
      </w:r>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SRADeV</w:t>
      </w:r>
      <w:proofErr w:type="spellEnd"/>
      <w:r w:rsidR="00922DA6" w:rsidRPr="003A0655">
        <w:rPr>
          <w:rFonts w:asciiTheme="majorBidi" w:hAnsiTheme="majorBidi" w:cstheme="majorBidi"/>
        </w:rPr>
        <w:t xml:space="preserve"> ; SRF</w:t>
      </w:r>
      <w:r w:rsidR="00036532" w:rsidRPr="003A0655">
        <w:rPr>
          <w:rFonts w:asciiTheme="majorBidi" w:hAnsiTheme="majorBidi" w:cstheme="majorBidi"/>
        </w:rPr>
        <w:t> </w:t>
      </w:r>
      <w:r w:rsidR="00922DA6" w:rsidRPr="003A0655">
        <w:rPr>
          <w:rFonts w:asciiTheme="majorBidi" w:hAnsiTheme="majorBidi" w:cstheme="majorBidi"/>
        </w:rPr>
        <w:t>Ltd</w:t>
      </w:r>
      <w:r w:rsidR="000A200B" w:rsidRPr="003A0655">
        <w:rPr>
          <w:rFonts w:asciiTheme="majorBidi" w:hAnsiTheme="majorBidi" w:cstheme="majorBidi"/>
        </w:rPr>
        <w:t>.</w:t>
      </w:r>
      <w:r w:rsidR="000504AC" w:rsidRPr="003A0655">
        <w:rPr>
          <w:rFonts w:asciiTheme="majorBidi" w:hAnsiTheme="majorBidi" w:cstheme="majorBidi"/>
        </w:rPr>
        <w:t> </w:t>
      </w:r>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Sustana</w:t>
      </w:r>
      <w:proofErr w:type="spellEnd"/>
      <w:r w:rsidR="00922DA6" w:rsidRPr="003A0655">
        <w:rPr>
          <w:rFonts w:asciiTheme="majorBidi" w:hAnsiTheme="majorBidi" w:cstheme="majorBidi"/>
        </w:rPr>
        <w:t xml:space="preserve"> Cooling </w:t>
      </w:r>
      <w:proofErr w:type="spellStart"/>
      <w:r w:rsidR="00922DA6" w:rsidRPr="003A0655">
        <w:rPr>
          <w:rFonts w:asciiTheme="majorBidi" w:hAnsiTheme="majorBidi" w:cstheme="majorBidi"/>
        </w:rPr>
        <w:t>Partners</w:t>
      </w:r>
      <w:proofErr w:type="spellEnd"/>
      <w:r w:rsidR="003C3DAE" w:rsidRPr="003A0655">
        <w:rPr>
          <w:rFonts w:asciiTheme="majorBidi" w:hAnsiTheme="majorBidi" w:cstheme="majorBidi"/>
        </w:rPr>
        <w:t> </w:t>
      </w:r>
      <w:r w:rsidR="00922DA6" w:rsidRPr="003A0655">
        <w:rPr>
          <w:rFonts w:asciiTheme="majorBidi" w:hAnsiTheme="majorBidi" w:cstheme="majorBidi"/>
        </w:rPr>
        <w:t>; The Energy Commission</w:t>
      </w:r>
      <w:r w:rsidR="003C3DAE" w:rsidRPr="003A0655">
        <w:rPr>
          <w:rFonts w:asciiTheme="majorBidi" w:hAnsiTheme="majorBidi" w:cstheme="majorBidi"/>
        </w:rPr>
        <w:t> </w:t>
      </w:r>
      <w:r w:rsidR="00922DA6" w:rsidRPr="003A0655">
        <w:rPr>
          <w:rFonts w:asciiTheme="majorBidi" w:hAnsiTheme="majorBidi" w:cstheme="majorBidi"/>
        </w:rPr>
        <w:t xml:space="preserve">; The Japan </w:t>
      </w:r>
      <w:proofErr w:type="spellStart"/>
      <w:r w:rsidR="00922DA6" w:rsidRPr="003A0655">
        <w:rPr>
          <w:rFonts w:asciiTheme="majorBidi" w:hAnsiTheme="majorBidi" w:cstheme="majorBidi"/>
        </w:rPr>
        <w:t>Refrigeration</w:t>
      </w:r>
      <w:proofErr w:type="spellEnd"/>
      <w:r w:rsidR="00922DA6" w:rsidRPr="003A0655">
        <w:rPr>
          <w:rFonts w:asciiTheme="majorBidi" w:hAnsiTheme="majorBidi" w:cstheme="majorBidi"/>
        </w:rPr>
        <w:t xml:space="preserve"> and Air </w:t>
      </w:r>
      <w:proofErr w:type="spellStart"/>
      <w:r w:rsidR="00922DA6" w:rsidRPr="003A0655">
        <w:rPr>
          <w:rFonts w:asciiTheme="majorBidi" w:hAnsiTheme="majorBidi" w:cstheme="majorBidi"/>
        </w:rPr>
        <w:t>Conditioning</w:t>
      </w:r>
      <w:proofErr w:type="spellEnd"/>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Industry</w:t>
      </w:r>
      <w:proofErr w:type="spellEnd"/>
      <w:r w:rsidR="00922DA6" w:rsidRPr="003A0655">
        <w:rPr>
          <w:rFonts w:asciiTheme="majorBidi" w:hAnsiTheme="majorBidi" w:cstheme="majorBidi"/>
        </w:rPr>
        <w:t xml:space="preserve"> Association</w:t>
      </w:r>
      <w:r w:rsidR="003C3DAE" w:rsidRPr="003A0655">
        <w:rPr>
          <w:rFonts w:asciiTheme="majorBidi" w:hAnsiTheme="majorBidi" w:cstheme="majorBidi"/>
        </w:rPr>
        <w:t> </w:t>
      </w:r>
      <w:r w:rsidR="00922DA6" w:rsidRPr="003A0655">
        <w:rPr>
          <w:rFonts w:asciiTheme="majorBidi" w:hAnsiTheme="majorBidi" w:cstheme="majorBidi"/>
        </w:rPr>
        <w:t xml:space="preserve">; </w:t>
      </w:r>
      <w:proofErr w:type="spellStart"/>
      <w:r w:rsidR="00922DA6" w:rsidRPr="003A0655">
        <w:rPr>
          <w:rFonts w:asciiTheme="majorBidi" w:hAnsiTheme="majorBidi" w:cstheme="majorBidi"/>
        </w:rPr>
        <w:t>Tradewater</w:t>
      </w:r>
      <w:proofErr w:type="spellEnd"/>
      <w:r w:rsidR="000A200B" w:rsidRPr="003A0655">
        <w:rPr>
          <w:rFonts w:asciiTheme="majorBidi" w:hAnsiTheme="majorBidi" w:cstheme="majorBidi"/>
        </w:rPr>
        <w:t> ; université de Leyde.</w:t>
      </w:r>
      <w:r w:rsidR="00922DA6" w:rsidRPr="003A0655">
        <w:rPr>
          <w:rFonts w:asciiTheme="majorBidi" w:hAnsiTheme="majorBidi" w:cstheme="majorBidi"/>
        </w:rPr>
        <w:t xml:space="preserve"> </w:t>
      </w:r>
      <w:r w:rsidR="00922DA6" w:rsidRPr="003A0655">
        <w:t>Quelques expert(e)s indépendant(e)s ont également assisté à la réunion.</w:t>
      </w:r>
    </w:p>
    <w:p w14:paraId="20F76906" w14:textId="3CA92F89" w:rsidR="00C20895" w:rsidRPr="003A0655" w:rsidRDefault="00B90544" w:rsidP="00AB635F">
      <w:pPr>
        <w:pStyle w:val="CH2"/>
      </w:pPr>
      <w:r w:rsidRPr="003A0655">
        <w:tab/>
      </w:r>
      <w:r w:rsidR="008E258D" w:rsidRPr="003A0655">
        <w:rPr>
          <w:bCs/>
        </w:rPr>
        <w:t>B</w:t>
      </w:r>
      <w:r w:rsidRPr="003A0655">
        <w:rPr>
          <w:bCs/>
        </w:rPr>
        <w:t>.</w:t>
      </w:r>
      <w:r w:rsidRPr="003A0655">
        <w:tab/>
      </w:r>
      <w:r w:rsidRPr="003A0655">
        <w:rPr>
          <w:bCs/>
        </w:rPr>
        <w:t>Adoption de l</w:t>
      </w:r>
      <w:r w:rsidR="000B3BB8" w:rsidRPr="003A0655">
        <w:rPr>
          <w:bCs/>
        </w:rPr>
        <w:t>’</w:t>
      </w:r>
      <w:r w:rsidRPr="003A0655">
        <w:rPr>
          <w:bCs/>
        </w:rPr>
        <w:t>ordre du jour du débat préparatoire</w:t>
      </w:r>
    </w:p>
    <w:p w14:paraId="4E84BE48" w14:textId="15430193" w:rsidR="00F978AD" w:rsidRPr="003A0655" w:rsidRDefault="00F978AD" w:rsidP="00AB635F">
      <w:pPr>
        <w:pStyle w:val="Normalnumber"/>
        <w:tabs>
          <w:tab w:val="clear" w:pos="1247"/>
        </w:tabs>
      </w:pPr>
      <w:r w:rsidRPr="003A0655">
        <w:t>Présentant l</w:t>
      </w:r>
      <w:r w:rsidR="000B3BB8" w:rsidRPr="003A0655">
        <w:t>’</w:t>
      </w:r>
      <w:r w:rsidRPr="003A0655">
        <w:t>ordre du jour provisoire du débat préparatoire figurant dans le document UNEP/OzL.Pro.37/1, la Coprésidente a indiqué que, le 30</w:t>
      </w:r>
      <w:r w:rsidR="003534AB" w:rsidRPr="003A0655">
        <w:t> </w:t>
      </w:r>
      <w:r w:rsidRPr="003A0655">
        <w:t>octobre 2025, le Secrétariat avait été informé que l</w:t>
      </w:r>
      <w:r w:rsidR="000B3BB8" w:rsidRPr="003A0655">
        <w:t>’</w:t>
      </w:r>
      <w:r w:rsidRPr="003A0655">
        <w:t>État de Palestine souhaitait reporter à la trente-huitième Réunion des Parties l</w:t>
      </w:r>
      <w:r w:rsidR="000B3BB8" w:rsidRPr="003A0655">
        <w:t>’</w:t>
      </w:r>
      <w:r w:rsidRPr="003A0655">
        <w:t>examen du point de l</w:t>
      </w:r>
      <w:r w:rsidR="000B3BB8" w:rsidRPr="003A0655">
        <w:t>’</w:t>
      </w:r>
      <w:r w:rsidRPr="003A0655">
        <w:t xml:space="preserve">ordre du jour intitulé </w:t>
      </w:r>
      <w:r w:rsidR="00CA3F7F" w:rsidRPr="003A0655">
        <w:t>« </w:t>
      </w:r>
      <w:r w:rsidRPr="003A0655">
        <w:t>Classification de l</w:t>
      </w:r>
      <w:r w:rsidR="000B3BB8" w:rsidRPr="003A0655">
        <w:t>’</w:t>
      </w:r>
      <w:r w:rsidRPr="003A0655">
        <w:t>État de Palestine en tant que Partie visée au paragraphe</w:t>
      </w:r>
      <w:r w:rsidR="00873E18" w:rsidRPr="003A0655">
        <w:t> </w:t>
      </w:r>
      <w:r w:rsidRPr="003A0655">
        <w:t>1 de l</w:t>
      </w:r>
      <w:r w:rsidR="000B3BB8" w:rsidRPr="003A0655">
        <w:t>’</w:t>
      </w:r>
      <w:r w:rsidRPr="003A0655">
        <w:t>article</w:t>
      </w:r>
      <w:r w:rsidR="003534AB" w:rsidRPr="003A0655">
        <w:t> </w:t>
      </w:r>
      <w:r w:rsidRPr="003A0655">
        <w:t>5 du Protocole de</w:t>
      </w:r>
      <w:r w:rsidR="003534AB" w:rsidRPr="003A0655">
        <w:t> </w:t>
      </w:r>
      <w:r w:rsidRPr="003A0655">
        <w:t>Montréal et accès à l</w:t>
      </w:r>
      <w:r w:rsidR="000B3BB8" w:rsidRPr="003A0655">
        <w:t>’</w:t>
      </w:r>
      <w:r w:rsidRPr="003A0655">
        <w:t>assistance du Fonds multilatéral</w:t>
      </w:r>
      <w:r w:rsidR="00CA3F7F" w:rsidRPr="003A0655">
        <w:t> »</w:t>
      </w:r>
      <w:r w:rsidRPr="003A0655">
        <w:t>. En</w:t>
      </w:r>
      <w:r w:rsidR="00873E18" w:rsidRPr="003A0655">
        <w:t> </w:t>
      </w:r>
      <w:r w:rsidRPr="003A0655">
        <w:t xml:space="preserve">conséquence, les Parties </w:t>
      </w:r>
      <w:r w:rsidR="00404DB6" w:rsidRPr="003A0655">
        <w:t>s</w:t>
      </w:r>
      <w:r w:rsidRPr="003A0655">
        <w:t>ont convenu</w:t>
      </w:r>
      <w:r w:rsidR="00404DB6" w:rsidRPr="003A0655">
        <w:t>es</w:t>
      </w:r>
      <w:r w:rsidRPr="003A0655">
        <w:t xml:space="preserve"> de reporter l</w:t>
      </w:r>
      <w:r w:rsidR="000B3BB8" w:rsidRPr="003A0655">
        <w:t>’</w:t>
      </w:r>
      <w:r w:rsidRPr="003A0655">
        <w:t>examen de ce point à la trente</w:t>
      </w:r>
      <w:r w:rsidR="00F436AF" w:rsidRPr="003A0655">
        <w:noBreakHyphen/>
      </w:r>
      <w:r w:rsidRPr="003A0655">
        <w:t>huitième</w:t>
      </w:r>
      <w:r w:rsidR="00F436AF" w:rsidRPr="003A0655">
        <w:t> </w:t>
      </w:r>
      <w:r w:rsidRPr="003A0655">
        <w:t>Réunion des Parties.</w:t>
      </w:r>
    </w:p>
    <w:p w14:paraId="5584A559" w14:textId="537528F8" w:rsidR="00F242FF" w:rsidRPr="003A0655" w:rsidRDefault="00261D36" w:rsidP="00AB635F">
      <w:pPr>
        <w:pStyle w:val="Normalnumber"/>
        <w:tabs>
          <w:tab w:val="clear" w:pos="1247"/>
        </w:tabs>
      </w:pPr>
      <w:r w:rsidRPr="003A0655">
        <w:t>Le représentant de l</w:t>
      </w:r>
      <w:r w:rsidR="000B3BB8" w:rsidRPr="003A0655">
        <w:t>’</w:t>
      </w:r>
      <w:r w:rsidRPr="003A0655">
        <w:t>État de Palestine a déclaré que, compte tenu des discussions qui avaient eu lieu à la quarante-septième</w:t>
      </w:r>
      <w:r w:rsidR="003534AB" w:rsidRPr="003A0655">
        <w:t> </w:t>
      </w:r>
      <w:r w:rsidRPr="003A0655">
        <w:t>réunion du Groupe de travail à composition non limitée des Parties au Protocole de</w:t>
      </w:r>
      <w:r w:rsidR="003534AB" w:rsidRPr="003A0655">
        <w:t> </w:t>
      </w:r>
      <w:r w:rsidRPr="003A0655">
        <w:t>Montréal, sa délégation avait demandé le report de ce point de l</w:t>
      </w:r>
      <w:r w:rsidR="000B3BB8" w:rsidRPr="003A0655">
        <w:t>’</w:t>
      </w:r>
      <w:r w:rsidRPr="003A0655">
        <w:t>ordre du jour afin de disposer de plus de temps et de mener des consultations supplémentaires en vue de parvenir à un consensus sur la question.</w:t>
      </w:r>
    </w:p>
    <w:p w14:paraId="5CC83553" w14:textId="64974E77" w:rsidR="00F978AD" w:rsidRPr="003A0655" w:rsidRDefault="00F242FF" w:rsidP="00AB635F">
      <w:pPr>
        <w:pStyle w:val="Normalnumber"/>
        <w:tabs>
          <w:tab w:val="clear" w:pos="1247"/>
        </w:tabs>
      </w:pPr>
      <w:r w:rsidRPr="003A0655">
        <w:t>Un représentant a déclaré qu</w:t>
      </w:r>
      <w:r w:rsidR="000B3BB8" w:rsidRPr="003A0655">
        <w:t>’</w:t>
      </w:r>
      <w:r w:rsidRPr="003A0655">
        <w:t>il souhaitait maintenir et renouveler les observations générales et les réserves formulées précédemment par sa délégation sur les questions liées au point de l</w:t>
      </w:r>
      <w:r w:rsidR="000B3BB8" w:rsidRPr="003A0655">
        <w:t>’</w:t>
      </w:r>
      <w:r w:rsidRPr="003A0655">
        <w:t>ordre du jour en question. Un autre représentant a déclaré qu</w:t>
      </w:r>
      <w:r w:rsidR="000B3BB8" w:rsidRPr="003A0655">
        <w:t>’</w:t>
      </w:r>
      <w:r w:rsidRPr="003A0655">
        <w:t>il souhaitait soulever à nouveau les points déjà soulevés par sa délégation lors des réunions précédentes, y</w:t>
      </w:r>
      <w:r w:rsidR="00AF605F" w:rsidRPr="003A0655">
        <w:t> </w:t>
      </w:r>
      <w:r w:rsidRPr="003A0655">
        <w:t>compris à la quarante-septième réunion du Groupe de travail à composition non limitée, à savoir que l</w:t>
      </w:r>
      <w:r w:rsidR="000B3BB8" w:rsidRPr="003A0655">
        <w:t>’</w:t>
      </w:r>
      <w:r w:rsidRPr="003A0655">
        <w:t>examen de ce point de l</w:t>
      </w:r>
      <w:r w:rsidR="000B3BB8" w:rsidRPr="003A0655">
        <w:t>’</w:t>
      </w:r>
      <w:r w:rsidRPr="003A0655">
        <w:t>ordre du jour devrait comprendre une discussion plus générale sur la ventilation des Parties intéressées selon qu</w:t>
      </w:r>
      <w:r w:rsidR="000B3BB8" w:rsidRPr="003A0655">
        <w:t>’</w:t>
      </w:r>
      <w:r w:rsidRPr="003A0655">
        <w:t>elles sont ou non visées au paragraphe</w:t>
      </w:r>
      <w:r w:rsidR="003534AB" w:rsidRPr="003A0655">
        <w:t> </w:t>
      </w:r>
      <w:r w:rsidRPr="003A0655">
        <w:t>1 de l</w:t>
      </w:r>
      <w:r w:rsidR="000B3BB8" w:rsidRPr="003A0655">
        <w:t>’</w:t>
      </w:r>
      <w:r w:rsidRPr="003A0655">
        <w:t>article</w:t>
      </w:r>
      <w:r w:rsidR="003534AB" w:rsidRPr="003A0655">
        <w:t> </w:t>
      </w:r>
      <w:r w:rsidRPr="003A0655">
        <w:t>5 (Parties visées ou non visées à l</w:t>
      </w:r>
      <w:r w:rsidR="000B3BB8" w:rsidRPr="003A0655">
        <w:t>’</w:t>
      </w:r>
      <w:r w:rsidRPr="003A0655">
        <w:t>article</w:t>
      </w:r>
      <w:r w:rsidR="005C6274" w:rsidRPr="003A0655">
        <w:t> </w:t>
      </w:r>
      <w:r w:rsidRPr="003A0655">
        <w:t>5). Une représentante a souligné que les discussions devaient rester constructives et se concentrer sur les questions techniques, qu</w:t>
      </w:r>
      <w:r w:rsidR="000B3BB8" w:rsidRPr="003A0655">
        <w:t>’</w:t>
      </w:r>
      <w:r w:rsidRPr="003A0655">
        <w:t>il fallait éviter de débattre des questions plus générales et politisées et que les Parties visé</w:t>
      </w:r>
      <w:r w:rsidR="00D121B9" w:rsidRPr="003A0655">
        <w:t>e</w:t>
      </w:r>
      <w:r w:rsidRPr="003A0655">
        <w:t>s à l</w:t>
      </w:r>
      <w:r w:rsidR="000B3BB8" w:rsidRPr="003A0655">
        <w:t>’</w:t>
      </w:r>
      <w:r w:rsidRPr="003A0655">
        <w:t>article</w:t>
      </w:r>
      <w:r w:rsidR="005C6274" w:rsidRPr="003A0655">
        <w:t> </w:t>
      </w:r>
      <w:r w:rsidRPr="003A0655">
        <w:t xml:space="preserve">5 </w:t>
      </w:r>
      <w:r w:rsidR="00404DB6" w:rsidRPr="003A0655">
        <w:t xml:space="preserve">qui étaient des pays en développement </w:t>
      </w:r>
      <w:r w:rsidRPr="003A0655">
        <w:t>avaient droit à une assistance financière et technique à l</w:t>
      </w:r>
      <w:r w:rsidR="000B3BB8" w:rsidRPr="003A0655">
        <w:t>’</w:t>
      </w:r>
      <w:r w:rsidRPr="003A0655">
        <w:t>appui de la mise en œuvre du Protocole de</w:t>
      </w:r>
      <w:r w:rsidR="005C6274" w:rsidRPr="003A0655">
        <w:t> </w:t>
      </w:r>
      <w:r w:rsidRPr="003A0655">
        <w:t>Montréal.</w:t>
      </w:r>
    </w:p>
    <w:p w14:paraId="07B2A3DF" w14:textId="114BFA0B" w:rsidR="00F978AD" w:rsidRPr="003A0655" w:rsidRDefault="00F978AD" w:rsidP="00A23C7D">
      <w:pPr>
        <w:pStyle w:val="Normalnumber"/>
        <w:keepNext/>
        <w:keepLines/>
        <w:tabs>
          <w:tab w:val="clear" w:pos="1247"/>
        </w:tabs>
      </w:pPr>
      <w:r w:rsidRPr="003A0655">
        <w:t>L</w:t>
      </w:r>
      <w:r w:rsidR="000B3BB8" w:rsidRPr="003A0655">
        <w:t>’</w:t>
      </w:r>
      <w:r w:rsidRPr="003A0655">
        <w:t>ordre du jour ci-après du débat préparatoire a été adopté sur la base de l</w:t>
      </w:r>
      <w:r w:rsidR="000B3BB8" w:rsidRPr="003A0655">
        <w:t>’</w:t>
      </w:r>
      <w:r w:rsidRPr="003A0655">
        <w:t>ordre du jour provisoire publié sous la cote UNEP/OzL.Pro.37/1, tel que modifié oralement</w:t>
      </w:r>
      <w:r w:rsidR="003B49F4" w:rsidRPr="003A0655">
        <w:t> </w:t>
      </w:r>
      <w:r w:rsidRPr="003A0655">
        <w:t>:</w:t>
      </w:r>
    </w:p>
    <w:p w14:paraId="6B455902" w14:textId="77777777" w:rsidR="00F978AD" w:rsidRPr="003A0655" w:rsidRDefault="00F978AD" w:rsidP="00A23C7D">
      <w:pPr>
        <w:pStyle w:val="NormalNonumber"/>
        <w:keepNext/>
        <w:keepLines/>
        <w:numPr>
          <w:ilvl w:val="0"/>
          <w:numId w:val="16"/>
        </w:numPr>
        <w:tabs>
          <w:tab w:val="clear" w:pos="1247"/>
          <w:tab w:val="clear" w:pos="1871"/>
          <w:tab w:val="clear" w:pos="2495"/>
          <w:tab w:val="clear" w:pos="3119"/>
          <w:tab w:val="clear" w:pos="3742"/>
          <w:tab w:val="clear" w:pos="4366"/>
        </w:tabs>
        <w:spacing w:after="116"/>
        <w:ind w:left="2495" w:hanging="624"/>
      </w:pPr>
      <w:r w:rsidRPr="003A0655">
        <w:t>Ouverture du débat préparatoire.</w:t>
      </w:r>
    </w:p>
    <w:p w14:paraId="5E748801" w14:textId="434323F1" w:rsidR="00F978AD" w:rsidRPr="003A0655" w:rsidRDefault="00F978AD" w:rsidP="00A23C7D">
      <w:pPr>
        <w:pStyle w:val="NormalNonumber"/>
        <w:keepNext/>
        <w:keepLines/>
        <w:numPr>
          <w:ilvl w:val="0"/>
          <w:numId w:val="16"/>
        </w:numPr>
        <w:tabs>
          <w:tab w:val="clear" w:pos="1247"/>
          <w:tab w:val="clear" w:pos="1871"/>
          <w:tab w:val="clear" w:pos="2495"/>
          <w:tab w:val="clear" w:pos="3119"/>
          <w:tab w:val="clear" w:pos="3742"/>
          <w:tab w:val="clear" w:pos="4366"/>
        </w:tabs>
        <w:spacing w:after="116"/>
        <w:ind w:left="2495" w:hanging="624"/>
      </w:pPr>
      <w:r w:rsidRPr="003A0655">
        <w:t>Questions d</w:t>
      </w:r>
      <w:r w:rsidR="000B3BB8" w:rsidRPr="003A0655">
        <w:t>’</w:t>
      </w:r>
      <w:r w:rsidRPr="003A0655">
        <w:t>organisation</w:t>
      </w:r>
      <w:r w:rsidR="00C75E81" w:rsidRPr="003A0655">
        <w:t> </w:t>
      </w:r>
      <w:r w:rsidRPr="003A0655">
        <w:t>:</w:t>
      </w:r>
    </w:p>
    <w:p w14:paraId="379265F5" w14:textId="3E426252" w:rsidR="00F978AD" w:rsidRPr="003A0655" w:rsidRDefault="00F978AD" w:rsidP="00AB635F">
      <w:pPr>
        <w:pStyle w:val="NormalNonumber"/>
        <w:numPr>
          <w:ilvl w:val="0"/>
          <w:numId w:val="17"/>
        </w:numPr>
        <w:tabs>
          <w:tab w:val="clear" w:pos="624"/>
          <w:tab w:val="clear" w:pos="1247"/>
          <w:tab w:val="clear" w:pos="1871"/>
          <w:tab w:val="clear" w:pos="2495"/>
          <w:tab w:val="clear" w:pos="3119"/>
          <w:tab w:val="clear" w:pos="3742"/>
          <w:tab w:val="clear" w:pos="4366"/>
        </w:tabs>
        <w:spacing w:after="116"/>
        <w:ind w:left="3119" w:hanging="624"/>
      </w:pPr>
      <w:r w:rsidRPr="003A0655">
        <w:t>Adoption de l</w:t>
      </w:r>
      <w:r w:rsidR="000B3BB8" w:rsidRPr="003A0655">
        <w:t>’</w:t>
      </w:r>
      <w:r w:rsidRPr="003A0655">
        <w:t>ordre du jour du débat préparatoire ;</w:t>
      </w:r>
    </w:p>
    <w:p w14:paraId="065E2872" w14:textId="77777777" w:rsidR="00F978AD" w:rsidRPr="003A0655" w:rsidRDefault="00F978AD" w:rsidP="00AB635F">
      <w:pPr>
        <w:pStyle w:val="NormalNonumber"/>
        <w:numPr>
          <w:ilvl w:val="0"/>
          <w:numId w:val="17"/>
        </w:numPr>
        <w:tabs>
          <w:tab w:val="clear" w:pos="624"/>
          <w:tab w:val="clear" w:pos="1247"/>
          <w:tab w:val="clear" w:pos="1871"/>
          <w:tab w:val="clear" w:pos="2495"/>
          <w:tab w:val="clear" w:pos="3119"/>
          <w:tab w:val="clear" w:pos="3742"/>
          <w:tab w:val="clear" w:pos="4366"/>
        </w:tabs>
        <w:spacing w:after="116"/>
        <w:ind w:left="3119" w:hanging="624"/>
      </w:pPr>
      <w:r w:rsidRPr="003A0655">
        <w:t>Organisation des travaux.</w:t>
      </w:r>
    </w:p>
    <w:p w14:paraId="654258FB" w14:textId="77777777" w:rsidR="00F978AD" w:rsidRPr="003A0655" w:rsidRDefault="00F978AD" w:rsidP="00F978AD">
      <w:pPr>
        <w:pStyle w:val="NormalNonumber"/>
        <w:numPr>
          <w:ilvl w:val="0"/>
          <w:numId w:val="16"/>
        </w:numPr>
        <w:tabs>
          <w:tab w:val="clear" w:pos="1247"/>
          <w:tab w:val="clear" w:pos="1871"/>
          <w:tab w:val="clear" w:pos="2495"/>
          <w:tab w:val="clear" w:pos="3119"/>
          <w:tab w:val="clear" w:pos="3742"/>
          <w:tab w:val="clear" w:pos="4366"/>
        </w:tabs>
        <w:spacing w:after="116"/>
        <w:ind w:left="2495" w:hanging="624"/>
      </w:pPr>
      <w:r w:rsidRPr="003A0655">
        <w:t>Questions administratives :</w:t>
      </w:r>
    </w:p>
    <w:p w14:paraId="3D5C7E89" w14:textId="2E98ED32" w:rsidR="00F978AD" w:rsidRPr="003A0655" w:rsidRDefault="00F978AD" w:rsidP="00AB635F">
      <w:pPr>
        <w:pStyle w:val="NormalNonumber"/>
        <w:numPr>
          <w:ilvl w:val="0"/>
          <w:numId w:val="18"/>
        </w:numPr>
        <w:tabs>
          <w:tab w:val="clear" w:pos="624"/>
          <w:tab w:val="clear" w:pos="1247"/>
          <w:tab w:val="clear" w:pos="1871"/>
          <w:tab w:val="clear" w:pos="2495"/>
          <w:tab w:val="clear" w:pos="3119"/>
          <w:tab w:val="clear" w:pos="3742"/>
          <w:tab w:val="clear" w:pos="4366"/>
        </w:tabs>
        <w:spacing w:after="116"/>
        <w:ind w:left="3119" w:hanging="624"/>
      </w:pPr>
      <w:r w:rsidRPr="003A0655">
        <w:t>Budget du fonds d</w:t>
      </w:r>
      <w:r w:rsidR="000B3BB8" w:rsidRPr="003A0655">
        <w:t>’</w:t>
      </w:r>
      <w:r w:rsidRPr="003A0655">
        <w:t>affectation spéciale pour le Protocole de Montréal et rapports financiers ;</w:t>
      </w:r>
    </w:p>
    <w:p w14:paraId="206F1015" w14:textId="5B7D8DF5" w:rsidR="00F978AD" w:rsidRPr="003A0655" w:rsidRDefault="00F978AD" w:rsidP="00AB635F">
      <w:pPr>
        <w:pStyle w:val="NormalNonumber"/>
        <w:numPr>
          <w:ilvl w:val="0"/>
          <w:numId w:val="18"/>
        </w:numPr>
        <w:tabs>
          <w:tab w:val="clear" w:pos="624"/>
          <w:tab w:val="clear" w:pos="1247"/>
          <w:tab w:val="clear" w:pos="1871"/>
          <w:tab w:val="clear" w:pos="2495"/>
          <w:tab w:val="clear" w:pos="3119"/>
          <w:tab w:val="clear" w:pos="3742"/>
          <w:tab w:val="clear" w:pos="4366"/>
        </w:tabs>
        <w:spacing w:after="116"/>
        <w:ind w:left="3119" w:hanging="624"/>
      </w:pPr>
      <w:r w:rsidRPr="003A0655">
        <w:t>Examen de la composition des organes du Protocole de Montréal en 2026 :</w:t>
      </w:r>
    </w:p>
    <w:p w14:paraId="5FC8C5F3" w14:textId="41F739CD" w:rsidR="00F978AD" w:rsidRPr="003A0655" w:rsidRDefault="00F978AD" w:rsidP="00AB635F">
      <w:pPr>
        <w:pStyle w:val="NormalNonumber"/>
        <w:numPr>
          <w:ilvl w:val="1"/>
          <w:numId w:val="19"/>
        </w:numPr>
        <w:tabs>
          <w:tab w:val="clear" w:pos="1247"/>
          <w:tab w:val="clear" w:pos="1871"/>
          <w:tab w:val="clear" w:pos="2495"/>
          <w:tab w:val="clear" w:pos="3119"/>
          <w:tab w:val="clear" w:pos="3742"/>
          <w:tab w:val="clear" w:pos="4366"/>
        </w:tabs>
        <w:spacing w:after="116"/>
        <w:ind w:left="3743" w:hanging="624"/>
      </w:pPr>
      <w:r w:rsidRPr="003A0655">
        <w:t>Membres du Comité d</w:t>
      </w:r>
      <w:r w:rsidR="000B3BB8" w:rsidRPr="003A0655">
        <w:t>’</w:t>
      </w:r>
      <w:r w:rsidRPr="003A0655">
        <w:t>application de la procédure applicable en cas de non-respect du Protocole de Montréal ;</w:t>
      </w:r>
    </w:p>
    <w:p w14:paraId="345EF0B1" w14:textId="47BB65E4" w:rsidR="00F978AD" w:rsidRPr="003A0655" w:rsidRDefault="00F978AD" w:rsidP="00AB635F">
      <w:pPr>
        <w:pStyle w:val="NormalNonumber"/>
        <w:numPr>
          <w:ilvl w:val="1"/>
          <w:numId w:val="19"/>
        </w:numPr>
        <w:tabs>
          <w:tab w:val="clear" w:pos="1247"/>
          <w:tab w:val="clear" w:pos="1871"/>
          <w:tab w:val="clear" w:pos="2495"/>
          <w:tab w:val="clear" w:pos="3119"/>
          <w:tab w:val="clear" w:pos="3742"/>
          <w:tab w:val="clear" w:pos="4366"/>
        </w:tabs>
        <w:spacing w:after="116"/>
        <w:ind w:left="3743" w:hanging="624"/>
      </w:pPr>
      <w:r w:rsidRPr="003A0655">
        <w:t>Membres du Comité exécutif du Fonds multilatéral aux fins d</w:t>
      </w:r>
      <w:r w:rsidR="000B3BB8" w:rsidRPr="003A0655">
        <w:t>’</w:t>
      </w:r>
      <w:r w:rsidRPr="003A0655">
        <w:t>application du Protocole de Montréal ;</w:t>
      </w:r>
    </w:p>
    <w:p w14:paraId="394481FB" w14:textId="77777777" w:rsidR="00F978AD" w:rsidRPr="003A0655" w:rsidRDefault="00F978AD" w:rsidP="00AB635F">
      <w:pPr>
        <w:pStyle w:val="NormalNonumber"/>
        <w:numPr>
          <w:ilvl w:val="1"/>
          <w:numId w:val="19"/>
        </w:numPr>
        <w:tabs>
          <w:tab w:val="clear" w:pos="1247"/>
          <w:tab w:val="clear" w:pos="1871"/>
          <w:tab w:val="clear" w:pos="2495"/>
          <w:tab w:val="clear" w:pos="3119"/>
          <w:tab w:val="clear" w:pos="3742"/>
          <w:tab w:val="clear" w:pos="4366"/>
        </w:tabs>
        <w:spacing w:after="116"/>
        <w:ind w:left="3743" w:hanging="624"/>
      </w:pPr>
      <w:r w:rsidRPr="003A0655">
        <w:t>Coprésident(e)s du Groupe de travail à composition non limitée.</w:t>
      </w:r>
    </w:p>
    <w:p w14:paraId="143B3F32" w14:textId="1D72E8AE" w:rsidR="00F978AD" w:rsidRPr="003A0655" w:rsidRDefault="00F978AD" w:rsidP="00F978AD">
      <w:pPr>
        <w:pStyle w:val="NormalNonumber"/>
        <w:numPr>
          <w:ilvl w:val="0"/>
          <w:numId w:val="16"/>
        </w:numPr>
        <w:tabs>
          <w:tab w:val="clear" w:pos="1247"/>
          <w:tab w:val="clear" w:pos="1871"/>
          <w:tab w:val="clear" w:pos="2495"/>
          <w:tab w:val="clear" w:pos="3119"/>
          <w:tab w:val="clear" w:pos="3742"/>
          <w:tab w:val="clear" w:pos="4366"/>
        </w:tabs>
        <w:spacing w:after="116"/>
        <w:ind w:left="2495" w:hanging="624"/>
      </w:pPr>
      <w:r w:rsidRPr="003A0655">
        <w:t>Cadre de l</w:t>
      </w:r>
      <w:r w:rsidR="000B3BB8" w:rsidRPr="003A0655">
        <w:t>’</w:t>
      </w:r>
      <w:r w:rsidRPr="003A0655">
        <w:t>étude sur la reconstitution du Fonds multilatéral aux fins d</w:t>
      </w:r>
      <w:r w:rsidR="000B3BB8" w:rsidRPr="003A0655">
        <w:t>’</w:t>
      </w:r>
      <w:r w:rsidRPr="003A0655">
        <w:t>application du Protocole de Montréal pour la période 2027-2029.</w:t>
      </w:r>
    </w:p>
    <w:p w14:paraId="3FF41FCE" w14:textId="495A427E" w:rsidR="00F978AD" w:rsidRPr="003A0655" w:rsidRDefault="00F978AD" w:rsidP="00F978AD">
      <w:pPr>
        <w:pStyle w:val="NormalNonumber"/>
        <w:numPr>
          <w:ilvl w:val="0"/>
          <w:numId w:val="16"/>
        </w:numPr>
        <w:tabs>
          <w:tab w:val="clear" w:pos="1247"/>
          <w:tab w:val="clear" w:pos="1871"/>
          <w:tab w:val="clear" w:pos="2495"/>
          <w:tab w:val="clear" w:pos="3119"/>
          <w:tab w:val="clear" w:pos="3742"/>
          <w:tab w:val="clear" w:pos="4366"/>
        </w:tabs>
        <w:spacing w:after="116"/>
        <w:ind w:left="2495" w:hanging="624"/>
      </w:pPr>
      <w:r w:rsidRPr="003A0655">
        <w:lastRenderedPageBreak/>
        <w:t>Émissions d</w:t>
      </w:r>
      <w:r w:rsidR="000B3BB8" w:rsidRPr="003A0655">
        <w:t>’</w:t>
      </w:r>
      <w:proofErr w:type="spellStart"/>
      <w:r w:rsidRPr="003A0655">
        <w:t>hydrofluorocarbone</w:t>
      </w:r>
      <w:proofErr w:type="spellEnd"/>
      <w:r w:rsidR="005C6274" w:rsidRPr="003A0655">
        <w:t> </w:t>
      </w:r>
      <w:r w:rsidRPr="003A0655">
        <w:t>23 (HFC-23) (décision</w:t>
      </w:r>
      <w:r w:rsidR="005C6274" w:rsidRPr="003A0655">
        <w:t> </w:t>
      </w:r>
      <w:r w:rsidRPr="003A0655">
        <w:t>XXXVI/3).</w:t>
      </w:r>
    </w:p>
    <w:p w14:paraId="1374F5FC" w14:textId="42C6AB36" w:rsidR="00F978AD" w:rsidRPr="003A0655" w:rsidRDefault="00F978AD" w:rsidP="00F978AD">
      <w:pPr>
        <w:pStyle w:val="NormalNonumber"/>
        <w:numPr>
          <w:ilvl w:val="0"/>
          <w:numId w:val="16"/>
        </w:numPr>
        <w:tabs>
          <w:tab w:val="clear" w:pos="1247"/>
          <w:tab w:val="clear" w:pos="1871"/>
          <w:tab w:val="clear" w:pos="2495"/>
          <w:tab w:val="clear" w:pos="3119"/>
          <w:tab w:val="clear" w:pos="3742"/>
          <w:tab w:val="clear" w:pos="4366"/>
        </w:tabs>
        <w:spacing w:after="116"/>
        <w:ind w:left="2495" w:hanging="624"/>
      </w:pPr>
      <w:r w:rsidRPr="003A0655">
        <w:t>Amélioration de la surveillance atmosphérique régionale des substances réglementées par le Protocole de Montréal (décision</w:t>
      </w:r>
      <w:r w:rsidR="006E4FFB" w:rsidRPr="003A0655">
        <w:t> </w:t>
      </w:r>
      <w:r w:rsidRPr="003A0655">
        <w:t>XXXVI/1).</w:t>
      </w:r>
    </w:p>
    <w:p w14:paraId="090D775A" w14:textId="5B058EC6" w:rsidR="00F978AD" w:rsidRPr="003A0655" w:rsidRDefault="00F978AD" w:rsidP="00F978AD">
      <w:pPr>
        <w:pStyle w:val="NormalNonumber"/>
        <w:numPr>
          <w:ilvl w:val="0"/>
          <w:numId w:val="16"/>
        </w:numPr>
        <w:tabs>
          <w:tab w:val="clear" w:pos="1247"/>
          <w:tab w:val="clear" w:pos="1871"/>
          <w:tab w:val="clear" w:pos="2495"/>
          <w:tab w:val="clear" w:pos="3119"/>
          <w:tab w:val="clear" w:pos="3742"/>
          <w:tab w:val="clear" w:pos="4366"/>
        </w:tabs>
        <w:spacing w:after="116"/>
        <w:ind w:left="2495" w:hanging="624"/>
      </w:pPr>
      <w:r w:rsidRPr="003A0655">
        <w:t>Élaboration d</w:t>
      </w:r>
      <w:r w:rsidR="000B3BB8" w:rsidRPr="003A0655">
        <w:t>’</w:t>
      </w:r>
      <w:r w:rsidRPr="003A0655">
        <w:t>études et de stratégies pour trouver des solutions à moyen et long terme à l</w:t>
      </w:r>
      <w:r w:rsidR="000B3BB8" w:rsidRPr="003A0655">
        <w:t>’</w:t>
      </w:r>
      <w:r w:rsidRPr="003A0655">
        <w:t>accumulation importante de stocks de gaz réfrigérants qui approchent la fin de leur cycle de vie dans les Parties visées au paragraphe</w:t>
      </w:r>
      <w:r w:rsidR="006E4FFB" w:rsidRPr="003A0655">
        <w:t> </w:t>
      </w:r>
      <w:r w:rsidRPr="003A0655">
        <w:t>1 de l</w:t>
      </w:r>
      <w:r w:rsidR="000B3BB8" w:rsidRPr="003A0655">
        <w:t>’</w:t>
      </w:r>
      <w:r w:rsidRPr="003A0655">
        <w:t>article</w:t>
      </w:r>
      <w:r w:rsidR="006E4FFB" w:rsidRPr="003A0655">
        <w:t> </w:t>
      </w:r>
      <w:r w:rsidRPr="003A0655">
        <w:t>5 du Protocole de</w:t>
      </w:r>
      <w:r w:rsidR="006E4FFB" w:rsidRPr="003A0655">
        <w:t> </w:t>
      </w:r>
      <w:r w:rsidRPr="003A0655">
        <w:t>Montréal.</w:t>
      </w:r>
    </w:p>
    <w:p w14:paraId="64A87103" w14:textId="77777777" w:rsidR="00F978AD" w:rsidRPr="003A0655" w:rsidRDefault="00F978AD" w:rsidP="00F978AD">
      <w:pPr>
        <w:pStyle w:val="NormalNonumber"/>
        <w:numPr>
          <w:ilvl w:val="0"/>
          <w:numId w:val="16"/>
        </w:numPr>
        <w:tabs>
          <w:tab w:val="clear" w:pos="1247"/>
          <w:tab w:val="clear" w:pos="1871"/>
          <w:tab w:val="clear" w:pos="2495"/>
          <w:tab w:val="clear" w:pos="3119"/>
          <w:tab w:val="clear" w:pos="3742"/>
          <w:tab w:val="clear" w:pos="4366"/>
        </w:tabs>
        <w:spacing w:after="116"/>
        <w:ind w:left="2495" w:hanging="624"/>
      </w:pPr>
      <w:r w:rsidRPr="003A0655">
        <w:t>Utilisations de substances réglementées comme produits intermédiaires.</w:t>
      </w:r>
    </w:p>
    <w:p w14:paraId="2D047E92" w14:textId="49BACCB7" w:rsidR="00F978AD" w:rsidRPr="003A0655" w:rsidRDefault="00F978AD" w:rsidP="00F978AD">
      <w:pPr>
        <w:pStyle w:val="NormalNonumber"/>
        <w:numPr>
          <w:ilvl w:val="0"/>
          <w:numId w:val="16"/>
        </w:numPr>
        <w:tabs>
          <w:tab w:val="clear" w:pos="1247"/>
          <w:tab w:val="clear" w:pos="1871"/>
          <w:tab w:val="clear" w:pos="2495"/>
          <w:tab w:val="clear" w:pos="3119"/>
          <w:tab w:val="clear" w:pos="3742"/>
          <w:tab w:val="clear" w:pos="4366"/>
        </w:tabs>
        <w:spacing w:after="116"/>
        <w:ind w:left="2495" w:hanging="624"/>
      </w:pPr>
      <w:proofErr w:type="gramStart"/>
      <w:r w:rsidRPr="003A0655">
        <w:t>Le halon</w:t>
      </w:r>
      <w:proofErr w:type="gramEnd"/>
      <w:r w:rsidR="00B24FAA" w:rsidRPr="003A0655">
        <w:t> </w:t>
      </w:r>
      <w:r w:rsidRPr="003A0655">
        <w:t>1301 et la persistance de son utilisation dans l</w:t>
      </w:r>
      <w:r w:rsidR="000B3BB8" w:rsidRPr="003A0655">
        <w:t>’</w:t>
      </w:r>
      <w:r w:rsidRPr="003A0655">
        <w:t>industrie aéronautique ; gestion d</w:t>
      </w:r>
      <w:r w:rsidR="000B3BB8" w:rsidRPr="003A0655">
        <w:t>’</w:t>
      </w:r>
      <w:r w:rsidRPr="003A0655">
        <w:t xml:space="preserve">autres substances réglementées utilisées pour lutter contre les incendies. </w:t>
      </w:r>
    </w:p>
    <w:p w14:paraId="207871E5" w14:textId="09427817" w:rsidR="00F978AD" w:rsidRPr="003A0655" w:rsidRDefault="00F978AD" w:rsidP="00F978AD">
      <w:pPr>
        <w:pStyle w:val="NormalNonumber"/>
        <w:numPr>
          <w:ilvl w:val="0"/>
          <w:numId w:val="16"/>
        </w:numPr>
        <w:tabs>
          <w:tab w:val="clear" w:pos="1247"/>
          <w:tab w:val="clear" w:pos="1871"/>
          <w:tab w:val="clear" w:pos="2495"/>
          <w:tab w:val="clear" w:pos="3119"/>
          <w:tab w:val="clear" w:pos="3742"/>
          <w:tab w:val="clear" w:pos="4366"/>
        </w:tabs>
        <w:spacing w:after="116"/>
        <w:ind w:left="2495" w:hanging="624"/>
      </w:pPr>
      <w:r w:rsidRPr="003A0655">
        <w:t>Initiatives nationales et régionales à l</w:t>
      </w:r>
      <w:r w:rsidR="000B3BB8" w:rsidRPr="003A0655">
        <w:t>’</w:t>
      </w:r>
      <w:r w:rsidRPr="003A0655">
        <w:t>appui de la mise en œuvre de l</w:t>
      </w:r>
      <w:r w:rsidR="000B3BB8" w:rsidRPr="003A0655">
        <w:t>’</w:t>
      </w:r>
      <w:r w:rsidRPr="003A0655">
        <w:t>Amendement de Kigali au Protocole de</w:t>
      </w:r>
      <w:r w:rsidR="00B24FAA" w:rsidRPr="003A0655">
        <w:t> </w:t>
      </w:r>
      <w:r w:rsidRPr="003A0655">
        <w:t>Montréal.</w:t>
      </w:r>
    </w:p>
    <w:p w14:paraId="47B62346" w14:textId="666B1731" w:rsidR="00F978AD" w:rsidRPr="003A0655" w:rsidRDefault="00F978AD" w:rsidP="00F978AD">
      <w:pPr>
        <w:pStyle w:val="NormalNonumber"/>
        <w:numPr>
          <w:ilvl w:val="0"/>
          <w:numId w:val="16"/>
        </w:numPr>
        <w:tabs>
          <w:tab w:val="clear" w:pos="1247"/>
          <w:tab w:val="clear" w:pos="1871"/>
          <w:tab w:val="clear" w:pos="2495"/>
          <w:tab w:val="clear" w:pos="3119"/>
          <w:tab w:val="clear" w:pos="3742"/>
          <w:tab w:val="clear" w:pos="4366"/>
        </w:tabs>
        <w:spacing w:after="116"/>
        <w:ind w:left="2495" w:hanging="624"/>
      </w:pPr>
      <w:r w:rsidRPr="003A0655">
        <w:t>Questions d</w:t>
      </w:r>
      <w:r w:rsidR="000B3BB8" w:rsidRPr="003A0655">
        <w:t>’</w:t>
      </w:r>
      <w:r w:rsidRPr="003A0655">
        <w:t>organisation au sein du Groupe de l</w:t>
      </w:r>
      <w:r w:rsidR="000B3BB8" w:rsidRPr="003A0655">
        <w:t>’</w:t>
      </w:r>
      <w:r w:rsidRPr="003A0655">
        <w:t>évaluation technique et économique :</w:t>
      </w:r>
    </w:p>
    <w:p w14:paraId="31742067" w14:textId="5A832A45" w:rsidR="00F978AD" w:rsidRPr="003A0655" w:rsidRDefault="00F978AD" w:rsidP="00AB635F">
      <w:pPr>
        <w:pStyle w:val="NormalNonumber"/>
        <w:numPr>
          <w:ilvl w:val="0"/>
          <w:numId w:val="20"/>
        </w:numPr>
        <w:tabs>
          <w:tab w:val="clear" w:pos="624"/>
          <w:tab w:val="clear" w:pos="1247"/>
          <w:tab w:val="clear" w:pos="1871"/>
          <w:tab w:val="clear" w:pos="2495"/>
          <w:tab w:val="clear" w:pos="3119"/>
          <w:tab w:val="clear" w:pos="3742"/>
          <w:tab w:val="clear" w:pos="4366"/>
        </w:tabs>
        <w:spacing w:after="116"/>
        <w:ind w:left="3119" w:hanging="624"/>
      </w:pPr>
      <w:r w:rsidRPr="003A0655">
        <w:t>Options concernant l</w:t>
      </w:r>
      <w:r w:rsidR="000B3BB8" w:rsidRPr="003A0655">
        <w:t>’</w:t>
      </w:r>
      <w:r w:rsidRPr="003A0655">
        <w:t>organisation du Groupe de l</w:t>
      </w:r>
      <w:r w:rsidR="000B3BB8" w:rsidRPr="003A0655">
        <w:t>’</w:t>
      </w:r>
      <w:r w:rsidRPr="003A0655">
        <w:t>évaluation technique et économique et de ses comités des choix techniques (décision XXXV/20) ;</w:t>
      </w:r>
    </w:p>
    <w:p w14:paraId="4F0BDF71" w14:textId="2027668D" w:rsidR="00F978AD" w:rsidRPr="003A0655" w:rsidRDefault="00F978AD" w:rsidP="00AB635F">
      <w:pPr>
        <w:pStyle w:val="NormalNonumber"/>
        <w:numPr>
          <w:ilvl w:val="0"/>
          <w:numId w:val="20"/>
        </w:numPr>
        <w:tabs>
          <w:tab w:val="clear" w:pos="624"/>
          <w:tab w:val="clear" w:pos="1247"/>
          <w:tab w:val="clear" w:pos="1871"/>
          <w:tab w:val="clear" w:pos="2495"/>
          <w:tab w:val="clear" w:pos="3119"/>
          <w:tab w:val="clear" w:pos="3742"/>
          <w:tab w:val="clear" w:pos="4366"/>
        </w:tabs>
        <w:spacing w:after="116"/>
        <w:ind w:left="3119" w:hanging="624"/>
      </w:pPr>
      <w:r w:rsidRPr="003A0655">
        <w:t>Changements dans la composition du Groupe de l</w:t>
      </w:r>
      <w:r w:rsidR="000B3BB8" w:rsidRPr="003A0655">
        <w:t>’</w:t>
      </w:r>
      <w:r w:rsidRPr="003A0655">
        <w:t>évaluation technique et économique.</w:t>
      </w:r>
    </w:p>
    <w:p w14:paraId="1587CB98" w14:textId="77777777" w:rsidR="00F978AD" w:rsidRPr="003A0655" w:rsidRDefault="00F978AD" w:rsidP="00F978AD">
      <w:pPr>
        <w:pStyle w:val="NormalNonumber"/>
        <w:numPr>
          <w:ilvl w:val="0"/>
          <w:numId w:val="16"/>
        </w:numPr>
        <w:tabs>
          <w:tab w:val="clear" w:pos="1247"/>
          <w:tab w:val="clear" w:pos="1871"/>
          <w:tab w:val="clear" w:pos="2495"/>
          <w:tab w:val="clear" w:pos="3119"/>
          <w:tab w:val="clear" w:pos="3742"/>
          <w:tab w:val="clear" w:pos="4366"/>
        </w:tabs>
        <w:spacing w:after="116"/>
        <w:ind w:left="2495" w:hanging="624"/>
      </w:pPr>
      <w:r w:rsidRPr="003A0655">
        <w:t xml:space="preserve">Poursuite du renforcement des institutions relevant du Protocole de Montréal (décision XXXVI/9). </w:t>
      </w:r>
    </w:p>
    <w:p w14:paraId="159A3C05" w14:textId="6DD89FA9" w:rsidR="00F978AD" w:rsidRPr="003A0655" w:rsidRDefault="00F978AD" w:rsidP="00F978AD">
      <w:pPr>
        <w:pStyle w:val="NormalNonumber"/>
        <w:numPr>
          <w:ilvl w:val="0"/>
          <w:numId w:val="16"/>
        </w:numPr>
        <w:tabs>
          <w:tab w:val="clear" w:pos="1247"/>
          <w:tab w:val="clear" w:pos="1871"/>
          <w:tab w:val="clear" w:pos="2495"/>
          <w:tab w:val="clear" w:pos="3119"/>
          <w:tab w:val="clear" w:pos="3742"/>
          <w:tab w:val="clear" w:pos="4366"/>
        </w:tabs>
        <w:spacing w:after="116"/>
        <w:ind w:left="2495" w:hanging="624"/>
      </w:pPr>
      <w:r w:rsidRPr="003A0655">
        <w:t>Questions relatives au respect et à la communication de données : travaux et recommandations du Comité d</w:t>
      </w:r>
      <w:r w:rsidR="000B3BB8" w:rsidRPr="003A0655">
        <w:t>’</w:t>
      </w:r>
      <w:r w:rsidRPr="003A0655">
        <w:t>application.</w:t>
      </w:r>
    </w:p>
    <w:p w14:paraId="58FD4F53" w14:textId="714AB1D5" w:rsidR="00F978AD" w:rsidRPr="003A0655" w:rsidRDefault="00F978AD" w:rsidP="00F978AD">
      <w:pPr>
        <w:pStyle w:val="NormalNonumber"/>
        <w:numPr>
          <w:ilvl w:val="0"/>
          <w:numId w:val="16"/>
        </w:numPr>
        <w:tabs>
          <w:tab w:val="clear" w:pos="1247"/>
          <w:tab w:val="clear" w:pos="1871"/>
          <w:tab w:val="clear" w:pos="2495"/>
          <w:tab w:val="clear" w:pos="3119"/>
          <w:tab w:val="clear" w:pos="3742"/>
          <w:tab w:val="clear" w:pos="4366"/>
        </w:tabs>
        <w:spacing w:after="116"/>
        <w:ind w:left="2495" w:hanging="624"/>
      </w:pPr>
      <w:r w:rsidRPr="003A0655">
        <w:t>État de ratification de l</w:t>
      </w:r>
      <w:r w:rsidR="000B3BB8" w:rsidRPr="003A0655">
        <w:t>’</w:t>
      </w:r>
      <w:r w:rsidRPr="003A0655">
        <w:t>Amendement de</w:t>
      </w:r>
      <w:r w:rsidR="005D6D0D" w:rsidRPr="003A0655">
        <w:t> </w:t>
      </w:r>
      <w:r w:rsidRPr="003A0655">
        <w:t>Kigali.</w:t>
      </w:r>
    </w:p>
    <w:p w14:paraId="08D9163F" w14:textId="7ABBDA8C" w:rsidR="00F978AD" w:rsidRPr="003A0655" w:rsidRDefault="00F978AD" w:rsidP="00F978AD">
      <w:pPr>
        <w:pStyle w:val="NormalNonumber"/>
        <w:numPr>
          <w:ilvl w:val="0"/>
          <w:numId w:val="16"/>
        </w:numPr>
        <w:tabs>
          <w:tab w:val="clear" w:pos="1247"/>
          <w:tab w:val="clear" w:pos="1871"/>
          <w:tab w:val="clear" w:pos="2495"/>
          <w:tab w:val="clear" w:pos="3119"/>
          <w:tab w:val="clear" w:pos="3742"/>
          <w:tab w:val="clear" w:pos="4366"/>
        </w:tabs>
        <w:spacing w:after="116"/>
        <w:ind w:left="2495" w:hanging="624"/>
      </w:pPr>
      <w:r w:rsidRPr="003A0655">
        <w:t>Questions diverses.</w:t>
      </w:r>
    </w:p>
    <w:p w14:paraId="0B37225E" w14:textId="046FA489" w:rsidR="00F978AD" w:rsidRPr="003A0655" w:rsidRDefault="00F978AD" w:rsidP="00AB635F">
      <w:pPr>
        <w:pStyle w:val="Normalnumber"/>
        <w:tabs>
          <w:tab w:val="clear" w:pos="1247"/>
        </w:tabs>
      </w:pPr>
      <w:r w:rsidRPr="003A0655">
        <w:t>Au titre du point</w:t>
      </w:r>
      <w:r w:rsidR="005D6D0D" w:rsidRPr="003A0655">
        <w:t> </w:t>
      </w:r>
      <w:r w:rsidRPr="003A0655">
        <w:t>15 de l</w:t>
      </w:r>
      <w:r w:rsidR="000B3BB8" w:rsidRPr="003A0655">
        <w:t>’</w:t>
      </w:r>
      <w:r w:rsidRPr="003A0655">
        <w:t xml:space="preserve">ordre du jour, </w:t>
      </w:r>
      <w:r w:rsidR="00C75E81" w:rsidRPr="003A0655">
        <w:t>« </w:t>
      </w:r>
      <w:r w:rsidRPr="003A0655">
        <w:t>Questions diverses</w:t>
      </w:r>
      <w:r w:rsidR="00C75E81" w:rsidRPr="003A0655">
        <w:t> »</w:t>
      </w:r>
      <w:r w:rsidRPr="003A0655">
        <w:t>, les Parties sont convenues d</w:t>
      </w:r>
      <w:r w:rsidR="000B3BB8" w:rsidRPr="003A0655">
        <w:t>’</w:t>
      </w:r>
      <w:r w:rsidRPr="003A0655">
        <w:t>examiner une proposition des États-Unis d</w:t>
      </w:r>
      <w:r w:rsidR="000B3BB8" w:rsidRPr="003A0655">
        <w:t>’</w:t>
      </w:r>
      <w:r w:rsidRPr="003A0655">
        <w:t>Amérique sur la question de l</w:t>
      </w:r>
      <w:r w:rsidR="000B3BB8" w:rsidRPr="003A0655">
        <w:t>’</w:t>
      </w:r>
      <w:r w:rsidRPr="003A0655">
        <w:t>optimisation du calendrier des réunions du Protocole de</w:t>
      </w:r>
      <w:r w:rsidR="00C12919" w:rsidRPr="003A0655">
        <w:t> </w:t>
      </w:r>
      <w:r w:rsidRPr="003A0655">
        <w:t>Montréal et des travaux connexes du Secrétariat de l</w:t>
      </w:r>
      <w:r w:rsidR="000B3BB8" w:rsidRPr="003A0655">
        <w:t>’</w:t>
      </w:r>
      <w:r w:rsidRPr="003A0655">
        <w:t>ozone.</w:t>
      </w:r>
    </w:p>
    <w:p w14:paraId="5D2E1B75" w14:textId="2F7AE5BA" w:rsidR="00C20895" w:rsidRPr="003A0655" w:rsidRDefault="008E258D" w:rsidP="00AB635F">
      <w:pPr>
        <w:pStyle w:val="CH2"/>
      </w:pPr>
      <w:r w:rsidRPr="003A0655">
        <w:rPr>
          <w:bCs/>
        </w:rPr>
        <w:tab/>
      </w:r>
      <w:r w:rsidR="00847AF4" w:rsidRPr="003A0655">
        <w:rPr>
          <w:bCs/>
        </w:rPr>
        <w:t>C.</w:t>
      </w:r>
      <w:r w:rsidR="00847AF4" w:rsidRPr="003A0655">
        <w:tab/>
      </w:r>
      <w:r w:rsidR="00847AF4" w:rsidRPr="003A0655">
        <w:rPr>
          <w:bCs/>
        </w:rPr>
        <w:t>Organisation des travaux</w:t>
      </w:r>
    </w:p>
    <w:p w14:paraId="4CE030E5" w14:textId="3B1F99B6" w:rsidR="00F978AD" w:rsidRPr="003A0655" w:rsidRDefault="00F978AD" w:rsidP="00AB635F">
      <w:pPr>
        <w:pStyle w:val="Normalnumber"/>
        <w:tabs>
          <w:tab w:val="clear" w:pos="1247"/>
        </w:tabs>
      </w:pPr>
      <w:r w:rsidRPr="003A0655">
        <w:t xml:space="preserve">Les Parties </w:t>
      </w:r>
      <w:r w:rsidR="00404DB6" w:rsidRPr="003A0655">
        <w:t>s</w:t>
      </w:r>
      <w:r w:rsidRPr="003A0655">
        <w:t>ont convenu</w:t>
      </w:r>
      <w:r w:rsidR="00404DB6" w:rsidRPr="003A0655">
        <w:t>es</w:t>
      </w:r>
      <w:r w:rsidRPr="003A0655">
        <w:t xml:space="preserve"> de suivre la procédure habituelle et d</w:t>
      </w:r>
      <w:r w:rsidR="000B3BB8" w:rsidRPr="003A0655">
        <w:t>’</w:t>
      </w:r>
      <w:r w:rsidRPr="003A0655">
        <w:t>établir des groupes de contact ou des groupes informels si nécessaire, et de faire en sorte d</w:t>
      </w:r>
      <w:r w:rsidR="000B3BB8" w:rsidRPr="003A0655">
        <w:t>’</w:t>
      </w:r>
      <w:r w:rsidRPr="003A0655">
        <w:t>éviter, dans la mesure du possible, que des réunions des groupes de contact ou des groupes informels se déroulent simultanément.</w:t>
      </w:r>
    </w:p>
    <w:p w14:paraId="4FC08F6A" w14:textId="044CC7AF" w:rsidR="00C20895" w:rsidRPr="003A0655" w:rsidRDefault="008E258D" w:rsidP="003523E2">
      <w:pPr>
        <w:pStyle w:val="CH1"/>
      </w:pPr>
      <w:r w:rsidRPr="003A0655">
        <w:rPr>
          <w:bCs/>
        </w:rPr>
        <w:tab/>
      </w:r>
      <w:r w:rsidR="005D30C7" w:rsidRPr="003A0655">
        <w:rPr>
          <w:bCs/>
        </w:rPr>
        <w:t>III.</w:t>
      </w:r>
      <w:r w:rsidR="005D30C7" w:rsidRPr="003A0655">
        <w:tab/>
      </w:r>
      <w:r w:rsidR="005D30C7" w:rsidRPr="003A0655">
        <w:rPr>
          <w:bCs/>
        </w:rPr>
        <w:t>Questions administratives</w:t>
      </w:r>
    </w:p>
    <w:p w14:paraId="294AC7A0" w14:textId="5381F3EB" w:rsidR="00C20895" w:rsidRPr="003A0655" w:rsidRDefault="008E258D" w:rsidP="003523E2">
      <w:pPr>
        <w:pStyle w:val="CH2"/>
      </w:pPr>
      <w:r w:rsidRPr="003A0655">
        <w:rPr>
          <w:bCs/>
        </w:rPr>
        <w:tab/>
      </w:r>
      <w:r w:rsidR="00912622" w:rsidRPr="003A0655">
        <w:rPr>
          <w:bCs/>
        </w:rPr>
        <w:t>A.</w:t>
      </w:r>
      <w:r w:rsidR="00912622" w:rsidRPr="003A0655">
        <w:tab/>
      </w:r>
      <w:r w:rsidR="00912622" w:rsidRPr="003A0655">
        <w:rPr>
          <w:bCs/>
        </w:rPr>
        <w:t>Budget du fonds d</w:t>
      </w:r>
      <w:r w:rsidR="000B3BB8" w:rsidRPr="003A0655">
        <w:rPr>
          <w:bCs/>
        </w:rPr>
        <w:t>’</w:t>
      </w:r>
      <w:r w:rsidR="00912622" w:rsidRPr="003A0655">
        <w:rPr>
          <w:bCs/>
        </w:rPr>
        <w:t>affectation spéciale pour le Protocole de</w:t>
      </w:r>
      <w:r w:rsidR="005D6D0D" w:rsidRPr="003A0655">
        <w:rPr>
          <w:bCs/>
        </w:rPr>
        <w:t> </w:t>
      </w:r>
      <w:r w:rsidR="00912622" w:rsidRPr="003A0655">
        <w:rPr>
          <w:bCs/>
        </w:rPr>
        <w:t>Montréal et</w:t>
      </w:r>
      <w:r w:rsidR="004B67F8" w:rsidRPr="003A0655">
        <w:rPr>
          <w:bCs/>
        </w:rPr>
        <w:t> </w:t>
      </w:r>
      <w:r w:rsidR="00912622" w:rsidRPr="003A0655">
        <w:rPr>
          <w:bCs/>
        </w:rPr>
        <w:t>rapports financiers</w:t>
      </w:r>
    </w:p>
    <w:p w14:paraId="34D9111A" w14:textId="67F700CD" w:rsidR="00F978AD" w:rsidRPr="003A0655" w:rsidRDefault="00F978AD" w:rsidP="00AB635F">
      <w:pPr>
        <w:pStyle w:val="Normalnumber"/>
        <w:tabs>
          <w:tab w:val="clear" w:pos="1247"/>
        </w:tabs>
      </w:pPr>
      <w:r w:rsidRPr="003A0655">
        <w:t>Présentant ce point, la Coprésidente a appelé l</w:t>
      </w:r>
      <w:r w:rsidR="000B3BB8" w:rsidRPr="003A0655">
        <w:t>’</w:t>
      </w:r>
      <w:r w:rsidRPr="003A0655">
        <w:t>attention sur les informations figurant aux paragraphes</w:t>
      </w:r>
      <w:r w:rsidR="005D6D0D" w:rsidRPr="003A0655">
        <w:t> </w:t>
      </w:r>
      <w:r w:rsidRPr="003A0655">
        <w:t>11 à 16 de la note du Secrétariat sur les questions portées à l</w:t>
      </w:r>
      <w:r w:rsidR="000B3BB8" w:rsidRPr="003A0655">
        <w:t>’</w:t>
      </w:r>
      <w:r w:rsidRPr="003A0655">
        <w:t>attention de la trente</w:t>
      </w:r>
      <w:r w:rsidR="006476E2" w:rsidRPr="003A0655">
        <w:noBreakHyphen/>
      </w:r>
      <w:r w:rsidRPr="003A0655">
        <w:t>septième Réunion des Parties au Protocole de</w:t>
      </w:r>
      <w:r w:rsidR="005D6D0D" w:rsidRPr="003A0655">
        <w:t> </w:t>
      </w:r>
      <w:r w:rsidRPr="003A0655">
        <w:t>Montréal pour examen et information (UNEP/OzL.Pro.37/2)</w:t>
      </w:r>
      <w:r w:rsidR="00C75E81" w:rsidRPr="003A0655">
        <w:t> </w:t>
      </w:r>
      <w:r w:rsidRPr="003A0655">
        <w:t>; sur les notes du Secrétariat sur les projets de budget pour 2026 et 2027 du fonds d</w:t>
      </w:r>
      <w:r w:rsidR="000B3BB8" w:rsidRPr="003A0655">
        <w:t>’</w:t>
      </w:r>
      <w:r w:rsidRPr="003A0655">
        <w:t>affectation spéciale pour le Protocole de</w:t>
      </w:r>
      <w:r w:rsidR="00644A5B" w:rsidRPr="003A0655">
        <w:t> </w:t>
      </w:r>
      <w:r w:rsidRPr="003A0655">
        <w:t>Montréal (UNEP/OzL.Pro.37/4) et le rapport</w:t>
      </w:r>
      <w:r w:rsidR="00373EC4" w:rsidRPr="003A0655">
        <w:t> </w:t>
      </w:r>
      <w:r w:rsidRPr="003A0655">
        <w:t>financier des fonds d</w:t>
      </w:r>
      <w:r w:rsidR="000B3BB8" w:rsidRPr="003A0655">
        <w:t>’</w:t>
      </w:r>
      <w:r w:rsidRPr="003A0655">
        <w:t>affectation spéciale pour la Convention de</w:t>
      </w:r>
      <w:r w:rsidR="00AD27C3" w:rsidRPr="003A0655">
        <w:t> </w:t>
      </w:r>
      <w:r w:rsidRPr="003A0655">
        <w:t>Vienne et le Protocole de</w:t>
      </w:r>
      <w:r w:rsidR="0022162F" w:rsidRPr="003A0655">
        <w:t> </w:t>
      </w:r>
      <w:r w:rsidRPr="003A0655">
        <w:t>Montréal pour l</w:t>
      </w:r>
      <w:r w:rsidR="000B3BB8" w:rsidRPr="003A0655">
        <w:t>’</w:t>
      </w:r>
      <w:r w:rsidRPr="003A0655">
        <w:t>année budgétaire 2024 (UNEP/OzL.Pro.37/5)</w:t>
      </w:r>
      <w:r w:rsidR="00C531CF" w:rsidRPr="003A0655">
        <w:t>.</w:t>
      </w:r>
      <w:r w:rsidR="00C75E81" w:rsidRPr="003A0655">
        <w:t> </w:t>
      </w:r>
      <w:r w:rsidR="00C531CF" w:rsidRPr="00D9182C">
        <w:rPr>
          <w:lang w:val="en-GB"/>
        </w:rPr>
        <w:t xml:space="preserve">Elle a </w:t>
      </w:r>
      <w:proofErr w:type="spellStart"/>
      <w:r w:rsidR="00C531CF" w:rsidRPr="00D9182C">
        <w:rPr>
          <w:lang w:val="en-GB"/>
        </w:rPr>
        <w:t>également</w:t>
      </w:r>
      <w:proofErr w:type="spellEnd"/>
      <w:r w:rsidR="00C531CF" w:rsidRPr="00D9182C">
        <w:rPr>
          <w:lang w:val="en-GB"/>
        </w:rPr>
        <w:t xml:space="preserve"> </w:t>
      </w:r>
      <w:proofErr w:type="spellStart"/>
      <w:r w:rsidR="00C531CF" w:rsidRPr="00D9182C">
        <w:rPr>
          <w:lang w:val="en-GB"/>
        </w:rPr>
        <w:t>appelé</w:t>
      </w:r>
      <w:proofErr w:type="spellEnd"/>
      <w:r w:rsidR="00C531CF" w:rsidRPr="00D9182C">
        <w:rPr>
          <w:lang w:val="en-GB"/>
        </w:rPr>
        <w:t xml:space="preserve"> </w:t>
      </w:r>
      <w:proofErr w:type="spellStart"/>
      <w:r w:rsidR="00C531CF" w:rsidRPr="00D9182C">
        <w:rPr>
          <w:lang w:val="en-GB"/>
        </w:rPr>
        <w:t>l</w:t>
      </w:r>
      <w:r w:rsidR="000B3BB8" w:rsidRPr="00D9182C">
        <w:rPr>
          <w:lang w:val="en-GB"/>
        </w:rPr>
        <w:t>’</w:t>
      </w:r>
      <w:r w:rsidR="00C531CF" w:rsidRPr="00D9182C">
        <w:rPr>
          <w:lang w:val="en-GB"/>
        </w:rPr>
        <w:t>attention</w:t>
      </w:r>
      <w:proofErr w:type="spellEnd"/>
      <w:r w:rsidRPr="00D9182C">
        <w:rPr>
          <w:lang w:val="en-GB"/>
        </w:rPr>
        <w:t xml:space="preserve"> sur les notes du </w:t>
      </w:r>
      <w:proofErr w:type="spellStart"/>
      <w:r w:rsidRPr="00D9182C">
        <w:rPr>
          <w:lang w:val="en-GB"/>
        </w:rPr>
        <w:t>Secrétariat</w:t>
      </w:r>
      <w:proofErr w:type="spellEnd"/>
      <w:r w:rsidRPr="00D9182C">
        <w:rPr>
          <w:lang w:val="en-GB"/>
        </w:rPr>
        <w:t xml:space="preserve"> </w:t>
      </w:r>
      <w:proofErr w:type="spellStart"/>
      <w:r w:rsidRPr="00D9182C">
        <w:rPr>
          <w:lang w:val="en-GB"/>
        </w:rPr>
        <w:t>intitulées</w:t>
      </w:r>
      <w:proofErr w:type="spellEnd"/>
      <w:r w:rsidRPr="00D9182C">
        <w:rPr>
          <w:lang w:val="en-GB"/>
        </w:rPr>
        <w:t xml:space="preserve"> </w:t>
      </w:r>
      <w:r w:rsidR="00C75E81" w:rsidRPr="00D9182C">
        <w:rPr>
          <w:lang w:val="en-GB"/>
        </w:rPr>
        <w:t>« </w:t>
      </w:r>
      <w:r w:rsidRPr="00D9182C">
        <w:rPr>
          <w:lang w:val="en-GB"/>
        </w:rPr>
        <w:t>Approved budget for 2026 of the Trust Fund for the Montreal Protocol on Substances that Deplete the Ozone Layer: fact sheets</w:t>
      </w:r>
      <w:r w:rsidR="00C75E81" w:rsidRPr="00D9182C">
        <w:rPr>
          <w:lang w:val="en-GB"/>
        </w:rPr>
        <w:t> »</w:t>
      </w:r>
      <w:r w:rsidRPr="00D9182C">
        <w:rPr>
          <w:lang w:val="en-GB"/>
        </w:rPr>
        <w:t xml:space="preserve"> (UNEP/OzL.Pro.37/INF/1) et </w:t>
      </w:r>
      <w:r w:rsidR="00C75E81" w:rsidRPr="00D9182C">
        <w:rPr>
          <w:lang w:val="en-GB"/>
        </w:rPr>
        <w:t>« </w:t>
      </w:r>
      <w:r w:rsidRPr="00D9182C">
        <w:rPr>
          <w:lang w:val="en-GB"/>
        </w:rPr>
        <w:t>Financial report for the trust funds for the Vienna Convention for the Protection of the Ozone Layer and for the Montreal Protocol on Substances that Deplete the Ozone Layer and for the Montreal Protocol on Substances that Deplete the Ozone Layer</w:t>
      </w:r>
      <w:r w:rsidR="00B17B94" w:rsidRPr="00D9182C">
        <w:rPr>
          <w:lang w:val="en-GB"/>
        </w:rPr>
        <w:t> </w:t>
      </w:r>
      <w:r w:rsidRPr="00D9182C">
        <w:rPr>
          <w:lang w:val="en-GB"/>
        </w:rPr>
        <w:t>: updated indicative financial report for 2025 as at 30 September 2025</w:t>
      </w:r>
      <w:r w:rsidR="00C75E81" w:rsidRPr="00D9182C">
        <w:rPr>
          <w:lang w:val="en-GB"/>
        </w:rPr>
        <w:t> »</w:t>
      </w:r>
      <w:r w:rsidRPr="00D9182C">
        <w:rPr>
          <w:lang w:val="en-GB"/>
        </w:rPr>
        <w:t xml:space="preserve"> (UNEP/OzL.Pro.37/INF/2). </w:t>
      </w:r>
      <w:r w:rsidRPr="003A0655">
        <w:t>Un projet de décision sur la question figurait dans le document UNEP/OzL.Pro.37/3 (projet de décision</w:t>
      </w:r>
      <w:r w:rsidR="00BD0DBE" w:rsidRPr="003A0655">
        <w:t> </w:t>
      </w:r>
      <w:r w:rsidRPr="003A0655">
        <w:t xml:space="preserve">XXXVII/[AA]). </w:t>
      </w:r>
      <w:r w:rsidR="00C531CF" w:rsidRPr="003A0655">
        <w:t>L</w:t>
      </w:r>
      <w:r w:rsidRPr="003A0655">
        <w:t xml:space="preserve">es documents </w:t>
      </w:r>
      <w:r w:rsidR="00C531CF" w:rsidRPr="003A0655">
        <w:t xml:space="preserve">UNEP/OzL.Pro.37/4, UNEP/OzL.Pro.37/5 et UNEP/OzL.Pro.37/INF/1 </w:t>
      </w:r>
      <w:r w:rsidRPr="003A0655">
        <w:t>avaient été publiés sur le portail de la réunion trois</w:t>
      </w:r>
      <w:r w:rsidR="00BD0DBE" w:rsidRPr="003A0655">
        <w:t> </w:t>
      </w:r>
      <w:r w:rsidRPr="003A0655">
        <w:t>mois avant la réunion en cours afin que les Parties puissent les examiner.</w:t>
      </w:r>
    </w:p>
    <w:p w14:paraId="0671F355" w14:textId="05B41A7A" w:rsidR="00F978AD" w:rsidRPr="003A0655" w:rsidRDefault="00F978AD" w:rsidP="00AB635F">
      <w:pPr>
        <w:pStyle w:val="Normalnumber"/>
        <w:tabs>
          <w:tab w:val="clear" w:pos="1247"/>
        </w:tabs>
      </w:pPr>
      <w:r w:rsidRPr="003A0655">
        <w:t>Les Parties ont décidé de suivre leur pratique habituelle et de créer un comité budgétaire chargé d</w:t>
      </w:r>
      <w:r w:rsidR="000B3BB8" w:rsidRPr="003A0655">
        <w:t>’</w:t>
      </w:r>
      <w:r w:rsidRPr="003A0655">
        <w:t>examiner le budget proposé pour le fonds d</w:t>
      </w:r>
      <w:r w:rsidR="000B3BB8" w:rsidRPr="003A0655">
        <w:t>’</w:t>
      </w:r>
      <w:r w:rsidRPr="003A0655">
        <w:t xml:space="preserve">affectation spéciale </w:t>
      </w:r>
      <w:r w:rsidR="00C531CF" w:rsidRPr="003A0655">
        <w:t>pour le Protocole de Montréal et les rapports financiers relatifs aux fonds d</w:t>
      </w:r>
      <w:r w:rsidR="000B3BB8" w:rsidRPr="003A0655">
        <w:t>’</w:t>
      </w:r>
      <w:r w:rsidR="00C531CF" w:rsidRPr="003A0655">
        <w:t xml:space="preserve">affectation spéciale </w:t>
      </w:r>
      <w:r w:rsidRPr="003A0655">
        <w:t>pour la Convention de</w:t>
      </w:r>
      <w:r w:rsidR="00E60CFD" w:rsidRPr="003A0655">
        <w:t> </w:t>
      </w:r>
      <w:r w:rsidRPr="003A0655">
        <w:t>Vienne et le Protocole de</w:t>
      </w:r>
      <w:r w:rsidR="00A12A19" w:rsidRPr="003A0655">
        <w:t> </w:t>
      </w:r>
      <w:r w:rsidRPr="003A0655">
        <w:t>Montréal et d</w:t>
      </w:r>
      <w:r w:rsidR="000B3BB8" w:rsidRPr="003A0655">
        <w:t>’</w:t>
      </w:r>
      <w:r w:rsidRPr="003A0655">
        <w:t>élaborer un projet de décision qui serait soumis à l</w:t>
      </w:r>
      <w:r w:rsidR="000B3BB8" w:rsidRPr="003A0655">
        <w:t>’</w:t>
      </w:r>
      <w:r w:rsidRPr="003A0655">
        <w:t>examen des Parties. Il</w:t>
      </w:r>
      <w:r w:rsidR="00E733B3" w:rsidRPr="003A0655">
        <w:t> </w:t>
      </w:r>
      <w:r w:rsidRPr="003A0655">
        <w:t>a</w:t>
      </w:r>
      <w:r w:rsidR="00E733B3" w:rsidRPr="003A0655">
        <w:t> </w:t>
      </w:r>
      <w:r w:rsidRPr="003A0655">
        <w:t>été décidé que les travaux du Comité seraient facilités par Sebastian</w:t>
      </w:r>
      <w:r w:rsidR="0027658D" w:rsidRPr="003A0655">
        <w:t> </w:t>
      </w:r>
      <w:r w:rsidRPr="003A0655">
        <w:t>Schnatz (Allemagne) et Ryan</w:t>
      </w:r>
      <w:r w:rsidR="00E733B3" w:rsidRPr="003A0655">
        <w:t> </w:t>
      </w:r>
      <w:r w:rsidRPr="003A0655">
        <w:t>Ooi Chean Weai (Malaisie).</w:t>
      </w:r>
    </w:p>
    <w:p w14:paraId="5C90B209" w14:textId="676AEF61" w:rsidR="00F978AD" w:rsidRPr="003A0655" w:rsidRDefault="00C531CF" w:rsidP="00AB635F">
      <w:pPr>
        <w:pStyle w:val="Normalnumber"/>
        <w:tabs>
          <w:tab w:val="clear" w:pos="1247"/>
        </w:tabs>
      </w:pPr>
      <w:r w:rsidRPr="003A0655">
        <w:t xml:space="preserve">Par la suite, le </w:t>
      </w:r>
      <w:proofErr w:type="spellStart"/>
      <w:r w:rsidRPr="003A0655">
        <w:t>cofacilita</w:t>
      </w:r>
      <w:r w:rsidR="00C66412" w:rsidRPr="003A0655">
        <w:t>t</w:t>
      </w:r>
      <w:r w:rsidRPr="003A0655">
        <w:t>eur</w:t>
      </w:r>
      <w:proofErr w:type="spellEnd"/>
      <w:r w:rsidRPr="003A0655">
        <w:t xml:space="preserve"> a fait savoir que le comité budgétaire avait terminé ses travaux et avait établi un projet de décision et de budget pour examen par les Parties. Les Parties ont décidé de transmettre le projet de décision au débat de haut niveau pour examen plus poussé et adoption éventuelle.</w:t>
      </w:r>
    </w:p>
    <w:p w14:paraId="360AD8EA" w14:textId="7E0C8583" w:rsidR="00F978AD" w:rsidRPr="003A0655" w:rsidRDefault="008E258D" w:rsidP="00F978AD">
      <w:pPr>
        <w:pStyle w:val="CH2"/>
        <w:keepNext w:val="0"/>
        <w:keepLines w:val="0"/>
      </w:pPr>
      <w:r w:rsidRPr="003A0655">
        <w:rPr>
          <w:bCs/>
        </w:rPr>
        <w:tab/>
      </w:r>
      <w:r w:rsidR="00F978AD" w:rsidRPr="003A0655">
        <w:rPr>
          <w:bCs/>
        </w:rPr>
        <w:t>B.</w:t>
      </w:r>
      <w:r w:rsidR="00F978AD" w:rsidRPr="003A0655">
        <w:tab/>
      </w:r>
      <w:r w:rsidR="00F978AD" w:rsidRPr="003A0655">
        <w:rPr>
          <w:bCs/>
        </w:rPr>
        <w:t>Examen de la composition des organes du Protocole de</w:t>
      </w:r>
      <w:r w:rsidR="005D6D0D" w:rsidRPr="003A0655">
        <w:rPr>
          <w:bCs/>
        </w:rPr>
        <w:t> </w:t>
      </w:r>
      <w:r w:rsidR="00F978AD" w:rsidRPr="003A0655">
        <w:rPr>
          <w:bCs/>
        </w:rPr>
        <w:t>Montréal en 2026</w:t>
      </w:r>
    </w:p>
    <w:p w14:paraId="59305416" w14:textId="662F8CBA" w:rsidR="00F978AD" w:rsidRPr="003A0655" w:rsidRDefault="008E258D" w:rsidP="00F978AD">
      <w:pPr>
        <w:pStyle w:val="CH3"/>
        <w:keepNext w:val="0"/>
        <w:keepLines w:val="0"/>
      </w:pPr>
      <w:r w:rsidRPr="003A0655">
        <w:rPr>
          <w:bCs/>
        </w:rPr>
        <w:tab/>
      </w:r>
      <w:r w:rsidR="00F978AD" w:rsidRPr="003A0655">
        <w:rPr>
          <w:bCs/>
        </w:rPr>
        <w:t>1.</w:t>
      </w:r>
      <w:r w:rsidR="00F978AD" w:rsidRPr="003A0655">
        <w:tab/>
      </w:r>
      <w:r w:rsidR="00F978AD" w:rsidRPr="003A0655">
        <w:rPr>
          <w:bCs/>
        </w:rPr>
        <w:t>Membres du Comité d</w:t>
      </w:r>
      <w:r w:rsidR="000B3BB8" w:rsidRPr="003A0655">
        <w:rPr>
          <w:bCs/>
        </w:rPr>
        <w:t>’</w:t>
      </w:r>
      <w:r w:rsidR="00F978AD" w:rsidRPr="003A0655">
        <w:rPr>
          <w:bCs/>
        </w:rPr>
        <w:t>application de la procédure applicable en cas de non-respect du</w:t>
      </w:r>
      <w:r w:rsidR="00B1015A" w:rsidRPr="003A0655">
        <w:rPr>
          <w:bCs/>
        </w:rPr>
        <w:t> </w:t>
      </w:r>
      <w:r w:rsidR="00F978AD" w:rsidRPr="003A0655">
        <w:rPr>
          <w:bCs/>
        </w:rPr>
        <w:t>Protocole de Montréal</w:t>
      </w:r>
    </w:p>
    <w:p w14:paraId="2E16A9FC" w14:textId="51618889" w:rsidR="00F978AD" w:rsidRPr="003A0655" w:rsidRDefault="00F978AD" w:rsidP="00AB635F">
      <w:pPr>
        <w:pStyle w:val="Normalnumber"/>
        <w:tabs>
          <w:tab w:val="clear" w:pos="1247"/>
        </w:tabs>
      </w:pPr>
      <w:r w:rsidRPr="003A0655">
        <w:t>Présentant ce sous-point, la Coprésidente a rappelé que les Parties devaient décider de la composition du Comité d</w:t>
      </w:r>
      <w:r w:rsidR="000B3BB8" w:rsidRPr="003A0655">
        <w:t>’</w:t>
      </w:r>
      <w:r w:rsidRPr="003A0655">
        <w:t>application pour 2026. Des informations sur les postes à pourvoir étaient présentées aux paragraphes</w:t>
      </w:r>
      <w:r w:rsidR="005D6D0D" w:rsidRPr="003A0655">
        <w:t> </w:t>
      </w:r>
      <w:r w:rsidRPr="003A0655">
        <w:t>17 à 20 du document UNEP/OzL.Pro.37/2 et un projet de décision sur la question figurait dans le document UNEP/OzL.Pro.37/3 (projet de décision</w:t>
      </w:r>
      <w:r w:rsidR="005D6D0D" w:rsidRPr="003A0655">
        <w:t> </w:t>
      </w:r>
      <w:r w:rsidRPr="003A0655">
        <w:t>XXXV</w:t>
      </w:r>
      <w:r w:rsidR="001E6734" w:rsidRPr="003A0655">
        <w:t>II</w:t>
      </w:r>
      <w:r w:rsidRPr="003A0655">
        <w:t>/[BB]).</w:t>
      </w:r>
    </w:p>
    <w:p w14:paraId="0B0EA44B" w14:textId="2432D30F" w:rsidR="005E522A" w:rsidRPr="003A0655" w:rsidRDefault="005E522A" w:rsidP="005E522A">
      <w:pPr>
        <w:pStyle w:val="Normalnumber"/>
        <w:tabs>
          <w:tab w:val="clear" w:pos="2495"/>
          <w:tab w:val="clear" w:pos="3119"/>
          <w:tab w:val="clear" w:pos="3742"/>
          <w:tab w:val="clear" w:pos="4366"/>
        </w:tabs>
      </w:pPr>
      <w:r w:rsidRPr="003A0655">
        <w:t>Par la suite, le représentant du Secrétariat a indiqué que chacun des groupes régionaux des États d</w:t>
      </w:r>
      <w:r w:rsidR="000B3BB8" w:rsidRPr="003A0655">
        <w:t>’</w:t>
      </w:r>
      <w:r w:rsidRPr="003A0655">
        <w:t>Afrique, des États d</w:t>
      </w:r>
      <w:r w:rsidR="000B3BB8" w:rsidRPr="003A0655">
        <w:t>’</w:t>
      </w:r>
      <w:r w:rsidRPr="003A0655">
        <w:t>Asie et du Pacifique, des États d</w:t>
      </w:r>
      <w:r w:rsidR="000B3BB8" w:rsidRPr="003A0655">
        <w:t>’</w:t>
      </w:r>
      <w:r w:rsidRPr="003A0655">
        <w:t>Amérique latine et des Caraïbes et des États d</w:t>
      </w:r>
      <w:r w:rsidR="000B3BB8" w:rsidRPr="003A0655">
        <w:t>’</w:t>
      </w:r>
      <w:r w:rsidRPr="003A0655">
        <w:t>Europe occidentale et autres États avait présenté sa candidature. Aucune candidature n</w:t>
      </w:r>
      <w:r w:rsidR="000B3BB8" w:rsidRPr="003A0655">
        <w:t>’</w:t>
      </w:r>
      <w:r w:rsidRPr="003A0655">
        <w:t>avait été reçue des États d</w:t>
      </w:r>
      <w:r w:rsidR="000B3BB8" w:rsidRPr="003A0655">
        <w:t>’</w:t>
      </w:r>
      <w:r w:rsidRPr="003A0655">
        <w:t>Europe orientale. La Coprésidente a proposé qu</w:t>
      </w:r>
      <w:r w:rsidR="000B3BB8" w:rsidRPr="003A0655">
        <w:t>’</w:t>
      </w:r>
      <w:r w:rsidRPr="003A0655">
        <w:t xml:space="preserve">un projet de décision indiquant les quatre candidatures soit inclus dans la compilation des décisions pour examen par les Parties et adoption éventuelle lors du débat de haut niveau. </w:t>
      </w:r>
      <w:bookmarkStart w:id="7" w:name="_Hlk213481036"/>
      <w:bookmarkEnd w:id="7"/>
    </w:p>
    <w:p w14:paraId="4BC174FD" w14:textId="27D931B8" w:rsidR="005E522A" w:rsidRPr="003A0655" w:rsidRDefault="005E522A" w:rsidP="005E522A">
      <w:pPr>
        <w:pStyle w:val="Normalnumber"/>
        <w:tabs>
          <w:tab w:val="clear" w:pos="2495"/>
          <w:tab w:val="clear" w:pos="3119"/>
          <w:tab w:val="clear" w:pos="3742"/>
          <w:tab w:val="clear" w:pos="4366"/>
        </w:tabs>
      </w:pPr>
      <w:bookmarkStart w:id="8" w:name="_Hlk213435435"/>
      <w:r w:rsidRPr="003A0655">
        <w:t>La représentante de la Tchéquie a présenté la candidature de sa Partie pour le siège restant du Comité d</w:t>
      </w:r>
      <w:r w:rsidR="000B3BB8" w:rsidRPr="003A0655">
        <w:t>’</w:t>
      </w:r>
      <w:r w:rsidRPr="003A0655">
        <w:t>application destiné aux États d</w:t>
      </w:r>
      <w:r w:rsidR="000B3BB8" w:rsidRPr="003A0655">
        <w:t>’</w:t>
      </w:r>
      <w:r w:rsidRPr="003A0655">
        <w:t>Europe orientale, faisant observer que le membre tchèque du Comité avait siégé au Comité pendant les deux dernières années et s</w:t>
      </w:r>
      <w:r w:rsidR="000B3BB8" w:rsidRPr="003A0655">
        <w:t>’</w:t>
      </w:r>
      <w:r w:rsidRPr="003A0655">
        <w:t xml:space="preserve">était révélé être un membre fiable, impartial et responsable du Comité. </w:t>
      </w:r>
      <w:bookmarkEnd w:id="8"/>
    </w:p>
    <w:p w14:paraId="57B1DA09" w14:textId="41AF5183" w:rsidR="005E522A" w:rsidRPr="003A0655" w:rsidRDefault="005E522A" w:rsidP="005E522A">
      <w:pPr>
        <w:pStyle w:val="Normalnumber"/>
        <w:tabs>
          <w:tab w:val="clear" w:pos="2495"/>
          <w:tab w:val="clear" w:pos="3119"/>
          <w:tab w:val="clear" w:pos="3742"/>
          <w:tab w:val="clear" w:pos="4366"/>
        </w:tabs>
      </w:pPr>
      <w:r w:rsidRPr="003A0655">
        <w:t xml:space="preserve">Un représentant, soutenu par un autre représentant, a fait </w:t>
      </w:r>
      <w:r w:rsidR="00E3190D" w:rsidRPr="003A0655">
        <w:t>objection</w:t>
      </w:r>
      <w:r w:rsidRPr="003A0655">
        <w:t xml:space="preserve"> à cette nomination. Ils ont estimé qu</w:t>
      </w:r>
      <w:r w:rsidR="000B3BB8" w:rsidRPr="003A0655">
        <w:t>’</w:t>
      </w:r>
      <w:r w:rsidRPr="003A0655">
        <w:t>en cherchant à exclure les cinq</w:t>
      </w:r>
      <w:r w:rsidR="00384310" w:rsidRPr="003A0655">
        <w:t> </w:t>
      </w:r>
      <w:r w:rsidRPr="003A0655">
        <w:t>Parties d</w:t>
      </w:r>
      <w:r w:rsidR="000B3BB8" w:rsidRPr="003A0655">
        <w:t>’</w:t>
      </w:r>
      <w:r w:rsidRPr="003A0655">
        <w:t>Asie centrale du Groupe des États d</w:t>
      </w:r>
      <w:r w:rsidR="000B3BB8" w:rsidRPr="003A0655">
        <w:t>’</w:t>
      </w:r>
      <w:r w:rsidRPr="003A0655">
        <w:t>Europe orientale, la Tchéquie avait montré qu</w:t>
      </w:r>
      <w:r w:rsidR="000B3BB8" w:rsidRPr="003A0655">
        <w:t>’</w:t>
      </w:r>
      <w:r w:rsidRPr="003A0655">
        <w:t>elle n</w:t>
      </w:r>
      <w:r w:rsidR="000B3BB8" w:rsidRPr="003A0655">
        <w:t>’</w:t>
      </w:r>
      <w:r w:rsidRPr="003A0655">
        <w:t>était pas prête à représenter les intérêts de tous les membres du Groupe. Ils ont déclaré que les Parties ne devaient pas ignorer la procédure établie par le Protocole de Montréal, selon laquelle les candidat(e)s étaient désigné(e)s par les groupes régionaux et non par eux(elles)-mêmes.</w:t>
      </w:r>
    </w:p>
    <w:p w14:paraId="5D067A16" w14:textId="00A4EF69" w:rsidR="005E522A" w:rsidRPr="003A0655" w:rsidRDefault="005E522A" w:rsidP="005E522A">
      <w:pPr>
        <w:pStyle w:val="Normalnumber"/>
        <w:tabs>
          <w:tab w:val="clear" w:pos="2495"/>
          <w:tab w:val="clear" w:pos="3119"/>
          <w:tab w:val="clear" w:pos="3742"/>
          <w:tab w:val="clear" w:pos="4366"/>
        </w:tabs>
      </w:pPr>
      <w:r w:rsidRPr="003A0655">
        <w:t>En réponse à une question, le représentant du Secrétariat a confirmé qu</w:t>
      </w:r>
      <w:r w:rsidR="000B3BB8" w:rsidRPr="003A0655">
        <w:t>’</w:t>
      </w:r>
      <w:r w:rsidRPr="003A0655">
        <w:t>en vertu des dispositions du paragraphe 5 de la procédure applicable en cas de non-respect du Protocole de Montréal, les membres du Comité qui avaient accompli un mandat de deux ans pouvaient être réélu(e)s pour un nouveau mandat de deux</w:t>
      </w:r>
      <w:r w:rsidR="00CC3BC2" w:rsidRPr="003A0655">
        <w:t> </w:t>
      </w:r>
      <w:r w:rsidRPr="003A0655">
        <w:t xml:space="preserve">ans. </w:t>
      </w:r>
    </w:p>
    <w:p w14:paraId="5C8690A2" w14:textId="199C999D" w:rsidR="005E522A" w:rsidRPr="003A0655" w:rsidRDefault="005E522A" w:rsidP="005E522A">
      <w:pPr>
        <w:pStyle w:val="Normalnumber"/>
        <w:tabs>
          <w:tab w:val="clear" w:pos="2495"/>
          <w:tab w:val="clear" w:pos="3119"/>
          <w:tab w:val="clear" w:pos="3742"/>
          <w:tab w:val="clear" w:pos="4366"/>
        </w:tabs>
      </w:pPr>
      <w:r w:rsidRPr="003A0655">
        <w:t>Compte tenu de l</w:t>
      </w:r>
      <w:r w:rsidR="000B3BB8" w:rsidRPr="003A0655">
        <w:t>’</w:t>
      </w:r>
      <w:r w:rsidRPr="003A0655">
        <w:t>absence de consensus, la Coprésidente a proposé qu</w:t>
      </w:r>
      <w:r w:rsidR="000B3BB8" w:rsidRPr="003A0655">
        <w:t>’</w:t>
      </w:r>
      <w:r w:rsidRPr="003A0655">
        <w:t>un projet de décision indiquant les quatre</w:t>
      </w:r>
      <w:r w:rsidR="00CC3BC2" w:rsidRPr="003A0655">
        <w:t> </w:t>
      </w:r>
      <w:r w:rsidRPr="003A0655">
        <w:t>candidatures soit inclus dans la compilation des décisions pour examen par les Parties et lors du débat de haut niveau. La représentante de la Tchéquie s</w:t>
      </w:r>
      <w:r w:rsidR="000B3BB8" w:rsidRPr="003A0655">
        <w:t>’</w:t>
      </w:r>
      <w:r w:rsidRPr="003A0655">
        <w:t>y est opposée, faisant valoir que toute Partie avait le droit de présenter une candidature en l</w:t>
      </w:r>
      <w:r w:rsidR="000B3BB8" w:rsidRPr="003A0655">
        <w:t>’</w:t>
      </w:r>
      <w:r w:rsidRPr="003A0655">
        <w:t>absence de consensus au sein du groupe régional concerné et que son objectif était de pourvoir le siège restant au Comité d</w:t>
      </w:r>
      <w:r w:rsidR="000B3BB8" w:rsidRPr="003A0655">
        <w:t>’</w:t>
      </w:r>
      <w:r w:rsidRPr="003A0655">
        <w:t>application afin de permettre à celui-ci de poursuivre ses travaux. Appuyée par d</w:t>
      </w:r>
      <w:r w:rsidR="000B3BB8" w:rsidRPr="003A0655">
        <w:t>’</w:t>
      </w:r>
      <w:r w:rsidRPr="003A0655">
        <w:t>autres représentant(e)s, elle a déclaré que sa délégation ne cherchait pas à modifier la composition du groupe régional et que la réunion en cours n</w:t>
      </w:r>
      <w:r w:rsidR="000B3BB8" w:rsidRPr="003A0655">
        <w:t>’</w:t>
      </w:r>
      <w:r w:rsidRPr="003A0655">
        <w:t>était pas le forum approprié pour discuter des changements dans la composition des groupes régionaux des Nations Unies. En réponse à une question, la Coprésidente a confirmé que l</w:t>
      </w:r>
      <w:r w:rsidR="000B3BB8" w:rsidRPr="003A0655">
        <w:t>’</w:t>
      </w:r>
      <w:r w:rsidRPr="003A0655">
        <w:t xml:space="preserve">auto-nomination ne constituait pas une violation du Règlement intérieur du Protocole de Montréal. </w:t>
      </w:r>
    </w:p>
    <w:p w14:paraId="31676D3F" w14:textId="38BB5E02" w:rsidR="005E522A" w:rsidRPr="003A0655" w:rsidRDefault="005E522A" w:rsidP="005E522A">
      <w:pPr>
        <w:pStyle w:val="Normalnumber"/>
        <w:tabs>
          <w:tab w:val="clear" w:pos="2495"/>
          <w:tab w:val="clear" w:pos="3119"/>
          <w:tab w:val="clear" w:pos="3742"/>
          <w:tab w:val="clear" w:pos="4366"/>
        </w:tabs>
      </w:pPr>
      <w:r w:rsidRPr="003A0655">
        <w:t>De nombreux représentant(e)s ont exprimé leur soutien à la nomination de la Tchéquie au Comité d</w:t>
      </w:r>
      <w:r w:rsidR="000B3BB8" w:rsidRPr="003A0655">
        <w:t>’</w:t>
      </w:r>
      <w:r w:rsidRPr="003A0655">
        <w:t>application. Certain(e)s ont fait remarquer qu</w:t>
      </w:r>
      <w:r w:rsidR="000B3BB8" w:rsidRPr="003A0655">
        <w:t>’</w:t>
      </w:r>
      <w:r w:rsidRPr="003A0655">
        <w:t>une procédure d</w:t>
      </w:r>
      <w:r w:rsidR="000B3BB8" w:rsidRPr="003A0655">
        <w:t>’</w:t>
      </w:r>
      <w:r w:rsidRPr="003A0655">
        <w:t>auto-nomination avait déjà été suivie lors de la réunion en cours, lorsque le Kazakhstan s</w:t>
      </w:r>
      <w:r w:rsidR="000B3BB8" w:rsidRPr="003A0655">
        <w:t>’</w:t>
      </w:r>
      <w:r w:rsidRPr="003A0655">
        <w:t xml:space="preserve">était porté candidat à un siège au Comité exécutif du Fonds multilatéral (voir paragraphe 38 du présent rapport). </w:t>
      </w:r>
    </w:p>
    <w:p w14:paraId="67D6CDEB" w14:textId="3E9B11AD" w:rsidR="005E522A" w:rsidRPr="003A0655" w:rsidRDefault="005E522A" w:rsidP="005E522A">
      <w:pPr>
        <w:pStyle w:val="Normalnumber"/>
        <w:tabs>
          <w:tab w:val="clear" w:pos="2495"/>
          <w:tab w:val="clear" w:pos="3119"/>
          <w:tab w:val="clear" w:pos="3742"/>
          <w:tab w:val="clear" w:pos="4366"/>
        </w:tabs>
      </w:pPr>
      <w:r w:rsidRPr="003A0655">
        <w:t>Une représentante a ajouté que les discussions sur la composition des groupes régionaux ne relevaient pas du présent forum, mais plutôt d</w:t>
      </w:r>
      <w:r w:rsidR="000B3BB8" w:rsidRPr="003A0655">
        <w:t>’</w:t>
      </w:r>
      <w:r w:rsidRPr="003A0655">
        <w:t>autres institutions au sein des Nations Unies. Un autre représentant a fait remarquer qu</w:t>
      </w:r>
      <w:r w:rsidR="000B3BB8" w:rsidRPr="003A0655">
        <w:t>’</w:t>
      </w:r>
      <w:r w:rsidRPr="003A0655">
        <w:t>il n</w:t>
      </w:r>
      <w:r w:rsidR="000B3BB8" w:rsidRPr="003A0655">
        <w:t>’</w:t>
      </w:r>
      <w:r w:rsidRPr="003A0655">
        <w:t>existait pas de définition stricte de la composition des groupes régionaux aux Nations Unies et qu</w:t>
      </w:r>
      <w:r w:rsidR="000B3BB8" w:rsidRPr="003A0655">
        <w:t>’</w:t>
      </w:r>
      <w:r w:rsidRPr="003A0655">
        <w:t>il appartenait à chaque convention ou protocole de déterminer ses groupements régionaux. Aucune disposition du Règlement intérieur n</w:t>
      </w:r>
      <w:r w:rsidR="000B3BB8" w:rsidRPr="003A0655">
        <w:t>’</w:t>
      </w:r>
      <w:r w:rsidRPr="003A0655">
        <w:t>avait été enfreinte. La principale question en jeu lors de la réunion en cours était la nécessité d</w:t>
      </w:r>
      <w:r w:rsidR="000B3BB8" w:rsidRPr="003A0655">
        <w:t>’</w:t>
      </w:r>
      <w:r w:rsidRPr="003A0655">
        <w:t>élire les membres du Comité d</w:t>
      </w:r>
      <w:r w:rsidR="000B3BB8" w:rsidRPr="003A0655">
        <w:t>’</w:t>
      </w:r>
      <w:r w:rsidRPr="003A0655">
        <w:t>application afin d</w:t>
      </w:r>
      <w:r w:rsidR="000B3BB8" w:rsidRPr="003A0655">
        <w:t>’</w:t>
      </w:r>
      <w:r w:rsidRPr="003A0655">
        <w:t>assurer le fonctionnement efficace et efficient du Protocole de Montréal.</w:t>
      </w:r>
    </w:p>
    <w:p w14:paraId="36A6ADE0" w14:textId="200D5903" w:rsidR="005E522A" w:rsidRPr="003A0655" w:rsidRDefault="005E522A" w:rsidP="005E522A">
      <w:pPr>
        <w:pStyle w:val="Normalnumber"/>
        <w:tabs>
          <w:tab w:val="clear" w:pos="2495"/>
          <w:tab w:val="clear" w:pos="3119"/>
          <w:tab w:val="clear" w:pos="3742"/>
          <w:tab w:val="clear" w:pos="4366"/>
        </w:tabs>
      </w:pPr>
      <w:r w:rsidRPr="003A0655">
        <w:t>D</w:t>
      </w:r>
      <w:r w:rsidR="000B3BB8" w:rsidRPr="003A0655">
        <w:t>’</w:t>
      </w:r>
      <w:r w:rsidRPr="003A0655">
        <w:t>autres représentant(e)s ont toutefois maintenu leur opposition, estimant que l</w:t>
      </w:r>
      <w:r w:rsidR="000B3BB8" w:rsidRPr="003A0655">
        <w:t>’</w:t>
      </w:r>
      <w:r w:rsidRPr="003A0655">
        <w:t>auto</w:t>
      </w:r>
      <w:r w:rsidR="0022012F" w:rsidRPr="003A0655">
        <w:noBreakHyphen/>
      </w:r>
      <w:r w:rsidRPr="003A0655">
        <w:t>nomination constituait une violation des procédures établies du Protocole de Montréal. L</w:t>
      </w:r>
      <w:r w:rsidR="000B3BB8" w:rsidRPr="003A0655">
        <w:t>’</w:t>
      </w:r>
      <w:r w:rsidRPr="003A0655">
        <w:t>un d</w:t>
      </w:r>
      <w:r w:rsidR="000B3BB8" w:rsidRPr="003A0655">
        <w:t>’</w:t>
      </w:r>
      <w:r w:rsidRPr="003A0655">
        <w:t>eux a déclaré que le Groupe des États d</w:t>
      </w:r>
      <w:r w:rsidR="000B3BB8" w:rsidRPr="003A0655">
        <w:t>’</w:t>
      </w:r>
      <w:r w:rsidRPr="003A0655">
        <w:t>Europe orientale n</w:t>
      </w:r>
      <w:r w:rsidR="000B3BB8" w:rsidRPr="003A0655">
        <w:t>’</w:t>
      </w:r>
      <w:r w:rsidRPr="003A0655">
        <w:t xml:space="preserve">avait jamais discuté des nominations pendant la réunion en cours. </w:t>
      </w:r>
    </w:p>
    <w:p w14:paraId="33694DBB" w14:textId="0BA74AFB" w:rsidR="005E522A" w:rsidRPr="003A0655" w:rsidRDefault="005E522A" w:rsidP="005E522A">
      <w:pPr>
        <w:pStyle w:val="Normalnumber"/>
        <w:tabs>
          <w:tab w:val="clear" w:pos="2495"/>
          <w:tab w:val="clear" w:pos="3119"/>
          <w:tab w:val="clear" w:pos="3742"/>
          <w:tab w:val="clear" w:pos="4366"/>
        </w:tabs>
      </w:pPr>
      <w:r w:rsidRPr="003A0655">
        <w:t>Un autre représentant, s</w:t>
      </w:r>
      <w:r w:rsidR="000B3BB8" w:rsidRPr="003A0655">
        <w:t>’</w:t>
      </w:r>
      <w:r w:rsidRPr="003A0655">
        <w:t>exprimant au nom d</w:t>
      </w:r>
      <w:r w:rsidR="000B3BB8" w:rsidRPr="003A0655">
        <w:t>’</w:t>
      </w:r>
      <w:r w:rsidRPr="003A0655">
        <w:t>un groupe régional, a fait remarquer que, bien qu</w:t>
      </w:r>
      <w:r w:rsidR="000B3BB8" w:rsidRPr="003A0655">
        <w:t>’</w:t>
      </w:r>
      <w:r w:rsidRPr="003A0655">
        <w:t>il n</w:t>
      </w:r>
      <w:r w:rsidR="000B3BB8" w:rsidRPr="003A0655">
        <w:t>’</w:t>
      </w:r>
      <w:r w:rsidRPr="003A0655">
        <w:t>ait pas d</w:t>
      </w:r>
      <w:r w:rsidR="000B3BB8" w:rsidRPr="003A0655">
        <w:t>’</w:t>
      </w:r>
      <w:r w:rsidRPr="003A0655">
        <w:t>opinion sur la question spécifique à l</w:t>
      </w:r>
      <w:r w:rsidR="000B3BB8" w:rsidRPr="003A0655">
        <w:t>’</w:t>
      </w:r>
      <w:r w:rsidRPr="003A0655">
        <w:t>examen, il estimait qu</w:t>
      </w:r>
      <w:r w:rsidR="000B3BB8" w:rsidRPr="003A0655">
        <w:t>’</w:t>
      </w:r>
      <w:r w:rsidRPr="003A0655">
        <w:t>il était important de maintenir le principe selon lequel les groupes régionaux devaient s</w:t>
      </w:r>
      <w:r w:rsidR="000B3BB8" w:rsidRPr="003A0655">
        <w:t>’</w:t>
      </w:r>
      <w:r w:rsidRPr="003A0655">
        <w:t xml:space="preserve">accorder par consensus sur les nominations. Les groupes régionaux avaient souvent connu des désaccords internes dans le passé, mais avaient toujours trouvé le moyen de les surmonter. </w:t>
      </w:r>
    </w:p>
    <w:p w14:paraId="69D7D33A" w14:textId="64FD8FA1" w:rsidR="005E522A" w:rsidRPr="003A0655" w:rsidRDefault="005E522A" w:rsidP="005E522A">
      <w:pPr>
        <w:pStyle w:val="Normalnumber"/>
        <w:tabs>
          <w:tab w:val="clear" w:pos="2495"/>
          <w:tab w:val="clear" w:pos="3119"/>
          <w:tab w:val="clear" w:pos="3742"/>
          <w:tab w:val="clear" w:pos="4366"/>
        </w:tabs>
      </w:pPr>
      <w:r w:rsidRPr="003A0655">
        <w:t>La Coprésidente a déclaré que, compte tenu du soutien massif exprimé en faveur de la candidature de la Tchéquie, le nom de la Partie devrait être ajouté à la liste des candidatures figurant dans le projet de décision sur la composition du Comité d</w:t>
      </w:r>
      <w:r w:rsidR="000B3BB8" w:rsidRPr="003A0655">
        <w:t>’</w:t>
      </w:r>
      <w:r w:rsidRPr="003A0655">
        <w:t>application. Un représentant a toutefois exprimé son désaccord, affirmant qu</w:t>
      </w:r>
      <w:r w:rsidR="000B3BB8" w:rsidRPr="003A0655">
        <w:t>’</w:t>
      </w:r>
      <w:r w:rsidRPr="003A0655">
        <w:t>il était clair que les décisions relatives aux nominations devaient être prises d</w:t>
      </w:r>
      <w:r w:rsidR="000B3BB8" w:rsidRPr="003A0655">
        <w:t>’</w:t>
      </w:r>
      <w:r w:rsidRPr="003A0655">
        <w:t>un commun accord au sein des groupes régionaux et que toute autre manière de procéder serait un mépris éhonté des pratiques existantes. Il a ajouté que l</w:t>
      </w:r>
      <w:r w:rsidR="000B3BB8" w:rsidRPr="003A0655">
        <w:t>’</w:t>
      </w:r>
      <w:r w:rsidRPr="003A0655">
        <w:t>absence actuelle de consensus résultait de la tentative d</w:t>
      </w:r>
      <w:r w:rsidR="000B3BB8" w:rsidRPr="003A0655">
        <w:t>’</w:t>
      </w:r>
      <w:r w:rsidRPr="003A0655">
        <w:t>exclure les cinq pays d</w:t>
      </w:r>
      <w:r w:rsidR="000B3BB8" w:rsidRPr="003A0655">
        <w:t>’</w:t>
      </w:r>
      <w:r w:rsidRPr="003A0655">
        <w:t>Asie centrale du Groupe des États d</w:t>
      </w:r>
      <w:r w:rsidR="000B3BB8" w:rsidRPr="003A0655">
        <w:t>’</w:t>
      </w:r>
      <w:r w:rsidRPr="003A0655">
        <w:t>Europe orientale.</w:t>
      </w:r>
    </w:p>
    <w:p w14:paraId="17CF3F2D" w14:textId="47B54278" w:rsidR="005E522A" w:rsidRPr="003A0655" w:rsidRDefault="005E522A" w:rsidP="005E522A">
      <w:pPr>
        <w:pStyle w:val="Normalnumber"/>
        <w:tabs>
          <w:tab w:val="clear" w:pos="2495"/>
          <w:tab w:val="clear" w:pos="3119"/>
          <w:tab w:val="clear" w:pos="3742"/>
          <w:tab w:val="clear" w:pos="4366"/>
        </w:tabs>
      </w:pPr>
      <w:r w:rsidRPr="003A0655">
        <w:t>Constatant l</w:t>
      </w:r>
      <w:r w:rsidR="000B3BB8" w:rsidRPr="003A0655">
        <w:t>’</w:t>
      </w:r>
      <w:r w:rsidRPr="003A0655">
        <w:t>absence persistante de consensus, la Coprésidente a proposé que les Parties adoptent une décision autorisant le Secrétariat à organiser une Réunion extraordinaire des Parties à la suite de la quarante-huitième réunion du Groupe de travail à composition non limitée, afin de permettre aux Parties de prendre une décision sur le siège restant à pourvoir au Comité d</w:t>
      </w:r>
      <w:r w:rsidR="000B3BB8" w:rsidRPr="003A0655">
        <w:t>’</w:t>
      </w:r>
      <w:r w:rsidRPr="003A0655">
        <w:t>application pour 2026, avant la soixante-seizième réunion du Comité. L</w:t>
      </w:r>
      <w:r w:rsidR="000B3BB8" w:rsidRPr="003A0655">
        <w:t>’</w:t>
      </w:r>
      <w:r w:rsidRPr="003A0655">
        <w:t>ordre du jour provisoire de la Réunion extraordinaire des Parties ne comporterait qu</w:t>
      </w:r>
      <w:r w:rsidR="000B3BB8" w:rsidRPr="003A0655">
        <w:t>’</w:t>
      </w:r>
      <w:r w:rsidRPr="003A0655">
        <w:t>un seul point de fond, à savoir la composition du Comité d</w:t>
      </w:r>
      <w:r w:rsidR="000B3BB8" w:rsidRPr="003A0655">
        <w:t>’</w:t>
      </w:r>
      <w:r w:rsidRPr="003A0655">
        <w:t>application. L</w:t>
      </w:r>
      <w:r w:rsidR="000B3BB8" w:rsidRPr="003A0655">
        <w:t>’</w:t>
      </w:r>
      <w:r w:rsidRPr="003A0655">
        <w:t>annexe au projet de décision proposé comprendrait, entre crochets, pour examen lors de la Réunion extraordinaire des Parties, un projet de décision sur la composition du Comité d</w:t>
      </w:r>
      <w:r w:rsidR="000B3BB8" w:rsidRPr="003A0655">
        <w:t>’</w:t>
      </w:r>
      <w:r w:rsidRPr="003A0655">
        <w:t xml:space="preserve">application, qui inclurait la Tchéquie parmi les autres candidatures reçues, et prendrait note de la sélection de Linda Kosgei (Kenya) au poste de Présidente et de Matej </w:t>
      </w:r>
      <w:proofErr w:type="spellStart"/>
      <w:r w:rsidRPr="003A0655">
        <w:t>Mrlina</w:t>
      </w:r>
      <w:proofErr w:type="spellEnd"/>
      <w:r w:rsidRPr="003A0655">
        <w:t xml:space="preserve"> (Tchéquie) au poste de Vice-Président et Rapporteur du Comité. La Coprésidente a déclaré </w:t>
      </w:r>
      <w:r w:rsidR="00744782">
        <w:t>qu’elle était d’avis que cette façon de formuler le</w:t>
      </w:r>
      <w:r w:rsidRPr="003A0655">
        <w:t xml:space="preserve"> </w:t>
      </w:r>
      <w:r w:rsidR="00744782">
        <w:t>projet de</w:t>
      </w:r>
      <w:r w:rsidR="00744782" w:rsidRPr="003A0655">
        <w:t xml:space="preserve"> </w:t>
      </w:r>
      <w:r w:rsidRPr="003A0655">
        <w:t>décision représent</w:t>
      </w:r>
      <w:r w:rsidR="00744782">
        <w:t>er</w:t>
      </w:r>
      <w:r w:rsidRPr="003A0655">
        <w:t xml:space="preserve">ait la solution la plus équitable, compte tenu notamment du soutien massif exprimé en faveur de la candidature de la Tchéquie. </w:t>
      </w:r>
      <w:bookmarkStart w:id="9" w:name="_Hlk213483456"/>
      <w:bookmarkEnd w:id="9"/>
    </w:p>
    <w:p w14:paraId="04B7526E" w14:textId="3C4AF1C6" w:rsidR="005E522A" w:rsidRPr="003A0655" w:rsidRDefault="005E522A" w:rsidP="005E522A">
      <w:pPr>
        <w:pStyle w:val="Normalnumber"/>
        <w:tabs>
          <w:tab w:val="clear" w:pos="2495"/>
          <w:tab w:val="clear" w:pos="3119"/>
          <w:tab w:val="clear" w:pos="3742"/>
          <w:tab w:val="clear" w:pos="4366"/>
        </w:tabs>
      </w:pPr>
      <w:r w:rsidRPr="003A0655">
        <w:t>Répondant aux questions, le représentant du Secrétariat a déclaré que, dans l</w:t>
      </w:r>
      <w:r w:rsidR="000B3BB8" w:rsidRPr="003A0655">
        <w:t>’</w:t>
      </w:r>
      <w:r w:rsidRPr="003A0655">
        <w:t>idéal, la composition du Comité d</w:t>
      </w:r>
      <w:r w:rsidR="000B3BB8" w:rsidRPr="003A0655">
        <w:t>’</w:t>
      </w:r>
      <w:r w:rsidRPr="003A0655">
        <w:t>application devrait être confirmée au moins un mois avant la réunion du Comité, afin de laisser suffisamment de temps pour la diffusion des documents. Cependant, les cinq</w:t>
      </w:r>
      <w:r w:rsidR="001349BE" w:rsidRPr="003A0655">
        <w:t> </w:t>
      </w:r>
      <w:r w:rsidRPr="003A0655">
        <w:t>membres du Comité qui étaient à mi-parcours de leur mandat de deux ans avaient déjà été confirmés dans leurs fonctions. S</w:t>
      </w:r>
      <w:r w:rsidR="000B3BB8" w:rsidRPr="003A0655">
        <w:t>’</w:t>
      </w:r>
      <w:r w:rsidRPr="003A0655">
        <w:t>il était nécessaire de convoquer le Comité, le Secrétariat pourrait faire appel aux cinq membres déjà en fonction. Bien que ces cinq membres aient été mentionné(e)s dans le projet de décision sur la composition du Comité, il n</w:t>
      </w:r>
      <w:r w:rsidR="000B3BB8" w:rsidRPr="003A0655">
        <w:t>’</w:t>
      </w:r>
      <w:r w:rsidRPr="003A0655">
        <w:t>était pas strictement nécessaire de les inclure</w:t>
      </w:r>
      <w:r w:rsidR="002A39D3" w:rsidRPr="003A0655">
        <w:t> </w:t>
      </w:r>
      <w:r w:rsidRPr="003A0655">
        <w:t>; ils (elles) avaient été élu(e)s en 2024 pour un mandat de deux ans et resteraient donc membres du Comité, quelles que soient les décisions prises par la trente-septième Réunion des Parties ou lors de la Réunion extraordinaire des Parties proposée.</w:t>
      </w:r>
    </w:p>
    <w:p w14:paraId="07E1F877" w14:textId="30A25B47" w:rsidR="005E522A" w:rsidRPr="003A0655" w:rsidRDefault="005E522A" w:rsidP="005E522A">
      <w:pPr>
        <w:pStyle w:val="Normalnumber"/>
        <w:tabs>
          <w:tab w:val="clear" w:pos="2495"/>
          <w:tab w:val="clear" w:pos="3119"/>
          <w:tab w:val="clear" w:pos="3742"/>
          <w:tab w:val="clear" w:pos="4366"/>
        </w:tabs>
      </w:pPr>
      <w:r w:rsidRPr="003A0655">
        <w:t xml:space="preserve">Certain(e)s représentant(e)s ont approuvé les propositions de la Coprésidente. Un autre </w:t>
      </w:r>
      <w:r w:rsidR="00405FD2" w:rsidRPr="003A0655">
        <w:t xml:space="preserve">a fait objection </w:t>
      </w:r>
      <w:r w:rsidRPr="003A0655">
        <w:t>à l</w:t>
      </w:r>
      <w:r w:rsidR="000B3BB8" w:rsidRPr="003A0655">
        <w:t>’</w:t>
      </w:r>
      <w:r w:rsidRPr="003A0655">
        <w:t>inclusion de la Tchéquie dans le projet de décision, faisant remarquer que la liste devrait inclure un emplacement réservé à un(e) candidat(e) des États d</w:t>
      </w:r>
      <w:r w:rsidR="000B3BB8" w:rsidRPr="003A0655">
        <w:t>’</w:t>
      </w:r>
      <w:r w:rsidRPr="003A0655">
        <w:t>Europe orientale sans nommer de Partie spécifique. Il a ajouté que la comparaison faite par certain(e)s représentant(e)s avec la candidature spontanée du Kazakhstan au Comité exécutif du Fonds multilatéral n</w:t>
      </w:r>
      <w:r w:rsidR="000B3BB8" w:rsidRPr="003A0655">
        <w:t>’</w:t>
      </w:r>
      <w:r w:rsidRPr="003A0655">
        <w:t>était pas pertinente, puisqu</w:t>
      </w:r>
      <w:r w:rsidR="000B3BB8" w:rsidRPr="003A0655">
        <w:t>’</w:t>
      </w:r>
      <w:r w:rsidRPr="003A0655">
        <w:t>il n</w:t>
      </w:r>
      <w:r w:rsidR="000B3BB8" w:rsidRPr="003A0655">
        <w:t>’</w:t>
      </w:r>
      <w:r w:rsidRPr="003A0655">
        <w:t>y avait eu aucune objection à la candidature du Kazakhstan</w:t>
      </w:r>
      <w:r w:rsidR="002A39D3" w:rsidRPr="003A0655">
        <w:t> </w:t>
      </w:r>
      <w:r w:rsidRPr="003A0655">
        <w:t>; or ce n</w:t>
      </w:r>
      <w:r w:rsidR="000B3BB8" w:rsidRPr="003A0655">
        <w:t>’</w:t>
      </w:r>
      <w:r w:rsidRPr="003A0655">
        <w:t>était clairement pas le cas s</w:t>
      </w:r>
      <w:r w:rsidR="000B3BB8" w:rsidRPr="003A0655">
        <w:t>’</w:t>
      </w:r>
      <w:r w:rsidRPr="003A0655">
        <w:t>agissant de la candidature de la Tchéquie.</w:t>
      </w:r>
    </w:p>
    <w:p w14:paraId="0305B10B" w14:textId="77777777" w:rsidR="005E522A" w:rsidRPr="003A0655" w:rsidRDefault="005E522A" w:rsidP="005E522A">
      <w:pPr>
        <w:pStyle w:val="Normalnumber"/>
        <w:tabs>
          <w:tab w:val="clear" w:pos="2495"/>
          <w:tab w:val="clear" w:pos="3119"/>
          <w:tab w:val="clear" w:pos="3742"/>
          <w:tab w:val="clear" w:pos="4366"/>
        </w:tabs>
      </w:pPr>
      <w:r w:rsidRPr="003A0655">
        <w:t xml:space="preserve">La Coprésidente a souligné que tout ce qui figurait dans le projet de décision annexé au projet de décision sur la Réunion extraordinaire des Parties restait entre crochets et serait donc ouvert à la discussion. Une représentante a proposé que le paragraphe mentionnant la sélection de la Présidente et du Vice-Président soit supprimé, car il serait erroné de décider de leur sélection avant que le Comité lui-même ait été élu. Un autre représentant a préconisé quant à lui que les mentions de la Tchéquie dans la liste des membres et la sélection du Vice-Président soient supprimées, jugeant le reste du projet de décision acceptable. </w:t>
      </w:r>
    </w:p>
    <w:p w14:paraId="0C65B53C" w14:textId="172471FD" w:rsidR="005E522A" w:rsidRPr="003A0655" w:rsidRDefault="005E522A" w:rsidP="005E522A">
      <w:pPr>
        <w:pStyle w:val="Normalnumber"/>
        <w:tabs>
          <w:tab w:val="clear" w:pos="2495"/>
          <w:tab w:val="clear" w:pos="3119"/>
          <w:tab w:val="clear" w:pos="3742"/>
          <w:tab w:val="clear" w:pos="4366"/>
        </w:tabs>
      </w:pPr>
      <w:r w:rsidRPr="003A0655">
        <w:t>En réponse, la première représentante a plutôt proposé que deux décisions distinctes soient adoptées</w:t>
      </w:r>
      <w:r w:rsidR="00F97C78" w:rsidRPr="003A0655">
        <w:t> </w:t>
      </w:r>
      <w:r w:rsidRPr="003A0655">
        <w:t>: la première approuverait les nominations des membres du Comité d</w:t>
      </w:r>
      <w:r w:rsidR="000B3BB8" w:rsidRPr="003A0655">
        <w:t>’</w:t>
      </w:r>
      <w:r w:rsidRPr="003A0655">
        <w:t>application dont la candidature avait été proposée par les groupes régionaux, tandis que la seconde autoriserait l</w:t>
      </w:r>
      <w:r w:rsidR="000B3BB8" w:rsidRPr="003A0655">
        <w:t>’</w:t>
      </w:r>
      <w:r w:rsidRPr="003A0655">
        <w:t>organisation d</w:t>
      </w:r>
      <w:r w:rsidR="000B3BB8" w:rsidRPr="003A0655">
        <w:t>’</w:t>
      </w:r>
      <w:r w:rsidRPr="003A0655">
        <w:t>une Réunion extraordinaire des Parties afin d</w:t>
      </w:r>
      <w:r w:rsidR="000B3BB8" w:rsidRPr="003A0655">
        <w:t>’</w:t>
      </w:r>
      <w:r w:rsidRPr="003A0655">
        <w:t>examiner le siège restant à pourvoir. Un</w:t>
      </w:r>
      <w:r w:rsidR="00EB43BA" w:rsidRPr="003A0655">
        <w:t> </w:t>
      </w:r>
      <w:r w:rsidRPr="003A0655">
        <w:t>représentant a approuvé cette proposition, mais d</w:t>
      </w:r>
      <w:r w:rsidR="000B3BB8" w:rsidRPr="003A0655">
        <w:t>’</w:t>
      </w:r>
      <w:r w:rsidRPr="003A0655">
        <w:t>autres ont estimé que toute la liste des nominations devrait être conservée entre crochets dans un seul projet de décision.</w:t>
      </w:r>
    </w:p>
    <w:p w14:paraId="34E68828" w14:textId="63444DD0" w:rsidR="005E522A" w:rsidRPr="003A0655" w:rsidRDefault="005E522A" w:rsidP="005E522A">
      <w:pPr>
        <w:pStyle w:val="Normalnumber"/>
        <w:tabs>
          <w:tab w:val="clear" w:pos="2495"/>
          <w:tab w:val="clear" w:pos="3119"/>
          <w:tab w:val="clear" w:pos="3742"/>
          <w:tab w:val="clear" w:pos="4366"/>
        </w:tabs>
      </w:pPr>
      <w:r w:rsidRPr="003A0655">
        <w:t>Constatant l</w:t>
      </w:r>
      <w:r w:rsidR="000B3BB8" w:rsidRPr="003A0655">
        <w:t>’</w:t>
      </w:r>
      <w:r w:rsidRPr="003A0655">
        <w:t>absence persistante de consensus, la Coprésidente a présenté une proposition révisée de projet de décision qui, selon elle, ne comprendrait que l</w:t>
      </w:r>
      <w:r w:rsidR="000B3BB8" w:rsidRPr="003A0655">
        <w:t>’</w:t>
      </w:r>
      <w:r w:rsidRPr="003A0655">
        <w:t>autorisation d</w:t>
      </w:r>
      <w:r w:rsidR="000B3BB8" w:rsidRPr="003A0655">
        <w:t>’</w:t>
      </w:r>
      <w:r w:rsidRPr="003A0655">
        <w:t>organiser une Réunion extraordinaire des Parties, l</w:t>
      </w:r>
      <w:r w:rsidR="000B3BB8" w:rsidRPr="003A0655">
        <w:t>’</w:t>
      </w:r>
      <w:r w:rsidRPr="003A0655">
        <w:t>ordre du jour proposé pour la réunion figurant dans une annexe à</w:t>
      </w:r>
      <w:r w:rsidR="00EB0BB2" w:rsidRPr="003A0655">
        <w:t> </w:t>
      </w:r>
      <w:r w:rsidRPr="003A0655">
        <w:t>la décision et sans le projet de décision précédemment proposé concernant la composition du Comité d</w:t>
      </w:r>
      <w:r w:rsidR="000B3BB8" w:rsidRPr="003A0655">
        <w:t>’</w:t>
      </w:r>
      <w:r w:rsidRPr="003A0655">
        <w:t>application. Le Secrétariat préparerait et diffuserait plutôt un projet de décision type avant la Réunion extraordinaire. Elle a également confirmé qu</w:t>
      </w:r>
      <w:r w:rsidR="000B3BB8" w:rsidRPr="003A0655">
        <w:t>’</w:t>
      </w:r>
      <w:r w:rsidRPr="003A0655">
        <w:t>il serait tenu compte de toutes les vues exprimées par les représentant(e)s pendant la discussion en cours dans le rapport de la réunion, qui servirait de base aux discussions lors de la Réunion extraordinaire des Parties.</w:t>
      </w:r>
    </w:p>
    <w:p w14:paraId="3683E1CB" w14:textId="6CF8E0CE" w:rsidR="00F978AD" w:rsidRPr="003A0655" w:rsidRDefault="005E522A" w:rsidP="005E522A">
      <w:pPr>
        <w:pStyle w:val="Normalnumber"/>
        <w:tabs>
          <w:tab w:val="clear" w:pos="1247"/>
        </w:tabs>
      </w:pPr>
      <w:r w:rsidRPr="003A0655">
        <w:t>Les Parties sont convenues de transmettre le projet de décision au débat de haut niveau pour examen plus poussé et adoption éventuelle.</w:t>
      </w:r>
    </w:p>
    <w:p w14:paraId="7C79F9E4" w14:textId="6C59FB9C" w:rsidR="00F978AD" w:rsidRPr="003A0655" w:rsidRDefault="008E258D" w:rsidP="00F978AD">
      <w:pPr>
        <w:pStyle w:val="CH3"/>
        <w:keepNext w:val="0"/>
        <w:keepLines w:val="0"/>
      </w:pPr>
      <w:r w:rsidRPr="003A0655">
        <w:rPr>
          <w:bCs/>
        </w:rPr>
        <w:tab/>
      </w:r>
      <w:r w:rsidR="00F978AD" w:rsidRPr="003A0655">
        <w:rPr>
          <w:bCs/>
        </w:rPr>
        <w:t>2.</w:t>
      </w:r>
      <w:r w:rsidR="00F978AD" w:rsidRPr="003A0655">
        <w:tab/>
      </w:r>
      <w:r w:rsidR="00F978AD" w:rsidRPr="003A0655">
        <w:rPr>
          <w:bCs/>
        </w:rPr>
        <w:t>Membres du Comité</w:t>
      </w:r>
      <w:r w:rsidR="005D6D0D" w:rsidRPr="003A0655">
        <w:rPr>
          <w:bCs/>
        </w:rPr>
        <w:t> </w:t>
      </w:r>
      <w:r w:rsidR="00F978AD" w:rsidRPr="003A0655">
        <w:rPr>
          <w:bCs/>
        </w:rPr>
        <w:t>exécutif du Fonds multilatéral aux fins d</w:t>
      </w:r>
      <w:r w:rsidR="000B3BB8" w:rsidRPr="003A0655">
        <w:rPr>
          <w:bCs/>
        </w:rPr>
        <w:t>’</w:t>
      </w:r>
      <w:r w:rsidR="00F978AD" w:rsidRPr="003A0655">
        <w:rPr>
          <w:bCs/>
        </w:rPr>
        <w:t>application du Protocole de</w:t>
      </w:r>
      <w:r w:rsidR="00991651" w:rsidRPr="003A0655">
        <w:rPr>
          <w:bCs/>
        </w:rPr>
        <w:t> </w:t>
      </w:r>
      <w:r w:rsidR="00F978AD" w:rsidRPr="003A0655">
        <w:rPr>
          <w:bCs/>
        </w:rPr>
        <w:t>Montréal</w:t>
      </w:r>
    </w:p>
    <w:p w14:paraId="6E74952A" w14:textId="25E5F7F5" w:rsidR="00F978AD" w:rsidRPr="003A0655" w:rsidRDefault="00F978AD" w:rsidP="00AB635F">
      <w:pPr>
        <w:pStyle w:val="Normalnumber"/>
        <w:tabs>
          <w:tab w:val="clear" w:pos="1247"/>
        </w:tabs>
      </w:pPr>
      <w:r w:rsidRPr="003A0655">
        <w:t>Présentant ce sous-point, la Coprésidente a rappelé que les Parties devaient décider de la composition du Comité</w:t>
      </w:r>
      <w:r w:rsidR="005037C1" w:rsidRPr="003A0655">
        <w:t> </w:t>
      </w:r>
      <w:r w:rsidRPr="003A0655">
        <w:t>exécutif du Fonds multilatéral pour 2026. Des informations sur les</w:t>
      </w:r>
      <w:r w:rsidR="005F2D33" w:rsidRPr="003A0655">
        <w:t> </w:t>
      </w:r>
      <w:r w:rsidRPr="003A0655">
        <w:t>postes</w:t>
      </w:r>
      <w:r w:rsidR="005F2D33" w:rsidRPr="003A0655">
        <w:t> </w:t>
      </w:r>
      <w:r w:rsidRPr="003A0655">
        <w:t>à pourvoir étaient présentées aux paragraphes</w:t>
      </w:r>
      <w:r w:rsidR="00991651" w:rsidRPr="003A0655">
        <w:t> </w:t>
      </w:r>
      <w:r w:rsidRPr="003A0655">
        <w:t>21 à 24 du document UNEP/OzL.Pro.37/2 et</w:t>
      </w:r>
      <w:r w:rsidR="005F2D33" w:rsidRPr="003A0655">
        <w:t> </w:t>
      </w:r>
      <w:r w:rsidRPr="003A0655">
        <w:t>un projet de décision sur la question figurait dans le document UNEP/OzL.Pro.37/3 (projet de décision</w:t>
      </w:r>
      <w:r w:rsidR="00991651" w:rsidRPr="003A0655">
        <w:t> </w:t>
      </w:r>
      <w:r w:rsidRPr="003A0655">
        <w:t>XXXV</w:t>
      </w:r>
      <w:r w:rsidR="00C154C2" w:rsidRPr="003A0655">
        <w:t>II</w:t>
      </w:r>
      <w:r w:rsidRPr="003A0655">
        <w:t>/[CC]).</w:t>
      </w:r>
    </w:p>
    <w:p w14:paraId="098B577C" w14:textId="6DB14519" w:rsidR="00F978AD" w:rsidRPr="003A0655" w:rsidRDefault="00697CE6" w:rsidP="00AB635F">
      <w:pPr>
        <w:pStyle w:val="Normalnumber"/>
        <w:tabs>
          <w:tab w:val="clear" w:pos="1247"/>
        </w:tabs>
      </w:pPr>
      <w:r w:rsidRPr="003A0655">
        <w:t>Par la suite, le représentant du Secrétariat a indiqué qu</w:t>
      </w:r>
      <w:r w:rsidR="000B3BB8" w:rsidRPr="003A0655">
        <w:t>’</w:t>
      </w:r>
      <w:r w:rsidRPr="003A0655">
        <w:t>il avait été informé de la sélection de sept</w:t>
      </w:r>
      <w:r w:rsidR="006B3183" w:rsidRPr="003A0655">
        <w:t> </w:t>
      </w:r>
      <w:r w:rsidRPr="003A0655">
        <w:t>membres représentant les Parties visées à l</w:t>
      </w:r>
      <w:r w:rsidR="000B3BB8" w:rsidRPr="003A0655">
        <w:t>’</w:t>
      </w:r>
      <w:r w:rsidRPr="003A0655">
        <w:t>article 5 et de six membres représentant les Parties non</w:t>
      </w:r>
      <w:r w:rsidR="008B7D07" w:rsidRPr="003A0655">
        <w:t> </w:t>
      </w:r>
      <w:r w:rsidRPr="003A0655">
        <w:t>visées au paragraphe 1 de l</w:t>
      </w:r>
      <w:r w:rsidR="000B3BB8" w:rsidRPr="003A0655">
        <w:t>’</w:t>
      </w:r>
      <w:r w:rsidRPr="003A0655">
        <w:t>article 5 (Parties non visées à l</w:t>
      </w:r>
      <w:r w:rsidR="000B3BB8" w:rsidRPr="003A0655">
        <w:t>’</w:t>
      </w:r>
      <w:r w:rsidRPr="003A0655">
        <w:t>article 5). Le représentant du Kazakhstan a désigné sa Parti</w:t>
      </w:r>
      <w:r w:rsidR="00400B9B" w:rsidRPr="003A0655">
        <w:t>e</w:t>
      </w:r>
      <w:r w:rsidRPr="003A0655">
        <w:t xml:space="preserve"> pour pourvoir le siège resté vacant réservé aux Parties non visées à</w:t>
      </w:r>
      <w:r w:rsidR="00584ECE" w:rsidRPr="003A0655">
        <w:t> </w:t>
      </w:r>
      <w:r w:rsidRPr="003A0655">
        <w:t>l</w:t>
      </w:r>
      <w:r w:rsidR="000B3BB8" w:rsidRPr="003A0655">
        <w:t>’</w:t>
      </w:r>
      <w:r w:rsidRPr="003A0655">
        <w:t>article 5.</w:t>
      </w:r>
    </w:p>
    <w:p w14:paraId="366F8BD0" w14:textId="31716D22" w:rsidR="007B53D1" w:rsidRPr="003A0655" w:rsidRDefault="00697CE6" w:rsidP="00AB635F">
      <w:pPr>
        <w:pStyle w:val="Normalnumber"/>
        <w:tabs>
          <w:tab w:val="clear" w:pos="1247"/>
        </w:tabs>
      </w:pPr>
      <w:r w:rsidRPr="003A0655">
        <w:t>Les Parties sont convenues de transmettre le projet de décision au débat de haut niveau pour examen plus poussé et adoption éventuelle.</w:t>
      </w:r>
    </w:p>
    <w:p w14:paraId="41A7E0D3" w14:textId="63303774" w:rsidR="00F978AD" w:rsidRPr="003A0655" w:rsidRDefault="008E258D" w:rsidP="00F978AD">
      <w:pPr>
        <w:pStyle w:val="CH3"/>
        <w:keepNext w:val="0"/>
        <w:keepLines w:val="0"/>
      </w:pPr>
      <w:r w:rsidRPr="003A0655">
        <w:rPr>
          <w:bCs/>
        </w:rPr>
        <w:tab/>
      </w:r>
      <w:r w:rsidR="00F978AD" w:rsidRPr="003A0655">
        <w:rPr>
          <w:bCs/>
        </w:rPr>
        <w:t>3.</w:t>
      </w:r>
      <w:r w:rsidR="00F978AD" w:rsidRPr="003A0655">
        <w:tab/>
      </w:r>
      <w:r w:rsidR="00F978AD" w:rsidRPr="003A0655">
        <w:rPr>
          <w:bCs/>
        </w:rPr>
        <w:t>Coprésident(e)s du Groupe de travail à composition non limitée</w:t>
      </w:r>
    </w:p>
    <w:p w14:paraId="6068E201" w14:textId="25C2B4C6" w:rsidR="00F978AD" w:rsidRPr="003A0655" w:rsidRDefault="00F978AD" w:rsidP="00AB635F">
      <w:pPr>
        <w:pStyle w:val="Normalnumber"/>
        <w:tabs>
          <w:tab w:val="clear" w:pos="1247"/>
        </w:tabs>
      </w:pPr>
      <w:r w:rsidRPr="003A0655">
        <w:t>Présentant ce sous-point, la Coprésidente a rappelé que les Parties devaient décider du choix des coprésident(e)s du Groupe de travail à composition non limitée pour 2026. Des informations sur les postes à pourvoir étaient présentées aux paragraphes</w:t>
      </w:r>
      <w:r w:rsidR="00991651" w:rsidRPr="003A0655">
        <w:t> </w:t>
      </w:r>
      <w:r w:rsidRPr="003A0655">
        <w:t>25 et 26 du document UNEP/OzL.Pro.37/2 et</w:t>
      </w:r>
      <w:r w:rsidR="003F0359" w:rsidRPr="003A0655">
        <w:t> </w:t>
      </w:r>
      <w:r w:rsidRPr="003A0655">
        <w:t>un projet de décision sur la question figurait dans le document UNEP/OzL.Pro.37/3 (projet de décision</w:t>
      </w:r>
      <w:r w:rsidR="00991651" w:rsidRPr="003A0655">
        <w:t> </w:t>
      </w:r>
      <w:r w:rsidRPr="003A0655">
        <w:t>XXXVII/[DD]).</w:t>
      </w:r>
    </w:p>
    <w:p w14:paraId="32B33B06" w14:textId="10B6EBE0" w:rsidR="00F978AD" w:rsidRPr="003A0655" w:rsidRDefault="00087D4B" w:rsidP="00AB635F">
      <w:pPr>
        <w:pStyle w:val="Normalnumber"/>
        <w:tabs>
          <w:tab w:val="clear" w:pos="1247"/>
        </w:tabs>
      </w:pPr>
      <w:r w:rsidRPr="003A0655">
        <w:t>Par la suite, le représentant du Secrétariat a annoncé qu</w:t>
      </w:r>
      <w:r w:rsidR="000B3BB8" w:rsidRPr="003A0655">
        <w:t>’</w:t>
      </w:r>
      <w:r w:rsidRPr="003A0655">
        <w:t>après réception des noms des candidat(e)s désigné(e)s par les Parties visées à l</w:t>
      </w:r>
      <w:r w:rsidR="000B3BB8" w:rsidRPr="003A0655">
        <w:t>’</w:t>
      </w:r>
      <w:r w:rsidRPr="003A0655">
        <w:t>article 5 et celles non visées à cet article, un projet de décision sur la question avait été inclus dans la compilation des projets de décision qui seraient transmis aux Parties pour examen et adoption éventuelle au cours du débat de haut niveau. Les Parties sont convenues de transmettre le projet de décision sur cette question aux Parties pour examen plus poussé et adoption éventuelle pendant le débat de haut niveau.</w:t>
      </w:r>
    </w:p>
    <w:p w14:paraId="20EC15EC" w14:textId="6962B44B" w:rsidR="00C20895" w:rsidRPr="003A0655" w:rsidRDefault="008E258D" w:rsidP="00F978AD">
      <w:pPr>
        <w:pStyle w:val="CH1"/>
        <w:keepNext w:val="0"/>
        <w:keepLines w:val="0"/>
      </w:pPr>
      <w:r w:rsidRPr="003A0655">
        <w:rPr>
          <w:bCs/>
        </w:rPr>
        <w:tab/>
      </w:r>
      <w:r w:rsidR="00F978AD" w:rsidRPr="003A0655">
        <w:rPr>
          <w:bCs/>
        </w:rPr>
        <w:t>I</w:t>
      </w:r>
      <w:r w:rsidR="001F7845" w:rsidRPr="003A0655">
        <w:rPr>
          <w:bCs/>
        </w:rPr>
        <w:t>V</w:t>
      </w:r>
      <w:r w:rsidR="00F978AD" w:rsidRPr="003A0655">
        <w:rPr>
          <w:bCs/>
        </w:rPr>
        <w:t>.</w:t>
      </w:r>
      <w:r w:rsidR="00F978AD" w:rsidRPr="003A0655">
        <w:tab/>
      </w:r>
      <w:r w:rsidR="00F978AD" w:rsidRPr="003A0655">
        <w:rPr>
          <w:bCs/>
        </w:rPr>
        <w:t>Cadre de l</w:t>
      </w:r>
      <w:r w:rsidR="000B3BB8" w:rsidRPr="003A0655">
        <w:rPr>
          <w:bCs/>
        </w:rPr>
        <w:t>’</w:t>
      </w:r>
      <w:r w:rsidR="00F978AD" w:rsidRPr="003A0655">
        <w:rPr>
          <w:bCs/>
        </w:rPr>
        <w:t>étude sur la reconstitution du Fonds multilatéral aux</w:t>
      </w:r>
      <w:r w:rsidR="002B7952" w:rsidRPr="003A0655">
        <w:rPr>
          <w:bCs/>
        </w:rPr>
        <w:t> </w:t>
      </w:r>
      <w:r w:rsidR="00F978AD" w:rsidRPr="003A0655">
        <w:rPr>
          <w:bCs/>
        </w:rPr>
        <w:t>fins d</w:t>
      </w:r>
      <w:r w:rsidR="000B3BB8" w:rsidRPr="003A0655">
        <w:rPr>
          <w:bCs/>
        </w:rPr>
        <w:t>’</w:t>
      </w:r>
      <w:r w:rsidR="00F978AD" w:rsidRPr="003A0655">
        <w:rPr>
          <w:bCs/>
        </w:rPr>
        <w:t>application du Protocole de</w:t>
      </w:r>
      <w:r w:rsidR="002B7952" w:rsidRPr="003A0655">
        <w:rPr>
          <w:bCs/>
        </w:rPr>
        <w:t> </w:t>
      </w:r>
      <w:r w:rsidR="00F978AD" w:rsidRPr="003A0655">
        <w:rPr>
          <w:bCs/>
        </w:rPr>
        <w:t>Montréal pour</w:t>
      </w:r>
      <w:r w:rsidR="003F0359" w:rsidRPr="003A0655">
        <w:rPr>
          <w:bCs/>
        </w:rPr>
        <w:t> </w:t>
      </w:r>
      <w:r w:rsidR="00F978AD" w:rsidRPr="003A0655">
        <w:rPr>
          <w:bCs/>
        </w:rPr>
        <w:t>la</w:t>
      </w:r>
      <w:r w:rsidR="003F0359" w:rsidRPr="003A0655">
        <w:rPr>
          <w:bCs/>
        </w:rPr>
        <w:t> </w:t>
      </w:r>
      <w:r w:rsidR="00F978AD" w:rsidRPr="003A0655">
        <w:rPr>
          <w:bCs/>
        </w:rPr>
        <w:t>période</w:t>
      </w:r>
      <w:r w:rsidR="003F0359" w:rsidRPr="003A0655">
        <w:rPr>
          <w:bCs/>
        </w:rPr>
        <w:t> </w:t>
      </w:r>
      <w:r w:rsidR="00F978AD" w:rsidRPr="003A0655">
        <w:rPr>
          <w:bCs/>
        </w:rPr>
        <w:t>2027-2029</w:t>
      </w:r>
    </w:p>
    <w:p w14:paraId="1C11AFD1" w14:textId="16EA491B" w:rsidR="00F978AD" w:rsidRPr="003A0655" w:rsidRDefault="00F978AD" w:rsidP="00AB635F">
      <w:pPr>
        <w:pStyle w:val="Normalnumber"/>
        <w:tabs>
          <w:tab w:val="clear" w:pos="1247"/>
        </w:tabs>
      </w:pPr>
      <w:r w:rsidRPr="003A0655">
        <w:t>Présentant ce point, la Coprésidente a rappelé que les Parties avaient entamé des discussions sur le cadre de l</w:t>
      </w:r>
      <w:r w:rsidR="000B3BB8" w:rsidRPr="003A0655">
        <w:t>’</w:t>
      </w:r>
      <w:r w:rsidRPr="003A0655">
        <w:t>étude sur la reconstitution des ressources du Fonds multilatéral pour la période</w:t>
      </w:r>
      <w:r w:rsidR="00A57F91" w:rsidRPr="003A0655">
        <w:br/>
      </w:r>
      <w:r w:rsidRPr="003A0655">
        <w:t>2027-2029 à la quarante-septième réunion du Groupe de travail à composition non limitée, et que l</w:t>
      </w:r>
      <w:r w:rsidR="000B3BB8" w:rsidRPr="003A0655">
        <w:t>’</w:t>
      </w:r>
      <w:r w:rsidRPr="003A0655">
        <w:t>Australie, le Canada, le Japon et le Royaume-Uni de Grande-Bretagne et d</w:t>
      </w:r>
      <w:r w:rsidR="000B3BB8" w:rsidRPr="003A0655">
        <w:t>’</w:t>
      </w:r>
      <w:r w:rsidRPr="003A0655">
        <w:t xml:space="preserve">Irlande du Nord avaient soumis un projet de décision qui, </w:t>
      </w:r>
      <w:r w:rsidR="0075356F" w:rsidRPr="003A0655">
        <w:t>accompagné du</w:t>
      </w:r>
      <w:r w:rsidRPr="003A0655">
        <w:t xml:space="preserve"> cadre de l</w:t>
      </w:r>
      <w:r w:rsidR="000B3BB8" w:rsidRPr="003A0655">
        <w:t>’</w:t>
      </w:r>
      <w:r w:rsidRPr="003A0655">
        <w:t>étude précédente figurant dans la décision</w:t>
      </w:r>
      <w:r w:rsidR="00A57F91" w:rsidRPr="003A0655">
        <w:t> </w:t>
      </w:r>
      <w:r w:rsidRPr="003A0655">
        <w:t>XXXIV/2 sur la reconstitution du Fonds multilatéral pour la période 2024-2026 (voir</w:t>
      </w:r>
      <w:r w:rsidR="00E51CB8" w:rsidRPr="003A0655">
        <w:t> </w:t>
      </w:r>
      <w:r w:rsidR="00416C95" w:rsidRPr="003A0655">
        <w:t xml:space="preserve">le </w:t>
      </w:r>
      <w:r w:rsidRPr="003A0655">
        <w:t>document UNEP/OzL.Pro.3</w:t>
      </w:r>
      <w:r w:rsidR="00902F69" w:rsidRPr="003A0655">
        <w:t>4</w:t>
      </w:r>
      <w:r w:rsidRPr="003A0655">
        <w:t>/</w:t>
      </w:r>
      <w:r w:rsidR="00902F69" w:rsidRPr="003A0655">
        <w:t>9</w:t>
      </w:r>
      <w:r w:rsidRPr="003A0655">
        <w:t>/Add.1</w:t>
      </w:r>
      <w:r w:rsidR="00902F69" w:rsidRPr="003A0655">
        <w:t>/Rev.1</w:t>
      </w:r>
      <w:r w:rsidRPr="003A0655">
        <w:t xml:space="preserve">), </w:t>
      </w:r>
      <w:r w:rsidR="0075356F" w:rsidRPr="003A0655">
        <w:t xml:space="preserve">avait servi de base </w:t>
      </w:r>
      <w:r w:rsidR="002A4B73" w:rsidRPr="003A0655">
        <w:t>aux</w:t>
      </w:r>
      <w:r w:rsidRPr="003A0655">
        <w:t xml:space="preserve"> discussions d</w:t>
      </w:r>
      <w:r w:rsidR="000B3BB8" w:rsidRPr="003A0655">
        <w:t>’</w:t>
      </w:r>
      <w:r w:rsidRPr="003A0655">
        <w:t xml:space="preserve">un groupe de contact. Faute de temps, </w:t>
      </w:r>
      <w:r w:rsidR="0075356F" w:rsidRPr="003A0655">
        <w:t>celui-ci</w:t>
      </w:r>
      <w:r w:rsidRPr="003A0655">
        <w:t xml:space="preserve"> n</w:t>
      </w:r>
      <w:r w:rsidR="000B3BB8" w:rsidRPr="003A0655">
        <w:t>’</w:t>
      </w:r>
      <w:r w:rsidRPr="003A0655">
        <w:t xml:space="preserve">avait pas pu mener ses travaux à bien. Le Groupe de travail avait donc décidé de reprendre les discussions lors de la réunion en cours. La Coprésidente a </w:t>
      </w:r>
      <w:r w:rsidR="0075356F" w:rsidRPr="003A0655">
        <w:t xml:space="preserve">appelé </w:t>
      </w:r>
      <w:r w:rsidRPr="003A0655">
        <w:t>l</w:t>
      </w:r>
      <w:r w:rsidR="000B3BB8" w:rsidRPr="003A0655">
        <w:t>’</w:t>
      </w:r>
      <w:r w:rsidRPr="003A0655">
        <w:t>attention sur la documentation pertinente, à savoir le document UNEP/OzL.Pro.37/2 (par. 27</w:t>
      </w:r>
      <w:r w:rsidR="00171B77" w:rsidRPr="003A0655">
        <w:t xml:space="preserve"> à </w:t>
      </w:r>
      <w:r w:rsidRPr="003A0655">
        <w:t>32), le</w:t>
      </w:r>
      <w:r w:rsidR="00171B77" w:rsidRPr="003A0655">
        <w:t> </w:t>
      </w:r>
      <w:r w:rsidRPr="003A0655">
        <w:t xml:space="preserve">rapport du Groupe de travail </w:t>
      </w:r>
      <w:r w:rsidR="0075356F" w:rsidRPr="003A0655">
        <w:t xml:space="preserve">sur les travaux de sa quarante-septième réunion </w:t>
      </w:r>
      <w:r w:rsidRPr="003A0655">
        <w:t>(UNEP/OzL.Pro.WG.1/47/6, par.</w:t>
      </w:r>
      <w:r w:rsidR="00A57F91" w:rsidRPr="003A0655">
        <w:t> </w:t>
      </w:r>
      <w:r w:rsidRPr="003A0655">
        <w:t>28</w:t>
      </w:r>
      <w:r w:rsidR="00171B77" w:rsidRPr="003A0655">
        <w:t xml:space="preserve"> à </w:t>
      </w:r>
      <w:r w:rsidRPr="003A0655">
        <w:t>38) et le projet de décision révisé figurant dans le document UNEP/OzL.Pro.37/3 (projet de décision</w:t>
      </w:r>
      <w:r w:rsidR="00A57F91" w:rsidRPr="003A0655">
        <w:t> </w:t>
      </w:r>
      <w:r w:rsidRPr="003A0655">
        <w:t>XXXVII/[A]).</w:t>
      </w:r>
    </w:p>
    <w:p w14:paraId="6D92976D" w14:textId="1EB5B8A4" w:rsidR="00F978AD" w:rsidRPr="003A0655" w:rsidRDefault="00F978AD" w:rsidP="00AB635F">
      <w:pPr>
        <w:pStyle w:val="Normalnumber"/>
        <w:tabs>
          <w:tab w:val="clear" w:pos="1247"/>
        </w:tabs>
      </w:pPr>
      <w:r w:rsidRPr="003A0655">
        <w:t>La Coprésidente a proposé qu</w:t>
      </w:r>
      <w:r w:rsidR="000B3BB8" w:rsidRPr="003A0655">
        <w:t>’</w:t>
      </w:r>
      <w:r w:rsidRPr="003A0655">
        <w:t>un groupe de contact soit créé pour examiner le cadre d</w:t>
      </w:r>
      <w:r w:rsidR="000B3BB8" w:rsidRPr="003A0655">
        <w:t>’</w:t>
      </w:r>
      <w:r w:rsidRPr="003A0655">
        <w:t>une étude sur la reconstitution des ressources du Fonds multilatéral pour la période 2027-2029.</w:t>
      </w:r>
    </w:p>
    <w:p w14:paraId="2BC81AC6" w14:textId="729CC9F8" w:rsidR="00F978AD" w:rsidRPr="003A0655" w:rsidRDefault="00F978AD" w:rsidP="00AB635F">
      <w:pPr>
        <w:pStyle w:val="Normalnumber"/>
        <w:tabs>
          <w:tab w:val="clear" w:pos="1247"/>
        </w:tabs>
      </w:pPr>
      <w:r w:rsidRPr="003A0655">
        <w:t>Au cours du débat qui a suivi, plusieurs représentant(e)s ont souligné l</w:t>
      </w:r>
      <w:r w:rsidR="000B3BB8" w:rsidRPr="003A0655">
        <w:t>’</w:t>
      </w:r>
      <w:r w:rsidRPr="003A0655">
        <w:t>importance du Fonds multilatéral pour aider les Parties visées à l</w:t>
      </w:r>
      <w:r w:rsidR="000B3BB8" w:rsidRPr="003A0655">
        <w:t>’</w:t>
      </w:r>
      <w:r w:rsidRPr="003A0655">
        <w:t>article 5 à atteindre les objectifs fixés en application de l</w:t>
      </w:r>
      <w:r w:rsidR="000B3BB8" w:rsidRPr="003A0655">
        <w:t>’</w:t>
      </w:r>
      <w:r w:rsidRPr="003A0655">
        <w:t>Amendement de Kigali en matière de réduction progressive des HFC. Certain(e)s représentant(e)s ont souligné que l</w:t>
      </w:r>
      <w:r w:rsidR="000B3BB8" w:rsidRPr="003A0655">
        <w:t>’</w:t>
      </w:r>
      <w:r w:rsidRPr="003A0655">
        <w:t xml:space="preserve">étude sur la reconstitution des ressources devrait </w:t>
      </w:r>
      <w:r w:rsidR="00E94A74" w:rsidRPr="003A0655">
        <w:t>tenir compte d</w:t>
      </w:r>
      <w:r w:rsidRPr="003A0655">
        <w:t>es réalités de la mise en œuvre et couvrir tous les autres éléments convenus précédemment, y</w:t>
      </w:r>
      <w:r w:rsidR="00AF605F" w:rsidRPr="003A0655">
        <w:t> </w:t>
      </w:r>
      <w:r w:rsidRPr="003A0655">
        <w:t>compris les solutions financières énoncées dans la décision</w:t>
      </w:r>
      <w:r w:rsidR="00D70C3C" w:rsidRPr="003A0655">
        <w:t> </w:t>
      </w:r>
      <w:r w:rsidRPr="003A0655">
        <w:t>XXVIII/2 relative à l</w:t>
      </w:r>
      <w:r w:rsidR="000B3BB8" w:rsidRPr="003A0655">
        <w:t>’</w:t>
      </w:r>
      <w:r w:rsidRPr="003A0655">
        <w:t>amendement sur la réduction progressive des HFC adopté par la vingt-huitième Réunion des Parties. Une représentante a ajouté que les principaux éléments définis par le Comité exécutif du Fonds dans sa décision</w:t>
      </w:r>
      <w:r w:rsidR="00D70C3C" w:rsidRPr="003A0655">
        <w:t> </w:t>
      </w:r>
      <w:r w:rsidRPr="003A0655">
        <w:t>96/57 devaient être pris en compte lors de l</w:t>
      </w:r>
      <w:r w:rsidR="000B3BB8" w:rsidRPr="003A0655">
        <w:t>’</w:t>
      </w:r>
      <w:r w:rsidRPr="003A0655">
        <w:t>estimation des besoins de financement pour la période 2027-2029.</w:t>
      </w:r>
    </w:p>
    <w:p w14:paraId="36B7E03E" w14:textId="3E7D043B" w:rsidR="00F978AD" w:rsidRPr="003A0655" w:rsidRDefault="00F978AD" w:rsidP="00AB635F">
      <w:pPr>
        <w:pStyle w:val="Normalnumber"/>
        <w:tabs>
          <w:tab w:val="clear" w:pos="1247"/>
        </w:tabs>
      </w:pPr>
      <w:r w:rsidRPr="003A0655">
        <w:t xml:space="preserve">Une représentante a déclaré que la reconstitution des ressources </w:t>
      </w:r>
      <w:r w:rsidR="002A4B73" w:rsidRPr="003A0655">
        <w:t>pendant</w:t>
      </w:r>
      <w:r w:rsidRPr="003A0655">
        <w:t xml:space="preserve"> la période </w:t>
      </w:r>
      <w:r w:rsidR="00D70C3C" w:rsidRPr="003A0655">
        <w:br/>
      </w:r>
      <w:r w:rsidRPr="003A0655">
        <w:t>2027-2029 devait être adéquate, équitable et alignée sur les</w:t>
      </w:r>
      <w:r w:rsidR="002A4B73" w:rsidRPr="003A0655">
        <w:t xml:space="preserve"> </w:t>
      </w:r>
      <w:r w:rsidRPr="003A0655">
        <w:t xml:space="preserve">besoins </w:t>
      </w:r>
      <w:r w:rsidR="00D85219" w:rsidRPr="003A0655">
        <w:t xml:space="preserve">réels </w:t>
      </w:r>
      <w:r w:rsidRPr="003A0655">
        <w:t xml:space="preserve">associés à la mise en œuvre. Un autre représentant a précisé que la méthode </w:t>
      </w:r>
      <w:r w:rsidR="00D85219" w:rsidRPr="003A0655">
        <w:t>appliquée pour conduire</w:t>
      </w:r>
      <w:r w:rsidRPr="003A0655">
        <w:t xml:space="preserve"> l</w:t>
      </w:r>
      <w:r w:rsidR="000B3BB8" w:rsidRPr="003A0655">
        <w:t>’</w:t>
      </w:r>
      <w:r w:rsidRPr="003A0655">
        <w:t>étude devait être transparente et garantir l</w:t>
      </w:r>
      <w:r w:rsidR="000B3BB8" w:rsidRPr="003A0655">
        <w:t>’</w:t>
      </w:r>
      <w:r w:rsidRPr="003A0655">
        <w:t xml:space="preserve">équilibre sur le plan régional, </w:t>
      </w:r>
      <w:r w:rsidR="00D85219" w:rsidRPr="003A0655">
        <w:t xml:space="preserve">prendre en compte </w:t>
      </w:r>
      <w:r w:rsidRPr="003A0655">
        <w:t>des facteurs de coûts réalistes pour les Parties visées à l</w:t>
      </w:r>
      <w:r w:rsidR="000B3BB8" w:rsidRPr="003A0655">
        <w:t>’</w:t>
      </w:r>
      <w:r w:rsidRPr="003A0655">
        <w:t>article</w:t>
      </w:r>
      <w:r w:rsidR="002A4B73" w:rsidRPr="003A0655">
        <w:t> </w:t>
      </w:r>
      <w:r w:rsidRPr="003A0655">
        <w:t xml:space="preserve">5 et </w:t>
      </w:r>
      <w:r w:rsidR="002A4B73" w:rsidRPr="003A0655">
        <w:t>favoriser</w:t>
      </w:r>
      <w:r w:rsidRPr="003A0655">
        <w:t xml:space="preserve"> </w:t>
      </w:r>
      <w:r w:rsidR="00D85219" w:rsidRPr="003A0655">
        <w:t xml:space="preserve">les </w:t>
      </w:r>
      <w:r w:rsidRPr="003A0655">
        <w:t>contribution</w:t>
      </w:r>
      <w:r w:rsidR="00D85219" w:rsidRPr="003A0655">
        <w:t>s</w:t>
      </w:r>
      <w:r w:rsidRPr="003A0655">
        <w:t xml:space="preserve"> des Parties. Il a déclaré que les résultats de l</w:t>
      </w:r>
      <w:r w:rsidR="000B3BB8" w:rsidRPr="003A0655">
        <w:t>’</w:t>
      </w:r>
      <w:r w:rsidRPr="003A0655">
        <w:t xml:space="preserve">étude sur la reconstitution des ressources devaient être directement intégrés dans une décision </w:t>
      </w:r>
      <w:r w:rsidR="00D85219" w:rsidRPr="003A0655">
        <w:t xml:space="preserve">sur la question, prise en temps </w:t>
      </w:r>
      <w:r w:rsidRPr="003A0655">
        <w:t xml:space="preserve">opportun et </w:t>
      </w:r>
      <w:r w:rsidR="00D85219" w:rsidRPr="003A0655">
        <w:t>en fonction des</w:t>
      </w:r>
      <w:r w:rsidRPr="003A0655">
        <w:t xml:space="preserve"> besoins, et qu</w:t>
      </w:r>
      <w:r w:rsidR="000B3BB8" w:rsidRPr="003A0655">
        <w:t>’</w:t>
      </w:r>
      <w:r w:rsidRPr="003A0655">
        <w:t>il convenait de fixer des objectifs de financement tournés vers l</w:t>
      </w:r>
      <w:r w:rsidR="000B3BB8" w:rsidRPr="003A0655">
        <w:t>’</w:t>
      </w:r>
      <w:r w:rsidRPr="003A0655">
        <w:t>avenir. Une autre représentante a déclaré qu</w:t>
      </w:r>
      <w:r w:rsidR="000B3BB8" w:rsidRPr="003A0655">
        <w:t>’</w:t>
      </w:r>
      <w:r w:rsidRPr="003A0655">
        <w:t xml:space="preserve">un soutien </w:t>
      </w:r>
      <w:r w:rsidR="002A4B73" w:rsidRPr="003A0655">
        <w:t>devait</w:t>
      </w:r>
      <w:r w:rsidRPr="003A0655">
        <w:t xml:space="preserve"> être </w:t>
      </w:r>
      <w:r w:rsidR="00D85219" w:rsidRPr="003A0655">
        <w:t>offert à</w:t>
      </w:r>
      <w:r w:rsidRPr="003A0655">
        <w:t xml:space="preserve"> tous les pays en développement sans distinction. Certain(e)s représentant(e)s ont demandé une évaluation réaliste des flux de trésorerie dirigés vers les guichets de financement, y</w:t>
      </w:r>
      <w:r w:rsidR="00AF605F" w:rsidRPr="003A0655">
        <w:t> </w:t>
      </w:r>
      <w:r w:rsidRPr="003A0655">
        <w:t xml:space="preserve">compris le mécanisme de fonds </w:t>
      </w:r>
      <w:proofErr w:type="spellStart"/>
      <w:r w:rsidRPr="003A0655">
        <w:t>autorenouvelable</w:t>
      </w:r>
      <w:proofErr w:type="spellEnd"/>
      <w:r w:rsidRPr="003A0655">
        <w:t>, approuvée par le Comité exécutif. Un représentant a demandé que le niveau actuel de financement soit maintenu jusqu</w:t>
      </w:r>
      <w:r w:rsidR="000B3BB8" w:rsidRPr="003A0655">
        <w:t>’</w:t>
      </w:r>
      <w:r w:rsidRPr="003A0655">
        <w:t>en 2029.</w:t>
      </w:r>
    </w:p>
    <w:p w14:paraId="47227AD9" w14:textId="69EA5D88" w:rsidR="00F978AD" w:rsidRPr="003A0655" w:rsidRDefault="00F978AD" w:rsidP="00AB635F">
      <w:pPr>
        <w:pStyle w:val="Normalnumber"/>
        <w:tabs>
          <w:tab w:val="clear" w:pos="1247"/>
        </w:tabs>
      </w:pPr>
      <w:r w:rsidRPr="003A0655">
        <w:t>Un certain nombre de représentant(e)s ont mis en avant les défis particuliers auxquels faisaient face, notamment, les Parties visées à l</w:t>
      </w:r>
      <w:r w:rsidR="000B3BB8" w:rsidRPr="003A0655">
        <w:t>’</w:t>
      </w:r>
      <w:r w:rsidRPr="003A0655">
        <w:t>article</w:t>
      </w:r>
      <w:r w:rsidR="00D70C3C" w:rsidRPr="003A0655">
        <w:t> </w:t>
      </w:r>
      <w:r w:rsidRPr="003A0655">
        <w:t>5 dans la réduction progressive durable des HFC. Ces défis comprenaient l</w:t>
      </w:r>
      <w:r w:rsidR="000B3BB8" w:rsidRPr="003A0655">
        <w:t>’</w:t>
      </w:r>
      <w:r w:rsidRPr="003A0655">
        <w:t>utilisation de réfrigérants inflammables d</w:t>
      </w:r>
      <w:r w:rsidR="00902F69" w:rsidRPr="003A0655">
        <w:t xml:space="preserve">ans les </w:t>
      </w:r>
      <w:r w:rsidRPr="003A0655">
        <w:t>appareils de réfrigération et de climatisation et de pompes à chaleur</w:t>
      </w:r>
      <w:r w:rsidR="004043EC" w:rsidRPr="003A0655">
        <w:t> </w:t>
      </w:r>
      <w:r w:rsidRPr="003A0655">
        <w:t>; la difficulté de se procurer et d</w:t>
      </w:r>
      <w:r w:rsidR="000B3BB8" w:rsidRPr="003A0655">
        <w:t>’</w:t>
      </w:r>
      <w:r w:rsidRPr="003A0655">
        <w:t xml:space="preserve">adopter des technologies à faible potentiel de réchauffement </w:t>
      </w:r>
      <w:r w:rsidR="00D85219" w:rsidRPr="003A0655">
        <w:t>global </w:t>
      </w:r>
      <w:r w:rsidRPr="003A0655">
        <w:t>; l</w:t>
      </w:r>
      <w:r w:rsidR="000B3BB8" w:rsidRPr="003A0655">
        <w:t>’</w:t>
      </w:r>
      <w:r w:rsidRPr="003A0655">
        <w:t xml:space="preserve">absence </w:t>
      </w:r>
      <w:r w:rsidR="00D85219" w:rsidRPr="003A0655">
        <w:t>de solutions de remplacement pour</w:t>
      </w:r>
      <w:r w:rsidRPr="003A0655">
        <w:t xml:space="preserve"> la climatisation dans les États où r</w:t>
      </w:r>
      <w:r w:rsidR="004043EC" w:rsidRPr="003A0655">
        <w:t>é</w:t>
      </w:r>
      <w:r w:rsidRPr="003A0655">
        <w:t>gn</w:t>
      </w:r>
      <w:r w:rsidR="004043EC" w:rsidRPr="003A0655">
        <w:t>ai</w:t>
      </w:r>
      <w:r w:rsidRPr="003A0655">
        <w:t>ent des températures élevées et croissantes</w:t>
      </w:r>
      <w:r w:rsidR="004043EC" w:rsidRPr="003A0655">
        <w:t> </w:t>
      </w:r>
      <w:r w:rsidRPr="003A0655">
        <w:t>; la nécessité de disposer d</w:t>
      </w:r>
      <w:r w:rsidR="000B3BB8" w:rsidRPr="003A0655">
        <w:t>’</w:t>
      </w:r>
      <w:r w:rsidRPr="003A0655">
        <w:t>un financement stable, suffisant et prévisible.</w:t>
      </w:r>
    </w:p>
    <w:p w14:paraId="10CFA5E2" w14:textId="302E8FAA" w:rsidR="00F978AD" w:rsidRPr="003A0655" w:rsidRDefault="00F978AD" w:rsidP="00AB635F">
      <w:pPr>
        <w:pStyle w:val="Normalnumber"/>
        <w:tabs>
          <w:tab w:val="clear" w:pos="1247"/>
        </w:tabs>
      </w:pPr>
      <w:r w:rsidRPr="003A0655">
        <w:t>Plusieurs représentant(e)s ont mis l</w:t>
      </w:r>
      <w:r w:rsidR="000B3BB8" w:rsidRPr="003A0655">
        <w:t>’</w:t>
      </w:r>
      <w:r w:rsidRPr="003A0655">
        <w:t>accent sur certains aspects qu</w:t>
      </w:r>
      <w:r w:rsidR="000B3BB8" w:rsidRPr="003A0655">
        <w:t>’</w:t>
      </w:r>
      <w:r w:rsidRPr="003A0655">
        <w:t>ils (elles) jugeaient importants, indépendamment du fait qu</w:t>
      </w:r>
      <w:r w:rsidR="000B3BB8" w:rsidRPr="003A0655">
        <w:t>’</w:t>
      </w:r>
      <w:r w:rsidRPr="003A0655">
        <w:t>ils fussent ou non nécessaires pour assurer le respect des obligations, et pour lesquels ils (elles) estimaient qu</w:t>
      </w:r>
      <w:r w:rsidR="000B3BB8" w:rsidRPr="003A0655">
        <w:t>’</w:t>
      </w:r>
      <w:r w:rsidRPr="003A0655">
        <w:t>un financement suffisant devrait être disponible. Parmi ces éléments figuraient l</w:t>
      </w:r>
      <w:r w:rsidR="000B3BB8" w:rsidRPr="003A0655">
        <w:t>’</w:t>
      </w:r>
      <w:r w:rsidRPr="003A0655">
        <w:t>efficacité énergétique ; la gestion holistique du cycle de vie des réfrigérants, y</w:t>
      </w:r>
      <w:r w:rsidR="00AF605F" w:rsidRPr="003A0655">
        <w:t> </w:t>
      </w:r>
      <w:r w:rsidRPr="003A0655">
        <w:t>compris la récupération, la valorisation et l</w:t>
      </w:r>
      <w:r w:rsidR="000B3BB8" w:rsidRPr="003A0655">
        <w:t>’</w:t>
      </w:r>
      <w:r w:rsidRPr="003A0655">
        <w:t xml:space="preserve">élimination </w:t>
      </w:r>
      <w:r w:rsidR="00D85219" w:rsidRPr="003A0655">
        <w:t>d</w:t>
      </w:r>
      <w:r w:rsidR="000B3BB8" w:rsidRPr="003A0655">
        <w:t>’</w:t>
      </w:r>
      <w:r w:rsidR="00D85219" w:rsidRPr="003A0655">
        <w:t xml:space="preserve">un bon rapport </w:t>
      </w:r>
      <w:r w:rsidR="00B0731E" w:rsidRPr="003A0655">
        <w:br/>
      </w:r>
      <w:r w:rsidR="00D85219" w:rsidRPr="003A0655">
        <w:t>coût-efficacité </w:t>
      </w:r>
      <w:r w:rsidRPr="003A0655">
        <w:t>; la situation particulière des pays à température ambiante élevée</w:t>
      </w:r>
      <w:r w:rsidR="004043EC" w:rsidRPr="003A0655">
        <w:t> </w:t>
      </w:r>
      <w:r w:rsidRPr="003A0655">
        <w:t xml:space="preserve">; la réduction durable de la consommation et des émissions de HFC, </w:t>
      </w:r>
      <w:r w:rsidR="004043EC" w:rsidRPr="003A0655">
        <w:t>et la définition d</w:t>
      </w:r>
      <w:r w:rsidR="000B3BB8" w:rsidRPr="003A0655">
        <w:t>’</w:t>
      </w:r>
      <w:r w:rsidRPr="003A0655">
        <w:t xml:space="preserve">objectifs </w:t>
      </w:r>
      <w:r w:rsidR="004043EC" w:rsidRPr="003A0655">
        <w:t>assortis de délais </w:t>
      </w:r>
      <w:r w:rsidRPr="003A0655">
        <w:t>; la formation, le renforcement des capacités, le renforcement des institutions et la coopération régionale</w:t>
      </w:r>
      <w:r w:rsidR="004043EC" w:rsidRPr="003A0655">
        <w:t> </w:t>
      </w:r>
      <w:r w:rsidRPr="003A0655">
        <w:t>; des outils numériques et assistés par l</w:t>
      </w:r>
      <w:r w:rsidR="000B3BB8" w:rsidRPr="003A0655">
        <w:t>’</w:t>
      </w:r>
      <w:r w:rsidRPr="003A0655">
        <w:t>intelligence artificielle</w:t>
      </w:r>
      <w:r w:rsidR="004043EC" w:rsidRPr="003A0655">
        <w:t> </w:t>
      </w:r>
      <w:r w:rsidRPr="003A0655">
        <w:t>; des programmes de sensibilisation, y</w:t>
      </w:r>
      <w:r w:rsidR="00AF605F" w:rsidRPr="003A0655">
        <w:t> </w:t>
      </w:r>
      <w:r w:rsidRPr="003A0655">
        <w:t>compris des tournées de présentation des technologies et des activités de démonstration</w:t>
      </w:r>
      <w:r w:rsidR="004043EC" w:rsidRPr="003A0655">
        <w:t> </w:t>
      </w:r>
      <w:r w:rsidRPr="003A0655">
        <w:t>; l</w:t>
      </w:r>
      <w:r w:rsidR="000B3BB8" w:rsidRPr="003A0655">
        <w:t>’</w:t>
      </w:r>
      <w:r w:rsidRPr="003A0655">
        <w:t>accès à</w:t>
      </w:r>
      <w:r w:rsidR="00E0402D" w:rsidRPr="003A0655">
        <w:t> </w:t>
      </w:r>
      <w:r w:rsidRPr="003A0655">
        <w:t>des systèmes de refroidissement durables</w:t>
      </w:r>
      <w:r w:rsidR="004043EC" w:rsidRPr="003A0655">
        <w:t> </w:t>
      </w:r>
      <w:r w:rsidRPr="003A0655">
        <w:t>; la transition numérique du secteur de l</w:t>
      </w:r>
      <w:r w:rsidR="000B3BB8" w:rsidRPr="003A0655">
        <w:t>’</w:t>
      </w:r>
      <w:r w:rsidRPr="003A0655">
        <w:t>entretien</w:t>
      </w:r>
      <w:r w:rsidR="004043EC" w:rsidRPr="003A0655">
        <w:t> </w:t>
      </w:r>
      <w:r w:rsidRPr="003A0655">
        <w:t>; le</w:t>
      </w:r>
      <w:r w:rsidR="00E0402D" w:rsidRPr="003A0655">
        <w:t> </w:t>
      </w:r>
      <w:r w:rsidRPr="003A0655">
        <w:t>traitement équitable des pays en développement sans littoral.</w:t>
      </w:r>
    </w:p>
    <w:p w14:paraId="091B9AC8" w14:textId="03968342" w:rsidR="00F978AD" w:rsidRPr="003A0655" w:rsidRDefault="00F978AD" w:rsidP="00AB635F">
      <w:pPr>
        <w:pStyle w:val="Normalnumber"/>
        <w:tabs>
          <w:tab w:val="clear" w:pos="1247"/>
        </w:tabs>
      </w:pPr>
      <w:r w:rsidRPr="003A0655">
        <w:t>Certain(e)s représentant(e)s ont déclaré qu</w:t>
      </w:r>
      <w:r w:rsidR="000B3BB8" w:rsidRPr="003A0655">
        <w:t>’</w:t>
      </w:r>
      <w:r w:rsidRPr="003A0655">
        <w:t xml:space="preserve">aucune nouvelle politique ni aucun nouveau principe directeur ne devrait être introduit au cours de la période 2027-2029 de reconstitution des ressources. Un représentant a souligné </w:t>
      </w:r>
      <w:r w:rsidR="004043EC" w:rsidRPr="003A0655">
        <w:t>qu</w:t>
      </w:r>
      <w:r w:rsidR="000B3BB8" w:rsidRPr="003A0655">
        <w:t>’</w:t>
      </w:r>
      <w:r w:rsidR="004043EC" w:rsidRPr="003A0655">
        <w:t>il importait d</w:t>
      </w:r>
      <w:r w:rsidR="000B3BB8" w:rsidRPr="003A0655">
        <w:t>’</w:t>
      </w:r>
      <w:r w:rsidR="004043EC" w:rsidRPr="003A0655">
        <w:t>éviter tout</w:t>
      </w:r>
      <w:r w:rsidRPr="003A0655">
        <w:t xml:space="preserve"> conflit d</w:t>
      </w:r>
      <w:r w:rsidR="000B3BB8" w:rsidRPr="003A0655">
        <w:t>’</w:t>
      </w:r>
      <w:r w:rsidRPr="003A0655">
        <w:t>intérêts au sein de l</w:t>
      </w:r>
      <w:r w:rsidR="000B3BB8" w:rsidRPr="003A0655">
        <w:t>’</w:t>
      </w:r>
      <w:r w:rsidRPr="003A0655">
        <w:t>équipe spéciale sur la reconstitution.</w:t>
      </w:r>
    </w:p>
    <w:p w14:paraId="030DAFAB" w14:textId="59F35FEE" w:rsidR="00F978AD" w:rsidRPr="003A0655" w:rsidRDefault="00F978AD" w:rsidP="00AB635F">
      <w:pPr>
        <w:pStyle w:val="Normalnumber"/>
        <w:tabs>
          <w:tab w:val="clear" w:pos="1247"/>
        </w:tabs>
      </w:pPr>
      <w:r w:rsidRPr="003A0655">
        <w:t xml:space="preserve">Le Groupe de travail </w:t>
      </w:r>
      <w:r w:rsidR="00D85219" w:rsidRPr="003A0655">
        <w:t xml:space="preserve">est </w:t>
      </w:r>
      <w:r w:rsidRPr="003A0655">
        <w:t>convenu de créer un groupe de contact, qui serait coprésidé par Azra</w:t>
      </w:r>
      <w:r w:rsidR="00555EBD" w:rsidRPr="003A0655">
        <w:t> </w:t>
      </w:r>
      <w:r w:rsidRPr="003A0655">
        <w:t>Rogović-Grubić (Bosnie-Herzégovine) et Ralph Brieskorn (Royaume des Pays-Bas).</w:t>
      </w:r>
    </w:p>
    <w:p w14:paraId="563AC5C9" w14:textId="23092DF3" w:rsidR="0045646D" w:rsidRPr="003A0655" w:rsidRDefault="009261E1" w:rsidP="00AB635F">
      <w:pPr>
        <w:pStyle w:val="Normalnumber"/>
        <w:tabs>
          <w:tab w:val="clear" w:pos="1247"/>
        </w:tabs>
      </w:pPr>
      <w:r w:rsidRPr="003A0655">
        <w:t xml:space="preserve">Par la suite, la coprésidente du groupe de contact a fait savoir que le groupe était parvenu à un accord sur un projet de décision </w:t>
      </w:r>
      <w:r w:rsidR="00E54CD7" w:rsidRPr="003A0655">
        <w:t>relatif au</w:t>
      </w:r>
      <w:r w:rsidR="00400B9B" w:rsidRPr="003A0655">
        <w:t xml:space="preserve"> cadre de l’étude sur la reconstitution des ressources du Fonds multilatéral aux fins d’application du Protocole de Montréal pour la période 2027-2029</w:t>
      </w:r>
      <w:r w:rsidRPr="003A0655">
        <w:t>, pour examen par les Parties.</w:t>
      </w:r>
    </w:p>
    <w:p w14:paraId="04C5B523" w14:textId="2032C1AB" w:rsidR="002B65C3" w:rsidRPr="003A0655" w:rsidRDefault="009261E1" w:rsidP="00AB635F">
      <w:pPr>
        <w:pStyle w:val="Normalnumber"/>
        <w:tabs>
          <w:tab w:val="clear" w:pos="1247"/>
        </w:tabs>
      </w:pPr>
      <w:r w:rsidRPr="003A0655">
        <w:t>Les Parties sont convenues de transmettre le projet de décision au débat de haut niveau pour examen plus poussé et adoption éventuelle.</w:t>
      </w:r>
    </w:p>
    <w:p w14:paraId="16F0F147" w14:textId="314907A6" w:rsidR="00663952" w:rsidRPr="003A0655" w:rsidRDefault="00663952" w:rsidP="000121DF">
      <w:pPr>
        <w:pStyle w:val="CH1"/>
      </w:pPr>
      <w:bookmarkStart w:id="10" w:name="OLE_LINK88"/>
      <w:r w:rsidRPr="003A0655">
        <w:tab/>
        <w:t>V.</w:t>
      </w:r>
      <w:r w:rsidRPr="003A0655">
        <w:tab/>
        <w:t>Émissions d</w:t>
      </w:r>
      <w:r w:rsidR="000B3BB8" w:rsidRPr="003A0655">
        <w:t>’</w:t>
      </w:r>
      <w:proofErr w:type="spellStart"/>
      <w:r w:rsidRPr="003A0655">
        <w:t>hydrofluorocarbone</w:t>
      </w:r>
      <w:proofErr w:type="spellEnd"/>
      <w:r w:rsidR="00226F1F" w:rsidRPr="003A0655">
        <w:t xml:space="preserve"> </w:t>
      </w:r>
      <w:r w:rsidRPr="003A0655">
        <w:t>23 (HFC</w:t>
      </w:r>
      <w:r w:rsidRPr="003A0655">
        <w:noBreakHyphen/>
        <w:t>23) (décision XXXVI/3)</w:t>
      </w:r>
    </w:p>
    <w:p w14:paraId="3464FAF9" w14:textId="6B9DBE4A" w:rsidR="00663952" w:rsidRPr="003A0655" w:rsidRDefault="00663952" w:rsidP="000121DF">
      <w:pPr>
        <w:pStyle w:val="Normalnumber"/>
        <w:keepNext/>
        <w:keepLines/>
        <w:tabs>
          <w:tab w:val="clear" w:pos="1247"/>
        </w:tabs>
      </w:pPr>
      <w:r w:rsidRPr="003A0655">
        <w:t>Pour l</w:t>
      </w:r>
      <w:r w:rsidR="000B3BB8" w:rsidRPr="003A0655">
        <w:t>’</w:t>
      </w:r>
      <w:r w:rsidRPr="003A0655">
        <w:t>examen de ce point, les Parties étaient saisies des paragraphes 33 à 36 de la note du Secrétariat sur les questions portées à l</w:t>
      </w:r>
      <w:r w:rsidR="000B3BB8" w:rsidRPr="003A0655">
        <w:t>’</w:t>
      </w:r>
      <w:r w:rsidRPr="003A0655">
        <w:t>attention de la trente-septième Réunion des Parties au Protocole de</w:t>
      </w:r>
      <w:r w:rsidR="00375B3D" w:rsidRPr="003A0655">
        <w:t> </w:t>
      </w:r>
      <w:r w:rsidRPr="003A0655">
        <w:t>Montréal pour examen et information (UNEP/OzL.Pro.37/2), du rapport du Groupe de l</w:t>
      </w:r>
      <w:r w:rsidR="000B3BB8" w:rsidRPr="003A0655">
        <w:t>’</w:t>
      </w:r>
      <w:r w:rsidRPr="003A0655">
        <w:t>évaluation scientifique sur la suite donnée à la décision XXXVI/3 relative aux émissions de HFC</w:t>
      </w:r>
      <w:r w:rsidRPr="003A0655">
        <w:noBreakHyphen/>
        <w:t>23, du rapport du Groupe de l</w:t>
      </w:r>
      <w:r w:rsidR="000B3BB8" w:rsidRPr="003A0655">
        <w:t>’</w:t>
      </w:r>
      <w:r w:rsidRPr="003A0655">
        <w:t>évaluation technique et économique sur la suite donnée à la décision XXXVI/3 relative aux émissions de HFC</w:t>
      </w:r>
      <w:bookmarkStart w:id="11" w:name="OLE_LINK91"/>
      <w:r w:rsidRPr="003A0655">
        <w:noBreakHyphen/>
      </w:r>
      <w:bookmarkEnd w:id="11"/>
      <w:r w:rsidRPr="003A0655">
        <w:t>23, ainsi que des paragraphes 4 à 18 et des annexes I et II de l</w:t>
      </w:r>
      <w:r w:rsidR="000B3BB8" w:rsidRPr="003A0655">
        <w:t>’</w:t>
      </w:r>
      <w:r w:rsidRPr="003A0655">
        <w:t>additif à la note du Secrétariat sur les questions portées à l</w:t>
      </w:r>
      <w:r w:rsidR="000B3BB8" w:rsidRPr="003A0655">
        <w:t>’</w:t>
      </w:r>
      <w:r w:rsidRPr="003A0655">
        <w:t>attention de la trente</w:t>
      </w:r>
      <w:r w:rsidR="00E51738" w:rsidRPr="003A0655">
        <w:noBreakHyphen/>
      </w:r>
      <w:r w:rsidRPr="003A0655">
        <w:t>septième Réunion des Parties au Protocole de</w:t>
      </w:r>
      <w:r w:rsidR="00D137AB" w:rsidRPr="003A0655">
        <w:t> </w:t>
      </w:r>
      <w:r w:rsidRPr="003A0655">
        <w:t>Montréal pour examen et information (UNEP/OzL.Pro.37/2</w:t>
      </w:r>
      <w:r w:rsidR="009261E1" w:rsidRPr="003A0655">
        <w:t>/Add.1</w:t>
      </w:r>
      <w:r w:rsidRPr="003A0655">
        <w:t>).</w:t>
      </w:r>
    </w:p>
    <w:p w14:paraId="20FCF58E" w14:textId="3BD63F8A" w:rsidR="00663952" w:rsidRPr="003A0655" w:rsidRDefault="00663952" w:rsidP="009A6C2C">
      <w:pPr>
        <w:pStyle w:val="Normalnumber"/>
        <w:tabs>
          <w:tab w:val="clear" w:pos="1247"/>
        </w:tabs>
      </w:pPr>
      <w:r w:rsidRPr="003A0655">
        <w:t>Présentant ce sous-point, la Coprésidente a rappelé qu</w:t>
      </w:r>
      <w:r w:rsidR="000B3BB8" w:rsidRPr="003A0655">
        <w:t>’</w:t>
      </w:r>
      <w:r w:rsidRPr="003A0655">
        <w:t>au paragraphe 5 de la décision XXXVI/3, relative aux émissions de HFC</w:t>
      </w:r>
      <w:r w:rsidRPr="003A0655">
        <w:noBreakHyphen/>
        <w:t>23, le Groupe de l</w:t>
      </w:r>
      <w:r w:rsidR="000B3BB8" w:rsidRPr="003A0655">
        <w:t>’</w:t>
      </w:r>
      <w:r w:rsidRPr="003A0655">
        <w:t>évaluation scientifique et le Groupe de l</w:t>
      </w:r>
      <w:r w:rsidR="000B3BB8" w:rsidRPr="003A0655">
        <w:t>’</w:t>
      </w:r>
      <w:r w:rsidRPr="003A0655">
        <w:t>évaluation technique et économique avaient été priés de mettre à jour leurs rapports relatifs à la décision XXXV/7 sur le HFC</w:t>
      </w:r>
      <w:r w:rsidRPr="003A0655">
        <w:noBreakHyphen/>
        <w:t>23, afin de tenir compte de toute information supplémentaire ou nouvelle qui deviendrait disponible, et de soumettre leurs rapports sur la question à la trente</w:t>
      </w:r>
      <w:r w:rsidR="00154D79" w:rsidRPr="003A0655">
        <w:noBreakHyphen/>
      </w:r>
      <w:r w:rsidRPr="003A0655">
        <w:t>septième Réunion des Parties. En outre, le Groupe de l</w:t>
      </w:r>
      <w:r w:rsidR="000B3BB8" w:rsidRPr="003A0655">
        <w:t>’</w:t>
      </w:r>
      <w:r w:rsidRPr="003A0655">
        <w:t>évaluation technique et économique avait également été prié de fournir des informations et une comparaison des meilleures pratiques et directives relatives à la mesure, à l</w:t>
      </w:r>
      <w:r w:rsidR="000B3BB8" w:rsidRPr="003A0655">
        <w:t>’</w:t>
      </w:r>
      <w:r w:rsidRPr="003A0655">
        <w:t>estimation, à la déclaration et à la vérification des émissions de sous-produits du HFC</w:t>
      </w:r>
      <w:r w:rsidRPr="003A0655">
        <w:noBreakHyphen/>
        <w:t>23 et de leur destruction.</w:t>
      </w:r>
    </w:p>
    <w:p w14:paraId="23650CEC" w14:textId="63CEB7A3" w:rsidR="00663952" w:rsidRPr="003A0655" w:rsidRDefault="00663952" w:rsidP="009A6C2C">
      <w:pPr>
        <w:pStyle w:val="Normalnumber"/>
        <w:tabs>
          <w:tab w:val="clear" w:pos="1247"/>
        </w:tabs>
      </w:pPr>
      <w:r w:rsidRPr="003A0655">
        <w:t xml:space="preserve">Comme demandé par les Parties, les </w:t>
      </w:r>
      <w:r w:rsidR="00DB28A0" w:rsidRPr="003A0655">
        <w:t xml:space="preserve">groupes </w:t>
      </w:r>
      <w:r w:rsidRPr="003A0655">
        <w:t>d</w:t>
      </w:r>
      <w:r w:rsidR="000B3BB8" w:rsidRPr="003A0655">
        <w:t>’</w:t>
      </w:r>
      <w:r w:rsidRPr="003A0655">
        <w:t>évaluation ont coordonné leurs travaux sur la</w:t>
      </w:r>
      <w:r w:rsidR="002F6215" w:rsidRPr="003A0655">
        <w:t> </w:t>
      </w:r>
      <w:r w:rsidRPr="003A0655">
        <w:t>question et ont chacun élaboré un rapport. Les résumés des rapports étaient disponibles dans l</w:t>
      </w:r>
      <w:r w:rsidR="000B3BB8" w:rsidRPr="003A0655">
        <w:t>’</w:t>
      </w:r>
      <w:r w:rsidRPr="003A0655">
        <w:t>additif à la note du Secrétariat, les résumés respectifs étant reproduits aux annexes I et II de l</w:t>
      </w:r>
      <w:r w:rsidR="000B3BB8" w:rsidRPr="003A0655">
        <w:t>’</w:t>
      </w:r>
      <w:r w:rsidRPr="003A0655">
        <w:t>additif, et les rapports complets avaient été mis à disposition sur le portail de la réunion.</w:t>
      </w:r>
    </w:p>
    <w:p w14:paraId="76AD8662" w14:textId="225C0CAA" w:rsidR="00663952" w:rsidRPr="003A0655" w:rsidRDefault="00663952" w:rsidP="009A6C2C">
      <w:pPr>
        <w:pStyle w:val="Normalnumber"/>
        <w:tabs>
          <w:tab w:val="clear" w:pos="1247"/>
        </w:tabs>
      </w:pPr>
      <w:r w:rsidRPr="003A0655">
        <w:t xml:space="preserve">Lucy Carpenter, </w:t>
      </w:r>
      <w:r w:rsidR="00DB28A0" w:rsidRPr="003A0655">
        <w:t>Coprésidente</w:t>
      </w:r>
      <w:r w:rsidRPr="003A0655">
        <w:t xml:space="preserve"> du Groupe de l</w:t>
      </w:r>
      <w:r w:rsidR="000B3BB8" w:rsidRPr="003A0655">
        <w:t>’</w:t>
      </w:r>
      <w:r w:rsidRPr="003A0655">
        <w:t>évaluation scientifique, et Nick Campbell, membre du Comité des choix techniques pour les produits chimiques et médicaux, s</w:t>
      </w:r>
      <w:r w:rsidR="000B3BB8" w:rsidRPr="003A0655">
        <w:t>’</w:t>
      </w:r>
      <w:r w:rsidRPr="003A0655">
        <w:t>exprimant au nom du Groupe de l</w:t>
      </w:r>
      <w:r w:rsidR="000B3BB8" w:rsidRPr="003A0655">
        <w:t>’</w:t>
      </w:r>
      <w:r w:rsidRPr="003A0655">
        <w:t xml:space="preserve">évaluation technique et économique, ont fait des exposés sur la réponse de chaque </w:t>
      </w:r>
      <w:r w:rsidR="00DB28A0" w:rsidRPr="003A0655">
        <w:t xml:space="preserve">groupe </w:t>
      </w:r>
      <w:r w:rsidRPr="003A0655">
        <w:t>aux demandes formulées dans la décision XXXVI/3. Les exposés sont reproduits, respectivement, dans les sections </w:t>
      </w:r>
      <w:r w:rsidR="009261E1" w:rsidRPr="003A0655">
        <w:t>A</w:t>
      </w:r>
      <w:r w:rsidRPr="003A0655">
        <w:t xml:space="preserve"> et </w:t>
      </w:r>
      <w:r w:rsidR="009261E1" w:rsidRPr="003A0655">
        <w:t xml:space="preserve">B </w:t>
      </w:r>
      <w:r w:rsidRPr="003A0655">
        <w:t>de l</w:t>
      </w:r>
      <w:r w:rsidR="000B3BB8" w:rsidRPr="003A0655">
        <w:t>’</w:t>
      </w:r>
      <w:r w:rsidRPr="003A0655">
        <w:t>annexe </w:t>
      </w:r>
      <w:r w:rsidR="009261E1" w:rsidRPr="003A0655">
        <w:t>I</w:t>
      </w:r>
      <w:r w:rsidRPr="003A0655">
        <w:t xml:space="preserve"> du présent rapport.</w:t>
      </w:r>
    </w:p>
    <w:p w14:paraId="7A0956D5" w14:textId="061CB077" w:rsidR="00663952" w:rsidRPr="003A0655" w:rsidRDefault="00663952" w:rsidP="009A6C2C">
      <w:pPr>
        <w:pStyle w:val="Normalnumber"/>
        <w:tabs>
          <w:tab w:val="clear" w:pos="1247"/>
        </w:tabs>
      </w:pPr>
      <w:r w:rsidRPr="003A0655">
        <w:t>À l</w:t>
      </w:r>
      <w:r w:rsidR="000B3BB8" w:rsidRPr="003A0655">
        <w:t>’</w:t>
      </w:r>
      <w:r w:rsidRPr="003A0655">
        <w:t xml:space="preserve">issue des exposés, plusieurs représentant(e)s ont posé des questions aux membres des </w:t>
      </w:r>
      <w:r w:rsidR="00DB28A0" w:rsidRPr="003A0655">
        <w:t xml:space="preserve">groupes </w:t>
      </w:r>
      <w:r w:rsidRPr="003A0655">
        <w:t>afin de clarifier certains points</w:t>
      </w:r>
      <w:r w:rsidR="009261E1" w:rsidRPr="003A0655">
        <w:t xml:space="preserve"> soulevés</w:t>
      </w:r>
      <w:r w:rsidRPr="003A0655">
        <w:t>.</w:t>
      </w:r>
    </w:p>
    <w:p w14:paraId="535525AF" w14:textId="565DC335" w:rsidR="00663952" w:rsidRPr="003A0655" w:rsidRDefault="00663952" w:rsidP="009A6C2C">
      <w:pPr>
        <w:pStyle w:val="Normalnumber"/>
        <w:tabs>
          <w:tab w:val="clear" w:pos="1247"/>
        </w:tabs>
      </w:pPr>
      <w:r w:rsidRPr="003A0655">
        <w:t>Certain(e)s représentant(e)s se sont interrogé(e)s sur la forte augmentation, à partir de 2015, de l</w:t>
      </w:r>
      <w:r w:rsidR="000B3BB8" w:rsidRPr="003A0655">
        <w:t>’</w:t>
      </w:r>
      <w:r w:rsidRPr="003A0655">
        <w:t xml:space="preserve">écart entre les émissions mondiales totales </w:t>
      </w:r>
      <w:bookmarkStart w:id="12" w:name="OLE_LINK97"/>
      <w:r w:rsidRPr="003A0655">
        <w:t>dérivées de mesures atmosphériques</w:t>
      </w:r>
      <w:bookmarkEnd w:id="12"/>
      <w:r w:rsidRPr="003A0655">
        <w:t xml:space="preserve"> et celles </w:t>
      </w:r>
      <w:r w:rsidR="00DB28A0" w:rsidRPr="003A0655">
        <w:t>indiquées dans</w:t>
      </w:r>
      <w:r w:rsidRPr="003A0655">
        <w:t xml:space="preserve"> les rapports. M. Campbell a précisé qu</w:t>
      </w:r>
      <w:r w:rsidR="000B3BB8" w:rsidRPr="003A0655">
        <w:t>’</w:t>
      </w:r>
      <w:r w:rsidRPr="003A0655">
        <w:t>aucun nouveau secteur susceptible d</w:t>
      </w:r>
      <w:r w:rsidR="000B3BB8" w:rsidRPr="003A0655">
        <w:t>’</w:t>
      </w:r>
      <w:r w:rsidRPr="003A0655">
        <w:t>entraîner une telle augmentation de l</w:t>
      </w:r>
      <w:r w:rsidR="000B3BB8" w:rsidRPr="003A0655">
        <w:t>’</w:t>
      </w:r>
      <w:r w:rsidRPr="003A0655">
        <w:t>écart n</w:t>
      </w:r>
      <w:r w:rsidR="000B3BB8" w:rsidRPr="003A0655">
        <w:t>’</w:t>
      </w:r>
      <w:r w:rsidRPr="003A0655">
        <w:t xml:space="preserve">était apparu à cette époque, mais que le mécanisme pour un développement propre </w:t>
      </w:r>
      <w:r w:rsidR="009261E1" w:rsidRPr="003A0655">
        <w:t xml:space="preserve">du Protocole de Kyoto à </w:t>
      </w:r>
      <w:r w:rsidRPr="003A0655">
        <w:t>la Convention-cadre des Nations</w:t>
      </w:r>
      <w:r w:rsidR="00C876C2" w:rsidRPr="003A0655">
        <w:t> </w:t>
      </w:r>
      <w:r w:rsidRPr="003A0655">
        <w:t>Unies sur les changements climatiques avait cessé de fonctionner en 2015. À cette époque, une région avait adopté une r</w:t>
      </w:r>
      <w:r w:rsidR="00551F81" w:rsidRPr="003A0655">
        <w:t>é</w:t>
      </w:r>
      <w:r w:rsidRPr="003A0655">
        <w:t>glementation qui avait fait chuter le prix des crédits de HFC</w:t>
      </w:r>
      <w:r w:rsidRPr="003A0655">
        <w:noBreakHyphen/>
        <w:t>23. Il a précisé que, dans le cadre du mécanisme pour un développement propre, des crédits étaient générés par la destruction du HFC</w:t>
      </w:r>
      <w:r w:rsidRPr="003A0655">
        <w:noBreakHyphen/>
        <w:t>23 et qu</w:t>
      </w:r>
      <w:r w:rsidR="000B3BB8" w:rsidRPr="003A0655">
        <w:t>’</w:t>
      </w:r>
      <w:r w:rsidRPr="003A0655">
        <w:t>avec la fin de ce mécanisme, il</w:t>
      </w:r>
      <w:r w:rsidR="00894985" w:rsidRPr="003A0655">
        <w:t> </w:t>
      </w:r>
      <w:r w:rsidRPr="003A0655">
        <w:t>y</w:t>
      </w:r>
      <w:r w:rsidR="00894985" w:rsidRPr="003A0655">
        <w:t> </w:t>
      </w:r>
      <w:r w:rsidRPr="003A0655">
        <w:t>avait peut-être moins d</w:t>
      </w:r>
      <w:r w:rsidR="000B3BB8" w:rsidRPr="003A0655">
        <w:t>’</w:t>
      </w:r>
      <w:r w:rsidRPr="003A0655">
        <w:t>incitation à poursuivre la destruction du HFC</w:t>
      </w:r>
      <w:r w:rsidRPr="003A0655">
        <w:noBreakHyphen/>
        <w:t>23. Un membre a toutefois souligné que la modification du système de crédit n</w:t>
      </w:r>
      <w:r w:rsidR="000B3BB8" w:rsidRPr="003A0655">
        <w:t>’</w:t>
      </w:r>
      <w:r w:rsidRPr="003A0655">
        <w:t>avait pas été instantanée et que les projets avaient été progressivement arrêtés sur plusieurs années. Un autre représentant a proposé qu</w:t>
      </w:r>
      <w:r w:rsidR="000B3BB8" w:rsidRPr="003A0655">
        <w:t>’</w:t>
      </w:r>
      <w:r w:rsidRPr="003A0655">
        <w:t>une sorte de mécanisme soit mis en place pour remplacer le mécanisme pour un développement propre.</w:t>
      </w:r>
    </w:p>
    <w:p w14:paraId="0493919B" w14:textId="1274CCE6" w:rsidR="00663952" w:rsidRPr="003A0655" w:rsidRDefault="00663952" w:rsidP="009A6C2C">
      <w:pPr>
        <w:pStyle w:val="Normalnumber"/>
        <w:tabs>
          <w:tab w:val="clear" w:pos="1247"/>
        </w:tabs>
      </w:pPr>
      <w:r w:rsidRPr="003A0655">
        <w:t>Un représentant s</w:t>
      </w:r>
      <w:r w:rsidR="000B3BB8" w:rsidRPr="003A0655">
        <w:t>’</w:t>
      </w:r>
      <w:r w:rsidRPr="003A0655">
        <w:t>est interrogé sur les divergences entre les estimations fondées sur les rapports et les estimations dérivées des mesures atmosphériques pour certaines parties de la Chine de 2011 à aujourd</w:t>
      </w:r>
      <w:r w:rsidR="000B3BB8" w:rsidRPr="003A0655">
        <w:t>’</w:t>
      </w:r>
      <w:r w:rsidRPr="003A0655">
        <w:t>hui, comme indiqué dans la figure 7 de l</w:t>
      </w:r>
      <w:r w:rsidR="000B3BB8" w:rsidRPr="003A0655">
        <w:t>’</w:t>
      </w:r>
      <w:r w:rsidRPr="003A0655">
        <w:t>exposé du Groupe de l</w:t>
      </w:r>
      <w:r w:rsidR="000B3BB8" w:rsidRPr="003A0655">
        <w:t>’</w:t>
      </w:r>
      <w:r w:rsidRPr="003A0655">
        <w:t xml:space="preserve">évaluation scientifique. Mme Carpenter a précisé que les chiffres des estimations obtenues de </w:t>
      </w:r>
      <w:r w:rsidR="006626FA" w:rsidRPr="003A0655">
        <w:t>mesures atmosphé</w:t>
      </w:r>
      <w:r w:rsidR="00996F96" w:rsidRPr="003A0655">
        <w:t>r</w:t>
      </w:r>
      <w:r w:rsidR="006626FA" w:rsidRPr="003A0655">
        <w:t xml:space="preserve">iques </w:t>
      </w:r>
      <w:r w:rsidRPr="003A0655">
        <w:t>ne concernaient que l</w:t>
      </w:r>
      <w:r w:rsidR="000B3BB8" w:rsidRPr="003A0655">
        <w:t>’</w:t>
      </w:r>
      <w:r w:rsidRPr="003A0655">
        <w:t>est de la Chine, alors que les estimations fondées sur les rapports couvraient l</w:t>
      </w:r>
      <w:r w:rsidR="000B3BB8" w:rsidRPr="003A0655">
        <w:t>’</w:t>
      </w:r>
      <w:r w:rsidRPr="003A0655">
        <w:t>ensemble de la Chine. Aucune estimation des émissions de HFC</w:t>
      </w:r>
      <w:r w:rsidRPr="003A0655">
        <w:noBreakHyphen/>
        <w:t>23 n</w:t>
      </w:r>
      <w:r w:rsidR="000B3BB8" w:rsidRPr="003A0655">
        <w:t>’</w:t>
      </w:r>
      <w:r w:rsidRPr="003A0655">
        <w:t>a été réalisée pour l</w:t>
      </w:r>
      <w:r w:rsidR="000B3BB8" w:rsidRPr="003A0655">
        <w:t>’</w:t>
      </w:r>
      <w:r w:rsidRPr="003A0655">
        <w:t>ensemble de la Chine. En réponse à une question sur les sites de surveillance en Chine et la disponibilité des données correspondantes, Stefan Reimann, membre du Groupe de l</w:t>
      </w:r>
      <w:r w:rsidR="000B3BB8" w:rsidRPr="003A0655">
        <w:t>’</w:t>
      </w:r>
      <w:r w:rsidRPr="003A0655">
        <w:t>évaluation scientifique, a confirmé que des données avaient été collectées en Chine au cours des 15 à 20 dernières années et qu</w:t>
      </w:r>
      <w:r w:rsidR="000B3BB8" w:rsidRPr="003A0655">
        <w:t>’</w:t>
      </w:r>
      <w:r w:rsidRPr="003A0655">
        <w:t>elles avaient été utilisées pour diverses publications sur différents gaz. Une nouvelle publication sur les émissions mondiales de HFC</w:t>
      </w:r>
      <w:r w:rsidRPr="003A0655">
        <w:noBreakHyphen/>
        <w:t>23 avait été préparée par la Chine, sur la base de données nationales. De</w:t>
      </w:r>
      <w:r w:rsidR="00BB6E79" w:rsidRPr="003A0655">
        <w:t> </w:t>
      </w:r>
      <w:r w:rsidRPr="003A0655">
        <w:t>nouvelles mesures en provenance de Chine devenaient peu à peu disponibles.</w:t>
      </w:r>
    </w:p>
    <w:p w14:paraId="2C45916B" w14:textId="45BACAC4" w:rsidR="00663952" w:rsidRPr="003A0655" w:rsidRDefault="00663952" w:rsidP="009A6C2C">
      <w:pPr>
        <w:pStyle w:val="Normalnumber"/>
        <w:tabs>
          <w:tab w:val="clear" w:pos="1247"/>
        </w:tabs>
      </w:pPr>
      <w:r w:rsidRPr="003A0655">
        <w:t>En réponse à un commentaire concernant l</w:t>
      </w:r>
      <w:r w:rsidR="000B3BB8" w:rsidRPr="003A0655">
        <w:t>’</w:t>
      </w:r>
      <w:r w:rsidRPr="003A0655">
        <w:t>absence de données sur les États-Unis, Mme Carpenter a indiqué que des données préliminaires sur ce pays étaient effectivement disponibles, mais qu</w:t>
      </w:r>
      <w:r w:rsidR="000B3BB8" w:rsidRPr="003A0655">
        <w:t>’</w:t>
      </w:r>
      <w:r w:rsidRPr="003A0655">
        <w:t>elles n</w:t>
      </w:r>
      <w:r w:rsidR="000B3BB8" w:rsidRPr="003A0655">
        <w:t>’</w:t>
      </w:r>
      <w:r w:rsidRPr="003A0655">
        <w:t>avaient pas encore été publiées. Une fois publiées, ces données pourraient figurer dans un exposé ultérieur du Groupe de l</w:t>
      </w:r>
      <w:r w:rsidR="000B3BB8" w:rsidRPr="003A0655">
        <w:t>’</w:t>
      </w:r>
      <w:r w:rsidRPr="003A0655">
        <w:t>évaluation scientifique. Le représentant des États-Unis a fourni des précisions, confirmées par Mme Carpenter, sur les données déjà rendues publiques. Des données préliminaires non publiées, portant sur la période 2018-2021, font état d</w:t>
      </w:r>
      <w:r w:rsidR="000B3BB8" w:rsidRPr="003A0655">
        <w:t>’</w:t>
      </w:r>
      <w:r w:rsidRPr="003A0655">
        <w:t>émissions de 0,4 kilotonne par an.</w:t>
      </w:r>
    </w:p>
    <w:p w14:paraId="03E892DC" w14:textId="52ACDCE9" w:rsidR="00663952" w:rsidRPr="003A0655" w:rsidRDefault="00663952" w:rsidP="009A6C2C">
      <w:pPr>
        <w:pStyle w:val="Normalnumber"/>
        <w:tabs>
          <w:tab w:val="clear" w:pos="1247"/>
        </w:tabs>
      </w:pPr>
      <w:r w:rsidRPr="003A0655">
        <w:t>Répondant aux questions d</w:t>
      </w:r>
      <w:r w:rsidR="000B3BB8" w:rsidRPr="003A0655">
        <w:t>’</w:t>
      </w:r>
      <w:r w:rsidRPr="003A0655">
        <w:t>autres représentant</w:t>
      </w:r>
      <w:r w:rsidR="00996F96" w:rsidRPr="003A0655">
        <w:t>(e)</w:t>
      </w:r>
      <w:r w:rsidRPr="003A0655">
        <w:t>s sur les scénarios futurs possibles concernant le HFC</w:t>
      </w:r>
      <w:r w:rsidRPr="003A0655">
        <w:noBreakHyphen/>
        <w:t>23 et sur la question de savoir si l</w:t>
      </w:r>
      <w:r w:rsidR="000B3BB8" w:rsidRPr="003A0655">
        <w:t>’</w:t>
      </w:r>
      <w:r w:rsidRPr="003A0655">
        <w:t>oxydation atmosphérique deviendrait un problème plus important, Mme Carpenter a indiqué que les rapports d</w:t>
      </w:r>
      <w:r w:rsidR="000B3BB8" w:rsidRPr="003A0655">
        <w:t>’</w:t>
      </w:r>
      <w:r w:rsidRPr="003A0655">
        <w:t>évaluation </w:t>
      </w:r>
      <w:r w:rsidR="00996F96" w:rsidRPr="003A0655">
        <w:t xml:space="preserve">de </w:t>
      </w:r>
      <w:r w:rsidRPr="003A0655">
        <w:t xml:space="preserve">2026 des </w:t>
      </w:r>
      <w:r w:rsidR="00996F96" w:rsidRPr="003A0655">
        <w:t xml:space="preserve">groupes </w:t>
      </w:r>
      <w:r w:rsidRPr="003A0655">
        <w:t>contiendraient à la fois des scénarios généraux pour l</w:t>
      </w:r>
      <w:r w:rsidR="000B3BB8" w:rsidRPr="003A0655">
        <w:t>’</w:t>
      </w:r>
      <w:r w:rsidRPr="003A0655">
        <w:t>avenir et des projections de l</w:t>
      </w:r>
      <w:r w:rsidR="000B3BB8" w:rsidRPr="003A0655">
        <w:t>’</w:t>
      </w:r>
      <w:r w:rsidRPr="003A0655">
        <w:t>oxydation atmosphérique due à l</w:t>
      </w:r>
      <w:r w:rsidR="000B3BB8" w:rsidRPr="003A0655">
        <w:t>’</w:t>
      </w:r>
      <w:r w:rsidRPr="003A0655">
        <w:t>augmentation des émissions d</w:t>
      </w:r>
      <w:r w:rsidR="000B3BB8" w:rsidRPr="003A0655">
        <w:t>’</w:t>
      </w:r>
      <w:proofErr w:type="spellStart"/>
      <w:r w:rsidRPr="003A0655">
        <w:t>hydrofluoroléfines</w:t>
      </w:r>
      <w:proofErr w:type="spellEnd"/>
      <w:r w:rsidRPr="003A0655">
        <w:t xml:space="preserve"> jusqu</w:t>
      </w:r>
      <w:r w:rsidR="000B3BB8" w:rsidRPr="003A0655">
        <w:t>’</w:t>
      </w:r>
      <w:r w:rsidRPr="003A0655">
        <w:t>en 2100. La contribution de l</w:t>
      </w:r>
      <w:r w:rsidR="000B3BB8" w:rsidRPr="003A0655">
        <w:t>’</w:t>
      </w:r>
      <w:r w:rsidRPr="003A0655">
        <w:t>oxydation atmosphérique aux émissions de HFC</w:t>
      </w:r>
      <w:r w:rsidRPr="003A0655">
        <w:noBreakHyphen/>
        <w:t>23 était extrêmement faible par rapport aux émissions de HFC</w:t>
      </w:r>
      <w:r w:rsidRPr="003A0655">
        <w:noBreakHyphen/>
        <w:t xml:space="preserve">23 associées à la production de </w:t>
      </w:r>
      <w:bookmarkStart w:id="13" w:name="OLE_LINK92"/>
      <w:r w:rsidRPr="003A0655">
        <w:t>HCFC</w:t>
      </w:r>
      <w:r w:rsidRPr="003A0655">
        <w:noBreakHyphen/>
        <w:t>22</w:t>
      </w:r>
      <w:bookmarkEnd w:id="13"/>
      <w:r w:rsidRPr="003A0655">
        <w:t>. M. Campbell a déclaré que, bien que l</w:t>
      </w:r>
      <w:r w:rsidR="000B3BB8" w:rsidRPr="003A0655">
        <w:t>’</w:t>
      </w:r>
      <w:r w:rsidRPr="003A0655">
        <w:t>on ait supposé que les faibles niveaux suggérés par le Groupe de l</w:t>
      </w:r>
      <w:r w:rsidR="000B3BB8" w:rsidRPr="003A0655">
        <w:t>’</w:t>
      </w:r>
      <w:r w:rsidRPr="003A0655">
        <w:t>évaluation scientifique augmenteraient, l</w:t>
      </w:r>
      <w:r w:rsidR="000B3BB8" w:rsidRPr="003A0655">
        <w:t>’</w:t>
      </w:r>
      <w:r w:rsidRPr="003A0655">
        <w:t>augmentation ne devrait pas être importante et se produirait lentement.</w:t>
      </w:r>
    </w:p>
    <w:p w14:paraId="0C56C55C" w14:textId="6B93FA48" w:rsidR="00663952" w:rsidRPr="003A0655" w:rsidRDefault="00663952" w:rsidP="009A6C2C">
      <w:pPr>
        <w:pStyle w:val="Normalnumber"/>
        <w:tabs>
          <w:tab w:val="clear" w:pos="1247"/>
        </w:tabs>
      </w:pPr>
      <w:r w:rsidRPr="003A0655">
        <w:t>Interrogé pour savoir si les estimations nationales des émissions dérivées de mesures atmosphériques pouvaient réellement être attribuées à un seul pays, plutôt qu</w:t>
      </w:r>
      <w:r w:rsidR="000B3BB8" w:rsidRPr="003A0655">
        <w:t>’</w:t>
      </w:r>
      <w:r w:rsidRPr="003A0655">
        <w:t>à des masses d</w:t>
      </w:r>
      <w:r w:rsidR="000B3BB8" w:rsidRPr="003A0655">
        <w:t>’</w:t>
      </w:r>
      <w:r w:rsidRPr="003A0655">
        <w:t>air provenant d</w:t>
      </w:r>
      <w:r w:rsidR="000B3BB8" w:rsidRPr="003A0655">
        <w:t>’</w:t>
      </w:r>
      <w:r w:rsidRPr="003A0655">
        <w:t>ailleurs, M. Reimann a indiqué que les modèles utilisés pour calculer les niveaux d</w:t>
      </w:r>
      <w:r w:rsidR="000B3BB8" w:rsidRPr="003A0655">
        <w:t>’</w:t>
      </w:r>
      <w:r w:rsidRPr="003A0655">
        <w:t>émission étaient bien élaborés, fondés sur des modèles météorologiques et continuellement perfectionnés au fil du temps, ce qui permettait d</w:t>
      </w:r>
      <w:r w:rsidR="000B3BB8" w:rsidRPr="003A0655">
        <w:t>’</w:t>
      </w:r>
      <w:r w:rsidRPr="003A0655">
        <w:t>avoir un bon niveau de confiance dans ces modèles. Mme</w:t>
      </w:r>
      <w:r w:rsidR="00032F8E" w:rsidRPr="003A0655">
        <w:t> </w:t>
      </w:r>
      <w:r w:rsidRPr="003A0655">
        <w:t>Carpenter a confirmé l</w:t>
      </w:r>
      <w:r w:rsidR="000B3BB8" w:rsidRPr="003A0655">
        <w:t>’</w:t>
      </w:r>
      <w:r w:rsidRPr="003A0655">
        <w:t xml:space="preserve">interprétation </w:t>
      </w:r>
      <w:r w:rsidR="005D036F" w:rsidRPr="003A0655">
        <w:t>d</w:t>
      </w:r>
      <w:r w:rsidR="000B3BB8" w:rsidRPr="003A0655">
        <w:t>’</w:t>
      </w:r>
      <w:r w:rsidR="005D036F" w:rsidRPr="003A0655">
        <w:t>un représentant</w:t>
      </w:r>
      <w:r w:rsidR="00954F0F" w:rsidRPr="003A0655">
        <w:t xml:space="preserve"> </w:t>
      </w:r>
      <w:r w:rsidRPr="003A0655">
        <w:t>selon laquelle les émissions de HFC</w:t>
      </w:r>
      <w:r w:rsidRPr="003A0655">
        <w:noBreakHyphen/>
        <w:t>23</w:t>
      </w:r>
      <w:r w:rsidR="003B49F4" w:rsidRPr="003A0655">
        <w:t> </w:t>
      </w:r>
      <w:r w:rsidRPr="003A0655">
        <w:t>se produisaient principalement dans l</w:t>
      </w:r>
      <w:r w:rsidR="000B3BB8" w:rsidRPr="003A0655">
        <w:t>’</w:t>
      </w:r>
      <w:r w:rsidRPr="003A0655">
        <w:t>hémisphère Nord. Un autre représentant a estimé que le seuil critique d</w:t>
      </w:r>
      <w:r w:rsidR="000B3BB8" w:rsidRPr="003A0655">
        <w:t>’</w:t>
      </w:r>
      <w:r w:rsidRPr="003A0655">
        <w:t>action concernant les émissions de HFC</w:t>
      </w:r>
      <w:r w:rsidRPr="003A0655">
        <w:noBreakHyphen/>
        <w:t>23 avait été atteint.</w:t>
      </w:r>
    </w:p>
    <w:p w14:paraId="77DE202D" w14:textId="4A17BFE3" w:rsidR="00663952" w:rsidRPr="003A0655" w:rsidRDefault="00663952" w:rsidP="009A6C2C">
      <w:pPr>
        <w:pStyle w:val="Normalnumber"/>
        <w:tabs>
          <w:tab w:val="clear" w:pos="1247"/>
        </w:tabs>
      </w:pPr>
      <w:r w:rsidRPr="003A0655">
        <w:t>Répondant à une question sur l</w:t>
      </w:r>
      <w:r w:rsidR="000B3BB8" w:rsidRPr="003A0655">
        <w:t>’</w:t>
      </w:r>
      <w:r w:rsidRPr="003A0655">
        <w:t>origine des informations relatives aux émissions de HFC</w:t>
      </w:r>
      <w:r w:rsidRPr="003A0655">
        <w:noBreakHyphen/>
        <w:t>23</w:t>
      </w:r>
      <w:r w:rsidR="003B49F4" w:rsidRPr="003A0655">
        <w:t> </w:t>
      </w:r>
      <w:r w:rsidRPr="003A0655">
        <w:t>avant l</w:t>
      </w:r>
      <w:r w:rsidR="000B3BB8" w:rsidRPr="003A0655">
        <w:t>’</w:t>
      </w:r>
      <w:r w:rsidRPr="003A0655">
        <w:t xml:space="preserve">entrée en vigueur de </w:t>
      </w:r>
      <w:r w:rsidR="00291945" w:rsidRPr="003A0655">
        <w:t>l</w:t>
      </w:r>
      <w:r w:rsidR="000B3BB8" w:rsidRPr="003A0655">
        <w:t>’</w:t>
      </w:r>
      <w:r w:rsidR="00291945" w:rsidRPr="003A0655">
        <w:t xml:space="preserve">Amendement </w:t>
      </w:r>
      <w:r w:rsidRPr="003A0655">
        <w:t>de Kigali, M. Campbell a indiqué que plusieurs sources existaient. Un calcul global pouvait être obtenu à partir des données communiquées au titre de l</w:t>
      </w:r>
      <w:r w:rsidR="000B3BB8" w:rsidRPr="003A0655">
        <w:t>’</w:t>
      </w:r>
      <w:r w:rsidRPr="003A0655">
        <w:t>article 7 concernant le HCFC</w:t>
      </w:r>
      <w:r w:rsidRPr="003A0655">
        <w:noBreakHyphen/>
        <w:t>22. Une grande quantité de données provenait également des rapports établis dans le cadre du mécanisme pour un développement propre, y</w:t>
      </w:r>
      <w:r w:rsidR="00AF605F" w:rsidRPr="003A0655">
        <w:t> </w:t>
      </w:r>
      <w:r w:rsidRPr="003A0655">
        <w:t>compris des données précises sur la production de HCFC</w:t>
      </w:r>
      <w:r w:rsidRPr="003A0655">
        <w:noBreakHyphen/>
        <w:t>22 et la destruction de HFC</w:t>
      </w:r>
      <w:r w:rsidRPr="003A0655">
        <w:noBreakHyphen/>
        <w:t xml:space="preserve">23. Diverses mesures effectuées sur site avaient également été prises en compte. </w:t>
      </w:r>
    </w:p>
    <w:p w14:paraId="1F8562AC" w14:textId="003D638D" w:rsidR="00663952" w:rsidRPr="003A0655" w:rsidRDefault="00663952" w:rsidP="009A6C2C">
      <w:pPr>
        <w:pStyle w:val="Normalnumber"/>
        <w:tabs>
          <w:tab w:val="clear" w:pos="1247"/>
        </w:tabs>
      </w:pPr>
      <w:r w:rsidRPr="003A0655">
        <w:t>En réponse à une question sur la réalisation éventuelle d</w:t>
      </w:r>
      <w:r w:rsidR="000B3BB8" w:rsidRPr="003A0655">
        <w:t>’</w:t>
      </w:r>
      <w:r w:rsidRPr="003A0655">
        <w:t>un suivi en limite de site dans certaines installations, Mme Carpenter a précisé qu</w:t>
      </w:r>
      <w:r w:rsidR="000B3BB8" w:rsidRPr="003A0655">
        <w:t>’</w:t>
      </w:r>
      <w:r w:rsidRPr="003A0655">
        <w:t>une campagne de mesures en limite de site avait été effectuée par le Groupe de l</w:t>
      </w:r>
      <w:r w:rsidR="000B3BB8" w:rsidRPr="003A0655">
        <w:t>’</w:t>
      </w:r>
      <w:r w:rsidRPr="003A0655">
        <w:t>évaluation scientifique dans une usine du Royaume des Pays-Bas produisant du HCFC</w:t>
      </w:r>
      <w:r w:rsidRPr="003A0655">
        <w:noBreakHyphen/>
        <w:t xml:space="preserve">22. Les mesures </w:t>
      </w:r>
      <w:r w:rsidR="00291945" w:rsidRPr="003A0655">
        <w:t xml:space="preserve">avaient </w:t>
      </w:r>
      <w:r w:rsidRPr="003A0655">
        <w:t xml:space="preserve">été assez difficiles à réaliser et </w:t>
      </w:r>
      <w:r w:rsidR="00291945" w:rsidRPr="003A0655">
        <w:t xml:space="preserve">avaient </w:t>
      </w:r>
      <w:r w:rsidRPr="003A0655">
        <w:t>demandé beaucoup de travail et d</w:t>
      </w:r>
      <w:r w:rsidR="000B3BB8" w:rsidRPr="003A0655">
        <w:t>’</w:t>
      </w:r>
      <w:r w:rsidRPr="003A0655">
        <w:t xml:space="preserve">argent, car elles </w:t>
      </w:r>
      <w:r w:rsidR="00291945" w:rsidRPr="003A0655">
        <w:t xml:space="preserve">avaient </w:t>
      </w:r>
      <w:r w:rsidRPr="003A0655">
        <w:t>nécessité l</w:t>
      </w:r>
      <w:r w:rsidR="000B3BB8" w:rsidRPr="003A0655">
        <w:t>’</w:t>
      </w:r>
      <w:r w:rsidRPr="003A0655">
        <w:t>utilisation d</w:t>
      </w:r>
      <w:r w:rsidR="000B3BB8" w:rsidRPr="003A0655">
        <w:t>’</w:t>
      </w:r>
      <w:r w:rsidRPr="003A0655">
        <w:t xml:space="preserve">un spectromètre de masse de chromatographie en phase gazeuse, dont il </w:t>
      </w:r>
      <w:r w:rsidR="00291945" w:rsidRPr="003A0655">
        <w:t>n</w:t>
      </w:r>
      <w:r w:rsidR="000B3BB8" w:rsidRPr="003A0655">
        <w:t>’</w:t>
      </w:r>
      <w:r w:rsidR="00291945" w:rsidRPr="003A0655">
        <w:t xml:space="preserve">existait </w:t>
      </w:r>
      <w:r w:rsidRPr="003A0655">
        <w:t>qu</w:t>
      </w:r>
      <w:r w:rsidR="000B3BB8" w:rsidRPr="003A0655">
        <w:t>’</w:t>
      </w:r>
      <w:r w:rsidRPr="003A0655">
        <w:t>une vingtaine d</w:t>
      </w:r>
      <w:r w:rsidR="000B3BB8" w:rsidRPr="003A0655">
        <w:t>’</w:t>
      </w:r>
      <w:r w:rsidRPr="003A0655">
        <w:t>exemplaires dans le monde. Quinze d</w:t>
      </w:r>
      <w:r w:rsidR="000B3BB8" w:rsidRPr="003A0655">
        <w:t>’</w:t>
      </w:r>
      <w:r w:rsidRPr="003A0655">
        <w:t>entre eux étaient utilisés pour effectuer des mesures en vue de l</w:t>
      </w:r>
      <w:r w:rsidR="000B3BB8" w:rsidRPr="003A0655">
        <w:t>’</w:t>
      </w:r>
      <w:r w:rsidRPr="003A0655">
        <w:t>estimation des émissions globales. De nouveaux systèmes de mesure seraient donc nécessaires.</w:t>
      </w:r>
    </w:p>
    <w:p w14:paraId="5B2731EE" w14:textId="561A9BE8" w:rsidR="00663952" w:rsidRPr="003A0655" w:rsidRDefault="00663952" w:rsidP="009A6C2C">
      <w:pPr>
        <w:pStyle w:val="Normalnumber"/>
        <w:tabs>
          <w:tab w:val="clear" w:pos="1247"/>
        </w:tabs>
      </w:pPr>
      <w:r w:rsidRPr="003A0655">
        <w:t>Un représentant s</w:t>
      </w:r>
      <w:r w:rsidR="000B3BB8" w:rsidRPr="003A0655">
        <w:t>’</w:t>
      </w:r>
      <w:r w:rsidRPr="003A0655">
        <w:t>exprimant au nom d</w:t>
      </w:r>
      <w:r w:rsidR="000B3BB8" w:rsidRPr="003A0655">
        <w:t>’</w:t>
      </w:r>
      <w:r w:rsidRPr="003A0655">
        <w:t>un groupe de pays a demandé s</w:t>
      </w:r>
      <w:r w:rsidR="000B3BB8" w:rsidRPr="003A0655">
        <w:t>’</w:t>
      </w:r>
      <w:r w:rsidRPr="003A0655">
        <w:t>il était possible d</w:t>
      </w:r>
      <w:r w:rsidR="000B3BB8" w:rsidRPr="003A0655">
        <w:t>’</w:t>
      </w:r>
      <w:r w:rsidRPr="003A0655">
        <w:t>effectuer des prélèvements en flacons en limite de site. M. Reimann a répondu que, bien que le prélèvement d</w:t>
      </w:r>
      <w:r w:rsidR="000B3BB8" w:rsidRPr="003A0655">
        <w:t>’</w:t>
      </w:r>
      <w:r w:rsidRPr="003A0655">
        <w:t xml:space="preserve">échantillons en flacons fût une possibilité, un chromatographe en phase gazeuse resterait nécessaire </w:t>
      </w:r>
      <w:proofErr w:type="gramStart"/>
      <w:r w:rsidRPr="003A0655">
        <w:t>au final</w:t>
      </w:r>
      <w:proofErr w:type="gramEnd"/>
      <w:r w:rsidRPr="003A0655">
        <w:t>. Un grand nombre de flacons serait nécessaire car l</w:t>
      </w:r>
      <w:r w:rsidR="000B3BB8" w:rsidRPr="003A0655">
        <w:t>’</w:t>
      </w:r>
      <w:r w:rsidRPr="003A0655">
        <w:t>échantillonnage devrait être effectué au moins une fois par jour. Ce</w:t>
      </w:r>
      <w:r w:rsidR="00CC6440" w:rsidRPr="003A0655">
        <w:t> </w:t>
      </w:r>
      <w:r w:rsidRPr="003A0655">
        <w:t>serait possible, mais coûteux.</w:t>
      </w:r>
    </w:p>
    <w:p w14:paraId="09B36250" w14:textId="58E54CB3" w:rsidR="00663952" w:rsidRPr="003A0655" w:rsidRDefault="00663952" w:rsidP="009A6C2C">
      <w:pPr>
        <w:pStyle w:val="Normalnumber"/>
        <w:tabs>
          <w:tab w:val="clear" w:pos="1247"/>
        </w:tabs>
      </w:pPr>
      <w:r w:rsidRPr="003A0655">
        <w:t>Interrogé pour savoir si le Groupe de l</w:t>
      </w:r>
      <w:r w:rsidR="000B3BB8" w:rsidRPr="003A0655">
        <w:t>’</w:t>
      </w:r>
      <w:r w:rsidRPr="003A0655">
        <w:t>évaluation technique et économique s</w:t>
      </w:r>
      <w:r w:rsidR="000B3BB8" w:rsidRPr="003A0655">
        <w:t>’</w:t>
      </w:r>
      <w:r w:rsidRPr="003A0655">
        <w:t>était penché sur les émissions provenant de lignes de production fabriquant intentionnellement du HFC</w:t>
      </w:r>
      <w:r w:rsidRPr="003A0655">
        <w:noBreakHyphen/>
        <w:t>23 à des fins commerciales, M. Campbell a indiqué que, selon des informations reçues de manière informelle</w:t>
      </w:r>
      <w:r w:rsidR="009261E1" w:rsidRPr="003A0655">
        <w:t xml:space="preserve"> par le Groupe</w:t>
      </w:r>
      <w:r w:rsidRPr="003A0655">
        <w:t>, il</w:t>
      </w:r>
      <w:r w:rsidR="000C476F" w:rsidRPr="003A0655">
        <w:t> </w:t>
      </w:r>
      <w:r w:rsidRPr="003A0655">
        <w:t>existerait au moins une, voire deux usines produisant spécifiquement du HFC</w:t>
      </w:r>
      <w:r w:rsidRPr="003A0655">
        <w:noBreakHyphen/>
        <w:t>23. Les quantités produites se chiffraient à plusieurs centaines de tonnes et étaient destinées à des marchés spécifiques. Il n</w:t>
      </w:r>
      <w:r w:rsidR="000B3BB8" w:rsidRPr="003A0655">
        <w:t>’</w:t>
      </w:r>
      <w:r w:rsidRPr="003A0655">
        <w:t>avait aucune information sur l</w:t>
      </w:r>
      <w:r w:rsidR="000B3BB8" w:rsidRPr="003A0655">
        <w:t>’</w:t>
      </w:r>
      <w:r w:rsidRPr="003A0655">
        <w:t>éventuelle mise en œuvre de techniques de réduction dans ces usines. En réponse à une question de suivi sur le modèle économique sous-tendant la production de quantités aussi faibles et sur la question de savoir si ces installations étaient en réalité des usines mixtes, M. Campbell a signalé l</w:t>
      </w:r>
      <w:r w:rsidR="000B3BB8" w:rsidRPr="003A0655">
        <w:t>’</w:t>
      </w:r>
      <w:r w:rsidRPr="003A0655">
        <w:t>existence d</w:t>
      </w:r>
      <w:r w:rsidR="000B3BB8" w:rsidRPr="003A0655">
        <w:t>’</w:t>
      </w:r>
      <w:r w:rsidRPr="003A0655">
        <w:t>une petite unité semi-technique spécifique. Par</w:t>
      </w:r>
      <w:r w:rsidR="00162C86" w:rsidRPr="003A0655">
        <w:t> </w:t>
      </w:r>
      <w:r w:rsidRPr="003A0655">
        <w:t>le passé, plusieurs entreprises avaient exploité des unités semi-techniques pour produire une substance dont une industrie avait besoin, rendant ainsi l</w:t>
      </w:r>
      <w:r w:rsidR="000B3BB8" w:rsidRPr="003A0655">
        <w:t>’</w:t>
      </w:r>
      <w:r w:rsidRPr="003A0655">
        <w:t xml:space="preserve">opération économiquement viable. </w:t>
      </w:r>
    </w:p>
    <w:p w14:paraId="41CF4B4A" w14:textId="7D74923A" w:rsidR="00663952" w:rsidRPr="003A0655" w:rsidRDefault="00663952" w:rsidP="009A6C2C">
      <w:pPr>
        <w:pStyle w:val="Normalnumber"/>
        <w:tabs>
          <w:tab w:val="clear" w:pos="1247"/>
        </w:tabs>
      </w:pPr>
      <w:r w:rsidRPr="003A0655">
        <w:t>En réponse à une question sur la production de HFC</w:t>
      </w:r>
      <w:r w:rsidRPr="003A0655">
        <w:noBreakHyphen/>
        <w:t xml:space="preserve">23, M. Campbell a expliqué que plus de 90 % des Parties avaient </w:t>
      </w:r>
      <w:r w:rsidR="00291945" w:rsidRPr="003A0655">
        <w:t>communiqué des données sur</w:t>
      </w:r>
      <w:r w:rsidRPr="003A0655">
        <w:t xml:space="preserve"> la production de HCFC</w:t>
      </w:r>
      <w:r w:rsidRPr="003A0655">
        <w:noBreakHyphen/>
        <w:t xml:space="preserve">22. Une représentante a proposé </w:t>
      </w:r>
      <w:r w:rsidR="00291945" w:rsidRPr="003A0655">
        <w:t>que</w:t>
      </w:r>
      <w:r w:rsidRPr="003A0655">
        <w:t xml:space="preserve"> le format de </w:t>
      </w:r>
      <w:r w:rsidR="00291945" w:rsidRPr="003A0655">
        <w:t xml:space="preserve">communication de données </w:t>
      </w:r>
      <w:r w:rsidRPr="003A0655">
        <w:t>sur le HFC</w:t>
      </w:r>
      <w:r w:rsidRPr="003A0655">
        <w:noBreakHyphen/>
        <w:t>23</w:t>
      </w:r>
      <w:r w:rsidR="00291945" w:rsidRPr="003A0655">
        <w:t xml:space="preserve"> soit affiné</w:t>
      </w:r>
      <w:r w:rsidRPr="003A0655">
        <w:t xml:space="preserve"> afin que les </w:t>
      </w:r>
      <w:r w:rsidR="00291945" w:rsidRPr="003A0655">
        <w:t>g</w:t>
      </w:r>
      <w:r w:rsidRPr="003A0655">
        <w:t xml:space="preserve">roupes obtiennent les informations nécessaires pour </w:t>
      </w:r>
      <w:r w:rsidR="00291945" w:rsidRPr="003A0655">
        <w:t>combler</w:t>
      </w:r>
      <w:r w:rsidRPr="003A0655">
        <w:t xml:space="preserve"> </w:t>
      </w:r>
      <w:r w:rsidR="00291945" w:rsidRPr="003A0655">
        <w:t xml:space="preserve">les lacunes </w:t>
      </w:r>
      <w:r w:rsidRPr="003A0655">
        <w:t xml:space="preserve">dans </w:t>
      </w:r>
      <w:r w:rsidR="00291945" w:rsidRPr="003A0655">
        <w:t xml:space="preserve">les </w:t>
      </w:r>
      <w:r w:rsidRPr="003A0655">
        <w:t>déclaration</w:t>
      </w:r>
      <w:r w:rsidR="00291945" w:rsidRPr="003A0655">
        <w:t>s</w:t>
      </w:r>
      <w:r w:rsidRPr="003A0655">
        <w:t xml:space="preserve"> </w:t>
      </w:r>
      <w:r w:rsidR="00291945" w:rsidRPr="003A0655">
        <w:t>d</w:t>
      </w:r>
      <w:r w:rsidR="000B3BB8" w:rsidRPr="003A0655">
        <w:t>’</w:t>
      </w:r>
      <w:r w:rsidRPr="003A0655">
        <w:t>émissions. M.</w:t>
      </w:r>
      <w:r w:rsidR="00DF0B38" w:rsidRPr="003A0655">
        <w:t> </w:t>
      </w:r>
      <w:r w:rsidRPr="003A0655">
        <w:t>Campbell s</w:t>
      </w:r>
      <w:r w:rsidR="000B3BB8" w:rsidRPr="003A0655">
        <w:t>’</w:t>
      </w:r>
      <w:r w:rsidRPr="003A0655">
        <w:t>est déclaré très satisfait des informations déjà reçues, qui ont permis au Groupe de l</w:t>
      </w:r>
      <w:r w:rsidR="000B3BB8" w:rsidRPr="003A0655">
        <w:t>’</w:t>
      </w:r>
      <w:r w:rsidRPr="003A0655">
        <w:t>évaluation technique et économique d</w:t>
      </w:r>
      <w:r w:rsidR="000B3BB8" w:rsidRPr="003A0655">
        <w:t>’</w:t>
      </w:r>
      <w:r w:rsidRPr="003A0655">
        <w:t xml:space="preserve">améliorer sa compréhension de la </w:t>
      </w:r>
      <w:r w:rsidR="00703C78" w:rsidRPr="003A0655">
        <w:t>production</w:t>
      </w:r>
      <w:r w:rsidRPr="003A0655">
        <w:t>, des émissions et des utilisations du HFC</w:t>
      </w:r>
      <w:r w:rsidRPr="003A0655">
        <w:noBreakHyphen/>
        <w:t>23. Le Groupe souhaiterait toutefois disposer de plus d</w:t>
      </w:r>
      <w:r w:rsidR="000B3BB8" w:rsidRPr="003A0655">
        <w:t>’</w:t>
      </w:r>
      <w:r w:rsidRPr="003A0655">
        <w:t>informations sur la consommation de HFC</w:t>
      </w:r>
      <w:r w:rsidRPr="003A0655">
        <w:noBreakHyphen/>
        <w:t>23 dans les trois zones principales afin d</w:t>
      </w:r>
      <w:r w:rsidR="000B3BB8" w:rsidRPr="003A0655">
        <w:t>’</w:t>
      </w:r>
      <w:r w:rsidRPr="003A0655">
        <w:t xml:space="preserve">affiner ses chiffres. Il a souligné que ces informations ne permettraient pas de </w:t>
      </w:r>
      <w:r w:rsidR="00291945" w:rsidRPr="003A0655">
        <w:t>combler les lacunes</w:t>
      </w:r>
      <w:r w:rsidRPr="003A0655">
        <w:t xml:space="preserve"> dans </w:t>
      </w:r>
      <w:r w:rsidR="00291945" w:rsidRPr="003A0655">
        <w:t xml:space="preserve">les </w:t>
      </w:r>
      <w:r w:rsidRPr="003A0655">
        <w:t>déclaration</w:t>
      </w:r>
      <w:r w:rsidR="00291945" w:rsidRPr="003A0655">
        <w:t>s</w:t>
      </w:r>
      <w:r w:rsidRPr="003A0655">
        <w:t xml:space="preserve"> </w:t>
      </w:r>
      <w:r w:rsidR="00291945" w:rsidRPr="003A0655">
        <w:t>d</w:t>
      </w:r>
      <w:r w:rsidR="000B3BB8" w:rsidRPr="003A0655">
        <w:t>’</w:t>
      </w:r>
      <w:r w:rsidRPr="003A0655">
        <w:t>émissions. M. Campbell a également indiqué que le Groupe souhaitait examiner les émissions de HFC</w:t>
      </w:r>
      <w:r w:rsidRPr="003A0655">
        <w:noBreakHyphen/>
        <w:t>23 provenant des batteries au lithium ionique.</w:t>
      </w:r>
    </w:p>
    <w:p w14:paraId="48882083" w14:textId="7D6979AE" w:rsidR="00663952" w:rsidRPr="003A0655" w:rsidRDefault="00663952" w:rsidP="009A6C2C">
      <w:pPr>
        <w:pStyle w:val="Normalnumber"/>
        <w:tabs>
          <w:tab w:val="clear" w:pos="1247"/>
        </w:tabs>
      </w:pPr>
      <w:r w:rsidRPr="003A0655">
        <w:t>Fournissant des informations complémentaires sur les stations de surveillance en Afrique, M. Reimann a indiqué que la seule station effectuant des mesures liées à la pollution de l</w:t>
      </w:r>
      <w:r w:rsidR="000B3BB8" w:rsidRPr="003A0655">
        <w:t>’</w:t>
      </w:r>
      <w:r w:rsidRPr="003A0655">
        <w:t>air et aux gaz à effet de serre en Afrique avait été récemment construite au Rwanda. Il a indiqué qu</w:t>
      </w:r>
      <w:r w:rsidR="000B3BB8" w:rsidRPr="003A0655">
        <w:t>’</w:t>
      </w:r>
      <w:r w:rsidRPr="003A0655">
        <w:t xml:space="preserve">il attendait avec </w:t>
      </w:r>
      <w:r w:rsidR="009261E1" w:rsidRPr="003A0655">
        <w:t xml:space="preserve">intérêt </w:t>
      </w:r>
      <w:r w:rsidRPr="003A0655">
        <w:t>de recevoir ses données sur les </w:t>
      </w:r>
      <w:proofErr w:type="spellStart"/>
      <w:r w:rsidRPr="003A0655">
        <w:t>hydrochlorofluorocarbones</w:t>
      </w:r>
      <w:proofErr w:type="spellEnd"/>
      <w:r w:rsidRPr="003A0655">
        <w:t xml:space="preserve"> (HCFC) et les </w:t>
      </w:r>
      <w:proofErr w:type="spellStart"/>
      <w:r w:rsidRPr="003A0655">
        <w:t>hydrofluorocarbones</w:t>
      </w:r>
      <w:proofErr w:type="spellEnd"/>
      <w:r w:rsidRPr="003A0655">
        <w:t xml:space="preserve"> (HFC) afin de contribuer aux estimations régionales sur le continent. </w:t>
      </w:r>
      <w:r w:rsidR="009261E1" w:rsidRPr="003A0655">
        <w:t xml:space="preserve">Il a également noté que de nouvelles stations pourraient être créées dans le monde entier, y compris en Afrique, grâce à un autre </w:t>
      </w:r>
      <w:r w:rsidRPr="003A0655">
        <w:t>projet pilote financé par l</w:t>
      </w:r>
      <w:r w:rsidR="000B3BB8" w:rsidRPr="003A0655">
        <w:t>’</w:t>
      </w:r>
      <w:r w:rsidRPr="003A0655">
        <w:t>Union européenne. En</w:t>
      </w:r>
      <w:r w:rsidR="00BB54C9" w:rsidRPr="003A0655">
        <w:t> </w:t>
      </w:r>
      <w:r w:rsidRPr="003A0655">
        <w:t>réponse à une question sur la station au Rwanda, Mme Carpenter a indiqué qu</w:t>
      </w:r>
      <w:r w:rsidR="000B3BB8" w:rsidRPr="003A0655">
        <w:t>’</w:t>
      </w:r>
      <w:r w:rsidRPr="003A0655">
        <w:t>elle avait été installée un an auparavant et que les données étaient disponibles dans le cadre du réseau de l</w:t>
      </w:r>
      <w:r w:rsidR="000B3BB8" w:rsidRPr="003A0655">
        <w:t>’</w:t>
      </w:r>
      <w:r w:rsidRPr="003A0655">
        <w:t xml:space="preserve">Advanced Global </w:t>
      </w:r>
      <w:proofErr w:type="spellStart"/>
      <w:r w:rsidRPr="003A0655">
        <w:t>Atmospheric</w:t>
      </w:r>
      <w:proofErr w:type="spellEnd"/>
      <w:r w:rsidRPr="003A0655">
        <w:t xml:space="preserve"> Gases </w:t>
      </w:r>
      <w:proofErr w:type="spellStart"/>
      <w:r w:rsidRPr="003A0655">
        <w:t>Experiment</w:t>
      </w:r>
      <w:proofErr w:type="spellEnd"/>
      <w:r w:rsidRPr="003A0655">
        <w:t xml:space="preserve"> (AGAGE), au sein duquel plusieurs stations collaboraient. Les données seraient bientôt publiées.</w:t>
      </w:r>
    </w:p>
    <w:p w14:paraId="29541822" w14:textId="5F96CCBC" w:rsidR="00663952" w:rsidRPr="003A0655" w:rsidRDefault="00663952" w:rsidP="009A6C2C">
      <w:pPr>
        <w:pStyle w:val="Normalnumber"/>
        <w:tabs>
          <w:tab w:val="clear" w:pos="1247"/>
        </w:tabs>
      </w:pPr>
      <w:bookmarkStart w:id="14" w:name="OLE_LINK102"/>
      <w:r w:rsidRPr="003A0655">
        <w:t>Un</w:t>
      </w:r>
      <w:r w:rsidR="00375B3D" w:rsidRPr="003A0655">
        <w:t> </w:t>
      </w:r>
      <w:r w:rsidRPr="003A0655">
        <w:t>représentant s</w:t>
      </w:r>
      <w:r w:rsidR="000B3BB8" w:rsidRPr="003A0655">
        <w:t>’</w:t>
      </w:r>
      <w:r w:rsidRPr="003A0655">
        <w:t>est enquis des raisons pour lesquelles le Groupe de l</w:t>
      </w:r>
      <w:r w:rsidR="000B3BB8" w:rsidRPr="003A0655">
        <w:t>’</w:t>
      </w:r>
      <w:r w:rsidRPr="003A0655">
        <w:t>évaluation technique et économique n</w:t>
      </w:r>
      <w:r w:rsidR="000B3BB8" w:rsidRPr="003A0655">
        <w:t>’</w:t>
      </w:r>
      <w:r w:rsidRPr="003A0655">
        <w:t>avait pas analysé et comparé les méthodes utilisées par les Parties pour estimer, notifier et vérifier les émissions de HFC</w:t>
      </w:r>
      <w:r w:rsidRPr="003A0655">
        <w:noBreakHyphen/>
        <w:t>23 et n</w:t>
      </w:r>
      <w:r w:rsidR="000B3BB8" w:rsidRPr="003A0655">
        <w:t>’</w:t>
      </w:r>
      <w:r w:rsidRPr="003A0655">
        <w:t>avait pas formulé d</w:t>
      </w:r>
      <w:r w:rsidR="000B3BB8" w:rsidRPr="003A0655">
        <w:t>’</w:t>
      </w:r>
      <w:r w:rsidRPr="003A0655">
        <w:t>observations concernant ces informations. Il a demandé si le Groupe pourrait envisager de s</w:t>
      </w:r>
      <w:r w:rsidR="000B3BB8" w:rsidRPr="003A0655">
        <w:t>’</w:t>
      </w:r>
      <w:r w:rsidRPr="003A0655">
        <w:t>en charger à l</w:t>
      </w:r>
      <w:r w:rsidR="000B3BB8" w:rsidRPr="003A0655">
        <w:t>’</w:t>
      </w:r>
      <w:r w:rsidRPr="003A0655">
        <w:t xml:space="preserve">avenir. </w:t>
      </w:r>
      <w:bookmarkEnd w:id="14"/>
      <w:r w:rsidRPr="003A0655">
        <w:t>M. Campbell a expliqué qu</w:t>
      </w:r>
      <w:r w:rsidR="000B3BB8" w:rsidRPr="003A0655">
        <w:t>’</w:t>
      </w:r>
      <w:r w:rsidRPr="003A0655">
        <w:t>il ne s</w:t>
      </w:r>
      <w:r w:rsidR="000B3BB8" w:rsidRPr="003A0655">
        <w:t>’</w:t>
      </w:r>
      <w:r w:rsidRPr="003A0655">
        <w:t xml:space="preserve">était pas estimé en mesure de déterminer quelle méthode était la meilleure, car il en existait de nombreuses. Par exemple, certaines Parties </w:t>
      </w:r>
      <w:r w:rsidR="002407EB" w:rsidRPr="003A0655">
        <w:t xml:space="preserve">avaient utilisé </w:t>
      </w:r>
      <w:r w:rsidRPr="003A0655">
        <w:t>les directives de la Convention-cadre des Nations</w:t>
      </w:r>
      <w:r w:rsidR="00C876C2" w:rsidRPr="003A0655">
        <w:t> </w:t>
      </w:r>
      <w:r w:rsidRPr="003A0655">
        <w:t xml:space="preserve">Unies sur les changements climatiques relatives à la communication des données sur les gaz chlorés, ce qui a donné lieu à des </w:t>
      </w:r>
      <w:r w:rsidR="002407EB" w:rsidRPr="003A0655">
        <w:t xml:space="preserve">communications </w:t>
      </w:r>
      <w:r w:rsidRPr="003A0655">
        <w:t>très détaillées. En réponse à un commentaire d</w:t>
      </w:r>
      <w:r w:rsidR="000B3BB8" w:rsidRPr="003A0655">
        <w:t>’</w:t>
      </w:r>
      <w:r w:rsidRPr="003A0655">
        <w:t xml:space="preserve">un autre représentant sur le fait que les </w:t>
      </w:r>
      <w:r w:rsidR="002407EB" w:rsidRPr="003A0655">
        <w:t xml:space="preserve">groupes </w:t>
      </w:r>
      <w:r w:rsidRPr="003A0655">
        <w:t>n</w:t>
      </w:r>
      <w:r w:rsidR="000B3BB8" w:rsidRPr="003A0655">
        <w:t>’</w:t>
      </w:r>
      <w:r w:rsidRPr="003A0655">
        <w:t>avaient pas produit de recommandations sur la marche à</w:t>
      </w:r>
      <w:r w:rsidR="009A56D9" w:rsidRPr="003A0655">
        <w:t> </w:t>
      </w:r>
      <w:r w:rsidRPr="003A0655">
        <w:t xml:space="preserve">suivre en ce qui </w:t>
      </w:r>
      <w:r w:rsidR="002407EB" w:rsidRPr="003A0655">
        <w:t xml:space="preserve">concernait </w:t>
      </w:r>
      <w:r w:rsidRPr="003A0655">
        <w:t>les émissions de HFC</w:t>
      </w:r>
      <w:r w:rsidRPr="003A0655">
        <w:noBreakHyphen/>
        <w:t xml:space="preserve">23, Mme Carpenter a déclaré que les </w:t>
      </w:r>
      <w:r w:rsidR="002407EB" w:rsidRPr="003A0655">
        <w:t>g</w:t>
      </w:r>
      <w:r w:rsidRPr="003A0655">
        <w:t xml:space="preserve">roupes avaient agi conformément aux </w:t>
      </w:r>
      <w:r w:rsidR="002407EB" w:rsidRPr="003A0655">
        <w:t xml:space="preserve">mandats qui leur avaient été confiés dans les </w:t>
      </w:r>
      <w:r w:rsidRPr="003A0655">
        <w:t xml:space="preserve">décisions des Parties. </w:t>
      </w:r>
    </w:p>
    <w:p w14:paraId="1A2EA253" w14:textId="66D84C34" w:rsidR="00663952" w:rsidRPr="003A0655" w:rsidRDefault="00663952" w:rsidP="009A6C2C">
      <w:pPr>
        <w:pStyle w:val="Normalnumber"/>
        <w:tabs>
          <w:tab w:val="clear" w:pos="1247"/>
        </w:tabs>
      </w:pPr>
      <w:r w:rsidRPr="003A0655">
        <w:t>En réponse à une question sur l</w:t>
      </w:r>
      <w:r w:rsidR="000B3BB8" w:rsidRPr="003A0655">
        <w:t>’</w:t>
      </w:r>
      <w:r w:rsidRPr="003A0655">
        <w:t>inflammabilité du HFC</w:t>
      </w:r>
      <w:r w:rsidRPr="003A0655">
        <w:noBreakHyphen/>
        <w:t>23 et son utilisation dans la réfrigération, M. Campbell a indiqué que le HFC</w:t>
      </w:r>
      <w:r w:rsidRPr="003A0655">
        <w:noBreakHyphen/>
        <w:t xml:space="preserve">23 </w:t>
      </w:r>
      <w:r w:rsidR="006B15A0" w:rsidRPr="003A0655">
        <w:t>n</w:t>
      </w:r>
      <w:r w:rsidR="000B3BB8" w:rsidRPr="003A0655">
        <w:t>’</w:t>
      </w:r>
      <w:r w:rsidR="006B15A0" w:rsidRPr="003A0655">
        <w:t xml:space="preserve">était </w:t>
      </w:r>
      <w:r w:rsidRPr="003A0655">
        <w:t>pas un gaz inflammable, mais, en raison de ses propriétés, les performances utiles en réfrigération n</w:t>
      </w:r>
      <w:r w:rsidR="000B3BB8" w:rsidRPr="003A0655">
        <w:t>’</w:t>
      </w:r>
      <w:r w:rsidR="006B15A0" w:rsidRPr="003A0655">
        <w:t xml:space="preserve">étaient </w:t>
      </w:r>
      <w:r w:rsidRPr="003A0655">
        <w:t>atteintes qu</w:t>
      </w:r>
      <w:r w:rsidR="000B3BB8" w:rsidRPr="003A0655">
        <w:t>’</w:t>
      </w:r>
      <w:r w:rsidRPr="003A0655">
        <w:t>à des températures extrêmement basses, telles que celles nécessaires pour les premiers vaccins contre la maladie à coronavirus (COVID-19).</w:t>
      </w:r>
    </w:p>
    <w:p w14:paraId="0A16190E" w14:textId="07B8B1BC" w:rsidR="00663952" w:rsidRPr="003A0655" w:rsidRDefault="00663952" w:rsidP="009A6C2C">
      <w:pPr>
        <w:pStyle w:val="Normalnumber"/>
        <w:tabs>
          <w:tab w:val="clear" w:pos="1247"/>
        </w:tabs>
      </w:pPr>
      <w:r w:rsidRPr="003A0655">
        <w:t xml:space="preserve">Au cours du débat qui a suivi, plusieurs représentant(e)s ont remercié les </w:t>
      </w:r>
      <w:r w:rsidR="006B15A0" w:rsidRPr="003A0655">
        <w:t xml:space="preserve">groupes </w:t>
      </w:r>
      <w:r w:rsidRPr="003A0655">
        <w:t>pour leurs rapports.</w:t>
      </w:r>
    </w:p>
    <w:p w14:paraId="0CCBEBD5" w14:textId="75FECBBB" w:rsidR="00663952" w:rsidRPr="003A0655" w:rsidRDefault="00663952" w:rsidP="009A6C2C">
      <w:pPr>
        <w:pStyle w:val="Normalnumber"/>
        <w:tabs>
          <w:tab w:val="clear" w:pos="1247"/>
        </w:tabs>
      </w:pPr>
      <w:r w:rsidRPr="003A0655">
        <w:t>Plusieurs représentant(e)s se sont inquiété(e)s de l</w:t>
      </w:r>
      <w:r w:rsidR="000B3BB8" w:rsidRPr="003A0655">
        <w:t>’</w:t>
      </w:r>
      <w:r w:rsidRPr="003A0655">
        <w:t xml:space="preserve">écart persistant entre les estimations dérivées de mesures atmosphériques et les estimations </w:t>
      </w:r>
      <w:r w:rsidR="006B15A0" w:rsidRPr="003A0655">
        <w:t xml:space="preserve">indiquées dans </w:t>
      </w:r>
      <w:r w:rsidRPr="003A0655">
        <w:t xml:space="preserve">les rapports </w:t>
      </w:r>
      <w:r w:rsidR="006B15A0" w:rsidRPr="003A0655">
        <w:t xml:space="preserve">sur les </w:t>
      </w:r>
      <w:r w:rsidRPr="003A0655">
        <w:t>émissions de HFC</w:t>
      </w:r>
      <w:r w:rsidRPr="003A0655">
        <w:noBreakHyphen/>
        <w:t>23.</w:t>
      </w:r>
      <w:r w:rsidR="003B49F4" w:rsidRPr="003A0655">
        <w:t> </w:t>
      </w:r>
      <w:r w:rsidRPr="003A0655">
        <w:t>Certain(e)s représentant(e)s ont toutefois noté que l</w:t>
      </w:r>
      <w:r w:rsidR="000B3BB8" w:rsidRPr="003A0655">
        <w:t>’</w:t>
      </w:r>
      <w:r w:rsidRPr="003A0655">
        <w:t>écart s</w:t>
      </w:r>
      <w:r w:rsidR="000B3BB8" w:rsidRPr="003A0655">
        <w:t>’</w:t>
      </w:r>
      <w:r w:rsidRPr="003A0655">
        <w:t xml:space="preserve">était réduit </w:t>
      </w:r>
      <w:r w:rsidR="006B15A0" w:rsidRPr="003A0655">
        <w:t>en dépit d</w:t>
      </w:r>
      <w:r w:rsidR="000B3BB8" w:rsidRPr="003A0655">
        <w:t>’</w:t>
      </w:r>
      <w:r w:rsidRPr="003A0655">
        <w:t>une augmentation de la production de HCFC</w:t>
      </w:r>
      <w:r w:rsidRPr="003A0655">
        <w:noBreakHyphen/>
        <w:t>22.</w:t>
      </w:r>
    </w:p>
    <w:p w14:paraId="0622F145" w14:textId="749B247C" w:rsidR="00663952" w:rsidRPr="003A0655" w:rsidRDefault="00663952" w:rsidP="009A6C2C">
      <w:pPr>
        <w:pStyle w:val="Normalnumber"/>
        <w:tabs>
          <w:tab w:val="clear" w:pos="1247"/>
        </w:tabs>
      </w:pPr>
      <w:bookmarkStart w:id="15" w:name="OLE_LINK96"/>
      <w:r w:rsidRPr="003A0655">
        <w:t>Une</w:t>
      </w:r>
      <w:r w:rsidR="00375B3D" w:rsidRPr="003A0655">
        <w:t> </w:t>
      </w:r>
      <w:r w:rsidRPr="003A0655">
        <w:t>représentante a indiqué que le rapport actualisé du Groupe de l</w:t>
      </w:r>
      <w:r w:rsidR="000B3BB8" w:rsidRPr="003A0655">
        <w:t>’</w:t>
      </w:r>
      <w:r w:rsidRPr="003A0655">
        <w:t>évaluation scientifique présentait les informations de manière plus objective, évitait les interprétations causales potentiellement trompeuses et fournissait des données plus complètes et comparables sur les pays et régions concernés. Néanmoins, elle a souligné que les informations étaient encore très limitées et qu</w:t>
      </w:r>
      <w:r w:rsidR="000B3BB8" w:rsidRPr="003A0655">
        <w:t>’</w:t>
      </w:r>
      <w:r w:rsidRPr="003A0655">
        <w:t>il n</w:t>
      </w:r>
      <w:r w:rsidR="000B3BB8" w:rsidRPr="003A0655">
        <w:t>’</w:t>
      </w:r>
      <w:r w:rsidRPr="003A0655">
        <w:t xml:space="preserve">y avait pas eu de changement substantiel dans les conclusions des </w:t>
      </w:r>
      <w:r w:rsidR="006B15A0" w:rsidRPr="003A0655">
        <w:t>groupes</w:t>
      </w:r>
      <w:r w:rsidRPr="003A0655">
        <w:t xml:space="preserve">, ce qui </w:t>
      </w:r>
      <w:r w:rsidR="006B15A0" w:rsidRPr="003A0655">
        <w:t xml:space="preserve">montrait </w:t>
      </w:r>
      <w:r w:rsidRPr="003A0655">
        <w:t xml:space="preserve">que les Parties </w:t>
      </w:r>
      <w:r w:rsidR="006B15A0" w:rsidRPr="003A0655">
        <w:t>rencontraient des difficultés</w:t>
      </w:r>
      <w:r w:rsidRPr="003A0655">
        <w:t xml:space="preserve"> dans l</w:t>
      </w:r>
      <w:r w:rsidR="000B3BB8" w:rsidRPr="003A0655">
        <w:t>’</w:t>
      </w:r>
      <w:r w:rsidRPr="003A0655">
        <w:t>estimation des émissions de HFC</w:t>
      </w:r>
      <w:r w:rsidRPr="003A0655">
        <w:noBreakHyphen/>
        <w:t>23</w:t>
      </w:r>
      <w:r w:rsidR="006B15A0" w:rsidRPr="003A0655">
        <w:t xml:space="preserve"> et la communication des données y afférentes</w:t>
      </w:r>
      <w:r w:rsidRPr="003A0655">
        <w:t>. Des recherches supplémentaires étaient nécessaires pour permettre à la communauté internationale de mieux comprendre les sources, l</w:t>
      </w:r>
      <w:r w:rsidR="000B3BB8" w:rsidRPr="003A0655">
        <w:t>’</w:t>
      </w:r>
      <w:r w:rsidRPr="003A0655">
        <w:t>ampleur et les mécanismes des émissions de HFC</w:t>
      </w:r>
      <w:r w:rsidRPr="003A0655">
        <w:noBreakHyphen/>
        <w:t xml:space="preserve">23. </w:t>
      </w:r>
    </w:p>
    <w:p w14:paraId="058EA1F6" w14:textId="6B51399E" w:rsidR="00663952" w:rsidRPr="003A0655" w:rsidRDefault="00663952" w:rsidP="008665F0">
      <w:pPr>
        <w:pStyle w:val="Normalnumber"/>
        <w:keepNext/>
        <w:keepLines/>
        <w:tabs>
          <w:tab w:val="clear" w:pos="1247"/>
        </w:tabs>
      </w:pPr>
      <w:r w:rsidRPr="003A0655">
        <w:t>Un</w:t>
      </w:r>
      <w:r w:rsidR="00777666" w:rsidRPr="003A0655">
        <w:t> </w:t>
      </w:r>
      <w:r w:rsidRPr="003A0655">
        <w:t>représentant a fait observer que, tant que l</w:t>
      </w:r>
      <w:r w:rsidR="000B3BB8" w:rsidRPr="003A0655">
        <w:t>’</w:t>
      </w:r>
      <w:r w:rsidRPr="003A0655">
        <w:t>écart demeurerait aussi important, la question devait rester à l</w:t>
      </w:r>
      <w:r w:rsidR="000B3BB8" w:rsidRPr="003A0655">
        <w:t>’</w:t>
      </w:r>
      <w:r w:rsidRPr="003A0655">
        <w:t xml:space="preserve">ordre du jour des </w:t>
      </w:r>
      <w:r w:rsidR="00FF7802" w:rsidRPr="003A0655">
        <w:t>R</w:t>
      </w:r>
      <w:r w:rsidRPr="003A0655">
        <w:t xml:space="preserve">éunions des Parties. </w:t>
      </w:r>
      <w:bookmarkStart w:id="16" w:name="OLE_LINK103"/>
      <w:r w:rsidRPr="003A0655">
        <w:t xml:space="preserve">Une représentante a fait valoir que les Parties devraient être disposées à réviser </w:t>
      </w:r>
      <w:bookmarkEnd w:id="16"/>
      <w:r w:rsidRPr="003A0655">
        <w:t xml:space="preserve">les hypothèses passées, à </w:t>
      </w:r>
      <w:r w:rsidR="006B15A0" w:rsidRPr="003A0655">
        <w:t xml:space="preserve">envisager </w:t>
      </w:r>
      <w:r w:rsidRPr="003A0655">
        <w:t xml:space="preserve">de nouvelles approches de recherche et à reconnaître que la découverte scientifique </w:t>
      </w:r>
      <w:r w:rsidR="006B15A0" w:rsidRPr="003A0655">
        <w:t xml:space="preserve">exigeait </w:t>
      </w:r>
      <w:r w:rsidRPr="003A0655">
        <w:t>du temps, de la patience, du calme et de la rigueur.</w:t>
      </w:r>
    </w:p>
    <w:p w14:paraId="4BE80F31" w14:textId="22F745C4" w:rsidR="00663952" w:rsidRPr="003A0655" w:rsidRDefault="00663952" w:rsidP="009A6C2C">
      <w:pPr>
        <w:pStyle w:val="Normalnumber"/>
        <w:tabs>
          <w:tab w:val="clear" w:pos="1247"/>
        </w:tabs>
      </w:pPr>
      <w:r w:rsidRPr="003A0655">
        <w:t>Un</w:t>
      </w:r>
      <w:r w:rsidR="00375B3D" w:rsidRPr="003A0655">
        <w:t> </w:t>
      </w:r>
      <w:r w:rsidRPr="003A0655">
        <w:t xml:space="preserve">représentant a cherché à mieux comprendre les méthodes </w:t>
      </w:r>
      <w:r w:rsidR="00EB698C" w:rsidRPr="003A0655">
        <w:t>employ</w:t>
      </w:r>
      <w:r w:rsidRPr="003A0655">
        <w:t>ées par les Parties pour estimer et notifier leurs émissions de HFC</w:t>
      </w:r>
      <w:r w:rsidRPr="003A0655">
        <w:noBreakHyphen/>
        <w:t>23. Il a demandé si le Groupe de l</w:t>
      </w:r>
      <w:r w:rsidR="000B3BB8" w:rsidRPr="003A0655">
        <w:t>’</w:t>
      </w:r>
      <w:r w:rsidRPr="003A0655">
        <w:t>évaluation technique et économique pouvait expliquer en termes simples comment les approches différaient d</w:t>
      </w:r>
      <w:r w:rsidR="000B3BB8" w:rsidRPr="003A0655">
        <w:t>’</w:t>
      </w:r>
      <w:r w:rsidRPr="003A0655">
        <w:t>une Partie à l</w:t>
      </w:r>
      <w:r w:rsidR="000B3BB8" w:rsidRPr="003A0655">
        <w:t>’</w:t>
      </w:r>
      <w:r w:rsidRPr="003A0655">
        <w:t>autre, étant donné que l</w:t>
      </w:r>
      <w:r w:rsidR="000B3BB8" w:rsidRPr="003A0655">
        <w:t>’</w:t>
      </w:r>
      <w:r w:rsidRPr="003A0655">
        <w:t xml:space="preserve">écart pouvait, en partie, être imputable à la manière dont les émissions étaient </w:t>
      </w:r>
      <w:r w:rsidR="00EB698C" w:rsidRPr="003A0655">
        <w:t>estimées</w:t>
      </w:r>
      <w:r w:rsidRPr="003A0655">
        <w:t>.</w:t>
      </w:r>
    </w:p>
    <w:bookmarkEnd w:id="15"/>
    <w:p w14:paraId="209BA6D1" w14:textId="7D1798E3" w:rsidR="00663952" w:rsidRPr="003A0655" w:rsidRDefault="00663952" w:rsidP="009A6C2C">
      <w:pPr>
        <w:pStyle w:val="Normalnumber"/>
        <w:tabs>
          <w:tab w:val="clear" w:pos="1247"/>
        </w:tabs>
      </w:pPr>
      <w:r w:rsidRPr="003A0655">
        <w:t>Certain(e)s représentant(e)s ont exhorté les Parties qui ne l</w:t>
      </w:r>
      <w:r w:rsidR="000B3BB8" w:rsidRPr="003A0655">
        <w:t>’</w:t>
      </w:r>
      <w:r w:rsidRPr="003A0655">
        <w:t>avaient pas encore fait à fournir des informations sur la consommation de HFC</w:t>
      </w:r>
      <w:r w:rsidRPr="003A0655">
        <w:noBreakHyphen/>
        <w:t>23 à l</w:t>
      </w:r>
      <w:r w:rsidR="000B3BB8" w:rsidRPr="003A0655">
        <w:t>’</w:t>
      </w:r>
      <w:r w:rsidRPr="003A0655">
        <w:t>intention du Groupe de l</w:t>
      </w:r>
      <w:r w:rsidR="000B3BB8" w:rsidRPr="003A0655">
        <w:t>’</w:t>
      </w:r>
      <w:r w:rsidRPr="003A0655">
        <w:t>évaluation technique et économique. Une représentante a demandé des éclaircissements sur la multiplication par 10 du tonnage notifié par une Partie depuis l</w:t>
      </w:r>
      <w:r w:rsidR="000B3BB8" w:rsidRPr="003A0655">
        <w:t>’</w:t>
      </w:r>
      <w:r w:rsidRPr="003A0655">
        <w:t>année précédente. D</w:t>
      </w:r>
      <w:r w:rsidR="000B3BB8" w:rsidRPr="003A0655">
        <w:t>’</w:t>
      </w:r>
      <w:r w:rsidRPr="003A0655">
        <w:t>autres ont estimé que la réduction de cet</w:t>
      </w:r>
      <w:r w:rsidR="00226F69" w:rsidRPr="003A0655">
        <w:t> </w:t>
      </w:r>
      <w:r w:rsidRPr="003A0655">
        <w:t>écart nécessitait un renforcement de la coopération entre le</w:t>
      </w:r>
      <w:r w:rsidR="00FF7802" w:rsidRPr="003A0655">
        <w:t>s mondes du</w:t>
      </w:r>
      <w:r w:rsidRPr="003A0655">
        <w:t xml:space="preserve"> Nord et </w:t>
      </w:r>
      <w:r w:rsidR="00FF7802" w:rsidRPr="003A0655">
        <w:t xml:space="preserve">du </w:t>
      </w:r>
      <w:r w:rsidRPr="003A0655">
        <w:t>Sud, qu</w:t>
      </w:r>
      <w:r w:rsidR="000B3BB8" w:rsidRPr="003A0655">
        <w:t>’</w:t>
      </w:r>
      <w:r w:rsidRPr="003A0655">
        <w:t>il était important de fournir un soutien technique aux pays sans étendre le champ d</w:t>
      </w:r>
      <w:r w:rsidR="000B3BB8" w:rsidRPr="003A0655">
        <w:t>’</w:t>
      </w:r>
      <w:r w:rsidRPr="003A0655">
        <w:t>application de la décision XXXVI/3 ; et</w:t>
      </w:r>
      <w:r w:rsidR="00226F69" w:rsidRPr="003A0655">
        <w:t> </w:t>
      </w:r>
      <w:r w:rsidRPr="003A0655">
        <w:t>qu</w:t>
      </w:r>
      <w:r w:rsidR="000B3BB8" w:rsidRPr="003A0655">
        <w:t>’</w:t>
      </w:r>
      <w:r w:rsidRPr="003A0655">
        <w:t xml:space="preserve">il était nécessaire de prendre en considération les conditions et les capacités spécifiques des pays en développement. Un représentant a jugé nécessaire de mieux définir la notion de production. Il a ajouté que la mise à jour des données sur les </w:t>
      </w:r>
      <w:r w:rsidR="00A3539F" w:rsidRPr="003A0655">
        <w:t>produits intermédiaires</w:t>
      </w:r>
      <w:r w:rsidRPr="003A0655">
        <w:t xml:space="preserve"> et sur la destruction des sous</w:t>
      </w:r>
      <w:r w:rsidR="00724E0C" w:rsidRPr="003A0655">
        <w:noBreakHyphen/>
      </w:r>
      <w:r w:rsidRPr="003A0655">
        <w:t>produits dépassait le champ d</w:t>
      </w:r>
      <w:r w:rsidR="000B3BB8" w:rsidRPr="003A0655">
        <w:t>’</w:t>
      </w:r>
      <w:r w:rsidRPr="003A0655">
        <w:t xml:space="preserve">application de la décision XXXVI/3. </w:t>
      </w:r>
    </w:p>
    <w:p w14:paraId="0E5B5581" w14:textId="79201776" w:rsidR="00663952" w:rsidRPr="003A0655" w:rsidRDefault="00663952" w:rsidP="009A6C2C">
      <w:pPr>
        <w:pStyle w:val="Normalnumber"/>
        <w:tabs>
          <w:tab w:val="clear" w:pos="1247"/>
        </w:tabs>
      </w:pPr>
      <w:r w:rsidRPr="003A0655">
        <w:t>Une</w:t>
      </w:r>
      <w:r w:rsidR="00375B3D" w:rsidRPr="003A0655">
        <w:t> </w:t>
      </w:r>
      <w:r w:rsidRPr="003A0655">
        <w:t>représentante a expliqué les efforts considérables déployés par les pouvoirs publics, le secteur privé et les universités de son pays pour identifier les causes des émissions de HFC et trouver des solutions, notamment la vérification indépendante sur place de toutes les entreprises connues qui produis</w:t>
      </w:r>
      <w:r w:rsidR="00A3539F" w:rsidRPr="003A0655">
        <w:t>ai</w:t>
      </w:r>
      <w:r w:rsidRPr="003A0655">
        <w:t>ent du HFC</w:t>
      </w:r>
      <w:r w:rsidRPr="003A0655">
        <w:noBreakHyphen/>
        <w:t>23 ; des consultations techniques avec des expert(e)s du secteur ; l</w:t>
      </w:r>
      <w:r w:rsidR="000B3BB8" w:rsidRPr="003A0655">
        <w:t>’</w:t>
      </w:r>
      <w:r w:rsidRPr="003A0655">
        <w:t>élaboration de directi</w:t>
      </w:r>
      <w:r w:rsidR="00A3539F" w:rsidRPr="003A0655">
        <w:t>v</w:t>
      </w:r>
      <w:r w:rsidRPr="003A0655">
        <w:t>es techniques pour la détermination et la communication des données relatives aux émissions de HFC</w:t>
      </w:r>
      <w:r w:rsidRPr="003A0655">
        <w:noBreakHyphen/>
        <w:t>23 en tant que sous-produit dans les installations de production de HCFC</w:t>
      </w:r>
      <w:r w:rsidRPr="003A0655">
        <w:noBreakHyphen/>
        <w:t>22 ; et la collaboration entre les institutions de recherche, y</w:t>
      </w:r>
      <w:r w:rsidR="00AF605F" w:rsidRPr="003A0655">
        <w:t> </w:t>
      </w:r>
      <w:r w:rsidRPr="003A0655">
        <w:t>compris pour le développement technologique. En</w:t>
      </w:r>
      <w:r w:rsidR="00D03C44" w:rsidRPr="003A0655">
        <w:t> </w:t>
      </w:r>
      <w:r w:rsidRPr="003A0655">
        <w:t>outre, un fabricant avait bâti et mis en service la première installation industrielle au monde qui convertissait le HFC</w:t>
      </w:r>
      <w:r w:rsidRPr="003A0655">
        <w:noBreakHyphen/>
        <w:t>23 en HCFC</w:t>
      </w:r>
      <w:r w:rsidRPr="003A0655">
        <w:noBreakHyphen/>
        <w:t>22. Une autre représentante a salué les travaux menés par le pays.</w:t>
      </w:r>
    </w:p>
    <w:p w14:paraId="0E6ADF4C" w14:textId="57ECDC34" w:rsidR="00A60E51" w:rsidRPr="003A0655" w:rsidRDefault="00A60E51" w:rsidP="00A60E51">
      <w:pPr>
        <w:pStyle w:val="Normalnumber"/>
        <w:tabs>
          <w:tab w:val="clear" w:pos="2495"/>
          <w:tab w:val="clear" w:pos="3119"/>
          <w:tab w:val="clear" w:pos="3742"/>
          <w:tab w:val="clear" w:pos="4366"/>
        </w:tabs>
      </w:pPr>
      <w:r w:rsidRPr="003A0655">
        <w:t xml:space="preserve">Par la suite, le représentant des États-Unis a fourni des informations supplémentaires concernant les données de son pays. Il a réaffirmé que la National </w:t>
      </w:r>
      <w:proofErr w:type="spellStart"/>
      <w:r w:rsidRPr="003A0655">
        <w:t>Oceanic</w:t>
      </w:r>
      <w:proofErr w:type="spellEnd"/>
      <w:r w:rsidRPr="003A0655">
        <w:t xml:space="preserve"> and </w:t>
      </w:r>
      <w:proofErr w:type="spellStart"/>
      <w:r w:rsidRPr="003A0655">
        <w:t>Atmospheric</w:t>
      </w:r>
      <w:proofErr w:type="spellEnd"/>
      <w:r w:rsidRPr="003A0655">
        <w:t xml:space="preserve"> Administration s</w:t>
      </w:r>
      <w:r w:rsidR="000B3BB8" w:rsidRPr="003A0655">
        <w:t>’</w:t>
      </w:r>
      <w:r w:rsidRPr="003A0655">
        <w:t>apprêtait à publier les données issues d</w:t>
      </w:r>
      <w:r w:rsidR="000B3BB8" w:rsidRPr="003A0655">
        <w:t>’</w:t>
      </w:r>
      <w:r w:rsidRPr="003A0655">
        <w:t>une étude sur les émissions de HFC-23 pour la période 2018-2021. Les données montr</w:t>
      </w:r>
      <w:r w:rsidR="00405FD2" w:rsidRPr="003A0655">
        <w:t>aient</w:t>
      </w:r>
      <w:r w:rsidRPr="003A0655">
        <w:t xml:space="preserve"> environ 0,4</w:t>
      </w:r>
      <w:r w:rsidR="00153B69" w:rsidRPr="003A0655">
        <w:t> </w:t>
      </w:r>
      <w:r w:rsidRPr="003A0655">
        <w:t>kilotonne par an provenant de l</w:t>
      </w:r>
      <w:r w:rsidR="000B3BB8" w:rsidRPr="003A0655">
        <w:t>’</w:t>
      </w:r>
      <w:r w:rsidRPr="003A0655">
        <w:t>atmosphère, contre 0,31</w:t>
      </w:r>
      <w:r w:rsidR="00446A7B" w:rsidRPr="003A0655">
        <w:t> </w:t>
      </w:r>
      <w:r w:rsidRPr="003A0655">
        <w:t>kilotonne par an provenant d</w:t>
      </w:r>
      <w:r w:rsidR="000B3BB8" w:rsidRPr="003A0655">
        <w:t>’</w:t>
      </w:r>
      <w:r w:rsidRPr="003A0655">
        <w:t>installations de fabrication spécifiques, selon les données communiquées, ce qui se situait dans la marge d</w:t>
      </w:r>
      <w:r w:rsidR="000B3BB8" w:rsidRPr="003A0655">
        <w:t>’</w:t>
      </w:r>
      <w:r w:rsidRPr="003A0655">
        <w:t xml:space="preserve">erreur des estimations atmosphériques. En ce qui concernait la référence faite par une délégation </w:t>
      </w:r>
      <w:r w:rsidR="00226F1F" w:rsidRPr="003A0655">
        <w:t xml:space="preserve">à la quantité de </w:t>
      </w:r>
      <w:r w:rsidRPr="003A0655">
        <w:t>0,04</w:t>
      </w:r>
      <w:r w:rsidR="00BF24C8" w:rsidRPr="003A0655">
        <w:t> </w:t>
      </w:r>
      <w:r w:rsidRPr="003A0655">
        <w:t>kilotonne déclarée par les États</w:t>
      </w:r>
      <w:r w:rsidR="0022012F" w:rsidRPr="003A0655">
        <w:noBreakHyphen/>
      </w:r>
      <w:r w:rsidRPr="003A0655">
        <w:t>Unis pour 2023, qui provenait uniquement de sources industrielles, le représentant des États</w:t>
      </w:r>
      <w:r w:rsidR="0022012F" w:rsidRPr="003A0655">
        <w:noBreakHyphen/>
      </w:r>
      <w:r w:rsidRPr="003A0655">
        <w:t xml:space="preserve">Unis a expliqué que cette baisse substantielle était due à des mesures nationales prises après les années couvertes par les données présentées par la National </w:t>
      </w:r>
      <w:proofErr w:type="spellStart"/>
      <w:r w:rsidRPr="003A0655">
        <w:t>Oceanic</w:t>
      </w:r>
      <w:proofErr w:type="spellEnd"/>
      <w:r w:rsidRPr="003A0655">
        <w:t xml:space="preserve"> and </w:t>
      </w:r>
      <w:proofErr w:type="spellStart"/>
      <w:r w:rsidRPr="003A0655">
        <w:t>Atmospheric</w:t>
      </w:r>
      <w:proofErr w:type="spellEnd"/>
      <w:r w:rsidRPr="003A0655">
        <w:t xml:space="preserve"> Administration. Les États-Unis avaient</w:t>
      </w:r>
      <w:r w:rsidR="00405FD2" w:rsidRPr="003A0655">
        <w:t xml:space="preserve"> </w:t>
      </w:r>
      <w:r w:rsidRPr="003A0655">
        <w:t>ratifié l</w:t>
      </w:r>
      <w:r w:rsidR="000B3BB8" w:rsidRPr="003A0655">
        <w:t>’</w:t>
      </w:r>
      <w:r w:rsidRPr="003A0655">
        <w:t>Amendement de Kigali en octobre 2022 et étaient en train de le mettre en œuvre.</w:t>
      </w:r>
    </w:p>
    <w:p w14:paraId="35050E79" w14:textId="172C6B4E" w:rsidR="00A60E51" w:rsidRPr="003A0655" w:rsidRDefault="00A60E51" w:rsidP="00A60E51">
      <w:pPr>
        <w:pStyle w:val="Normalnumber"/>
        <w:tabs>
          <w:tab w:val="clear" w:pos="2495"/>
          <w:tab w:val="clear" w:pos="3119"/>
          <w:tab w:val="clear" w:pos="3742"/>
          <w:tab w:val="clear" w:pos="4366"/>
        </w:tabs>
      </w:pPr>
      <w:r w:rsidRPr="003A0655">
        <w:t>Un représentant a rappelé que les travaux sur le HFC-23 se poursuivaient dans le cadre du Fonds multilatéral. Le Comité exécutif avait approuvé des projets liés à une chaîne de production de HCFC-22 en Argentine et à deux chaînes au Mexique, qui étaient mis en œuvre avec succès et réduisaient les émissions de HFC-23 provenant des trois chaînes. Il a remercié les deux pays et les organismes d</w:t>
      </w:r>
      <w:r w:rsidR="000B3BB8" w:rsidRPr="003A0655">
        <w:t>’</w:t>
      </w:r>
      <w:r w:rsidRPr="003A0655">
        <w:t>exécution.</w:t>
      </w:r>
    </w:p>
    <w:p w14:paraId="1E0903B6" w14:textId="3F46ABD0" w:rsidR="00A60E51" w:rsidRPr="003A0655" w:rsidRDefault="00A60E51" w:rsidP="00A60E51">
      <w:pPr>
        <w:pStyle w:val="Normalnumber"/>
        <w:tabs>
          <w:tab w:val="clear" w:pos="2495"/>
          <w:tab w:val="clear" w:pos="3119"/>
          <w:tab w:val="clear" w:pos="3742"/>
          <w:tab w:val="clear" w:pos="4366"/>
        </w:tabs>
      </w:pPr>
      <w:r w:rsidRPr="003A0655">
        <w:t>Un représentant s</w:t>
      </w:r>
      <w:r w:rsidR="000B3BB8" w:rsidRPr="003A0655">
        <w:t>’</w:t>
      </w:r>
      <w:r w:rsidRPr="003A0655">
        <w:t>est joint aux intervenant(e)s précédent(e)s pour souligner qu</w:t>
      </w:r>
      <w:r w:rsidR="000B3BB8" w:rsidRPr="003A0655">
        <w:t>’</w:t>
      </w:r>
      <w:r w:rsidRPr="003A0655">
        <w:t>il importait de s</w:t>
      </w:r>
      <w:r w:rsidR="000B3BB8" w:rsidRPr="003A0655">
        <w:t>’</w:t>
      </w:r>
      <w:r w:rsidRPr="003A0655">
        <w:t>attaquer aux niveaux élevés d</w:t>
      </w:r>
      <w:r w:rsidR="000B3BB8" w:rsidRPr="003A0655">
        <w:t>’</w:t>
      </w:r>
      <w:r w:rsidRPr="003A0655">
        <w:t>émissions et à l</w:t>
      </w:r>
      <w:r w:rsidR="000B3BB8" w:rsidRPr="003A0655">
        <w:t>’</w:t>
      </w:r>
      <w:r w:rsidRPr="003A0655">
        <w:t>écart entre les émissions déclarées et celles dérivées de la modélisation inverse. Il importait en effet, a-t-il déclaré, d</w:t>
      </w:r>
      <w:r w:rsidR="000B3BB8" w:rsidRPr="003A0655">
        <w:t>’</w:t>
      </w:r>
      <w:r w:rsidRPr="003A0655">
        <w:t>examiner les méthodes utilisées par les Parties pour estimer et déclarer les émissions, ainsi que d</w:t>
      </w:r>
      <w:r w:rsidR="000B3BB8" w:rsidRPr="003A0655">
        <w:t>’</w:t>
      </w:r>
      <w:r w:rsidRPr="003A0655">
        <w:t>autres détails techniques, mais les Parties devaient prendre des mesures plus décisives pour éviter de compromettre les bons résultats obtenu</w:t>
      </w:r>
      <w:r w:rsidR="00405FD2" w:rsidRPr="003A0655">
        <w:t>s</w:t>
      </w:r>
      <w:r w:rsidRPr="003A0655">
        <w:t xml:space="preserve"> par le Protocole de Montréal par le passé, comme elles l</w:t>
      </w:r>
      <w:r w:rsidR="000B3BB8" w:rsidRPr="003A0655">
        <w:t>’</w:t>
      </w:r>
      <w:r w:rsidRPr="003A0655">
        <w:t>avaient fait en réponse aux émissions inattendues de chlorofluorocarbone-11 (CFC-11).</w:t>
      </w:r>
    </w:p>
    <w:p w14:paraId="5AE02918" w14:textId="31ABDF90" w:rsidR="00A60E51" w:rsidRPr="003A0655" w:rsidRDefault="00A60E51" w:rsidP="00A60E51">
      <w:pPr>
        <w:pStyle w:val="Normalnumber"/>
        <w:tabs>
          <w:tab w:val="clear" w:pos="2495"/>
          <w:tab w:val="clear" w:pos="3119"/>
          <w:tab w:val="clear" w:pos="3742"/>
          <w:tab w:val="clear" w:pos="4366"/>
        </w:tabs>
      </w:pPr>
      <w:r w:rsidRPr="003A0655">
        <w:t>Le représentant du Canada a présenté une proposition de projet de décision soumise par le Canada, l</w:t>
      </w:r>
      <w:r w:rsidR="000B3BB8" w:rsidRPr="003A0655">
        <w:t>’</w:t>
      </w:r>
      <w:r w:rsidRPr="003A0655">
        <w:t>Union européenne, la Norvège et la Suisse, figurant dans un document de séance. Il a expliqué qu</w:t>
      </w:r>
      <w:r w:rsidR="000B3BB8" w:rsidRPr="003A0655">
        <w:t>’</w:t>
      </w:r>
      <w:r w:rsidRPr="003A0655">
        <w:t>il y était demandé au Groupe de l</w:t>
      </w:r>
      <w:r w:rsidR="000B3BB8" w:rsidRPr="003A0655">
        <w:t>’</w:t>
      </w:r>
      <w:r w:rsidRPr="003A0655">
        <w:t>évaluation scientifique et au Groupe de l</w:t>
      </w:r>
      <w:r w:rsidR="000B3BB8" w:rsidRPr="003A0655">
        <w:t>’</w:t>
      </w:r>
      <w:r w:rsidRPr="003A0655">
        <w:t>évaluation technique et économique de mettre à jour leurs rapports relatifs à la décision XXXVI/3 afin de tenir compte de toute information supplémentaire ou nouvelle. Il s</w:t>
      </w:r>
      <w:r w:rsidR="000B3BB8" w:rsidRPr="003A0655">
        <w:t>’</w:t>
      </w:r>
      <w:r w:rsidRPr="003A0655">
        <w:t>attendait à ce que les mises à jour ne soient pas substantielles. Le Groupe de l</w:t>
      </w:r>
      <w:r w:rsidR="000B3BB8" w:rsidRPr="003A0655">
        <w:t>’</w:t>
      </w:r>
      <w:r w:rsidRPr="003A0655">
        <w:t xml:space="preserve">évaluation </w:t>
      </w:r>
      <w:r w:rsidR="004E0DB3" w:rsidRPr="003A0655">
        <w:t xml:space="preserve">technique et économique </w:t>
      </w:r>
      <w:r w:rsidRPr="003A0655">
        <w:t>était également invité à fournir une description et une comparaison des méthodes d</w:t>
      </w:r>
      <w:r w:rsidR="000B3BB8" w:rsidRPr="003A0655">
        <w:t>’</w:t>
      </w:r>
      <w:r w:rsidRPr="003A0655">
        <w:t>estimation du HFC-23 qui avaient été communiquées par les Parties. Il a reconnu que ces informations supplémentaires ne permettraient pas aux Parties de résoudre le problème des incohérences, mais les auteur(e)s du projet estimaient important que les Parties comprennent comment les émissions étaient estimées, déclarées et vérifiées. L</w:t>
      </w:r>
      <w:r w:rsidR="000B3BB8" w:rsidRPr="003A0655">
        <w:t>’</w:t>
      </w:r>
      <w:r w:rsidRPr="003A0655">
        <w:t>idée derrière cette comparaison n</w:t>
      </w:r>
      <w:r w:rsidR="000B3BB8" w:rsidRPr="003A0655">
        <w:t>’</w:t>
      </w:r>
      <w:r w:rsidRPr="003A0655">
        <w:t>était pas que le Groupe analyse quelles méthodes étaient les meilleures, mais simplement qu</w:t>
      </w:r>
      <w:r w:rsidR="000B3BB8" w:rsidRPr="003A0655">
        <w:t>’</w:t>
      </w:r>
      <w:r w:rsidRPr="003A0655">
        <w:t>il mette en évidence les différences entre elles. Le Groupe était également invité à décrire les éléments clés des méthodes utilisées dans le cadre du mécanisme pour un développement propre prévu à l</w:t>
      </w:r>
      <w:r w:rsidR="000B3BB8" w:rsidRPr="003A0655">
        <w:t>’</w:t>
      </w:r>
      <w:r w:rsidRPr="003A0655">
        <w:t>article 12 du Protocole de Kyoto</w:t>
      </w:r>
      <w:r w:rsidR="00772ABF" w:rsidRPr="003A0655">
        <w:t> </w:t>
      </w:r>
      <w:r w:rsidRPr="003A0655">
        <w:t>; à formuler des recommandations de bonnes pratiques pour l</w:t>
      </w:r>
      <w:r w:rsidR="000B3BB8" w:rsidRPr="003A0655">
        <w:t>’</w:t>
      </w:r>
      <w:r w:rsidRPr="003A0655">
        <w:t>estimation des émissions de HFC-23 provenant de la production de HCFC-22</w:t>
      </w:r>
      <w:r w:rsidR="00772ABF" w:rsidRPr="003A0655">
        <w:t> </w:t>
      </w:r>
      <w:r w:rsidRPr="003A0655">
        <w:t>; à indiquer les niveaux de HCFC-22, lorsqu</w:t>
      </w:r>
      <w:r w:rsidR="000B3BB8" w:rsidRPr="003A0655">
        <w:t>’</w:t>
      </w:r>
      <w:r w:rsidRPr="003A0655">
        <w:t>il y</w:t>
      </w:r>
      <w:r w:rsidR="0022012F" w:rsidRPr="003A0655">
        <w:t> </w:t>
      </w:r>
      <w:r w:rsidRPr="003A0655">
        <w:t>avait trois installations de production ou plus, et les niveaux de HFC-23 produits et générés par pays ou région, ainsi que les charges atmosphériques de HFC-23 mesurées au-dessus des mêmes pays ou régions, tels qu</w:t>
      </w:r>
      <w:r w:rsidR="000B3BB8" w:rsidRPr="003A0655">
        <w:t>’</w:t>
      </w:r>
      <w:r w:rsidRPr="003A0655">
        <w:t>indiqués par le Groupe de l</w:t>
      </w:r>
      <w:r w:rsidR="000B3BB8" w:rsidRPr="003A0655">
        <w:t>’</w:t>
      </w:r>
      <w:r w:rsidRPr="003A0655">
        <w:t>évaluation scientifique, lorsque ces données étaient disponibles et à indiquer dans la mesure du possible la contribution relative de chaque pays ou région aux émissions totales de HFC-23 mesurées dans l</w:t>
      </w:r>
      <w:r w:rsidR="000B3BB8" w:rsidRPr="003A0655">
        <w:t>’</w:t>
      </w:r>
      <w:r w:rsidRPr="003A0655">
        <w:t>atmosphère. Dans son rapport, le Groupe avait fourni une comparaison entre les émissions mesurées et les émissions déclarées pour différents pays et régions, mais les niveaux réels de production de HCFC-22 et de production secondaire de HFC-23 dans ces régions n</w:t>
      </w:r>
      <w:r w:rsidR="000B3BB8" w:rsidRPr="003A0655">
        <w:t>’</w:t>
      </w:r>
      <w:r w:rsidRPr="003A0655">
        <w:t>étaient pas clairement indiqués. Dans le projet de décision, les Parties disposant d</w:t>
      </w:r>
      <w:r w:rsidR="000B3BB8" w:rsidRPr="003A0655">
        <w:t>’</w:t>
      </w:r>
      <w:r w:rsidRPr="003A0655">
        <w:t>installations de production de HCFC-22 qui n</w:t>
      </w:r>
      <w:r w:rsidR="000B3BB8" w:rsidRPr="003A0655">
        <w:t>’</w:t>
      </w:r>
      <w:r w:rsidRPr="003A0655">
        <w:t>avaient pas soumis d</w:t>
      </w:r>
      <w:r w:rsidR="000B3BB8" w:rsidRPr="003A0655">
        <w:t>’</w:t>
      </w:r>
      <w:r w:rsidRPr="003A0655">
        <w:t>informations à ce sujet étaient invitées à le faire avant le 31</w:t>
      </w:r>
      <w:r w:rsidR="002A39D3" w:rsidRPr="003A0655">
        <w:t> </w:t>
      </w:r>
      <w:r w:rsidRPr="003A0655">
        <w:t>mars 2026. Les Parties qui produisaient ou généraient du HFC-23 étaient exhortées à communiquer des données sur les quantités de HFC-23 générées, capturées, utilisées, détruites et stockées</w:t>
      </w:r>
      <w:r w:rsidR="002A39D3" w:rsidRPr="003A0655">
        <w:t> </w:t>
      </w:r>
      <w:r w:rsidRPr="003A0655">
        <w:t>; à veiller à ce que le HFC-23 soit effectivement détruit et à disposer de programmes appropriés de gestion et de réparation des fuites et à s</w:t>
      </w:r>
      <w:r w:rsidR="000B3BB8" w:rsidRPr="003A0655">
        <w:t>’</w:t>
      </w:r>
      <w:r w:rsidRPr="003A0655">
        <w:t>assurer qu</w:t>
      </w:r>
      <w:r w:rsidR="000B3BB8" w:rsidRPr="003A0655">
        <w:t>’</w:t>
      </w:r>
      <w:r w:rsidRPr="003A0655">
        <w:t>elles disposent d</w:t>
      </w:r>
      <w:r w:rsidR="000B3BB8" w:rsidRPr="003A0655">
        <w:t>’</w:t>
      </w:r>
      <w:r w:rsidRPr="003A0655">
        <w:t>approches efficaces en matière de surveillance, de notification et de vérification</w:t>
      </w:r>
      <w:r w:rsidR="002A39D3" w:rsidRPr="003A0655">
        <w:t> </w:t>
      </w:r>
      <w:r w:rsidRPr="003A0655">
        <w:t>; et à envisager d</w:t>
      </w:r>
      <w:r w:rsidR="000B3BB8" w:rsidRPr="003A0655">
        <w:t>’</w:t>
      </w:r>
      <w:r w:rsidRPr="003A0655">
        <w:t>inclure des dispositifs de surveillance spécifiques sur chaque site dans les régions où des émissions élevées avaient été constatées ou dans lesquelles se trouvaient de grandes installations de production de HCFC-22.</w:t>
      </w:r>
      <w:bookmarkStart w:id="17" w:name="_Hlk213230735"/>
      <w:bookmarkEnd w:id="17"/>
    </w:p>
    <w:p w14:paraId="64955E99" w14:textId="4A65D21F" w:rsidR="00A60E51" w:rsidRPr="003A0655" w:rsidRDefault="00A60E51" w:rsidP="00A60E51">
      <w:pPr>
        <w:pStyle w:val="Normalnumber"/>
        <w:tabs>
          <w:tab w:val="clear" w:pos="2495"/>
          <w:tab w:val="clear" w:pos="3119"/>
          <w:tab w:val="clear" w:pos="3742"/>
          <w:tab w:val="clear" w:pos="4366"/>
        </w:tabs>
      </w:pPr>
      <w:r w:rsidRPr="003A0655">
        <w:t xml:space="preserve">La représentante de la Norvège, en tant que coauteure du projet de décision, a fait remarquer que, </w:t>
      </w:r>
      <w:r w:rsidR="00405FD2" w:rsidRPr="003A0655">
        <w:t xml:space="preserve">si </w:t>
      </w:r>
      <w:r w:rsidRPr="003A0655">
        <w:t>plusieurs Parties déployaient</w:t>
      </w:r>
      <w:r w:rsidR="00405FD2" w:rsidRPr="003A0655">
        <w:t xml:space="preserve"> certes</w:t>
      </w:r>
      <w:r w:rsidRPr="003A0655">
        <w:t xml:space="preserve"> des efforts considérables pour améliorer la compréhension collective de la question et communiquaient des informations à l</w:t>
      </w:r>
      <w:r w:rsidR="000B3BB8" w:rsidRPr="003A0655">
        <w:t>’</w:t>
      </w:r>
      <w:r w:rsidRPr="003A0655">
        <w:t>appui des travaux des groupes d</w:t>
      </w:r>
      <w:r w:rsidR="000B3BB8" w:rsidRPr="003A0655">
        <w:t>’</w:t>
      </w:r>
      <w:r w:rsidRPr="003A0655">
        <w:t>évaluation, elles étaient loin de comprendre clairement les causes sous-jacentes des incohérences importantes mises en évidence par les Groupes. C</w:t>
      </w:r>
      <w:r w:rsidR="000B3BB8" w:rsidRPr="003A0655">
        <w:t>’</w:t>
      </w:r>
      <w:r w:rsidRPr="003A0655">
        <w:t>était une préoccupation majeure pour sa Partie, et il était essentiel que les Parties continuent à collaborer pour mieux expliquer et résoudre ces écarts.</w:t>
      </w:r>
    </w:p>
    <w:p w14:paraId="515B0E77" w14:textId="67731331" w:rsidR="00A60E51" w:rsidRPr="003A0655" w:rsidRDefault="00A60E51" w:rsidP="00A60E51">
      <w:pPr>
        <w:pStyle w:val="Normalnumber"/>
        <w:tabs>
          <w:tab w:val="clear" w:pos="2495"/>
          <w:tab w:val="clear" w:pos="3119"/>
          <w:tab w:val="clear" w:pos="3742"/>
          <w:tab w:val="clear" w:pos="4366"/>
        </w:tabs>
      </w:pPr>
      <w:r w:rsidRPr="003A0655">
        <w:t>Le représentant de l</w:t>
      </w:r>
      <w:r w:rsidR="000B3BB8" w:rsidRPr="003A0655">
        <w:t>’</w:t>
      </w:r>
      <w:r w:rsidRPr="003A0655">
        <w:t>Union européenne, en tant que coa</w:t>
      </w:r>
      <w:r w:rsidR="00405FD2" w:rsidRPr="003A0655">
        <w:t>u</w:t>
      </w:r>
      <w:r w:rsidRPr="003A0655">
        <w:t>teur du projet de décision, a salué les efforts déployés par l</w:t>
      </w:r>
      <w:r w:rsidR="000B3BB8" w:rsidRPr="003A0655">
        <w:t>’</w:t>
      </w:r>
      <w:r w:rsidRPr="003A0655">
        <w:t>une des Parties pour améliorer les estimations des émissions de HFC-23, notamment l</w:t>
      </w:r>
      <w:r w:rsidR="000B3BB8" w:rsidRPr="003A0655">
        <w:t>’</w:t>
      </w:r>
      <w:r w:rsidRPr="003A0655">
        <w:t>organisation récente d</w:t>
      </w:r>
      <w:r w:rsidR="000B3BB8" w:rsidRPr="003A0655">
        <w:t>’</w:t>
      </w:r>
      <w:r w:rsidRPr="003A0655">
        <w:t>un atelier auquel il avait participé et l</w:t>
      </w:r>
      <w:r w:rsidR="000B3BB8" w:rsidRPr="003A0655">
        <w:t>’</w:t>
      </w:r>
      <w:r w:rsidRPr="003A0655">
        <w:t>élaboration de directives techniques sur la surveillance, la notification et la vérification des émissions de HFC-23. Néanmoins, la question concernait toutes les</w:t>
      </w:r>
      <w:r w:rsidR="00405FD2" w:rsidRPr="003A0655">
        <w:t xml:space="preserve"> </w:t>
      </w:r>
      <w:r w:rsidRPr="003A0655">
        <w:t>Parties et devait être traitée collectivement, ce qui était l</w:t>
      </w:r>
      <w:r w:rsidR="000B3BB8" w:rsidRPr="003A0655">
        <w:t>’</w:t>
      </w:r>
      <w:r w:rsidRPr="003A0655">
        <w:t>objectif du projet de décision. Il a souligné qu</w:t>
      </w:r>
      <w:r w:rsidR="000B3BB8" w:rsidRPr="003A0655">
        <w:t>’</w:t>
      </w:r>
      <w:r w:rsidRPr="003A0655">
        <w:t>il importait d</w:t>
      </w:r>
      <w:r w:rsidR="000B3BB8" w:rsidRPr="003A0655">
        <w:t>’</w:t>
      </w:r>
      <w:r w:rsidRPr="003A0655">
        <w:t>examiner les sources d</w:t>
      </w:r>
      <w:r w:rsidR="000B3BB8" w:rsidRPr="003A0655">
        <w:t>’</w:t>
      </w:r>
      <w:r w:rsidRPr="003A0655">
        <w:t>émissions potentielles</w:t>
      </w:r>
      <w:r w:rsidR="002A39D3" w:rsidRPr="003A0655">
        <w:t> </w:t>
      </w:r>
      <w:r w:rsidRPr="003A0655">
        <w:t>; de veiller à l</w:t>
      </w:r>
      <w:r w:rsidR="000B3BB8" w:rsidRPr="003A0655">
        <w:t>’</w:t>
      </w:r>
      <w:r w:rsidRPr="003A0655">
        <w:t>utilisation de technologies de réduction efficaces</w:t>
      </w:r>
      <w:r w:rsidR="002A39D3" w:rsidRPr="003A0655">
        <w:t> </w:t>
      </w:r>
      <w:r w:rsidRPr="003A0655">
        <w:t>; de dégager les meilleures pratiques</w:t>
      </w:r>
      <w:r w:rsidR="002A39D3" w:rsidRPr="003A0655">
        <w:t> </w:t>
      </w:r>
      <w:r w:rsidRPr="003A0655">
        <w:t>; et de garantir la transparence dans les rapports et une meilleure application.</w:t>
      </w:r>
    </w:p>
    <w:p w14:paraId="2D46C0E0" w14:textId="554C1A11" w:rsidR="00A60E51" w:rsidRPr="003A0655" w:rsidRDefault="00A60E51" w:rsidP="00A60E51">
      <w:pPr>
        <w:pStyle w:val="Normalnumber"/>
        <w:tabs>
          <w:tab w:val="clear" w:pos="2495"/>
          <w:tab w:val="clear" w:pos="3119"/>
          <w:tab w:val="clear" w:pos="3742"/>
          <w:tab w:val="clear" w:pos="4366"/>
        </w:tabs>
      </w:pPr>
      <w:r w:rsidRPr="003A0655">
        <w:t>Au cours de la discussion qui a suivi, de nombreux(ses) représentant(e)s ont reconnu la gravité de la question et ont déclaré qu</w:t>
      </w:r>
      <w:r w:rsidR="000B3BB8" w:rsidRPr="003A0655">
        <w:t>’</w:t>
      </w:r>
      <w:r w:rsidRPr="003A0655">
        <w:t>ils (elles) souhaitaient examiner cette question et le projet de décision au sein d</w:t>
      </w:r>
      <w:r w:rsidR="000B3BB8" w:rsidRPr="003A0655">
        <w:t>’</w:t>
      </w:r>
      <w:r w:rsidRPr="003A0655">
        <w:t>un groupe de contact.</w:t>
      </w:r>
    </w:p>
    <w:p w14:paraId="0E621C75" w14:textId="003F953B" w:rsidR="00A60E51" w:rsidRPr="003A0655" w:rsidRDefault="00A60E51" w:rsidP="00A60E51">
      <w:pPr>
        <w:pStyle w:val="Normalnumber"/>
        <w:tabs>
          <w:tab w:val="clear" w:pos="2495"/>
          <w:tab w:val="clear" w:pos="3119"/>
          <w:tab w:val="clear" w:pos="3742"/>
          <w:tab w:val="clear" w:pos="4366"/>
        </w:tabs>
      </w:pPr>
      <w:r w:rsidRPr="003A0655">
        <w:t>Une représentante a demandé s</w:t>
      </w:r>
      <w:r w:rsidR="000B3BB8" w:rsidRPr="003A0655">
        <w:t>’</w:t>
      </w:r>
      <w:r w:rsidRPr="003A0655">
        <w:t>il valait la peine de demander aux Groupes de mettre à jour leurs rapports, sachant que leur charge de travail était déjà importante et que les informations nouvelles seraient probablement limitées. Elle a rappelé le commentaire de M. Campbell selon lequel il n</w:t>
      </w:r>
      <w:r w:rsidR="000B3BB8" w:rsidRPr="003A0655">
        <w:t>’</w:t>
      </w:r>
      <w:r w:rsidRPr="003A0655">
        <w:t>avait pas été en mesure de conclure quelle méthode était la meilleure. Chaque méthode avait ses propres avantages et points forts. Elle a également demandé des précisions sur la demande concernant les Parties disposant d</w:t>
      </w:r>
      <w:r w:rsidR="000B3BB8" w:rsidRPr="003A0655">
        <w:t>’</w:t>
      </w:r>
      <w:r w:rsidRPr="003A0655">
        <w:t>au moins trois installations produisant du HCFC-22 et a remis en question l</w:t>
      </w:r>
      <w:r w:rsidR="000B3BB8" w:rsidRPr="003A0655">
        <w:t>’</w:t>
      </w:r>
      <w:r w:rsidRPr="003A0655">
        <w:t xml:space="preserve">utilisation du </w:t>
      </w:r>
      <w:r w:rsidR="00405FD2" w:rsidRPr="003A0655">
        <w:t>verbe</w:t>
      </w:r>
      <w:r w:rsidRPr="003A0655">
        <w:t xml:space="preserve"> «</w:t>
      </w:r>
      <w:r w:rsidR="00EF4538" w:rsidRPr="003A0655">
        <w:t> </w:t>
      </w:r>
      <w:r w:rsidRPr="003A0655">
        <w:t>exhorter</w:t>
      </w:r>
      <w:r w:rsidR="00EF4538" w:rsidRPr="003A0655">
        <w:t> </w:t>
      </w:r>
      <w:r w:rsidRPr="003A0655">
        <w:t>» pour les actions volontaires. Rappelant les projets menés en Argentine et au Mexique, elle a déclaré que, conformément à la décision XXVIII/2, les coûts liés à la réduction des émissions de HFC-23 devraient être financés par le Fonds multilatéral, mais que la majorité des Parties visées à l</w:t>
      </w:r>
      <w:r w:rsidR="000B3BB8" w:rsidRPr="003A0655">
        <w:t>’</w:t>
      </w:r>
      <w:r w:rsidRPr="003A0655">
        <w:t>article 5 n</w:t>
      </w:r>
      <w:r w:rsidR="000B3BB8" w:rsidRPr="003A0655">
        <w:t>’</w:t>
      </w:r>
      <w:r w:rsidRPr="003A0655">
        <w:t>avaient pas encore reçu de financement. Elle a demandé au Comité exécutif d</w:t>
      </w:r>
      <w:r w:rsidR="000B3BB8" w:rsidRPr="003A0655">
        <w:t>’</w:t>
      </w:r>
      <w:r w:rsidRPr="003A0655">
        <w:t>examiner, dès que possible, la possibilité d</w:t>
      </w:r>
      <w:r w:rsidR="000B3BB8" w:rsidRPr="003A0655">
        <w:t>’</w:t>
      </w:r>
      <w:r w:rsidRPr="003A0655">
        <w:t xml:space="preserve">apporter </w:t>
      </w:r>
      <w:r w:rsidR="00405FD2" w:rsidRPr="003A0655">
        <w:t xml:space="preserve">le soutien nécessaire </w:t>
      </w:r>
      <w:r w:rsidRPr="003A0655">
        <w:t xml:space="preserve">aux pays et aux entreprises </w:t>
      </w:r>
      <w:r w:rsidR="00405FD2" w:rsidRPr="003A0655">
        <w:t>y ayant droit</w:t>
      </w:r>
      <w:r w:rsidRPr="003A0655">
        <w:t xml:space="preserve">. </w:t>
      </w:r>
    </w:p>
    <w:p w14:paraId="64EA6821" w14:textId="7AC3571B" w:rsidR="00A60E51" w:rsidRPr="003A0655" w:rsidRDefault="00A60E51" w:rsidP="00A60E51">
      <w:pPr>
        <w:pStyle w:val="Normalnumber"/>
        <w:tabs>
          <w:tab w:val="clear" w:pos="2495"/>
          <w:tab w:val="clear" w:pos="3119"/>
          <w:tab w:val="clear" w:pos="3742"/>
          <w:tab w:val="clear" w:pos="4366"/>
        </w:tabs>
      </w:pPr>
      <w:r w:rsidRPr="003A0655">
        <w:t>Une autre représentante a souligné l</w:t>
      </w:r>
      <w:r w:rsidR="000B3BB8" w:rsidRPr="003A0655">
        <w:t>’</w:t>
      </w:r>
      <w:r w:rsidRPr="003A0655">
        <w:t>absence de délai pour la fourniture d</w:t>
      </w:r>
      <w:r w:rsidR="000B3BB8" w:rsidRPr="003A0655">
        <w:t>’</w:t>
      </w:r>
      <w:r w:rsidRPr="003A0655">
        <w:t>informations supplémentaires par les Parties, alors que ces informations étaient destinées à aider les Groupes à mettre à jour leurs rapports en vue de leur soumission à la trente-huitième Réunion des Parties.</w:t>
      </w:r>
    </w:p>
    <w:p w14:paraId="0FA9999A" w14:textId="77777777" w:rsidR="00A60E51" w:rsidRPr="003A0655" w:rsidRDefault="00A60E51" w:rsidP="00A60E51">
      <w:pPr>
        <w:pStyle w:val="Normalnumber"/>
        <w:tabs>
          <w:tab w:val="clear" w:pos="2495"/>
          <w:tab w:val="clear" w:pos="3119"/>
          <w:tab w:val="clear" w:pos="3742"/>
          <w:tab w:val="clear" w:pos="4366"/>
        </w:tabs>
      </w:pPr>
      <w:r w:rsidRPr="003A0655">
        <w:t>En réponse à une question posée par un représentant, la Coprésidente a fait remarquer que, bien que les utilisations émettrices soient progressivement éliminées en vertu du Protocole de Montréal, la production de HCFC-22 lié aux matières premières restait considérable, ce qui entraînait la production de HFC-23 comme sous-produit.</w:t>
      </w:r>
    </w:p>
    <w:p w14:paraId="787653BA" w14:textId="4B9020E2" w:rsidR="00A60E51" w:rsidRPr="003A0655" w:rsidRDefault="00A60E51" w:rsidP="00A60E51">
      <w:pPr>
        <w:pStyle w:val="Normalnumber"/>
        <w:tabs>
          <w:tab w:val="clear" w:pos="2495"/>
          <w:tab w:val="clear" w:pos="3119"/>
          <w:tab w:val="clear" w:pos="3742"/>
          <w:tab w:val="clear" w:pos="4366"/>
        </w:tabs>
      </w:pPr>
      <w:r w:rsidRPr="003A0655">
        <w:t xml:space="preserve">Les Parties sont convenues de créer un groupe de contact, coprésidé par </w:t>
      </w:r>
      <w:r w:rsidR="004E0DB3" w:rsidRPr="003A0655">
        <w:t>Heidi Stockhaus (Alle</w:t>
      </w:r>
      <w:r w:rsidR="00D56C96" w:rsidRPr="003A0655">
        <w:t>magne</w:t>
      </w:r>
      <w:r w:rsidR="004E0DB3" w:rsidRPr="003A0655">
        <w:t xml:space="preserve">) </w:t>
      </w:r>
      <w:r w:rsidRPr="003A0655">
        <w:t>et Leslie Smith (Grenade) pour poursuivre l</w:t>
      </w:r>
      <w:r w:rsidR="000B3BB8" w:rsidRPr="003A0655">
        <w:t>’</w:t>
      </w:r>
      <w:r w:rsidRPr="003A0655">
        <w:t>examen du projet de décision.</w:t>
      </w:r>
    </w:p>
    <w:p w14:paraId="6E76FBE8" w14:textId="77777777" w:rsidR="00A60E51" w:rsidRPr="003A0655" w:rsidRDefault="00A60E51" w:rsidP="00A60E51">
      <w:pPr>
        <w:pStyle w:val="Normalnumber"/>
        <w:tabs>
          <w:tab w:val="clear" w:pos="2495"/>
          <w:tab w:val="clear" w:pos="3119"/>
          <w:tab w:val="clear" w:pos="3742"/>
          <w:tab w:val="clear" w:pos="4366"/>
        </w:tabs>
      </w:pPr>
      <w:r w:rsidRPr="003A0655">
        <w:t xml:space="preserve">Par la suite, la coprésidente du groupe de contact a fait savoir que le groupe était parvenu à un accord sur un projet de décision concernant les émissions de HFC-23, pour examen par les Parties. </w:t>
      </w:r>
    </w:p>
    <w:p w14:paraId="6726D201" w14:textId="3CFDB59C" w:rsidR="00A60E51" w:rsidRPr="003A0655" w:rsidRDefault="00A60E51" w:rsidP="005A6AC4">
      <w:pPr>
        <w:pStyle w:val="Normalnumber"/>
        <w:tabs>
          <w:tab w:val="clear" w:pos="2495"/>
          <w:tab w:val="clear" w:pos="3119"/>
          <w:tab w:val="clear" w:pos="3742"/>
          <w:tab w:val="clear" w:pos="4366"/>
        </w:tabs>
      </w:pPr>
      <w:r w:rsidRPr="003A0655">
        <w:t xml:space="preserve">Les Parties sont convenues de transmettre le projet de décision au débat de haut niveau pour examen plus poussé et adoption éventuelle. </w:t>
      </w:r>
    </w:p>
    <w:p w14:paraId="31D330FD" w14:textId="75E30B40" w:rsidR="005C0F4B" w:rsidRPr="003A0655" w:rsidRDefault="005C0F4B" w:rsidP="005C0F4B">
      <w:pPr>
        <w:pStyle w:val="CH1"/>
        <w:keepNext w:val="0"/>
        <w:keepLines w:val="0"/>
      </w:pPr>
      <w:r w:rsidRPr="003A0655">
        <w:rPr>
          <w:bCs/>
        </w:rPr>
        <w:tab/>
        <w:t>VI.</w:t>
      </w:r>
      <w:r w:rsidRPr="003A0655">
        <w:tab/>
      </w:r>
      <w:r w:rsidRPr="003A0655">
        <w:rPr>
          <w:bCs/>
        </w:rPr>
        <w:t>Amélioration de la surveillance atmosphérique régionale des</w:t>
      </w:r>
      <w:r w:rsidR="00F436AF" w:rsidRPr="003A0655">
        <w:rPr>
          <w:bCs/>
        </w:rPr>
        <w:t> </w:t>
      </w:r>
      <w:r w:rsidRPr="003A0655">
        <w:rPr>
          <w:bCs/>
        </w:rPr>
        <w:t>substances réglementées par le Protocole de</w:t>
      </w:r>
      <w:r w:rsidR="00777666" w:rsidRPr="003A0655">
        <w:rPr>
          <w:bCs/>
        </w:rPr>
        <w:t> </w:t>
      </w:r>
      <w:r w:rsidRPr="003A0655">
        <w:rPr>
          <w:bCs/>
        </w:rPr>
        <w:t>Montréal (décision</w:t>
      </w:r>
      <w:r w:rsidR="00777666" w:rsidRPr="003A0655">
        <w:rPr>
          <w:bCs/>
        </w:rPr>
        <w:t> </w:t>
      </w:r>
      <w:r w:rsidRPr="003A0655">
        <w:rPr>
          <w:bCs/>
        </w:rPr>
        <w:t>XXXVI/1)</w:t>
      </w:r>
    </w:p>
    <w:p w14:paraId="0E0B1E66" w14:textId="7C8754D6" w:rsidR="005C0F4B" w:rsidRPr="003A0655" w:rsidRDefault="005C0F4B" w:rsidP="00096437">
      <w:pPr>
        <w:pStyle w:val="Normalnumber"/>
        <w:tabs>
          <w:tab w:val="clear" w:pos="1247"/>
        </w:tabs>
      </w:pPr>
      <w:r w:rsidRPr="003A0655">
        <w:t>Lors de l</w:t>
      </w:r>
      <w:r w:rsidR="000B3BB8" w:rsidRPr="003A0655">
        <w:t>’</w:t>
      </w:r>
      <w:r w:rsidRPr="003A0655">
        <w:t>examen de ce point, les Parties étaient saisies des paragraphes</w:t>
      </w:r>
      <w:r w:rsidR="001A75DD" w:rsidRPr="003A0655">
        <w:t> </w:t>
      </w:r>
      <w:r w:rsidRPr="003A0655">
        <w:t>37 à 43 de la note du Secrétariat</w:t>
      </w:r>
      <w:r w:rsidR="003E7BCD" w:rsidRPr="003A0655">
        <w:t xml:space="preserve"> sur les</w:t>
      </w:r>
      <w:r w:rsidRPr="003A0655">
        <w:t xml:space="preserve"> </w:t>
      </w:r>
      <w:r w:rsidR="003E7BCD" w:rsidRPr="003A0655">
        <w:t>q</w:t>
      </w:r>
      <w:r w:rsidRPr="003A0655">
        <w:t>uestions portées à l</w:t>
      </w:r>
      <w:r w:rsidR="000B3BB8" w:rsidRPr="003A0655">
        <w:t>’</w:t>
      </w:r>
      <w:r w:rsidRPr="003A0655">
        <w:t>attention de la trente-septième</w:t>
      </w:r>
      <w:r w:rsidR="001A75DD" w:rsidRPr="003A0655">
        <w:t> </w:t>
      </w:r>
      <w:r w:rsidRPr="003A0655">
        <w:t>Réunion des Parties au Protocole de</w:t>
      </w:r>
      <w:r w:rsidR="00F22AF9" w:rsidRPr="003A0655">
        <w:t> </w:t>
      </w:r>
      <w:r w:rsidRPr="003A0655">
        <w:t>Montréal, pour examen et information (UNEP/OzL.Pro.37/2), des paragraphes</w:t>
      </w:r>
      <w:r w:rsidR="00F22AF9" w:rsidRPr="003A0655">
        <w:t> </w:t>
      </w:r>
      <w:r w:rsidRPr="003A0655">
        <w:t>20 à 60 de l</w:t>
      </w:r>
      <w:r w:rsidR="000B3BB8" w:rsidRPr="003A0655">
        <w:t>’</w:t>
      </w:r>
      <w:r w:rsidRPr="003A0655">
        <w:t>additif à cette note (UNEP/OzL.Pro.37/2/Add.1), d</w:t>
      </w:r>
      <w:r w:rsidR="000B3BB8" w:rsidRPr="003A0655">
        <w:t>’</w:t>
      </w:r>
      <w:r w:rsidRPr="003A0655">
        <w:t>une note du Secrétariat sur les informations supplémentaires concernant ses estimations de coûts pour l</w:t>
      </w:r>
      <w:r w:rsidR="000B3BB8" w:rsidRPr="003A0655">
        <w:t>’</w:t>
      </w:r>
      <w:r w:rsidRPr="003A0655">
        <w:t>amélioration de la surveillance atmosphérique régionale des substances réglementées par le Protocole de</w:t>
      </w:r>
      <w:r w:rsidR="00F22AF9" w:rsidRPr="003A0655">
        <w:t> </w:t>
      </w:r>
      <w:r w:rsidRPr="003A0655">
        <w:t>Montréal (UNEP/OzL.Pro.37/INF/6), des paragraphes</w:t>
      </w:r>
      <w:r w:rsidR="00F22AF9" w:rsidRPr="003A0655">
        <w:t> </w:t>
      </w:r>
      <w:r w:rsidRPr="003A0655">
        <w:t>154 à 164 de la section</w:t>
      </w:r>
      <w:r w:rsidR="00F22AF9" w:rsidRPr="003A0655">
        <w:t> </w:t>
      </w:r>
      <w:r w:rsidRPr="003A0655">
        <w:t>VI du rapport de la quarante</w:t>
      </w:r>
      <w:r w:rsidR="00FD47B9" w:rsidRPr="003A0655">
        <w:noBreakHyphen/>
      </w:r>
      <w:r w:rsidRPr="003A0655">
        <w:t>septième</w:t>
      </w:r>
      <w:r w:rsidR="00F22AF9" w:rsidRPr="003A0655">
        <w:t> </w:t>
      </w:r>
      <w:r w:rsidRPr="003A0655">
        <w:t>réunion du Groupe de travail à composition non limitée des Parties au Protocole de</w:t>
      </w:r>
      <w:r w:rsidR="00F22AF9" w:rsidRPr="003A0655">
        <w:t> </w:t>
      </w:r>
      <w:r w:rsidRPr="003A0655">
        <w:t>Montréal relatif à des substances qui appauvrissent l</w:t>
      </w:r>
      <w:r w:rsidR="000B3BB8" w:rsidRPr="003A0655">
        <w:t>’</w:t>
      </w:r>
      <w:r w:rsidRPr="003A0655">
        <w:t>ozone (UNEP/OzL.Pro.WG.1/47/6) et des paragraphes</w:t>
      </w:r>
      <w:r w:rsidR="00C54383" w:rsidRPr="003A0655">
        <w:t> </w:t>
      </w:r>
      <w:r w:rsidRPr="003A0655">
        <w:t>54 à 63 de l</w:t>
      </w:r>
      <w:r w:rsidR="000B3BB8" w:rsidRPr="003A0655">
        <w:t>’</w:t>
      </w:r>
      <w:r w:rsidRPr="003A0655">
        <w:t xml:space="preserve">additif à la note du Secrétariat </w:t>
      </w:r>
      <w:r w:rsidR="00CE06F9" w:rsidRPr="003A0655">
        <w:t>sur les q</w:t>
      </w:r>
      <w:r w:rsidRPr="003A0655">
        <w:t>uestions portées à l</w:t>
      </w:r>
      <w:r w:rsidR="000B3BB8" w:rsidRPr="003A0655">
        <w:t>’</w:t>
      </w:r>
      <w:r w:rsidRPr="003A0655">
        <w:t>attention du Groupe de travail à composition non limitée des Parties au Protocole de</w:t>
      </w:r>
      <w:r w:rsidR="00291347" w:rsidRPr="003A0655">
        <w:t> </w:t>
      </w:r>
      <w:r w:rsidRPr="003A0655">
        <w:t>Montréal à sa quarante</w:t>
      </w:r>
      <w:r w:rsidR="00C94F13" w:rsidRPr="003A0655">
        <w:noBreakHyphen/>
      </w:r>
      <w:r w:rsidRPr="003A0655">
        <w:t>septième réunion, pour examen et information (UNEP/OzL.Pro.WG.1/47/2/Add.1).</w:t>
      </w:r>
    </w:p>
    <w:p w14:paraId="5B99E347" w14:textId="20BABA0A" w:rsidR="005C0F4B" w:rsidRPr="003A0655" w:rsidRDefault="005C0F4B" w:rsidP="00096437">
      <w:pPr>
        <w:pStyle w:val="Normalnumber"/>
        <w:tabs>
          <w:tab w:val="clear" w:pos="1247"/>
        </w:tabs>
      </w:pPr>
      <w:r w:rsidRPr="003A0655">
        <w:t>Présentant ce point, la Coprésidente a rappelé que, dans la décision</w:t>
      </w:r>
      <w:r w:rsidR="00291347" w:rsidRPr="003A0655">
        <w:t> </w:t>
      </w:r>
      <w:r w:rsidRPr="003A0655">
        <w:t>XXXVI/1, le Secrétariat avait été prié de faire rapport, lors de la réunion en cours, sur l</w:t>
      </w:r>
      <w:r w:rsidR="000B3BB8" w:rsidRPr="003A0655">
        <w:t>’</w:t>
      </w:r>
      <w:r w:rsidRPr="003A0655">
        <w:t>état d</w:t>
      </w:r>
      <w:r w:rsidR="000B3BB8" w:rsidRPr="003A0655">
        <w:t>’</w:t>
      </w:r>
      <w:r w:rsidRPr="003A0655">
        <w:t>avancement et les résultats éventuels de l</w:t>
      </w:r>
      <w:r w:rsidR="000B3BB8" w:rsidRPr="003A0655">
        <w:t>’</w:t>
      </w:r>
      <w:r w:rsidRPr="003A0655">
        <w:t>évaluation relative à l</w:t>
      </w:r>
      <w:r w:rsidR="000B3BB8" w:rsidRPr="003A0655">
        <w:t>’</w:t>
      </w:r>
      <w:r w:rsidRPr="003A0655">
        <w:t>adéquation des sites potentiels pour la surveillance des émissions régionales de substances réglementées, pour examen par les Parties, et de fournir toute nouvelle information supplémentaire concernant ses estimations de coûts et les options de financement à long</w:t>
      </w:r>
      <w:r w:rsidR="00FC4DFE" w:rsidRPr="003A0655">
        <w:t> </w:t>
      </w:r>
      <w:r w:rsidRPr="003A0655">
        <w:t>terme associées à la surveillance atmosphérique. À la quarante-septième</w:t>
      </w:r>
      <w:r w:rsidR="00291347" w:rsidRPr="003A0655">
        <w:t> </w:t>
      </w:r>
      <w:r w:rsidRPr="003A0655">
        <w:t xml:space="preserve">réunion du Groupe de travail à composition non limitée, le Secrétariat et </w:t>
      </w:r>
      <w:r w:rsidR="000B7AD3" w:rsidRPr="003A0655">
        <w:t>le</w:t>
      </w:r>
      <w:r w:rsidRPr="003A0655">
        <w:t xml:space="preserve"> Comité consultatif du fonds d</w:t>
      </w:r>
      <w:r w:rsidR="000B3BB8" w:rsidRPr="003A0655">
        <w:t>’</w:t>
      </w:r>
      <w:r w:rsidRPr="003A0655">
        <w:t>affectation spéciale général de la Convention de</w:t>
      </w:r>
      <w:r w:rsidR="00E57406" w:rsidRPr="003A0655">
        <w:t> </w:t>
      </w:r>
      <w:r w:rsidRPr="003A0655">
        <w:t>Vienne avaient fait état des progrès réalisés pour évaluer les sites de surveillance potentiels. À l</w:t>
      </w:r>
      <w:r w:rsidR="000B3BB8" w:rsidRPr="003A0655">
        <w:t>’</w:t>
      </w:r>
      <w:r w:rsidRPr="003A0655">
        <w:t xml:space="preserve">issue des débats sur cette </w:t>
      </w:r>
      <w:r w:rsidR="006B040B" w:rsidRPr="003A0655">
        <w:t>question</w:t>
      </w:r>
      <w:r w:rsidRPr="003A0655">
        <w:t xml:space="preserve">, les Parties avaient </w:t>
      </w:r>
      <w:r w:rsidR="006B040B" w:rsidRPr="003A0655">
        <w:t xml:space="preserve">demandé </w:t>
      </w:r>
      <w:r w:rsidRPr="003A0655">
        <w:t>l</w:t>
      </w:r>
      <w:r w:rsidR="000B3BB8" w:rsidRPr="003A0655">
        <w:t>’</w:t>
      </w:r>
      <w:r w:rsidRPr="003A0655">
        <w:t>élaboration d</w:t>
      </w:r>
      <w:r w:rsidR="000B3BB8" w:rsidRPr="003A0655">
        <w:t>’</w:t>
      </w:r>
      <w:r w:rsidRPr="003A0655">
        <w:t>une stratégie qui permette de détailler les activités relevant des différentes sources de financement et de démontrer la complémentarité de ces activités aux fins de la surveillance atmosphérique régionale.</w:t>
      </w:r>
    </w:p>
    <w:p w14:paraId="39B10BC9" w14:textId="61712889" w:rsidR="005C0F4B" w:rsidRPr="003A0655" w:rsidRDefault="005C0F4B" w:rsidP="00096437">
      <w:pPr>
        <w:pStyle w:val="Normalnumber"/>
        <w:tabs>
          <w:tab w:val="clear" w:pos="1247"/>
        </w:tabs>
        <w:rPr>
          <w:bCs/>
        </w:rPr>
      </w:pPr>
      <w:r w:rsidRPr="003A0655">
        <w:t>Le rapport</w:t>
      </w:r>
      <w:r w:rsidR="000B7AD3" w:rsidRPr="003A0655">
        <w:t xml:space="preserve"> final</w:t>
      </w:r>
      <w:r w:rsidRPr="003A0655">
        <w:t xml:space="preserve"> sur les progrès réalisés dans la mise en œuvre de la décision</w:t>
      </w:r>
      <w:r w:rsidR="00E57406" w:rsidRPr="003A0655">
        <w:t> </w:t>
      </w:r>
      <w:r w:rsidRPr="003A0655">
        <w:t xml:space="preserve">XXXVI/1 </w:t>
      </w:r>
      <w:r w:rsidR="000B7AD3" w:rsidRPr="003A0655">
        <w:t xml:space="preserve">a </w:t>
      </w:r>
      <w:r w:rsidRPr="003A0655">
        <w:t xml:space="preserve">été présenté par A. R. </w:t>
      </w:r>
      <w:proofErr w:type="spellStart"/>
      <w:r w:rsidRPr="003A0655">
        <w:t>Ravishankara</w:t>
      </w:r>
      <w:proofErr w:type="spellEnd"/>
      <w:r w:rsidRPr="003A0655">
        <w:t xml:space="preserve">, </w:t>
      </w:r>
      <w:r w:rsidR="000B7AD3" w:rsidRPr="003A0655">
        <w:t>l</w:t>
      </w:r>
      <w:r w:rsidR="000B3BB8" w:rsidRPr="003A0655">
        <w:t>’</w:t>
      </w:r>
      <w:r w:rsidR="000B7AD3" w:rsidRPr="003A0655">
        <w:t xml:space="preserve">un des </w:t>
      </w:r>
      <w:r w:rsidRPr="003A0655">
        <w:t>Coprésident</w:t>
      </w:r>
      <w:r w:rsidR="000B7AD3" w:rsidRPr="003A0655">
        <w:t>s</w:t>
      </w:r>
      <w:r w:rsidRPr="003A0655">
        <w:t xml:space="preserve"> du Comité consultatif, et par Sophia</w:t>
      </w:r>
      <w:r w:rsidR="00E57406" w:rsidRPr="003A0655">
        <w:t> </w:t>
      </w:r>
      <w:r w:rsidRPr="003A0655">
        <w:t xml:space="preserve">Mylona, représentante du Secrétariat au sein du Comité consultatif. </w:t>
      </w:r>
      <w:r w:rsidR="000B7AD3" w:rsidRPr="003A0655">
        <w:t>Les présentations ont récapitulé les progrès accomplis par le Comité dans l</w:t>
      </w:r>
      <w:r w:rsidR="000B3BB8" w:rsidRPr="003A0655">
        <w:t>’</w:t>
      </w:r>
      <w:r w:rsidR="000B7AD3" w:rsidRPr="003A0655">
        <w:t>évaluation de l</w:t>
      </w:r>
      <w:r w:rsidR="000B3BB8" w:rsidRPr="003A0655">
        <w:t>’</w:t>
      </w:r>
      <w:r w:rsidR="000B7AD3" w:rsidRPr="003A0655">
        <w:t>adéquation des sites potentiels pour la surveillance des émissions régionales de substances réglementées, y compris les principales conclusions du projet pilote mené sur l</w:t>
      </w:r>
      <w:r w:rsidR="000B3BB8" w:rsidRPr="003A0655">
        <w:t>’</w:t>
      </w:r>
      <w:r w:rsidR="000B7AD3" w:rsidRPr="003A0655">
        <w:t>île de Bhola et de deux études scientifiques, ainsi que les mises à jour des estimations de coûts liées à l</w:t>
      </w:r>
      <w:r w:rsidR="000B3BB8" w:rsidRPr="003A0655">
        <w:t>’</w:t>
      </w:r>
      <w:r w:rsidR="000B7AD3" w:rsidRPr="003A0655">
        <w:t>amélioration de cette surveillance, telles qu</w:t>
      </w:r>
      <w:r w:rsidR="000B3BB8" w:rsidRPr="003A0655">
        <w:t>’</w:t>
      </w:r>
      <w:r w:rsidR="000B7AD3" w:rsidRPr="003A0655">
        <w:t>elles figurent dans les documents UNEP/OzL.Pro.37/2/Add.1 et UNEP/OzL.Pro.37/INF/6.</w:t>
      </w:r>
    </w:p>
    <w:p w14:paraId="297F6599" w14:textId="04C683AB" w:rsidR="0047662B" w:rsidRPr="003A0655" w:rsidRDefault="00BB7D03" w:rsidP="00096437">
      <w:pPr>
        <w:pStyle w:val="Normalnumber"/>
        <w:tabs>
          <w:tab w:val="clear" w:pos="1247"/>
        </w:tabs>
      </w:pPr>
      <w:r w:rsidRPr="003A0655">
        <w:t xml:space="preserve">M. </w:t>
      </w:r>
      <w:proofErr w:type="spellStart"/>
      <w:r w:rsidRPr="003A0655">
        <w:t>Ravishankara</w:t>
      </w:r>
      <w:proofErr w:type="spellEnd"/>
      <w:r w:rsidRPr="003A0655">
        <w:t xml:space="preserve"> a présenté une liste de 10</w:t>
      </w:r>
      <w:r w:rsidR="00925AAB" w:rsidRPr="003A0655">
        <w:t> </w:t>
      </w:r>
      <w:r w:rsidRPr="003A0655">
        <w:t>régions et sites potentiels pour l</w:t>
      </w:r>
      <w:r w:rsidR="000B3BB8" w:rsidRPr="003A0655">
        <w:t>’</w:t>
      </w:r>
      <w:r w:rsidRPr="003A0655">
        <w:t>installation de stations de surveillance, qui avai</w:t>
      </w:r>
      <w:r w:rsidR="00A8257F" w:rsidRPr="003A0655">
        <w:t>en</w:t>
      </w:r>
      <w:r w:rsidRPr="003A0655">
        <w:t>t été sélectionnés par le Comité consultatif à sa dix-neuvième réunion, tenue en ligne le 2</w:t>
      </w:r>
      <w:r w:rsidR="0022012F" w:rsidRPr="003A0655">
        <w:t> </w:t>
      </w:r>
      <w:r w:rsidRPr="003A0655">
        <w:t>octobre 2025. La liste comprenait les cinq régions et sites suivants, qui avaient été classés par ordre de priorité par le Comité sur la base des informations relatives aux niveaux d</w:t>
      </w:r>
      <w:r w:rsidR="000B3BB8" w:rsidRPr="003A0655">
        <w:t>’</w:t>
      </w:r>
      <w:r w:rsidRPr="003A0655">
        <w:t>émission, des expériences de simulation du système d</w:t>
      </w:r>
      <w:r w:rsidR="000B3BB8" w:rsidRPr="003A0655">
        <w:t>’</w:t>
      </w:r>
      <w:r w:rsidRPr="003A0655">
        <w:t>observation, ainsi que des infrastructures et des compétences disponibles</w:t>
      </w:r>
      <w:r w:rsidR="0022012F" w:rsidRPr="003A0655">
        <w:t> </w:t>
      </w:r>
      <w:r w:rsidRPr="003A0655">
        <w:t>: Asie du Sud (Inde/Bangladesh)</w:t>
      </w:r>
      <w:r w:rsidR="002A39D3" w:rsidRPr="003A0655">
        <w:t> </w:t>
      </w:r>
      <w:r w:rsidRPr="003A0655">
        <w:t>; Asie du Sud-Est (Viet Nam)</w:t>
      </w:r>
      <w:r w:rsidR="0022012F" w:rsidRPr="003A0655">
        <w:t> </w:t>
      </w:r>
      <w:r w:rsidRPr="003A0655">
        <w:t>; Afrique</w:t>
      </w:r>
      <w:r w:rsidR="003E7889" w:rsidRPr="003A0655">
        <w:t> </w:t>
      </w:r>
      <w:r w:rsidRPr="003A0655">
        <w:t>australe (Botswana/Afrique du Sud)</w:t>
      </w:r>
      <w:r w:rsidR="0022012F" w:rsidRPr="003A0655">
        <w:t> </w:t>
      </w:r>
      <w:r w:rsidRPr="003A0655">
        <w:t>; Moyen-Orient (Arabie saoudite)</w:t>
      </w:r>
      <w:r w:rsidR="002A39D3" w:rsidRPr="003A0655">
        <w:t> </w:t>
      </w:r>
      <w:r w:rsidRPr="003A0655">
        <w:t>; Amérique centrale et Amérique du Sud (Brésil/Argentine). Les autres régions potentielles ayant été examinées par le Comité mais n</w:t>
      </w:r>
      <w:r w:rsidR="000B3BB8" w:rsidRPr="003A0655">
        <w:t>’</w:t>
      </w:r>
      <w:r w:rsidRPr="003A0655">
        <w:t>ayant pas encore été classées par ordre de priorité étaient les suivantes</w:t>
      </w:r>
      <w:r w:rsidR="0022012F" w:rsidRPr="003A0655">
        <w:t> </w:t>
      </w:r>
      <w:r w:rsidRPr="003A0655">
        <w:t>: Afrique du Nord (Algérie)</w:t>
      </w:r>
      <w:r w:rsidR="0022012F" w:rsidRPr="003A0655">
        <w:t> </w:t>
      </w:r>
      <w:r w:rsidRPr="003A0655">
        <w:t>; Amérique du Nord (Mexique)</w:t>
      </w:r>
      <w:r w:rsidR="0022012F" w:rsidRPr="003A0655">
        <w:t> </w:t>
      </w:r>
      <w:r w:rsidRPr="003A0655">
        <w:t>; Nord de l</w:t>
      </w:r>
      <w:r w:rsidR="000B3BB8" w:rsidRPr="003A0655">
        <w:t>’</w:t>
      </w:r>
      <w:r w:rsidRPr="003A0655">
        <w:t>Amérique du Sud (Équateur)</w:t>
      </w:r>
      <w:r w:rsidR="0022012F" w:rsidRPr="003A0655">
        <w:t> </w:t>
      </w:r>
      <w:r w:rsidRPr="003A0655">
        <w:t>; Europe</w:t>
      </w:r>
      <w:r w:rsidR="000E3EC1" w:rsidRPr="003A0655">
        <w:t> </w:t>
      </w:r>
      <w:r w:rsidRPr="003A0655">
        <w:t>orientale (Fédération de Russie)</w:t>
      </w:r>
      <w:r w:rsidR="0022012F" w:rsidRPr="003A0655">
        <w:t> </w:t>
      </w:r>
      <w:r w:rsidRPr="003A0655">
        <w:t>; Afrique de l</w:t>
      </w:r>
      <w:r w:rsidR="000B3BB8" w:rsidRPr="003A0655">
        <w:t>’</w:t>
      </w:r>
      <w:r w:rsidRPr="003A0655">
        <w:t>Ouest (Nigéria). La Coprésidente a indiqué que le Comité était également convenu de procéder à un échantillonnage initial en flacons pendant deux</w:t>
      </w:r>
      <w:r w:rsidR="00380929" w:rsidRPr="003A0655">
        <w:t> </w:t>
      </w:r>
      <w:r w:rsidRPr="003A0655">
        <w:t xml:space="preserve">ans sur le site identifié afin de confirmer son adéquation avant de se lancer dans une surveillance à plus long terme. </w:t>
      </w:r>
    </w:p>
    <w:p w14:paraId="581DF490" w14:textId="75169092" w:rsidR="005C0F4B" w:rsidRPr="003A0655" w:rsidRDefault="005C0F4B" w:rsidP="00096437">
      <w:pPr>
        <w:pStyle w:val="Normalnumber"/>
        <w:tabs>
          <w:tab w:val="clear" w:pos="1247"/>
        </w:tabs>
        <w:rPr>
          <w:bCs/>
        </w:rPr>
      </w:pPr>
      <w:r w:rsidRPr="003A0655">
        <w:t>À l</w:t>
      </w:r>
      <w:r w:rsidR="000B3BB8" w:rsidRPr="003A0655">
        <w:t>’</w:t>
      </w:r>
      <w:r w:rsidRPr="003A0655">
        <w:t>issue de l</w:t>
      </w:r>
      <w:r w:rsidR="000B3BB8" w:rsidRPr="003A0655">
        <w:t>’</w:t>
      </w:r>
      <w:r w:rsidRPr="003A0655">
        <w:t xml:space="preserve">exposé, M. </w:t>
      </w:r>
      <w:proofErr w:type="spellStart"/>
      <w:r w:rsidRPr="003A0655">
        <w:t>Ravishankara</w:t>
      </w:r>
      <w:proofErr w:type="spellEnd"/>
      <w:r w:rsidRPr="003A0655">
        <w:t xml:space="preserve"> et Mme</w:t>
      </w:r>
      <w:r w:rsidR="00167415" w:rsidRPr="003A0655">
        <w:rPr>
          <w:vertAlign w:val="superscript"/>
        </w:rPr>
        <w:t> </w:t>
      </w:r>
      <w:r w:rsidRPr="003A0655">
        <w:t xml:space="preserve">Mylona ont répondu aux questions et aux observations formulées par les représentant(e)s. </w:t>
      </w:r>
    </w:p>
    <w:p w14:paraId="103C0A4A" w14:textId="2374624E" w:rsidR="005C0F4B" w:rsidRPr="003A0655" w:rsidRDefault="005C0F4B" w:rsidP="00096437">
      <w:pPr>
        <w:pStyle w:val="Normalnumber"/>
        <w:tabs>
          <w:tab w:val="clear" w:pos="1247"/>
        </w:tabs>
      </w:pPr>
      <w:r w:rsidRPr="003A0655">
        <w:t xml:space="preserve">Répondant à une question sur le processus de sélection des régions qui </w:t>
      </w:r>
      <w:r w:rsidR="00A44939" w:rsidRPr="003A0655">
        <w:t xml:space="preserve">pourraient </w:t>
      </w:r>
      <w:r w:rsidRPr="003A0655">
        <w:t xml:space="preserve">abriter des stations de surveillance, M. </w:t>
      </w:r>
      <w:proofErr w:type="spellStart"/>
      <w:r w:rsidRPr="003A0655">
        <w:t>Ravishankara</w:t>
      </w:r>
      <w:proofErr w:type="spellEnd"/>
      <w:r w:rsidRPr="003A0655">
        <w:t xml:space="preserve"> a indiqué que la priorité avait été donnée aux régions </w:t>
      </w:r>
      <w:r w:rsidR="00AE3EE1" w:rsidRPr="003A0655">
        <w:t xml:space="preserve">qui </w:t>
      </w:r>
      <w:r w:rsidRPr="003A0655">
        <w:t>enregistra</w:t>
      </w:r>
      <w:r w:rsidR="00AE3EE1" w:rsidRPr="003A0655">
        <w:t>ie</w:t>
      </w:r>
      <w:r w:rsidRPr="003A0655">
        <w:t>nt les taux d</w:t>
      </w:r>
      <w:r w:rsidR="000B3BB8" w:rsidRPr="003A0655">
        <w:t>’</w:t>
      </w:r>
      <w:r w:rsidRPr="003A0655">
        <w:t>émissions les plus élevés</w:t>
      </w:r>
      <w:r w:rsidR="00AE3EE1" w:rsidRPr="003A0655">
        <w:t xml:space="preserve"> à l’heure actuelle</w:t>
      </w:r>
      <w:r w:rsidRPr="003A0655">
        <w:t xml:space="preserve">. </w:t>
      </w:r>
      <w:r w:rsidR="00DF683F" w:rsidRPr="003A0655">
        <w:t xml:space="preserve">La disponibilité </w:t>
      </w:r>
      <w:r w:rsidRPr="003A0655">
        <w:t>des infrastructures était un facteur important</w:t>
      </w:r>
      <w:r w:rsidR="00A8257F" w:rsidRPr="003A0655">
        <w:t xml:space="preserve"> : en </w:t>
      </w:r>
      <w:r w:rsidRPr="003A0655">
        <w:t>effet, plus l</w:t>
      </w:r>
      <w:r w:rsidR="000B3BB8" w:rsidRPr="003A0655">
        <w:t>’</w:t>
      </w:r>
      <w:r w:rsidRPr="003A0655">
        <w:t>accessibilité initiale était grande, moins les coûts nécessaires à l</w:t>
      </w:r>
      <w:r w:rsidR="000B3BB8" w:rsidRPr="003A0655">
        <w:t>’</w:t>
      </w:r>
      <w:r w:rsidRPr="003A0655">
        <w:t>instauration d</w:t>
      </w:r>
      <w:r w:rsidR="000B3BB8" w:rsidRPr="003A0655">
        <w:t>’</w:t>
      </w:r>
      <w:r w:rsidRPr="003A0655">
        <w:t xml:space="preserve">un programme de surveillance seraient élevés. </w:t>
      </w:r>
      <w:r w:rsidR="00AE3EE1" w:rsidRPr="003A0655">
        <w:t>L</w:t>
      </w:r>
      <w:r w:rsidRPr="003A0655">
        <w:t>a disponibilité d</w:t>
      </w:r>
      <w:r w:rsidR="000B3BB8" w:rsidRPr="003A0655">
        <w:t>’</w:t>
      </w:r>
      <w:r w:rsidRPr="003A0655">
        <w:t xml:space="preserve">une tour répondant aux critères requis </w:t>
      </w:r>
      <w:r w:rsidR="00DF683F" w:rsidRPr="003A0655">
        <w:t xml:space="preserve">serait </w:t>
      </w:r>
      <w:r w:rsidRPr="003A0655">
        <w:t>par exemple fort utile. Dans</w:t>
      </w:r>
      <w:r w:rsidR="005B6FFA" w:rsidRPr="003A0655">
        <w:t> </w:t>
      </w:r>
      <w:r w:rsidRPr="003A0655">
        <w:t>le cadre de l</w:t>
      </w:r>
      <w:r w:rsidR="000B3BB8" w:rsidRPr="003A0655">
        <w:t>’</w:t>
      </w:r>
      <w:r w:rsidRPr="003A0655">
        <w:t xml:space="preserve">approche </w:t>
      </w:r>
      <w:r w:rsidR="00DF683F" w:rsidRPr="003A0655">
        <w:t>progressive ou par étapes qui avait</w:t>
      </w:r>
      <w:r w:rsidRPr="003A0655">
        <w:t xml:space="preserve"> </w:t>
      </w:r>
      <w:r w:rsidR="00DF683F" w:rsidRPr="003A0655">
        <w:t xml:space="preserve">été </w:t>
      </w:r>
      <w:r w:rsidRPr="003A0655">
        <w:t>adoptée</w:t>
      </w:r>
      <w:r w:rsidR="00DF683F" w:rsidRPr="003A0655">
        <w:t xml:space="preserve"> pour le programme</w:t>
      </w:r>
      <w:r w:rsidRPr="003A0655">
        <w:t xml:space="preserve">, il </w:t>
      </w:r>
      <w:r w:rsidR="00DF683F" w:rsidRPr="003A0655">
        <w:t xml:space="preserve">serait </w:t>
      </w:r>
      <w:r w:rsidRPr="003A0655">
        <w:t>procédé à un échantillonnage en flacons sur les sites initialement retenus</w:t>
      </w:r>
      <w:r w:rsidR="00DF683F" w:rsidRPr="003A0655">
        <w:t xml:space="preserve"> pour recueillir six</w:t>
      </w:r>
      <w:r w:rsidR="009C5E94" w:rsidRPr="003A0655">
        <w:t> </w:t>
      </w:r>
      <w:r w:rsidR="00DF683F" w:rsidRPr="003A0655">
        <w:t>mois de données en moins d</w:t>
      </w:r>
      <w:r w:rsidR="000B3BB8" w:rsidRPr="003A0655">
        <w:t>’</w:t>
      </w:r>
      <w:r w:rsidR="00DF683F" w:rsidRPr="003A0655">
        <w:t>un an</w:t>
      </w:r>
      <w:r w:rsidRPr="003A0655">
        <w:t>, l</w:t>
      </w:r>
      <w:r w:rsidR="000B3BB8" w:rsidRPr="003A0655">
        <w:t>’</w:t>
      </w:r>
      <w:r w:rsidRPr="003A0655">
        <w:t xml:space="preserve">objectif étant de </w:t>
      </w:r>
      <w:r w:rsidR="00DF683F" w:rsidRPr="003A0655">
        <w:t xml:space="preserve">vérifier </w:t>
      </w:r>
      <w:r w:rsidRPr="003A0655">
        <w:t>que ces sites permett</w:t>
      </w:r>
      <w:r w:rsidR="00DF683F" w:rsidRPr="003A0655">
        <w:t>ai</w:t>
      </w:r>
      <w:r w:rsidRPr="003A0655">
        <w:t>ent de générer les données requises. S</w:t>
      </w:r>
      <w:r w:rsidR="000B3BB8" w:rsidRPr="003A0655">
        <w:t>’</w:t>
      </w:r>
      <w:r w:rsidRPr="003A0655">
        <w:t>agissant des critères retenus pour choisir les régions d</w:t>
      </w:r>
      <w:r w:rsidR="000B3BB8" w:rsidRPr="003A0655">
        <w:t>’</w:t>
      </w:r>
      <w:r w:rsidRPr="003A0655">
        <w:t xml:space="preserve">implantation des stations de surveillance, </w:t>
      </w:r>
      <w:r w:rsidR="0082281B" w:rsidRPr="003A0655">
        <w:t>M.</w:t>
      </w:r>
      <w:r w:rsidR="0022012F" w:rsidRPr="003A0655">
        <w:t> </w:t>
      </w:r>
      <w:r w:rsidR="0082281B" w:rsidRPr="003A0655">
        <w:t xml:space="preserve">Ravishankara </w:t>
      </w:r>
      <w:r w:rsidRPr="003A0655">
        <w:t>a déclaré qu</w:t>
      </w:r>
      <w:r w:rsidR="000B3BB8" w:rsidRPr="003A0655">
        <w:t>’</w:t>
      </w:r>
      <w:r w:rsidRPr="003A0655">
        <w:t>il avait été tenu compte des écarts entre les calculs descendants et ascendants se rapportant aux émissions causées par certaines substances</w:t>
      </w:r>
      <w:r w:rsidR="0082281B" w:rsidRPr="003A0655">
        <w:t>, ce</w:t>
      </w:r>
      <w:r w:rsidRPr="003A0655">
        <w:t xml:space="preserve"> sujet de préoccupation ayant considérablement motivé l</w:t>
      </w:r>
      <w:r w:rsidR="000B3BB8" w:rsidRPr="003A0655">
        <w:t>’</w:t>
      </w:r>
      <w:r w:rsidRPr="003A0655">
        <w:t>établissement du programme actuel visant à créer des stations de surveillance</w:t>
      </w:r>
      <w:r w:rsidR="0082281B" w:rsidRPr="003A0655">
        <w:t>,</w:t>
      </w:r>
      <w:r w:rsidRPr="003A0655">
        <w:t xml:space="preserve"> ainsi que des possibles enjeux auxquels le Protocole de Montréal pourrait être confronté à l</w:t>
      </w:r>
      <w:r w:rsidR="000B3BB8" w:rsidRPr="003A0655">
        <w:t>’</w:t>
      </w:r>
      <w:r w:rsidRPr="003A0655">
        <w:t>avenir. L</w:t>
      </w:r>
      <w:r w:rsidR="000B3BB8" w:rsidRPr="003A0655">
        <w:t>’</w:t>
      </w:r>
      <w:r w:rsidRPr="003A0655">
        <w:t xml:space="preserve">emplacement actuel des stations </w:t>
      </w:r>
      <w:r w:rsidR="00DF683F" w:rsidRPr="003A0655">
        <w:t>du programme Veille de l</w:t>
      </w:r>
      <w:r w:rsidR="000B3BB8" w:rsidRPr="003A0655">
        <w:t>’</w:t>
      </w:r>
      <w:r w:rsidR="00DF683F" w:rsidRPr="003A0655">
        <w:t xml:space="preserve">atmosphère globale </w:t>
      </w:r>
      <w:r w:rsidRPr="003A0655">
        <w:t>a</w:t>
      </w:r>
      <w:r w:rsidR="00DF683F" w:rsidRPr="003A0655">
        <w:t>vait</w:t>
      </w:r>
      <w:r w:rsidRPr="003A0655">
        <w:t xml:space="preserve"> également été pris en considération. Quant à la question de savoir </w:t>
      </w:r>
      <w:r w:rsidR="0082281B" w:rsidRPr="003A0655">
        <w:t>s</w:t>
      </w:r>
      <w:r w:rsidR="000B3BB8" w:rsidRPr="003A0655">
        <w:t>’</w:t>
      </w:r>
      <w:r w:rsidR="0082281B" w:rsidRPr="003A0655">
        <w:t>il avait été tenu compte d</w:t>
      </w:r>
      <w:r w:rsidR="000B3BB8" w:rsidRPr="003A0655">
        <w:t>’</w:t>
      </w:r>
      <w:r w:rsidRPr="003A0655">
        <w:t xml:space="preserve">un seuil de concentration </w:t>
      </w:r>
      <w:r w:rsidR="00DF683F" w:rsidRPr="003A0655">
        <w:t xml:space="preserve">de substances réglementées </w:t>
      </w:r>
      <w:r w:rsidRPr="003A0655">
        <w:t xml:space="preserve">dans le choix des régions, </w:t>
      </w:r>
      <w:r w:rsidR="00F240D5" w:rsidRPr="003A0655">
        <w:t>M.</w:t>
      </w:r>
      <w:r w:rsidR="005B6FFA" w:rsidRPr="003A0655">
        <w:t> </w:t>
      </w:r>
      <w:r w:rsidR="00F240D5" w:rsidRPr="003A0655">
        <w:t>Ra</w:t>
      </w:r>
      <w:r w:rsidR="00957071" w:rsidRPr="003A0655">
        <w:t>v</w:t>
      </w:r>
      <w:r w:rsidR="00F240D5" w:rsidRPr="003A0655">
        <w:t xml:space="preserve">ishankara </w:t>
      </w:r>
      <w:r w:rsidRPr="003A0655">
        <w:t xml:space="preserve">a </w:t>
      </w:r>
      <w:r w:rsidR="00957071" w:rsidRPr="003A0655">
        <w:t xml:space="preserve">expliqué </w:t>
      </w:r>
      <w:r w:rsidRPr="003A0655">
        <w:t xml:space="preserve">que la question était complexe, compte tenu de </w:t>
      </w:r>
      <w:r w:rsidR="00957071" w:rsidRPr="003A0655">
        <w:t xml:space="preserve">la </w:t>
      </w:r>
      <w:r w:rsidRPr="003A0655">
        <w:t xml:space="preserve">variabilité </w:t>
      </w:r>
      <w:r w:rsidR="00957071" w:rsidRPr="003A0655">
        <w:t>que les</w:t>
      </w:r>
      <w:r w:rsidRPr="003A0655">
        <w:t xml:space="preserve"> échantillonnages quotidiens ou hebdomadaires</w:t>
      </w:r>
      <w:r w:rsidR="00957071" w:rsidRPr="003A0655">
        <w:t xml:space="preserve"> pouvaient donner à voir</w:t>
      </w:r>
      <w:r w:rsidRPr="003A0655">
        <w:t>. Il a également souligné le rôle décisif des expériences de simulation du système d</w:t>
      </w:r>
      <w:r w:rsidR="000B3BB8" w:rsidRPr="003A0655">
        <w:t>’</w:t>
      </w:r>
      <w:r w:rsidRPr="003A0655">
        <w:t xml:space="preserve">observation dans le choix des emplacements destinés à accueillir des stations de surveillance des émissions, et a évoqué la possibilité de reproduire ces expériences dans des lieux </w:t>
      </w:r>
      <w:r w:rsidR="00957071" w:rsidRPr="003A0655">
        <w:t xml:space="preserve">circonscrits </w:t>
      </w:r>
      <w:r w:rsidRPr="003A0655">
        <w:t xml:space="preserve">plus </w:t>
      </w:r>
      <w:r w:rsidR="00164D59" w:rsidRPr="003A0655">
        <w:t>étroite</w:t>
      </w:r>
      <w:r w:rsidR="00957071" w:rsidRPr="003A0655">
        <w:t>ment</w:t>
      </w:r>
      <w:r w:rsidRPr="003A0655">
        <w:t>, notamment dans des zones à topographie variée. Répondant à une observation selon laquelle la décision</w:t>
      </w:r>
      <w:r w:rsidR="00F134AE" w:rsidRPr="003A0655">
        <w:t> </w:t>
      </w:r>
      <w:r w:rsidRPr="003A0655">
        <w:t>XXXVI/1, qui avait défini le mandat sous-tendant les travaux actuels, ne faisait pas des niveaux d</w:t>
      </w:r>
      <w:r w:rsidR="000B3BB8" w:rsidRPr="003A0655">
        <w:t>’</w:t>
      </w:r>
      <w:r w:rsidRPr="003A0655">
        <w:t xml:space="preserve">émission un critère pour la sélection des sites, M. </w:t>
      </w:r>
      <w:proofErr w:type="spellStart"/>
      <w:r w:rsidRPr="003A0655">
        <w:t>Ravishankara</w:t>
      </w:r>
      <w:proofErr w:type="spellEnd"/>
      <w:r w:rsidRPr="003A0655">
        <w:t xml:space="preserve"> a déclaré que si l</w:t>
      </w:r>
      <w:r w:rsidR="000B3BB8" w:rsidRPr="003A0655">
        <w:t>’</w:t>
      </w:r>
      <w:r w:rsidRPr="003A0655">
        <w:t>objectif, à long terme, était de garantir une couverture mondiale, l</w:t>
      </w:r>
      <w:r w:rsidR="000B3BB8" w:rsidRPr="003A0655">
        <w:t>’</w:t>
      </w:r>
      <w:r w:rsidRPr="003A0655">
        <w:t>enjeu de ces premières phases était de déterminer où investir</w:t>
      </w:r>
      <w:r w:rsidR="00C53371" w:rsidRPr="003A0655">
        <w:t> ;</w:t>
      </w:r>
      <w:r w:rsidRPr="003A0655">
        <w:t xml:space="preserve"> dans cette perspective, s</w:t>
      </w:r>
      <w:r w:rsidR="000B3BB8" w:rsidRPr="003A0655">
        <w:t>’</w:t>
      </w:r>
      <w:r w:rsidRPr="003A0655">
        <w:t>employer à repérer les lieux où les émissions étaient les plus élevé</w:t>
      </w:r>
      <w:r w:rsidR="00DD5680" w:rsidRPr="003A0655">
        <w:t>e</w:t>
      </w:r>
      <w:r w:rsidRPr="003A0655">
        <w:t>s offrait le plus de chances d</w:t>
      </w:r>
      <w:r w:rsidR="000B3BB8" w:rsidRPr="003A0655">
        <w:t>’</w:t>
      </w:r>
      <w:r w:rsidRPr="003A0655">
        <w:t xml:space="preserve">aboutir à la collecte de données utiles. </w:t>
      </w:r>
    </w:p>
    <w:p w14:paraId="6A63616B" w14:textId="30168208" w:rsidR="005C0F4B" w:rsidRPr="003A0655" w:rsidRDefault="005C0F4B" w:rsidP="00096437">
      <w:pPr>
        <w:pStyle w:val="Normalnumber"/>
        <w:tabs>
          <w:tab w:val="clear" w:pos="1247"/>
        </w:tabs>
        <w:rPr>
          <w:bCs/>
        </w:rPr>
      </w:pPr>
      <w:r w:rsidRPr="003A0655">
        <w:t>Répondant à une question sur les critères susceptibles d</w:t>
      </w:r>
      <w:r w:rsidR="000B3BB8" w:rsidRPr="003A0655">
        <w:t>’</w:t>
      </w:r>
      <w:r w:rsidRPr="003A0655">
        <w:t xml:space="preserve">être appliqués pour choisir entre un échantillonnage </w:t>
      </w:r>
      <w:r w:rsidRPr="003A0655">
        <w:rPr>
          <w:i/>
          <w:iCs/>
        </w:rPr>
        <w:t>in situ</w:t>
      </w:r>
      <w:r w:rsidRPr="003A0655">
        <w:t xml:space="preserve"> à haute fréquence ou un échantillonnage en flacons, M. </w:t>
      </w:r>
      <w:proofErr w:type="spellStart"/>
      <w:r w:rsidRPr="003A0655">
        <w:t>Ravishankara</w:t>
      </w:r>
      <w:proofErr w:type="spellEnd"/>
      <w:r w:rsidRPr="003A0655">
        <w:t xml:space="preserve"> a déclaré que la question n</w:t>
      </w:r>
      <w:r w:rsidR="000B3BB8" w:rsidRPr="003A0655">
        <w:t>’</w:t>
      </w:r>
      <w:r w:rsidRPr="003A0655">
        <w:t>était pas tranchée, sachant qu</w:t>
      </w:r>
      <w:r w:rsidR="000B3BB8" w:rsidRPr="003A0655">
        <w:t>’</w:t>
      </w:r>
      <w:r w:rsidRPr="003A0655">
        <w:t xml:space="preserve">il était également possible de procéder à un échantillonnage en flacons à haute fréquence. En règle générale, plus la fréquence des mesures était élevée, plus les résultats </w:t>
      </w:r>
      <w:r w:rsidR="00003D6B" w:rsidRPr="003A0655">
        <w:t xml:space="preserve">de la modélisation inverse des émissions </w:t>
      </w:r>
      <w:r w:rsidRPr="003A0655">
        <w:t>étaient précis. Les deux</w:t>
      </w:r>
      <w:r w:rsidR="0056166B" w:rsidRPr="003A0655">
        <w:t> </w:t>
      </w:r>
      <w:r w:rsidRPr="003A0655">
        <w:t>méthodes supposaient de calculer l</w:t>
      </w:r>
      <w:r w:rsidR="000B3BB8" w:rsidRPr="003A0655">
        <w:t>’</w:t>
      </w:r>
      <w:r w:rsidRPr="003A0655">
        <w:t>intensité de l</w:t>
      </w:r>
      <w:r w:rsidR="000B3BB8" w:rsidRPr="003A0655">
        <w:t>’</w:t>
      </w:r>
      <w:r w:rsidRPr="003A0655">
        <w:t>émission. La principale différence tenait au fait que, dans le cas d</w:t>
      </w:r>
      <w:r w:rsidR="000B3BB8" w:rsidRPr="003A0655">
        <w:t>’</w:t>
      </w:r>
      <w:r w:rsidRPr="003A0655">
        <w:t>une station de mesure à haute fréquence, l</w:t>
      </w:r>
      <w:r w:rsidR="000B3BB8" w:rsidRPr="003A0655">
        <w:t>’</w:t>
      </w:r>
      <w:r w:rsidRPr="003A0655">
        <w:t>appareillage de mesure et les compétences spécialisées en matière d</w:t>
      </w:r>
      <w:r w:rsidR="000B3BB8" w:rsidRPr="003A0655">
        <w:t>’</w:t>
      </w:r>
      <w:r w:rsidRPr="003A0655">
        <w:t>analyse étaient disponibles sur place, tandis que dans le cas d</w:t>
      </w:r>
      <w:r w:rsidR="000B3BB8" w:rsidRPr="003A0655">
        <w:t>’</w:t>
      </w:r>
      <w:r w:rsidRPr="003A0655">
        <w:t>un échantillonnage en flacons, les installations d</w:t>
      </w:r>
      <w:r w:rsidR="000B3BB8" w:rsidRPr="003A0655">
        <w:t>’</w:t>
      </w:r>
      <w:r w:rsidRPr="003A0655">
        <w:t xml:space="preserve">analyse se trouvaient dans des laboratoires </w:t>
      </w:r>
      <w:r w:rsidR="008F3634" w:rsidRPr="003A0655">
        <w:t xml:space="preserve">situés </w:t>
      </w:r>
      <w:r w:rsidR="00003D6B" w:rsidRPr="003A0655">
        <w:t>ailleurs que le lieu d</w:t>
      </w:r>
      <w:r w:rsidR="000B3BB8" w:rsidRPr="003A0655">
        <w:t>’</w:t>
      </w:r>
      <w:r w:rsidR="00003D6B" w:rsidRPr="003A0655">
        <w:t>échantillonnage</w:t>
      </w:r>
      <w:r w:rsidRPr="003A0655">
        <w:t xml:space="preserve">. </w:t>
      </w:r>
      <w:r w:rsidR="00431DD1" w:rsidRPr="003A0655">
        <w:t xml:space="preserve">M. </w:t>
      </w:r>
      <w:proofErr w:type="spellStart"/>
      <w:r w:rsidR="00431DD1" w:rsidRPr="003A0655">
        <w:t>Ravishankara</w:t>
      </w:r>
      <w:proofErr w:type="spellEnd"/>
      <w:r w:rsidR="00431DD1" w:rsidRPr="003A0655">
        <w:t xml:space="preserve"> </w:t>
      </w:r>
      <w:r w:rsidRPr="003A0655">
        <w:t xml:space="preserve">a par ailleurs déclaré </w:t>
      </w:r>
      <w:r w:rsidR="00431DD1" w:rsidRPr="003A0655">
        <w:t>qu</w:t>
      </w:r>
      <w:r w:rsidR="000B3BB8" w:rsidRPr="003A0655">
        <w:t>’</w:t>
      </w:r>
      <w:r w:rsidR="00431DD1" w:rsidRPr="003A0655">
        <w:t>il fallait procéder avec le plus grand soin</w:t>
      </w:r>
      <w:r w:rsidRPr="003A0655">
        <w:t xml:space="preserve"> pour garantir la qualité des données, </w:t>
      </w:r>
      <w:r w:rsidR="00431DD1" w:rsidRPr="003A0655">
        <w:t>dont dépendait</w:t>
      </w:r>
      <w:r w:rsidRPr="003A0655">
        <w:t xml:space="preserve"> l</w:t>
      </w:r>
      <w:r w:rsidR="000B3BB8" w:rsidRPr="003A0655">
        <w:t>’</w:t>
      </w:r>
      <w:r w:rsidRPr="003A0655">
        <w:t>estimation des niveaux d</w:t>
      </w:r>
      <w:r w:rsidR="000B3BB8" w:rsidRPr="003A0655">
        <w:t>’</w:t>
      </w:r>
      <w:r w:rsidRPr="003A0655">
        <w:t>émissions. Les questions logistiques étaient également cruciales</w:t>
      </w:r>
      <w:r w:rsidR="00431DD1" w:rsidRPr="003A0655">
        <w:t> ; ainsi,</w:t>
      </w:r>
      <w:r w:rsidRPr="003A0655">
        <w:t xml:space="preserve"> dans la station de surveillance de l</w:t>
      </w:r>
      <w:r w:rsidR="000B3BB8" w:rsidRPr="003A0655">
        <w:t>’</w:t>
      </w:r>
      <w:r w:rsidRPr="003A0655">
        <w:t>île de Bhola</w:t>
      </w:r>
      <w:r w:rsidR="00003D6B" w:rsidRPr="003A0655">
        <w:t xml:space="preserve"> (Bangladesh)</w:t>
      </w:r>
      <w:r w:rsidRPr="003A0655">
        <w:t xml:space="preserve">, certains résultats </w:t>
      </w:r>
      <w:r w:rsidR="00431DD1" w:rsidRPr="003A0655">
        <w:t xml:space="preserve">avaient </w:t>
      </w:r>
      <w:r w:rsidRPr="003A0655">
        <w:t>été faussés en raison d</w:t>
      </w:r>
      <w:r w:rsidR="000B3BB8" w:rsidRPr="003A0655">
        <w:t>’</w:t>
      </w:r>
      <w:r w:rsidRPr="003A0655">
        <w:t>une fuite au niveau d</w:t>
      </w:r>
      <w:r w:rsidR="000B3BB8" w:rsidRPr="003A0655">
        <w:t>’</w:t>
      </w:r>
      <w:r w:rsidRPr="003A0655">
        <w:t xml:space="preserve">un flacon. </w:t>
      </w:r>
    </w:p>
    <w:p w14:paraId="019D29FB" w14:textId="32B2D78F" w:rsidR="005C0F4B" w:rsidRPr="003A0655" w:rsidRDefault="005C0F4B" w:rsidP="00096437">
      <w:pPr>
        <w:pStyle w:val="Normalnumber"/>
        <w:tabs>
          <w:tab w:val="clear" w:pos="1247"/>
        </w:tabs>
      </w:pPr>
      <w:r w:rsidRPr="003A0655">
        <w:t>En réponse à une question sur le financement d</w:t>
      </w:r>
      <w:r w:rsidR="000B3BB8" w:rsidRPr="003A0655">
        <w:t>’</w:t>
      </w:r>
      <w:r w:rsidRPr="003A0655">
        <w:t>un programme de surveillance atmosphérique au-delà du délai de cinq</w:t>
      </w:r>
      <w:r w:rsidR="0056166B" w:rsidRPr="003A0655">
        <w:t> </w:t>
      </w:r>
      <w:r w:rsidRPr="003A0655">
        <w:t xml:space="preserve">ans proposé, M. </w:t>
      </w:r>
      <w:proofErr w:type="spellStart"/>
      <w:r w:rsidRPr="003A0655">
        <w:t>Ravishankara</w:t>
      </w:r>
      <w:proofErr w:type="spellEnd"/>
      <w:r w:rsidRPr="003A0655">
        <w:t xml:space="preserve"> a souligné l</w:t>
      </w:r>
      <w:r w:rsidR="000B3BB8" w:rsidRPr="003A0655">
        <w:t>’</w:t>
      </w:r>
      <w:r w:rsidRPr="003A0655">
        <w:t>importance des contributions nationales en nature, notamment sous la forme de personnel qualifié capable de prendre des mesures et d</w:t>
      </w:r>
      <w:r w:rsidR="000B3BB8" w:rsidRPr="003A0655">
        <w:t>’</w:t>
      </w:r>
      <w:r w:rsidRPr="003A0655">
        <w:t xml:space="preserve">interpréter les données avec </w:t>
      </w:r>
      <w:r w:rsidR="00431DD1" w:rsidRPr="003A0655">
        <w:t>exactitude</w:t>
      </w:r>
      <w:r w:rsidRPr="003A0655">
        <w:t>. D</w:t>
      </w:r>
      <w:r w:rsidR="000B3BB8" w:rsidRPr="003A0655">
        <w:t>’</w:t>
      </w:r>
      <w:r w:rsidRPr="003A0655">
        <w:t xml:space="preserve">importantes économies pouvaient </w:t>
      </w:r>
      <w:r w:rsidR="00003D6B" w:rsidRPr="003A0655">
        <w:t xml:space="preserve">aussi </w:t>
      </w:r>
      <w:r w:rsidRPr="003A0655">
        <w:t>être réalisées</w:t>
      </w:r>
      <w:r w:rsidR="00003D6B" w:rsidRPr="003A0655">
        <w:t xml:space="preserve"> ; ainsi, </w:t>
      </w:r>
      <w:r w:rsidRPr="003A0655">
        <w:t>les contributions en nature mobilisées dans le cadre de l</w:t>
      </w:r>
      <w:r w:rsidR="000B3BB8" w:rsidRPr="003A0655">
        <w:t>’</w:t>
      </w:r>
      <w:r w:rsidRPr="003A0655">
        <w:t>étude sur le Bangladesh avaient permis de recueillir une grande quantité de données. La plupart des stations de surveillance existantes étaient financées par des organismes nationaux, y</w:t>
      </w:r>
      <w:r w:rsidR="0056166B" w:rsidRPr="003A0655">
        <w:t> </w:t>
      </w:r>
      <w:r w:rsidRPr="003A0655">
        <w:t>compris des laboratoires et des universités. Le programme régional de surveillance atmosphérique proposé dans le cadre du Protocole de</w:t>
      </w:r>
      <w:r w:rsidR="0056166B" w:rsidRPr="003A0655">
        <w:t> </w:t>
      </w:r>
      <w:r w:rsidRPr="003A0655">
        <w:t>Montréal s</w:t>
      </w:r>
      <w:r w:rsidR="000B3BB8" w:rsidRPr="003A0655">
        <w:t>’</w:t>
      </w:r>
      <w:r w:rsidRPr="003A0655">
        <w:t>accompagnerait d</w:t>
      </w:r>
      <w:r w:rsidR="000B3BB8" w:rsidRPr="003A0655">
        <w:t>’</w:t>
      </w:r>
      <w:r w:rsidRPr="003A0655">
        <w:t>un changement d</w:t>
      </w:r>
      <w:r w:rsidR="000B3BB8" w:rsidRPr="003A0655">
        <w:t>’</w:t>
      </w:r>
      <w:r w:rsidRPr="003A0655">
        <w:t>orientation. Ainsi, toutes les données émanant de telles sources seraient mises sur un pied d</w:t>
      </w:r>
      <w:r w:rsidR="000B3BB8" w:rsidRPr="003A0655">
        <w:t>’</w:t>
      </w:r>
      <w:r w:rsidRPr="003A0655">
        <w:t>égalité et traitées au moyen des mêmes échelles d</w:t>
      </w:r>
      <w:r w:rsidR="000B3BB8" w:rsidRPr="003A0655">
        <w:t>’</w:t>
      </w:r>
      <w:r w:rsidRPr="003A0655">
        <w:t xml:space="preserve">étalonnage, </w:t>
      </w:r>
      <w:r w:rsidR="005F75A6" w:rsidRPr="003A0655">
        <w:t>afin</w:t>
      </w:r>
      <w:r w:rsidRPr="003A0655">
        <w:t xml:space="preserve"> de garantir leur comparabilité au niveau mondial. </w:t>
      </w:r>
      <w:r w:rsidR="00EF4E94" w:rsidRPr="003A0655">
        <w:t>En termes de</w:t>
      </w:r>
      <w:r w:rsidRPr="003A0655">
        <w:t xml:space="preserve"> coûts</w:t>
      </w:r>
      <w:r w:rsidR="00EF4E94" w:rsidRPr="003A0655">
        <w:t>,</w:t>
      </w:r>
      <w:r w:rsidRPr="003A0655">
        <w:t xml:space="preserve"> on pouvait s</w:t>
      </w:r>
      <w:r w:rsidR="000B3BB8" w:rsidRPr="003A0655">
        <w:t>’</w:t>
      </w:r>
      <w:r w:rsidRPr="003A0655">
        <w:t>attendre à ce que l</w:t>
      </w:r>
      <w:r w:rsidR="00EF4E94" w:rsidRPr="003A0655">
        <w:t>e coût d</w:t>
      </w:r>
      <w:r w:rsidRPr="003A0655">
        <w:t xml:space="preserve">es investissements initiaux dans </w:t>
      </w:r>
      <w:r w:rsidR="00EF4E94" w:rsidRPr="003A0655">
        <w:t xml:space="preserve">les </w:t>
      </w:r>
      <w:r w:rsidRPr="003A0655">
        <w:t xml:space="preserve">infrastructures </w:t>
      </w:r>
      <w:r w:rsidR="00EF4E94" w:rsidRPr="003A0655">
        <w:t xml:space="preserve">nécessaires aux activités de surveillance </w:t>
      </w:r>
      <w:r w:rsidRPr="003A0655">
        <w:t xml:space="preserve">diminue à mesure de </w:t>
      </w:r>
      <w:r w:rsidR="00EF4E94" w:rsidRPr="003A0655">
        <w:t xml:space="preserve">la mise en place </w:t>
      </w:r>
      <w:r w:rsidR="001614E6" w:rsidRPr="003A0655">
        <w:t xml:space="preserve">de </w:t>
      </w:r>
      <w:r w:rsidRPr="003A0655">
        <w:t xml:space="preserve">nouvelles stations et </w:t>
      </w:r>
      <w:r w:rsidR="001614E6" w:rsidRPr="003A0655">
        <w:t>de la constitution d</w:t>
      </w:r>
      <w:r w:rsidR="000B3BB8" w:rsidRPr="003A0655">
        <w:t>’</w:t>
      </w:r>
      <w:r w:rsidRPr="003A0655">
        <w:t xml:space="preserve">un marché dédié aux instruments hautement spécialisés </w:t>
      </w:r>
      <w:r w:rsidR="00EF4E94" w:rsidRPr="003A0655">
        <w:t>connexes</w:t>
      </w:r>
      <w:r w:rsidRPr="003A0655">
        <w:t>,</w:t>
      </w:r>
      <w:r w:rsidR="00EF4E94" w:rsidRPr="003A0655">
        <w:t xml:space="preserve"> qui devrait</w:t>
      </w:r>
      <w:r w:rsidRPr="003A0655">
        <w:t xml:space="preserve"> entraîn</w:t>
      </w:r>
      <w:r w:rsidR="00EF4E94" w:rsidRPr="003A0655">
        <w:t>er</w:t>
      </w:r>
      <w:r w:rsidRPr="003A0655">
        <w:t xml:space="preserve"> une </w:t>
      </w:r>
      <w:r w:rsidR="00EF4E94" w:rsidRPr="003A0655">
        <w:t xml:space="preserve">baisse </w:t>
      </w:r>
      <w:r w:rsidRPr="003A0655">
        <w:t xml:space="preserve">des prix </w:t>
      </w:r>
      <w:r w:rsidR="001614E6" w:rsidRPr="003A0655">
        <w:t>avec l</w:t>
      </w:r>
      <w:r w:rsidR="000B3BB8" w:rsidRPr="003A0655">
        <w:t>’</w:t>
      </w:r>
      <w:r w:rsidR="001614E6" w:rsidRPr="003A0655">
        <w:t xml:space="preserve">entrée </w:t>
      </w:r>
      <w:r w:rsidRPr="003A0655">
        <w:t>de nouveaux fournisseurs</w:t>
      </w:r>
      <w:r w:rsidR="00EF4E94" w:rsidRPr="003A0655">
        <w:t xml:space="preserve"> sur ce marché</w:t>
      </w:r>
      <w:r w:rsidRPr="003A0655">
        <w:t>. Répondant à une question sur d</w:t>
      </w:r>
      <w:r w:rsidR="000B3BB8" w:rsidRPr="003A0655">
        <w:t>’</w:t>
      </w:r>
      <w:r w:rsidRPr="003A0655">
        <w:t>éventuelles collaborations avec les institutions compétentes afin d</w:t>
      </w:r>
      <w:r w:rsidR="000B3BB8" w:rsidRPr="003A0655">
        <w:t>’</w:t>
      </w:r>
      <w:r w:rsidRPr="003A0655">
        <w:t>améliorer la rentabilité, l</w:t>
      </w:r>
      <w:r w:rsidR="000B3BB8" w:rsidRPr="003A0655">
        <w:t>’</w:t>
      </w:r>
      <w:r w:rsidRPr="003A0655">
        <w:t xml:space="preserve">efficacité et la </w:t>
      </w:r>
      <w:r w:rsidR="00305CE0" w:rsidRPr="003A0655">
        <w:t xml:space="preserve">durabilité </w:t>
      </w:r>
      <w:r w:rsidRPr="003A0655">
        <w:t xml:space="preserve">des fonds, </w:t>
      </w:r>
      <w:r w:rsidR="007E1E65" w:rsidRPr="003A0655">
        <w:t>M.</w:t>
      </w:r>
      <w:r w:rsidR="003E5A4E" w:rsidRPr="003A0655">
        <w:t> </w:t>
      </w:r>
      <w:r w:rsidR="007E1E65" w:rsidRPr="003A0655">
        <w:t xml:space="preserve">Ravishankara </w:t>
      </w:r>
      <w:r w:rsidRPr="003A0655">
        <w:t>a déclaré que des activités de cette nature seraient effectivement bienvenues, sachant qu</w:t>
      </w:r>
      <w:r w:rsidR="000B3BB8" w:rsidRPr="003A0655">
        <w:t>’</w:t>
      </w:r>
      <w:r w:rsidRPr="003A0655">
        <w:t xml:space="preserve">un certain nombre de pays disposaient de capacités techniques considérables </w:t>
      </w:r>
      <w:r w:rsidR="00EF4E94" w:rsidRPr="003A0655">
        <w:t xml:space="preserve">pour les activités </w:t>
      </w:r>
      <w:r w:rsidRPr="003A0655">
        <w:t xml:space="preserve">de surveillance atmosphérique, appuyées par des installations </w:t>
      </w:r>
      <w:r w:rsidR="00612709" w:rsidRPr="003A0655">
        <w:t>de pointe</w:t>
      </w:r>
      <w:r w:rsidRPr="003A0655">
        <w:t xml:space="preserve">. Il serait également possible de nouer des liens de collaboration avec </w:t>
      </w:r>
      <w:r w:rsidR="0008252A" w:rsidRPr="003A0655">
        <w:t>d</w:t>
      </w:r>
      <w:r w:rsidRPr="003A0655">
        <w:t>es organisations non gouvernementales, tout comme il serait utile d</w:t>
      </w:r>
      <w:r w:rsidR="000B3BB8" w:rsidRPr="003A0655">
        <w:t>’</w:t>
      </w:r>
      <w:r w:rsidRPr="003A0655">
        <w:t>entrer en contact avec l</w:t>
      </w:r>
      <w:r w:rsidR="000B3BB8" w:rsidRPr="003A0655">
        <w:t>’</w:t>
      </w:r>
      <w:r w:rsidRPr="003A0655">
        <w:t xml:space="preserve">ensemble des programmes concernés pour éviter les doubles emplois et assurer les synergies. </w:t>
      </w:r>
      <w:r w:rsidR="0008252A" w:rsidRPr="003A0655">
        <w:t>M.</w:t>
      </w:r>
      <w:r w:rsidR="003E5A4E" w:rsidRPr="003A0655">
        <w:t> </w:t>
      </w:r>
      <w:r w:rsidR="0008252A" w:rsidRPr="003A0655">
        <w:t xml:space="preserve">Ravishankara </w:t>
      </w:r>
      <w:r w:rsidRPr="003A0655">
        <w:t>a souligné que le transfert de connaissances, dans un sens comme dans l</w:t>
      </w:r>
      <w:r w:rsidR="000B3BB8" w:rsidRPr="003A0655">
        <w:t>’</w:t>
      </w:r>
      <w:r w:rsidRPr="003A0655">
        <w:t>autre, était l</w:t>
      </w:r>
      <w:r w:rsidR="000B3BB8" w:rsidRPr="003A0655">
        <w:t>’</w:t>
      </w:r>
      <w:r w:rsidRPr="003A0655">
        <w:t>un des piliers du programme, les savoirs locaux étant essentiels au fonctionnement des stations de surveillance. Il était possible d</w:t>
      </w:r>
      <w:r w:rsidR="000B3BB8" w:rsidRPr="003A0655">
        <w:t>’</w:t>
      </w:r>
      <w:r w:rsidRPr="003A0655">
        <w:t xml:space="preserve">établir des modalités de formation innovantes, notamment de jumeler une station et un laboratoire donnés dans le cadre </w:t>
      </w:r>
      <w:r w:rsidR="00080862" w:rsidRPr="003A0655">
        <w:t>d</w:t>
      </w:r>
      <w:r w:rsidR="000B3BB8" w:rsidRPr="003A0655">
        <w:t>’</w:t>
      </w:r>
      <w:r w:rsidR="00080862" w:rsidRPr="003A0655">
        <w:t>une</w:t>
      </w:r>
      <w:r w:rsidRPr="003A0655">
        <w:t xml:space="preserve"> formation en cours d</w:t>
      </w:r>
      <w:r w:rsidR="000B3BB8" w:rsidRPr="003A0655">
        <w:t>’</w:t>
      </w:r>
      <w:r w:rsidRPr="003A0655">
        <w:t xml:space="preserve">emploi. Quant à la question de savoir si des partenaires adéquats avaient déjà été trouvés pour les </w:t>
      </w:r>
      <w:r w:rsidR="00EF4E94" w:rsidRPr="003A0655">
        <w:t>10</w:t>
      </w:r>
      <w:r w:rsidR="0022012F" w:rsidRPr="003A0655">
        <w:t> </w:t>
      </w:r>
      <w:r w:rsidRPr="003A0655">
        <w:t>sites de surveillance potentiels examinés jusqu</w:t>
      </w:r>
      <w:r w:rsidR="000B3BB8" w:rsidRPr="003A0655">
        <w:t>’</w:t>
      </w:r>
      <w:r w:rsidRPr="003A0655">
        <w:t xml:space="preserve">à présent, </w:t>
      </w:r>
      <w:r w:rsidR="00080862" w:rsidRPr="003A0655">
        <w:t>M</w:t>
      </w:r>
      <w:r w:rsidR="003E5A4E" w:rsidRPr="003A0655">
        <w:t>.</w:t>
      </w:r>
      <w:r w:rsidR="004B67F8" w:rsidRPr="003A0655">
        <w:t> </w:t>
      </w:r>
      <w:r w:rsidR="00080862" w:rsidRPr="003A0655">
        <w:t xml:space="preserve">Ravishankara </w:t>
      </w:r>
      <w:r w:rsidRPr="003A0655">
        <w:t>a déclaré que le processus était enclenché et que des discussions étaient en cours avec d</w:t>
      </w:r>
      <w:r w:rsidR="000B3BB8" w:rsidRPr="003A0655">
        <w:t>’</w:t>
      </w:r>
      <w:r w:rsidRPr="003A0655">
        <w:t xml:space="preserve">éventuels partenaires. </w:t>
      </w:r>
    </w:p>
    <w:p w14:paraId="05602913" w14:textId="18247A9F" w:rsidR="005C0F4B" w:rsidRPr="003A0655" w:rsidRDefault="005C0F4B" w:rsidP="00096437">
      <w:pPr>
        <w:pStyle w:val="Normalnumber"/>
        <w:tabs>
          <w:tab w:val="clear" w:pos="1247"/>
        </w:tabs>
      </w:pPr>
      <w:r w:rsidRPr="003A0655">
        <w:t>S</w:t>
      </w:r>
      <w:r w:rsidR="000B3BB8" w:rsidRPr="003A0655">
        <w:t>’</w:t>
      </w:r>
      <w:r w:rsidRPr="003A0655">
        <w:t>agissant des possibilités de collaboration avec les sites relevant du Traité d</w:t>
      </w:r>
      <w:r w:rsidR="000B3BB8" w:rsidRPr="003A0655">
        <w:t>’</w:t>
      </w:r>
      <w:r w:rsidRPr="003A0655">
        <w:t>interdiction complète des essais nucléaires, M.</w:t>
      </w:r>
      <w:r w:rsidR="003E5A4E" w:rsidRPr="003A0655">
        <w:t> </w:t>
      </w:r>
      <w:r w:rsidRPr="003A0655">
        <w:t xml:space="preserve">Ravishankara a déclaré que </w:t>
      </w:r>
      <w:r w:rsidR="00EF4E94" w:rsidRPr="003A0655">
        <w:t xml:space="preserve">le Traité </w:t>
      </w:r>
      <w:r w:rsidRPr="003A0655">
        <w:t xml:space="preserve">procédait principalement à des mesures </w:t>
      </w:r>
      <w:r w:rsidR="000A18B5" w:rsidRPr="003A0655">
        <w:t>à</w:t>
      </w:r>
      <w:r w:rsidRPr="003A0655">
        <w:t xml:space="preserve"> la surface</w:t>
      </w:r>
      <w:r w:rsidR="000A18B5" w:rsidRPr="003A0655">
        <w:t xml:space="preserve"> terrestre</w:t>
      </w:r>
      <w:r w:rsidRPr="003A0655">
        <w:t>, alors que la surveillance des substances réglementées par le Protocole de Montréal s</w:t>
      </w:r>
      <w:r w:rsidR="000B3BB8" w:rsidRPr="003A0655">
        <w:t>’</w:t>
      </w:r>
      <w:r w:rsidRPr="003A0655">
        <w:t>effectuait dans l</w:t>
      </w:r>
      <w:r w:rsidR="000B3BB8" w:rsidRPr="003A0655">
        <w:t>’</w:t>
      </w:r>
      <w:r w:rsidRPr="003A0655">
        <w:t xml:space="preserve">atmosphère, ce qui constituait une différence majeure. Cela étant, la collaboration des </w:t>
      </w:r>
      <w:r w:rsidR="00EF4E94" w:rsidRPr="003A0655">
        <w:t xml:space="preserve">expert(e)s </w:t>
      </w:r>
      <w:r w:rsidRPr="003A0655">
        <w:t>d</w:t>
      </w:r>
      <w:r w:rsidR="00981329" w:rsidRPr="003A0655">
        <w:t>u</w:t>
      </w:r>
      <w:r w:rsidRPr="003A0655">
        <w:t xml:space="preserve"> </w:t>
      </w:r>
      <w:r w:rsidR="00981329" w:rsidRPr="003A0655">
        <w:t>Traité d</w:t>
      </w:r>
      <w:r w:rsidR="000B3BB8" w:rsidRPr="003A0655">
        <w:t>’</w:t>
      </w:r>
      <w:r w:rsidR="00981329" w:rsidRPr="003A0655">
        <w:t>interdiction complète des essais nucléaires</w:t>
      </w:r>
      <w:r w:rsidR="00981329" w:rsidRPr="003A0655" w:rsidDel="00981329">
        <w:t xml:space="preserve"> </w:t>
      </w:r>
      <w:r w:rsidRPr="003A0655">
        <w:t>dans le cadre des initiatives de surveillance atmosphérique menées au titre du Protocole de Montréal s</w:t>
      </w:r>
      <w:r w:rsidR="000B3BB8" w:rsidRPr="003A0655">
        <w:t>’</w:t>
      </w:r>
      <w:r w:rsidRPr="003A0655">
        <w:t>était avérée d</w:t>
      </w:r>
      <w:r w:rsidR="000B3BB8" w:rsidRPr="003A0655">
        <w:t>’</w:t>
      </w:r>
      <w:r w:rsidRPr="003A0655">
        <w:t xml:space="preserve">un grand secours. </w:t>
      </w:r>
    </w:p>
    <w:p w14:paraId="55147BCB" w14:textId="494608AB" w:rsidR="005C0F4B" w:rsidRPr="003A0655" w:rsidRDefault="005C0F4B" w:rsidP="00096437">
      <w:pPr>
        <w:pStyle w:val="Normalnumber"/>
        <w:tabs>
          <w:tab w:val="clear" w:pos="1247"/>
        </w:tabs>
      </w:pPr>
      <w:r w:rsidRPr="003A0655">
        <w:t xml:space="preserve">Répondant à une question relative aux effets que pourrait avoir le climat sur les stations de surveillance situées dans des zones exposées à des conditions météorologiques extrêmes, notamment des ouragans, M. </w:t>
      </w:r>
      <w:proofErr w:type="spellStart"/>
      <w:r w:rsidRPr="003A0655">
        <w:t>Ravishankara</w:t>
      </w:r>
      <w:proofErr w:type="spellEnd"/>
      <w:r w:rsidRPr="003A0655">
        <w:t xml:space="preserve"> a déclaré que des conditions météorologiques extrêmes pouvaient effectivement causer la destruction d</w:t>
      </w:r>
      <w:r w:rsidR="000B3BB8" w:rsidRPr="003A0655">
        <w:t>’</w:t>
      </w:r>
      <w:r w:rsidRPr="003A0655">
        <w:t>une station météorologique et que les coûts associés à la construction d</w:t>
      </w:r>
      <w:r w:rsidR="000B3BB8" w:rsidRPr="003A0655">
        <w:t>’</w:t>
      </w:r>
      <w:r w:rsidRPr="003A0655">
        <w:t xml:space="preserve">une tour capable de résister à de telles conditions </w:t>
      </w:r>
      <w:r w:rsidR="00981329" w:rsidRPr="003A0655">
        <w:t xml:space="preserve">avaient déjà été pris en </w:t>
      </w:r>
      <w:r w:rsidRPr="003A0655">
        <w:t>considéra</w:t>
      </w:r>
      <w:r w:rsidR="00981329" w:rsidRPr="003A0655">
        <w:t>tion</w:t>
      </w:r>
      <w:r w:rsidRPr="003A0655">
        <w:t xml:space="preserve">. </w:t>
      </w:r>
    </w:p>
    <w:p w14:paraId="0DDE016F" w14:textId="75FA5283" w:rsidR="005C0F4B" w:rsidRPr="003A0655" w:rsidRDefault="005C0F4B" w:rsidP="00096437">
      <w:pPr>
        <w:pStyle w:val="Normalnumber"/>
        <w:tabs>
          <w:tab w:val="clear" w:pos="1247"/>
        </w:tabs>
      </w:pPr>
      <w:r w:rsidRPr="003A0655">
        <w:t>Mme</w:t>
      </w:r>
      <w:r w:rsidR="001E0EBD" w:rsidRPr="003A0655">
        <w:rPr>
          <w:vertAlign w:val="superscript"/>
        </w:rPr>
        <w:t> </w:t>
      </w:r>
      <w:r w:rsidRPr="003A0655">
        <w:t xml:space="preserve">Mylona a répondu aux questions ayant trait aux aspects financiers du programme de mesure. </w:t>
      </w:r>
      <w:r w:rsidR="00517BCE" w:rsidRPr="003A0655">
        <w:t>Elle a indiqué que les</w:t>
      </w:r>
      <w:r w:rsidRPr="003A0655">
        <w:t xml:space="preserve"> différentes </w:t>
      </w:r>
      <w:r w:rsidR="00517BCE" w:rsidRPr="003A0655">
        <w:t xml:space="preserve">options </w:t>
      </w:r>
      <w:r w:rsidR="009356D3" w:rsidRPr="003A0655">
        <w:t>pour</w:t>
      </w:r>
      <w:r w:rsidRPr="003A0655">
        <w:t xml:space="preserve"> la mise en place des systèmes d</w:t>
      </w:r>
      <w:r w:rsidR="000B3BB8" w:rsidRPr="003A0655">
        <w:t>’</w:t>
      </w:r>
      <w:r w:rsidRPr="003A0655">
        <w:t>échantillonnage dépendaient des fonds disponibles et de la combinaison souhaitée en matière de méthodes d</w:t>
      </w:r>
      <w:r w:rsidR="000B3BB8" w:rsidRPr="003A0655">
        <w:t>’</w:t>
      </w:r>
      <w:r w:rsidRPr="003A0655">
        <w:t>échantillonnage. La subvention en suspens de l</w:t>
      </w:r>
      <w:r w:rsidR="000B3BB8" w:rsidRPr="003A0655">
        <w:t>’</w:t>
      </w:r>
      <w:r w:rsidRPr="003A0655">
        <w:t>Union européenne au fonds d</w:t>
      </w:r>
      <w:r w:rsidR="000B3BB8" w:rsidRPr="003A0655">
        <w:t>’</w:t>
      </w:r>
      <w:r w:rsidRPr="003A0655">
        <w:t>affectation spéciale général destiné à financer des activités de recherche et d</w:t>
      </w:r>
      <w:r w:rsidR="000B3BB8" w:rsidRPr="003A0655">
        <w:t>’</w:t>
      </w:r>
      <w:r w:rsidRPr="003A0655">
        <w:t>observations systématiques au titre de la Convention de</w:t>
      </w:r>
      <w:r w:rsidR="001E0EBD" w:rsidRPr="003A0655">
        <w:t> </w:t>
      </w:r>
      <w:r w:rsidRPr="003A0655">
        <w:t xml:space="preserve">Vienne pourrait par exemple permettre de financer une station de surveillance </w:t>
      </w:r>
      <w:r w:rsidRPr="003A0655">
        <w:rPr>
          <w:i/>
          <w:iCs/>
        </w:rPr>
        <w:t>in</w:t>
      </w:r>
      <w:r w:rsidR="005B6FFA" w:rsidRPr="003A0655">
        <w:rPr>
          <w:i/>
          <w:iCs/>
        </w:rPr>
        <w:t> </w:t>
      </w:r>
      <w:r w:rsidRPr="003A0655">
        <w:rPr>
          <w:i/>
          <w:iCs/>
        </w:rPr>
        <w:t xml:space="preserve">situ </w:t>
      </w:r>
      <w:r w:rsidRPr="003A0655">
        <w:t>à haute fréquence et deux stations d</w:t>
      </w:r>
      <w:r w:rsidR="000B3BB8" w:rsidRPr="003A0655">
        <w:t>’</w:t>
      </w:r>
      <w:r w:rsidRPr="003A0655">
        <w:t>échantillonnage en flacons. On trouvait dans le document UNEP/OzL.Pro.37/2/Add.1 de plus amples informations sur les prévisions de dépenses associées à</w:t>
      </w:r>
      <w:r w:rsidR="006327BB" w:rsidRPr="003A0655">
        <w:t> </w:t>
      </w:r>
      <w:r w:rsidRPr="003A0655">
        <w:t>différentes options. Quant à la question de savoir si les infrastructures existantes avaient été incluses dans les prévisions de dépenses, elle a déclaré que, lors de l</w:t>
      </w:r>
      <w:r w:rsidR="000B3BB8" w:rsidRPr="003A0655">
        <w:t>’</w:t>
      </w:r>
      <w:r w:rsidRPr="003A0655">
        <w:t>élaboration du modèle, des spécialistes de la surveillance atmosphérique du monde entier avaient été consulté(e)s pour s</w:t>
      </w:r>
      <w:r w:rsidR="000B3BB8" w:rsidRPr="003A0655">
        <w:t>’</w:t>
      </w:r>
      <w:r w:rsidRPr="003A0655">
        <w:t xml:space="preserve">assurer </w:t>
      </w:r>
      <w:r w:rsidR="008A5968" w:rsidRPr="003A0655">
        <w:t>de la prise en compte d</w:t>
      </w:r>
      <w:r w:rsidRPr="003A0655">
        <w:t xml:space="preserve">es variations régionales en matière de coûts. </w:t>
      </w:r>
      <w:r w:rsidR="00981329" w:rsidRPr="003A0655">
        <w:t>À l</w:t>
      </w:r>
      <w:r w:rsidR="000B3BB8" w:rsidRPr="003A0655">
        <w:t>’</w:t>
      </w:r>
      <w:r w:rsidR="00981329" w:rsidRPr="003A0655">
        <w:t>éta</w:t>
      </w:r>
      <w:r w:rsidR="00DE75A8" w:rsidRPr="003A0655">
        <w:t>p</w:t>
      </w:r>
      <w:r w:rsidR="00981329" w:rsidRPr="003A0655">
        <w:t xml:space="preserve">e suivante, des </w:t>
      </w:r>
      <w:r w:rsidRPr="003A0655">
        <w:t xml:space="preserve">enquêtes </w:t>
      </w:r>
      <w:r w:rsidR="00981329" w:rsidRPr="003A0655">
        <w:t>seraient</w:t>
      </w:r>
      <w:r w:rsidRPr="003A0655">
        <w:t xml:space="preserve"> menées pour déterminer quelles étaient les infrastructures disponibles à proximité des sites recensés et pour évaluer l</w:t>
      </w:r>
      <w:r w:rsidR="000B3BB8" w:rsidRPr="003A0655">
        <w:t>’</w:t>
      </w:r>
      <w:r w:rsidRPr="003A0655">
        <w:t>impact qu</w:t>
      </w:r>
      <w:r w:rsidR="000B3BB8" w:rsidRPr="003A0655">
        <w:t>’</w:t>
      </w:r>
      <w:r w:rsidRPr="003A0655">
        <w:t>aurait l</w:t>
      </w:r>
      <w:r w:rsidR="000B3BB8" w:rsidRPr="003A0655">
        <w:t>’</w:t>
      </w:r>
      <w:r w:rsidRPr="003A0655">
        <w:t xml:space="preserve">utilisation de ces infrastructures sur les prévisions de dépenses. </w:t>
      </w:r>
    </w:p>
    <w:p w14:paraId="18E9BC05" w14:textId="58927B03" w:rsidR="005C0F4B" w:rsidRPr="003A0655" w:rsidRDefault="005C0F4B" w:rsidP="00096437">
      <w:pPr>
        <w:pStyle w:val="Normalnumber"/>
        <w:tabs>
          <w:tab w:val="clear" w:pos="1247"/>
        </w:tabs>
      </w:pPr>
      <w:r w:rsidRPr="003A0655">
        <w:t>S</w:t>
      </w:r>
      <w:r w:rsidR="000B3BB8" w:rsidRPr="003A0655">
        <w:t>’</w:t>
      </w:r>
      <w:r w:rsidRPr="003A0655">
        <w:t>agissant de l</w:t>
      </w:r>
      <w:r w:rsidR="000B3BB8" w:rsidRPr="003A0655">
        <w:t>’</w:t>
      </w:r>
      <w:r w:rsidRPr="003A0655">
        <w:t>outil interactif en ligne envisagé pour permettre aux Parties d</w:t>
      </w:r>
      <w:r w:rsidR="000B3BB8" w:rsidRPr="003A0655">
        <w:t>’</w:t>
      </w:r>
      <w:r w:rsidRPr="003A0655">
        <w:t>estimer les coûts associés à l</w:t>
      </w:r>
      <w:r w:rsidR="000B3BB8" w:rsidRPr="003A0655">
        <w:t>’</w:t>
      </w:r>
      <w:r w:rsidRPr="003A0655">
        <w:t>établissement et à la mise en service de stations dans leur pays, Mme</w:t>
      </w:r>
      <w:r w:rsidR="00F44BC0" w:rsidRPr="003A0655">
        <w:t> </w:t>
      </w:r>
      <w:r w:rsidRPr="003A0655">
        <w:t>Mylona a déclaré que cet outil n</w:t>
      </w:r>
      <w:r w:rsidR="000B3BB8" w:rsidRPr="003A0655">
        <w:t>’</w:t>
      </w:r>
      <w:r w:rsidRPr="003A0655">
        <w:t>engendrerait aucun coût supplémentaire car l</w:t>
      </w:r>
      <w:r w:rsidR="000B3BB8" w:rsidRPr="003A0655">
        <w:t>’</w:t>
      </w:r>
      <w:r w:rsidRPr="003A0655">
        <w:t xml:space="preserve">Union européenne avait consenti à allouer </w:t>
      </w:r>
      <w:r w:rsidR="0077418C" w:rsidRPr="003A0655">
        <w:t xml:space="preserve">à sa conception </w:t>
      </w:r>
      <w:r w:rsidRPr="003A0655">
        <w:t xml:space="preserve">certains fonds restants du projet pilote financé par ses soins. </w:t>
      </w:r>
    </w:p>
    <w:p w14:paraId="59DEC43C" w14:textId="4BB01028" w:rsidR="005C0F4B" w:rsidRPr="003A0655" w:rsidRDefault="008B48A1" w:rsidP="00096437">
      <w:pPr>
        <w:pStyle w:val="Normalnumber"/>
        <w:tabs>
          <w:tab w:val="clear" w:pos="1247"/>
        </w:tabs>
      </w:pPr>
      <w:r w:rsidRPr="003A0655">
        <w:t>En ce qui concernait l</w:t>
      </w:r>
      <w:r w:rsidR="005C0F4B" w:rsidRPr="003A0655">
        <w:t>es dépenses de personnel présentées, Mme</w:t>
      </w:r>
      <w:r w:rsidR="00F44BC0" w:rsidRPr="003A0655">
        <w:rPr>
          <w:vertAlign w:val="superscript"/>
        </w:rPr>
        <w:t> </w:t>
      </w:r>
      <w:r w:rsidR="005C0F4B" w:rsidRPr="003A0655">
        <w:t xml:space="preserve">Mylona a déclaré que leur </w:t>
      </w:r>
      <w:r w:rsidRPr="003A0655">
        <w:t xml:space="preserve">grande </w:t>
      </w:r>
      <w:r w:rsidR="005C0F4B" w:rsidRPr="003A0655">
        <w:t>variabilité était en partie due au type d</w:t>
      </w:r>
      <w:r w:rsidR="000B3BB8" w:rsidRPr="003A0655">
        <w:t>’</w:t>
      </w:r>
      <w:r w:rsidR="005C0F4B" w:rsidRPr="003A0655">
        <w:t>échantillonnage retenu. L</w:t>
      </w:r>
      <w:r w:rsidR="000B3BB8" w:rsidRPr="003A0655">
        <w:t>’</w:t>
      </w:r>
      <w:r w:rsidR="005C0F4B" w:rsidRPr="003A0655">
        <w:t>échantillonnage en flacons, par exemple, était susceptible d</w:t>
      </w:r>
      <w:r w:rsidR="000B3BB8" w:rsidRPr="003A0655">
        <w:t>’</w:t>
      </w:r>
      <w:r w:rsidR="005C0F4B" w:rsidRPr="003A0655">
        <w:t>engendrer des coûts de collecte moins élevés que l</w:t>
      </w:r>
      <w:r w:rsidR="000B3BB8" w:rsidRPr="003A0655">
        <w:t>’</w:t>
      </w:r>
      <w:r w:rsidR="005C0F4B" w:rsidRPr="003A0655">
        <w:t xml:space="preserve">échantillonnage </w:t>
      </w:r>
      <w:r w:rsidR="005C0F4B" w:rsidRPr="003A0655">
        <w:rPr>
          <w:i/>
          <w:iCs/>
        </w:rPr>
        <w:t>in</w:t>
      </w:r>
      <w:r w:rsidR="00377234" w:rsidRPr="003A0655">
        <w:rPr>
          <w:i/>
          <w:iCs/>
        </w:rPr>
        <w:t> </w:t>
      </w:r>
      <w:r w:rsidR="005C0F4B" w:rsidRPr="003A0655">
        <w:rPr>
          <w:i/>
          <w:iCs/>
        </w:rPr>
        <w:t>situ</w:t>
      </w:r>
      <w:r w:rsidR="005C0F4B" w:rsidRPr="003A0655">
        <w:t xml:space="preserve"> à haute fréquence, qui supposait la présence permanente </w:t>
      </w:r>
      <w:r w:rsidR="00477E48" w:rsidRPr="003A0655">
        <w:t xml:space="preserve">de </w:t>
      </w:r>
      <w:r w:rsidR="005C0F4B" w:rsidRPr="003A0655">
        <w:t>personnel hautement qualifié au sein des stations de surveillance.</w:t>
      </w:r>
    </w:p>
    <w:p w14:paraId="521B2962" w14:textId="6F0C0A90" w:rsidR="005C0F4B" w:rsidRPr="003A0655" w:rsidRDefault="005C0F4B" w:rsidP="00096437">
      <w:pPr>
        <w:pStyle w:val="Normalnumber"/>
        <w:tabs>
          <w:tab w:val="clear" w:pos="1247"/>
        </w:tabs>
      </w:pPr>
      <w:r w:rsidRPr="003A0655">
        <w:t xml:space="preserve">Au cours du débat qui a suivi, </w:t>
      </w:r>
      <w:proofErr w:type="spellStart"/>
      <w:r w:rsidRPr="003A0655">
        <w:t>tou</w:t>
      </w:r>
      <w:proofErr w:type="spellEnd"/>
      <w:r w:rsidRPr="003A0655">
        <w:t>(te)s les représentant(e)s qui ont pris la parole ont remercié M.</w:t>
      </w:r>
      <w:r w:rsidR="00F44BC0" w:rsidRPr="003A0655">
        <w:t> </w:t>
      </w:r>
      <w:r w:rsidRPr="003A0655">
        <w:t>Ravishankara et M</w:t>
      </w:r>
      <w:r w:rsidR="00F44BC0" w:rsidRPr="003A0655">
        <w:t>me </w:t>
      </w:r>
      <w:r w:rsidRPr="003A0655">
        <w:t>Mylona pour leur exposé, le Secrétariat et le Comité consultatif pour le document et l</w:t>
      </w:r>
      <w:r w:rsidR="000B3BB8" w:rsidRPr="003A0655">
        <w:t>’</w:t>
      </w:r>
      <w:r w:rsidRPr="003A0655">
        <w:t>Union européenne pour les fonds consentis à l</w:t>
      </w:r>
      <w:r w:rsidR="000B3BB8" w:rsidRPr="003A0655">
        <w:t>’</w:t>
      </w:r>
      <w:r w:rsidRPr="003A0655">
        <w:t xml:space="preserve">étude pilote. </w:t>
      </w:r>
    </w:p>
    <w:p w14:paraId="770F6A8B" w14:textId="5EC42DDE" w:rsidR="005C0F4B" w:rsidRPr="003A0655" w:rsidRDefault="005C0F4B" w:rsidP="00096437">
      <w:pPr>
        <w:pStyle w:val="Normalnumber"/>
        <w:tabs>
          <w:tab w:val="clear" w:pos="1247"/>
        </w:tabs>
      </w:pPr>
      <w:r w:rsidRPr="003A0655">
        <w:t>Tou(te)s les représentant(e)s qui ont pris la parole ont souligné l</w:t>
      </w:r>
      <w:r w:rsidR="000B3BB8" w:rsidRPr="003A0655">
        <w:t>’</w:t>
      </w:r>
      <w:r w:rsidRPr="003A0655">
        <w:t>importance d</w:t>
      </w:r>
      <w:r w:rsidR="000B3BB8" w:rsidRPr="003A0655">
        <w:t>’</w:t>
      </w:r>
      <w:r w:rsidRPr="003A0655">
        <w:t xml:space="preserve">une surveillance atmosphérique efficace pour </w:t>
      </w:r>
      <w:r w:rsidR="008B0131" w:rsidRPr="003A0655">
        <w:t xml:space="preserve">que le succès </w:t>
      </w:r>
      <w:r w:rsidRPr="003A0655">
        <w:t>du Protocole de</w:t>
      </w:r>
      <w:r w:rsidR="00470436" w:rsidRPr="003A0655">
        <w:t> </w:t>
      </w:r>
      <w:r w:rsidRPr="003A0655">
        <w:t>Montréal</w:t>
      </w:r>
      <w:r w:rsidR="008B0131" w:rsidRPr="003A0655">
        <w:t xml:space="preserve"> se maintienne</w:t>
      </w:r>
      <w:r w:rsidRPr="003A0655">
        <w:t>, et un</w:t>
      </w:r>
      <w:r w:rsidR="00470436" w:rsidRPr="003A0655">
        <w:t> </w:t>
      </w:r>
      <w:r w:rsidRPr="003A0655">
        <w:t>représentant a appelé l</w:t>
      </w:r>
      <w:r w:rsidR="000B3BB8" w:rsidRPr="003A0655">
        <w:t>’</w:t>
      </w:r>
      <w:r w:rsidRPr="003A0655">
        <w:t>attention sur les précieux enseignements tirés du projet pilote mené sur l</w:t>
      </w:r>
      <w:r w:rsidR="000B3BB8" w:rsidRPr="003A0655">
        <w:t>’</w:t>
      </w:r>
      <w:r w:rsidRPr="003A0655">
        <w:t>île de Bhola. Une</w:t>
      </w:r>
      <w:r w:rsidR="00D9527F" w:rsidRPr="003A0655">
        <w:t> </w:t>
      </w:r>
      <w:r w:rsidRPr="003A0655">
        <w:t xml:space="preserve">autre représentante a souligné </w:t>
      </w:r>
      <w:r w:rsidR="00316430" w:rsidRPr="003A0655">
        <w:t>qu</w:t>
      </w:r>
      <w:r w:rsidR="000B3BB8" w:rsidRPr="003A0655">
        <w:t>’</w:t>
      </w:r>
      <w:r w:rsidR="00316430" w:rsidRPr="003A0655">
        <w:t>il fallait</w:t>
      </w:r>
      <w:r w:rsidRPr="003A0655">
        <w:t xml:space="preserve"> formuler des stratégies à long terme, définir les tâches prioritaires, fixer des objectifs, réunir des ressources financières et établir des systèmes de suivi et d</w:t>
      </w:r>
      <w:r w:rsidR="000B3BB8" w:rsidRPr="003A0655">
        <w:t>’</w:t>
      </w:r>
      <w:r w:rsidRPr="003A0655">
        <w:t>évaluation, afin d</w:t>
      </w:r>
      <w:r w:rsidR="000B3BB8" w:rsidRPr="003A0655">
        <w:t>’</w:t>
      </w:r>
      <w:r w:rsidRPr="003A0655">
        <w:t>éclairer l</w:t>
      </w:r>
      <w:r w:rsidR="000B3BB8" w:rsidRPr="003A0655">
        <w:t>’</w:t>
      </w:r>
      <w:r w:rsidRPr="003A0655">
        <w:t xml:space="preserve">évolution globale des </w:t>
      </w:r>
      <w:r w:rsidR="00555FBB" w:rsidRPr="003A0655">
        <w:t>activités de surveillance</w:t>
      </w:r>
      <w:r w:rsidRPr="003A0655">
        <w:t xml:space="preserve"> mené</w:t>
      </w:r>
      <w:r w:rsidR="00555FBB" w:rsidRPr="003A0655">
        <w:t>e</w:t>
      </w:r>
      <w:r w:rsidRPr="003A0655">
        <w:t>s au titre du Protocole de Montréal. Certain(e)s représentant(e)s se sont félicité(e)s de l</w:t>
      </w:r>
      <w:r w:rsidR="000B3BB8" w:rsidRPr="003A0655">
        <w:t>’</w:t>
      </w:r>
      <w:r w:rsidRPr="003A0655">
        <w:t>approche échelonnée en quatre</w:t>
      </w:r>
      <w:r w:rsidR="00470436" w:rsidRPr="003A0655">
        <w:t> </w:t>
      </w:r>
      <w:r w:rsidRPr="003A0655">
        <w:t xml:space="preserve">étapes envisagée </w:t>
      </w:r>
      <w:r w:rsidR="00555FBB" w:rsidRPr="003A0655">
        <w:t>pour la surveillance</w:t>
      </w:r>
      <w:r w:rsidRPr="003A0655">
        <w:t xml:space="preserve">, telle que décrite dans le document UNEP/OzL.Pro.37/INF/6. </w:t>
      </w:r>
    </w:p>
    <w:p w14:paraId="25773D73" w14:textId="008A019F" w:rsidR="005C0F4B" w:rsidRPr="003A0655" w:rsidRDefault="005C0F4B" w:rsidP="00096437">
      <w:pPr>
        <w:pStyle w:val="Normalnumber"/>
        <w:tabs>
          <w:tab w:val="clear" w:pos="1247"/>
        </w:tabs>
      </w:pPr>
      <w:r w:rsidRPr="003A0655">
        <w:t>Un</w:t>
      </w:r>
      <w:r w:rsidR="008F63BF" w:rsidRPr="003A0655">
        <w:t> </w:t>
      </w:r>
      <w:r w:rsidRPr="003A0655">
        <w:t>représentant a notamment souligné combien les activités de surveillance atmosphérique contribuaient au contrôle des émissions de substances non réglementées par le Protocole de</w:t>
      </w:r>
      <w:r w:rsidR="008F63BF" w:rsidRPr="003A0655">
        <w:t> </w:t>
      </w:r>
      <w:r w:rsidRPr="003A0655">
        <w:t>Montréal, y</w:t>
      </w:r>
      <w:r w:rsidR="008F63BF" w:rsidRPr="003A0655">
        <w:t> </w:t>
      </w:r>
      <w:r w:rsidRPr="003A0655">
        <w:t xml:space="preserve">compris </w:t>
      </w:r>
      <w:r w:rsidR="004A36F6" w:rsidRPr="003A0655">
        <w:t>l</w:t>
      </w:r>
      <w:r w:rsidRPr="003A0655">
        <w:t xml:space="preserve">es substances à très courte durée de vie, ainsi que des émissions </w:t>
      </w:r>
      <w:r w:rsidR="004A36F6" w:rsidRPr="003A0655">
        <w:t xml:space="preserve">liées aux </w:t>
      </w:r>
      <w:r w:rsidRPr="003A0655">
        <w:t>utilisations faisant l</w:t>
      </w:r>
      <w:r w:rsidR="000B3BB8" w:rsidRPr="003A0655">
        <w:t>’</w:t>
      </w:r>
      <w:r w:rsidRPr="003A0655">
        <w:t>objet de dérogations</w:t>
      </w:r>
      <w:r w:rsidR="004A36F6" w:rsidRPr="003A0655">
        <w:t>, telles que les</w:t>
      </w:r>
      <w:r w:rsidRPr="003A0655">
        <w:t xml:space="preserve"> utilisation</w:t>
      </w:r>
      <w:r w:rsidR="004A36F6" w:rsidRPr="003A0655">
        <w:t>s</w:t>
      </w:r>
      <w:r w:rsidRPr="003A0655">
        <w:t xml:space="preserve"> comme produits intermédiaires ou </w:t>
      </w:r>
      <w:r w:rsidR="004A36F6" w:rsidRPr="003A0655">
        <w:t xml:space="preserve">les utilisations </w:t>
      </w:r>
      <w:r w:rsidRPr="003A0655">
        <w:t>pour la quarantaine et les traitements préalables à l</w:t>
      </w:r>
      <w:r w:rsidR="000B3BB8" w:rsidRPr="003A0655">
        <w:t>’</w:t>
      </w:r>
      <w:r w:rsidRPr="003A0655">
        <w:t xml:space="preserve">expédition, </w:t>
      </w:r>
      <w:r w:rsidR="004A36F6" w:rsidRPr="003A0655">
        <w:t xml:space="preserve">aux </w:t>
      </w:r>
      <w:r w:rsidRPr="003A0655">
        <w:t>réserves de substances et d</w:t>
      </w:r>
      <w:r w:rsidR="000B3BB8" w:rsidRPr="003A0655">
        <w:t>’</w:t>
      </w:r>
      <w:r w:rsidRPr="003A0655">
        <w:t xml:space="preserve">équipements en fin de vie et </w:t>
      </w:r>
      <w:r w:rsidR="004A36F6" w:rsidRPr="003A0655">
        <w:t xml:space="preserve">à </w:t>
      </w:r>
      <w:r w:rsidRPr="003A0655">
        <w:t xml:space="preserve">la production </w:t>
      </w:r>
      <w:r w:rsidR="004A36F6" w:rsidRPr="003A0655">
        <w:t xml:space="preserve">illicite </w:t>
      </w:r>
      <w:r w:rsidRPr="003A0655">
        <w:t>de substances réglementées.</w:t>
      </w:r>
    </w:p>
    <w:p w14:paraId="6A7D2E6E" w14:textId="11C55F52" w:rsidR="005C0F4B" w:rsidRPr="003A0655" w:rsidRDefault="005C0F4B" w:rsidP="00096437">
      <w:pPr>
        <w:pStyle w:val="Normalnumber"/>
        <w:tabs>
          <w:tab w:val="clear" w:pos="1247"/>
        </w:tabs>
      </w:pPr>
      <w:r w:rsidRPr="003A0655">
        <w:t xml:space="preserve">Plusieurs représentant(e)s ont </w:t>
      </w:r>
      <w:r w:rsidR="00C32DB9" w:rsidRPr="003A0655">
        <w:t xml:space="preserve">estimé que le Fonds multilatéral devait fournir </w:t>
      </w:r>
      <w:r w:rsidRPr="003A0655">
        <w:t xml:space="preserve">un soutien technique et financier </w:t>
      </w:r>
      <w:r w:rsidR="004A36F6" w:rsidRPr="003A0655">
        <w:t>suffisant</w:t>
      </w:r>
      <w:r w:rsidRPr="003A0655">
        <w:t>, sous la forme d</w:t>
      </w:r>
      <w:r w:rsidR="000B3BB8" w:rsidRPr="003A0655">
        <w:t>’</w:t>
      </w:r>
      <w:r w:rsidRPr="003A0655">
        <w:t>un guichet de financement spécifique et prévisible, afin de garantir la durabilité de l</w:t>
      </w:r>
      <w:r w:rsidR="000B3BB8" w:rsidRPr="003A0655">
        <w:t>’</w:t>
      </w:r>
      <w:r w:rsidRPr="003A0655">
        <w:t xml:space="preserve">exploitation et de la maintenance. Certain(e)s représentant(e)s ont salué la contribution du Comité exécutif du Fonds multilatéral à un certain nombre de projets pilotes </w:t>
      </w:r>
      <w:r w:rsidR="00981329" w:rsidRPr="003A0655">
        <w:t xml:space="preserve">qui seraient </w:t>
      </w:r>
      <w:r w:rsidRPr="003A0655">
        <w:t xml:space="preserve">consacrés </w:t>
      </w:r>
      <w:r w:rsidR="00981329" w:rsidRPr="003A0655">
        <w:t xml:space="preserve">dans un avenir proche </w:t>
      </w:r>
      <w:r w:rsidRPr="003A0655">
        <w:t>à la surveillance atmosphérique régionale des substances réglementées et ont déclaré attendre avec intérêt la poursuite des discussions en la matière à l</w:t>
      </w:r>
      <w:r w:rsidR="000B3BB8" w:rsidRPr="003A0655">
        <w:t>’</w:t>
      </w:r>
      <w:r w:rsidRPr="003A0655">
        <w:t>occasion de la quatre</w:t>
      </w:r>
      <w:r w:rsidR="00162A99" w:rsidRPr="003A0655">
        <w:noBreakHyphen/>
      </w:r>
      <w:r w:rsidRPr="003A0655">
        <w:t>vingt</w:t>
      </w:r>
      <w:r w:rsidR="00162A99" w:rsidRPr="003A0655">
        <w:noBreakHyphen/>
      </w:r>
      <w:r w:rsidRPr="003A0655">
        <w:t>dix</w:t>
      </w:r>
      <w:r w:rsidR="00162A99" w:rsidRPr="003A0655">
        <w:noBreakHyphen/>
      </w:r>
      <w:r w:rsidRPr="003A0655">
        <w:t>huitième réunion du Comité. Un autre représentant s</w:t>
      </w:r>
      <w:r w:rsidR="000B3BB8" w:rsidRPr="003A0655">
        <w:t>’</w:t>
      </w:r>
      <w:r w:rsidRPr="003A0655">
        <w:t xml:space="preserve">est félicité de la façon dont les sources de financement avaient été appréhendées dans le document établi par le Secrétariat. </w:t>
      </w:r>
    </w:p>
    <w:p w14:paraId="5F6B2101" w14:textId="57EB48A5" w:rsidR="005C0F4B" w:rsidRPr="003A0655" w:rsidRDefault="005C0F4B" w:rsidP="00096437">
      <w:pPr>
        <w:pStyle w:val="Normalnumber"/>
        <w:tabs>
          <w:tab w:val="clear" w:pos="1247"/>
        </w:tabs>
      </w:pPr>
      <w:r w:rsidRPr="003A0655">
        <w:t>Plusieurs représentant(e)s ont souligné la nécessité d</w:t>
      </w:r>
      <w:r w:rsidR="000B3BB8" w:rsidRPr="003A0655">
        <w:t>’</w:t>
      </w:r>
      <w:r w:rsidRPr="003A0655">
        <w:t>un financement durable et ont préconisé un examen plus approfondi de la question. Un</w:t>
      </w:r>
      <w:r w:rsidR="008F63BF" w:rsidRPr="003A0655">
        <w:t> </w:t>
      </w:r>
      <w:r w:rsidRPr="003A0655">
        <w:t>représentant a exprimé l</w:t>
      </w:r>
      <w:r w:rsidR="000B3BB8" w:rsidRPr="003A0655">
        <w:t>’</w:t>
      </w:r>
      <w:r w:rsidRPr="003A0655">
        <w:t>espoir qu</w:t>
      </w:r>
      <w:r w:rsidR="000B3BB8" w:rsidRPr="003A0655">
        <w:t>’</w:t>
      </w:r>
      <w:r w:rsidRPr="003A0655">
        <w:t>à long terme, les frais de fonctionnement des stations de surveillance soient absorbés par l</w:t>
      </w:r>
      <w:r w:rsidR="000B3BB8" w:rsidRPr="003A0655">
        <w:t>’</w:t>
      </w:r>
      <w:r w:rsidRPr="003A0655">
        <w:t xml:space="preserve">institution ou le pays hôte ou par une institution internationale, mais a </w:t>
      </w:r>
      <w:r w:rsidR="00311087" w:rsidRPr="003A0655">
        <w:t xml:space="preserve">dit être conscient </w:t>
      </w:r>
      <w:r w:rsidRPr="003A0655">
        <w:t>que, dans certains cas, un soutien supplémentaire de la part du Fonds multilatéral pourrait s</w:t>
      </w:r>
      <w:r w:rsidR="000B3BB8" w:rsidRPr="003A0655">
        <w:t>’</w:t>
      </w:r>
      <w:r w:rsidRPr="003A0655">
        <w:t xml:space="preserve">avérer nécessaire. </w:t>
      </w:r>
    </w:p>
    <w:p w14:paraId="2BDE048C" w14:textId="613DE621" w:rsidR="005C0F4B" w:rsidRPr="003A0655" w:rsidRDefault="005C0F4B" w:rsidP="00096437">
      <w:pPr>
        <w:pStyle w:val="Normalnumber"/>
        <w:tabs>
          <w:tab w:val="clear" w:pos="1247"/>
        </w:tabs>
      </w:pPr>
      <w:r w:rsidRPr="003A0655">
        <w:t>Le représentant de l</w:t>
      </w:r>
      <w:r w:rsidR="000B3BB8" w:rsidRPr="003A0655">
        <w:t>’</w:t>
      </w:r>
      <w:r w:rsidRPr="003A0655">
        <w:t>Union européenne a constaté avec satisfaction que le financement alloué par sa Partie au projet pilote, qui a été couronné de succès, avait permis de dégager des conclusions et des approches méthodologiques susceptibles d</w:t>
      </w:r>
      <w:r w:rsidR="000B3BB8" w:rsidRPr="003A0655">
        <w:t>’</w:t>
      </w:r>
      <w:r w:rsidRPr="003A0655">
        <w:t>être mises à profit par la suite. Dans le cadre de son programme Horizon Europe, l</w:t>
      </w:r>
      <w:r w:rsidR="000B3BB8" w:rsidRPr="003A0655">
        <w:t>’</w:t>
      </w:r>
      <w:r w:rsidRPr="003A0655">
        <w:t xml:space="preserve">Union européenne </w:t>
      </w:r>
      <w:r w:rsidR="00EB291F" w:rsidRPr="003A0655">
        <w:t>était</w:t>
      </w:r>
      <w:r w:rsidRPr="003A0655">
        <w:t xml:space="preserve"> en mesure de consentir des financements supplémentaires et le Secrétariat, en collaboration avec le Comité consultatif, avait déjà soumis une proposition </w:t>
      </w:r>
      <w:r w:rsidR="00EB291F" w:rsidRPr="003A0655">
        <w:t>à cette fin</w:t>
      </w:r>
      <w:r w:rsidRPr="003A0655">
        <w:t>. Cette source de financement ne serait toutefois établie formellement qu</w:t>
      </w:r>
      <w:r w:rsidR="000B3BB8" w:rsidRPr="003A0655">
        <w:t>’</w:t>
      </w:r>
      <w:r w:rsidRPr="003A0655">
        <w:t>à l</w:t>
      </w:r>
      <w:r w:rsidR="000B3BB8" w:rsidRPr="003A0655">
        <w:t>’</w:t>
      </w:r>
      <w:r w:rsidRPr="003A0655">
        <w:t>issue de l</w:t>
      </w:r>
      <w:r w:rsidR="000B3BB8" w:rsidRPr="003A0655">
        <w:t>’</w:t>
      </w:r>
      <w:r w:rsidRPr="003A0655">
        <w:t>évaluation de la proposition et de l</w:t>
      </w:r>
      <w:r w:rsidR="000B3BB8" w:rsidRPr="003A0655">
        <w:t>’</w:t>
      </w:r>
      <w:r w:rsidRPr="003A0655">
        <w:t xml:space="preserve">élaboration finale des contrats. Il y aurait peut-être une pénurie de fonds à court terme, raison pour laquelle </w:t>
      </w:r>
      <w:r w:rsidR="00616928" w:rsidRPr="003A0655">
        <w:t xml:space="preserve">le représentant </w:t>
      </w:r>
      <w:r w:rsidRPr="003A0655">
        <w:t>a suggéré que les crédits non utilisés jusqu</w:t>
      </w:r>
      <w:r w:rsidR="000B3BB8" w:rsidRPr="003A0655">
        <w:t>’</w:t>
      </w:r>
      <w:r w:rsidRPr="003A0655">
        <w:t>à présent soient reportés à l</w:t>
      </w:r>
      <w:r w:rsidR="000B3BB8" w:rsidRPr="003A0655">
        <w:t>’</w:t>
      </w:r>
      <w:r w:rsidRPr="003A0655">
        <w:t xml:space="preserve">exercice 2026. </w:t>
      </w:r>
      <w:r w:rsidR="00DC733A" w:rsidRPr="003A0655">
        <w:t xml:space="preserve">Il </w:t>
      </w:r>
      <w:r w:rsidRPr="003A0655">
        <w:t xml:space="preserve">a </w:t>
      </w:r>
      <w:r w:rsidR="00DC733A" w:rsidRPr="003A0655">
        <w:t>dit espérer</w:t>
      </w:r>
      <w:r w:rsidRPr="003A0655">
        <w:t xml:space="preserve"> pouvoir </w:t>
      </w:r>
      <w:r w:rsidR="00BC55B0" w:rsidRPr="003A0655">
        <w:t>examiner ce point plus avant</w:t>
      </w:r>
      <w:r w:rsidRPr="003A0655">
        <w:t xml:space="preserve"> avec d</w:t>
      </w:r>
      <w:r w:rsidR="000B3BB8" w:rsidRPr="003A0655">
        <w:t>’</w:t>
      </w:r>
      <w:r w:rsidRPr="003A0655">
        <w:t>autres représentant(e)s, le Secrétariat et le Comité consultatif, et a ajouté que sa délégation s</w:t>
      </w:r>
      <w:r w:rsidR="000B3BB8" w:rsidRPr="003A0655">
        <w:t>’</w:t>
      </w:r>
      <w:r w:rsidRPr="003A0655">
        <w:t xml:space="preserve">employait actuellement à établir une proposition de projet de décision qui pourrait être présentée à un stade ultérieur de la réunion. </w:t>
      </w:r>
    </w:p>
    <w:p w14:paraId="7F6138E3" w14:textId="1F37B2A0" w:rsidR="005C0F4B" w:rsidRPr="003A0655" w:rsidRDefault="005C0F4B" w:rsidP="00096437">
      <w:pPr>
        <w:pStyle w:val="Normalnumber"/>
        <w:tabs>
          <w:tab w:val="clear" w:pos="1247"/>
        </w:tabs>
      </w:pPr>
      <w:r w:rsidRPr="003A0655">
        <w:t>Un certain nombre d</w:t>
      </w:r>
      <w:r w:rsidR="000B3BB8" w:rsidRPr="003A0655">
        <w:t>’</w:t>
      </w:r>
      <w:r w:rsidRPr="003A0655">
        <w:t>autres représentant(e)s ont appuyé la proposition tendant à reporter le</w:t>
      </w:r>
      <w:r w:rsidR="003A0749" w:rsidRPr="003A0655">
        <w:t>s crédits non utilisés</w:t>
      </w:r>
      <w:r w:rsidRPr="003A0655">
        <w:t xml:space="preserve"> à</w:t>
      </w:r>
      <w:r w:rsidR="003A0749" w:rsidRPr="003A0655">
        <w:t xml:space="preserve"> l</w:t>
      </w:r>
      <w:r w:rsidR="000B3BB8" w:rsidRPr="003A0655">
        <w:t>’</w:t>
      </w:r>
      <w:r w:rsidR="003A0749" w:rsidRPr="003A0655">
        <w:t>exercice</w:t>
      </w:r>
      <w:r w:rsidRPr="003A0655">
        <w:t xml:space="preserve"> 2026. </w:t>
      </w:r>
    </w:p>
    <w:p w14:paraId="4FD047FC" w14:textId="704D2F99" w:rsidR="005C0F4B" w:rsidRPr="003A0655" w:rsidRDefault="005C0F4B" w:rsidP="00096437">
      <w:pPr>
        <w:pStyle w:val="Normalnumber"/>
        <w:tabs>
          <w:tab w:val="clear" w:pos="1247"/>
        </w:tabs>
      </w:pPr>
      <w:r w:rsidRPr="003A0655">
        <w:t>Plusieurs représentant(e)s ont mis l</w:t>
      </w:r>
      <w:r w:rsidR="000B3BB8" w:rsidRPr="003A0655">
        <w:t>’</w:t>
      </w:r>
      <w:r w:rsidRPr="003A0655">
        <w:t>accent sur la possibilité d</w:t>
      </w:r>
      <w:r w:rsidR="000B3BB8" w:rsidRPr="003A0655">
        <w:t>’</w:t>
      </w:r>
      <w:r w:rsidRPr="003A0655">
        <w:t xml:space="preserve">établir des partenariats avec des institutions scientifiques susceptibles de mettre à </w:t>
      </w:r>
      <w:r w:rsidR="0026420A" w:rsidRPr="003A0655">
        <w:t xml:space="preserve">disposition </w:t>
      </w:r>
      <w:r w:rsidRPr="003A0655">
        <w:t>leur personnel ou leurs compétences techniques en vue de contribuer à la collecte d</w:t>
      </w:r>
      <w:r w:rsidR="000B3BB8" w:rsidRPr="003A0655">
        <w:t>’</w:t>
      </w:r>
      <w:r w:rsidRPr="003A0655">
        <w:t>échantillons, à l</w:t>
      </w:r>
      <w:r w:rsidR="000B3BB8" w:rsidRPr="003A0655">
        <w:t>’</w:t>
      </w:r>
      <w:r w:rsidRPr="003A0655">
        <w:t>analyse et à la gestion des données ainsi qu</w:t>
      </w:r>
      <w:r w:rsidR="000B3BB8" w:rsidRPr="003A0655">
        <w:t>’</w:t>
      </w:r>
      <w:r w:rsidRPr="003A0655">
        <w:t>aux infrastructures existantes. Ces contributions ou d</w:t>
      </w:r>
      <w:r w:rsidR="000B3BB8" w:rsidRPr="003A0655">
        <w:t>’</w:t>
      </w:r>
      <w:r w:rsidRPr="003A0655">
        <w:t xml:space="preserve">autres contributions en nature permettraient de réduire les coûts et </w:t>
      </w:r>
      <w:r w:rsidR="000E0D8A" w:rsidRPr="003A0655">
        <w:t xml:space="preserve">participeraient </w:t>
      </w:r>
      <w:r w:rsidRPr="003A0655">
        <w:t>également à renforcer, au niveau local, les compétences techniques en matière d</w:t>
      </w:r>
      <w:r w:rsidR="000B3BB8" w:rsidRPr="003A0655">
        <w:t>’</w:t>
      </w:r>
      <w:r w:rsidRPr="003A0655">
        <w:t xml:space="preserve">observation et de recherche atmosphériques. Certain(e)s représentant(e)s ont indiqué quelles étaient les institutions, dans leur pays, qui seraient susceptibles de concourir à cette entreprise. </w:t>
      </w:r>
    </w:p>
    <w:p w14:paraId="04668191" w14:textId="03C6A0B5" w:rsidR="005C0F4B" w:rsidRPr="003A0655" w:rsidRDefault="005C0F4B" w:rsidP="00096437">
      <w:pPr>
        <w:pStyle w:val="Normalnumber"/>
        <w:tabs>
          <w:tab w:val="clear" w:pos="1247"/>
        </w:tabs>
      </w:pPr>
      <w:r w:rsidRPr="003A0655">
        <w:t>Un</w:t>
      </w:r>
      <w:r w:rsidR="008F63BF" w:rsidRPr="003A0655">
        <w:t> </w:t>
      </w:r>
      <w:r w:rsidRPr="003A0655">
        <w:t>représentant a affirmé qu</w:t>
      </w:r>
      <w:r w:rsidR="000B3BB8" w:rsidRPr="003A0655">
        <w:t>’</w:t>
      </w:r>
      <w:r w:rsidRPr="003A0655">
        <w:t xml:space="preserve">il serait fort utile de disposer de la liste des institutions scientifiques œuvrant dans le domaine de la surveillance atmosphérique, des réseaux régionaux et des projets en cours </w:t>
      </w:r>
      <w:r w:rsidR="00CD5B90" w:rsidRPr="003A0655">
        <w:t>que</w:t>
      </w:r>
      <w:r w:rsidRPr="003A0655">
        <w:t xml:space="preserve"> le Secrétariat</w:t>
      </w:r>
      <w:r w:rsidR="00CD5B90" w:rsidRPr="003A0655">
        <w:t xml:space="preserve"> était en train de compiler</w:t>
      </w:r>
      <w:r w:rsidRPr="003A0655">
        <w:t xml:space="preserve">. Les projets de surveillance conjoints et le partage des données devraient être encouragés. Un autre représentant, se rangeant </w:t>
      </w:r>
      <w:r w:rsidR="00AE7663" w:rsidRPr="003A0655">
        <w:t>à</w:t>
      </w:r>
      <w:r w:rsidRPr="003A0655">
        <w:t xml:space="preserve"> l</w:t>
      </w:r>
      <w:r w:rsidR="000B3BB8" w:rsidRPr="003A0655">
        <w:t>’</w:t>
      </w:r>
      <w:r w:rsidRPr="003A0655">
        <w:t xml:space="preserve">avis </w:t>
      </w:r>
      <w:r w:rsidR="00AE7663" w:rsidRPr="003A0655">
        <w:t>des intervenant(e)s</w:t>
      </w:r>
      <w:r w:rsidRPr="003A0655">
        <w:t>, a estimé que les données obtenues grâce aux stations de surveillance se devaient d</w:t>
      </w:r>
      <w:r w:rsidR="000B3BB8" w:rsidRPr="003A0655">
        <w:t>’</w:t>
      </w:r>
      <w:r w:rsidRPr="003A0655">
        <w:t>être librement accessibles. Un autre représentant encore a souligné l</w:t>
      </w:r>
      <w:r w:rsidR="000B3BB8" w:rsidRPr="003A0655">
        <w:t>’</w:t>
      </w:r>
      <w:r w:rsidRPr="003A0655">
        <w:t>importance de respecter la souveraineté nationale sur les données recueillies</w:t>
      </w:r>
      <w:r w:rsidR="00981329" w:rsidRPr="003A0655">
        <w:t>. U</w:t>
      </w:r>
      <w:r w:rsidRPr="003A0655">
        <w:t xml:space="preserve">n autre a </w:t>
      </w:r>
      <w:r w:rsidR="00981329" w:rsidRPr="003A0655">
        <w:t>fait valoir qu</w:t>
      </w:r>
      <w:r w:rsidR="000B3BB8" w:rsidRPr="003A0655">
        <w:t>’</w:t>
      </w:r>
      <w:r w:rsidR="00981329" w:rsidRPr="003A0655">
        <w:t>il fallait obtenir la permission</w:t>
      </w:r>
      <w:r w:rsidRPr="003A0655">
        <w:t xml:space="preserve"> </w:t>
      </w:r>
      <w:r w:rsidR="00981329" w:rsidRPr="003A0655">
        <w:t>d</w:t>
      </w:r>
      <w:r w:rsidRPr="003A0655">
        <w:t xml:space="preserve">es services nationaux de surveillance atmosphérique et </w:t>
      </w:r>
      <w:r w:rsidR="00981329" w:rsidRPr="003A0655">
        <w:t>d</w:t>
      </w:r>
      <w:r w:rsidRPr="003A0655">
        <w:t>es autres organismes concernés</w:t>
      </w:r>
      <w:r w:rsidR="00981329" w:rsidRPr="003A0655">
        <w:t xml:space="preserve"> pour mettre en œuvre tout projet sur le site de la station de surveillance des substances réglementées par le Protocole de Montréal, comme déterminé par les expert(e)s</w:t>
      </w:r>
      <w:r w:rsidRPr="003A0655">
        <w:t>.</w:t>
      </w:r>
    </w:p>
    <w:p w14:paraId="6B85442E" w14:textId="1D0388A0" w:rsidR="005C0F4B" w:rsidRPr="003A0655" w:rsidRDefault="005C0F4B" w:rsidP="006E22BE">
      <w:pPr>
        <w:pStyle w:val="Normalnumber"/>
        <w:keepNext/>
        <w:keepLines/>
        <w:tabs>
          <w:tab w:val="clear" w:pos="1247"/>
        </w:tabs>
      </w:pPr>
      <w:r w:rsidRPr="003A0655">
        <w:t>Un</w:t>
      </w:r>
      <w:r w:rsidR="008F63BF" w:rsidRPr="003A0655">
        <w:t> </w:t>
      </w:r>
      <w:r w:rsidRPr="003A0655">
        <w:t>représentant s</w:t>
      </w:r>
      <w:r w:rsidR="000B3BB8" w:rsidRPr="003A0655">
        <w:t>’</w:t>
      </w:r>
      <w:r w:rsidRPr="003A0655">
        <w:t>est dit favorable à l</w:t>
      </w:r>
      <w:r w:rsidR="000B3BB8" w:rsidRPr="003A0655">
        <w:t>’</w:t>
      </w:r>
      <w:r w:rsidRPr="003A0655">
        <w:t xml:space="preserve">approche du Comité consultatif consistant à évaluer les emplacements </w:t>
      </w:r>
      <w:r w:rsidR="00920C94" w:rsidRPr="003A0655">
        <w:t xml:space="preserve">potentiels </w:t>
      </w:r>
      <w:r w:rsidRPr="003A0655">
        <w:t xml:space="preserve">des stations de surveillance sur la base de critères scientifiques et techniques. Un autre représentant a préconisé </w:t>
      </w:r>
      <w:r w:rsidR="00920C94" w:rsidRPr="003A0655">
        <w:t>l</w:t>
      </w:r>
      <w:r w:rsidR="000B3BB8" w:rsidRPr="003A0655">
        <w:t>’</w:t>
      </w:r>
      <w:r w:rsidR="00920C94" w:rsidRPr="003A0655">
        <w:t>établissement de</w:t>
      </w:r>
      <w:r w:rsidRPr="003A0655">
        <w:t xml:space="preserve"> stations dans les régions qui en étaient actuellement dépourvues, notamment dans les pays ayant des températures ambiantes élevées. Un</w:t>
      </w:r>
      <w:r w:rsidR="005B6FFA" w:rsidRPr="003A0655">
        <w:t> </w:t>
      </w:r>
      <w:r w:rsidRPr="003A0655">
        <w:t xml:space="preserve">autre représentant encore a affirmé </w:t>
      </w:r>
      <w:r w:rsidR="00920C94" w:rsidRPr="003A0655">
        <w:t>qu</w:t>
      </w:r>
      <w:r w:rsidR="000B3BB8" w:rsidRPr="003A0655">
        <w:t>’</w:t>
      </w:r>
      <w:r w:rsidR="00920C94" w:rsidRPr="003A0655">
        <w:t>il fallait</w:t>
      </w:r>
      <w:r w:rsidRPr="003A0655">
        <w:t xml:space="preserve"> procéder à une surveillance efficace dans les cinq</w:t>
      </w:r>
      <w:r w:rsidR="00453460" w:rsidRPr="003A0655">
        <w:t> </w:t>
      </w:r>
      <w:r w:rsidR="00920C94" w:rsidRPr="003A0655">
        <w:t>régions de</w:t>
      </w:r>
      <w:r w:rsidRPr="003A0655">
        <w:t xml:space="preserve"> l</w:t>
      </w:r>
      <w:r w:rsidR="000B3BB8" w:rsidRPr="003A0655">
        <w:t>’</w:t>
      </w:r>
      <w:r w:rsidRPr="003A0655">
        <w:t>Organisation</w:t>
      </w:r>
      <w:r w:rsidR="00920C94" w:rsidRPr="003A0655">
        <w:t xml:space="preserve"> des Nations Unies</w:t>
      </w:r>
      <w:r w:rsidRPr="003A0655">
        <w:t>, sur des sites qui s</w:t>
      </w:r>
      <w:r w:rsidR="000B3BB8" w:rsidRPr="003A0655">
        <w:t>’</w:t>
      </w:r>
      <w:r w:rsidRPr="003A0655">
        <w:t>y prêtaient, en tenant compte des différences de topographie et de superficie</w:t>
      </w:r>
      <w:r w:rsidR="00920C94" w:rsidRPr="003A0655">
        <w:t>,</w:t>
      </w:r>
      <w:r w:rsidRPr="003A0655">
        <w:t xml:space="preserve"> ainsi que des enjeux propres à chaque région. </w:t>
      </w:r>
    </w:p>
    <w:p w14:paraId="729594DD" w14:textId="07E995B3" w:rsidR="005C0F4B" w:rsidRPr="003A0655" w:rsidRDefault="005C0F4B" w:rsidP="00096437">
      <w:pPr>
        <w:pStyle w:val="Normalnumber"/>
        <w:tabs>
          <w:tab w:val="clear" w:pos="1247"/>
        </w:tabs>
      </w:pPr>
      <w:r w:rsidRPr="003A0655">
        <w:t>Un représentant a noté avec satisfaction que son pays avait été retenu en tant qu</w:t>
      </w:r>
      <w:r w:rsidR="000B3BB8" w:rsidRPr="003A0655">
        <w:t>’</w:t>
      </w:r>
      <w:r w:rsidRPr="003A0655">
        <w:t>emplacement se prêtant à l</w:t>
      </w:r>
      <w:r w:rsidR="000B3BB8" w:rsidRPr="003A0655">
        <w:t>’</w:t>
      </w:r>
      <w:r w:rsidRPr="003A0655">
        <w:t>installation d</w:t>
      </w:r>
      <w:r w:rsidR="000B3BB8" w:rsidRPr="003A0655">
        <w:t>’</w:t>
      </w:r>
      <w:r w:rsidRPr="003A0655">
        <w:t>une station de surveillance, et a souligné que son pays était tout disposé à accueillir une telle infrastructure, d</w:t>
      </w:r>
      <w:r w:rsidR="000B3BB8" w:rsidRPr="003A0655">
        <w:t>’</w:t>
      </w:r>
      <w:r w:rsidRPr="003A0655">
        <w:t>autant plus que celui-ci disposait déjà de capacités scientifiques en la matière. Un autre représentant a suggéré qu</w:t>
      </w:r>
      <w:r w:rsidR="000B3BB8" w:rsidRPr="003A0655">
        <w:t>’</w:t>
      </w:r>
      <w:r w:rsidRPr="003A0655">
        <w:t>une station soit établie en Afrique de l</w:t>
      </w:r>
      <w:r w:rsidR="000B3BB8" w:rsidRPr="003A0655">
        <w:t>’</w:t>
      </w:r>
      <w:r w:rsidRPr="003A0655">
        <w:t xml:space="preserve">Ouest. </w:t>
      </w:r>
    </w:p>
    <w:p w14:paraId="6F7CE1BC" w14:textId="11870693" w:rsidR="005C0F4B" w:rsidRPr="003A0655" w:rsidRDefault="005C0F4B" w:rsidP="00096437">
      <w:pPr>
        <w:pStyle w:val="Normalnumber"/>
        <w:tabs>
          <w:tab w:val="clear" w:pos="1247"/>
        </w:tabs>
      </w:pPr>
      <w:r w:rsidRPr="003A0655">
        <w:t>Le représentant de l</w:t>
      </w:r>
      <w:r w:rsidR="000B3BB8" w:rsidRPr="003A0655">
        <w:t>’</w:t>
      </w:r>
      <w:r w:rsidRPr="003A0655">
        <w:t>Équateur a indiqué que lors de l</w:t>
      </w:r>
      <w:r w:rsidR="000B3BB8" w:rsidRPr="003A0655">
        <w:t>’</w:t>
      </w:r>
      <w:r w:rsidRPr="003A0655">
        <w:t>exposé, son pays avait été situé à tort en Amérique centrale, alors qu</w:t>
      </w:r>
      <w:r w:rsidR="000B3BB8" w:rsidRPr="003A0655">
        <w:t>’</w:t>
      </w:r>
      <w:r w:rsidRPr="003A0655">
        <w:t>il se trouve en Amérique du Sud</w:t>
      </w:r>
      <w:r w:rsidR="00DE75A8" w:rsidRPr="003A0655">
        <w:rPr>
          <w:rStyle w:val="FootnoteReference"/>
        </w:rPr>
        <w:footnoteReference w:id="2"/>
      </w:r>
      <w:r w:rsidRPr="003A0655">
        <w:t xml:space="preserve">. Il a avancé que les Andes constitueraient un emplacement </w:t>
      </w:r>
      <w:r w:rsidR="00810688" w:rsidRPr="003A0655">
        <w:t xml:space="preserve">approprié </w:t>
      </w:r>
      <w:r w:rsidRPr="003A0655">
        <w:t xml:space="preserve">pour une station de surveillance. </w:t>
      </w:r>
    </w:p>
    <w:p w14:paraId="24ECE874" w14:textId="6BF86366" w:rsidR="005C0F4B" w:rsidRPr="003A0655" w:rsidRDefault="005C0F4B" w:rsidP="00096437">
      <w:pPr>
        <w:pStyle w:val="Normalnumber"/>
        <w:tabs>
          <w:tab w:val="clear" w:pos="1247"/>
        </w:tabs>
      </w:pPr>
      <w:r w:rsidRPr="003A0655">
        <w:t>Un autre représentant a demandé que se poursuivent les discussions sur le nombre total de stations de surveillance susceptibles d</w:t>
      </w:r>
      <w:r w:rsidR="000B3BB8" w:rsidRPr="003A0655">
        <w:t>’</w:t>
      </w:r>
      <w:r w:rsidRPr="003A0655">
        <w:t>être mises en place au regard des fonds disponibles, et sur l</w:t>
      </w:r>
      <w:r w:rsidR="000B3BB8" w:rsidRPr="003A0655">
        <w:t>’</w:t>
      </w:r>
      <w:r w:rsidRPr="003A0655">
        <w:t xml:space="preserve">opportunité de mener des travaux préliminaires en vue de déterminer les emplacements </w:t>
      </w:r>
      <w:r w:rsidR="00810688" w:rsidRPr="003A0655">
        <w:t>approprié</w:t>
      </w:r>
      <w:r w:rsidR="001C030E" w:rsidRPr="003A0655">
        <w:t>s</w:t>
      </w:r>
      <w:r w:rsidRPr="003A0655">
        <w:t>. Souscrivant à cette suggestion, un autre représentant a demandé qu</w:t>
      </w:r>
      <w:r w:rsidR="000B3BB8" w:rsidRPr="003A0655">
        <w:t>’</w:t>
      </w:r>
      <w:r w:rsidRPr="003A0655">
        <w:t>une attention particulière soit accordée aux sites que les pays hôtes s</w:t>
      </w:r>
      <w:r w:rsidR="000B3BB8" w:rsidRPr="003A0655">
        <w:t>’</w:t>
      </w:r>
      <w:r w:rsidRPr="003A0655">
        <w:t xml:space="preserve">étaient engagés à soutenir financièrement et </w:t>
      </w:r>
      <w:r w:rsidR="005100F1" w:rsidRPr="003A0655">
        <w:t xml:space="preserve">auxquels </w:t>
      </w:r>
      <w:r w:rsidRPr="003A0655">
        <w:t>une institution hôte s</w:t>
      </w:r>
      <w:r w:rsidR="000B3BB8" w:rsidRPr="003A0655">
        <w:t>’</w:t>
      </w:r>
      <w:r w:rsidRPr="003A0655">
        <w:t>était engagée</w:t>
      </w:r>
      <w:r w:rsidR="005100F1" w:rsidRPr="003A0655">
        <w:t xml:space="preserve"> à</w:t>
      </w:r>
      <w:r w:rsidRPr="003A0655">
        <w:t xml:space="preserve"> </w:t>
      </w:r>
      <w:r w:rsidR="005100F1" w:rsidRPr="003A0655">
        <w:t xml:space="preserve">verser des ressources </w:t>
      </w:r>
      <w:r w:rsidRPr="003A0655">
        <w:t>sur le long terme en vue de soutenir les activités qui y seraient menées au-delà de</w:t>
      </w:r>
      <w:r w:rsidR="005100F1" w:rsidRPr="003A0655">
        <w:t xml:space="preserve"> la période de</w:t>
      </w:r>
      <w:r w:rsidRPr="003A0655">
        <w:t xml:space="preserve"> cinq an</w:t>
      </w:r>
      <w:r w:rsidR="005100F1" w:rsidRPr="003A0655">
        <w:t>s associée à</w:t>
      </w:r>
      <w:r w:rsidRPr="003A0655">
        <w:t xml:space="preserve"> la nouvelle subvention envisagée par l</w:t>
      </w:r>
      <w:r w:rsidR="000B3BB8" w:rsidRPr="003A0655">
        <w:t>’</w:t>
      </w:r>
      <w:r w:rsidRPr="003A0655">
        <w:t xml:space="preserve">Union européenne. </w:t>
      </w:r>
    </w:p>
    <w:p w14:paraId="730E15CE" w14:textId="73C714E4" w:rsidR="00FF498B" w:rsidRPr="003A0655" w:rsidRDefault="00FF498B" w:rsidP="00FF498B">
      <w:pPr>
        <w:pStyle w:val="Normalnumber"/>
        <w:tabs>
          <w:tab w:val="clear" w:pos="1247"/>
          <w:tab w:val="clear" w:pos="1814"/>
          <w:tab w:val="clear" w:pos="2381"/>
          <w:tab w:val="clear" w:pos="2495"/>
          <w:tab w:val="clear" w:pos="2948"/>
          <w:tab w:val="clear" w:pos="3119"/>
          <w:tab w:val="clear" w:pos="3515"/>
          <w:tab w:val="clear" w:pos="3742"/>
          <w:tab w:val="clear" w:pos="4366"/>
        </w:tabs>
      </w:pPr>
      <w:r w:rsidRPr="003A0655">
        <w:t>Par la suite, le représentant de l</w:t>
      </w:r>
      <w:r w:rsidR="000B3BB8" w:rsidRPr="003A0655">
        <w:t>’</w:t>
      </w:r>
      <w:r w:rsidRPr="003A0655">
        <w:t>Union européenne a présenté une proposition de projet de décision figurant dans un document de séance visant à faire avancer les travaux sur le renforcement de la surveillance atmosphérique régionale des substances réglementées par le Protocole de Montréal. Dans le projet de décision, le Secrétariat était prié, en consultation avec le Comité consultatif du fonds d</w:t>
      </w:r>
      <w:r w:rsidR="000B3BB8" w:rsidRPr="003A0655">
        <w:t>’</w:t>
      </w:r>
      <w:r w:rsidRPr="003A0655">
        <w:t>affectation spéciale général de la Convention de Vienne, de continuer à évaluer l</w:t>
      </w:r>
      <w:r w:rsidR="000B3BB8" w:rsidRPr="003A0655">
        <w:t>’</w:t>
      </w:r>
      <w:r w:rsidRPr="003A0655">
        <w:t>adéquation des sites potentiels de surveillance des émissions de substances réglementées, de faire progresser ces activités en repérant les infrastructures et les stations existantes dans les 10</w:t>
      </w:r>
      <w:r w:rsidR="0022012F" w:rsidRPr="003A0655">
        <w:t> </w:t>
      </w:r>
      <w:r w:rsidRPr="003A0655">
        <w:t>emplacements recensés par le Comité consultatif, et à leurs alentours, et de préparer les prochaines étapes visant à mettre sur pied des activités de surveillance dans ces sites. La décision comprenait également les demandes suivantes</w:t>
      </w:r>
      <w:r w:rsidR="0022012F" w:rsidRPr="003A0655">
        <w:t> </w:t>
      </w:r>
      <w:r w:rsidRPr="003A0655">
        <w:t>: a)</w:t>
      </w:r>
      <w:r w:rsidR="008D6EDA" w:rsidRPr="003A0655">
        <w:t> </w:t>
      </w:r>
      <w:r w:rsidRPr="003A0655">
        <w:t>qu</w:t>
      </w:r>
      <w:r w:rsidR="000B3BB8" w:rsidRPr="003A0655">
        <w:t>’</w:t>
      </w:r>
      <w:r w:rsidRPr="003A0655">
        <w:t>un poste budgétaire soit prévu en 2026 pour permettre la poursuite de ces travaux</w:t>
      </w:r>
      <w:r w:rsidR="0022012F" w:rsidRPr="003A0655">
        <w:t> </w:t>
      </w:r>
      <w:r w:rsidRPr="003A0655">
        <w:t>; b) que le Secrétariat fasse rapport au Groupe de travail à composition non limitée à sa quarante</w:t>
      </w:r>
      <w:r w:rsidR="00B06DAB" w:rsidRPr="003A0655">
        <w:noBreakHyphen/>
      </w:r>
      <w:r w:rsidRPr="003A0655">
        <w:t>huitième</w:t>
      </w:r>
      <w:r w:rsidR="00B06DAB" w:rsidRPr="003A0655">
        <w:t> </w:t>
      </w:r>
      <w:r w:rsidRPr="003A0655">
        <w:t>réunion et à la trente-huitième Réunion des Parties sur l</w:t>
      </w:r>
      <w:r w:rsidR="000B3BB8" w:rsidRPr="003A0655">
        <w:t>’</w:t>
      </w:r>
      <w:r w:rsidRPr="003A0655">
        <w:t>état d</w:t>
      </w:r>
      <w:r w:rsidR="000B3BB8" w:rsidRPr="003A0655">
        <w:t>’</w:t>
      </w:r>
      <w:r w:rsidRPr="003A0655">
        <w:t>avancement de ces activités</w:t>
      </w:r>
      <w:r w:rsidR="0022012F" w:rsidRPr="003A0655">
        <w:t> </w:t>
      </w:r>
      <w:r w:rsidRPr="003A0655">
        <w:t>; c) que le Comité exécutif du Fonds multilatéral tienne compte de certaines informations et des coûts estimés au moment d</w:t>
      </w:r>
      <w:r w:rsidR="000B3BB8" w:rsidRPr="003A0655">
        <w:t>’</w:t>
      </w:r>
      <w:r w:rsidRPr="003A0655">
        <w:t>élaborer des lignes directrices et d</w:t>
      </w:r>
      <w:r w:rsidR="000B3BB8" w:rsidRPr="003A0655">
        <w:t>’</w:t>
      </w:r>
      <w:r w:rsidRPr="003A0655">
        <w:t>envisager de créer un guichet de financement pour des projets pilotes.</w:t>
      </w:r>
    </w:p>
    <w:p w14:paraId="7E677D1D" w14:textId="43AE6B2C" w:rsidR="00FF498B" w:rsidRPr="003A0655" w:rsidRDefault="00FF498B" w:rsidP="00FF498B">
      <w:pPr>
        <w:pStyle w:val="Normalnumber"/>
        <w:tabs>
          <w:tab w:val="clear" w:pos="1247"/>
          <w:tab w:val="clear" w:pos="1814"/>
          <w:tab w:val="clear" w:pos="2381"/>
          <w:tab w:val="clear" w:pos="2495"/>
          <w:tab w:val="clear" w:pos="2948"/>
          <w:tab w:val="clear" w:pos="3119"/>
          <w:tab w:val="clear" w:pos="3515"/>
          <w:tab w:val="clear" w:pos="3742"/>
          <w:tab w:val="clear" w:pos="4366"/>
        </w:tabs>
      </w:pPr>
      <w:r w:rsidRPr="003A0655">
        <w:t>Plusieurs représentant(e)s ont remercié l</w:t>
      </w:r>
      <w:r w:rsidR="000B3BB8" w:rsidRPr="003A0655">
        <w:t>’</w:t>
      </w:r>
      <w:r w:rsidRPr="003A0655">
        <w:t>Union européenne d</w:t>
      </w:r>
      <w:r w:rsidR="000B3BB8" w:rsidRPr="003A0655">
        <w:t>’</w:t>
      </w:r>
      <w:r w:rsidRPr="003A0655">
        <w:t>avoir présenté la proposition de projet de décision et ont formulé un certain nombre de suggestions visant à la modifier et à la clarifier. Un représentant a préconisé d</w:t>
      </w:r>
      <w:r w:rsidR="000B3BB8" w:rsidRPr="003A0655">
        <w:t>’</w:t>
      </w:r>
      <w:r w:rsidRPr="003A0655">
        <w:t>ajouter un texte soulignant l</w:t>
      </w:r>
      <w:r w:rsidR="000B3BB8" w:rsidRPr="003A0655">
        <w:t>’</w:t>
      </w:r>
      <w:r w:rsidRPr="003A0655">
        <w:t>importance du sujet pour la poursuite de la mise en œuvre du Protocole de Montréal, ainsi qu</w:t>
      </w:r>
      <w:r w:rsidR="000B3BB8" w:rsidRPr="003A0655">
        <w:t>’</w:t>
      </w:r>
      <w:r w:rsidRPr="003A0655">
        <w:t>une référence aux Parties disposées à accepter la mise en place de stations de surveillance dans leur pays. Un autre a souligné la nécessité de prendre une décision sur le niveau de financement approprié pour 2026. Il a ajouté qu</w:t>
      </w:r>
      <w:r w:rsidR="000B3BB8" w:rsidRPr="003A0655">
        <w:t>’</w:t>
      </w:r>
      <w:r w:rsidRPr="003A0655">
        <w:t>il fallait clarifier si la référence aux 10</w:t>
      </w:r>
      <w:r w:rsidR="005026A7" w:rsidRPr="003A0655">
        <w:t> </w:t>
      </w:r>
      <w:r w:rsidRPr="003A0655">
        <w:t xml:space="preserve">sites potentiels ne </w:t>
      </w:r>
      <w:proofErr w:type="gramStart"/>
      <w:r w:rsidRPr="003A0655">
        <w:t>concernait</w:t>
      </w:r>
      <w:proofErr w:type="gramEnd"/>
      <w:r w:rsidRPr="003A0655">
        <w:t xml:space="preserve"> que les emplacements recensés par le Comité consultatif ou s</w:t>
      </w:r>
      <w:r w:rsidR="000B3BB8" w:rsidRPr="003A0655">
        <w:t>’</w:t>
      </w:r>
      <w:r w:rsidRPr="003A0655">
        <w:t>il pouvait y avoir d</w:t>
      </w:r>
      <w:r w:rsidR="000B3BB8" w:rsidRPr="003A0655">
        <w:t>’</w:t>
      </w:r>
      <w:r w:rsidRPr="003A0655">
        <w:t>autres sites méritant d</w:t>
      </w:r>
      <w:r w:rsidR="000B3BB8" w:rsidRPr="003A0655">
        <w:t>’</w:t>
      </w:r>
      <w:r w:rsidRPr="003A0655">
        <w:t>être pris en considération. Un autre représentant a préconisé d</w:t>
      </w:r>
      <w:r w:rsidR="000B3BB8" w:rsidRPr="003A0655">
        <w:t>’</w:t>
      </w:r>
      <w:r w:rsidRPr="003A0655">
        <w:t>ajouter une référence aux sites potentiels où une infrastructure appropriée existait déjà.</w:t>
      </w:r>
    </w:p>
    <w:p w14:paraId="6337B659" w14:textId="42C42649" w:rsidR="00FF498B" w:rsidRPr="003A0655" w:rsidRDefault="00FF498B" w:rsidP="00FF498B">
      <w:pPr>
        <w:pStyle w:val="Normalnumber"/>
        <w:tabs>
          <w:tab w:val="clear" w:pos="1247"/>
          <w:tab w:val="clear" w:pos="1814"/>
          <w:tab w:val="clear" w:pos="2381"/>
          <w:tab w:val="clear" w:pos="2495"/>
          <w:tab w:val="clear" w:pos="2948"/>
          <w:tab w:val="clear" w:pos="3119"/>
          <w:tab w:val="clear" w:pos="3515"/>
          <w:tab w:val="clear" w:pos="3742"/>
          <w:tab w:val="clear" w:pos="4366"/>
        </w:tabs>
      </w:pPr>
      <w:bookmarkStart w:id="18" w:name="_Hlk213229573"/>
      <w:r w:rsidRPr="003A0655">
        <w:t>Les Parties sont convenues de créer un groupe de contact, coprésidé par Alain Wilmart (Belgique) et Sophia Anselm-Larocque (Dominique</w:t>
      </w:r>
      <w:r w:rsidR="006727FB" w:rsidRPr="003A0655">
        <w:t>)</w:t>
      </w:r>
      <w:r w:rsidRPr="003A0655">
        <w:t>, pour poursuivre l</w:t>
      </w:r>
      <w:r w:rsidR="000B3BB8" w:rsidRPr="003A0655">
        <w:t>’</w:t>
      </w:r>
      <w:r w:rsidRPr="003A0655">
        <w:t>examen du projet de décision.</w:t>
      </w:r>
    </w:p>
    <w:bookmarkEnd w:id="18"/>
    <w:p w14:paraId="6B5B5510" w14:textId="6DF1A890" w:rsidR="00FF498B" w:rsidRPr="003A0655" w:rsidRDefault="00FF498B" w:rsidP="00FF498B">
      <w:pPr>
        <w:pStyle w:val="Normalnumber"/>
        <w:tabs>
          <w:tab w:val="clear" w:pos="2495"/>
          <w:tab w:val="clear" w:pos="3119"/>
          <w:tab w:val="clear" w:pos="3742"/>
          <w:tab w:val="clear" w:pos="4366"/>
        </w:tabs>
      </w:pPr>
      <w:r w:rsidRPr="003A0655">
        <w:t>Par la suite, le coprésident du groupe de contact a fait savoir que le groupe était parvenu à un accord sur un projet de décision concernant l</w:t>
      </w:r>
      <w:r w:rsidR="000B3BB8" w:rsidRPr="003A0655">
        <w:t>’</w:t>
      </w:r>
      <w:r w:rsidRPr="003A0655">
        <w:t>amélioration de la surveillance atmosphérique régionale des substances réglementées par le Protocole de Montréal, pour examen par les Parties.</w:t>
      </w:r>
    </w:p>
    <w:p w14:paraId="2F9E670F" w14:textId="1A5A2339" w:rsidR="005C0F4B" w:rsidRPr="003A0655" w:rsidRDefault="00FF498B" w:rsidP="00FF498B">
      <w:pPr>
        <w:pStyle w:val="Normalnumber"/>
        <w:tabs>
          <w:tab w:val="clear" w:pos="1247"/>
        </w:tabs>
      </w:pPr>
      <w:r w:rsidRPr="003A0655">
        <w:t>Les Parties sont convenues de transmettre le projet de décision au débat de haut niveau pour examen plus poussé et adoption éventuelle</w:t>
      </w:r>
      <w:r w:rsidR="00310B2F" w:rsidRPr="003A0655">
        <w:t>.</w:t>
      </w:r>
    </w:p>
    <w:bookmarkEnd w:id="10"/>
    <w:p w14:paraId="05646A49" w14:textId="389C33BD" w:rsidR="00A71C96" w:rsidRPr="003A0655" w:rsidRDefault="00CF4056" w:rsidP="00A71C96">
      <w:pPr>
        <w:pStyle w:val="CH1"/>
        <w:keepNext w:val="0"/>
        <w:keepLines w:val="0"/>
      </w:pPr>
      <w:r w:rsidRPr="003A0655">
        <w:tab/>
        <w:t>VII.</w:t>
      </w:r>
      <w:r w:rsidRPr="003A0655">
        <w:tab/>
      </w:r>
      <w:r w:rsidR="00A71C96" w:rsidRPr="003A0655">
        <w:rPr>
          <w:bCs/>
        </w:rPr>
        <w:t>Élaboration d</w:t>
      </w:r>
      <w:r w:rsidR="000B3BB8" w:rsidRPr="003A0655">
        <w:rPr>
          <w:bCs/>
        </w:rPr>
        <w:t>’</w:t>
      </w:r>
      <w:r w:rsidR="00A71C96" w:rsidRPr="003A0655">
        <w:rPr>
          <w:bCs/>
        </w:rPr>
        <w:t>études et de stratégies pour trouver des solutions à</w:t>
      </w:r>
      <w:r w:rsidR="0022012F" w:rsidRPr="003A0655">
        <w:rPr>
          <w:bCs/>
        </w:rPr>
        <w:t> </w:t>
      </w:r>
      <w:r w:rsidR="00A71C96" w:rsidRPr="003A0655">
        <w:rPr>
          <w:bCs/>
        </w:rPr>
        <w:t>moyen et long terme à l</w:t>
      </w:r>
      <w:r w:rsidR="000B3BB8" w:rsidRPr="003A0655">
        <w:rPr>
          <w:bCs/>
        </w:rPr>
        <w:t>’</w:t>
      </w:r>
      <w:r w:rsidR="00A71C96" w:rsidRPr="003A0655">
        <w:rPr>
          <w:bCs/>
        </w:rPr>
        <w:t>accumulation importante de stocks de</w:t>
      </w:r>
      <w:r w:rsidR="0022012F" w:rsidRPr="003A0655">
        <w:rPr>
          <w:bCs/>
        </w:rPr>
        <w:t> </w:t>
      </w:r>
      <w:r w:rsidR="00A71C96" w:rsidRPr="003A0655">
        <w:rPr>
          <w:bCs/>
        </w:rPr>
        <w:t>gaz réfrigérants qui approchent la fin de leur cycle de vie dans</w:t>
      </w:r>
      <w:r w:rsidR="00F97C78" w:rsidRPr="003A0655">
        <w:rPr>
          <w:bCs/>
        </w:rPr>
        <w:t> </w:t>
      </w:r>
      <w:r w:rsidR="00A71C96" w:rsidRPr="003A0655">
        <w:rPr>
          <w:bCs/>
        </w:rPr>
        <w:t>les Parties visées au paragraphe 1 de l</w:t>
      </w:r>
      <w:r w:rsidR="000B3BB8" w:rsidRPr="003A0655">
        <w:rPr>
          <w:bCs/>
        </w:rPr>
        <w:t>’</w:t>
      </w:r>
      <w:r w:rsidR="00A71C96" w:rsidRPr="003A0655">
        <w:rPr>
          <w:bCs/>
        </w:rPr>
        <w:t>article 5 du Protocole de</w:t>
      </w:r>
      <w:r w:rsidR="0022012F" w:rsidRPr="003A0655">
        <w:rPr>
          <w:bCs/>
        </w:rPr>
        <w:t> </w:t>
      </w:r>
      <w:r w:rsidR="00A71C96" w:rsidRPr="003A0655">
        <w:rPr>
          <w:bCs/>
        </w:rPr>
        <w:t>Montréal</w:t>
      </w:r>
    </w:p>
    <w:p w14:paraId="2623AAC5" w14:textId="34159D6B" w:rsidR="0087076E" w:rsidRPr="003A0655" w:rsidRDefault="0087076E" w:rsidP="0087076E">
      <w:pPr>
        <w:pStyle w:val="Normalnumber"/>
        <w:numPr>
          <w:ilvl w:val="0"/>
          <w:numId w:val="1"/>
        </w:numPr>
        <w:tabs>
          <w:tab w:val="clear" w:pos="1871"/>
          <w:tab w:val="clear" w:pos="2495"/>
          <w:tab w:val="clear" w:pos="3119"/>
          <w:tab w:val="clear" w:pos="3742"/>
          <w:tab w:val="clear" w:pos="4366"/>
          <w:tab w:val="num" w:pos="624"/>
        </w:tabs>
        <w:ind w:left="1248"/>
      </w:pPr>
      <w:r w:rsidRPr="003A0655">
        <w:t>Pour l</w:t>
      </w:r>
      <w:r w:rsidR="000B3BB8" w:rsidRPr="003A0655">
        <w:t>’</w:t>
      </w:r>
      <w:r w:rsidRPr="003A0655">
        <w:t>examen de ce point, les Parties étaient saisies des informations figurant aux paragraphes 44 à 47 de la note du Secrétariat sur les questions portées à l</w:t>
      </w:r>
      <w:r w:rsidR="000B3BB8" w:rsidRPr="003A0655">
        <w:t>’</w:t>
      </w:r>
      <w:r w:rsidRPr="003A0655">
        <w:t>attention de la trente</w:t>
      </w:r>
      <w:r w:rsidR="0022012F" w:rsidRPr="003A0655">
        <w:noBreakHyphen/>
      </w:r>
      <w:r w:rsidRPr="003A0655">
        <w:t>septième Réunion des Parties au Protocole de Montréal pour examen et information (UNEP/OzL.Pro.37/2), aux paragraphes 77 à 90 et à l</w:t>
      </w:r>
      <w:r w:rsidR="000B3BB8" w:rsidRPr="003A0655">
        <w:t>’</w:t>
      </w:r>
      <w:r w:rsidRPr="003A0655">
        <w:t>annexe I du rapport du Groupe de travail à composition non limitée des Parties au Protocole de Montréal relatif à des substances qui appauvrissent la couche d</w:t>
      </w:r>
      <w:r w:rsidR="000B3BB8" w:rsidRPr="003A0655">
        <w:t>’</w:t>
      </w:r>
      <w:r w:rsidRPr="003A0655">
        <w:t>ozone sur les travaux de sa quarante-septième réunion (UNEP/OzL.Pro.WG.1/47/6) et à la section 6.9 du volume 1 du rapport d</w:t>
      </w:r>
      <w:r w:rsidR="000B3BB8" w:rsidRPr="003A0655">
        <w:t>’</w:t>
      </w:r>
      <w:r w:rsidRPr="003A0655">
        <w:t>activité du Groupe de l</w:t>
      </w:r>
      <w:r w:rsidR="000B3BB8" w:rsidRPr="003A0655">
        <w:t>’</w:t>
      </w:r>
      <w:r w:rsidRPr="003A0655">
        <w:t>évaluation technique et économique de mai 2025.</w:t>
      </w:r>
    </w:p>
    <w:p w14:paraId="415B1AD0" w14:textId="6FFF857D" w:rsidR="0087076E" w:rsidRPr="003A0655" w:rsidRDefault="0087076E" w:rsidP="0087076E">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La Coprésidente a rappelé qu</w:t>
      </w:r>
      <w:r w:rsidR="000B3BB8" w:rsidRPr="003A0655">
        <w:t>’</w:t>
      </w:r>
      <w:r w:rsidRPr="003A0655">
        <w:t>à la quarante-septième réunion du Groupe de travail à composition non limitée, dans le cadre des discussions sur la gestion du cycle de vie des réfrigérants, Cuba avait présenté un projet de décision visant à souligner les préoccupations liées à l</w:t>
      </w:r>
      <w:r w:rsidR="000B3BB8" w:rsidRPr="003A0655">
        <w:t>’</w:t>
      </w:r>
      <w:r w:rsidRPr="003A0655">
        <w:t>augmentation du volume de gaz réfrigérants arrivant en fin de cycle de vie dans les Parties visées à l</w:t>
      </w:r>
      <w:r w:rsidR="000B3BB8" w:rsidRPr="003A0655">
        <w:t>’</w:t>
      </w:r>
      <w:r w:rsidRPr="003A0655">
        <w:t>article 5. Le</w:t>
      </w:r>
      <w:r w:rsidR="00933858" w:rsidRPr="003A0655">
        <w:t> </w:t>
      </w:r>
      <w:r w:rsidRPr="003A0655">
        <w:t>groupe de contact qui avait examiné le projet de décision avait fait des progrès notables, sans toutefois parvenir à un accord. Le Groupe de travail avait donc décidé de reprendre les discussions sur la gestion du cycle de vie des réfrigérants lors de la trente-septième Réunion des Parties, en s</w:t>
      </w:r>
      <w:r w:rsidR="000B3BB8" w:rsidRPr="003A0655">
        <w:t>’</w:t>
      </w:r>
      <w:r w:rsidRPr="003A0655">
        <w:t>appuyant sur le projet de décision révisé par le groupe de contact. Le projet de décision révisé figurait dans le document UNEP/OzL.Pro.37/3 (projet de décision XXXVII/[B]).</w:t>
      </w:r>
    </w:p>
    <w:p w14:paraId="5F206FD5" w14:textId="7CCDADDD" w:rsidR="0087076E" w:rsidRPr="003A0655" w:rsidRDefault="0087076E" w:rsidP="0087076E">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Les Parties sont convenues de créer un groupe de contact, qui serait coprésidé par Morane</w:t>
      </w:r>
      <w:r w:rsidR="000A6D33" w:rsidRPr="003A0655">
        <w:t> </w:t>
      </w:r>
      <w:r w:rsidRPr="003A0655">
        <w:t>Godfrin (France) et Sergio Merino (Mexique), pour examiner plus avant le projet de décision.</w:t>
      </w:r>
    </w:p>
    <w:p w14:paraId="7A6F2926" w14:textId="663ABEE9" w:rsidR="0087076E" w:rsidRPr="003A0655" w:rsidRDefault="0087076E" w:rsidP="0087076E">
      <w:pPr>
        <w:pStyle w:val="Normalnumber"/>
        <w:numPr>
          <w:ilvl w:val="0"/>
          <w:numId w:val="1"/>
        </w:numPr>
        <w:tabs>
          <w:tab w:val="clear" w:pos="1871"/>
          <w:tab w:val="clear" w:pos="2495"/>
          <w:tab w:val="clear" w:pos="3119"/>
          <w:tab w:val="clear" w:pos="3742"/>
          <w:tab w:val="clear" w:pos="4366"/>
          <w:tab w:val="num" w:pos="624"/>
        </w:tabs>
        <w:ind w:left="1248"/>
      </w:pPr>
      <w:r w:rsidRPr="003A0655">
        <w:t xml:space="preserve">Par la suite, le coprésident du groupe de contact a indiqué que le groupe était parvenu à un accord sur un projet de décision prévoyant une étude des quantités de substances réglementées usées et indésirables relevant du Protocole de Montréal, y compris celles en fin de vie, ainsi que des options envisageables pour </w:t>
      </w:r>
      <w:r w:rsidR="00375002" w:rsidRPr="003A0655">
        <w:t>leur traitement</w:t>
      </w:r>
      <w:r w:rsidRPr="003A0655">
        <w:t>, qui serait soumis aux Parties pour examen.</w:t>
      </w:r>
    </w:p>
    <w:p w14:paraId="158A90CA" w14:textId="77777777" w:rsidR="0087076E" w:rsidRPr="003A0655" w:rsidRDefault="0087076E" w:rsidP="0087076E">
      <w:pPr>
        <w:pStyle w:val="Normalnumber"/>
        <w:numPr>
          <w:ilvl w:val="0"/>
          <w:numId w:val="1"/>
        </w:numPr>
        <w:tabs>
          <w:tab w:val="clear" w:pos="1871"/>
          <w:tab w:val="clear" w:pos="2495"/>
          <w:tab w:val="clear" w:pos="3119"/>
          <w:tab w:val="clear" w:pos="3742"/>
          <w:tab w:val="clear" w:pos="4366"/>
          <w:tab w:val="num" w:pos="624"/>
        </w:tabs>
        <w:ind w:left="1248"/>
      </w:pPr>
      <w:r w:rsidRPr="003A0655">
        <w:t>Les Parties sont convenues de transmettre le projet de décision au débat de haut niveau pour plus ample examen et adoption éventuelle.</w:t>
      </w:r>
    </w:p>
    <w:p w14:paraId="77562983" w14:textId="121C4FA3" w:rsidR="00CF4056" w:rsidRPr="003A0655" w:rsidRDefault="00CF4056" w:rsidP="00CF4056">
      <w:pPr>
        <w:pStyle w:val="CH1"/>
        <w:keepNext w:val="0"/>
        <w:keepLines w:val="0"/>
      </w:pPr>
      <w:r w:rsidRPr="003A0655">
        <w:tab/>
        <w:t>VIII.</w:t>
      </w:r>
      <w:r w:rsidRPr="003A0655">
        <w:tab/>
      </w:r>
      <w:r w:rsidR="00C74451" w:rsidRPr="003A0655">
        <w:t>Utilisations de substances réglementées comme produits intermédiaires</w:t>
      </w:r>
    </w:p>
    <w:p w14:paraId="3C345E40" w14:textId="329996F1" w:rsidR="005D68B9" w:rsidRPr="003A0655" w:rsidRDefault="005D68B9" w:rsidP="005D68B9">
      <w:pPr>
        <w:pStyle w:val="Normalnumber"/>
        <w:numPr>
          <w:ilvl w:val="0"/>
          <w:numId w:val="1"/>
        </w:numPr>
        <w:tabs>
          <w:tab w:val="clear" w:pos="1871"/>
          <w:tab w:val="clear" w:pos="2495"/>
          <w:tab w:val="clear" w:pos="3119"/>
          <w:tab w:val="clear" w:pos="3742"/>
          <w:tab w:val="clear" w:pos="4366"/>
          <w:tab w:val="num" w:pos="624"/>
        </w:tabs>
        <w:ind w:left="1248"/>
      </w:pPr>
      <w:r w:rsidRPr="003A0655">
        <w:t>Pour l</w:t>
      </w:r>
      <w:r w:rsidR="000B3BB8" w:rsidRPr="003A0655">
        <w:t>’</w:t>
      </w:r>
      <w:r w:rsidRPr="003A0655">
        <w:t>examen de ce point, les Parties étaient saisies des informations figurant aux paragraphes 48 à 54 de la note du Secrétariat sur les questions portées à l</w:t>
      </w:r>
      <w:r w:rsidR="000B3BB8" w:rsidRPr="003A0655">
        <w:t>’</w:t>
      </w:r>
      <w:r w:rsidRPr="003A0655">
        <w:t>attention de la trente</w:t>
      </w:r>
      <w:r w:rsidR="00B97D22" w:rsidRPr="003A0655">
        <w:noBreakHyphen/>
      </w:r>
      <w:r w:rsidRPr="003A0655">
        <w:t>septième Réunion des Parties au Protocole de Montréal pour examen et information (UNEP/OzL.Pro.37/2), aux paragraphes 143 à 148 et à l</w:t>
      </w:r>
      <w:r w:rsidR="000B3BB8" w:rsidRPr="003A0655">
        <w:t>’</w:t>
      </w:r>
      <w:r w:rsidRPr="003A0655">
        <w:t>annexe I du rapport du Groupe de travail à composition non limitée des Parties au Protocole de Montréal relatif à des substances qui appauvrissent la couche d</w:t>
      </w:r>
      <w:r w:rsidR="000B3BB8" w:rsidRPr="003A0655">
        <w:t>’</w:t>
      </w:r>
      <w:r w:rsidRPr="003A0655">
        <w:t>ozone sur les travaux de sa quarante-septième réunion (UNEP/OzL.Pro.WG.1/47/6) et aux paragraphes 52 et 53 de la note du Secrétariat sur les questions portées à l</w:t>
      </w:r>
      <w:r w:rsidR="000B3BB8" w:rsidRPr="003A0655">
        <w:t>’</w:t>
      </w:r>
      <w:r w:rsidRPr="003A0655">
        <w:t>attention du Groupe de travail à composition non limitée des Parties au Protocole de Montréal à sa quarante-septième réunion pour examen et information (UNEP/OzL.Pro.WG.1/47/2/Add.1), ainsi que de la note du Secrétariat sur la compilation des informations fournies par les Parties sur les pratiques et techniques de réduction des émissions de substances réglementées et sur leurs procédures et cadres nationaux de gestion de la production et de l</w:t>
      </w:r>
      <w:r w:rsidR="000B3BB8" w:rsidRPr="003A0655">
        <w:t>’</w:t>
      </w:r>
      <w:r w:rsidRPr="003A0655">
        <w:t>utilisation de substances réglementées comme produits intermédiaires (UNEP/OzL.Pro.WG.1/47/3 et UNEP/OzL.Pro.WG.1/47/3/Add.1). Un projet de décision sur la question figurait dans le document UNEP/OzL.Pro.37/3 (projet de décision XXXVII/[C]).</w:t>
      </w:r>
    </w:p>
    <w:p w14:paraId="40108734" w14:textId="02C257BD" w:rsidR="005D68B9" w:rsidRPr="003A0655" w:rsidRDefault="005D68B9" w:rsidP="005D68B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La Coprésidente a rappelé qu</w:t>
      </w:r>
      <w:r w:rsidR="000B3BB8" w:rsidRPr="003A0655">
        <w:t>’</w:t>
      </w:r>
      <w:r w:rsidRPr="003A0655">
        <w:t>à la quarante-septième réunion du Groupe de travail à composition non limitée, l</w:t>
      </w:r>
      <w:r w:rsidR="000B3BB8" w:rsidRPr="003A0655">
        <w:t>’</w:t>
      </w:r>
      <w:r w:rsidRPr="003A0655">
        <w:t xml:space="preserve">Union européenne avait présenté, également au nom de la Suisse, un projet de décision sur les produits intermédiaires. Le groupe de contact qui avait examiné le projet de décision avait fait des progrès notables, sans toutefois parvenir à un accord. Le Groupe de travail </w:t>
      </w:r>
      <w:r w:rsidR="00375002" w:rsidRPr="003A0655">
        <w:t xml:space="preserve">était </w:t>
      </w:r>
      <w:r w:rsidRPr="003A0655">
        <w:t xml:space="preserve">donc convenu de reprendre les discussions sur </w:t>
      </w:r>
      <w:r w:rsidR="006B791D" w:rsidRPr="003A0655">
        <w:t>les produits intermédiaires</w:t>
      </w:r>
      <w:r w:rsidRPr="003A0655">
        <w:t xml:space="preserve"> lors de la trente-septième Réunion des Parties, en s</w:t>
      </w:r>
      <w:r w:rsidR="000B3BB8" w:rsidRPr="003A0655">
        <w:t>’</w:t>
      </w:r>
      <w:r w:rsidRPr="003A0655">
        <w:t>appuyant sur le projet de décision</w:t>
      </w:r>
      <w:r w:rsidR="006B791D" w:rsidRPr="003A0655">
        <w:t xml:space="preserve"> tel que</w:t>
      </w:r>
      <w:r w:rsidRPr="003A0655">
        <w:t xml:space="preserve"> révisé par le groupe de contact. La Coprésidente a suggéré que les Parties envisagent de créer un groupe de contact afin de poursuivre les discussions sur le projet de décision.</w:t>
      </w:r>
    </w:p>
    <w:p w14:paraId="551FBA72" w14:textId="2FF26AF8" w:rsidR="005D68B9" w:rsidRPr="003A0655" w:rsidRDefault="005D68B9" w:rsidP="005D68B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Un représentant a rappelé aux Parties que, comme indiqué dans la décision IV/12,  les quantités peu importantes de substances réglementées provenant de la production fortuite ou accessoire au cours du processus de fabrication, des produits de départ qui n</w:t>
      </w:r>
      <w:r w:rsidR="000B3BB8" w:rsidRPr="003A0655">
        <w:t>’</w:t>
      </w:r>
      <w:r w:rsidR="00375002" w:rsidRPr="003A0655">
        <w:t>avaie</w:t>
      </w:r>
      <w:r w:rsidRPr="003A0655">
        <w:t>nt pas réagi ou de leur utilisation comme agents du processus de fabrication présents dans des substances chimiques sous forme d</w:t>
      </w:r>
      <w:r w:rsidR="000B3BB8" w:rsidRPr="003A0655">
        <w:t>’</w:t>
      </w:r>
      <w:r w:rsidRPr="003A0655">
        <w:t>impuretés à l</w:t>
      </w:r>
      <w:r w:rsidR="000B3BB8" w:rsidRPr="003A0655">
        <w:t>’</w:t>
      </w:r>
      <w:r w:rsidRPr="003A0655">
        <w:t>état de traces, ou qui sont émises durant la fabrication ou la manipulation du produit ser</w:t>
      </w:r>
      <w:r w:rsidR="00375002" w:rsidRPr="003A0655">
        <w:t>aie</w:t>
      </w:r>
      <w:r w:rsidRPr="003A0655">
        <w:t>nt considérées comme n</w:t>
      </w:r>
      <w:r w:rsidR="000B3BB8" w:rsidRPr="003A0655">
        <w:t>’</w:t>
      </w:r>
      <w:r w:rsidRPr="003A0655">
        <w:t>entrant pas dans le champ d</w:t>
      </w:r>
      <w:r w:rsidR="000B3BB8" w:rsidRPr="003A0655">
        <w:t>’</w:t>
      </w:r>
      <w:r w:rsidRPr="003A0655">
        <w:t>application de la substance réglementée figurant au paragraphe 4 de l</w:t>
      </w:r>
      <w:r w:rsidR="000B3BB8" w:rsidRPr="003A0655">
        <w:t>’</w:t>
      </w:r>
      <w:r w:rsidRPr="003A0655">
        <w:t xml:space="preserve">article premier du Protocole de Montréal. Comme </w:t>
      </w:r>
      <w:proofErr w:type="gramStart"/>
      <w:r w:rsidRPr="003A0655">
        <w:t>suite à</w:t>
      </w:r>
      <w:proofErr w:type="gramEnd"/>
      <w:r w:rsidRPr="003A0655">
        <w:t xml:space="preserve"> la décision</w:t>
      </w:r>
      <w:r w:rsidR="00170EC5" w:rsidRPr="003A0655">
        <w:t> </w:t>
      </w:r>
      <w:r w:rsidRPr="003A0655">
        <w:t xml:space="preserve">XXXV/6, les Parties avaient déjà soumis des informations sur les meilleures pratiques, ainsi que sur les procédures et cadres nationaux mis en place pour la gestion des émissions provenant des produits intermédiaires. </w:t>
      </w:r>
    </w:p>
    <w:p w14:paraId="3D40781D" w14:textId="7174D2F8" w:rsidR="005D68B9" w:rsidRPr="003A0655" w:rsidRDefault="005D68B9" w:rsidP="005D68B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Un autre représentant, partageant cet avis, a souligné que malgré l</w:t>
      </w:r>
      <w:r w:rsidR="000B3BB8" w:rsidRPr="003A0655">
        <w:t>’</w:t>
      </w:r>
      <w:r w:rsidRPr="003A0655">
        <w:t>augmentation de l</w:t>
      </w:r>
      <w:r w:rsidR="000B3BB8" w:rsidRPr="003A0655">
        <w:t>’</w:t>
      </w:r>
      <w:r w:rsidRPr="003A0655">
        <w:t>utilisation de substances réglementées comme produits intermédiaires, aucune augmentation correspondante des émissions n</w:t>
      </w:r>
      <w:r w:rsidR="000B3BB8" w:rsidRPr="003A0655">
        <w:t>’</w:t>
      </w:r>
      <w:r w:rsidRPr="003A0655">
        <w:t>avait été constatée. Toute décision devrait tenir compte de ces preuves scientifiques et se concentrer sur l</w:t>
      </w:r>
      <w:r w:rsidR="000B3BB8" w:rsidRPr="003A0655">
        <w:t>’</w:t>
      </w:r>
      <w:r w:rsidRPr="003A0655">
        <w:t>amélioration des données et de la collaboration, ainsi que sur le renforcement des capacités, sans imposer de nouvelles obligations aux pays en développement.</w:t>
      </w:r>
    </w:p>
    <w:p w14:paraId="6D4CBC0F" w14:textId="7871CC61" w:rsidR="005D68B9" w:rsidRPr="003A0655" w:rsidRDefault="005D68B9" w:rsidP="005D68B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Les Parties sont convenues de créer un groupe de contact, qui serait coprésidé par Liana</w:t>
      </w:r>
      <w:r w:rsidR="00677D74" w:rsidRPr="003A0655">
        <w:t> </w:t>
      </w:r>
      <w:r w:rsidRPr="003A0655">
        <w:t>Ghahramanyan (Arménie) et Morgan Simpson (Royaume-Uni), pour examiner plus avant le projet de décision.</w:t>
      </w:r>
    </w:p>
    <w:p w14:paraId="33D78F40" w14:textId="1BB633E4" w:rsidR="005D68B9" w:rsidRPr="003A0655" w:rsidRDefault="005D68B9" w:rsidP="005D68B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Par la suite, pour répondre aux préoccupations soulevées oralement par plusieurs membres du groupe de contact, un représentant du Secrétariat a rappelé que, s</w:t>
      </w:r>
      <w:r w:rsidR="000B3BB8" w:rsidRPr="003A0655">
        <w:t>’</w:t>
      </w:r>
      <w:r w:rsidRPr="003A0655">
        <w:t>il n</w:t>
      </w:r>
      <w:r w:rsidR="000B3BB8" w:rsidRPr="003A0655">
        <w:t>’</w:t>
      </w:r>
      <w:r w:rsidRPr="003A0655">
        <w:t>était pas inhabituel que des consultations se tiennent en marge d</w:t>
      </w:r>
      <w:r w:rsidR="000B3BB8" w:rsidRPr="003A0655">
        <w:t>’</w:t>
      </w:r>
      <w:r w:rsidRPr="003A0655">
        <w:t>un groupe de contact afin de parvenir à un consensus ou de simplifier le texte proposé d</w:t>
      </w:r>
      <w:r w:rsidR="000B3BB8" w:rsidRPr="003A0655">
        <w:t>’</w:t>
      </w:r>
      <w:r w:rsidRPr="003A0655">
        <w:t>un projet de décision, il était important que tout texte nouveau, révisé ou supprimé à la suite de ces consultations, soit présenté au groupe de contact. À l</w:t>
      </w:r>
      <w:r w:rsidR="000B3BB8" w:rsidRPr="003A0655">
        <w:t>’</w:t>
      </w:r>
      <w:r w:rsidRPr="003A0655">
        <w:t>issue d</w:t>
      </w:r>
      <w:r w:rsidR="000B3BB8" w:rsidRPr="003A0655">
        <w:t>’</w:t>
      </w:r>
      <w:r w:rsidRPr="003A0655">
        <w:t>un débat, les Parties ont accepté une proposition visant à ce que le texte du projet de décision examiné par le groupe de contact soit remplacé par le texte initialement présenté aux Parties par le Groupe de travail à composition non limitée, tel qu</w:t>
      </w:r>
      <w:r w:rsidR="000B3BB8" w:rsidRPr="003A0655">
        <w:t>’</w:t>
      </w:r>
      <w:r w:rsidRPr="003A0655">
        <w:t>il figurait dans le document contenant les projets de décision soumis à la trente-septième Réunion des Parties pour examen (UNEP/OzL.Pro.37/3) (projet de décision XXXVII/[C]). Toute proposition d</w:t>
      </w:r>
      <w:r w:rsidR="000B3BB8" w:rsidRPr="003A0655">
        <w:t>’</w:t>
      </w:r>
      <w:r w:rsidRPr="003A0655">
        <w:t>amendement pourrait alors être présentée au groupe de contact. Un</w:t>
      </w:r>
      <w:r w:rsidR="007D5E11" w:rsidRPr="003A0655">
        <w:t> </w:t>
      </w:r>
      <w:r w:rsidRPr="003A0655">
        <w:t>représentant a souligné que les travaux des groupes de contact devaient commencer par une discussion générale entre les Parties sur la question pertinente, avant de passer à l</w:t>
      </w:r>
      <w:r w:rsidR="000B3BB8" w:rsidRPr="003A0655">
        <w:t>’</w:t>
      </w:r>
      <w:r w:rsidRPr="003A0655">
        <w:t>examen du contenu du projet de décision correspondant.</w:t>
      </w:r>
    </w:p>
    <w:p w14:paraId="6F9F5134" w14:textId="0A4AD43B" w:rsidR="005D68B9" w:rsidRPr="003A0655" w:rsidRDefault="005D68B9" w:rsidP="005D68B9">
      <w:pPr>
        <w:pStyle w:val="Normalnumber"/>
        <w:numPr>
          <w:ilvl w:val="0"/>
          <w:numId w:val="1"/>
        </w:numPr>
        <w:tabs>
          <w:tab w:val="clear" w:pos="1871"/>
          <w:tab w:val="clear" w:pos="2495"/>
          <w:tab w:val="clear" w:pos="3119"/>
          <w:tab w:val="clear" w:pos="3742"/>
          <w:tab w:val="clear" w:pos="4366"/>
          <w:tab w:val="num" w:pos="624"/>
        </w:tabs>
        <w:ind w:left="1248"/>
      </w:pPr>
      <w:r w:rsidRPr="003A0655">
        <w:t>Par la suite, le coprésident du groupe de contact a fait savoir que le groupe n</w:t>
      </w:r>
      <w:r w:rsidR="000B3BB8" w:rsidRPr="003A0655">
        <w:t>’</w:t>
      </w:r>
      <w:r w:rsidRPr="003A0655">
        <w:t>était pas parvenu à s</w:t>
      </w:r>
      <w:r w:rsidR="000B3BB8" w:rsidRPr="003A0655">
        <w:t>’</w:t>
      </w:r>
      <w:r w:rsidRPr="003A0655">
        <w:t>accorder sur un projet de décision concernant les utilisations de substances réglementées comme produits intermédiaires.</w:t>
      </w:r>
    </w:p>
    <w:p w14:paraId="3407C938" w14:textId="55FE29B0" w:rsidR="00CF4056" w:rsidRPr="003A0655" w:rsidRDefault="00CF4056" w:rsidP="00CF4056">
      <w:pPr>
        <w:pStyle w:val="CH1"/>
        <w:keepNext w:val="0"/>
        <w:keepLines w:val="0"/>
      </w:pPr>
      <w:r w:rsidRPr="003A0655">
        <w:tab/>
        <w:t>IX.</w:t>
      </w:r>
      <w:r w:rsidRPr="003A0655">
        <w:tab/>
      </w:r>
      <w:r w:rsidR="004C1FD4" w:rsidRPr="003A0655">
        <w:t>Le halon</w:t>
      </w:r>
      <w:r w:rsidR="00375B3D" w:rsidRPr="003A0655">
        <w:t> </w:t>
      </w:r>
      <w:r w:rsidR="004C1FD4" w:rsidRPr="003A0655">
        <w:t>1301 et la persistance de son utilisation dans l</w:t>
      </w:r>
      <w:r w:rsidR="000B3BB8" w:rsidRPr="003A0655">
        <w:t>’</w:t>
      </w:r>
      <w:r w:rsidR="004C1FD4" w:rsidRPr="003A0655">
        <w:t>industrie aéronautique</w:t>
      </w:r>
      <w:r w:rsidR="00C53371" w:rsidRPr="003A0655">
        <w:t> ;</w:t>
      </w:r>
      <w:r w:rsidR="004C1FD4" w:rsidRPr="003A0655">
        <w:t xml:space="preserve"> gestion d</w:t>
      </w:r>
      <w:r w:rsidR="000B3BB8" w:rsidRPr="003A0655">
        <w:t>’</w:t>
      </w:r>
      <w:r w:rsidR="004C1FD4" w:rsidRPr="003A0655">
        <w:t xml:space="preserve">autres substances réglementées utilisées pour lutter contre les incendies </w:t>
      </w:r>
    </w:p>
    <w:p w14:paraId="09AF2FED" w14:textId="5220E8D5" w:rsidR="006C00E0" w:rsidRPr="003A0655" w:rsidRDefault="006C00E0" w:rsidP="006C00E0">
      <w:pPr>
        <w:pStyle w:val="Normalnumber"/>
        <w:numPr>
          <w:ilvl w:val="0"/>
          <w:numId w:val="1"/>
        </w:numPr>
        <w:tabs>
          <w:tab w:val="clear" w:pos="1871"/>
          <w:tab w:val="clear" w:pos="2495"/>
          <w:tab w:val="clear" w:pos="3119"/>
          <w:tab w:val="clear" w:pos="3742"/>
          <w:tab w:val="clear" w:pos="4366"/>
          <w:tab w:val="num" w:pos="624"/>
        </w:tabs>
        <w:ind w:left="1248"/>
      </w:pPr>
      <w:r w:rsidRPr="003A0655">
        <w:t>Pour l</w:t>
      </w:r>
      <w:r w:rsidR="000B3BB8" w:rsidRPr="003A0655">
        <w:t>’</w:t>
      </w:r>
      <w:r w:rsidRPr="003A0655">
        <w:t>examen de ce point, les Parties étaient saisies des informations figurant aux paragraphes</w:t>
      </w:r>
      <w:r w:rsidR="00A67137" w:rsidRPr="003A0655">
        <w:t> </w:t>
      </w:r>
      <w:r w:rsidRPr="003A0655">
        <w:t>5</w:t>
      </w:r>
      <w:r w:rsidR="00A64399" w:rsidRPr="003A0655">
        <w:t>5</w:t>
      </w:r>
      <w:r w:rsidRPr="003A0655">
        <w:t xml:space="preserve"> à 60 de la note du Secrétariat sur les questions portées à l</w:t>
      </w:r>
      <w:r w:rsidR="000B3BB8" w:rsidRPr="003A0655">
        <w:t>’</w:t>
      </w:r>
      <w:r w:rsidRPr="003A0655">
        <w:t>attention de la trente-septième Réunion des Parties au Protocole de Montréal pour examen et information (UNEP/OzL.Pro.37/2), aux paragraphes 116 à 128 et à l</w:t>
      </w:r>
      <w:r w:rsidR="000B3BB8" w:rsidRPr="003A0655">
        <w:t>’</w:t>
      </w:r>
      <w:r w:rsidRPr="003A0655">
        <w:t>annexe I du rapport du Groupe de travail à composition non limitée des Parties au Protocole de Montréal relatif à des substances qui appauvrissent la couche d</w:t>
      </w:r>
      <w:r w:rsidR="000B3BB8" w:rsidRPr="003A0655">
        <w:t>’</w:t>
      </w:r>
      <w:r w:rsidRPr="003A0655">
        <w:t>ozone sur les travaux de sa quarante-septième réunion (UNEP/OzL.Pro.WG.1/47/6) et au chapitre 3 du volume 1 du rapport d</w:t>
      </w:r>
      <w:r w:rsidR="000B3BB8" w:rsidRPr="003A0655">
        <w:t>’</w:t>
      </w:r>
      <w:r w:rsidRPr="003A0655">
        <w:t>activité du Groupe de l</w:t>
      </w:r>
      <w:r w:rsidR="000B3BB8" w:rsidRPr="003A0655">
        <w:t>’</w:t>
      </w:r>
      <w:r w:rsidRPr="003A0655">
        <w:t>évaluation technique et économique de mai 2025. Un projet de décision sur la question figurait dans le document UNEP/OzL.Pro.37/3 (projet de décision XXXVII/[D]).</w:t>
      </w:r>
    </w:p>
    <w:p w14:paraId="20CE3CDD" w14:textId="4E1F0390" w:rsidR="006C00E0" w:rsidRPr="003A0655" w:rsidRDefault="006C00E0" w:rsidP="006C00E0">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La Coprésidente a rappelé qu</w:t>
      </w:r>
      <w:r w:rsidR="000B3BB8" w:rsidRPr="003A0655">
        <w:t>’</w:t>
      </w:r>
      <w:r w:rsidRPr="003A0655">
        <w:t xml:space="preserve">à la quarante-septième réunion du Groupe de travail à composition non limitée, les Parties avaient examiné la question </w:t>
      </w:r>
      <w:proofErr w:type="gramStart"/>
      <w:r w:rsidRPr="003A0655">
        <w:t>du halon</w:t>
      </w:r>
      <w:proofErr w:type="gramEnd"/>
      <w:r w:rsidRPr="003A0655">
        <w:t xml:space="preserve"> 1301, sur la base d</w:t>
      </w:r>
      <w:r w:rsidR="000B3BB8" w:rsidRPr="003A0655">
        <w:t>’</w:t>
      </w:r>
      <w:r w:rsidRPr="003A0655">
        <w:t>un rapport du Comité des choix techniques pour la lutte contre les incendies. L</w:t>
      </w:r>
      <w:r w:rsidR="000B3BB8" w:rsidRPr="003A0655">
        <w:t>’</w:t>
      </w:r>
      <w:r w:rsidRPr="003A0655">
        <w:t>Australie avait présenté, également au nom du Canada, des États-Unis, de la Nouvelle-Zélande, du Royaume-Uni, de la Suisse et de l</w:t>
      </w:r>
      <w:r w:rsidR="000B3BB8" w:rsidRPr="003A0655">
        <w:t>’</w:t>
      </w:r>
      <w:r w:rsidRPr="003A0655">
        <w:t xml:space="preserve">Union européenne, une proposition concernant </w:t>
      </w:r>
      <w:proofErr w:type="gramStart"/>
      <w:r w:rsidRPr="003A0655">
        <w:t>le halon</w:t>
      </w:r>
      <w:proofErr w:type="gramEnd"/>
      <w:r w:rsidRPr="003A0655">
        <w:t xml:space="preserve"> 1301 utilisé dans l</w:t>
      </w:r>
      <w:r w:rsidR="000B3BB8" w:rsidRPr="003A0655">
        <w:t>’</w:t>
      </w:r>
      <w:r w:rsidRPr="003A0655">
        <w:t>industrie aéronautique et d</w:t>
      </w:r>
      <w:r w:rsidR="000B3BB8" w:rsidRPr="003A0655">
        <w:t>’</w:t>
      </w:r>
      <w:r w:rsidRPr="003A0655">
        <w:t>autres substances réglementées utilisées pour la lutte contre les incendies. Le groupe de contact qui avait examiné le projet de décision avait fait des progrès notables, puisqu</w:t>
      </w:r>
      <w:r w:rsidR="000B3BB8" w:rsidRPr="003A0655">
        <w:t>’</w:t>
      </w:r>
      <w:r w:rsidRPr="003A0655">
        <w:t xml:space="preserve">il avait supprimé la plupart des crochets figurant dans le projet de décision, sans pour autant parvenir à un accord. Le Groupe de travail avait donc convenu de reprendre les discussions sur </w:t>
      </w:r>
      <w:proofErr w:type="gramStart"/>
      <w:r w:rsidRPr="003A0655">
        <w:t>le halon</w:t>
      </w:r>
      <w:proofErr w:type="gramEnd"/>
      <w:r w:rsidRPr="003A0655">
        <w:t xml:space="preserve"> 1301 lors de la trente-septième Réunion des Parties, en s</w:t>
      </w:r>
      <w:r w:rsidR="000B3BB8" w:rsidRPr="003A0655">
        <w:t>’</w:t>
      </w:r>
      <w:r w:rsidRPr="003A0655">
        <w:t xml:space="preserve">appuyant sur le projet de décision révisé par le groupe de contact. </w:t>
      </w:r>
    </w:p>
    <w:p w14:paraId="2301B2BE" w14:textId="70DAC7F7" w:rsidR="006C00E0" w:rsidRPr="003A0655" w:rsidRDefault="006C00E0" w:rsidP="006C00E0">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Les Parties sont convenues de créer un groupe de contact, qui serait coprésidé par Juan</w:t>
      </w:r>
      <w:r w:rsidR="00A01F1D" w:rsidRPr="003A0655">
        <w:t> </w:t>
      </w:r>
      <w:r w:rsidRPr="003A0655">
        <w:t>José</w:t>
      </w:r>
      <w:r w:rsidR="00A01F1D" w:rsidRPr="003A0655">
        <w:t> </w:t>
      </w:r>
      <w:r w:rsidRPr="003A0655">
        <w:t>Galeano (Argentine) et Jana Mašíčková (Tchéquie), pour examiner plus avant le projet de décision.</w:t>
      </w:r>
    </w:p>
    <w:p w14:paraId="1332EF4E" w14:textId="72C22A06" w:rsidR="006C00E0" w:rsidRPr="003A0655" w:rsidRDefault="006C00E0" w:rsidP="006C00E0">
      <w:pPr>
        <w:pStyle w:val="Normalnumber"/>
        <w:numPr>
          <w:ilvl w:val="0"/>
          <w:numId w:val="1"/>
        </w:numPr>
        <w:tabs>
          <w:tab w:val="clear" w:pos="1871"/>
          <w:tab w:val="clear" w:pos="2495"/>
          <w:tab w:val="clear" w:pos="3119"/>
          <w:tab w:val="clear" w:pos="3742"/>
          <w:tab w:val="clear" w:pos="4366"/>
          <w:tab w:val="num" w:pos="624"/>
        </w:tabs>
        <w:ind w:left="1248"/>
      </w:pPr>
      <w:r w:rsidRPr="003A0655">
        <w:t>Par la suite, le coprésident du groupe de contact a indiqué qu</w:t>
      </w:r>
      <w:r w:rsidR="000B3BB8" w:rsidRPr="003A0655">
        <w:t>’</w:t>
      </w:r>
      <w:r w:rsidRPr="003A0655">
        <w:t xml:space="preserve">un consensus avait été atteint sur un projet de décision concernant </w:t>
      </w:r>
      <w:proofErr w:type="gramStart"/>
      <w:r w:rsidRPr="003A0655">
        <w:t>le halon</w:t>
      </w:r>
      <w:proofErr w:type="gramEnd"/>
      <w:r w:rsidRPr="003A0655">
        <w:t xml:space="preserve"> 1301 et la persistance de son utilisation dans l</w:t>
      </w:r>
      <w:r w:rsidR="000B3BB8" w:rsidRPr="003A0655">
        <w:t>’</w:t>
      </w:r>
      <w:r w:rsidRPr="003A0655">
        <w:t>industrie aéronautique, ainsi que la gestion d</w:t>
      </w:r>
      <w:r w:rsidR="000B3BB8" w:rsidRPr="003A0655">
        <w:t>’</w:t>
      </w:r>
      <w:r w:rsidRPr="003A0655">
        <w:t>autres substances réglementées utilisées pour la lutte contre les incendies. Ce projet de décision serait soumis aux Parties pour examen.</w:t>
      </w:r>
    </w:p>
    <w:p w14:paraId="2413335E" w14:textId="69AB8AA5" w:rsidR="006C00E0" w:rsidRPr="003A0655" w:rsidRDefault="006C00E0" w:rsidP="006C00E0">
      <w:pPr>
        <w:pStyle w:val="Normalnumber"/>
        <w:numPr>
          <w:ilvl w:val="0"/>
          <w:numId w:val="1"/>
        </w:numPr>
        <w:tabs>
          <w:tab w:val="clear" w:pos="1871"/>
          <w:tab w:val="clear" w:pos="2495"/>
          <w:tab w:val="clear" w:pos="3119"/>
          <w:tab w:val="clear" w:pos="3742"/>
          <w:tab w:val="clear" w:pos="4366"/>
          <w:tab w:val="num" w:pos="624"/>
        </w:tabs>
        <w:ind w:left="1248"/>
      </w:pPr>
      <w:r w:rsidRPr="003A0655">
        <w:t>Les Parties sont convenues de transmettre le projet de décision au débat de haut niveau pour plus ample examen et adoption éventuelle.</w:t>
      </w:r>
    </w:p>
    <w:p w14:paraId="2A6FC903" w14:textId="3F174037" w:rsidR="00CF4056" w:rsidRPr="003A0655" w:rsidRDefault="00CF4056" w:rsidP="00CF4056">
      <w:pPr>
        <w:pStyle w:val="CH1"/>
        <w:keepNext w:val="0"/>
        <w:keepLines w:val="0"/>
      </w:pPr>
      <w:r w:rsidRPr="003A0655">
        <w:tab/>
        <w:t>X.</w:t>
      </w:r>
      <w:r w:rsidRPr="003A0655">
        <w:tab/>
      </w:r>
      <w:r w:rsidR="002844F2" w:rsidRPr="003A0655">
        <w:t>Initiatives nationales et régionales à l</w:t>
      </w:r>
      <w:r w:rsidR="000B3BB8" w:rsidRPr="003A0655">
        <w:t>’</w:t>
      </w:r>
      <w:r w:rsidR="002844F2" w:rsidRPr="003A0655">
        <w:t>appui de la mise en œuvre de</w:t>
      </w:r>
      <w:r w:rsidR="004D3761" w:rsidRPr="003A0655">
        <w:t> </w:t>
      </w:r>
      <w:r w:rsidR="002844F2" w:rsidRPr="003A0655">
        <w:t>l</w:t>
      </w:r>
      <w:r w:rsidR="000B3BB8" w:rsidRPr="003A0655">
        <w:t>’</w:t>
      </w:r>
      <w:r w:rsidR="002844F2" w:rsidRPr="003A0655">
        <w:t>Amendement de Kigali au Protocole de</w:t>
      </w:r>
      <w:r w:rsidR="00375B3D" w:rsidRPr="003A0655">
        <w:t> </w:t>
      </w:r>
      <w:r w:rsidR="002844F2" w:rsidRPr="003A0655">
        <w:t>Montréal</w:t>
      </w:r>
    </w:p>
    <w:p w14:paraId="71C8AD07" w14:textId="54507990" w:rsidR="007A16AA" w:rsidRPr="003A0655" w:rsidRDefault="007A16AA" w:rsidP="007A16AA">
      <w:pPr>
        <w:pStyle w:val="Normalnumber"/>
        <w:numPr>
          <w:ilvl w:val="0"/>
          <w:numId w:val="1"/>
        </w:numPr>
        <w:tabs>
          <w:tab w:val="clear" w:pos="1871"/>
          <w:tab w:val="clear" w:pos="2495"/>
          <w:tab w:val="clear" w:pos="3119"/>
          <w:tab w:val="clear" w:pos="3742"/>
          <w:tab w:val="clear" w:pos="4366"/>
          <w:tab w:val="num" w:pos="624"/>
        </w:tabs>
        <w:ind w:left="1248"/>
      </w:pPr>
      <w:r w:rsidRPr="003A0655">
        <w:t>Pour l</w:t>
      </w:r>
      <w:r w:rsidR="000B3BB8" w:rsidRPr="003A0655">
        <w:t>’</w:t>
      </w:r>
      <w:r w:rsidRPr="003A0655">
        <w:t>examen de ce point, les Parties étaient saisies des informations figurant aux paragraphes 61 à 67 de la note du Secrétariat sur les questions portées à l</w:t>
      </w:r>
      <w:r w:rsidR="000B3BB8" w:rsidRPr="003A0655">
        <w:t>’</w:t>
      </w:r>
      <w:r w:rsidRPr="003A0655">
        <w:t>attention de la trente-septième Réunion des Parties au Protocole de Montréal pour examen et information (UNEP/OzL.Pro.37/2) et aux paragraphes 195 à 206 et à l</w:t>
      </w:r>
      <w:r w:rsidR="000B3BB8" w:rsidRPr="003A0655">
        <w:t>’</w:t>
      </w:r>
      <w:r w:rsidRPr="003A0655">
        <w:t>annexe I du rapport du Groupe de travail à composition non limitée des Parties au Protocole de Montréal relatif à des substances qui appauvrissent la couche d</w:t>
      </w:r>
      <w:r w:rsidR="000B3BB8" w:rsidRPr="003A0655">
        <w:t>’</w:t>
      </w:r>
      <w:r w:rsidRPr="003A0655">
        <w:t>ozone sur les travaux de sa quarante-septième réunion (UNEP/OzL.Pro.WG.1/47/6). Un projet de décision sur la question figurait dans le document UNEP/OzL.Pro.37/3 (projet de décision XXXVII/[E]).</w:t>
      </w:r>
      <w:bookmarkStart w:id="19" w:name="_Hlk213149426"/>
      <w:bookmarkStart w:id="20" w:name="_Hlk213148777"/>
      <w:bookmarkStart w:id="21" w:name="_Hlk213149106"/>
      <w:bookmarkEnd w:id="19"/>
      <w:bookmarkEnd w:id="20"/>
      <w:bookmarkEnd w:id="21"/>
    </w:p>
    <w:p w14:paraId="3AA2D077" w14:textId="502441F1" w:rsidR="007A16AA" w:rsidRPr="003A0655" w:rsidRDefault="007A16AA" w:rsidP="007A16AA">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La Coprésidente a rappelé qu</w:t>
      </w:r>
      <w:r w:rsidR="000B3BB8" w:rsidRPr="003A0655">
        <w:t>’</w:t>
      </w:r>
      <w:r w:rsidRPr="003A0655">
        <w:t>un projet de décision sur les initiatives nationales et régionales visant à soutenir la mise en œuvre de l</w:t>
      </w:r>
      <w:r w:rsidR="000B3BB8" w:rsidRPr="003A0655">
        <w:t>’</w:t>
      </w:r>
      <w:r w:rsidRPr="003A0655">
        <w:t>Amendement de Kigali avait été présenté</w:t>
      </w:r>
      <w:r w:rsidR="00EF747E" w:rsidRPr="003A0655">
        <w:t xml:space="preserve"> à la quarante</w:t>
      </w:r>
      <w:r w:rsidR="0022012F" w:rsidRPr="003A0655">
        <w:noBreakHyphen/>
      </w:r>
      <w:r w:rsidR="00EF747E" w:rsidRPr="003A0655">
        <w:t>septième réunion du Groupe de travail à composition non limitée</w:t>
      </w:r>
      <w:r w:rsidRPr="003A0655">
        <w:t xml:space="preserve">. Cette proposition avait été examinée par un groupe de contact et le Groupe de travail </w:t>
      </w:r>
      <w:r w:rsidR="00EF747E" w:rsidRPr="003A0655">
        <w:t xml:space="preserve">était </w:t>
      </w:r>
      <w:r w:rsidRPr="003A0655">
        <w:t>convenu de reprendre les discussions sur les initiatives nationales et régionales lors de la trente-septième Réunion des Parties, en s</w:t>
      </w:r>
      <w:r w:rsidR="000B3BB8" w:rsidRPr="003A0655">
        <w:t>’</w:t>
      </w:r>
      <w:r w:rsidRPr="003A0655">
        <w:t>appuyant sur le projet de décision révisé par le groupe de contact. La Coprésidente a signalé que le projet de décision avait par la suite été soutenu par le Groupe africain de négociateur</w:t>
      </w:r>
      <w:r w:rsidR="00EF747E" w:rsidRPr="003A0655">
        <w:t>(</w:t>
      </w:r>
      <w:proofErr w:type="spellStart"/>
      <w:r w:rsidR="00EF747E" w:rsidRPr="003A0655">
        <w:t>rice</w:t>
      </w:r>
      <w:proofErr w:type="spellEnd"/>
      <w:r w:rsidR="00EF747E" w:rsidRPr="003A0655">
        <w:t>)</w:t>
      </w:r>
      <w:r w:rsidRPr="003A0655">
        <w:t>s.</w:t>
      </w:r>
      <w:bookmarkStart w:id="22" w:name="_Hlk213158062"/>
      <w:bookmarkEnd w:id="22"/>
    </w:p>
    <w:p w14:paraId="132446DD" w14:textId="2D279C3A" w:rsidR="007A16AA" w:rsidRPr="003A0655" w:rsidRDefault="007A16AA" w:rsidP="007A16AA">
      <w:pPr>
        <w:pStyle w:val="Normalnumber"/>
        <w:numPr>
          <w:ilvl w:val="0"/>
          <w:numId w:val="1"/>
        </w:numPr>
        <w:tabs>
          <w:tab w:val="clear" w:pos="1871"/>
          <w:tab w:val="clear" w:pos="2495"/>
          <w:tab w:val="clear" w:pos="3119"/>
          <w:tab w:val="clear" w:pos="3742"/>
          <w:tab w:val="clear" w:pos="4366"/>
          <w:tab w:val="num" w:pos="624"/>
        </w:tabs>
        <w:ind w:left="1248"/>
      </w:pPr>
      <w:r w:rsidRPr="003A0655">
        <w:t>Les Parties sont convenues de créer un groupe de contact, qui serait coprésidé par Mariska</w:t>
      </w:r>
      <w:r w:rsidR="00575129" w:rsidRPr="003A0655">
        <w:t> </w:t>
      </w:r>
      <w:r w:rsidRPr="003A0655">
        <w:t>Wouters (Nouvelle-Zélande) et Camilla Noel (Vanuatu), pour examiner plus avant le projet de décision.</w:t>
      </w:r>
    </w:p>
    <w:p w14:paraId="71BF59C2" w14:textId="75B141DE" w:rsidR="007A16AA" w:rsidRPr="003A0655" w:rsidRDefault="007A16AA" w:rsidP="007A16AA">
      <w:pPr>
        <w:pStyle w:val="Normalnumber"/>
        <w:numPr>
          <w:ilvl w:val="0"/>
          <w:numId w:val="1"/>
        </w:numPr>
        <w:tabs>
          <w:tab w:val="clear" w:pos="1871"/>
          <w:tab w:val="clear" w:pos="2495"/>
          <w:tab w:val="clear" w:pos="3119"/>
          <w:tab w:val="clear" w:pos="3742"/>
          <w:tab w:val="clear" w:pos="4366"/>
          <w:tab w:val="num" w:pos="624"/>
        </w:tabs>
        <w:ind w:left="1248"/>
      </w:pPr>
      <w:r w:rsidRPr="003A0655">
        <w:t>Par la suite, le coprésident du groupe de contact a fait savoir que le groupe était parvenu à s</w:t>
      </w:r>
      <w:r w:rsidR="000B3BB8" w:rsidRPr="003A0655">
        <w:t>’</w:t>
      </w:r>
      <w:r w:rsidRPr="003A0655">
        <w:t>accorder sur un projet de décision qui serait soumis aux Parties pour examen.</w:t>
      </w:r>
    </w:p>
    <w:p w14:paraId="54E360A2" w14:textId="77777777" w:rsidR="007A16AA" w:rsidRPr="003A0655" w:rsidRDefault="007A16AA" w:rsidP="007A16AA">
      <w:pPr>
        <w:pStyle w:val="Normalnumber"/>
        <w:numPr>
          <w:ilvl w:val="0"/>
          <w:numId w:val="1"/>
        </w:numPr>
        <w:tabs>
          <w:tab w:val="clear" w:pos="1871"/>
          <w:tab w:val="clear" w:pos="2495"/>
          <w:tab w:val="clear" w:pos="3119"/>
          <w:tab w:val="clear" w:pos="3742"/>
          <w:tab w:val="clear" w:pos="4366"/>
          <w:tab w:val="num" w:pos="624"/>
        </w:tabs>
        <w:ind w:left="1248"/>
      </w:pPr>
      <w:r w:rsidRPr="003A0655">
        <w:t>Les Parties sont convenues de transmettre le projet de décision au débat de haut niveau pour plus ample examen et adoption éventuelle.</w:t>
      </w:r>
    </w:p>
    <w:p w14:paraId="38E14459" w14:textId="189A9283" w:rsidR="00CF4056" w:rsidRPr="003A0655" w:rsidRDefault="00CF4056" w:rsidP="00CF4056">
      <w:pPr>
        <w:pStyle w:val="CH1"/>
        <w:keepNext w:val="0"/>
        <w:keepLines w:val="0"/>
      </w:pPr>
      <w:r w:rsidRPr="003A0655">
        <w:tab/>
        <w:t>XI.</w:t>
      </w:r>
      <w:r w:rsidRPr="003A0655">
        <w:tab/>
      </w:r>
      <w:r w:rsidR="00FF68A5" w:rsidRPr="003A0655">
        <w:t>Questions d</w:t>
      </w:r>
      <w:r w:rsidR="000B3BB8" w:rsidRPr="003A0655">
        <w:t>’</w:t>
      </w:r>
      <w:r w:rsidR="00FF68A5" w:rsidRPr="003A0655">
        <w:t>organisation au sein du Groupe de l</w:t>
      </w:r>
      <w:r w:rsidR="000B3BB8" w:rsidRPr="003A0655">
        <w:t>’</w:t>
      </w:r>
      <w:r w:rsidR="00FF68A5" w:rsidRPr="003A0655">
        <w:t>évaluation technique et économique </w:t>
      </w:r>
    </w:p>
    <w:p w14:paraId="0ADD5CC1" w14:textId="1B5E9F3B" w:rsidR="00CF4056" w:rsidRPr="003A0655" w:rsidRDefault="00CF4056" w:rsidP="00CF4056">
      <w:pPr>
        <w:pStyle w:val="CH2"/>
        <w:keepNext w:val="0"/>
        <w:keepLines w:val="0"/>
      </w:pPr>
      <w:r w:rsidRPr="003A0655">
        <w:tab/>
        <w:t>A.</w:t>
      </w:r>
      <w:r w:rsidRPr="003A0655">
        <w:tab/>
      </w:r>
      <w:r w:rsidR="00BE214D" w:rsidRPr="003A0655">
        <w:t>Options concernant l</w:t>
      </w:r>
      <w:r w:rsidR="000B3BB8" w:rsidRPr="003A0655">
        <w:t>’</w:t>
      </w:r>
      <w:r w:rsidR="00BE214D" w:rsidRPr="003A0655">
        <w:t>organisation du Groupe de l</w:t>
      </w:r>
      <w:r w:rsidR="000B3BB8" w:rsidRPr="003A0655">
        <w:t>’</w:t>
      </w:r>
      <w:r w:rsidR="00BE214D" w:rsidRPr="003A0655">
        <w:t>évaluation technique et</w:t>
      </w:r>
      <w:r w:rsidR="004D3761" w:rsidRPr="003A0655">
        <w:t> </w:t>
      </w:r>
      <w:r w:rsidR="00BE214D" w:rsidRPr="003A0655">
        <w:t>économique et de ses comités des choix techniques (décision</w:t>
      </w:r>
      <w:r w:rsidR="00375B3D" w:rsidRPr="003A0655">
        <w:t> </w:t>
      </w:r>
      <w:r w:rsidR="00BE214D" w:rsidRPr="003A0655">
        <w:t>XXXV/20)</w:t>
      </w:r>
    </w:p>
    <w:p w14:paraId="1B734F35" w14:textId="4D1D9CCC" w:rsidR="00D5605F" w:rsidRPr="003A0655" w:rsidRDefault="00D5605F" w:rsidP="00D5605F">
      <w:pPr>
        <w:pStyle w:val="Normalnumber"/>
        <w:numPr>
          <w:ilvl w:val="0"/>
          <w:numId w:val="1"/>
        </w:numPr>
        <w:tabs>
          <w:tab w:val="clear" w:pos="1871"/>
          <w:tab w:val="clear" w:pos="2495"/>
          <w:tab w:val="clear" w:pos="3119"/>
          <w:tab w:val="clear" w:pos="3742"/>
          <w:tab w:val="clear" w:pos="4366"/>
          <w:tab w:val="num" w:pos="624"/>
        </w:tabs>
        <w:ind w:left="1248"/>
      </w:pPr>
      <w:bookmarkStart w:id="23" w:name="_Hlk213154634"/>
      <w:r w:rsidRPr="003A0655">
        <w:t>Pour l</w:t>
      </w:r>
      <w:r w:rsidR="000B3BB8" w:rsidRPr="003A0655">
        <w:t>’</w:t>
      </w:r>
      <w:r w:rsidRPr="003A0655">
        <w:t>examen de ce point, les Parties étaient saisies des informations figurant aux paragraphes 73 à 80 et aux annexes I et II de la note du Secrétariat sur les questions portées à l</w:t>
      </w:r>
      <w:r w:rsidR="000B3BB8" w:rsidRPr="003A0655">
        <w:t>’</w:t>
      </w:r>
      <w:r w:rsidRPr="003A0655">
        <w:t>attention de la trente-septième Réunion des Parties au Protocole de Montréal pour examen et information (UNEP/OzL.Pro.37/2) et aux paragraphes 99 à 111 du rapport du Groupe de travail à composition non limitée des Parties au Protocole de Montréal relatif à des substances qui appauvrissent la couche d</w:t>
      </w:r>
      <w:r w:rsidR="000B3BB8" w:rsidRPr="003A0655">
        <w:t>’</w:t>
      </w:r>
      <w:r w:rsidRPr="003A0655">
        <w:t>ozone sur les travaux de sa quarante-septième réunion (UNEP/OzL.Pro.WG.1/47/6), ainsi que du mandat du Groupe de l</w:t>
      </w:r>
      <w:r w:rsidR="000B3BB8" w:rsidRPr="003A0655">
        <w:t>’</w:t>
      </w:r>
      <w:r w:rsidRPr="003A0655">
        <w:t>évaluation technique et économique, de ses comités des choix techniques et de ses organes subsidiaires temporaires, tel qu</w:t>
      </w:r>
      <w:r w:rsidR="000B3BB8" w:rsidRPr="003A0655">
        <w:t>’</w:t>
      </w:r>
      <w:r w:rsidRPr="003A0655">
        <w:t>énoncé dans l</w:t>
      </w:r>
      <w:r w:rsidR="000B3BB8" w:rsidRPr="003A0655">
        <w:t>’</w:t>
      </w:r>
      <w:r w:rsidRPr="003A0655">
        <w:t>annexe à la décision XXIV/8 (voir UNEP/Ozl.Pro.24/10).</w:t>
      </w:r>
      <w:bookmarkStart w:id="24" w:name="_Hlk213153388"/>
      <w:bookmarkStart w:id="25" w:name="_Hlk213153408"/>
      <w:bookmarkStart w:id="26" w:name="_Hlk213154839"/>
      <w:bookmarkEnd w:id="24"/>
      <w:bookmarkEnd w:id="25"/>
      <w:bookmarkEnd w:id="26"/>
    </w:p>
    <w:p w14:paraId="31B26A9D" w14:textId="4FBA922F" w:rsidR="00D5605F" w:rsidRPr="003A0655" w:rsidRDefault="00D5605F" w:rsidP="00D5605F">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bookmarkStart w:id="27" w:name="_Hlk213155117"/>
      <w:bookmarkStart w:id="28" w:name="_Hlk213155124"/>
      <w:bookmarkEnd w:id="23"/>
      <w:r w:rsidRPr="003A0655">
        <w:t>La Coprésidente a rappelé qu</w:t>
      </w:r>
      <w:r w:rsidR="000B3BB8" w:rsidRPr="003A0655">
        <w:t>’</w:t>
      </w:r>
      <w:r w:rsidRPr="003A0655">
        <w:t>à la quarante-septième réunion du Groupe de travail à composition non limitée, un groupe informel de Parties intéressées avait rencontré les coprésident(e)s du Groupe de l</w:t>
      </w:r>
      <w:r w:rsidR="000B3BB8" w:rsidRPr="003A0655">
        <w:t>’</w:t>
      </w:r>
      <w:r w:rsidRPr="003A0655">
        <w:t>évaluation technique et économique et de ses comités des choix techniques en marge de la réunion afin de poursuivre les discussions sur les options envisageables pour l</w:t>
      </w:r>
      <w:r w:rsidR="000B3BB8" w:rsidRPr="003A0655">
        <w:t>’</w:t>
      </w:r>
      <w:r w:rsidRPr="003A0655">
        <w:t>organisation du Groupe et de ses comités des choix techniques. À l</w:t>
      </w:r>
      <w:r w:rsidR="000B3BB8" w:rsidRPr="003A0655">
        <w:t>’</w:t>
      </w:r>
      <w:r w:rsidRPr="003A0655">
        <w:t>issue de cette rencontre, le Groupe avait indiqué qu</w:t>
      </w:r>
      <w:r w:rsidR="000B3BB8" w:rsidRPr="003A0655">
        <w:t>’</w:t>
      </w:r>
      <w:r w:rsidRPr="003A0655">
        <w:t>il lui fallait plus de temps pour fournir les informations supplémentaires demandées par les Parties. De leur côté, les Parties avaient également fait savoir qu</w:t>
      </w:r>
      <w:r w:rsidR="000B3BB8" w:rsidRPr="003A0655">
        <w:t>’</w:t>
      </w:r>
      <w:r w:rsidRPr="003A0655">
        <w:t xml:space="preserve">elles avaient besoin de plus de temps pour examiner la question. Le Groupe de travail </w:t>
      </w:r>
      <w:r w:rsidR="004B79F8" w:rsidRPr="003A0655">
        <w:t xml:space="preserve">était </w:t>
      </w:r>
      <w:r w:rsidRPr="003A0655">
        <w:t>donc convenu de reprendre les discussions sur les options relatives à l</w:t>
      </w:r>
      <w:r w:rsidR="000B3BB8" w:rsidRPr="003A0655">
        <w:t>’</w:t>
      </w:r>
      <w:r w:rsidRPr="003A0655">
        <w:t>organisation du Groupe de l</w:t>
      </w:r>
      <w:r w:rsidR="000B3BB8" w:rsidRPr="003A0655">
        <w:t>’</w:t>
      </w:r>
      <w:r w:rsidRPr="003A0655">
        <w:t>évaluation technique et économique et de ses comités des choix techniques lors de la trente-septième Réunion des Parties.</w:t>
      </w:r>
      <w:bookmarkStart w:id="29" w:name="_Hlk213153435"/>
      <w:bookmarkEnd w:id="27"/>
      <w:bookmarkEnd w:id="28"/>
      <w:bookmarkEnd w:id="29"/>
    </w:p>
    <w:p w14:paraId="24B0D204" w14:textId="72823EC2" w:rsidR="00D5605F" w:rsidRPr="003A0655" w:rsidRDefault="00D5605F" w:rsidP="00D5605F">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 xml:space="preserve">Le Groupe </w:t>
      </w:r>
      <w:bookmarkStart w:id="30" w:name="_Hlk220594186"/>
      <w:r w:rsidRPr="003A0655">
        <w:t>de l</w:t>
      </w:r>
      <w:r w:rsidR="000B3BB8" w:rsidRPr="003A0655">
        <w:t>’</w:t>
      </w:r>
      <w:r w:rsidRPr="003A0655">
        <w:t>évaluation technique et économique</w:t>
      </w:r>
      <w:bookmarkEnd w:id="30"/>
      <w:r w:rsidRPr="003A0655">
        <w:t xml:space="preserve"> avait ensuite préparé les informations supplémentaires demandées par les Parties dans le cadre des discussions au sein du groupe informel et fait savoir qu</w:t>
      </w:r>
      <w:r w:rsidR="000B3BB8" w:rsidRPr="003A0655">
        <w:t>’</w:t>
      </w:r>
      <w:r w:rsidRPr="003A0655">
        <w:t>il était prêt à répondre à toutes les questions. La Coprésidente a invité les Parties à indiquer comment elles souhaitaient poursuivre l</w:t>
      </w:r>
      <w:r w:rsidR="000B3BB8" w:rsidRPr="003A0655">
        <w:t>’</w:t>
      </w:r>
      <w:r w:rsidRPr="003A0655">
        <w:t>examen de ce point de l</w:t>
      </w:r>
      <w:r w:rsidR="000B3BB8" w:rsidRPr="003A0655">
        <w:t>’</w:t>
      </w:r>
      <w:r w:rsidRPr="003A0655">
        <w:t>ordre du jour.</w:t>
      </w:r>
    </w:p>
    <w:p w14:paraId="2E75BA26" w14:textId="01821539" w:rsidR="00D5605F" w:rsidRPr="003A0655" w:rsidRDefault="00D5605F" w:rsidP="00D5605F">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Un certain nombre de représentant(e)s ont déclaré qu</w:t>
      </w:r>
      <w:r w:rsidR="000B3BB8" w:rsidRPr="003A0655">
        <w:t>’</w:t>
      </w:r>
      <w:r w:rsidRPr="003A0655">
        <w:t>il serait utile de poursuivre les discussions informelles entre les Parties intéressées et les coprésident(e)s du Groupe de l</w:t>
      </w:r>
      <w:r w:rsidR="000B3BB8" w:rsidRPr="003A0655">
        <w:t>’</w:t>
      </w:r>
      <w:r w:rsidRPr="003A0655">
        <w:t>évaluation technique et économique. Ainsi, les coprésident(e)s pourraient fournir des informations susceptibles d</w:t>
      </w:r>
      <w:r w:rsidR="000B3BB8" w:rsidRPr="003A0655">
        <w:t>’</w:t>
      </w:r>
      <w:r w:rsidRPr="003A0655">
        <w:t>aider les Parties à trouver la voie menant à une décision, même s</w:t>
      </w:r>
      <w:r w:rsidR="000B3BB8" w:rsidRPr="003A0655">
        <w:t>’</w:t>
      </w:r>
      <w:r w:rsidRPr="003A0655">
        <w:t>il n</w:t>
      </w:r>
      <w:r w:rsidR="000B3BB8" w:rsidRPr="003A0655">
        <w:t>’</w:t>
      </w:r>
      <w:r w:rsidRPr="003A0655">
        <w:t>était pas certain qu</w:t>
      </w:r>
      <w:r w:rsidR="000B3BB8" w:rsidRPr="003A0655">
        <w:t>’</w:t>
      </w:r>
      <w:r w:rsidRPr="003A0655">
        <w:t xml:space="preserve">une décision puisse être prise lors de la Réunion en cours. </w:t>
      </w:r>
    </w:p>
    <w:p w14:paraId="7572FD59" w14:textId="77777777" w:rsidR="00D5605F" w:rsidRPr="003A0655" w:rsidRDefault="00D5605F" w:rsidP="00D5605F">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bookmarkStart w:id="31" w:name="_Hlk213156984"/>
      <w:r w:rsidRPr="003A0655">
        <w:t xml:space="preserve">Les Parties sont convenues de créer un groupe informel, qui serait </w:t>
      </w:r>
      <w:proofErr w:type="spellStart"/>
      <w:r w:rsidRPr="003A0655">
        <w:t>cofacilité</w:t>
      </w:r>
      <w:proofErr w:type="spellEnd"/>
      <w:r w:rsidRPr="003A0655">
        <w:t xml:space="preserve"> par Cindy Cunil (Belize) et Matěj </w:t>
      </w:r>
      <w:proofErr w:type="spellStart"/>
      <w:r w:rsidRPr="003A0655">
        <w:t>Mrlina</w:t>
      </w:r>
      <w:proofErr w:type="spellEnd"/>
      <w:r w:rsidRPr="003A0655">
        <w:t xml:space="preserve"> (Tchéquie), afin de poursuivre les discussions sur la question, étant entendu que celles-ci pourraient devoir se poursuivre lors de la quarante-huitième réunion du Groupe de travail à composition non limitée, en 2026.</w:t>
      </w:r>
      <w:bookmarkEnd w:id="31"/>
    </w:p>
    <w:p w14:paraId="576E2C5A" w14:textId="5A247F62" w:rsidR="00D5605F" w:rsidRPr="003A0655" w:rsidRDefault="00D5605F" w:rsidP="00D5605F">
      <w:pPr>
        <w:pStyle w:val="Normalnumber"/>
        <w:numPr>
          <w:ilvl w:val="0"/>
          <w:numId w:val="1"/>
        </w:numPr>
        <w:tabs>
          <w:tab w:val="clear" w:pos="1871"/>
          <w:tab w:val="clear" w:pos="2495"/>
          <w:tab w:val="clear" w:pos="3119"/>
          <w:tab w:val="clear" w:pos="3742"/>
          <w:tab w:val="clear" w:pos="4366"/>
          <w:tab w:val="num" w:pos="624"/>
        </w:tabs>
        <w:ind w:left="1248"/>
      </w:pPr>
      <w:r w:rsidRPr="003A0655">
        <w:t xml:space="preserve">Par la suite, le </w:t>
      </w:r>
      <w:proofErr w:type="spellStart"/>
      <w:r w:rsidRPr="003A0655">
        <w:t>cofacilitateur</w:t>
      </w:r>
      <w:proofErr w:type="spellEnd"/>
      <w:r w:rsidRPr="003A0655">
        <w:t xml:space="preserve"> du groupe informel a indiqué que le groupe avait envisagé diverses options </w:t>
      </w:r>
      <w:r w:rsidR="004B79F8" w:rsidRPr="003A0655">
        <w:t>compte tenu</w:t>
      </w:r>
      <w:r w:rsidRPr="003A0655">
        <w:t xml:space="preserve"> des engagements pris par le Groupe de l</w:t>
      </w:r>
      <w:r w:rsidR="000B3BB8" w:rsidRPr="003A0655">
        <w:t>’</w:t>
      </w:r>
      <w:r w:rsidRPr="003A0655">
        <w:t>évaluation technique et économique, mais que, pour ne pas perturber ses travaux en cours, notamment la préparation de son évaluation quadriennale, il avait estimé qu</w:t>
      </w:r>
      <w:r w:rsidR="000B3BB8" w:rsidRPr="003A0655">
        <w:t>’</w:t>
      </w:r>
      <w:r w:rsidRPr="003A0655">
        <w:t>il n</w:t>
      </w:r>
      <w:r w:rsidR="000B3BB8" w:rsidRPr="003A0655">
        <w:t>’</w:t>
      </w:r>
      <w:r w:rsidRPr="003A0655">
        <w:t>était guère opportun de restructurer le Groupe et ses comités des choix techniques à ce stade. L</w:t>
      </w:r>
      <w:r w:rsidR="000B3BB8" w:rsidRPr="003A0655">
        <w:t>’</w:t>
      </w:r>
      <w:r w:rsidRPr="003A0655">
        <w:t xml:space="preserve">importance de poursuivre les discussions a néanmoins été soulignée, en particulier en ce qui </w:t>
      </w:r>
      <w:r w:rsidR="004B79F8" w:rsidRPr="003A0655">
        <w:t xml:space="preserve">concernait </w:t>
      </w:r>
      <w:r w:rsidRPr="003A0655">
        <w:t>l</w:t>
      </w:r>
      <w:r w:rsidR="000B3BB8" w:rsidRPr="003A0655">
        <w:t>’</w:t>
      </w:r>
      <w:r w:rsidRPr="003A0655">
        <w:t>optimisation de la charge de travail, la composition du Groupe et les contraintes financières. Des informations sur les incidences financières ont été demandées pour inclusion dans le rapport du Groupe. Enfin, les Parties sont parvenues à un large consensus sur la nécessité de poursuivre les discussions sur cette question lors de la quarante-huitième réunion du Groupe de travail à composition non limitée.</w:t>
      </w:r>
    </w:p>
    <w:p w14:paraId="38A85DA0" w14:textId="7D7966BF" w:rsidR="00D5605F" w:rsidRPr="003A0655" w:rsidRDefault="00D5605F" w:rsidP="00D5605F">
      <w:pPr>
        <w:pStyle w:val="Normalnumber"/>
        <w:numPr>
          <w:ilvl w:val="0"/>
          <w:numId w:val="1"/>
        </w:numPr>
        <w:tabs>
          <w:tab w:val="clear" w:pos="1871"/>
          <w:tab w:val="clear" w:pos="2495"/>
          <w:tab w:val="clear" w:pos="3119"/>
          <w:tab w:val="clear" w:pos="3742"/>
          <w:tab w:val="clear" w:pos="4366"/>
          <w:tab w:val="num" w:pos="624"/>
        </w:tabs>
        <w:ind w:left="1248"/>
      </w:pPr>
      <w:r w:rsidRPr="003A0655">
        <w:t>Les Parties sont convenues d</w:t>
      </w:r>
      <w:r w:rsidR="000B3BB8" w:rsidRPr="003A0655">
        <w:t>’</w:t>
      </w:r>
      <w:r w:rsidRPr="003A0655">
        <w:t>inscrire ce point à l</w:t>
      </w:r>
      <w:r w:rsidR="000B3BB8" w:rsidRPr="003A0655">
        <w:t>’</w:t>
      </w:r>
      <w:r w:rsidRPr="003A0655">
        <w:t>ordre du jour de la quarante-huitième réunion du Groupe de travail à composition non limitée.</w:t>
      </w:r>
    </w:p>
    <w:p w14:paraId="40F141E1" w14:textId="622871E2" w:rsidR="00CF4056" w:rsidRPr="003A0655" w:rsidRDefault="00CF4056" w:rsidP="00CF4056">
      <w:pPr>
        <w:pStyle w:val="CH2"/>
        <w:keepNext w:val="0"/>
        <w:keepLines w:val="0"/>
      </w:pPr>
      <w:r w:rsidRPr="003A0655">
        <w:tab/>
        <w:t>B.</w:t>
      </w:r>
      <w:r w:rsidRPr="003A0655">
        <w:tab/>
      </w:r>
      <w:r w:rsidR="00161787" w:rsidRPr="003A0655">
        <w:t>Changements dans la composition du Groupe de l</w:t>
      </w:r>
      <w:r w:rsidR="000B3BB8" w:rsidRPr="003A0655">
        <w:t>’</w:t>
      </w:r>
      <w:r w:rsidR="00161787" w:rsidRPr="003A0655">
        <w:t>évaluation technique et</w:t>
      </w:r>
      <w:r w:rsidR="004D3761" w:rsidRPr="003A0655">
        <w:t> </w:t>
      </w:r>
      <w:r w:rsidR="00161787" w:rsidRPr="003A0655">
        <w:t>économique</w:t>
      </w:r>
    </w:p>
    <w:p w14:paraId="6B35D82C" w14:textId="2B2D55DE" w:rsidR="000474B4" w:rsidRPr="003A0655" w:rsidRDefault="000474B4" w:rsidP="000474B4">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Pour l</w:t>
      </w:r>
      <w:r w:rsidR="000B3BB8" w:rsidRPr="003A0655">
        <w:t>’</w:t>
      </w:r>
      <w:r w:rsidRPr="003A0655">
        <w:t>examen de ce point, les Parties étaient saisies des informations figurant aux paragraphes 73 à 80 et aux annexes I et II de la note du Secrétariat sur les questions portées à l</w:t>
      </w:r>
      <w:r w:rsidR="000B3BB8" w:rsidRPr="003A0655">
        <w:t>’</w:t>
      </w:r>
      <w:r w:rsidRPr="003A0655">
        <w:t>attention de la trente-septième Réunion des Parties au Protocole de Montréal pour examen et information (UNEP/OzL.Pro.37/2), aux paragraphes 61 à 65 de l</w:t>
      </w:r>
      <w:r w:rsidR="000B3BB8" w:rsidRPr="003A0655">
        <w:t>’</w:t>
      </w:r>
      <w:r w:rsidRPr="003A0655">
        <w:t>additif à la note du Secrétariat (UNEP/OzL.Pro.37/2/Add.1) et aux annexes 4 et 5 du volume 1 du rapport d</w:t>
      </w:r>
      <w:r w:rsidR="000B3BB8" w:rsidRPr="003A0655">
        <w:t>’</w:t>
      </w:r>
      <w:r w:rsidRPr="003A0655">
        <w:t>activité de mai 2025 du Groupe de l</w:t>
      </w:r>
      <w:r w:rsidR="000B3BB8" w:rsidRPr="003A0655">
        <w:t>’</w:t>
      </w:r>
      <w:r w:rsidRPr="003A0655">
        <w:t>évaluation technique et économique, ainsi que du mandat du Groupe de l</w:t>
      </w:r>
      <w:r w:rsidR="000B3BB8" w:rsidRPr="003A0655">
        <w:t>’</w:t>
      </w:r>
      <w:r w:rsidRPr="003A0655">
        <w:t>évaluation technique et économique, de ses comités des choix techniques et de ses organes subsidiaires temporaires, tel qu</w:t>
      </w:r>
      <w:r w:rsidR="000B3BB8" w:rsidRPr="003A0655">
        <w:t>’</w:t>
      </w:r>
      <w:r w:rsidRPr="003A0655">
        <w:t>énoncé dans l</w:t>
      </w:r>
      <w:r w:rsidR="000B3BB8" w:rsidRPr="003A0655">
        <w:t>’</w:t>
      </w:r>
      <w:r w:rsidRPr="003A0655">
        <w:t>annexe à la décision XXIV/8, et du guide d</w:t>
      </w:r>
      <w:r w:rsidR="000B3BB8" w:rsidRPr="003A0655">
        <w:t>’</w:t>
      </w:r>
      <w:r w:rsidRPr="003A0655">
        <w:t>introduction au Groupe de l</w:t>
      </w:r>
      <w:r w:rsidR="000B3BB8" w:rsidRPr="003A0655">
        <w:t>’</w:t>
      </w:r>
      <w:r w:rsidRPr="003A0655">
        <w:t>évaluation technique et économique et du tableau des compétences requises.</w:t>
      </w:r>
      <w:bookmarkStart w:id="32" w:name="_Hlk213154696"/>
      <w:bookmarkStart w:id="33" w:name="_Hlk213154729"/>
      <w:bookmarkStart w:id="34" w:name="_Hlk213154959"/>
      <w:bookmarkStart w:id="35" w:name="_Hlk213155160"/>
      <w:bookmarkEnd w:id="32"/>
      <w:bookmarkEnd w:id="33"/>
      <w:bookmarkEnd w:id="34"/>
      <w:bookmarkEnd w:id="35"/>
    </w:p>
    <w:p w14:paraId="0BB30088" w14:textId="480E8006" w:rsidR="000474B4" w:rsidRPr="003A0655" w:rsidRDefault="000474B4" w:rsidP="000474B4">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La Coprésidente a rappelé qu</w:t>
      </w:r>
      <w:r w:rsidR="000B3BB8" w:rsidRPr="003A0655">
        <w:t>’</w:t>
      </w:r>
      <w:r w:rsidRPr="003A0655">
        <w:t>à la quarante-septième réunion du Groupe de travail à composition non limitée, l</w:t>
      </w:r>
      <w:r w:rsidR="000B3BB8" w:rsidRPr="003A0655">
        <w:t>’</w:t>
      </w:r>
      <w:r w:rsidRPr="003A0655">
        <w:t>attention des Parties avait été appelée sur la liste des coprésident(e)s et des membres du Groupe de l</w:t>
      </w:r>
      <w:r w:rsidR="000B3BB8" w:rsidRPr="003A0655">
        <w:t>’</w:t>
      </w:r>
      <w:r w:rsidRPr="003A0655">
        <w:t>évaluation technique et économique et des comités des choix techniques dont le mandat allait expirer à la fin de l</w:t>
      </w:r>
      <w:r w:rsidR="000B3BB8" w:rsidRPr="003A0655">
        <w:t>’</w:t>
      </w:r>
      <w:r w:rsidRPr="003A0655">
        <w:t>année 2025, telle qu</w:t>
      </w:r>
      <w:r w:rsidR="000B3BB8" w:rsidRPr="003A0655">
        <w:t>’</w:t>
      </w:r>
      <w:r w:rsidRPr="003A0655">
        <w:t>elle figurait dans le rapport d</w:t>
      </w:r>
      <w:r w:rsidR="000B3BB8" w:rsidRPr="003A0655">
        <w:t>’</w:t>
      </w:r>
      <w:r w:rsidRPr="003A0655">
        <w:t>activité du Groupe pour 2025. À ce jour, le Secrétariat avait reçu quatre candidatures</w:t>
      </w:r>
      <w:r w:rsidR="00F97C78" w:rsidRPr="003A0655">
        <w:t> </w:t>
      </w:r>
      <w:r w:rsidRPr="003A0655">
        <w:t>: Marta Pizano au poste de coprésidente du Comité des choix techniques pour le bromure de méthyle pour un nouveau mandat de quatre ans</w:t>
      </w:r>
      <w:r w:rsidR="002A39D3" w:rsidRPr="003A0655">
        <w:t> </w:t>
      </w:r>
      <w:r w:rsidRPr="003A0655">
        <w:t>; Ian Porter au poste de coprésident du Comité des choix techniques pour le bromure de méthyle pour un nouveau mandat de deux ans</w:t>
      </w:r>
      <w:r w:rsidR="002A39D3" w:rsidRPr="003A0655">
        <w:t> </w:t>
      </w:r>
      <w:r w:rsidRPr="003A0655">
        <w:t>; Helen Tope au poste de coprésidente du Comité des choix techniques pour les produits chimiques et médicaux pour un nouveau mandat de quatre ans</w:t>
      </w:r>
      <w:r w:rsidR="002A39D3" w:rsidRPr="003A0655">
        <w:t> </w:t>
      </w:r>
      <w:r w:rsidRPr="003A0655">
        <w:t xml:space="preserve">; et Helen Walter-Terrinoni au poste de coprésidente du Comité des choix techniques pour les mousses souples et rigides pour un nouveau mandat de quatre ans. Les candidatures étaient affichées sur le portail de la Réunion. La Coprésidente a demandé à toutes les Parties souhaitant présenter des candidatures supplémentaires de le faire dès que possible, afin que le Secrétariat puisse préparer un projet de décision qui serait examiné lors de la Réunion en cours. </w:t>
      </w:r>
      <w:bookmarkStart w:id="36" w:name="_Hlk213156132"/>
      <w:bookmarkStart w:id="37" w:name="_Hlk213155235"/>
      <w:bookmarkStart w:id="38" w:name="_Hlk213155965"/>
      <w:bookmarkEnd w:id="36"/>
      <w:bookmarkEnd w:id="37"/>
      <w:bookmarkEnd w:id="38"/>
    </w:p>
    <w:p w14:paraId="6D280E49" w14:textId="0F49300E" w:rsidR="000474B4" w:rsidRPr="003A0655" w:rsidRDefault="000474B4" w:rsidP="000474B4">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 xml:space="preserve">Une représentante a </w:t>
      </w:r>
      <w:r w:rsidR="004B79F8" w:rsidRPr="003A0655">
        <w:t>remercié</w:t>
      </w:r>
      <w:r w:rsidRPr="003A0655">
        <w:t xml:space="preserve"> Sergey Kopylov pour son dévouement dans son rôle de coprésident du Comité des choix techniques pour la lutte contre les incendies. Elle a invité les Parties à faire en sorte que le Groupe et ses comités des choix techniques comprennent des membres issus de pays en développement, y compris de pays à températures ambiantes élevées, conformément à la décision XXXI/8.</w:t>
      </w:r>
    </w:p>
    <w:p w14:paraId="34B8FF28" w14:textId="77777777" w:rsidR="000474B4" w:rsidRPr="003A0655" w:rsidRDefault="000474B4" w:rsidP="000474B4">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Les Parties sont convenues de créer un groupe informel afin de poursuivre les discussions sur la question.</w:t>
      </w:r>
    </w:p>
    <w:p w14:paraId="38216617" w14:textId="4CF58F0B" w:rsidR="000474B4" w:rsidRPr="003A0655" w:rsidRDefault="000474B4" w:rsidP="000474B4">
      <w:pPr>
        <w:pStyle w:val="Normalnumber"/>
        <w:numPr>
          <w:ilvl w:val="0"/>
          <w:numId w:val="1"/>
        </w:numPr>
        <w:tabs>
          <w:tab w:val="clear" w:pos="1871"/>
          <w:tab w:val="clear" w:pos="2495"/>
          <w:tab w:val="clear" w:pos="3119"/>
          <w:tab w:val="clear" w:pos="3742"/>
          <w:tab w:val="clear" w:pos="4366"/>
          <w:tab w:val="num" w:pos="624"/>
        </w:tabs>
        <w:ind w:left="1248"/>
      </w:pPr>
      <w:r w:rsidRPr="003A0655">
        <w:t>La Coprésidente a fait savoir aux Parties que le groupe informel s</w:t>
      </w:r>
      <w:r w:rsidR="000B3BB8" w:rsidRPr="003A0655">
        <w:t>’</w:t>
      </w:r>
      <w:r w:rsidRPr="003A0655">
        <w:t>était mis d</w:t>
      </w:r>
      <w:r w:rsidR="000B3BB8" w:rsidRPr="003A0655">
        <w:t>’</w:t>
      </w:r>
      <w:r w:rsidRPr="003A0655">
        <w:t>accord sur un projet de décision concernant cette question, pour examen par les Parties.</w:t>
      </w:r>
    </w:p>
    <w:p w14:paraId="745661E9" w14:textId="68CE73B3" w:rsidR="000474B4" w:rsidRPr="003A0655" w:rsidRDefault="000474B4" w:rsidP="000474B4">
      <w:pPr>
        <w:pStyle w:val="Normalnumber"/>
        <w:numPr>
          <w:ilvl w:val="0"/>
          <w:numId w:val="1"/>
        </w:numPr>
        <w:tabs>
          <w:tab w:val="clear" w:pos="1871"/>
          <w:tab w:val="clear" w:pos="2495"/>
          <w:tab w:val="clear" w:pos="3119"/>
          <w:tab w:val="clear" w:pos="3742"/>
          <w:tab w:val="clear" w:pos="4366"/>
          <w:tab w:val="num" w:pos="624"/>
        </w:tabs>
        <w:ind w:left="1248"/>
      </w:pPr>
      <w:r w:rsidRPr="003A0655">
        <w:t>Les Parties sont convenues de transmettre le projet de décision au débat de haut niveau pour plus ample examen et adoption éventuelle.</w:t>
      </w:r>
    </w:p>
    <w:p w14:paraId="7DEE5615" w14:textId="33D03C11" w:rsidR="00CF4056" w:rsidRPr="003A0655" w:rsidRDefault="00CF4056" w:rsidP="00CF4056">
      <w:pPr>
        <w:pStyle w:val="CH1"/>
        <w:keepNext w:val="0"/>
        <w:keepLines w:val="0"/>
      </w:pPr>
      <w:r w:rsidRPr="003A0655">
        <w:tab/>
        <w:t>XII.</w:t>
      </w:r>
      <w:r w:rsidRPr="003A0655">
        <w:tab/>
      </w:r>
      <w:r w:rsidR="00520053" w:rsidRPr="003A0655">
        <w:t>Poursuite du renforcement des institutions relevant du Protocole de Montréal (décision XXXVI/9)</w:t>
      </w:r>
      <w:r w:rsidRPr="003A0655">
        <w:t xml:space="preserve"> </w:t>
      </w:r>
    </w:p>
    <w:p w14:paraId="328527D2" w14:textId="43436616" w:rsidR="00722888" w:rsidRPr="003A0655" w:rsidRDefault="00722888" w:rsidP="00722888">
      <w:pPr>
        <w:pStyle w:val="Normalnumber"/>
        <w:numPr>
          <w:ilvl w:val="0"/>
          <w:numId w:val="1"/>
        </w:numPr>
        <w:tabs>
          <w:tab w:val="clear" w:pos="1871"/>
          <w:tab w:val="clear" w:pos="2495"/>
          <w:tab w:val="clear" w:pos="3119"/>
          <w:tab w:val="clear" w:pos="3742"/>
          <w:tab w:val="clear" w:pos="4366"/>
          <w:tab w:val="num" w:pos="624"/>
        </w:tabs>
        <w:ind w:left="1248"/>
      </w:pPr>
      <w:bookmarkStart w:id="39" w:name="_Hlk213163587"/>
      <w:r w:rsidRPr="003A0655">
        <w:t>Pour l</w:t>
      </w:r>
      <w:r w:rsidR="000B3BB8" w:rsidRPr="003A0655">
        <w:t>’</w:t>
      </w:r>
      <w:r w:rsidRPr="003A0655">
        <w:t>examen de ce point, les Parties étaient saisies des informations figurant aux paragraphes 81 à 84 de la note du Secrétariat sur les questions portées à l</w:t>
      </w:r>
      <w:r w:rsidR="000B3BB8" w:rsidRPr="003A0655">
        <w:t>’</w:t>
      </w:r>
      <w:r w:rsidRPr="003A0655">
        <w:t>attention de la trente</w:t>
      </w:r>
      <w:r w:rsidR="003F4456" w:rsidRPr="003A0655">
        <w:noBreakHyphen/>
      </w:r>
      <w:r w:rsidRPr="003A0655">
        <w:t>septième Réunion des Parties au Protocole de Montréal pour examen et information (UNEP/OzL.Pro.37/2) et aux paragraphes 168 à 179 du rapport du Groupe de travail à composition non limitée des Parties au Protocole de Montréal relatif à des substances qui appauvrissent la couche d</w:t>
      </w:r>
      <w:r w:rsidR="000B3BB8" w:rsidRPr="003A0655">
        <w:t>’</w:t>
      </w:r>
      <w:r w:rsidRPr="003A0655">
        <w:t>ozone sur les travaux de sa quarante-septième réunion (UNEP/OzL.Pro.WG.1/47/6) ainsi que d</w:t>
      </w:r>
      <w:r w:rsidR="000B3BB8" w:rsidRPr="003A0655">
        <w:t>’</w:t>
      </w:r>
      <w:r w:rsidRPr="003A0655">
        <w:t>un document contenant une note de cadrage et un programme provisoire de la réunion informelle établis par le Secrétariat</w:t>
      </w:r>
      <w:r w:rsidRPr="003A0655">
        <w:rPr>
          <w:rStyle w:val="FootnoteReference"/>
        </w:rPr>
        <w:footnoteReference w:id="3"/>
      </w:r>
      <w:bookmarkStart w:id="40" w:name="_Hlk213162786"/>
      <w:bookmarkEnd w:id="40"/>
      <w:r w:rsidRPr="003A0655">
        <w:t>.</w:t>
      </w:r>
    </w:p>
    <w:bookmarkEnd w:id="39"/>
    <w:p w14:paraId="39556860" w14:textId="3C742D8D" w:rsidR="00722888" w:rsidRPr="003A0655" w:rsidRDefault="00722888" w:rsidP="00722888">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La Coprésidente a rappelé qu</w:t>
      </w:r>
      <w:r w:rsidR="000B3BB8" w:rsidRPr="003A0655">
        <w:t>’</w:t>
      </w:r>
      <w:r w:rsidRPr="003A0655">
        <w:t>à la quarante-septième réunion du Groupe de travail à composition non limitée, les Parties intéressées avaient rencontré le Secrétariat afin d</w:t>
      </w:r>
      <w:r w:rsidR="000B3BB8" w:rsidRPr="003A0655">
        <w:t>’</w:t>
      </w:r>
      <w:r w:rsidRPr="003A0655">
        <w:t>envisager les thèmes à aborder lors de la réunion demandée dans la décision XXXVI/9. Une réunion informelle des Parties sur les moyens de faciliter la mise en œuvre du Protocole de Montréal s</w:t>
      </w:r>
      <w:r w:rsidR="000B3BB8" w:rsidRPr="003A0655">
        <w:t>’</w:t>
      </w:r>
      <w:r w:rsidRPr="003A0655">
        <w:t>était tenue dans la journée du dimanche 2</w:t>
      </w:r>
      <w:r w:rsidR="006A4298" w:rsidRPr="003A0655">
        <w:t> </w:t>
      </w:r>
      <w:r w:rsidRPr="003A0655">
        <w:t>novembre 2025. Le Secrétariat avait dressé et publié le bilan de la réunion (UNEP/OzL.Pro.37/7), basé en grande partie sur les principaux points à retenir que les facilitat</w:t>
      </w:r>
      <w:r w:rsidR="0095558D" w:rsidRPr="003A0655">
        <w:t>eur(</w:t>
      </w:r>
      <w:proofErr w:type="spellStart"/>
      <w:r w:rsidRPr="003A0655">
        <w:t>rice</w:t>
      </w:r>
      <w:proofErr w:type="spellEnd"/>
      <w:r w:rsidR="0095558D" w:rsidRPr="003A0655">
        <w:t>)</w:t>
      </w:r>
      <w:r w:rsidRPr="003A0655">
        <w:t>s des discussions en petits groupes avaient rapportés à la plénière de la réunion informelle des Parties. La Coprésidente a souligné que le bilan de la réunion informelle ne rendait pas pleinement compte de la richesse des échanges, ajoutant que les présentations faites lors de la réunion informelle étaient disponibles sur le portail de la réunion</w:t>
      </w:r>
      <w:r w:rsidRPr="003A0655">
        <w:rPr>
          <w:rStyle w:val="FootnoteReference"/>
        </w:rPr>
        <w:footnoteReference w:id="4"/>
      </w:r>
      <w:r w:rsidRPr="003A0655">
        <w:t>. Au nom également de l</w:t>
      </w:r>
      <w:r w:rsidR="000B3BB8" w:rsidRPr="003A0655">
        <w:t>’</w:t>
      </w:r>
      <w:r w:rsidRPr="003A0655">
        <w:t xml:space="preserve">autre Coprésidente, elle a exprimé sa reconnaissance à </w:t>
      </w:r>
      <w:proofErr w:type="spellStart"/>
      <w:r w:rsidRPr="003A0655">
        <w:t>tou</w:t>
      </w:r>
      <w:proofErr w:type="spellEnd"/>
      <w:r w:rsidRPr="003A0655">
        <w:t>(te)s les facilitateur(</w:t>
      </w:r>
      <w:proofErr w:type="spellStart"/>
      <w:r w:rsidRPr="003A0655">
        <w:t>rice</w:t>
      </w:r>
      <w:proofErr w:type="spellEnd"/>
      <w:r w:rsidRPr="003A0655">
        <w:t>)s, présentateur(</w:t>
      </w:r>
      <w:proofErr w:type="spellStart"/>
      <w:r w:rsidRPr="003A0655">
        <w:t>rice</w:t>
      </w:r>
      <w:proofErr w:type="spellEnd"/>
      <w:r w:rsidRPr="003A0655">
        <w:t xml:space="preserve">)s, expert(e)s et participant(e)s pour leur précieuse contribution à la réunion informelle. </w:t>
      </w:r>
    </w:p>
    <w:p w14:paraId="1C91F07C" w14:textId="75147F9F" w:rsidR="00722888" w:rsidRPr="003A0655" w:rsidRDefault="00722888" w:rsidP="00722888">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Par la suite, la représentante de l</w:t>
      </w:r>
      <w:r w:rsidR="000B3BB8" w:rsidRPr="003A0655">
        <w:t>’</w:t>
      </w:r>
      <w:r w:rsidRPr="003A0655">
        <w:t>Union européenne a présenté un projet de décision figurant dans un document de séance. Elle a expliqué que ce projet de décision visait à rationaliser la communication des informations que les Parties devaient soumettre au Secrétariat au sujet de leurs systèmes d</w:t>
      </w:r>
      <w:r w:rsidR="000B3BB8" w:rsidRPr="003A0655">
        <w:t>’</w:t>
      </w:r>
      <w:r w:rsidRPr="003A0655">
        <w:t>octroi de licences et avait pour but de renforcer ces derniers. Il y était demandé au Secrétariat de préparer un modèle dont les Parties pourraient se servir pour fournir des informations</w:t>
      </w:r>
      <w:r w:rsidR="008A02D1" w:rsidRPr="003A0655">
        <w:t>, notamment</w:t>
      </w:r>
      <w:r w:rsidRPr="003A0655">
        <w:t xml:space="preserve"> sur les éléments du système d</w:t>
      </w:r>
      <w:r w:rsidR="000B3BB8" w:rsidRPr="003A0655">
        <w:t>’</w:t>
      </w:r>
      <w:r w:rsidRPr="003A0655">
        <w:t>octroi de licences devant être mis en place et appliqués en vertu de l</w:t>
      </w:r>
      <w:r w:rsidR="000B3BB8" w:rsidRPr="003A0655">
        <w:t>’</w:t>
      </w:r>
      <w:r w:rsidRPr="003A0655">
        <w:t>article 4B du Protocole de Montréal, ainsi que d</w:t>
      </w:r>
      <w:r w:rsidR="000B3BB8" w:rsidRPr="003A0655">
        <w:t>’</w:t>
      </w:r>
      <w:r w:rsidRPr="003A0655">
        <w:t>autres éléments utiles à titre d</w:t>
      </w:r>
      <w:r w:rsidR="000B3BB8" w:rsidRPr="003A0655">
        <w:t>’</w:t>
      </w:r>
      <w:r w:rsidRPr="003A0655">
        <w:t>information, d</w:t>
      </w:r>
      <w:r w:rsidR="000B3BB8" w:rsidRPr="003A0655">
        <w:t>’</w:t>
      </w:r>
      <w:r w:rsidRPr="003A0655">
        <w:t>ici au 30</w:t>
      </w:r>
      <w:r w:rsidR="00A8636A" w:rsidRPr="003A0655">
        <w:t> </w:t>
      </w:r>
      <w:r w:rsidRPr="003A0655">
        <w:t>septembre 2026, et de veiller à ce que ces informations soient mises à jour par la suite. Il y était également demandé au Secrétariat de préparer une compilation des informations ainsi fournies, pour examen par le Comité d</w:t>
      </w:r>
      <w:r w:rsidR="000B3BB8" w:rsidRPr="003A0655">
        <w:t>’</w:t>
      </w:r>
      <w:r w:rsidRPr="003A0655">
        <w:t>application à sa soixante-dix-septième réunion et par la trente</w:t>
      </w:r>
      <w:r w:rsidR="00CB6886" w:rsidRPr="003A0655">
        <w:noBreakHyphen/>
      </w:r>
      <w:r w:rsidRPr="003A0655">
        <w:t>huitième</w:t>
      </w:r>
      <w:r w:rsidR="00CB6886" w:rsidRPr="003A0655">
        <w:t> </w:t>
      </w:r>
      <w:r w:rsidRPr="003A0655">
        <w:t>Réunion des Parties. Enfin, il y était demandé au Secrétariat de dresser une liste de contrôle couvrant les caractéristiques essentielles des systèmes d</w:t>
      </w:r>
      <w:r w:rsidR="000B3BB8" w:rsidRPr="003A0655">
        <w:t>’</w:t>
      </w:r>
      <w:r w:rsidRPr="003A0655">
        <w:t>octroi de licences, en tenant compte de l</w:t>
      </w:r>
      <w:r w:rsidR="000B3BB8" w:rsidRPr="003A0655">
        <w:t>’</w:t>
      </w:r>
      <w:r w:rsidRPr="003A0655">
        <w:t>article 4B du Protocole de Montréal et des décisions pertinentes de la Réunion des Parties sur les questions d</w:t>
      </w:r>
      <w:r w:rsidR="000B3BB8" w:rsidRPr="003A0655">
        <w:t>’</w:t>
      </w:r>
      <w:r w:rsidRPr="003A0655">
        <w:t>octroi de licences. L</w:t>
      </w:r>
      <w:r w:rsidR="000B3BB8" w:rsidRPr="003A0655">
        <w:t>’</w:t>
      </w:r>
      <w:r w:rsidRPr="003A0655">
        <w:t>intervenante a dit qu</w:t>
      </w:r>
      <w:r w:rsidR="000B3BB8" w:rsidRPr="003A0655">
        <w:t>’</w:t>
      </w:r>
      <w:r w:rsidRPr="003A0655">
        <w:t>elle se ferait un plaisir de discuter de la proposition avec toutes les Parties intéressées.</w:t>
      </w:r>
    </w:p>
    <w:p w14:paraId="25C39512" w14:textId="687AE046" w:rsidR="00722888" w:rsidRPr="003A0655" w:rsidRDefault="00722888" w:rsidP="00722888">
      <w:pPr>
        <w:pStyle w:val="Normalnumber"/>
        <w:numPr>
          <w:ilvl w:val="0"/>
          <w:numId w:val="1"/>
        </w:numPr>
        <w:tabs>
          <w:tab w:val="clear" w:pos="1871"/>
          <w:tab w:val="clear" w:pos="2495"/>
          <w:tab w:val="clear" w:pos="3119"/>
          <w:tab w:val="clear" w:pos="3742"/>
          <w:tab w:val="clear" w:pos="4366"/>
          <w:tab w:val="num" w:pos="624"/>
        </w:tabs>
        <w:ind w:left="1248"/>
      </w:pPr>
      <w:r w:rsidRPr="003A0655">
        <w:t>Un représentant a exprimé des doutes quant à l</w:t>
      </w:r>
      <w:r w:rsidR="000B3BB8" w:rsidRPr="003A0655">
        <w:t>’</w:t>
      </w:r>
      <w:r w:rsidRPr="003A0655">
        <w:t>utilité de la proposition avancée, ne voyant pas comment elle était censée aider les Parties à remplir leurs obligations au titre du Protocole de Montréal. Les Parties devaient veiller à ne pas alourdir la charge de travail du Secrétariat et celle des Parties, qui étaient déjà submergées de demandes d</w:t>
      </w:r>
      <w:r w:rsidR="000B3BB8" w:rsidRPr="003A0655">
        <w:t>’</w:t>
      </w:r>
      <w:r w:rsidRPr="003A0655">
        <w:t>informations supplémentaires à fournir à titre volontaire. Il n</w:t>
      </w:r>
      <w:r w:rsidR="000B3BB8" w:rsidRPr="003A0655">
        <w:t>’</w:t>
      </w:r>
      <w:r w:rsidRPr="003A0655">
        <w:t>apparaissait pas clairement comment la proposition pouvait réellement aider les Parties à améliorer leurs capacités et à relever leurs défis actuels.</w:t>
      </w:r>
    </w:p>
    <w:p w14:paraId="6BE8DE74" w14:textId="6B95FB45" w:rsidR="00F40C36" w:rsidRPr="003A0655" w:rsidRDefault="00F40C36" w:rsidP="00F40C36">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D</w:t>
      </w:r>
      <w:r w:rsidR="000B3BB8" w:rsidRPr="003A0655">
        <w:t>’</w:t>
      </w:r>
      <w:r w:rsidRPr="003A0655">
        <w:t>autres représentant(e)s ont fait écho à ces préoccupations, estimant que l</w:t>
      </w:r>
      <w:r w:rsidR="000B3BB8" w:rsidRPr="003A0655">
        <w:t>’</w:t>
      </w:r>
      <w:r w:rsidRPr="003A0655">
        <w:t>objectif et le contenu du modèle proposé appelaient davantage d</w:t>
      </w:r>
      <w:r w:rsidR="000B3BB8" w:rsidRPr="003A0655">
        <w:t>’</w:t>
      </w:r>
      <w:r w:rsidRPr="003A0655">
        <w:t>éclaircissements. Le Protocole de Montréal lui</w:t>
      </w:r>
      <w:r w:rsidR="00535C2F" w:rsidRPr="003A0655">
        <w:noBreakHyphen/>
      </w:r>
      <w:r w:rsidRPr="003A0655">
        <w:t>même ne fournissait aucune orientation spécifique concernant les systèmes d</w:t>
      </w:r>
      <w:r w:rsidR="000B3BB8" w:rsidRPr="003A0655">
        <w:t>’</w:t>
      </w:r>
      <w:r w:rsidRPr="003A0655">
        <w:t>octroi de licences. Une autre représentante a exprimé la crainte que le modèle proposé ne reflète pas toutes les caractéristiques attendues d</w:t>
      </w:r>
      <w:r w:rsidR="000B3BB8" w:rsidRPr="003A0655">
        <w:t>’</w:t>
      </w:r>
      <w:r w:rsidRPr="003A0655">
        <w:t>un système d</w:t>
      </w:r>
      <w:r w:rsidR="000B3BB8" w:rsidRPr="003A0655">
        <w:t>’</w:t>
      </w:r>
      <w:r w:rsidRPr="003A0655">
        <w:t>octroi de licences bien conçu.</w:t>
      </w:r>
    </w:p>
    <w:p w14:paraId="5FAB02DF" w14:textId="13A80B07" w:rsidR="00F40C36" w:rsidRPr="003A0655" w:rsidRDefault="00F40C36" w:rsidP="00F40C36">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Une représentante, tout en saluant la proposition, a fait remarquer qu</w:t>
      </w:r>
      <w:r w:rsidR="000B3BB8" w:rsidRPr="003A0655">
        <w:t>’</w:t>
      </w:r>
      <w:r w:rsidRPr="003A0655">
        <w:t>elle découlait des discussions tenues lors de la réunion informelle du dimanche 2</w:t>
      </w:r>
      <w:r w:rsidR="0022012F" w:rsidRPr="003A0655">
        <w:t> </w:t>
      </w:r>
      <w:r w:rsidRPr="003A0655">
        <w:t>novembre. Or, d</w:t>
      </w:r>
      <w:r w:rsidR="000B3BB8" w:rsidRPr="003A0655">
        <w:t>’</w:t>
      </w:r>
      <w:r w:rsidRPr="003A0655">
        <w:t>autres questions importantes avaient été abordées lors de cette réunion, notamment le commerce illicite, la collecte et la communication de données, et le renforcement des capacités. Elle craignait que si un groupe de contact était créé pour discuter de la proposition de l</w:t>
      </w:r>
      <w:r w:rsidR="000B3BB8" w:rsidRPr="003A0655">
        <w:t>’</w:t>
      </w:r>
      <w:r w:rsidRPr="003A0655">
        <w:t>Union européenne, les autres questions soient reléguées dans le document final de la réunion informelle, qui était dénué de tout statut officiel et ne ferait l</w:t>
      </w:r>
      <w:r w:rsidR="000B3BB8" w:rsidRPr="003A0655">
        <w:t>’</w:t>
      </w:r>
      <w:r w:rsidRPr="003A0655">
        <w:t>objet d</w:t>
      </w:r>
      <w:r w:rsidR="000B3BB8" w:rsidRPr="003A0655">
        <w:t>’</w:t>
      </w:r>
      <w:r w:rsidRPr="003A0655">
        <w:t xml:space="preserve">aucun suivi. Elle a suggéré que si un groupe de contact était créé, il travaille également à la préparation des prochaines étapes concernant les autres questions. </w:t>
      </w:r>
    </w:p>
    <w:p w14:paraId="3E9A133B" w14:textId="23576A68" w:rsidR="00F40C36" w:rsidRPr="003A0655" w:rsidRDefault="00F40C36" w:rsidP="00F40C36">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 xml:space="preserve">Une autre représentante a fait valoir que la </w:t>
      </w:r>
      <w:r w:rsidR="008A02D1" w:rsidRPr="003A0655">
        <w:t xml:space="preserve">tenue de la </w:t>
      </w:r>
      <w:r w:rsidRPr="003A0655">
        <w:t xml:space="preserve">réunion informelle avait rempli le mandat </w:t>
      </w:r>
      <w:r w:rsidR="00FE6269" w:rsidRPr="003A0655">
        <w:t xml:space="preserve">défini par </w:t>
      </w:r>
      <w:r w:rsidRPr="003A0655">
        <w:t>les Parties dans la décision XXXVI/9. Il ne s</w:t>
      </w:r>
      <w:r w:rsidR="000B3BB8" w:rsidRPr="003A0655">
        <w:t>’</w:t>
      </w:r>
      <w:r w:rsidRPr="003A0655">
        <w:t>ensuivait pas nécessairement que tout projet de décision doive couvrir l</w:t>
      </w:r>
      <w:r w:rsidR="000B3BB8" w:rsidRPr="003A0655">
        <w:t>’</w:t>
      </w:r>
      <w:r w:rsidRPr="003A0655">
        <w:t>ensemble des questions abordées pendant la réunion. Tout en saluant la proposition de l</w:t>
      </w:r>
      <w:r w:rsidR="000B3BB8" w:rsidRPr="003A0655">
        <w:t>’</w:t>
      </w:r>
      <w:r w:rsidRPr="003A0655">
        <w:t>Union européenne et en reconnaissant le rôle important joué par les systèmes d</w:t>
      </w:r>
      <w:r w:rsidR="000B3BB8" w:rsidRPr="003A0655">
        <w:t>’</w:t>
      </w:r>
      <w:r w:rsidRPr="003A0655">
        <w:t>octroi de licences, en particulier dans la lutte contre le commerce illicite, elle a soulevé certains points concernant la proposition telle qu</w:t>
      </w:r>
      <w:r w:rsidR="000B3BB8" w:rsidRPr="003A0655">
        <w:t>’</w:t>
      </w:r>
      <w:r w:rsidRPr="003A0655">
        <w:t>elle était rédigée. Elle a notamment déclaré que les Parties devaient avoir la possibilité de donner leur avis sur la conception du modèle proposé avant que celui-ci ne soit diffusé par le Secrétariat. Il n</w:t>
      </w:r>
      <w:r w:rsidR="000B3BB8" w:rsidRPr="003A0655">
        <w:t>’</w:t>
      </w:r>
      <w:r w:rsidRPr="003A0655">
        <w:t>était pas raisonnable d</w:t>
      </w:r>
      <w:r w:rsidR="000B3BB8" w:rsidRPr="003A0655">
        <w:t>’</w:t>
      </w:r>
      <w:r w:rsidRPr="003A0655">
        <w:t>attendre des Parties qu</w:t>
      </w:r>
      <w:r w:rsidR="000B3BB8" w:rsidRPr="003A0655">
        <w:t>’</w:t>
      </w:r>
      <w:r w:rsidRPr="003A0655">
        <w:t>elles soient en mesure de fournir des informations sur leurs systèmes d</w:t>
      </w:r>
      <w:r w:rsidR="000B3BB8" w:rsidRPr="003A0655">
        <w:t>’</w:t>
      </w:r>
      <w:r w:rsidRPr="003A0655">
        <w:t>octroi de licences en se conformant à un modèle inconnu qui pourrait les obliger à réorganiser les informations qu</w:t>
      </w:r>
      <w:r w:rsidR="000B3BB8" w:rsidRPr="003A0655">
        <w:t>’</w:t>
      </w:r>
      <w:r w:rsidRPr="003A0655">
        <w:t>elles avaient déjà fournies, et</w:t>
      </w:r>
      <w:r w:rsidR="00D97F9E" w:rsidRPr="003A0655">
        <w:t> </w:t>
      </w:r>
      <w:r w:rsidRPr="003A0655">
        <w:t xml:space="preserve">ce avant le 30 septembre 2026. </w:t>
      </w:r>
      <w:r w:rsidR="0095558D" w:rsidRPr="003A0655">
        <w:t>On ne comprenait</w:t>
      </w:r>
      <w:r w:rsidRPr="003A0655">
        <w:t xml:space="preserve"> pas non plus clairement ce que le Comité d</w:t>
      </w:r>
      <w:r w:rsidR="000B3BB8" w:rsidRPr="003A0655">
        <w:t>’</w:t>
      </w:r>
      <w:r w:rsidRPr="003A0655">
        <w:t>application était censé faire avec les informations ainsi compilées. Enfin, la référence dans la proposition aux « caractéristiques essentielles</w:t>
      </w:r>
      <w:r w:rsidR="00EF4538" w:rsidRPr="003A0655">
        <w:t> </w:t>
      </w:r>
      <w:r w:rsidRPr="003A0655">
        <w:t>» des systèmes d</w:t>
      </w:r>
      <w:r w:rsidR="000B3BB8" w:rsidRPr="003A0655">
        <w:t>’</w:t>
      </w:r>
      <w:r w:rsidRPr="003A0655">
        <w:t xml:space="preserve">octroi de licences était </w:t>
      </w:r>
      <w:r w:rsidR="00967EE8" w:rsidRPr="003A0655">
        <w:t>préoccupante</w:t>
      </w:r>
      <w:r w:rsidRPr="003A0655">
        <w:t xml:space="preserve"> puisque les Parties ne s</w:t>
      </w:r>
      <w:r w:rsidR="000B3BB8" w:rsidRPr="003A0655">
        <w:t>’</w:t>
      </w:r>
      <w:r w:rsidRPr="003A0655">
        <w:t>étaient pas encore accordées sur ce que pourraient être ces caractéristiques. Il</w:t>
      </w:r>
      <w:r w:rsidR="00171FE2" w:rsidRPr="003A0655">
        <w:t> </w:t>
      </w:r>
      <w:r w:rsidRPr="003A0655">
        <w:t>ne semblait guère approprié que le Secrétariat établisse une liste de contrôle de ces caractéristiques essentielles sans discussions préalables. Malgré ces critiques, l</w:t>
      </w:r>
      <w:r w:rsidR="000B3BB8" w:rsidRPr="003A0655">
        <w:t>’</w:t>
      </w:r>
      <w:r w:rsidRPr="003A0655">
        <w:t>intervenante s</w:t>
      </w:r>
      <w:r w:rsidR="000B3BB8" w:rsidRPr="003A0655">
        <w:t>’</w:t>
      </w:r>
      <w:r w:rsidRPr="003A0655">
        <w:t xml:space="preserve">est </w:t>
      </w:r>
      <w:proofErr w:type="gramStart"/>
      <w:r w:rsidRPr="003A0655">
        <w:t>dite</w:t>
      </w:r>
      <w:proofErr w:type="gramEnd"/>
      <w:r w:rsidRPr="003A0655">
        <w:t xml:space="preserve"> prête à discuter de la proposition plus en détail.</w:t>
      </w:r>
    </w:p>
    <w:p w14:paraId="37E09FB1" w14:textId="0BFD1B9F" w:rsidR="00F40C36" w:rsidRPr="003A0655" w:rsidRDefault="00F40C36" w:rsidP="00F40C36">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D</w:t>
      </w:r>
      <w:r w:rsidR="000B3BB8" w:rsidRPr="003A0655">
        <w:t>’</w:t>
      </w:r>
      <w:r w:rsidRPr="003A0655">
        <w:t>autres représentant(e)s ont salué la proposition et demandé à pouvoir en discuter plus avant au sein d</w:t>
      </w:r>
      <w:r w:rsidR="000B3BB8" w:rsidRPr="003A0655">
        <w:t>’</w:t>
      </w:r>
      <w:r w:rsidRPr="003A0655">
        <w:t>un groupe de contact. Un représentant, en particulier, a approuvé la suggestion visant à élargir le mandat du groupe de contact afin qu</w:t>
      </w:r>
      <w:r w:rsidR="000B3BB8" w:rsidRPr="003A0655">
        <w:t>’</w:t>
      </w:r>
      <w:r w:rsidRPr="003A0655">
        <w:t>il couvre d</w:t>
      </w:r>
      <w:r w:rsidR="000B3BB8" w:rsidRPr="003A0655">
        <w:t>’</w:t>
      </w:r>
      <w:r w:rsidRPr="003A0655">
        <w:t>autres questions abordées dans le cadre de la réunion informelle</w:t>
      </w:r>
      <w:r w:rsidR="002A39D3" w:rsidRPr="003A0655">
        <w:t> </w:t>
      </w:r>
      <w:r w:rsidRPr="003A0655">
        <w:t>; toutefois, sachant que le temps disponible lors de la réunion en cours était limité, il a suggéré que ce sujet soit inscrit à l</w:t>
      </w:r>
      <w:r w:rsidR="000B3BB8" w:rsidRPr="003A0655">
        <w:t>’</w:t>
      </w:r>
      <w:r w:rsidRPr="003A0655">
        <w:t>ordre du jour de la quarante-huitième réunion du Groupe de travail à composition non limitée. Un autre a fait remarquer que le fait de limiter la portée de la proposition aux systèmes d</w:t>
      </w:r>
      <w:r w:rsidR="000B3BB8" w:rsidRPr="003A0655">
        <w:t>’</w:t>
      </w:r>
      <w:r w:rsidRPr="003A0655">
        <w:t>octroi de licences n</w:t>
      </w:r>
      <w:r w:rsidR="000B3BB8" w:rsidRPr="003A0655">
        <w:t>’</w:t>
      </w:r>
      <w:r w:rsidRPr="003A0655">
        <w:t xml:space="preserve">empêchait pas de revenir sur les autres questions ultérieurement. </w:t>
      </w:r>
    </w:p>
    <w:p w14:paraId="3F5B1A4C" w14:textId="25CEB65F" w:rsidR="00F40C36" w:rsidRPr="003A0655" w:rsidRDefault="00F40C36" w:rsidP="00F40C36">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 xml:space="preserve">Les Parties sont convenues de créer un groupe informel, qui serait </w:t>
      </w:r>
      <w:proofErr w:type="spellStart"/>
      <w:r w:rsidRPr="003A0655">
        <w:t>cofacilité</w:t>
      </w:r>
      <w:proofErr w:type="spellEnd"/>
      <w:r w:rsidRPr="003A0655">
        <w:t xml:space="preserve"> par Sandrine</w:t>
      </w:r>
      <w:r w:rsidR="007A589E" w:rsidRPr="003A0655">
        <w:t> </w:t>
      </w:r>
      <w:proofErr w:type="spellStart"/>
      <w:r w:rsidRPr="003A0655">
        <w:t>Benard</w:t>
      </w:r>
      <w:proofErr w:type="spellEnd"/>
      <w:r w:rsidRPr="003A0655">
        <w:t xml:space="preserve"> (Norvège) et George Chaumba (Zimbabwe), afin d</w:t>
      </w:r>
      <w:r w:rsidR="000B3BB8" w:rsidRPr="003A0655">
        <w:t>’</w:t>
      </w:r>
      <w:r w:rsidRPr="003A0655">
        <w:t>apporter des éclaircissements et d</w:t>
      </w:r>
      <w:r w:rsidR="000B3BB8" w:rsidRPr="003A0655">
        <w:t>’</w:t>
      </w:r>
      <w:r w:rsidRPr="003A0655">
        <w:t>échanger des vue</w:t>
      </w:r>
      <w:r w:rsidR="009D1C62" w:rsidRPr="003A0655">
        <w:t>s</w:t>
      </w:r>
      <w:r w:rsidRPr="003A0655">
        <w:t xml:space="preserve"> sur le projet de décision ainsi que sur d</w:t>
      </w:r>
      <w:r w:rsidR="000B3BB8" w:rsidRPr="003A0655">
        <w:t>’</w:t>
      </w:r>
      <w:r w:rsidRPr="003A0655">
        <w:t>autres questions cruciales soulevées lors de la réunion informelle du 2</w:t>
      </w:r>
      <w:r w:rsidR="007A589E" w:rsidRPr="003A0655">
        <w:t> </w:t>
      </w:r>
      <w:r w:rsidRPr="003A0655">
        <w:t>novembre.</w:t>
      </w:r>
    </w:p>
    <w:p w14:paraId="250CBD03" w14:textId="6B2A3EC0" w:rsidR="00F40C36" w:rsidRPr="003A0655" w:rsidRDefault="00F40C36" w:rsidP="00F40C36">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 xml:space="preserve">Par la suite, le </w:t>
      </w:r>
      <w:proofErr w:type="spellStart"/>
      <w:r w:rsidRPr="003A0655">
        <w:t>cofacilitateur</w:t>
      </w:r>
      <w:proofErr w:type="spellEnd"/>
      <w:r w:rsidRPr="003A0655">
        <w:t xml:space="preserve"> du groupe informel a indiqué que plusieurs Parties avaient jugé utile la réunion informelle d</w:t>
      </w:r>
      <w:r w:rsidR="000B3BB8" w:rsidRPr="003A0655">
        <w:t>’</w:t>
      </w:r>
      <w:r w:rsidRPr="003A0655">
        <w:t>une journée sur les moyens de faciliter la mise en œuvre du Protocole de Montréal. Toutefois, vu le nombre de questions restant à examiner et en raison des contraintes de temps, le groupe informel n</w:t>
      </w:r>
      <w:r w:rsidR="000B3BB8" w:rsidRPr="003A0655">
        <w:t>’</w:t>
      </w:r>
      <w:r w:rsidRPr="003A0655">
        <w:t>avait pas été en mesure d</w:t>
      </w:r>
      <w:r w:rsidR="000B3BB8" w:rsidRPr="003A0655">
        <w:t>’</w:t>
      </w:r>
      <w:r w:rsidRPr="003A0655">
        <w:t>examiner le document de séance présenté par l</w:t>
      </w:r>
      <w:r w:rsidR="000B3BB8" w:rsidRPr="003A0655">
        <w:t>’</w:t>
      </w:r>
      <w:r w:rsidRPr="003A0655">
        <w:t>Union européenne. Compte tenu de l</w:t>
      </w:r>
      <w:r w:rsidR="000B3BB8" w:rsidRPr="003A0655">
        <w:t>’</w:t>
      </w:r>
      <w:r w:rsidRPr="003A0655">
        <w:t>intérêt manifesté par les Parties pour la poursuite du dialogue sur le bilan de la réunion informelle, il a été convenu que les discussions sur cette question se poursuivraient lors de la quarante-huitième réunion du Groupe de travail à composition non limitée.</w:t>
      </w:r>
    </w:p>
    <w:p w14:paraId="74BBE90A" w14:textId="0F072F58" w:rsidR="00F40C36" w:rsidRPr="003A0655" w:rsidRDefault="00F40C36" w:rsidP="00F40C36">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Les Parties sont convenues d</w:t>
      </w:r>
      <w:r w:rsidR="000B3BB8" w:rsidRPr="003A0655">
        <w:t>’</w:t>
      </w:r>
      <w:r w:rsidRPr="003A0655">
        <w:t>inscrire ce point à l</w:t>
      </w:r>
      <w:r w:rsidR="000B3BB8" w:rsidRPr="003A0655">
        <w:t>’</w:t>
      </w:r>
      <w:r w:rsidRPr="003A0655">
        <w:t>ordre du jour de la quarante-huitième réunion du Groupe de travail à composition non limitée.</w:t>
      </w:r>
    </w:p>
    <w:p w14:paraId="526D4A8E" w14:textId="74FEB70F" w:rsidR="00CF4056" w:rsidRPr="003A0655" w:rsidRDefault="00CF4056" w:rsidP="00CF4056">
      <w:pPr>
        <w:pStyle w:val="CH1"/>
        <w:keepNext w:val="0"/>
        <w:keepLines w:val="0"/>
      </w:pPr>
      <w:r w:rsidRPr="003A0655">
        <w:tab/>
        <w:t>XIII.</w:t>
      </w:r>
      <w:r w:rsidRPr="003A0655">
        <w:tab/>
      </w:r>
      <w:r w:rsidR="005105B1" w:rsidRPr="003A0655">
        <w:t>Questions relatives au respect et à la communication de données</w:t>
      </w:r>
      <w:r w:rsidR="00C53371" w:rsidRPr="003A0655">
        <w:t> :</w:t>
      </w:r>
      <w:r w:rsidR="005105B1" w:rsidRPr="003A0655">
        <w:t xml:space="preserve"> travaux et recommandations du Comité d</w:t>
      </w:r>
      <w:r w:rsidR="000B3BB8" w:rsidRPr="003A0655">
        <w:t>’</w:t>
      </w:r>
      <w:r w:rsidR="005105B1" w:rsidRPr="003A0655">
        <w:t>application</w:t>
      </w:r>
    </w:p>
    <w:p w14:paraId="0CF79E91" w14:textId="62ECE7F8" w:rsidR="002012F9" w:rsidRPr="003A0655" w:rsidRDefault="002012F9" w:rsidP="002012F9">
      <w:pPr>
        <w:pStyle w:val="Normalnumber"/>
        <w:numPr>
          <w:ilvl w:val="0"/>
          <w:numId w:val="1"/>
        </w:numPr>
        <w:tabs>
          <w:tab w:val="clear" w:pos="1871"/>
          <w:tab w:val="clear" w:pos="2495"/>
          <w:tab w:val="clear" w:pos="3119"/>
          <w:tab w:val="clear" w:pos="3742"/>
          <w:tab w:val="clear" w:pos="4366"/>
          <w:tab w:val="num" w:pos="624"/>
        </w:tabs>
        <w:ind w:left="1248"/>
      </w:pPr>
      <w:r w:rsidRPr="003A0655">
        <w:t>Pour l</w:t>
      </w:r>
      <w:r w:rsidR="000B3BB8" w:rsidRPr="003A0655">
        <w:t>’</w:t>
      </w:r>
      <w:r w:rsidRPr="003A0655">
        <w:t>examen de ce point, les Parties étaient saisies des informations figurant aux paragraphes</w:t>
      </w:r>
      <w:r w:rsidR="00D274D1" w:rsidRPr="003A0655">
        <w:t> </w:t>
      </w:r>
      <w:r w:rsidRPr="003A0655">
        <w:t>85 et 86 de la note du Secrétariat sur les questions portées à l</w:t>
      </w:r>
      <w:r w:rsidR="000B3BB8" w:rsidRPr="003A0655">
        <w:t>’</w:t>
      </w:r>
      <w:r w:rsidRPr="003A0655">
        <w:t>attention de la trente-septième Réunion des Parties au Protocole de Montréal pour examen et information (UNEP/OzL.Pro.37/2) ainsi que de la procédure applicable en cas de non-respect du Protocole de Montréal. Les projets de décision transmis par le Comité d</w:t>
      </w:r>
      <w:r w:rsidR="000B3BB8" w:rsidRPr="003A0655">
        <w:t>’</w:t>
      </w:r>
      <w:r w:rsidRPr="003A0655">
        <w:t>application pour examen et adoption éventuelle par la trente</w:t>
      </w:r>
      <w:r w:rsidR="003E331F" w:rsidRPr="003A0655">
        <w:noBreakHyphen/>
      </w:r>
      <w:r w:rsidRPr="003A0655">
        <w:t>septième</w:t>
      </w:r>
      <w:r w:rsidR="003E331F" w:rsidRPr="003A0655">
        <w:t> </w:t>
      </w:r>
      <w:r w:rsidRPr="003A0655">
        <w:t>Réunion des Parties étaient regroupés dans un document de séance.</w:t>
      </w:r>
      <w:bookmarkStart w:id="41" w:name="_Hlk213163822"/>
      <w:bookmarkEnd w:id="41"/>
    </w:p>
    <w:p w14:paraId="128AD2CE" w14:textId="0FA2E5B7"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 Président du Comité d</w:t>
      </w:r>
      <w:r w:rsidR="000B3BB8" w:rsidRPr="003A0655">
        <w:t>’</w:t>
      </w:r>
      <w:r w:rsidRPr="003A0655">
        <w:t>application, Martijn Hildebrand (Royaume des Pays-Bas), a présenté un compte rendu des travaux du Comité d</w:t>
      </w:r>
      <w:r w:rsidR="000B3BB8" w:rsidRPr="003A0655">
        <w:t>’</w:t>
      </w:r>
      <w:r w:rsidRPr="003A0655">
        <w:t>application à ses soixante-quatorzième et soixante</w:t>
      </w:r>
      <w:r w:rsidR="00C46C26" w:rsidRPr="003A0655">
        <w:noBreakHyphen/>
      </w:r>
      <w:r w:rsidRPr="003A0655">
        <w:t>quinzième réunions, exposant notamment les grandes lignes des neuf projets de décision approuvés par le Comité pour examen par la trente-septième Réunion des Parties.</w:t>
      </w:r>
    </w:p>
    <w:p w14:paraId="72C5F02A" w14:textId="0E3CCFE2"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 Comité avait examiné diverses questions concernant la communication de données en application des articles 7 et 9 du Protocole de Montréal, notamment les obligations en matière de communication de données sur les HFC au titre de l</w:t>
      </w:r>
      <w:r w:rsidR="000B3BB8" w:rsidRPr="003A0655">
        <w:t>’</w:t>
      </w:r>
      <w:r w:rsidRPr="003A0655">
        <w:t>Amendement de Kigali ainsi que les cas présumés de non-respect, en vérifiant si les différentes Parties avaient honoré les engagements pris dans leurs plans d</w:t>
      </w:r>
      <w:r w:rsidR="000B3BB8" w:rsidRPr="003A0655">
        <w:t>’</w:t>
      </w:r>
      <w:r w:rsidRPr="003A0655">
        <w:t>action respectifs pour le retour au respect de leurs obligations, les demandes de modification des données de référence concernant les HFC et les HCFC, les informations sur la mise en place de systèmes d</w:t>
      </w:r>
      <w:r w:rsidR="000B3BB8" w:rsidRPr="003A0655">
        <w:t>’</w:t>
      </w:r>
      <w:r w:rsidRPr="003A0655">
        <w:t>octroi de licences pour les HFC, la présentation de données provisoires dans le cadre de la communication de données au titre de l</w:t>
      </w:r>
      <w:r w:rsidR="000B3BB8" w:rsidRPr="003A0655">
        <w:t>’</w:t>
      </w:r>
      <w:r w:rsidRPr="003A0655">
        <w:t>article 7 et les problèmes systémiques liés au respect des dispositions. Le Comité d</w:t>
      </w:r>
      <w:r w:rsidR="000B3BB8" w:rsidRPr="003A0655">
        <w:t>’</w:t>
      </w:r>
      <w:r w:rsidRPr="003A0655">
        <w:t>application avait en outre reçu des communications du secrétariat du Fonds multilatéral sur les décisions pertinentes du Comité exécutif du Fonds et sur les activités menées par les organismes d</w:t>
      </w:r>
      <w:r w:rsidR="000B3BB8" w:rsidRPr="003A0655">
        <w:t>’</w:t>
      </w:r>
      <w:r w:rsidRPr="003A0655">
        <w:t>exécution afin d</w:t>
      </w:r>
      <w:r w:rsidR="000B3BB8" w:rsidRPr="003A0655">
        <w:t>’</w:t>
      </w:r>
      <w:r w:rsidRPr="003A0655">
        <w:t>aider les Parties à s</w:t>
      </w:r>
      <w:r w:rsidR="000B3BB8" w:rsidRPr="003A0655">
        <w:t>’</w:t>
      </w:r>
      <w:r w:rsidRPr="003A0655">
        <w:t>acquitter de leurs obligations.</w:t>
      </w:r>
    </w:p>
    <w:p w14:paraId="2E9B7877" w14:textId="2C6327AC" w:rsidR="002012F9" w:rsidRPr="003A0655" w:rsidRDefault="002012F9" w:rsidP="00B778EE">
      <w:pPr>
        <w:pStyle w:val="Normalnumber"/>
        <w:keepNext/>
        <w:keepLines/>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En revoyant la situation des Parties visées par la décision XXXVI/13, qui n</w:t>
      </w:r>
      <w:r w:rsidR="000B3BB8" w:rsidRPr="003A0655">
        <w:t>’</w:t>
      </w:r>
      <w:r w:rsidRPr="003A0655">
        <w:t>avaient pas respecté leur obligation de communiquer les données demandées à l</w:t>
      </w:r>
      <w:r w:rsidR="000B3BB8" w:rsidRPr="003A0655">
        <w:t>’</w:t>
      </w:r>
      <w:r w:rsidRPr="003A0655">
        <w:t>article 7, le Comité avait examiné la situation de huit Parties, qui avaient toutes communiqué depuis lors les données manquantes, comme demandé dans la décision. Il avait également examiné les engagements pris par ces Parties pour se conformer à nouveau aux dispositions contenues dans leurs plans d</w:t>
      </w:r>
      <w:r w:rsidR="000B3BB8" w:rsidRPr="003A0655">
        <w:t>’</w:t>
      </w:r>
      <w:r w:rsidRPr="003A0655">
        <w:t>action respectifs. La Libye avait respecté tous les engagements pris dans le cadre de son plan d</w:t>
      </w:r>
      <w:r w:rsidR="000B3BB8" w:rsidRPr="003A0655">
        <w:t>’</w:t>
      </w:r>
      <w:r w:rsidRPr="003A0655">
        <w:t>action et un projet de décision visant à clore le dossier avait été transmis à la trente-septième Réunion des Parties pour examen. Le</w:t>
      </w:r>
      <w:r w:rsidR="00A47893" w:rsidRPr="003A0655">
        <w:t> </w:t>
      </w:r>
      <w:r w:rsidRPr="003A0655">
        <w:t>Kazakhstan avait continué de respecter les engagements pris dans son plan d</w:t>
      </w:r>
      <w:r w:rsidR="000B3BB8" w:rsidRPr="003A0655">
        <w:t>’</w:t>
      </w:r>
      <w:r w:rsidRPr="003A0655">
        <w:t xml:space="preserve">action. </w:t>
      </w:r>
    </w:p>
    <w:p w14:paraId="1D6934CA" w14:textId="79F652B5"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 Comité s</w:t>
      </w:r>
      <w:r w:rsidR="000B3BB8" w:rsidRPr="003A0655">
        <w:t>’</w:t>
      </w:r>
      <w:r w:rsidRPr="003A0655">
        <w:t>était penché sur la question de la communication de données provisoires à la suite des discussions menées à ce sujet par le Comité et la trente-sixième Réunion des Parties. Comme l</w:t>
      </w:r>
      <w:r w:rsidR="000B3BB8" w:rsidRPr="003A0655">
        <w:t>’</w:t>
      </w:r>
      <w:r w:rsidRPr="003A0655">
        <w:t>avait indiqué l</w:t>
      </w:r>
      <w:r w:rsidR="000B3BB8" w:rsidRPr="003A0655">
        <w:t>’</w:t>
      </w:r>
      <w:r w:rsidRPr="003A0655">
        <w:t xml:space="preserve">ancien Président du Comité dans son rapport à la trente-sixième Réunion des Parties, cette pratique posait </w:t>
      </w:r>
      <w:proofErr w:type="gramStart"/>
      <w:r w:rsidRPr="003A0655">
        <w:t>problème</w:t>
      </w:r>
      <w:proofErr w:type="gramEnd"/>
      <w:r w:rsidRPr="003A0655">
        <w:t xml:space="preserve"> pour les travaux du Comité car, faute de données définitives, il était impossible de vérifier le respect des mesures de réglementation prévues par le Protocole. En outre, une Partie qui soumettait des données provisoires pour les années de référence pouvait ainsi contourner le processus de révision des données de référence prévu dans la décision XIII/15.</w:t>
      </w:r>
    </w:p>
    <w:p w14:paraId="681AEEC4" w14:textId="4E0D838D"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Étant donné que la notion de «</w:t>
      </w:r>
      <w:r w:rsidR="00EF4538" w:rsidRPr="003A0655">
        <w:t> </w:t>
      </w:r>
      <w:r w:rsidRPr="003A0655">
        <w:t>données provisoires</w:t>
      </w:r>
      <w:r w:rsidR="00EF4538" w:rsidRPr="003A0655">
        <w:t> </w:t>
      </w:r>
      <w:r w:rsidRPr="003A0655">
        <w:t>» ne figurait ni dans le Protocole de Montréal ni dans aucune décision des Réunions des Parties, le Comité était convenu que le Secrétariat cesserait de traiter toute donnée comme provisoire. Les données autres que les données de référence pouvaient être corrigées selon la procédure prévue au paragraphe 3 de la décision VI/5. La révision des données de référence nécessitait la présentation d</w:t>
      </w:r>
      <w:r w:rsidR="000B3BB8" w:rsidRPr="003A0655">
        <w:t>’</w:t>
      </w:r>
      <w:r w:rsidRPr="003A0655">
        <w:t>une demande au Comité conformément aux dispositions de la décision XIII/15, selon la méthodologie définie dans la décision XV/19.</w:t>
      </w:r>
    </w:p>
    <w:p w14:paraId="6C46B6AF" w14:textId="5006CD11"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 Comité avait également examiné un document contenant une analyse des problèmes systémiques liés au respect des dispositions (UNEP/</w:t>
      </w:r>
      <w:proofErr w:type="spellStart"/>
      <w:r w:rsidRPr="003A0655">
        <w:t>OzL.Pro</w:t>
      </w:r>
      <w:proofErr w:type="spellEnd"/>
      <w:r w:rsidRPr="003A0655">
        <w:t>/</w:t>
      </w:r>
      <w:proofErr w:type="spellStart"/>
      <w:r w:rsidRPr="003A0655">
        <w:t>ImpCom</w:t>
      </w:r>
      <w:proofErr w:type="spellEnd"/>
      <w:r w:rsidRPr="003A0655">
        <w:t>/74/6, annexe II). Un résumé des discussions avait été présenté au début de la réunion informelle sur les moyens de faciliter la mise en œuvre du Protocole de Montréal et serait repris dans le rapport de la soixante-quinzième réunion du Comité.</w:t>
      </w:r>
    </w:p>
    <w:p w14:paraId="6FDB3D79" w14:textId="23033E1A"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 Comité avait transmis neuf projets de décision à la trente-septième Réunion des Parties pour examen. Le premier portait sur la communication de données en application de l</w:t>
      </w:r>
      <w:r w:rsidR="000B3BB8" w:rsidRPr="003A0655">
        <w:t>’</w:t>
      </w:r>
      <w:r w:rsidRPr="003A0655">
        <w:t>article 7 du Protocole. Il notait que 194</w:t>
      </w:r>
      <w:r w:rsidR="00535C2F" w:rsidRPr="003A0655">
        <w:t> </w:t>
      </w:r>
      <w:r w:rsidRPr="003A0655">
        <w:t>Parties sur les 198 qui auraient dû communiquer leurs données pour 2024</w:t>
      </w:r>
      <w:r w:rsidR="009816DC" w:rsidRPr="003A0655">
        <w:t> </w:t>
      </w:r>
      <w:r w:rsidRPr="003A0655">
        <w:t>l</w:t>
      </w:r>
      <w:r w:rsidR="000B3BB8" w:rsidRPr="003A0655">
        <w:t>’</w:t>
      </w:r>
      <w:r w:rsidRPr="003A0655">
        <w:t>avaient fait avant le 31</w:t>
      </w:r>
      <w:r w:rsidR="00535C2F" w:rsidRPr="003A0655">
        <w:t> </w:t>
      </w:r>
      <w:r w:rsidRPr="003A0655">
        <w:t>octobre 2025, que 123</w:t>
      </w:r>
      <w:r w:rsidR="00535C2F" w:rsidRPr="003A0655">
        <w:t> </w:t>
      </w:r>
      <w:r w:rsidRPr="003A0655">
        <w:t>Parties l</w:t>
      </w:r>
      <w:r w:rsidR="000B3BB8" w:rsidRPr="003A0655">
        <w:t>’</w:t>
      </w:r>
      <w:r w:rsidRPr="003A0655">
        <w:t>avaient fait en utilisant le système d</w:t>
      </w:r>
      <w:r w:rsidR="000B3BB8" w:rsidRPr="003A0655">
        <w:t>’</w:t>
      </w:r>
      <w:r w:rsidRPr="003A0655">
        <w:t>établissement des rapports en ligne et que 170 avaient communiqué leurs données avant le 30 septembre 2025, conformément au paragraphe 3 de l</w:t>
      </w:r>
      <w:r w:rsidR="000B3BB8" w:rsidRPr="003A0655">
        <w:t>’</w:t>
      </w:r>
      <w:r w:rsidRPr="003A0655">
        <w:t>article 7 du Protocole.</w:t>
      </w:r>
    </w:p>
    <w:p w14:paraId="48D24C5C" w14:textId="7B76478C"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 projet de décision notait en outre avec satisfaction que 74 de ces Parties avaient communiqué leurs données pour 2024 avant le 30</w:t>
      </w:r>
      <w:r w:rsidR="00EF4538" w:rsidRPr="003A0655">
        <w:t> </w:t>
      </w:r>
      <w:r w:rsidRPr="003A0655">
        <w:t>juin 2025, conformément à l</w:t>
      </w:r>
      <w:r w:rsidR="000B3BB8" w:rsidRPr="003A0655">
        <w:t>’</w:t>
      </w:r>
      <w:r w:rsidRPr="003A0655">
        <w:t>encouragement formulé dans la décision XV/15, et que la communication des données avant le 30</w:t>
      </w:r>
      <w:r w:rsidR="00EF4538" w:rsidRPr="003A0655">
        <w:t> </w:t>
      </w:r>
      <w:r w:rsidRPr="003A0655">
        <w:t>juin de chaque année facilitait grandement les travaux du Comité d</w:t>
      </w:r>
      <w:r w:rsidR="000B3BB8" w:rsidRPr="003A0655">
        <w:t>’</w:t>
      </w:r>
      <w:r w:rsidRPr="003A0655">
        <w:t>application et du Comité exécutif du Fonds multilatéral pour aider les Parties visées à l</w:t>
      </w:r>
      <w:r w:rsidR="000B3BB8" w:rsidRPr="003A0655">
        <w:t>’</w:t>
      </w:r>
      <w:r w:rsidRPr="003A0655">
        <w:t>article 5 à se conformer aux mesures de réglementation.</w:t>
      </w:r>
    </w:p>
    <w:p w14:paraId="46C83392" w14:textId="225E7DE6"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 Comité notait avec préoccupation que quatre Parties (l</w:t>
      </w:r>
      <w:r w:rsidR="000B3BB8" w:rsidRPr="003A0655">
        <w:t>’</w:t>
      </w:r>
      <w:r w:rsidRPr="003A0655">
        <w:t>Arménie, les Comores, l</w:t>
      </w:r>
      <w:r w:rsidR="000B3BB8" w:rsidRPr="003A0655">
        <w:t>’</w:t>
      </w:r>
      <w:r w:rsidRPr="003A0655">
        <w:t>Islande et Sao Tomé-et-Principe) n</w:t>
      </w:r>
      <w:r w:rsidR="000B3BB8" w:rsidRPr="003A0655">
        <w:t>’</w:t>
      </w:r>
      <w:r w:rsidRPr="003A0655">
        <w:t>avaient pas communiqué leurs données pour 2024 avant le 3</w:t>
      </w:r>
      <w:r w:rsidR="00DC5AA0" w:rsidRPr="003A0655">
        <w:t>1</w:t>
      </w:r>
      <w:r w:rsidR="00535C2F" w:rsidRPr="003A0655">
        <w:t> </w:t>
      </w:r>
      <w:r w:rsidRPr="003A0655">
        <w:t>octobre 2025, et qu</w:t>
      </w:r>
      <w:r w:rsidR="000B3BB8" w:rsidRPr="003A0655">
        <w:t>’</w:t>
      </w:r>
      <w:r w:rsidRPr="003A0655">
        <w:t>elles seraient considérées comme n</w:t>
      </w:r>
      <w:r w:rsidR="000B3BB8" w:rsidRPr="003A0655">
        <w:t>’</w:t>
      </w:r>
      <w:r w:rsidRPr="003A0655">
        <w:t>ayant pas respecté l</w:t>
      </w:r>
      <w:r w:rsidR="000B3BB8" w:rsidRPr="003A0655">
        <w:t>’</w:t>
      </w:r>
      <w:r w:rsidRPr="003A0655">
        <w:t>obligation de communiquer des données au titre du Protocole de Montréal tant que le Secrétariat de l</w:t>
      </w:r>
      <w:r w:rsidR="000B3BB8" w:rsidRPr="003A0655">
        <w:t>’</w:t>
      </w:r>
      <w:r w:rsidRPr="003A0655">
        <w:t>ozone n</w:t>
      </w:r>
      <w:r w:rsidR="000B3BB8" w:rsidRPr="003A0655">
        <w:t>’</w:t>
      </w:r>
      <w:r w:rsidRPr="003A0655">
        <w:t>aurait pas reçu les données manquantes. Dans le projet de décision, toutes ces Parties étaient invitées à communiquer leurs données dès que possible et le Comité était prié de réexaminer leur situation à sa soixante-seizième réunion.</w:t>
      </w:r>
    </w:p>
    <w:p w14:paraId="096F5331" w14:textId="2C0AEAE4"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 projet de décision rappelait en outre que tout retard dans la communication des données par les Parties nuisait à l</w:t>
      </w:r>
      <w:r w:rsidR="000B3BB8" w:rsidRPr="003A0655">
        <w:t>’</w:t>
      </w:r>
      <w:r w:rsidRPr="003A0655">
        <w:t>efficacité du contrôle et de l</w:t>
      </w:r>
      <w:r w:rsidR="000B3BB8" w:rsidRPr="003A0655">
        <w:t>’</w:t>
      </w:r>
      <w:r w:rsidRPr="003A0655">
        <w:t>évaluation du respect par les Parties de leurs obligations au titre du Protocole de Montréal. Cette question était l</w:t>
      </w:r>
      <w:r w:rsidR="000B3BB8" w:rsidRPr="003A0655">
        <w:t>’</w:t>
      </w:r>
      <w:r w:rsidRPr="003A0655">
        <w:t>une des nombreuses questions mises en évidence dans le document contenant l</w:t>
      </w:r>
      <w:r w:rsidR="000B3BB8" w:rsidRPr="003A0655">
        <w:t>’</w:t>
      </w:r>
      <w:r w:rsidRPr="003A0655">
        <w:t>analyse systémique des problèmes liés au respect des dispositions établi par le Secrétariat et examiné par le Comité dans le cadre de la réunion informelle. Les retards dans la communication des données posaient des problèmes tant au Comité qu</w:t>
      </w:r>
      <w:r w:rsidR="000B3BB8" w:rsidRPr="003A0655">
        <w:t>’</w:t>
      </w:r>
      <w:r w:rsidRPr="003A0655">
        <w:t>au Secrétariat. Afin de décourager tout retard dans la communication des données, en particulier le jour où le Comité se réunissait pour adopter ses recommandations et pendant la trente-septième Réunion des Parties, et rappelant que les données annuelles devaient être communiquées au plus tard neuf mois après la fin de l</w:t>
      </w:r>
      <w:r w:rsidR="000B3BB8" w:rsidRPr="003A0655">
        <w:t>’</w:t>
      </w:r>
      <w:r w:rsidRPr="003A0655">
        <w:t>année à laquelle elles se rapportaient, le projet de décision sur la communication des données énumérait les Parties qui n</w:t>
      </w:r>
      <w:r w:rsidR="000B3BB8" w:rsidRPr="003A0655">
        <w:t>’</w:t>
      </w:r>
      <w:r w:rsidRPr="003A0655">
        <w:t>avaient pas communiqué leurs données à une date précise, à savoir le 31 octobre 2025, soit la veille du jour où le Comité était censé adopter ses recommandations. Le projet de décision engageait également les Parties à continuer de communiquer leurs données dès que les chiffres correspondants étaient disponibles, de préférence avant le 30</w:t>
      </w:r>
      <w:r w:rsidR="003F133E" w:rsidRPr="003A0655">
        <w:t> </w:t>
      </w:r>
      <w:r w:rsidRPr="003A0655">
        <w:t>juin de chaque année, comme le préconisait la décision XV/15.</w:t>
      </w:r>
    </w:p>
    <w:p w14:paraId="0ED7288A" w14:textId="082E05A8"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 deuxième projet de décision concernait le respect par la Libye des engagements pris dans son plan d</w:t>
      </w:r>
      <w:r w:rsidR="000B3BB8" w:rsidRPr="003A0655">
        <w:t>’</w:t>
      </w:r>
      <w:r w:rsidRPr="003A0655">
        <w:t>action pour s</w:t>
      </w:r>
      <w:r w:rsidR="000B3BB8" w:rsidRPr="003A0655">
        <w:t>’</w:t>
      </w:r>
      <w:r w:rsidRPr="003A0655">
        <w:t>acquitter à nouveau de ses obligations, énoncées dans la décision XXVII/11. À sa soixante-quatorzième réunion, le Comité avait félicité la Libye pour son retour au respect des mesures de réglementation des HCFC et pour avoir imposé une interdiction d</w:t>
      </w:r>
      <w:r w:rsidR="000B3BB8" w:rsidRPr="003A0655">
        <w:t>’</w:t>
      </w:r>
      <w:r w:rsidRPr="003A0655">
        <w:t xml:space="preserve">importer des équipements de climatisation contenant des HCFC. </w:t>
      </w:r>
      <w:r w:rsidR="00E3190D" w:rsidRPr="003A0655">
        <w:t>Il</w:t>
      </w:r>
      <w:r w:rsidRPr="003A0655">
        <w:t xml:space="preserve"> avait demandé à la Libye de fournir des informations supplémentaires sur les équipements de réfrigération et de climatisation contenant des HCFC déjà en stock, ainsi que des informations sur la mise en œuvre de l</w:t>
      </w:r>
      <w:r w:rsidR="000B3BB8" w:rsidRPr="003A0655">
        <w:t>’</w:t>
      </w:r>
      <w:r w:rsidRPr="003A0655">
        <w:t>interdiction d</w:t>
      </w:r>
      <w:r w:rsidR="000B3BB8" w:rsidRPr="003A0655">
        <w:t>’</w:t>
      </w:r>
      <w:r w:rsidRPr="003A0655">
        <w:t>achat de tels équipements. La Libye avait ultérieurement fourni les informations requises et le Comité avait conclu que cette Partie avait respecté les engagements qu</w:t>
      </w:r>
      <w:r w:rsidR="000B3BB8" w:rsidRPr="003A0655">
        <w:t>’</w:t>
      </w:r>
      <w:r w:rsidRPr="003A0655">
        <w:t>elle avait pris dans le cadre de son plan d</w:t>
      </w:r>
      <w:r w:rsidR="000B3BB8" w:rsidRPr="003A0655">
        <w:t>’</w:t>
      </w:r>
      <w:r w:rsidRPr="003A0655">
        <w:t>action. En conséquence, le projet de décision soumis à la trente-septième Réunion des Parties indiquait qu</w:t>
      </w:r>
      <w:r w:rsidR="000B3BB8" w:rsidRPr="003A0655">
        <w:t>’</w:t>
      </w:r>
      <w:r w:rsidRPr="003A0655">
        <w:t>aucune autre mesure n</w:t>
      </w:r>
      <w:r w:rsidR="000B3BB8" w:rsidRPr="003A0655">
        <w:t>’</w:t>
      </w:r>
      <w:r w:rsidRPr="003A0655">
        <w:t>était nécessaire.</w:t>
      </w:r>
    </w:p>
    <w:p w14:paraId="6F3AF046" w14:textId="3F84846E"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 troisième projet de décision concernait le non-respect du Protocole de Montréal par la République populaire démocratique de Corée. Cette Partie n</w:t>
      </w:r>
      <w:r w:rsidR="000B3BB8" w:rsidRPr="003A0655">
        <w:t>’</w:t>
      </w:r>
      <w:r w:rsidRPr="003A0655">
        <w:t>avait pas honoré ses engagements pour 2021, 2023 ou 2024 concernant sa production et sa consommation annuelles de HCFC, tels qu</w:t>
      </w:r>
      <w:r w:rsidR="000B3BB8" w:rsidRPr="003A0655">
        <w:t>’</w:t>
      </w:r>
      <w:r w:rsidRPr="003A0655">
        <w:t>énoncés dans son plan d</w:t>
      </w:r>
      <w:r w:rsidR="000B3BB8" w:rsidRPr="003A0655">
        <w:t>’</w:t>
      </w:r>
      <w:r w:rsidRPr="003A0655">
        <w:t>action visant à assurer son retour au respect des mesures de réglementation, contenu dans la décision XXXII/6. Elle avait été avertie par trois décisions des Réunions des Parties que, conformément au point B de la liste indicative des mesures que pourrait prendre la Réunion des Parties en cas de non-respect, au cas où elle manquerait de revenir à une situation de respect, le Réunion des Parties envisagerait de prendre des mesures conformément au point</w:t>
      </w:r>
      <w:r w:rsidR="001430D5" w:rsidRPr="003A0655">
        <w:t> </w:t>
      </w:r>
      <w:r w:rsidRPr="003A0655">
        <w:t>C de cette liste, visant notamment à faire en sorte que cesse l</w:t>
      </w:r>
      <w:r w:rsidR="000B3BB8" w:rsidRPr="003A0655">
        <w:t>’</w:t>
      </w:r>
      <w:r w:rsidRPr="003A0655">
        <w:t>approvisionnement en HCFC, afin que les Parties exportatrices ne contribuent pas à perpétuer une situation de non-respect.</w:t>
      </w:r>
    </w:p>
    <w:p w14:paraId="4320ABD5" w14:textId="3B21E85F"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 Comité avait adressé à plusieurs reprises des demandes à cette Partie, dans ses recommandations 68/4, 69/4, 70/2, 72/3 et 74/2, l</w:t>
      </w:r>
      <w:r w:rsidR="000B3BB8" w:rsidRPr="003A0655">
        <w:t>’</w:t>
      </w:r>
      <w:r w:rsidRPr="003A0655">
        <w:t>invitant à fournir des explications concernant les écarts constatés dans les données communiquée</w:t>
      </w:r>
      <w:r w:rsidR="002363A1" w:rsidRPr="003A0655">
        <w:t>s</w:t>
      </w:r>
      <w:r w:rsidR="00D25C37" w:rsidRPr="003A0655">
        <w:t xml:space="preserve"> et à</w:t>
      </w:r>
      <w:r w:rsidRPr="003A0655">
        <w:t xml:space="preserve"> présenter un plan d</w:t>
      </w:r>
      <w:r w:rsidR="000B3BB8" w:rsidRPr="003A0655">
        <w:t>’</w:t>
      </w:r>
      <w:r w:rsidRPr="003A0655">
        <w:t>action révisé visant à garantir le retour à la conformité ainsi qu</w:t>
      </w:r>
      <w:r w:rsidR="000B3BB8" w:rsidRPr="003A0655">
        <w:t>’</w:t>
      </w:r>
      <w:r w:rsidRPr="003A0655">
        <w:t>un rapport d</w:t>
      </w:r>
      <w:r w:rsidR="000B3BB8" w:rsidRPr="003A0655">
        <w:t>’</w:t>
      </w:r>
      <w:r w:rsidRPr="003A0655">
        <w:t>activité sur ses efforts pour mettre en place des politiques nationales supplémentaires visant à faciliter l</w:t>
      </w:r>
      <w:r w:rsidR="000B3BB8" w:rsidRPr="003A0655">
        <w:t>’</w:t>
      </w:r>
      <w:r w:rsidRPr="003A0655">
        <w:t>élimination progressive des HCFC, comme prévu dans son plan d</w:t>
      </w:r>
      <w:r w:rsidR="000B3BB8" w:rsidRPr="003A0655">
        <w:t>’</w:t>
      </w:r>
      <w:r w:rsidRPr="003A0655">
        <w:t>action.</w:t>
      </w:r>
    </w:p>
    <w:p w14:paraId="576CF4B3" w14:textId="1F8D0D7D"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Malgré la présence d</w:t>
      </w:r>
      <w:r w:rsidR="000B3BB8" w:rsidRPr="003A0655">
        <w:t>’</w:t>
      </w:r>
      <w:r w:rsidRPr="003A0655">
        <w:t>un représentant de la République populaire démocratique de Corée à la soixante-quatorzième réunion du Comité, cette Partie n</w:t>
      </w:r>
      <w:r w:rsidR="000B3BB8" w:rsidRPr="003A0655">
        <w:t>’</w:t>
      </w:r>
      <w:r w:rsidRPr="003A0655">
        <w:t>avait toujours pas fourni les informations demandées par le Comité. En conséquence, dans sa recommandation 74/2, le Comité avait renouvelé l</w:t>
      </w:r>
      <w:r w:rsidR="000B3BB8" w:rsidRPr="003A0655">
        <w:t>’</w:t>
      </w:r>
      <w:r w:rsidRPr="003A0655">
        <w:t>avertissement figurant dans la décision XXXVI/16, rappelant à cette Partie que si elle ne fournissait pas les réponses pertinentes demandées dans la recommandation, pour examen par le Comité à sa soixante-quinzième réunion, ce dernier recommanderait que les Parties prennent des mesures conformément au point C de la liste indicative de mesures susvisée.</w:t>
      </w:r>
    </w:p>
    <w:p w14:paraId="09F46D91" w14:textId="245B166D"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Malgré les rappels répétés du Secrétariat, la Partie concernée n</w:t>
      </w:r>
      <w:r w:rsidR="000B3BB8" w:rsidRPr="003A0655">
        <w:t>’</w:t>
      </w:r>
      <w:r w:rsidRPr="003A0655">
        <w:t>avait toujours pas fourni les informations demandées par le Comité. En conséquence, le Comité avait transmis à la trente</w:t>
      </w:r>
      <w:r w:rsidR="000B0954" w:rsidRPr="003A0655">
        <w:noBreakHyphen/>
      </w:r>
      <w:r w:rsidRPr="003A0655">
        <w:t>septième</w:t>
      </w:r>
      <w:r w:rsidR="000B0954" w:rsidRPr="003A0655">
        <w:t> </w:t>
      </w:r>
      <w:r w:rsidRPr="003A0655">
        <w:t>Réunion des Parties, pour examen, un projet de décision par lequel la trente</w:t>
      </w:r>
      <w:r w:rsidR="000B0954" w:rsidRPr="003A0655">
        <w:noBreakHyphen/>
      </w:r>
      <w:r w:rsidRPr="003A0655">
        <w:t>septième</w:t>
      </w:r>
      <w:r w:rsidR="000B0954" w:rsidRPr="003A0655">
        <w:t> </w:t>
      </w:r>
      <w:r w:rsidRPr="003A0655">
        <w:t>Réunion des Parties, afin d</w:t>
      </w:r>
      <w:r w:rsidR="000B3BB8" w:rsidRPr="003A0655">
        <w:t>’</w:t>
      </w:r>
      <w:r w:rsidRPr="003A0655">
        <w:t>aider la République populaire démocratique de Corée à se conformer de nouveau aux mesures de réglementation relatives aux HCFC, accepterait de suspendre, conformément au point C de la liste indicative des mesures que pourrait prendre la Réunion des Parties en cas de non-respect du Protocole, le commerce des HCFC à l</w:t>
      </w:r>
      <w:r w:rsidR="000B3BB8" w:rsidRPr="003A0655">
        <w:t>’</w:t>
      </w:r>
      <w:r w:rsidRPr="003A0655">
        <w:t>origine du non-respect, entre la République populaire démocratique de Corée et les autres Parties au Protocole, de sorte qu</w:t>
      </w:r>
      <w:r w:rsidR="000B3BB8" w:rsidRPr="003A0655">
        <w:t>’</w:t>
      </w:r>
      <w:r w:rsidRPr="003A0655">
        <w:t>aucun commerce de ce type ne soit autorisé au titre du Protocole.</w:t>
      </w:r>
    </w:p>
    <w:p w14:paraId="011C14CB" w14:textId="4081945B"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En outre, le projet de décision stipulait que la suspension du commerce des HCFC avec la République populaire démocratique de Corée serait maintenue jusqu</w:t>
      </w:r>
      <w:r w:rsidR="000B3BB8" w:rsidRPr="003A0655">
        <w:t>’</w:t>
      </w:r>
      <w:r w:rsidRPr="003A0655">
        <w:t>à ce que cette Partie se conforme à nouveau aux mesures de réglementation relatives aux HCFC prévues par le Protocole de Montréal, comme recommandé par le Comité sur la base des données communiquées en application de l</w:t>
      </w:r>
      <w:r w:rsidR="000B3BB8" w:rsidRPr="003A0655">
        <w:t>’</w:t>
      </w:r>
      <w:r w:rsidRPr="003A0655">
        <w:t>article</w:t>
      </w:r>
      <w:r w:rsidR="00AA5431" w:rsidRPr="003A0655">
        <w:t> </w:t>
      </w:r>
      <w:r w:rsidRPr="003A0655">
        <w:t>7, ou jusqu</w:t>
      </w:r>
      <w:r w:rsidR="000B3BB8" w:rsidRPr="003A0655">
        <w:t>’</w:t>
      </w:r>
      <w:r w:rsidRPr="003A0655">
        <w:t>à ce qu</w:t>
      </w:r>
      <w:r w:rsidR="000B3BB8" w:rsidRPr="003A0655">
        <w:t>’</w:t>
      </w:r>
      <w:r w:rsidRPr="003A0655">
        <w:t>une décision contraire soit prise par une Réunion des Parties.</w:t>
      </w:r>
    </w:p>
    <w:p w14:paraId="2D565D4E" w14:textId="14054993"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Les quatrième, cinquième, sixième et septième projets de décision concernaient le non-respect des mesures de réglementation de la consommation de HFC par le Mali, Saint-Vincent-et-les Grenadines, le Tadjikistan et la Zambie. Le Mali, Saint-Vincent-et-les Grenadines et la Zambie avaient communiqué pour 2024 des données relatives aux HFC supérieures à leur consommation autorisée, tandis que le Tadjikistan avait communiqué pour 2023 et 2024 des données supérieures à ses niveaux de référence. Les quatre projets de décision prenaient donc acte du fait que ces Parties avaient manqué à leurs obligations.</w:t>
      </w:r>
    </w:p>
    <w:p w14:paraId="65463D98" w14:textId="43AA2BE7"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 Mali avait informé le Secrétariat de son intention de demander une révision de ses données de référence pour les HFC, mais n</w:t>
      </w:r>
      <w:r w:rsidR="000B3BB8" w:rsidRPr="003A0655">
        <w:t>’</w:t>
      </w:r>
      <w:r w:rsidRPr="003A0655">
        <w:t>avait pas encore fourni les informations requises en vertu de la décision XV/19 pour étayer sa demande. Dans le quatrième projet de décision, cette Partie était donc invitée à soumettre au Secrétariat, pour examen par le Comité lors de sa soixante-seizième réunion, soit une demande de révision de ses données de référence pour les HFC comportant les informations requises en vertu de la décision XV/19, soit un plan d</w:t>
      </w:r>
      <w:r w:rsidR="000B3BB8" w:rsidRPr="003A0655">
        <w:t>’</w:t>
      </w:r>
      <w:r w:rsidRPr="003A0655">
        <w:t>action visant à revenir au respect de ses obligations.</w:t>
      </w:r>
    </w:p>
    <w:p w14:paraId="52B5E7C4" w14:textId="5456F7D8"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bookmarkStart w:id="42" w:name="_Hlk213177082"/>
      <w:r w:rsidRPr="003A0655">
        <w:t>Saint-Vincent-et-les Grenadines avait soumis un plan d</w:t>
      </w:r>
      <w:r w:rsidR="000B3BB8" w:rsidRPr="003A0655">
        <w:t>’</w:t>
      </w:r>
      <w:r w:rsidRPr="003A0655">
        <w:t>action visant à revenir au respect de ses obligations, qui avait été examiné par le Comité. Le Comité avait noté que le plan d</w:t>
      </w:r>
      <w:r w:rsidR="000B3BB8" w:rsidRPr="003A0655">
        <w:t>’</w:t>
      </w:r>
      <w:r w:rsidRPr="003A0655">
        <w:t>action prévoyait une prolongation du délai fixé pour le retour à la conformité, qui n</w:t>
      </w:r>
      <w:r w:rsidR="000B3BB8" w:rsidRPr="003A0655">
        <w:t>’</w:t>
      </w:r>
      <w:r w:rsidRPr="003A0655">
        <w:t>interviendrait pas avant 2035, et avait également noté que le plan de mise en œuvre de l</w:t>
      </w:r>
      <w:r w:rsidR="000B3BB8" w:rsidRPr="003A0655">
        <w:t>’</w:t>
      </w:r>
      <w:r w:rsidRPr="003A0655">
        <w:t>Amendement de Kigali de cette Partie n</w:t>
      </w:r>
      <w:r w:rsidR="000B3BB8" w:rsidRPr="003A0655">
        <w:t>’</w:t>
      </w:r>
      <w:r w:rsidRPr="003A0655">
        <w:t>avait pas encore été approuvé par le Comité exécutif du Fonds multilatéral. Le cinquième projet de décision demandait à Saint-Vincent-et-les Grenadines de soumettre un plan d</w:t>
      </w:r>
      <w:r w:rsidR="000B3BB8" w:rsidRPr="003A0655">
        <w:t>’</w:t>
      </w:r>
      <w:r w:rsidRPr="003A0655">
        <w:t>action révisé après l</w:t>
      </w:r>
      <w:r w:rsidR="000B3BB8" w:rsidRPr="003A0655">
        <w:t>’</w:t>
      </w:r>
      <w:r w:rsidRPr="003A0655">
        <w:t>approbation de son plan de mise en œuvre de l</w:t>
      </w:r>
      <w:r w:rsidR="000B3BB8" w:rsidRPr="003A0655">
        <w:t>’</w:t>
      </w:r>
      <w:r w:rsidRPr="003A0655">
        <w:t>Amendement de Kigali par le Comité exécutif.</w:t>
      </w:r>
      <w:bookmarkEnd w:id="42"/>
    </w:p>
    <w:p w14:paraId="27892FCF" w14:textId="50EF5D88"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 Tadjikistan avait informé le Secrétariat de son intention de présenter un plan d</w:t>
      </w:r>
      <w:r w:rsidR="000B3BB8" w:rsidRPr="003A0655">
        <w:t>’</w:t>
      </w:r>
      <w:r w:rsidRPr="003A0655">
        <w:t xml:space="preserve">action visant à revenir </w:t>
      </w:r>
      <w:r w:rsidR="005C1738" w:rsidRPr="003A0655">
        <w:t xml:space="preserve">à une situation de </w:t>
      </w:r>
      <w:r w:rsidRPr="003A0655">
        <w:t>respect de ses obligations, qui n</w:t>
      </w:r>
      <w:r w:rsidR="000B3BB8" w:rsidRPr="003A0655">
        <w:t>’</w:t>
      </w:r>
      <w:r w:rsidRPr="003A0655">
        <w:t>était cependant pas parvenu au Comité avant sa soixante</w:t>
      </w:r>
      <w:r w:rsidR="00EF1C99" w:rsidRPr="003A0655">
        <w:noBreakHyphen/>
      </w:r>
      <w:r w:rsidRPr="003A0655">
        <w:t>quinzième réunion. Le sixième projet de décision demandait au Tadjikistan de soumettre au Secrétariat, pour examen par le Comité d</w:t>
      </w:r>
      <w:r w:rsidR="000B3BB8" w:rsidRPr="003A0655">
        <w:t>’</w:t>
      </w:r>
      <w:r w:rsidRPr="003A0655">
        <w:t>application lors de sa soixante-seizième réunion, un plan d</w:t>
      </w:r>
      <w:r w:rsidR="000B3BB8" w:rsidRPr="003A0655">
        <w:t>’</w:t>
      </w:r>
      <w:r w:rsidRPr="003A0655">
        <w:t>action visant à revenir au respect de ses obligations.</w:t>
      </w:r>
    </w:p>
    <w:p w14:paraId="54FBD75D" w14:textId="02A337F6"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 septième projet de décision invitait la Zambie à fournir des explications concernant un écart constaté dans les données relatives aux HFC qu</w:t>
      </w:r>
      <w:r w:rsidR="000B3BB8" w:rsidRPr="003A0655">
        <w:t>’</w:t>
      </w:r>
      <w:r w:rsidRPr="003A0655">
        <w:t>elle avait communiquées pour 2024, qui indiquaient une consommation supérieure à la limite autorisée en vertu du Protocole et, le cas échéant, à présenter un plan d</w:t>
      </w:r>
      <w:r w:rsidR="000B3BB8" w:rsidRPr="003A0655">
        <w:t>’</w:t>
      </w:r>
      <w:r w:rsidRPr="003A0655">
        <w:t>action visant à revenir au respect de ses obligations, qui serait examiné par le Comité lors de sa soixante-seizième réunion.</w:t>
      </w:r>
    </w:p>
    <w:p w14:paraId="5C81E958" w14:textId="6C06F3B1"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Ces quatre projets de décision proposaient également de suivre de près les progrès réalisés par les Parties concernées pour honorer leurs engagements. Dans la mesure où ces Parties s</w:t>
      </w:r>
      <w:r w:rsidR="000B3BB8" w:rsidRPr="003A0655">
        <w:t>’</w:t>
      </w:r>
      <w:r w:rsidRPr="003A0655">
        <w:t>efforçaient de respecter les mesures de réglementation spécifiques prévues par le Protocole et y parvenaient, ou fournissaient les informations requises, les projets de décision précisaient qu</w:t>
      </w:r>
      <w:r w:rsidR="000B3BB8" w:rsidRPr="003A0655">
        <w:t>’</w:t>
      </w:r>
      <w:r w:rsidRPr="003A0655">
        <w:t>elles devaient continuer d</w:t>
      </w:r>
      <w:r w:rsidR="000B3BB8" w:rsidRPr="003A0655">
        <w:t>’</w:t>
      </w:r>
      <w:r w:rsidRPr="003A0655">
        <w:t>être traitées de la même manière que toute autre Partie respectueuse de ses obligations et continuer de bénéficier d</w:t>
      </w:r>
      <w:r w:rsidR="000B3BB8" w:rsidRPr="003A0655">
        <w:t>’</w:t>
      </w:r>
      <w:r w:rsidRPr="003A0655">
        <w:t>une assistance internationale pour leur permettre de s</w:t>
      </w:r>
      <w:r w:rsidR="000B3BB8" w:rsidRPr="003A0655">
        <w:t>’</w:t>
      </w:r>
      <w:r w:rsidRPr="003A0655">
        <w:t>acquitter de leurs engagements, conformément au point A de la liste indicative des mesures que pourrait prendre la Réunion des Parties en cas de non-respect.</w:t>
      </w:r>
    </w:p>
    <w:p w14:paraId="7EE1B7A5" w14:textId="77777777"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Enfin, les projets de décision avertissaient également les Parties concernées que, conformément au point B de la liste indicative des mesures susvisée, au cas où elles manqueraient de revenir à une situation de respect de leurs obligations en temps opportun, la Réunion des Parties envisagerait de prendre des mesures conformément au point C de cette liste.</w:t>
      </w:r>
    </w:p>
    <w:p w14:paraId="344F3D9D" w14:textId="2B21AEDA"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 huitième projet de décision portait sur la mise en place de systèmes d</w:t>
      </w:r>
      <w:r w:rsidR="000B3BB8" w:rsidRPr="003A0655">
        <w:t>’</w:t>
      </w:r>
      <w:r w:rsidRPr="003A0655">
        <w:t>octroi de licences au titre du paragraphe 2</w:t>
      </w:r>
      <w:r w:rsidR="00CD4B7C" w:rsidRPr="003A0655">
        <w:t> </w:t>
      </w:r>
      <w:r w:rsidRPr="003A0655">
        <w:rPr>
          <w:i/>
          <w:iCs/>
        </w:rPr>
        <w:t>bis</w:t>
      </w:r>
      <w:r w:rsidRPr="003A0655">
        <w:t xml:space="preserve"> de l</w:t>
      </w:r>
      <w:r w:rsidR="000B3BB8" w:rsidRPr="003A0655">
        <w:t>’</w:t>
      </w:r>
      <w:r w:rsidRPr="003A0655">
        <w:t>article 4B du Protocole de Montréal. Le Comité notait avec satisfaction que 161 des 169</w:t>
      </w:r>
      <w:r w:rsidR="00BC2C7C" w:rsidRPr="003A0655">
        <w:t> </w:t>
      </w:r>
      <w:r w:rsidRPr="003A0655">
        <w:t>Parties au Protocole de Montréal ayant ratifié l</w:t>
      </w:r>
      <w:r w:rsidR="000B3BB8" w:rsidRPr="003A0655">
        <w:t>’</w:t>
      </w:r>
      <w:r w:rsidRPr="003A0655">
        <w:t>Amendement de Kigali avaient mis en place un système d</w:t>
      </w:r>
      <w:r w:rsidR="000B3BB8" w:rsidRPr="003A0655">
        <w:t>’</w:t>
      </w:r>
      <w:r w:rsidRPr="003A0655">
        <w:t xml:space="preserve">octroi de licences et que </w:t>
      </w:r>
      <w:r w:rsidR="005C1738" w:rsidRPr="003A0655">
        <w:t xml:space="preserve">quatre </w:t>
      </w:r>
      <w:r w:rsidRPr="003A0655">
        <w:t>Parties n</w:t>
      </w:r>
      <w:r w:rsidR="000B3BB8" w:rsidRPr="003A0655">
        <w:t>’</w:t>
      </w:r>
      <w:r w:rsidRPr="003A0655">
        <w:t>ayant pas encore ratifié l</w:t>
      </w:r>
      <w:r w:rsidR="000B3BB8" w:rsidRPr="003A0655">
        <w:t>’</w:t>
      </w:r>
      <w:r w:rsidRPr="003A0655">
        <w:t>Amendement avaient également déclaré avoir établi et mis en service un tel système.</w:t>
      </w:r>
    </w:p>
    <w:p w14:paraId="5EFB6F7F" w14:textId="589B5869"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 projet de décision exhortait Djibouti, Oman et Saint-Marin à fournir au Secrétariat des informations sur la mise en place et le fonctionnement de leurs systèmes d</w:t>
      </w:r>
      <w:r w:rsidR="000B3BB8" w:rsidRPr="003A0655">
        <w:t>’</w:t>
      </w:r>
      <w:r w:rsidRPr="003A0655">
        <w:t>octroi de licences pour les HFC. Le Comité y notait avec préoccupation que Saint-Marin, qui avait accepté l</w:t>
      </w:r>
      <w:r w:rsidR="000B3BB8" w:rsidRPr="003A0655">
        <w:t>’</w:t>
      </w:r>
      <w:r w:rsidRPr="003A0655">
        <w:t>Amendement de Kigali en 2020, n</w:t>
      </w:r>
      <w:r w:rsidR="000B3BB8" w:rsidRPr="003A0655">
        <w:t>’</w:t>
      </w:r>
      <w:r w:rsidRPr="003A0655">
        <w:t>avait pas encore rendu compte de la mise en place et du fonctionnement de son système d</w:t>
      </w:r>
      <w:r w:rsidR="000B3BB8" w:rsidRPr="003A0655">
        <w:t>’</w:t>
      </w:r>
      <w:r w:rsidRPr="003A0655">
        <w:t>octroi de licences et invitait cette Partie à se faire représenter à la soixante-seizième réunion du Comité.</w:t>
      </w:r>
    </w:p>
    <w:p w14:paraId="6EF15591" w14:textId="02203CCC"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 neuvième projet de décision concernait les demandes de révision des données de référence présentées par 11</w:t>
      </w:r>
      <w:r w:rsidR="008C07F8" w:rsidRPr="003A0655">
        <w:t> </w:t>
      </w:r>
      <w:r w:rsidRPr="003A0655">
        <w:t>Parties, à savoir la Bosnie-Herzégovine, le Brésil, la Guinée, les Îles Marshall, Kiribati, le Maroc, Nauru, le Nigéria, Nioué, Tuvalu et Vanuatu. Le projet de décision confirmait que ces Parties avaient présenté suffisamment d</w:t>
      </w:r>
      <w:r w:rsidR="000B3BB8" w:rsidRPr="003A0655">
        <w:t>’</w:t>
      </w:r>
      <w:r w:rsidRPr="003A0655">
        <w:t>informations, conformément à la décision XV/19, pour justifier leurs demandes de révision de leurs données de référence pour les HFC et, le cas échéant, pour les HCFC, et que le Comité approuvait donc ces demandes.</w:t>
      </w:r>
    </w:p>
    <w:p w14:paraId="3B6C943C" w14:textId="1C18A5C3"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Pour conclure, le Président du Comité d</w:t>
      </w:r>
      <w:r w:rsidR="000B3BB8" w:rsidRPr="003A0655">
        <w:t>’</w:t>
      </w:r>
      <w:r w:rsidRPr="003A0655">
        <w:t xml:space="preserve">application a remercié les </w:t>
      </w:r>
      <w:r w:rsidR="00E3190D" w:rsidRPr="003A0655">
        <w:t>10</w:t>
      </w:r>
      <w:r w:rsidR="003F133E" w:rsidRPr="003A0655">
        <w:t> </w:t>
      </w:r>
      <w:r w:rsidRPr="003A0655">
        <w:t>membres du Comité pour leurs contributions constructives et leurs discussions fructueuses, le Secrétariat pour ses efforts dans la préparation et l</w:t>
      </w:r>
      <w:r w:rsidR="000B3BB8" w:rsidRPr="003A0655">
        <w:t>’</w:t>
      </w:r>
      <w:r w:rsidRPr="003A0655">
        <w:t>organisation des réunions, ainsi que le secrétariat du Fonds multilatéral et les organismes d</w:t>
      </w:r>
      <w:r w:rsidR="000B3BB8" w:rsidRPr="003A0655">
        <w:t>’</w:t>
      </w:r>
      <w:r w:rsidRPr="003A0655">
        <w:t>exécution pour l</w:t>
      </w:r>
      <w:r w:rsidR="000B3BB8" w:rsidRPr="003A0655">
        <w:t>’</w:t>
      </w:r>
      <w:r w:rsidRPr="003A0655">
        <w:t>excellence de leurs travaux.</w:t>
      </w:r>
    </w:p>
    <w:p w14:paraId="4F7FA5AD" w14:textId="7AA0F561"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La Coprésidente a remercié le Président du Comité d</w:t>
      </w:r>
      <w:r w:rsidR="000B3BB8" w:rsidRPr="003A0655">
        <w:t>’</w:t>
      </w:r>
      <w:r w:rsidRPr="003A0655">
        <w:t xml:space="preserve">application pour son exposé exhaustif et les membres du Comité pour leur travail. </w:t>
      </w:r>
    </w:p>
    <w:p w14:paraId="6F03BC8E" w14:textId="0B0F6449"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Au cours de la discussion qui a suivi, un représentant a déclaré qu</w:t>
      </w:r>
      <w:r w:rsidR="000B3BB8" w:rsidRPr="003A0655">
        <w:t>’</w:t>
      </w:r>
      <w:r w:rsidRPr="003A0655">
        <w:t>il attendait avec impatience l</w:t>
      </w:r>
      <w:r w:rsidR="000B3BB8" w:rsidRPr="003A0655">
        <w:t>’</w:t>
      </w:r>
      <w:r w:rsidRPr="003A0655">
        <w:t>adoption définitive de la recommandation concernant son pays lors du débat de haut niveau de la Réunion.</w:t>
      </w:r>
    </w:p>
    <w:p w14:paraId="7D658433" w14:textId="571F89D4"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En réponse à la question d</w:t>
      </w:r>
      <w:r w:rsidR="000B3BB8" w:rsidRPr="003A0655">
        <w:t>’</w:t>
      </w:r>
      <w:r w:rsidRPr="003A0655">
        <w:t>un représentant concernant l</w:t>
      </w:r>
      <w:r w:rsidR="000B3BB8" w:rsidRPr="003A0655">
        <w:t>’</w:t>
      </w:r>
      <w:r w:rsidRPr="003A0655">
        <w:t>impact des erreurs marginales sur le respect des obligations, le représentant du Secrétariat a rappelé que le Comité d</w:t>
      </w:r>
      <w:r w:rsidR="000B3BB8" w:rsidRPr="003A0655">
        <w:t>’</w:t>
      </w:r>
      <w:r w:rsidRPr="003A0655">
        <w:t xml:space="preserve">application avait déjà débattu de la question de savoir si les erreurs marginales, ou les données </w:t>
      </w:r>
      <w:r w:rsidRPr="003A0655">
        <w:rPr>
          <w:i/>
          <w:iCs/>
        </w:rPr>
        <w:t>de minimis</w:t>
      </w:r>
      <w:r w:rsidRPr="003A0655">
        <w:t xml:space="preserve"> supérieures aux niveaux de référence, constituaient un problème à cet égard, et avait conclu par l</w:t>
      </w:r>
      <w:r w:rsidR="000B3BB8" w:rsidRPr="003A0655">
        <w:t>’</w:t>
      </w:r>
      <w:r w:rsidRPr="003A0655">
        <w:t>affirmative.</w:t>
      </w:r>
    </w:p>
    <w:p w14:paraId="3A8D9908" w14:textId="50882312"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 représentant d</w:t>
      </w:r>
      <w:r w:rsidR="000B3BB8" w:rsidRPr="003A0655">
        <w:t>’</w:t>
      </w:r>
      <w:r w:rsidRPr="003A0655">
        <w:t>Oman a informé les Parties que, depuis la clôture de la soixante</w:t>
      </w:r>
      <w:r w:rsidR="00535C2F" w:rsidRPr="003A0655">
        <w:noBreakHyphen/>
      </w:r>
      <w:r w:rsidRPr="003A0655">
        <w:t>quinzième</w:t>
      </w:r>
      <w:r w:rsidR="00535C2F" w:rsidRPr="003A0655">
        <w:t> </w:t>
      </w:r>
      <w:r w:rsidRPr="003A0655">
        <w:t>réunion du Comité d</w:t>
      </w:r>
      <w:r w:rsidR="000B3BB8" w:rsidRPr="003A0655">
        <w:t>’</w:t>
      </w:r>
      <w:r w:rsidRPr="003A0655">
        <w:t>application, son pays avait notifié au Secrétariat la mise en place d</w:t>
      </w:r>
      <w:r w:rsidR="000B3BB8" w:rsidRPr="003A0655">
        <w:t>’</w:t>
      </w:r>
      <w:r w:rsidRPr="003A0655">
        <w:t>un système d</w:t>
      </w:r>
      <w:r w:rsidR="000B3BB8" w:rsidRPr="003A0655">
        <w:t>’</w:t>
      </w:r>
      <w:r w:rsidRPr="003A0655">
        <w:t>octroi de licences pour les HFC.</w:t>
      </w:r>
    </w:p>
    <w:p w14:paraId="65348F29" w14:textId="2D80FA4D"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 représentant du Secrétariat a confirmé que ce dernier avait reçu un courriel de cette Partie après la clôture de la réunion du Comité d</w:t>
      </w:r>
      <w:r w:rsidR="000B3BB8" w:rsidRPr="003A0655">
        <w:t>’</w:t>
      </w:r>
      <w:r w:rsidRPr="003A0655">
        <w:t>application. Il a précisé que, lorsque le Secrétariat recevait des informations des Parties concernant leurs systèmes d</w:t>
      </w:r>
      <w:r w:rsidR="000B3BB8" w:rsidRPr="003A0655">
        <w:t>’</w:t>
      </w:r>
      <w:r w:rsidRPr="003A0655">
        <w:t>octroi de licences pour les HFC, il vérifiait si ces informations confirmaient, premièrement, qu</w:t>
      </w:r>
      <w:r w:rsidR="000B3BB8" w:rsidRPr="003A0655">
        <w:t>’</w:t>
      </w:r>
      <w:r w:rsidRPr="003A0655">
        <w:t>un système d</w:t>
      </w:r>
      <w:r w:rsidR="000B3BB8" w:rsidRPr="003A0655">
        <w:t>’</w:t>
      </w:r>
      <w:r w:rsidRPr="003A0655">
        <w:t>octroi de licences avait effectivement été mis en place et, deuxièmement, qu</w:t>
      </w:r>
      <w:r w:rsidR="000B3BB8" w:rsidRPr="003A0655">
        <w:t>’</w:t>
      </w:r>
      <w:r w:rsidRPr="003A0655">
        <w:t>il était opérationnel. Le courriel reçu d</w:t>
      </w:r>
      <w:r w:rsidR="000B3BB8" w:rsidRPr="003A0655">
        <w:t>’</w:t>
      </w:r>
      <w:r w:rsidRPr="003A0655">
        <w:t>Oman confirmait que ces deux conditions étaient remplies.</w:t>
      </w:r>
    </w:p>
    <w:p w14:paraId="2C650E22" w14:textId="1D3B78C2"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La Coprésidente a donc suggéré que la mention d</w:t>
      </w:r>
      <w:r w:rsidR="000B3BB8" w:rsidRPr="003A0655">
        <w:t>’</w:t>
      </w:r>
      <w:r w:rsidRPr="003A0655">
        <w:t>Oman soit supprimée du projet de décision sur l</w:t>
      </w:r>
      <w:r w:rsidR="000B3BB8" w:rsidRPr="003A0655">
        <w:t>’</w:t>
      </w:r>
      <w:r w:rsidRPr="003A0655">
        <w:t>état d</w:t>
      </w:r>
      <w:r w:rsidR="000B3BB8" w:rsidRPr="003A0655">
        <w:t>’</w:t>
      </w:r>
      <w:r w:rsidRPr="003A0655">
        <w:t>avancement de l</w:t>
      </w:r>
      <w:r w:rsidR="000B3BB8" w:rsidRPr="003A0655">
        <w:t>’</w:t>
      </w:r>
      <w:r w:rsidRPr="003A0655">
        <w:t>établissement de systèmes d</w:t>
      </w:r>
      <w:r w:rsidR="000B3BB8" w:rsidRPr="003A0655">
        <w:t>’</w:t>
      </w:r>
      <w:r w:rsidRPr="003A0655">
        <w:t>octroi de licences qui serait transmis au débat de haut niveau, en précisant toutefois que le projet de décision n</w:t>
      </w:r>
      <w:r w:rsidR="000B3BB8" w:rsidRPr="003A0655">
        <w:t>’</w:t>
      </w:r>
      <w:r w:rsidRPr="003A0655">
        <w:t>indiquait pas à quelle date les informations qu</w:t>
      </w:r>
      <w:r w:rsidR="000B3BB8" w:rsidRPr="003A0655">
        <w:t>’</w:t>
      </w:r>
      <w:r w:rsidRPr="003A0655">
        <w:t>il contenait devaient être considérées comme exactes.</w:t>
      </w:r>
    </w:p>
    <w:p w14:paraId="3BDBF9F4" w14:textId="124F2F83"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 xml:space="preserve">Cette suggestion a </w:t>
      </w:r>
      <w:r w:rsidR="008E095C" w:rsidRPr="003A0655">
        <w:t xml:space="preserve">soulevé </w:t>
      </w:r>
      <w:r w:rsidRPr="003A0655">
        <w:t>des inquiétudes, car elle amènerait les Parties à modifier un projet de décision préparé par le Comité d</w:t>
      </w:r>
      <w:r w:rsidR="000B3BB8" w:rsidRPr="003A0655">
        <w:t>’</w:t>
      </w:r>
      <w:r w:rsidRPr="003A0655">
        <w:t>application</w:t>
      </w:r>
      <w:r w:rsidR="008E095C" w:rsidRPr="003A0655">
        <w:t>,</w:t>
      </w:r>
      <w:r w:rsidRPr="003A0655">
        <w:t xml:space="preserve"> et certain(e)s </w:t>
      </w:r>
      <w:r w:rsidR="008E095C" w:rsidRPr="003A0655">
        <w:t xml:space="preserve">ont </w:t>
      </w:r>
      <w:r w:rsidRPr="003A0655">
        <w:t>demandé si cela correspondait à la procédure habituelle.</w:t>
      </w:r>
    </w:p>
    <w:p w14:paraId="0110EA0C" w14:textId="16B56554"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En réponse, le représentant du Secrétariat a expliqué que, par le passé, le Comité avait eu pour habitude de convenir, lorsqu</w:t>
      </w:r>
      <w:r w:rsidR="000B3BB8" w:rsidRPr="003A0655">
        <w:t>’</w:t>
      </w:r>
      <w:r w:rsidRPr="003A0655">
        <w:t>il se réunissait, de réviser tout projet de décision ou de recommandation sur la base des informations reçues après sa réunion, jusqu</w:t>
      </w:r>
      <w:r w:rsidR="000B3BB8" w:rsidRPr="003A0655">
        <w:t>’</w:t>
      </w:r>
      <w:r w:rsidRPr="003A0655">
        <w:t>à ce que les décisions correspondantes soient adoptées par la Réunion des Parties concernée. Bien que cette question n</w:t>
      </w:r>
      <w:r w:rsidR="000B3BB8" w:rsidRPr="003A0655">
        <w:t>’</w:t>
      </w:r>
      <w:r w:rsidRPr="003A0655">
        <w:t>ait pas été abordée lors de la soixante-quinzième réunion du Comité, la même approche avait été proposée par la Coprésidente.</w:t>
      </w:r>
    </w:p>
    <w:p w14:paraId="00EF9120" w14:textId="4BF6152F"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 représentant des Comores a présenté des excuses pour la situation de non-respect dans laquelle se trouvait son pays, qui était due à un malentendu. Il a donné aux Parties l</w:t>
      </w:r>
      <w:r w:rsidR="000B3BB8" w:rsidRPr="003A0655">
        <w:t>’</w:t>
      </w:r>
      <w:r w:rsidRPr="003A0655">
        <w:t>assurance que, depuis la clôture de la soixante-quinzième réunion du Comité d</w:t>
      </w:r>
      <w:r w:rsidR="000B3BB8" w:rsidRPr="003A0655">
        <w:t>’</w:t>
      </w:r>
      <w:r w:rsidRPr="003A0655">
        <w:t>application, les données attendues pour 2024 avaient été communiquées au Secrétariat et au Comité exécutif. Il a demandé au Secrétariat d</w:t>
      </w:r>
      <w:r w:rsidR="000B3BB8" w:rsidRPr="003A0655">
        <w:t>’</w:t>
      </w:r>
      <w:r w:rsidRPr="003A0655">
        <w:t>examiner également la communication de son pays en vue de retirer les Comores du projet de décision pertinent.</w:t>
      </w:r>
    </w:p>
    <w:p w14:paraId="019F2609" w14:textId="44CD32A6"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En réponse, la Coprésidente a fait observer que la situation des Comores était différente de celle d</w:t>
      </w:r>
      <w:r w:rsidR="000B3BB8" w:rsidRPr="003A0655">
        <w:t>’</w:t>
      </w:r>
      <w:r w:rsidRPr="003A0655">
        <w:t>Oman. Oman avait soumis des informations sur son système d</w:t>
      </w:r>
      <w:r w:rsidR="000B3BB8" w:rsidRPr="003A0655">
        <w:t>’</w:t>
      </w:r>
      <w:r w:rsidRPr="003A0655">
        <w:t>octroi de licences, tandis que les Comores soumettaient leurs données pour 2024. Le projet de décision indiquait spécifiquement que quatre pays, dont les Comores, n</w:t>
      </w:r>
      <w:r w:rsidR="000B3BB8" w:rsidRPr="003A0655">
        <w:t>’</w:t>
      </w:r>
      <w:r w:rsidRPr="003A0655">
        <w:t>avaient pas communiqué leurs données pour 2024 au 31</w:t>
      </w:r>
      <w:r w:rsidR="00535C2F" w:rsidRPr="003A0655">
        <w:t> </w:t>
      </w:r>
      <w:r w:rsidRPr="003A0655">
        <w:t>octobre</w:t>
      </w:r>
      <w:r w:rsidR="00535C2F" w:rsidRPr="003A0655">
        <w:t> </w:t>
      </w:r>
      <w:r w:rsidRPr="003A0655">
        <w:t>2025.</w:t>
      </w:r>
    </w:p>
    <w:p w14:paraId="5182E917" w14:textId="41F78E53"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À la lumière des informations fournies, les représentant(e)s qui avaient exprimé de l</w:t>
      </w:r>
      <w:r w:rsidR="000B3BB8" w:rsidRPr="003A0655">
        <w:t>’</w:t>
      </w:r>
      <w:r w:rsidRPr="003A0655">
        <w:t>inquiétude ont déclaré être d</w:t>
      </w:r>
      <w:r w:rsidR="000B3BB8" w:rsidRPr="003A0655">
        <w:t>’</w:t>
      </w:r>
      <w:r w:rsidRPr="003A0655">
        <w:t>accord avec le retrait d</w:t>
      </w:r>
      <w:r w:rsidR="000B3BB8" w:rsidRPr="003A0655">
        <w:t>’</w:t>
      </w:r>
      <w:r w:rsidRPr="003A0655">
        <w:t>Oman du projet de décision, car il s</w:t>
      </w:r>
      <w:r w:rsidR="000B3BB8" w:rsidRPr="003A0655">
        <w:t>’</w:t>
      </w:r>
      <w:r w:rsidRPr="003A0655">
        <w:t>agissait manifestement d</w:t>
      </w:r>
      <w:r w:rsidR="000B3BB8" w:rsidRPr="003A0655">
        <w:t>’</w:t>
      </w:r>
      <w:r w:rsidRPr="003A0655">
        <w:t>une question de procédure, liée à une notification, et non d</w:t>
      </w:r>
      <w:r w:rsidR="000B3BB8" w:rsidRPr="003A0655">
        <w:t>’</w:t>
      </w:r>
      <w:r w:rsidRPr="003A0655">
        <w:t>une question impliquant des données, des informations ou une évaluation. Leur désir était de ne prendre aucune décision pouvant conduire à ce qu</w:t>
      </w:r>
      <w:r w:rsidR="000B3BB8" w:rsidRPr="003A0655">
        <w:t>’</w:t>
      </w:r>
      <w:r w:rsidRPr="003A0655">
        <w:t>une Partie soumette une demande qui serait soustraite à l</w:t>
      </w:r>
      <w:r w:rsidR="000B3BB8" w:rsidRPr="003A0655">
        <w:t>’</w:t>
      </w:r>
      <w:r w:rsidRPr="003A0655">
        <w:t>examen du Comité d</w:t>
      </w:r>
      <w:r w:rsidR="000B3BB8" w:rsidRPr="003A0655">
        <w:t>’</w:t>
      </w:r>
      <w:r w:rsidRPr="003A0655">
        <w:t>application.</w:t>
      </w:r>
    </w:p>
    <w:p w14:paraId="2635034D" w14:textId="77777777" w:rsidR="002012F9" w:rsidRPr="003A0655" w:rsidRDefault="002012F9" w:rsidP="002012F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Les Parties sont convenues de transmettre le projet de décision au débat de haut niveau pour plus ample examen et adoption éventuelle.</w:t>
      </w:r>
    </w:p>
    <w:p w14:paraId="73756894" w14:textId="3413C676" w:rsidR="00CF4056" w:rsidRPr="003A0655" w:rsidRDefault="00CF4056" w:rsidP="00EA3AEB">
      <w:pPr>
        <w:pStyle w:val="CH1"/>
        <w:keepNext w:val="0"/>
        <w:keepLines w:val="0"/>
      </w:pPr>
      <w:r w:rsidRPr="003A0655">
        <w:tab/>
        <w:t>X</w:t>
      </w:r>
      <w:r w:rsidR="00EA3AEB" w:rsidRPr="003A0655">
        <w:t>I</w:t>
      </w:r>
      <w:r w:rsidRPr="003A0655">
        <w:t>V.</w:t>
      </w:r>
      <w:r w:rsidRPr="003A0655">
        <w:tab/>
      </w:r>
      <w:r w:rsidR="008A5277" w:rsidRPr="003A0655">
        <w:t>État de ratification de l</w:t>
      </w:r>
      <w:r w:rsidR="000B3BB8" w:rsidRPr="003A0655">
        <w:t>’</w:t>
      </w:r>
      <w:r w:rsidR="008A5277" w:rsidRPr="003A0655">
        <w:t>Amendement de</w:t>
      </w:r>
      <w:r w:rsidR="00375B3D" w:rsidRPr="003A0655">
        <w:t> </w:t>
      </w:r>
      <w:r w:rsidR="008A5277" w:rsidRPr="003A0655">
        <w:t>Kigali</w:t>
      </w:r>
    </w:p>
    <w:p w14:paraId="3CECC48D" w14:textId="1AD66BF8" w:rsidR="00F856B6" w:rsidRPr="003A0655" w:rsidRDefault="00F856B6" w:rsidP="00F856B6">
      <w:pPr>
        <w:pStyle w:val="Normalnumber"/>
        <w:numPr>
          <w:ilvl w:val="0"/>
          <w:numId w:val="1"/>
        </w:numPr>
        <w:tabs>
          <w:tab w:val="clear" w:pos="1871"/>
          <w:tab w:val="clear" w:pos="2495"/>
          <w:tab w:val="clear" w:pos="3119"/>
          <w:tab w:val="clear" w:pos="3742"/>
          <w:tab w:val="clear" w:pos="4366"/>
          <w:tab w:val="num" w:pos="624"/>
        </w:tabs>
        <w:ind w:left="1248"/>
      </w:pPr>
      <w:r w:rsidRPr="003A0655">
        <w:t>Pour l</w:t>
      </w:r>
      <w:r w:rsidR="000B3BB8" w:rsidRPr="003A0655">
        <w:t>’</w:t>
      </w:r>
      <w:r w:rsidRPr="003A0655">
        <w:t>examen de ce point, les Parties étaient saisies des informations figurant aux paragraphes 93 et 94 de la note du Secrétariat sur les questions portées à l</w:t>
      </w:r>
      <w:r w:rsidR="000B3BB8" w:rsidRPr="003A0655">
        <w:t>’</w:t>
      </w:r>
      <w:r w:rsidRPr="003A0655">
        <w:t>attention de la trente</w:t>
      </w:r>
      <w:r w:rsidR="00535C2F" w:rsidRPr="003A0655">
        <w:noBreakHyphen/>
      </w:r>
      <w:r w:rsidRPr="003A0655">
        <w:t>septième Réunion des Parties au Protocole de Montréal pour examen et information (UNEP/OzL.Pro.37/2), d</w:t>
      </w:r>
      <w:r w:rsidR="000B3BB8" w:rsidRPr="003A0655">
        <w:t>’</w:t>
      </w:r>
      <w:r w:rsidRPr="003A0655">
        <w:t>une note du Secrétariat sur l</w:t>
      </w:r>
      <w:r w:rsidR="000B3BB8" w:rsidRPr="003A0655">
        <w:t>’</w:t>
      </w:r>
      <w:r w:rsidRPr="003A0655">
        <w:t>état de ratification, d</w:t>
      </w:r>
      <w:r w:rsidR="000B3BB8" w:rsidRPr="003A0655">
        <w:t>’</w:t>
      </w:r>
      <w:r w:rsidRPr="003A0655">
        <w:t>approbation ou d</w:t>
      </w:r>
      <w:r w:rsidR="000B3BB8" w:rsidRPr="003A0655">
        <w:t>’</w:t>
      </w:r>
      <w:r w:rsidRPr="003A0655">
        <w:t>acceptation de l</w:t>
      </w:r>
      <w:r w:rsidR="000B3BB8" w:rsidRPr="003A0655">
        <w:t>’</w:t>
      </w:r>
      <w:r w:rsidRPr="003A0655">
        <w:t>Amendement de Kigali au Protocole (UNEP/OzL.Pro.37/INF/5) et d</w:t>
      </w:r>
      <w:r w:rsidR="000B3BB8" w:rsidRPr="003A0655">
        <w:t>’</w:t>
      </w:r>
      <w:r w:rsidRPr="003A0655">
        <w:t>un projet de décision figurant dans le document UNEP/OzL.Pro.37/3 (projet de décision XXXVII/[EE]).</w:t>
      </w:r>
    </w:p>
    <w:p w14:paraId="623D289E" w14:textId="41F58ED7" w:rsidR="00F856B6" w:rsidRPr="003A0655" w:rsidRDefault="00F856B6" w:rsidP="00F856B6">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Présentant ce point, la Coprésidente a signalé qu</w:t>
      </w:r>
      <w:r w:rsidR="000B3BB8" w:rsidRPr="003A0655">
        <w:t>’</w:t>
      </w:r>
      <w:r w:rsidRPr="003A0655">
        <w:t>au 31</w:t>
      </w:r>
      <w:r w:rsidR="00535C2F" w:rsidRPr="003A0655">
        <w:t> </w:t>
      </w:r>
      <w:r w:rsidRPr="003A0655">
        <w:t>octobre 2025, 169</w:t>
      </w:r>
      <w:r w:rsidR="00535C2F" w:rsidRPr="003A0655">
        <w:t> </w:t>
      </w:r>
      <w:r w:rsidRPr="003A0655">
        <w:t>Parties avaient ratifié l</w:t>
      </w:r>
      <w:r w:rsidR="000B3BB8" w:rsidRPr="003A0655">
        <w:t>’</w:t>
      </w:r>
      <w:r w:rsidRPr="003A0655">
        <w:t>Amendement de Kigali, soit seulement 29</w:t>
      </w:r>
      <w:r w:rsidR="00535C2F" w:rsidRPr="003A0655">
        <w:t> </w:t>
      </w:r>
      <w:r w:rsidRPr="003A0655">
        <w:t>Parties de moins que l</w:t>
      </w:r>
      <w:r w:rsidR="000B3BB8" w:rsidRPr="003A0655">
        <w:t>’</w:t>
      </w:r>
      <w:r w:rsidRPr="003A0655">
        <w:t>objectif de ratification universelle. Le nombre de ratifications serait mis à jour, le cas échéant, au moment de l</w:t>
      </w:r>
      <w:r w:rsidR="000B3BB8" w:rsidRPr="003A0655">
        <w:t>’</w:t>
      </w:r>
      <w:r w:rsidRPr="003A0655">
        <w:t>examen et de l</w:t>
      </w:r>
      <w:r w:rsidR="000B3BB8" w:rsidRPr="003A0655">
        <w:t>’</w:t>
      </w:r>
      <w:r w:rsidRPr="003A0655">
        <w:t>adoption éventuelle du projet de décision XXXVII/[EE] lors du débat de haut niveau.</w:t>
      </w:r>
    </w:p>
    <w:p w14:paraId="5F4C159B" w14:textId="77777777" w:rsidR="00F856B6" w:rsidRPr="003A0655" w:rsidRDefault="00F856B6" w:rsidP="00F856B6">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Les Parties sont convenues de transmettre le projet de décision au débat de haut niveau pour plus ample examen et adoption éventuelle.</w:t>
      </w:r>
    </w:p>
    <w:p w14:paraId="1BFA244A" w14:textId="266AE375" w:rsidR="00CF4056" w:rsidRPr="003A0655" w:rsidRDefault="00CF4056" w:rsidP="00CF4056">
      <w:pPr>
        <w:pStyle w:val="CH1"/>
        <w:keepNext w:val="0"/>
        <w:keepLines w:val="0"/>
      </w:pPr>
      <w:r w:rsidRPr="003A0655">
        <w:tab/>
        <w:t>XV.</w:t>
      </w:r>
      <w:r w:rsidRPr="003A0655">
        <w:tab/>
      </w:r>
      <w:r w:rsidR="008A5277" w:rsidRPr="003A0655">
        <w:t>Questions diverse</w:t>
      </w:r>
      <w:r w:rsidRPr="003A0655">
        <w:t>s</w:t>
      </w:r>
    </w:p>
    <w:p w14:paraId="52D38979" w14:textId="74DCEA6D" w:rsidR="001F6A87" w:rsidRPr="003A0655" w:rsidRDefault="00EA3AEB" w:rsidP="001F6A87">
      <w:pPr>
        <w:pStyle w:val="CH2"/>
      </w:pPr>
      <w:r w:rsidRPr="003A0655">
        <w:tab/>
      </w:r>
      <w:r w:rsidRPr="003A0655">
        <w:tab/>
      </w:r>
      <w:r w:rsidR="001F6A87" w:rsidRPr="003A0655">
        <w:rPr>
          <w:bCs/>
        </w:rPr>
        <w:t>Assurer la viabilité des opérations du Protocole de</w:t>
      </w:r>
      <w:r w:rsidR="003F7CB2" w:rsidRPr="003A0655">
        <w:rPr>
          <w:bCs/>
        </w:rPr>
        <w:t> </w:t>
      </w:r>
      <w:r w:rsidR="001F6A87" w:rsidRPr="003A0655">
        <w:rPr>
          <w:bCs/>
        </w:rPr>
        <w:t>Montréal</w:t>
      </w:r>
    </w:p>
    <w:p w14:paraId="77B8A71E" w14:textId="26B2EB71" w:rsidR="00DA0929" w:rsidRPr="003A0655" w:rsidRDefault="00DA0929" w:rsidP="00DA0929">
      <w:pPr>
        <w:pStyle w:val="Normalnumber"/>
        <w:numPr>
          <w:ilvl w:val="0"/>
          <w:numId w:val="1"/>
        </w:numPr>
        <w:tabs>
          <w:tab w:val="clear" w:pos="1871"/>
          <w:tab w:val="clear" w:pos="2495"/>
          <w:tab w:val="clear" w:pos="3119"/>
          <w:tab w:val="clear" w:pos="3742"/>
          <w:tab w:val="clear" w:pos="4366"/>
          <w:tab w:val="num" w:pos="624"/>
        </w:tabs>
        <w:ind w:left="1248"/>
      </w:pPr>
      <w:r w:rsidRPr="003A0655">
        <w:t>La Coprésidente a rappelé que, lors de l</w:t>
      </w:r>
      <w:r w:rsidR="000B3BB8" w:rsidRPr="003A0655">
        <w:t>’</w:t>
      </w:r>
      <w:r w:rsidRPr="003A0655">
        <w:t>adoption de l</w:t>
      </w:r>
      <w:r w:rsidR="000B3BB8" w:rsidRPr="003A0655">
        <w:t>’</w:t>
      </w:r>
      <w:r w:rsidRPr="003A0655">
        <w:t>ordre du jour, il avait été convenu d</w:t>
      </w:r>
      <w:r w:rsidR="000B3BB8" w:rsidRPr="003A0655">
        <w:t>’</w:t>
      </w:r>
      <w:r w:rsidRPr="003A0655">
        <w:t>examiner une proposition visant à optimiser le calendrier des réunions des organes du Protocole de Montréal.</w:t>
      </w:r>
    </w:p>
    <w:p w14:paraId="01F01D11" w14:textId="7F66F053" w:rsidR="00DA0929" w:rsidRPr="003A0655" w:rsidRDefault="00DA0929" w:rsidP="00DA092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 représentant des États-Unis a présenté un projet de décision intitulé «</w:t>
      </w:r>
      <w:r w:rsidR="00EF4538" w:rsidRPr="003A0655">
        <w:t> </w:t>
      </w:r>
      <w:r w:rsidRPr="003A0655">
        <w:t>Assurer la viabilité des opérations du Protocole de Montréal</w:t>
      </w:r>
      <w:r w:rsidR="00EF4538" w:rsidRPr="003A0655">
        <w:t> </w:t>
      </w:r>
      <w:r w:rsidRPr="003A0655">
        <w:t>», figurant dans un document de séance, coparrainé par la Norvège, expliquant qu</w:t>
      </w:r>
      <w:r w:rsidR="000B3BB8" w:rsidRPr="003A0655">
        <w:t>’</w:t>
      </w:r>
      <w:r w:rsidRPr="003A0655">
        <w:t>il était important que tous les organes multilatéraux revoient périodiquement l</w:t>
      </w:r>
      <w:r w:rsidR="000B3BB8" w:rsidRPr="003A0655">
        <w:t>’</w:t>
      </w:r>
      <w:r w:rsidRPr="003A0655">
        <w:t>organisation de leurs travaux afin de s</w:t>
      </w:r>
      <w:r w:rsidR="000B3BB8" w:rsidRPr="003A0655">
        <w:t>’</w:t>
      </w:r>
      <w:r w:rsidRPr="003A0655">
        <w:t>assurer qu</w:t>
      </w:r>
      <w:r w:rsidR="000B3BB8" w:rsidRPr="003A0655">
        <w:t>’</w:t>
      </w:r>
      <w:r w:rsidRPr="003A0655">
        <w:t>ils restent efficaces, efficients et conçus de manière optimale pour soutenir la mise en œuvre. Comme la majorité des Parties au Protocole de Montréal approchaient de la phase finale de l</w:t>
      </w:r>
      <w:r w:rsidR="000B3BB8" w:rsidRPr="003A0655">
        <w:t>’</w:t>
      </w:r>
      <w:r w:rsidRPr="003A0655">
        <w:t>élimination des HCFC et avaient commencé à mettre en œuvre la réduction progressive des HFC, il était opportun d</w:t>
      </w:r>
      <w:r w:rsidR="000B3BB8" w:rsidRPr="003A0655">
        <w:t>’</w:t>
      </w:r>
      <w:r w:rsidRPr="003A0655">
        <w:t xml:space="preserve">avoir une conversation stratégique sur la charge de travail future probable et sur la question de savoir si le calendrier actuel des réunions était compatible avec cette charge de travail. Le projet de décision visait à faire un premier pas vers cet objectif en demandant au Secrétariat de préparer un rapport, qui serait soumis au Groupe de travail à composition non limitée pour examen lors de sa quarante-huitième réunion, sur les options possibles pour modifier le calendrier et la durée des réunions des organes du Protocole et les dépenses connexes ainsi que le cycle de décision en matière de reconstitution des ressources. </w:t>
      </w:r>
    </w:p>
    <w:p w14:paraId="7397CFB1" w14:textId="58063994" w:rsidR="00DA0929" w:rsidRPr="003A0655" w:rsidRDefault="00DA0929" w:rsidP="00DA092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En tant que coauteur du projet de décision, le représentant de la Norvège a fait remarquer que la situation financière actuelle, qui était difficile, n</w:t>
      </w:r>
      <w:r w:rsidR="000B3BB8" w:rsidRPr="003A0655">
        <w:t>’</w:t>
      </w:r>
      <w:r w:rsidRPr="003A0655">
        <w:t>allait certainement pas s</w:t>
      </w:r>
      <w:r w:rsidR="000B3BB8" w:rsidRPr="003A0655">
        <w:t>’</w:t>
      </w:r>
      <w:r w:rsidRPr="003A0655">
        <w:t>améliorer dans les années à venir et il a rappelé qu</w:t>
      </w:r>
      <w:r w:rsidR="000B3BB8" w:rsidRPr="003A0655">
        <w:t>’</w:t>
      </w:r>
      <w:r w:rsidRPr="003A0655">
        <w:t>à la suite des coupes budgétaires décidées lors de la trente-sixième Réunion des Parties, le Secrétariat avait été contraint de réduire certaines de ses activités. Afin d</w:t>
      </w:r>
      <w:r w:rsidR="000B3BB8" w:rsidRPr="003A0655">
        <w:t>’</w:t>
      </w:r>
      <w:r w:rsidRPr="003A0655">
        <w:t>assurer la viabilité à long terme du Protocole de Montréal, il serait utile d</w:t>
      </w:r>
      <w:r w:rsidR="000B3BB8" w:rsidRPr="003A0655">
        <w:t>’</w:t>
      </w:r>
      <w:r w:rsidRPr="003A0655">
        <w:t xml:space="preserve">entamer un débat plus large sur la manière de garantir la rationalité financière de ses opérations, sans pour autant compromettre les travaux en cours ni la capacité de cet instrument à relever les nouveaux défis. </w:t>
      </w:r>
    </w:p>
    <w:p w14:paraId="2207B430" w14:textId="58E06AF3" w:rsidR="00DA0929" w:rsidRPr="003A0655" w:rsidRDefault="00DA0929" w:rsidP="00DA092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Au cours de la discussion qui a suivi, un certain nombre de représentant(e)s ont dit que la proposition leur semblait pertinente, soulignant qu</w:t>
      </w:r>
      <w:r w:rsidR="000B3BB8" w:rsidRPr="003A0655">
        <w:t>’</w:t>
      </w:r>
      <w:r w:rsidRPr="003A0655">
        <w:t>elle avait pour objectif de recueillir des informations et d</w:t>
      </w:r>
      <w:r w:rsidR="000B3BB8" w:rsidRPr="003A0655">
        <w:t>’</w:t>
      </w:r>
      <w:r w:rsidRPr="003A0655">
        <w:t>établir une estimation des coûts des différentes options possibles, afin de servir de point de départ à un débat entre les Parties</w:t>
      </w:r>
      <w:r w:rsidR="002A39D3" w:rsidRPr="003A0655">
        <w:t> </w:t>
      </w:r>
      <w:r w:rsidRPr="003A0655">
        <w:t>; d</w:t>
      </w:r>
      <w:r w:rsidR="000B3BB8" w:rsidRPr="003A0655">
        <w:t>’</w:t>
      </w:r>
      <w:r w:rsidRPr="003A0655">
        <w:t>améliorer l</w:t>
      </w:r>
      <w:r w:rsidR="000B3BB8" w:rsidRPr="003A0655">
        <w:t>’</w:t>
      </w:r>
      <w:r w:rsidRPr="003A0655">
        <w:t>efficacité sans compromettre les objectifs et la performance du Protocole de Montréal</w:t>
      </w:r>
      <w:r w:rsidR="002A39D3" w:rsidRPr="003A0655">
        <w:t> </w:t>
      </w:r>
      <w:r w:rsidRPr="003A0655">
        <w:t>; et d</w:t>
      </w:r>
      <w:r w:rsidR="000B3BB8" w:rsidRPr="003A0655">
        <w:t>’</w:t>
      </w:r>
      <w:r w:rsidRPr="003A0655">
        <w:t>assurer des ressources et un soutien effectifs pour les activités du Secrétariat, qui contribuaient au succès du Protocole. Plusieurs ont souligné qu</w:t>
      </w:r>
      <w:r w:rsidR="000B3BB8" w:rsidRPr="003A0655">
        <w:t>’</w:t>
      </w:r>
      <w:r w:rsidRPr="003A0655">
        <w:t>il ne fallait pas préjuger de l</w:t>
      </w:r>
      <w:r w:rsidR="000B3BB8" w:rsidRPr="003A0655">
        <w:t>’</w:t>
      </w:r>
      <w:r w:rsidRPr="003A0655">
        <w:t>issue de l</w:t>
      </w:r>
      <w:r w:rsidR="000B3BB8" w:rsidRPr="003A0655">
        <w:t>’</w:t>
      </w:r>
      <w:r w:rsidRPr="003A0655">
        <w:t>examen de la proposition.</w:t>
      </w:r>
    </w:p>
    <w:p w14:paraId="1C985BCC" w14:textId="6D37C061" w:rsidR="00DA0929" w:rsidRPr="003A0655" w:rsidRDefault="00DA0929" w:rsidP="00DA092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Certain(e)s représentant(e)s ont questionné l</w:t>
      </w:r>
      <w:r w:rsidR="000B3BB8" w:rsidRPr="003A0655">
        <w:t>’</w:t>
      </w:r>
      <w:r w:rsidRPr="003A0655">
        <w:t>opportunité de la proposition. Un représentant, en particulier, a mis en garde contre l</w:t>
      </w:r>
      <w:r w:rsidR="000B3BB8" w:rsidRPr="003A0655">
        <w:t>’</w:t>
      </w:r>
      <w:r w:rsidRPr="003A0655">
        <w:t>introduction de changements qui pourraient nuire à un organe jusque-là performant</w:t>
      </w:r>
      <w:r w:rsidR="002A39D3" w:rsidRPr="003A0655">
        <w:t> </w:t>
      </w:r>
      <w:r w:rsidRPr="003A0655">
        <w:t>; d</w:t>
      </w:r>
      <w:r w:rsidR="000B3BB8" w:rsidRPr="003A0655">
        <w:t>’</w:t>
      </w:r>
      <w:r w:rsidRPr="003A0655">
        <w:t>autres ont souligné que des projets majeurs nécessitant des discussions approfondies entre les Parties étaient sur le point d</w:t>
      </w:r>
      <w:r w:rsidR="000B3BB8" w:rsidRPr="003A0655">
        <w:t>’</w:t>
      </w:r>
      <w:r w:rsidRPr="003A0655">
        <w:t>être lancés. Un représentant a averti que la proposition pourrait avoir des incidences allant au-delà de la réalisation de gains d</w:t>
      </w:r>
      <w:r w:rsidR="000B3BB8" w:rsidRPr="003A0655">
        <w:t>’</w:t>
      </w:r>
      <w:r w:rsidRPr="003A0655">
        <w:t>efficacité administrative, puisqu</w:t>
      </w:r>
      <w:r w:rsidR="000B3BB8" w:rsidRPr="003A0655">
        <w:t>’</w:t>
      </w:r>
      <w:r w:rsidRPr="003A0655">
        <w:t>elle apporterait des modifications au calendrier, à la durée et à la structure des réunions, ainsi qu</w:t>
      </w:r>
      <w:r w:rsidR="000B3BB8" w:rsidRPr="003A0655">
        <w:t>’</w:t>
      </w:r>
      <w:r w:rsidRPr="003A0655">
        <w:t>au cycle de décision de la reconstitution des ressources, affectant la participation des Parties visées à l</w:t>
      </w:r>
      <w:r w:rsidR="000B3BB8" w:rsidRPr="003A0655">
        <w:t>’</w:t>
      </w:r>
      <w:r w:rsidRPr="003A0655">
        <w:t>article 5 et leur capacité de mise en œuvre du Protocole de Montréal.</w:t>
      </w:r>
    </w:p>
    <w:p w14:paraId="1C066A18" w14:textId="2CF23ADB" w:rsidR="00DA0929" w:rsidRPr="003A0655" w:rsidRDefault="00DA0929" w:rsidP="00DA092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 xml:space="preserve">Plusieurs représentant(e)s ont </w:t>
      </w:r>
      <w:r w:rsidR="008E095C" w:rsidRPr="003A0655">
        <w:t xml:space="preserve">fait valoir </w:t>
      </w:r>
      <w:r w:rsidRPr="003A0655">
        <w:t>que des discussions informelles seraient vitales pour mieux comprendre la portée et les répercussions possibles de la proposition et pour assigner un mandat plus clair au Secrétariat afin qu</w:t>
      </w:r>
      <w:r w:rsidR="000B3BB8" w:rsidRPr="003A0655">
        <w:t>’</w:t>
      </w:r>
      <w:r w:rsidRPr="003A0655">
        <w:t xml:space="preserve">il puisse </w:t>
      </w:r>
      <w:r w:rsidR="008E095C" w:rsidRPr="003A0655">
        <w:t xml:space="preserve">établir </w:t>
      </w:r>
      <w:r w:rsidRPr="003A0655">
        <w:t>le rapport demandé sur les améliorations possibles des opérations. Un représentant a ajouté qu</w:t>
      </w:r>
      <w:r w:rsidR="000B3BB8" w:rsidRPr="003A0655">
        <w:t>’</w:t>
      </w:r>
      <w:r w:rsidRPr="003A0655">
        <w:t>aucune décision rationnelle concernant d</w:t>
      </w:r>
      <w:r w:rsidR="000B3BB8" w:rsidRPr="003A0655">
        <w:t>’</w:t>
      </w:r>
      <w:r w:rsidRPr="003A0655">
        <w:t>éventuelles modifications du calendrier des réunions ne pouvait être prise sans une analyse objective du succès des réunions et des décisions passées et il a souligné que toutes les décisions devaient avoir pour but d</w:t>
      </w:r>
      <w:r w:rsidR="000B3BB8" w:rsidRPr="003A0655">
        <w:t>’</w:t>
      </w:r>
      <w:r w:rsidRPr="003A0655">
        <w:t>aider les Parties à mettre en œuvre le Protocole de Montréal.</w:t>
      </w:r>
    </w:p>
    <w:p w14:paraId="3D20CB0C" w14:textId="110474F1" w:rsidR="00DA0929" w:rsidRPr="003A0655" w:rsidRDefault="00DA0929" w:rsidP="00DA0929">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Les Parties sont convenues de créer un groupe de contact, qui serait coprésidé par Carmen</w:t>
      </w:r>
      <w:r w:rsidR="00997E0B" w:rsidRPr="003A0655">
        <w:t> </w:t>
      </w:r>
      <w:r w:rsidRPr="003A0655">
        <w:t>Rivero (Argentine) et Alessandro Peru (Italie), pour examiner la question de manière plus approfondie. Afin d</w:t>
      </w:r>
      <w:r w:rsidR="000B3BB8" w:rsidRPr="003A0655">
        <w:t>’</w:t>
      </w:r>
      <w:r w:rsidRPr="003A0655">
        <w:t>assurer la participation du plus grand nombre possible de délégations, des efforts concertés seraient déployés pour éviter tout conflit d</w:t>
      </w:r>
      <w:r w:rsidR="000B3BB8" w:rsidRPr="003A0655">
        <w:t>’</w:t>
      </w:r>
      <w:r w:rsidRPr="003A0655">
        <w:t>horaires avec d</w:t>
      </w:r>
      <w:r w:rsidR="000B3BB8" w:rsidRPr="003A0655">
        <w:t>’</w:t>
      </w:r>
      <w:r w:rsidRPr="003A0655">
        <w:t>autres groupes.</w:t>
      </w:r>
    </w:p>
    <w:p w14:paraId="2E1A6B45" w14:textId="5AB8787A" w:rsidR="00DA0929" w:rsidRPr="003A0655" w:rsidRDefault="00DA0929" w:rsidP="00DA0929">
      <w:pPr>
        <w:pStyle w:val="Normalnumber"/>
        <w:numPr>
          <w:ilvl w:val="0"/>
          <w:numId w:val="1"/>
        </w:numPr>
        <w:tabs>
          <w:tab w:val="clear" w:pos="1871"/>
          <w:tab w:val="clear" w:pos="2495"/>
          <w:tab w:val="clear" w:pos="3119"/>
          <w:tab w:val="clear" w:pos="3742"/>
          <w:tab w:val="clear" w:pos="4366"/>
          <w:tab w:val="num" w:pos="624"/>
        </w:tabs>
        <w:ind w:left="1248"/>
      </w:pPr>
      <w:r w:rsidRPr="003A0655">
        <w:t>Par la suite, le coprésident du groupe de contact a fait savoir que celui-ci était parvenu à</w:t>
      </w:r>
      <w:r w:rsidR="004C175B" w:rsidRPr="003A0655">
        <w:t> </w:t>
      </w:r>
      <w:r w:rsidRPr="003A0655">
        <w:t>s</w:t>
      </w:r>
      <w:r w:rsidR="000B3BB8" w:rsidRPr="003A0655">
        <w:t>’</w:t>
      </w:r>
      <w:r w:rsidRPr="003A0655">
        <w:t>accorder sur un projet de décision visant à assurer la viabilité des opérations du Protocole de Montréal, qui serait soumis aux Parties pour examen.</w:t>
      </w:r>
    </w:p>
    <w:p w14:paraId="4691FCB9" w14:textId="77777777" w:rsidR="00DA0929" w:rsidRPr="003A0655" w:rsidRDefault="00DA0929" w:rsidP="00DA0929">
      <w:pPr>
        <w:pStyle w:val="Normalnumber"/>
        <w:numPr>
          <w:ilvl w:val="0"/>
          <w:numId w:val="1"/>
        </w:numPr>
        <w:tabs>
          <w:tab w:val="clear" w:pos="1871"/>
          <w:tab w:val="clear" w:pos="2495"/>
          <w:tab w:val="clear" w:pos="3119"/>
          <w:tab w:val="clear" w:pos="3742"/>
          <w:tab w:val="clear" w:pos="4366"/>
          <w:tab w:val="num" w:pos="624"/>
        </w:tabs>
        <w:ind w:left="1248"/>
      </w:pPr>
      <w:r w:rsidRPr="003A0655">
        <w:t>Les Parties sont convenues de transmettre le projet de décision au débat de haut niveau pour plus ample examen et adoption éventuelle.</w:t>
      </w:r>
    </w:p>
    <w:p w14:paraId="7D72A189" w14:textId="7F054956" w:rsidR="00CF4056" w:rsidRPr="003A0655" w:rsidRDefault="008A5277" w:rsidP="00CF4056">
      <w:pPr>
        <w:pStyle w:val="BBTitle"/>
      </w:pPr>
      <w:r w:rsidRPr="003A0655">
        <w:t>Deuxième partie</w:t>
      </w:r>
      <w:r w:rsidR="00C53371" w:rsidRPr="003A0655">
        <w:t> :</w:t>
      </w:r>
      <w:r w:rsidR="00CF4056" w:rsidRPr="003A0655">
        <w:t xml:space="preserve"> </w:t>
      </w:r>
      <w:r w:rsidR="002172AD" w:rsidRPr="003A0655">
        <w:t>Débat de haut niveau (6</w:t>
      </w:r>
      <w:r w:rsidR="005927C7" w:rsidRPr="003A0655">
        <w:t> </w:t>
      </w:r>
      <w:r w:rsidR="002172AD" w:rsidRPr="003A0655">
        <w:t>et 7</w:t>
      </w:r>
      <w:r w:rsidR="004B67F8" w:rsidRPr="003A0655">
        <w:t> </w:t>
      </w:r>
      <w:r w:rsidR="002172AD" w:rsidRPr="003A0655">
        <w:t>novembre 2025)</w:t>
      </w:r>
    </w:p>
    <w:p w14:paraId="31ABFC6E" w14:textId="76D351FE" w:rsidR="00CF4056" w:rsidRPr="003A0655" w:rsidRDefault="00CF4056" w:rsidP="00CF4056">
      <w:pPr>
        <w:pStyle w:val="CH1"/>
        <w:keepNext w:val="0"/>
        <w:keepLines w:val="0"/>
      </w:pPr>
      <w:r w:rsidRPr="003A0655">
        <w:tab/>
        <w:t>I.</w:t>
      </w:r>
      <w:r w:rsidRPr="003A0655">
        <w:tab/>
      </w:r>
      <w:r w:rsidR="00B85694" w:rsidRPr="003A0655">
        <w:t>Ouverture du débat de haut niveau </w:t>
      </w:r>
    </w:p>
    <w:p w14:paraId="74D7EBC4" w14:textId="74882276" w:rsidR="00EC6625" w:rsidRPr="003A0655" w:rsidRDefault="00EC6625" w:rsidP="00EC6625">
      <w:pPr>
        <w:pStyle w:val="Normalnumber"/>
        <w:keepNext/>
        <w:keepLines/>
        <w:numPr>
          <w:ilvl w:val="0"/>
          <w:numId w:val="34"/>
        </w:numPr>
        <w:tabs>
          <w:tab w:val="clear" w:pos="2495"/>
          <w:tab w:val="clear" w:pos="3119"/>
          <w:tab w:val="clear" w:pos="3742"/>
          <w:tab w:val="clear" w:pos="4366"/>
        </w:tabs>
      </w:pPr>
      <w:r w:rsidRPr="003A0655">
        <w:t>Le débat de haut niveau a été ouvert le jeudi 6</w:t>
      </w:r>
      <w:r w:rsidR="009816DC" w:rsidRPr="003A0655">
        <w:t> </w:t>
      </w:r>
      <w:r w:rsidRPr="003A0655">
        <w:t>novembre 2025 à 10</w:t>
      </w:r>
      <w:r w:rsidR="009816DC" w:rsidRPr="003A0655">
        <w:t> </w:t>
      </w:r>
      <w:r w:rsidRPr="003A0655">
        <w:t>h</w:t>
      </w:r>
      <w:r w:rsidR="009816DC" w:rsidRPr="003A0655">
        <w:t> </w:t>
      </w:r>
      <w:r w:rsidRPr="003A0655">
        <w:t>05 par Ndiaye Cheikh Sylla (Sénégal), Vice-président de la trente-sixième Réunion des Parties au Protocole de Montréal, agissant en qualité de Président. La Réunion a commencé par un</w:t>
      </w:r>
      <w:r w:rsidR="00373B47" w:rsidRPr="003A0655">
        <w:t>e</w:t>
      </w:r>
      <w:r w:rsidRPr="003A0655">
        <w:t xml:space="preserve"> </w:t>
      </w:r>
      <w:r w:rsidR="00373B47" w:rsidRPr="003A0655">
        <w:t>prestation musicale</w:t>
      </w:r>
      <w:r w:rsidRPr="003A0655">
        <w:t>.</w:t>
      </w:r>
    </w:p>
    <w:p w14:paraId="4CFF01B6" w14:textId="2E077E61" w:rsidR="00CF4056" w:rsidRPr="003A0655" w:rsidRDefault="00CF4056" w:rsidP="00CF4056">
      <w:pPr>
        <w:pStyle w:val="CH2"/>
        <w:keepNext w:val="0"/>
        <w:keepLines w:val="0"/>
      </w:pPr>
      <w:r w:rsidRPr="003A0655">
        <w:tab/>
        <w:t>A.</w:t>
      </w:r>
      <w:r w:rsidRPr="003A0655">
        <w:tab/>
      </w:r>
      <w:r w:rsidR="006B139E" w:rsidRPr="003A0655">
        <w:t>Déclaration de la Présidente de la trente-sixième Réunion des Parties au</w:t>
      </w:r>
      <w:r w:rsidR="004D3761" w:rsidRPr="003A0655">
        <w:t> </w:t>
      </w:r>
      <w:r w:rsidR="006B139E" w:rsidRPr="003A0655">
        <w:t>Protocole de Montréal </w:t>
      </w:r>
    </w:p>
    <w:p w14:paraId="196C9E17" w14:textId="1EDFA471" w:rsidR="002E626B" w:rsidRPr="003A0655" w:rsidRDefault="002E626B" w:rsidP="002E626B">
      <w:pPr>
        <w:pStyle w:val="Normalnumber"/>
        <w:keepNext/>
        <w:keepLines/>
        <w:numPr>
          <w:ilvl w:val="0"/>
          <w:numId w:val="34"/>
        </w:numPr>
        <w:tabs>
          <w:tab w:val="clear" w:pos="2495"/>
          <w:tab w:val="clear" w:pos="3119"/>
          <w:tab w:val="clear" w:pos="3742"/>
          <w:tab w:val="clear" w:pos="4366"/>
        </w:tabs>
      </w:pPr>
      <w:r w:rsidRPr="003A0655">
        <w:t>Dans son allocution, M. Sylla a rappelé que la trente-sixième Réunion des Parties au Protocole de Montréal avait adopté plusieurs décisions cruciales sur l</w:t>
      </w:r>
      <w:r w:rsidR="000B3BB8" w:rsidRPr="003A0655">
        <w:t>’</w:t>
      </w:r>
      <w:r w:rsidRPr="003A0655">
        <w:t>avancement de la mise en œuvre du Protocole, qui avaient jeté les bases des nombreuses discussions menées lors de la trente</w:t>
      </w:r>
      <w:r w:rsidR="00234FD5" w:rsidRPr="003A0655">
        <w:noBreakHyphen/>
      </w:r>
      <w:r w:rsidRPr="003A0655">
        <w:t>septième</w:t>
      </w:r>
      <w:r w:rsidR="00234FD5" w:rsidRPr="003A0655">
        <w:t> </w:t>
      </w:r>
      <w:r w:rsidRPr="003A0655">
        <w:t>Réunion. La plus notable d</w:t>
      </w:r>
      <w:r w:rsidR="000B3BB8" w:rsidRPr="003A0655">
        <w:t>’</w:t>
      </w:r>
      <w:r w:rsidRPr="003A0655">
        <w:t>entre elles était la décision visant à renforcer la surveillance atmosphérique régionale des substances réglementées, et il a dit attendre avec intérêt les prochaines étapes visant à renforcer les capacités de surveillance dans les régions où des lacunes subsistaient.</w:t>
      </w:r>
    </w:p>
    <w:p w14:paraId="76F99C16" w14:textId="657738FD" w:rsidR="002E626B" w:rsidRPr="003A0655" w:rsidRDefault="002E626B" w:rsidP="002E626B">
      <w:pPr>
        <w:pStyle w:val="Normalnumber"/>
        <w:numPr>
          <w:ilvl w:val="0"/>
          <w:numId w:val="1"/>
        </w:numPr>
        <w:tabs>
          <w:tab w:val="clear" w:pos="1871"/>
          <w:tab w:val="clear" w:pos="2495"/>
          <w:tab w:val="clear" w:pos="3119"/>
          <w:tab w:val="clear" w:pos="3742"/>
          <w:tab w:val="clear" w:pos="4366"/>
          <w:tab w:val="num" w:pos="624"/>
        </w:tabs>
        <w:ind w:left="1248"/>
      </w:pPr>
      <w:r w:rsidRPr="003A0655">
        <w:t>Il a souligné que la poursuite des discussions sur les moyens de combler l</w:t>
      </w:r>
      <w:r w:rsidR="000B3BB8" w:rsidRPr="003A0655">
        <w:t>’</w:t>
      </w:r>
      <w:r w:rsidRPr="003A0655">
        <w:t>écart entre les émissions observées et prévues de HFC-23, les produits intermédiaires, le renforcement continu des institutions du Protocole de Montréal et la restructuration des groupes d</w:t>
      </w:r>
      <w:r w:rsidR="000B3BB8" w:rsidRPr="003A0655">
        <w:t>’</w:t>
      </w:r>
      <w:r w:rsidRPr="003A0655">
        <w:t>évaluation, ainsi que l</w:t>
      </w:r>
      <w:r w:rsidR="000B3BB8" w:rsidRPr="003A0655">
        <w:t>’</w:t>
      </w:r>
      <w:r w:rsidRPr="003A0655">
        <w:t>ouverture d</w:t>
      </w:r>
      <w:r w:rsidR="000B3BB8" w:rsidRPr="003A0655">
        <w:t>’</w:t>
      </w:r>
      <w:r w:rsidRPr="003A0655">
        <w:t>esprit dont faisaient preuve les Parties, démontraient au monde entier pourquoi le Protocole de Montréal était devenu l</w:t>
      </w:r>
      <w:r w:rsidR="000B3BB8" w:rsidRPr="003A0655">
        <w:t>’</w:t>
      </w:r>
      <w:r w:rsidRPr="003A0655">
        <w:t>accord multilatéral sur l</w:t>
      </w:r>
      <w:r w:rsidR="000B3BB8" w:rsidRPr="003A0655">
        <w:t>’</w:t>
      </w:r>
      <w:r w:rsidRPr="003A0655">
        <w:t>environnement le plus performant. Le</w:t>
      </w:r>
      <w:r w:rsidR="00F82301" w:rsidRPr="003A0655">
        <w:t> </w:t>
      </w:r>
      <w:r w:rsidRPr="003A0655">
        <w:t>Fonds multilatéral jouait un rôle capital dans le succès sans faille du Protocole. Il s</w:t>
      </w:r>
      <w:r w:rsidR="000B3BB8" w:rsidRPr="003A0655">
        <w:t>’</w:t>
      </w:r>
      <w:r w:rsidRPr="003A0655">
        <w:t>est dit convaincu que les négociations sur le cadre de la reconstitution du Fonds pour la période triennale 2027-2029, qui façonnerait les efforts des Parties visées à l</w:t>
      </w:r>
      <w:r w:rsidR="000B3BB8" w:rsidRPr="003A0655">
        <w:t>’</w:t>
      </w:r>
      <w:r w:rsidRPr="003A0655">
        <w:t>article 5 dans un avenir prévisible, aboutiraient à un accord.</w:t>
      </w:r>
    </w:p>
    <w:p w14:paraId="60E5FFFC" w14:textId="1BBBB2B0" w:rsidR="002E626B" w:rsidRPr="003A0655" w:rsidRDefault="002E626B" w:rsidP="002E626B">
      <w:pPr>
        <w:pStyle w:val="Normalnumber"/>
        <w:numPr>
          <w:ilvl w:val="0"/>
          <w:numId w:val="1"/>
        </w:numPr>
        <w:tabs>
          <w:tab w:val="clear" w:pos="1871"/>
          <w:tab w:val="clear" w:pos="2495"/>
          <w:tab w:val="clear" w:pos="3119"/>
          <w:tab w:val="clear" w:pos="3742"/>
          <w:tab w:val="clear" w:pos="4366"/>
          <w:tab w:val="num" w:pos="624"/>
        </w:tabs>
        <w:ind w:left="1248"/>
      </w:pPr>
      <w:r w:rsidRPr="003A0655">
        <w:t>Il a rappelé que l</w:t>
      </w:r>
      <w:r w:rsidR="000B3BB8" w:rsidRPr="003A0655">
        <w:t>’</w:t>
      </w:r>
      <w:r w:rsidRPr="003A0655">
        <w:t xml:space="preserve">année 2025 marquait le quarantième anniversaire de la Convention de Vienne et il </w:t>
      </w:r>
      <w:r w:rsidR="00604E96" w:rsidRPr="003A0655">
        <w:t>dit espérer</w:t>
      </w:r>
      <w:r w:rsidRPr="003A0655">
        <w:t xml:space="preserve"> que les Parties se souviendraient de l</w:t>
      </w:r>
      <w:r w:rsidR="000B3BB8" w:rsidRPr="003A0655">
        <w:t>’</w:t>
      </w:r>
      <w:r w:rsidRPr="003A0655">
        <w:t>héritage de celles et ceux qui avaient posé les fondations des traités sur l</w:t>
      </w:r>
      <w:r w:rsidR="000B3BB8" w:rsidRPr="003A0655">
        <w:t>’</w:t>
      </w:r>
      <w:r w:rsidRPr="003A0655">
        <w:t xml:space="preserve">ozone et sur </w:t>
      </w:r>
      <w:r w:rsidR="00604E96" w:rsidRPr="003A0655">
        <w:t>lesquelles elles</w:t>
      </w:r>
      <w:r w:rsidRPr="003A0655">
        <w:t xml:space="preserve"> </w:t>
      </w:r>
      <w:r w:rsidR="00604E96" w:rsidRPr="003A0655">
        <w:t>s’appuyaient</w:t>
      </w:r>
      <w:r w:rsidRPr="003A0655">
        <w:t xml:space="preserve"> aujourd</w:t>
      </w:r>
      <w:r w:rsidR="000B3BB8" w:rsidRPr="003A0655">
        <w:t>’</w:t>
      </w:r>
      <w:r w:rsidRPr="003A0655">
        <w:t>hui. Il a appelé les 29</w:t>
      </w:r>
      <w:r w:rsidR="009537E3" w:rsidRPr="003A0655">
        <w:t> </w:t>
      </w:r>
      <w:r w:rsidRPr="003A0655">
        <w:t>Parties qui n</w:t>
      </w:r>
      <w:r w:rsidR="000B3BB8" w:rsidRPr="003A0655">
        <w:t>’</w:t>
      </w:r>
      <w:r w:rsidRPr="003A0655">
        <w:t>avaient pas encore ratifié l</w:t>
      </w:r>
      <w:r w:rsidR="000B3BB8" w:rsidRPr="003A0655">
        <w:t>’</w:t>
      </w:r>
      <w:r w:rsidRPr="003A0655">
        <w:t>Amendement de Kigali à le faire, afin que la ratification universelle puisse être atteinte d</w:t>
      </w:r>
      <w:r w:rsidR="000B3BB8" w:rsidRPr="003A0655">
        <w:t>’</w:t>
      </w:r>
      <w:r w:rsidRPr="003A0655">
        <w:t>ici 2026, date du dixième anniversaire de l</w:t>
      </w:r>
      <w:r w:rsidR="000B3BB8" w:rsidRPr="003A0655">
        <w:t>’</w:t>
      </w:r>
      <w:r w:rsidRPr="003A0655">
        <w:t xml:space="preserve">Amendement. </w:t>
      </w:r>
    </w:p>
    <w:p w14:paraId="729A5A75" w14:textId="182AC98E" w:rsidR="002E626B" w:rsidRPr="003A0655" w:rsidRDefault="002E626B" w:rsidP="002E626B">
      <w:pPr>
        <w:pStyle w:val="Normalnumber"/>
        <w:numPr>
          <w:ilvl w:val="0"/>
          <w:numId w:val="1"/>
        </w:numPr>
        <w:tabs>
          <w:tab w:val="clear" w:pos="1871"/>
          <w:tab w:val="clear" w:pos="2495"/>
          <w:tab w:val="clear" w:pos="3119"/>
          <w:tab w:val="clear" w:pos="3742"/>
          <w:tab w:val="clear" w:pos="4366"/>
          <w:tab w:val="num" w:pos="624"/>
        </w:tabs>
        <w:ind w:left="1248"/>
      </w:pPr>
      <w:r w:rsidRPr="003A0655">
        <w:t>En conclusion, il a remercié les Parties, ses collègues membres du Bureau, les groupes d</w:t>
      </w:r>
      <w:r w:rsidR="000B3BB8" w:rsidRPr="003A0655">
        <w:t>’</w:t>
      </w:r>
      <w:r w:rsidRPr="003A0655">
        <w:t>évaluation, le Comité d</w:t>
      </w:r>
      <w:r w:rsidR="000B3BB8" w:rsidRPr="003A0655">
        <w:t>’</w:t>
      </w:r>
      <w:r w:rsidRPr="003A0655">
        <w:t>application, le Comité exécutif du Fonds multilatéral et ses organismes d</w:t>
      </w:r>
      <w:r w:rsidR="000B3BB8" w:rsidRPr="003A0655">
        <w:t>’</w:t>
      </w:r>
      <w:r w:rsidRPr="003A0655">
        <w:t>exécution et agences bilatérales, ainsi que le Secrétariat de l</w:t>
      </w:r>
      <w:r w:rsidR="000B3BB8" w:rsidRPr="003A0655">
        <w:t>’</w:t>
      </w:r>
      <w:r w:rsidRPr="003A0655">
        <w:t>ozone et le secrétariat du Fonds multilatéral, les coprésident(e)s du débat préparatoire et tous les autres membres de la famille de l</w:t>
      </w:r>
      <w:r w:rsidR="000B3BB8" w:rsidRPr="003A0655">
        <w:t>’</w:t>
      </w:r>
      <w:r w:rsidRPr="003A0655">
        <w:t>ozone pour leur contribution à la responsabilité partagée de la protection de la couche d</w:t>
      </w:r>
      <w:r w:rsidR="000B3BB8" w:rsidRPr="003A0655">
        <w:t>’</w:t>
      </w:r>
      <w:r w:rsidRPr="003A0655">
        <w:t>ozone et du climat. Il a déclaré qu</w:t>
      </w:r>
      <w:r w:rsidR="000B3BB8" w:rsidRPr="003A0655">
        <w:t>’</w:t>
      </w:r>
      <w:r w:rsidRPr="003A0655">
        <w:t>il était fier d</w:t>
      </w:r>
      <w:r w:rsidR="000B3BB8" w:rsidRPr="003A0655">
        <w:t>’</w:t>
      </w:r>
      <w:r w:rsidRPr="003A0655">
        <w:t xml:space="preserve">avoir servi un processus qui, à maintes reprises, avait démontré ce que le dévouement, la confiance et la compréhension mutuelle pouvaient apporter à la planète. </w:t>
      </w:r>
    </w:p>
    <w:p w14:paraId="6710F51E" w14:textId="518C7E58" w:rsidR="00CF4056" w:rsidRPr="003A0655" w:rsidRDefault="00CF4056" w:rsidP="00CF4056">
      <w:pPr>
        <w:pStyle w:val="CH2"/>
        <w:keepNext w:val="0"/>
        <w:keepLines w:val="0"/>
      </w:pPr>
      <w:r w:rsidRPr="003A0655">
        <w:tab/>
        <w:t>B.</w:t>
      </w:r>
      <w:r w:rsidRPr="003A0655">
        <w:tab/>
      </w:r>
      <w:r w:rsidR="00AC0E9E" w:rsidRPr="003A0655">
        <w:t>Déclaration d</w:t>
      </w:r>
      <w:r w:rsidR="000B3BB8" w:rsidRPr="003A0655">
        <w:t>’</w:t>
      </w:r>
      <w:r w:rsidR="00AC0E9E" w:rsidRPr="003A0655">
        <w:t>un(e) représentant(e) du Programme des Nations</w:t>
      </w:r>
      <w:r w:rsidR="00C876C2" w:rsidRPr="003A0655">
        <w:t> </w:t>
      </w:r>
      <w:r w:rsidR="00AC0E9E" w:rsidRPr="003A0655">
        <w:t>Unies pour l</w:t>
      </w:r>
      <w:r w:rsidR="000B3BB8" w:rsidRPr="003A0655">
        <w:t>’</w:t>
      </w:r>
      <w:r w:rsidR="00AC0E9E" w:rsidRPr="003A0655">
        <w:t>environnement </w:t>
      </w:r>
    </w:p>
    <w:p w14:paraId="279E26BD" w14:textId="57F135AB" w:rsidR="00853AF9" w:rsidRPr="003A0655" w:rsidRDefault="00853AF9" w:rsidP="00853AF9">
      <w:pPr>
        <w:pStyle w:val="Normalnumber"/>
        <w:numPr>
          <w:ilvl w:val="0"/>
          <w:numId w:val="34"/>
        </w:numPr>
        <w:tabs>
          <w:tab w:val="clear" w:pos="2495"/>
          <w:tab w:val="clear" w:pos="3119"/>
          <w:tab w:val="clear" w:pos="3742"/>
          <w:tab w:val="clear" w:pos="4366"/>
        </w:tabs>
      </w:pPr>
      <w:r w:rsidRPr="003A0655">
        <w:t>Sheila Aggarwal-Khan, Directrice de la Division de l</w:t>
      </w:r>
      <w:r w:rsidR="000B3BB8" w:rsidRPr="003A0655">
        <w:t>’</w:t>
      </w:r>
      <w:r w:rsidRPr="003A0655">
        <w:t>industrie et de l</w:t>
      </w:r>
      <w:r w:rsidR="000B3BB8" w:rsidRPr="003A0655">
        <w:t>’</w:t>
      </w:r>
      <w:r w:rsidRPr="003A0655">
        <w:t>économie du PNUE, a</w:t>
      </w:r>
      <w:r w:rsidR="00BE0A31" w:rsidRPr="003A0655">
        <w:t> </w:t>
      </w:r>
      <w:r w:rsidRPr="003A0655">
        <w:t>souhaité la bienvenue aux participant(e)s au nom d</w:t>
      </w:r>
      <w:r w:rsidR="000B3BB8" w:rsidRPr="003A0655">
        <w:t>’</w:t>
      </w:r>
      <w:r w:rsidRPr="003A0655">
        <w:t>Inger Andersen, Directrice exécutive du PNUE, ayant eu un empêchement. Dans une déclaration transmise par message vidéo, Mme Andersen a souligné que 2025 marquait le quarantième anniversaire de la Convention de Vienne, par laquelle les gouvernements avaient établi l</w:t>
      </w:r>
      <w:r w:rsidR="000B3BB8" w:rsidRPr="003A0655">
        <w:t>’</w:t>
      </w:r>
      <w:r w:rsidRPr="003A0655">
        <w:t>un des premiers traités environnementaux véritablement fondés sur la science, ouvrant ainsi la voie au Protocole de Montréal. Quatre décennies plus tard, les trois groupes d</w:t>
      </w:r>
      <w:r w:rsidR="000B3BB8" w:rsidRPr="003A0655">
        <w:t>’</w:t>
      </w:r>
      <w:r w:rsidRPr="003A0655">
        <w:t>évaluation du Protocole continuaient de s</w:t>
      </w:r>
      <w:r w:rsidR="000B3BB8" w:rsidRPr="003A0655">
        <w:t>’</w:t>
      </w:r>
      <w:r w:rsidRPr="003A0655">
        <w:t>appuyer sur la science pour garantir la solidité, la pertinence et la fiabilité de ces traités.</w:t>
      </w:r>
    </w:p>
    <w:p w14:paraId="7940DF4C" w14:textId="368C9304" w:rsidR="00853AF9" w:rsidRPr="003A0655" w:rsidRDefault="00853AF9" w:rsidP="00853AF9">
      <w:pPr>
        <w:pStyle w:val="Normalnumber"/>
        <w:numPr>
          <w:ilvl w:val="0"/>
          <w:numId w:val="1"/>
        </w:numPr>
        <w:tabs>
          <w:tab w:val="clear" w:pos="1871"/>
          <w:tab w:val="clear" w:pos="2495"/>
          <w:tab w:val="clear" w:pos="3119"/>
          <w:tab w:val="clear" w:pos="3742"/>
          <w:tab w:val="clear" w:pos="4366"/>
          <w:tab w:val="num" w:pos="624"/>
        </w:tabs>
        <w:ind w:left="1248"/>
      </w:pPr>
      <w:r w:rsidRPr="003A0655">
        <w:t>Deux ans plus tôt, en 2023, les Parties étaient convenues de la plus importante reconstitution du Fonds multilatéral depuis sa création, d</w:t>
      </w:r>
      <w:r w:rsidR="000B3BB8" w:rsidRPr="003A0655">
        <w:t>’</w:t>
      </w:r>
      <w:r w:rsidRPr="003A0655">
        <w:t>un montant de 965</w:t>
      </w:r>
      <w:r w:rsidR="003F133E" w:rsidRPr="003A0655">
        <w:t> </w:t>
      </w:r>
      <w:r w:rsidRPr="003A0655">
        <w:t>millions de dollars pour la période 2024</w:t>
      </w:r>
      <w:r w:rsidR="00535C2F" w:rsidRPr="003A0655">
        <w:noBreakHyphen/>
      </w:r>
      <w:r w:rsidRPr="003A0655">
        <w:t>2026, une décision qui mettait en exergue la détermination collective des Parties à protéger la couche d</w:t>
      </w:r>
      <w:r w:rsidR="000B3BB8" w:rsidRPr="003A0655">
        <w:t>’</w:t>
      </w:r>
      <w:r w:rsidRPr="003A0655">
        <w:t>ozone et le climat tout en apportant un soutien aux Parties visées à l</w:t>
      </w:r>
      <w:r w:rsidR="000B3BB8" w:rsidRPr="003A0655">
        <w:t>’</w:t>
      </w:r>
      <w:r w:rsidRPr="003A0655">
        <w:t>article 5. Les travaux avaient déjà commencé sur le cadre de la prochaine étude sur la reconstitution. Reconnaissant que les Parties visées à l</w:t>
      </w:r>
      <w:r w:rsidR="000B3BB8" w:rsidRPr="003A0655">
        <w:t>’</w:t>
      </w:r>
      <w:r w:rsidRPr="003A0655">
        <w:t>article 5 et celles non visées à l</w:t>
      </w:r>
      <w:r w:rsidR="000B3BB8" w:rsidRPr="003A0655">
        <w:t>’</w:t>
      </w:r>
      <w:r w:rsidRPr="003A0655">
        <w:t>article 5 avaient des positions très divergentes sur la question, elle a invité toutes les Parties à poursuivre le dialogue et rester à l</w:t>
      </w:r>
      <w:r w:rsidR="000B3BB8" w:rsidRPr="003A0655">
        <w:t>’</w:t>
      </w:r>
      <w:r w:rsidRPr="003A0655">
        <w:t>écoute. Les Parties au Protocole de Montréal avaient toujours réussi à trouver un consensus dans les moments les plus critiques et elle était convaincue que cette prouesse pouvait se reproduire une fois de plus.</w:t>
      </w:r>
    </w:p>
    <w:p w14:paraId="48C3611E" w14:textId="1070A203" w:rsidR="00853AF9" w:rsidRPr="003A0655" w:rsidRDefault="00853AF9" w:rsidP="00853AF9">
      <w:pPr>
        <w:pStyle w:val="Normalnumber"/>
        <w:numPr>
          <w:ilvl w:val="0"/>
          <w:numId w:val="1"/>
        </w:numPr>
        <w:tabs>
          <w:tab w:val="clear" w:pos="1871"/>
          <w:tab w:val="clear" w:pos="2495"/>
          <w:tab w:val="clear" w:pos="3119"/>
          <w:tab w:val="clear" w:pos="3742"/>
          <w:tab w:val="clear" w:pos="4366"/>
          <w:tab w:val="num" w:pos="624"/>
        </w:tabs>
        <w:ind w:left="1248"/>
      </w:pPr>
      <w:r w:rsidRPr="003A0655">
        <w:t>Elle a attiré l</w:t>
      </w:r>
      <w:r w:rsidR="000B3BB8" w:rsidRPr="003A0655">
        <w:t>’</w:t>
      </w:r>
      <w:r w:rsidRPr="003A0655">
        <w:t>attention des Parties sur l</w:t>
      </w:r>
      <w:r w:rsidR="000B3BB8" w:rsidRPr="003A0655">
        <w:t>’</w:t>
      </w:r>
      <w:r w:rsidRPr="003A0655">
        <w:t>écart important qui avait été observé entre les mesures atmosphériques et les émissions déclarées de HFC-23, un gaz à effet de serre très puissant et persistant. L</w:t>
      </w:r>
      <w:r w:rsidR="000B3BB8" w:rsidRPr="003A0655">
        <w:t>’</w:t>
      </w:r>
      <w:r w:rsidRPr="003A0655">
        <w:t>amélioration de la surveillance atmosphérique était donc indispensable pour sous-tendre les efforts des Parties et permettre aux groupes d</w:t>
      </w:r>
      <w:r w:rsidR="000B3BB8" w:rsidRPr="003A0655">
        <w:t>’</w:t>
      </w:r>
      <w:r w:rsidRPr="003A0655">
        <w:t>évaluation de fournir des mises à jour en temps opportun. Elle a rappelé que lorsque la surveillance atmosphérique avait révélé une anomalie similaire dans les émissions de CFC-11, les Parties avaient agi rapidement pour garder le cap sur la reconstitution de la couche d</w:t>
      </w:r>
      <w:r w:rsidR="000B3BB8" w:rsidRPr="003A0655">
        <w:t>’</w:t>
      </w:r>
      <w:r w:rsidRPr="003A0655">
        <w:t xml:space="preserve">ozone. </w:t>
      </w:r>
    </w:p>
    <w:p w14:paraId="0A719524" w14:textId="2D98DB3E" w:rsidR="00853AF9" w:rsidRPr="003A0655" w:rsidRDefault="00853AF9" w:rsidP="00853AF9">
      <w:pPr>
        <w:pStyle w:val="Normalnumber"/>
        <w:numPr>
          <w:ilvl w:val="0"/>
          <w:numId w:val="1"/>
        </w:numPr>
        <w:tabs>
          <w:tab w:val="clear" w:pos="1871"/>
          <w:tab w:val="clear" w:pos="2495"/>
          <w:tab w:val="clear" w:pos="3119"/>
          <w:tab w:val="clear" w:pos="3742"/>
          <w:tab w:val="clear" w:pos="4366"/>
          <w:tab w:val="num" w:pos="624"/>
        </w:tabs>
        <w:ind w:left="1248"/>
      </w:pPr>
      <w:r w:rsidRPr="003A0655">
        <w:t>Elle a également appelé l</w:t>
      </w:r>
      <w:r w:rsidR="000B3BB8" w:rsidRPr="003A0655">
        <w:t>’</w:t>
      </w:r>
      <w:r w:rsidRPr="003A0655">
        <w:t>attention sur la gestion du cycle de vie des réfrigérants, car les Parties visées à l</w:t>
      </w:r>
      <w:r w:rsidR="000B3BB8" w:rsidRPr="003A0655">
        <w:t>’</w:t>
      </w:r>
      <w:r w:rsidRPr="003A0655">
        <w:t>article 5 s</w:t>
      </w:r>
      <w:r w:rsidR="000B3BB8" w:rsidRPr="003A0655">
        <w:t>’</w:t>
      </w:r>
      <w:r w:rsidRPr="003A0655">
        <w:t>inquiétaient de l</w:t>
      </w:r>
      <w:r w:rsidR="000B3BB8" w:rsidRPr="003A0655">
        <w:t>’</w:t>
      </w:r>
      <w:r w:rsidRPr="003A0655">
        <w:t>augmentation des stocks de gaz frigorigènes. L</w:t>
      </w:r>
      <w:r w:rsidR="000B3BB8" w:rsidRPr="003A0655">
        <w:t>’</w:t>
      </w:r>
      <w:r w:rsidRPr="003A0655">
        <w:t>adoption généralisée de stratégies de gestion du cycle de vie des réfrigérants, en commençant par un meilleur entretien et une meilleure prévention des fuites et en allant jusqu</w:t>
      </w:r>
      <w:r w:rsidR="000B3BB8" w:rsidRPr="003A0655">
        <w:t>’</w:t>
      </w:r>
      <w:r w:rsidRPr="003A0655">
        <w:t>à la récupération, la régénération ou la destruction des réfrigérants en fin de vie, pourrait permettre d</w:t>
      </w:r>
      <w:r w:rsidR="000B3BB8" w:rsidRPr="003A0655">
        <w:t>’</w:t>
      </w:r>
      <w:r w:rsidRPr="003A0655">
        <w:t>éviter, en termes d</w:t>
      </w:r>
      <w:r w:rsidR="000B3BB8" w:rsidRPr="003A0655">
        <w:t>’</w:t>
      </w:r>
      <w:r w:rsidRPr="003A0655">
        <w:t>émissions, jusqu</w:t>
      </w:r>
      <w:r w:rsidR="000B3BB8" w:rsidRPr="003A0655">
        <w:t>’</w:t>
      </w:r>
      <w:r w:rsidRPr="003A0655">
        <w:t>à 39</w:t>
      </w:r>
      <w:r w:rsidR="007144CE" w:rsidRPr="003A0655">
        <w:t> </w:t>
      </w:r>
      <w:r w:rsidRPr="003A0655">
        <w:t>gigatonnes d</w:t>
      </w:r>
      <w:r w:rsidR="000B3BB8" w:rsidRPr="003A0655">
        <w:t>’</w:t>
      </w:r>
      <w:r w:rsidRPr="003A0655">
        <w:t xml:space="preserve">équivalent CO₂. </w:t>
      </w:r>
      <w:bookmarkStart w:id="43" w:name="_Hlk213325131"/>
      <w:bookmarkEnd w:id="43"/>
    </w:p>
    <w:p w14:paraId="4273465E" w14:textId="03D8E1CA" w:rsidR="00853AF9" w:rsidRPr="003A0655" w:rsidRDefault="00853AF9" w:rsidP="00853AF9">
      <w:pPr>
        <w:pStyle w:val="Normalnumber"/>
        <w:numPr>
          <w:ilvl w:val="0"/>
          <w:numId w:val="1"/>
        </w:numPr>
        <w:tabs>
          <w:tab w:val="clear" w:pos="1871"/>
          <w:tab w:val="clear" w:pos="2495"/>
          <w:tab w:val="clear" w:pos="3119"/>
          <w:tab w:val="clear" w:pos="3742"/>
          <w:tab w:val="clear" w:pos="4366"/>
          <w:tab w:val="num" w:pos="624"/>
        </w:tabs>
        <w:ind w:right="-170"/>
      </w:pPr>
      <w:r w:rsidRPr="003A0655">
        <w:t>À l</w:t>
      </w:r>
      <w:r w:rsidR="000B3BB8" w:rsidRPr="003A0655">
        <w:t>’</w:t>
      </w:r>
      <w:r w:rsidRPr="003A0655">
        <w:t>approche du dixième anniversaire de l</w:t>
      </w:r>
      <w:r w:rsidR="000B3BB8" w:rsidRPr="003A0655">
        <w:t>’</w:t>
      </w:r>
      <w:r w:rsidRPr="003A0655">
        <w:t>Amendement de Kigali, elle a invité les 29</w:t>
      </w:r>
      <w:r w:rsidR="00535C2F" w:rsidRPr="003A0655">
        <w:t> </w:t>
      </w:r>
      <w:r w:rsidRPr="003A0655">
        <w:t>Parties qui ne l</w:t>
      </w:r>
      <w:r w:rsidR="000B3BB8" w:rsidRPr="003A0655">
        <w:t>’</w:t>
      </w:r>
      <w:r w:rsidRPr="003A0655">
        <w:t>avaient pas encore ratifié à saisir cette occasion et à le faire dès que possible. Elle a souligné que le Protocole de Montréal n</w:t>
      </w:r>
      <w:r w:rsidR="000B3BB8" w:rsidRPr="003A0655">
        <w:t>’</w:t>
      </w:r>
      <w:r w:rsidRPr="003A0655">
        <w:t>était pas à l</w:t>
      </w:r>
      <w:r w:rsidR="000B3BB8" w:rsidRPr="003A0655">
        <w:t>’</w:t>
      </w:r>
      <w:r w:rsidRPr="003A0655">
        <w:t>abri des répercussions des pressions exercées sur l</w:t>
      </w:r>
      <w:r w:rsidR="000B3BB8" w:rsidRPr="003A0655">
        <w:t>’</w:t>
      </w:r>
      <w:r w:rsidRPr="003A0655">
        <w:t>Organisation des Nations Unies pour qu</w:t>
      </w:r>
      <w:r w:rsidR="000B3BB8" w:rsidRPr="003A0655">
        <w:t>’</w:t>
      </w:r>
      <w:r w:rsidRPr="003A0655">
        <w:t>elle réduise ses dépenses, mais s</w:t>
      </w:r>
      <w:r w:rsidR="000B3BB8" w:rsidRPr="003A0655">
        <w:t>’</w:t>
      </w:r>
      <w:r w:rsidRPr="003A0655">
        <w:t xml:space="preserve">est </w:t>
      </w:r>
      <w:proofErr w:type="gramStart"/>
      <w:r w:rsidRPr="003A0655">
        <w:t>dite</w:t>
      </w:r>
      <w:proofErr w:type="gramEnd"/>
      <w:r w:rsidRPr="003A0655">
        <w:t xml:space="preserve"> convaincue que les Parties trouveraient un moyen d</w:t>
      </w:r>
      <w:r w:rsidR="000B3BB8" w:rsidRPr="003A0655">
        <w:t>’</w:t>
      </w:r>
      <w:r w:rsidRPr="003A0655">
        <w:t>assurer son efficacité et son succès à long terme.</w:t>
      </w:r>
    </w:p>
    <w:p w14:paraId="6E735082" w14:textId="6B3C5565" w:rsidR="00BF5B86" w:rsidRPr="003A0655" w:rsidRDefault="00BF5B86" w:rsidP="00BF5B86">
      <w:pPr>
        <w:pStyle w:val="CH2"/>
      </w:pPr>
      <w:r w:rsidRPr="003A0655">
        <w:tab/>
        <w:t>C.</w:t>
      </w:r>
      <w:r w:rsidRPr="003A0655">
        <w:tab/>
        <w:t>Déclaration d</w:t>
      </w:r>
      <w:r w:rsidR="000B3BB8" w:rsidRPr="003A0655">
        <w:t>’</w:t>
      </w:r>
      <w:r w:rsidRPr="003A0655">
        <w:t>une représentante du Gouvernement kényan</w:t>
      </w:r>
    </w:p>
    <w:p w14:paraId="0BA5D08B" w14:textId="327E0AE0" w:rsidR="00762144" w:rsidRPr="003A0655" w:rsidRDefault="00762144" w:rsidP="00762144">
      <w:pPr>
        <w:pStyle w:val="Normalnumber"/>
        <w:numPr>
          <w:ilvl w:val="0"/>
          <w:numId w:val="34"/>
        </w:numPr>
        <w:tabs>
          <w:tab w:val="clear" w:pos="2495"/>
          <w:tab w:val="clear" w:pos="3119"/>
          <w:tab w:val="clear" w:pos="3742"/>
          <w:tab w:val="clear" w:pos="4366"/>
        </w:tabs>
      </w:pPr>
      <w:r w:rsidRPr="003A0655">
        <w:t>Accueillant les participant(e)s à Nairobi, Deborah Barasa, secrétaire d</w:t>
      </w:r>
      <w:r w:rsidR="000B3BB8" w:rsidRPr="003A0655">
        <w:t>’</w:t>
      </w:r>
      <w:r w:rsidRPr="003A0655">
        <w:t>État à l</w:t>
      </w:r>
      <w:r w:rsidR="000B3BB8" w:rsidRPr="003A0655">
        <w:t>’</w:t>
      </w:r>
      <w:r w:rsidRPr="003A0655">
        <w:t>environnement, aux changements climatiques et aux forêts du Kenya, a rappelé que le Kenya avait adhéré à la Convention de Vienne et ratifié le Protocole de Montréal en novembre 1988, et qu</w:t>
      </w:r>
      <w:r w:rsidR="000B3BB8" w:rsidRPr="003A0655">
        <w:t>’</w:t>
      </w:r>
      <w:r w:rsidRPr="003A0655">
        <w:t>il avait ratifié les cinq</w:t>
      </w:r>
      <w:r w:rsidR="00050696" w:rsidRPr="003A0655">
        <w:t> </w:t>
      </w:r>
      <w:r w:rsidRPr="003A0655">
        <w:t>amendements au Protocole. Elle a convié les Parties qui n</w:t>
      </w:r>
      <w:r w:rsidR="000B3BB8" w:rsidRPr="003A0655">
        <w:t>’</w:t>
      </w:r>
      <w:r w:rsidRPr="003A0655">
        <w:t>avaient pas encore ratifié tous les amendements à le faire, en particulier l</w:t>
      </w:r>
      <w:r w:rsidR="000B3BB8" w:rsidRPr="003A0655">
        <w:t>’</w:t>
      </w:r>
      <w:r w:rsidRPr="003A0655">
        <w:t xml:space="preserve">Amendement de Kigali. </w:t>
      </w:r>
    </w:p>
    <w:p w14:paraId="733E0F47" w14:textId="3BD23B3D" w:rsidR="00762144" w:rsidRPr="003A0655" w:rsidRDefault="00762144" w:rsidP="00762144">
      <w:pPr>
        <w:pStyle w:val="Normalnumber"/>
        <w:numPr>
          <w:ilvl w:val="0"/>
          <w:numId w:val="1"/>
        </w:numPr>
        <w:tabs>
          <w:tab w:val="clear" w:pos="1871"/>
          <w:tab w:val="clear" w:pos="2495"/>
          <w:tab w:val="clear" w:pos="3119"/>
          <w:tab w:val="clear" w:pos="3742"/>
          <w:tab w:val="clear" w:pos="4366"/>
          <w:tab w:val="num" w:pos="624"/>
        </w:tabs>
        <w:ind w:left="1248"/>
      </w:pPr>
      <w:r w:rsidRPr="003A0655">
        <w:t>Elle s</w:t>
      </w:r>
      <w:r w:rsidR="000B3BB8" w:rsidRPr="003A0655">
        <w:t>’</w:t>
      </w:r>
      <w:r w:rsidRPr="003A0655">
        <w:t xml:space="preserve">est </w:t>
      </w:r>
      <w:proofErr w:type="gramStart"/>
      <w:r w:rsidRPr="003A0655">
        <w:t>dite</w:t>
      </w:r>
      <w:proofErr w:type="gramEnd"/>
      <w:r w:rsidRPr="003A0655">
        <w:t xml:space="preserve"> satisfaite de constater que les points inscrits à l</w:t>
      </w:r>
      <w:r w:rsidR="000B3BB8" w:rsidRPr="003A0655">
        <w:t>’</w:t>
      </w:r>
      <w:r w:rsidRPr="003A0655">
        <w:t>ordre du jour de la trente</w:t>
      </w:r>
      <w:r w:rsidR="005F4127" w:rsidRPr="003A0655">
        <w:noBreakHyphen/>
      </w:r>
      <w:r w:rsidRPr="003A0655">
        <w:t>septième Réunion des Parties couvraient un large éventail de questions d</w:t>
      </w:r>
      <w:r w:rsidR="000B3BB8" w:rsidRPr="003A0655">
        <w:t>’</w:t>
      </w:r>
      <w:r w:rsidRPr="003A0655">
        <w:t>une importance critique pour garantir le succès continu du Protocole de Montréal dans la reconstitution progressive de la couche d</w:t>
      </w:r>
      <w:r w:rsidR="000B3BB8" w:rsidRPr="003A0655">
        <w:t>’</w:t>
      </w:r>
      <w:r w:rsidRPr="003A0655">
        <w:t>ozone et la lutte contre les changements climatiques. Elle était convaincue que les Parties seraient d</w:t>
      </w:r>
      <w:r w:rsidR="000B3BB8" w:rsidRPr="003A0655">
        <w:t>’</w:t>
      </w:r>
      <w:r w:rsidRPr="003A0655">
        <w:t>accord avec elle sur la nécessité de continuer à financer à hauteur suffisante les activités menées dans les pays en développement, notamment l</w:t>
      </w:r>
      <w:r w:rsidR="000B3BB8" w:rsidRPr="003A0655">
        <w:t>’</w:t>
      </w:r>
      <w:r w:rsidRPr="003A0655">
        <w:t>élaboration des plans de mise en œuvre de l</w:t>
      </w:r>
      <w:r w:rsidR="000B3BB8" w:rsidRPr="003A0655">
        <w:t>’</w:t>
      </w:r>
      <w:r w:rsidRPr="003A0655">
        <w:t>Amendement de Kigali, la création de centres d</w:t>
      </w:r>
      <w:r w:rsidR="000B3BB8" w:rsidRPr="003A0655">
        <w:t>’</w:t>
      </w:r>
      <w:r w:rsidRPr="003A0655">
        <w:t xml:space="preserve">excellence nationaux et régionaux pour le refroidissement durable, le renforcement des capacités des technicien(ne)s en réfrigération et en climatisation, et la mise en place des infrastructures nécessaires pour la récupération, le recyclage et la destruction, entre autres. </w:t>
      </w:r>
    </w:p>
    <w:p w14:paraId="2EDD0C22" w14:textId="1DC0DAC9" w:rsidR="00762144" w:rsidRPr="003A0655" w:rsidRDefault="00762144" w:rsidP="00762144">
      <w:pPr>
        <w:pStyle w:val="Normalnumber"/>
        <w:numPr>
          <w:ilvl w:val="0"/>
          <w:numId w:val="1"/>
        </w:numPr>
        <w:tabs>
          <w:tab w:val="clear" w:pos="1871"/>
          <w:tab w:val="clear" w:pos="2495"/>
          <w:tab w:val="clear" w:pos="3119"/>
          <w:tab w:val="clear" w:pos="3742"/>
          <w:tab w:val="clear" w:pos="4366"/>
          <w:tab w:val="num" w:pos="624"/>
        </w:tabs>
        <w:ind w:left="1248"/>
      </w:pPr>
      <w:r w:rsidRPr="003A0655">
        <w:t>Elle a annoncé que le Kenya préparait son propre plan de mise en œuvre de l</w:t>
      </w:r>
      <w:r w:rsidR="000B3BB8" w:rsidRPr="003A0655">
        <w:t>’</w:t>
      </w:r>
      <w:r w:rsidRPr="003A0655">
        <w:t>Amendement de Kigali, qui serait soumis au Fonds multilatéral et qui devrait permettre l</w:t>
      </w:r>
      <w:r w:rsidR="000B3BB8" w:rsidRPr="003A0655">
        <w:t>’</w:t>
      </w:r>
      <w:r w:rsidRPr="003A0655">
        <w:t>élaboration d</w:t>
      </w:r>
      <w:r w:rsidR="000B3BB8" w:rsidRPr="003A0655">
        <w:t>’</w:t>
      </w:r>
      <w:r w:rsidRPr="003A0655">
        <w:t>une stratégie globale afin que le Kenya puisse atteindre ses objectifs de réduction progressive des HFC. Le ministère de l</w:t>
      </w:r>
      <w:r w:rsidR="000B3BB8" w:rsidRPr="003A0655">
        <w:t>’</w:t>
      </w:r>
      <w:r w:rsidRPr="003A0655">
        <w:t>environnement, par l</w:t>
      </w:r>
      <w:r w:rsidR="000B3BB8" w:rsidRPr="003A0655">
        <w:t>’</w:t>
      </w:r>
      <w:r w:rsidRPr="003A0655">
        <w:t>intermédiaire du Service national de l</w:t>
      </w:r>
      <w:r w:rsidR="000B3BB8" w:rsidRPr="003A0655">
        <w:t>’</w:t>
      </w:r>
      <w:r w:rsidRPr="003A0655">
        <w:t>ozone, étudiait les moyens de collecter et de transporter les gaz réfrigérants récupérés afin de les éliminer en toute sécurité dans les pays disposant d</w:t>
      </w:r>
      <w:r w:rsidR="000B3BB8" w:rsidRPr="003A0655">
        <w:t>’</w:t>
      </w:r>
      <w:r w:rsidRPr="003A0655">
        <w:t>installations de destruction. En coopération avec le Gouvernement allemand, le</w:t>
      </w:r>
      <w:r w:rsidR="00474923" w:rsidRPr="003A0655">
        <w:t> </w:t>
      </w:r>
      <w:r w:rsidRPr="003A0655">
        <w:t>Service national de l</w:t>
      </w:r>
      <w:r w:rsidR="000B3BB8" w:rsidRPr="003A0655">
        <w:t>’</w:t>
      </w:r>
      <w:r w:rsidRPr="003A0655">
        <w:t>ozone avait entamé des entretiens préliminaires avec sept entreprises privées spécialisées dans l</w:t>
      </w:r>
      <w:r w:rsidR="000B3BB8" w:rsidRPr="003A0655">
        <w:t>’</w:t>
      </w:r>
      <w:r w:rsidRPr="003A0655">
        <w:t>utilisation ou l</w:t>
      </w:r>
      <w:r w:rsidR="000B3BB8" w:rsidRPr="003A0655">
        <w:t>’</w:t>
      </w:r>
      <w:r w:rsidRPr="003A0655">
        <w:t>élimination sûre des gaz récupérés. Le système d</w:t>
      </w:r>
      <w:r w:rsidR="000B3BB8" w:rsidRPr="003A0655">
        <w:t>’</w:t>
      </w:r>
      <w:r w:rsidRPr="003A0655">
        <w:t>octroi de licences du Kenya incluait les HFC et les mélanges de HFC et, en collaboration avec les agences douanières, les administrations fiscales et les organisations environnementales, facilitait le contrôle des importations.</w:t>
      </w:r>
    </w:p>
    <w:p w14:paraId="71273935" w14:textId="0E72CC3A" w:rsidR="00762144" w:rsidRPr="003A0655" w:rsidRDefault="00762144" w:rsidP="00762144">
      <w:pPr>
        <w:pStyle w:val="Normalnumber"/>
        <w:numPr>
          <w:ilvl w:val="0"/>
          <w:numId w:val="1"/>
        </w:numPr>
        <w:tabs>
          <w:tab w:val="clear" w:pos="1871"/>
          <w:tab w:val="clear" w:pos="2495"/>
          <w:tab w:val="clear" w:pos="3119"/>
          <w:tab w:val="clear" w:pos="3742"/>
          <w:tab w:val="clear" w:pos="4366"/>
          <w:tab w:val="num" w:pos="624"/>
        </w:tabs>
        <w:ind w:left="1248"/>
      </w:pPr>
      <w:r w:rsidRPr="003A0655">
        <w:t>Étant donné que les technologies de refroidissement étaient l</w:t>
      </w:r>
      <w:r w:rsidR="000B3BB8" w:rsidRPr="003A0655">
        <w:t>’</w:t>
      </w:r>
      <w:r w:rsidRPr="003A0655">
        <w:t>un des principaux facteurs contribuant au réchauffement planétaire, il était indispensable de cibler la réduction des émissions dans ce secteur, d</w:t>
      </w:r>
      <w:r w:rsidR="000B3BB8" w:rsidRPr="003A0655">
        <w:t>’</w:t>
      </w:r>
      <w:r w:rsidRPr="003A0655">
        <w:t>améliorer l</w:t>
      </w:r>
      <w:r w:rsidR="000B3BB8" w:rsidRPr="003A0655">
        <w:t>’</w:t>
      </w:r>
      <w:r w:rsidRPr="003A0655">
        <w:t>efficacité énergétique et de mettre en œuvre des modes de refroidissement respectueux du climat, tels que le recours à des réfrigérants naturels. Pourtant, la plupart des équipements de réfrigération et de climatisation au Kenya reposaient encore sur des technologies obsolètes</w:t>
      </w:r>
      <w:r w:rsidR="002A39D3" w:rsidRPr="003A0655">
        <w:t> </w:t>
      </w:r>
      <w:r w:rsidRPr="003A0655">
        <w:t>; les solutions de remplacement respectueuses de la couche d</w:t>
      </w:r>
      <w:r w:rsidR="000B3BB8" w:rsidRPr="003A0655">
        <w:t>’</w:t>
      </w:r>
      <w:r w:rsidRPr="003A0655">
        <w:t>ozone et du climat n</w:t>
      </w:r>
      <w:r w:rsidR="000B3BB8" w:rsidRPr="003A0655">
        <w:t>’</w:t>
      </w:r>
      <w:r w:rsidRPr="003A0655">
        <w:t>étaient pas immédiatement accessibles et le personnel technique qualifié faisait défaut. Au</w:t>
      </w:r>
      <w:r w:rsidR="00C607F7" w:rsidRPr="003A0655">
        <w:t> </w:t>
      </w:r>
      <w:r w:rsidRPr="003A0655">
        <w:t>Kenya, le Plan d</w:t>
      </w:r>
      <w:r w:rsidR="000B3BB8" w:rsidRPr="003A0655">
        <w:t>’</w:t>
      </w:r>
      <w:r w:rsidRPr="003A0655">
        <w:t>action national pour le refroidissement visait à améliorer l</w:t>
      </w:r>
      <w:r w:rsidR="000B3BB8" w:rsidRPr="003A0655">
        <w:t>’</w:t>
      </w:r>
      <w:r w:rsidRPr="003A0655">
        <w:t>accès à un refroidissement durable pour l</w:t>
      </w:r>
      <w:r w:rsidR="000B3BB8" w:rsidRPr="003A0655">
        <w:t>’</w:t>
      </w:r>
      <w:r w:rsidRPr="003A0655">
        <w:t>ensemble de la population. Avec l</w:t>
      </w:r>
      <w:r w:rsidR="000B3BB8" w:rsidRPr="003A0655">
        <w:t>’</w:t>
      </w:r>
      <w:r w:rsidRPr="003A0655">
        <w:t>aide de dons internationaux, la mise en œuvre du Plan avait déjà permis de former plus de 200</w:t>
      </w:r>
      <w:r w:rsidR="002A39D3" w:rsidRPr="003A0655">
        <w:t> </w:t>
      </w:r>
      <w:r w:rsidRPr="003A0655">
        <w:t>fonctionnaires des douanes et plus de 1</w:t>
      </w:r>
      <w:r w:rsidR="00466251" w:rsidRPr="003A0655">
        <w:t> </w:t>
      </w:r>
      <w:r w:rsidRPr="003A0655">
        <w:t>000</w:t>
      </w:r>
      <w:r w:rsidR="00535C2F" w:rsidRPr="003A0655">
        <w:t> </w:t>
      </w:r>
      <w:r w:rsidRPr="003A0655">
        <w:t>technicien(ne)s en réfrigération et en climatisation aux mesures de réglementation et à l</w:t>
      </w:r>
      <w:r w:rsidR="000B3BB8" w:rsidRPr="003A0655">
        <w:t>’</w:t>
      </w:r>
      <w:r w:rsidRPr="003A0655">
        <w:t>utilisation d</w:t>
      </w:r>
      <w:r w:rsidR="000B3BB8" w:rsidRPr="003A0655">
        <w:t>’</w:t>
      </w:r>
      <w:r w:rsidRPr="003A0655">
        <w:t>hydrocarbures et d</w:t>
      </w:r>
      <w:r w:rsidR="000B3BB8" w:rsidRPr="003A0655">
        <w:t>’</w:t>
      </w:r>
      <w:r w:rsidRPr="003A0655">
        <w:t>autres réfrigérants naturels. Elle a conclu en appelant les Parties à</w:t>
      </w:r>
      <w:r w:rsidR="00A53379" w:rsidRPr="003A0655">
        <w:t> </w:t>
      </w:r>
      <w:r w:rsidRPr="003A0655">
        <w:t>préserver le succès du Protocole de Montréal et, à cette fin, de continuer à fournir une assistance financière aux Parties visées à l</w:t>
      </w:r>
      <w:r w:rsidR="000B3BB8" w:rsidRPr="003A0655">
        <w:t>’</w:t>
      </w:r>
      <w:r w:rsidRPr="003A0655">
        <w:t>article 5 afin qu</w:t>
      </w:r>
      <w:r w:rsidR="000B3BB8" w:rsidRPr="003A0655">
        <w:t>’</w:t>
      </w:r>
      <w:r w:rsidRPr="003A0655">
        <w:t>elles puissent s</w:t>
      </w:r>
      <w:r w:rsidR="000B3BB8" w:rsidRPr="003A0655">
        <w:t>’</w:t>
      </w:r>
      <w:r w:rsidRPr="003A0655">
        <w:t>acquitter de leurs obligations.</w:t>
      </w:r>
    </w:p>
    <w:p w14:paraId="2946F566" w14:textId="6FC898A5" w:rsidR="00CF4056" w:rsidRPr="003A0655" w:rsidRDefault="00CF4056" w:rsidP="00CF4056">
      <w:pPr>
        <w:pStyle w:val="CH1"/>
        <w:keepNext w:val="0"/>
        <w:keepLines w:val="0"/>
      </w:pPr>
      <w:r w:rsidRPr="003A0655">
        <w:tab/>
        <w:t>II.</w:t>
      </w:r>
      <w:r w:rsidRPr="003A0655">
        <w:tab/>
      </w:r>
      <w:r w:rsidR="00977E8A" w:rsidRPr="003A0655">
        <w:t>Questions d</w:t>
      </w:r>
      <w:r w:rsidR="000B3BB8" w:rsidRPr="003A0655">
        <w:t>’</w:t>
      </w:r>
      <w:r w:rsidR="00977E8A" w:rsidRPr="003A0655">
        <w:t>organisation </w:t>
      </w:r>
    </w:p>
    <w:p w14:paraId="378C5F8E" w14:textId="0A02819E" w:rsidR="00CF4056" w:rsidRPr="003A0655" w:rsidRDefault="00CF4056" w:rsidP="002E001D">
      <w:pPr>
        <w:pStyle w:val="CH2"/>
        <w:keepNext w:val="0"/>
        <w:keepLines w:val="0"/>
        <w:ind w:left="1245" w:hanging="1245"/>
      </w:pPr>
      <w:r w:rsidRPr="003A0655">
        <w:tab/>
        <w:t>A.</w:t>
      </w:r>
      <w:r w:rsidRPr="003A0655">
        <w:tab/>
      </w:r>
      <w:r w:rsidR="00BD6E7D" w:rsidRPr="003A0655">
        <w:t>Élection des membres du Bureau de la trente-septième Réunion des</w:t>
      </w:r>
      <w:r w:rsidR="006660BF" w:rsidRPr="003A0655">
        <w:t> </w:t>
      </w:r>
      <w:r w:rsidR="00BD6E7D" w:rsidRPr="003A0655">
        <w:t>Parties au Protocole de Montréal</w:t>
      </w:r>
    </w:p>
    <w:p w14:paraId="319198DF" w14:textId="09E42685" w:rsidR="00ED6D8B" w:rsidRPr="003A0655" w:rsidRDefault="00ED6D8B" w:rsidP="00ED6D8B">
      <w:pPr>
        <w:pStyle w:val="Normalnumber"/>
        <w:keepNext/>
        <w:keepLines/>
        <w:numPr>
          <w:ilvl w:val="0"/>
          <w:numId w:val="34"/>
        </w:numPr>
        <w:tabs>
          <w:tab w:val="clear" w:pos="2495"/>
          <w:tab w:val="clear" w:pos="3119"/>
          <w:tab w:val="clear" w:pos="3742"/>
          <w:tab w:val="clear" w:pos="4366"/>
        </w:tabs>
        <w:spacing w:after="100"/>
      </w:pPr>
      <w:r w:rsidRPr="003A0655">
        <w:t>Conformément au paragraphe 1 de l</w:t>
      </w:r>
      <w:r w:rsidR="000B3BB8" w:rsidRPr="003A0655">
        <w:t>’</w:t>
      </w:r>
      <w:r w:rsidRPr="003A0655">
        <w:t xml:space="preserve">article 21 du </w:t>
      </w:r>
      <w:r w:rsidR="00A10B53" w:rsidRPr="003A0655">
        <w:t xml:space="preserve">Règlement </w:t>
      </w:r>
      <w:r w:rsidRPr="003A0655">
        <w:t>intérieur des Réunions des Parties au Protocole de Montréal, les membres ci-après ont été élus par acclamation pour constituer le Bureau de la trente-septième Réunion des Parties</w:t>
      </w:r>
      <w:r w:rsidR="00F97C78" w:rsidRPr="003A0655">
        <w:t> </w:t>
      </w:r>
      <w:r w:rsidRPr="003A0655">
        <w:t>:</w:t>
      </w:r>
    </w:p>
    <w:p w14:paraId="39A264B9" w14:textId="73848002" w:rsidR="00ED6D8B" w:rsidRPr="003A0655" w:rsidRDefault="00ED6D8B" w:rsidP="00ED6D8B">
      <w:pPr>
        <w:pStyle w:val="Normalnumber"/>
        <w:numPr>
          <w:ilvl w:val="0"/>
          <w:numId w:val="0"/>
        </w:numPr>
        <w:tabs>
          <w:tab w:val="clear" w:pos="1247"/>
          <w:tab w:val="clear" w:pos="1814"/>
          <w:tab w:val="clear" w:pos="2381"/>
          <w:tab w:val="clear" w:pos="2948"/>
          <w:tab w:val="clear" w:pos="3515"/>
          <w:tab w:val="left" w:pos="3544"/>
        </w:tabs>
        <w:spacing w:after="100"/>
        <w:ind w:left="1871"/>
      </w:pPr>
      <w:r w:rsidRPr="003A0655">
        <w:t>Président</w:t>
      </w:r>
      <w:r w:rsidR="00F97C78" w:rsidRPr="003A0655">
        <w:t> </w:t>
      </w:r>
      <w:r w:rsidRPr="003A0655">
        <w:t>:</w:t>
      </w:r>
      <w:r w:rsidRPr="003A0655">
        <w:tab/>
      </w:r>
      <w:r w:rsidR="005F34CF" w:rsidRPr="003A0655">
        <w:tab/>
      </w:r>
      <w:r w:rsidRPr="003A0655">
        <w:t>Paul Krajnik (Autriche) (États d</w:t>
      </w:r>
      <w:r w:rsidR="000B3BB8" w:rsidRPr="003A0655">
        <w:t>’</w:t>
      </w:r>
      <w:r w:rsidRPr="003A0655">
        <w:t>Europe occidentale et autres États)</w:t>
      </w:r>
    </w:p>
    <w:p w14:paraId="25FEF283" w14:textId="426711C2" w:rsidR="00ED6D8B" w:rsidRPr="003A0655" w:rsidRDefault="00ED6D8B" w:rsidP="00ED6D8B">
      <w:pPr>
        <w:pStyle w:val="Normalnumber"/>
        <w:numPr>
          <w:ilvl w:val="0"/>
          <w:numId w:val="0"/>
        </w:numPr>
        <w:tabs>
          <w:tab w:val="clear" w:pos="1247"/>
          <w:tab w:val="clear" w:pos="1814"/>
          <w:tab w:val="clear" w:pos="2381"/>
          <w:tab w:val="clear" w:pos="2948"/>
          <w:tab w:val="clear" w:pos="3515"/>
          <w:tab w:val="left" w:pos="3544"/>
        </w:tabs>
        <w:spacing w:after="100"/>
        <w:ind w:left="1871"/>
      </w:pPr>
      <w:r w:rsidRPr="003A0655">
        <w:t>Vice-présidents</w:t>
      </w:r>
      <w:r w:rsidR="00F97C78" w:rsidRPr="003A0655">
        <w:t> </w:t>
      </w:r>
      <w:r w:rsidRPr="003A0655">
        <w:t>:</w:t>
      </w:r>
      <w:r w:rsidRPr="003A0655">
        <w:tab/>
        <w:t>Chen Haijun (Chine) (États d</w:t>
      </w:r>
      <w:r w:rsidR="000B3BB8" w:rsidRPr="003A0655">
        <w:t>’</w:t>
      </w:r>
      <w:r w:rsidRPr="003A0655">
        <w:t>Asie et du Pacifique)</w:t>
      </w:r>
    </w:p>
    <w:p w14:paraId="40AA553F" w14:textId="2EBE570B" w:rsidR="00ED6D8B" w:rsidRPr="003A0655" w:rsidRDefault="00ED6D8B" w:rsidP="00ED6D8B">
      <w:pPr>
        <w:pStyle w:val="Normalnumber"/>
        <w:numPr>
          <w:ilvl w:val="0"/>
          <w:numId w:val="0"/>
        </w:numPr>
        <w:tabs>
          <w:tab w:val="clear" w:pos="1247"/>
          <w:tab w:val="clear" w:pos="1814"/>
          <w:tab w:val="clear" w:pos="2381"/>
          <w:tab w:val="clear" w:pos="2948"/>
          <w:tab w:val="clear" w:pos="3515"/>
          <w:tab w:val="left" w:pos="3544"/>
        </w:tabs>
        <w:spacing w:after="100"/>
        <w:ind w:left="1871"/>
      </w:pPr>
      <w:r w:rsidRPr="003A0655">
        <w:tab/>
      </w:r>
      <w:r w:rsidR="005F34CF" w:rsidRPr="003A0655">
        <w:tab/>
      </w:r>
      <w:r w:rsidR="005F34CF" w:rsidRPr="003A0655">
        <w:tab/>
      </w:r>
      <w:r w:rsidRPr="003A0655">
        <w:t xml:space="preserve">Obed </w:t>
      </w:r>
      <w:proofErr w:type="spellStart"/>
      <w:r w:rsidRPr="003A0655">
        <w:t>Meringo</w:t>
      </w:r>
      <w:proofErr w:type="spellEnd"/>
      <w:r w:rsidRPr="003A0655">
        <w:t xml:space="preserve"> Baloyi (Afrique du Sud) (États d</w:t>
      </w:r>
      <w:r w:rsidR="000B3BB8" w:rsidRPr="003A0655">
        <w:t>’</w:t>
      </w:r>
      <w:r w:rsidRPr="003A0655">
        <w:t>Afrique)</w:t>
      </w:r>
    </w:p>
    <w:p w14:paraId="61951A91" w14:textId="5F57DB41" w:rsidR="00ED6D8B" w:rsidRPr="003A0655" w:rsidRDefault="00ED6D8B" w:rsidP="00ED6D8B">
      <w:pPr>
        <w:pStyle w:val="Normalnumber"/>
        <w:numPr>
          <w:ilvl w:val="0"/>
          <w:numId w:val="0"/>
        </w:numPr>
        <w:tabs>
          <w:tab w:val="clear" w:pos="1247"/>
          <w:tab w:val="clear" w:pos="1814"/>
          <w:tab w:val="clear" w:pos="2381"/>
          <w:tab w:val="clear" w:pos="2948"/>
          <w:tab w:val="clear" w:pos="3515"/>
          <w:tab w:val="left" w:pos="3544"/>
        </w:tabs>
        <w:spacing w:after="100"/>
        <w:ind w:left="1871"/>
      </w:pPr>
      <w:r w:rsidRPr="003A0655">
        <w:t>Rapporteuse</w:t>
      </w:r>
      <w:r w:rsidR="00F97C78" w:rsidRPr="003A0655">
        <w:t> </w:t>
      </w:r>
      <w:r w:rsidRPr="003A0655">
        <w:t>:</w:t>
      </w:r>
      <w:r w:rsidRPr="003A0655">
        <w:tab/>
      </w:r>
      <w:r w:rsidR="003E55EE" w:rsidRPr="003A0655">
        <w:tab/>
      </w:r>
      <w:r w:rsidRPr="003A0655">
        <w:t>Cristina Vaca (Panama) (États d</w:t>
      </w:r>
      <w:r w:rsidR="000B3BB8" w:rsidRPr="003A0655">
        <w:t>’</w:t>
      </w:r>
      <w:r w:rsidRPr="003A0655">
        <w:t>Amérique latine et des Caraïbes)</w:t>
      </w:r>
    </w:p>
    <w:p w14:paraId="30290DDC" w14:textId="0C6AAC8D" w:rsidR="00ED6D8B" w:rsidRPr="003A0655" w:rsidRDefault="00ED6D8B" w:rsidP="00ED6D8B">
      <w:pPr>
        <w:pStyle w:val="Normalnumber"/>
        <w:numPr>
          <w:ilvl w:val="0"/>
          <w:numId w:val="1"/>
        </w:numPr>
        <w:tabs>
          <w:tab w:val="clear" w:pos="1871"/>
          <w:tab w:val="clear" w:pos="2495"/>
          <w:tab w:val="clear" w:pos="3119"/>
          <w:tab w:val="clear" w:pos="3742"/>
          <w:tab w:val="clear" w:pos="4366"/>
          <w:tab w:val="num" w:pos="624"/>
        </w:tabs>
        <w:ind w:left="1248"/>
      </w:pPr>
      <w:r w:rsidRPr="003A0655">
        <w:t>Aucune candidature au poste de vice-président(e) n</w:t>
      </w:r>
      <w:r w:rsidR="000B3BB8" w:rsidRPr="003A0655">
        <w:t>’</w:t>
      </w:r>
      <w:r w:rsidRPr="003A0655">
        <w:t>avait été reçue au nom des États d</w:t>
      </w:r>
      <w:r w:rsidR="000B3BB8" w:rsidRPr="003A0655">
        <w:t>’</w:t>
      </w:r>
      <w:r w:rsidRPr="003A0655">
        <w:t>Europe orientale.</w:t>
      </w:r>
    </w:p>
    <w:p w14:paraId="32057AF4" w14:textId="5E6E942E" w:rsidR="00ED6D8B" w:rsidRPr="003A0655" w:rsidRDefault="00ED6D8B" w:rsidP="00ED6D8B">
      <w:pPr>
        <w:pStyle w:val="Normalnumber"/>
        <w:numPr>
          <w:ilvl w:val="0"/>
          <w:numId w:val="1"/>
        </w:numPr>
        <w:tabs>
          <w:tab w:val="clear" w:pos="1871"/>
          <w:tab w:val="clear" w:pos="2495"/>
          <w:tab w:val="clear" w:pos="3119"/>
          <w:tab w:val="clear" w:pos="3742"/>
          <w:tab w:val="clear" w:pos="4366"/>
          <w:tab w:val="num" w:pos="624"/>
        </w:tabs>
        <w:ind w:left="1248"/>
      </w:pPr>
      <w:r w:rsidRPr="003A0655">
        <w:t>Prenant la présidence, M. Krajnik a remercié son prédécesseur, Kerryne James, ainsi que M. Sylla, déclarant que c</w:t>
      </w:r>
      <w:r w:rsidR="000B3BB8" w:rsidRPr="003A0655">
        <w:t>’</w:t>
      </w:r>
      <w:r w:rsidRPr="003A0655">
        <w:t>était un honneur inattendu que d</w:t>
      </w:r>
      <w:r w:rsidR="000B3BB8" w:rsidRPr="003A0655">
        <w:t>’</w:t>
      </w:r>
      <w:r w:rsidRPr="003A0655">
        <w:t xml:space="preserve">avoir été élu président du Bureau pour la deuxième fois. </w:t>
      </w:r>
    </w:p>
    <w:p w14:paraId="261F0E27" w14:textId="188EB3BC" w:rsidR="00CF4056" w:rsidRPr="003A0655" w:rsidRDefault="00CF4056" w:rsidP="00CF4056">
      <w:pPr>
        <w:pStyle w:val="CH2"/>
        <w:keepNext w:val="0"/>
        <w:keepLines w:val="0"/>
      </w:pPr>
      <w:r w:rsidRPr="003A0655">
        <w:tab/>
        <w:t>B.</w:t>
      </w:r>
      <w:r w:rsidRPr="003A0655">
        <w:tab/>
      </w:r>
      <w:r w:rsidR="004B1372" w:rsidRPr="003A0655">
        <w:t>Adoption de l</w:t>
      </w:r>
      <w:r w:rsidR="000B3BB8" w:rsidRPr="003A0655">
        <w:t>’</w:t>
      </w:r>
      <w:r w:rsidR="004B1372" w:rsidRPr="003A0655">
        <w:t>ordre du jour du débat de haut niveau</w:t>
      </w:r>
      <w:r w:rsidR="00C53371" w:rsidRPr="003A0655">
        <w:t xml:space="preserve"> </w:t>
      </w:r>
    </w:p>
    <w:p w14:paraId="292FAF17" w14:textId="3504E230" w:rsidR="00305695" w:rsidRPr="003A0655" w:rsidRDefault="00305695" w:rsidP="00305695">
      <w:pPr>
        <w:pStyle w:val="Normalnumber"/>
        <w:numPr>
          <w:ilvl w:val="0"/>
          <w:numId w:val="1"/>
        </w:numPr>
        <w:tabs>
          <w:tab w:val="clear" w:pos="1871"/>
          <w:tab w:val="clear" w:pos="2495"/>
          <w:tab w:val="clear" w:pos="3119"/>
          <w:tab w:val="clear" w:pos="3742"/>
          <w:tab w:val="clear" w:pos="4366"/>
          <w:tab w:val="num" w:pos="624"/>
        </w:tabs>
        <w:ind w:left="1248"/>
      </w:pPr>
      <w:r w:rsidRPr="003A0655">
        <w:t>L</w:t>
      </w:r>
      <w:r w:rsidR="000B3BB8" w:rsidRPr="003A0655">
        <w:t>’</w:t>
      </w:r>
      <w:r w:rsidRPr="003A0655">
        <w:t>ordre du jour ci-après du débat de haut niveau a été adopté sur la base de l</w:t>
      </w:r>
      <w:r w:rsidR="000B3BB8" w:rsidRPr="003A0655">
        <w:t>’</w:t>
      </w:r>
      <w:r w:rsidRPr="003A0655">
        <w:t>ordre du jour provisoire figurant dans la section II du document UNEP/OzL.Pro.37/1 :</w:t>
      </w:r>
    </w:p>
    <w:p w14:paraId="255CC261" w14:textId="2C8CB728" w:rsidR="00305695" w:rsidRPr="003A0655" w:rsidRDefault="00305695" w:rsidP="00305695">
      <w:pPr>
        <w:pStyle w:val="NormalNonumber"/>
        <w:numPr>
          <w:ilvl w:val="0"/>
          <w:numId w:val="35"/>
        </w:numPr>
        <w:tabs>
          <w:tab w:val="clear" w:pos="1247"/>
          <w:tab w:val="clear" w:pos="1871"/>
          <w:tab w:val="clear" w:pos="2495"/>
          <w:tab w:val="clear" w:pos="3119"/>
          <w:tab w:val="clear" w:pos="3742"/>
          <w:tab w:val="clear" w:pos="4366"/>
        </w:tabs>
        <w:ind w:left="2495" w:hanging="624"/>
      </w:pPr>
      <w:r w:rsidRPr="003A0655">
        <w:t>Ouverture du débat de haut niveau</w:t>
      </w:r>
      <w:r w:rsidR="009E730D" w:rsidRPr="003A0655">
        <w:t> :</w:t>
      </w:r>
    </w:p>
    <w:p w14:paraId="7299B896" w14:textId="240E6BED" w:rsidR="00305695" w:rsidRPr="003A0655" w:rsidRDefault="00305695" w:rsidP="00305695">
      <w:pPr>
        <w:pStyle w:val="NormalNonumber"/>
        <w:numPr>
          <w:ilvl w:val="0"/>
          <w:numId w:val="36"/>
        </w:numPr>
        <w:tabs>
          <w:tab w:val="clear" w:pos="624"/>
          <w:tab w:val="clear" w:pos="1247"/>
          <w:tab w:val="clear" w:pos="1871"/>
          <w:tab w:val="clear" w:pos="2495"/>
          <w:tab w:val="clear" w:pos="3119"/>
          <w:tab w:val="clear" w:pos="3742"/>
          <w:tab w:val="clear" w:pos="4366"/>
        </w:tabs>
        <w:ind w:left="3119" w:hanging="624"/>
      </w:pPr>
      <w:r w:rsidRPr="003A0655">
        <w:t>Déclaration de la Présidente de la trente-sixième Réunion des Parties au Protocole de Montréal ;</w:t>
      </w:r>
    </w:p>
    <w:p w14:paraId="0E4B38EC" w14:textId="1A0AD5A8" w:rsidR="00305695" w:rsidRPr="003A0655" w:rsidRDefault="00305695" w:rsidP="00305695">
      <w:pPr>
        <w:pStyle w:val="NormalNonumber"/>
        <w:numPr>
          <w:ilvl w:val="0"/>
          <w:numId w:val="36"/>
        </w:numPr>
        <w:tabs>
          <w:tab w:val="clear" w:pos="624"/>
          <w:tab w:val="clear" w:pos="1247"/>
          <w:tab w:val="clear" w:pos="1871"/>
          <w:tab w:val="clear" w:pos="2495"/>
          <w:tab w:val="clear" w:pos="3119"/>
          <w:tab w:val="clear" w:pos="3742"/>
          <w:tab w:val="clear" w:pos="4366"/>
        </w:tabs>
        <w:ind w:left="3119" w:hanging="624"/>
      </w:pPr>
      <w:r w:rsidRPr="003A0655">
        <w:t>Déclaration d</w:t>
      </w:r>
      <w:r w:rsidR="000B3BB8" w:rsidRPr="003A0655">
        <w:t>’</w:t>
      </w:r>
      <w:r w:rsidRPr="003A0655">
        <w:t>un(e) représentant(e) du Programme des Nations Unies pour l</w:t>
      </w:r>
      <w:r w:rsidR="000B3BB8" w:rsidRPr="003A0655">
        <w:t>’</w:t>
      </w:r>
      <w:r w:rsidRPr="003A0655">
        <w:t>environnement ;</w:t>
      </w:r>
    </w:p>
    <w:p w14:paraId="76D374E5" w14:textId="779F3EF6" w:rsidR="00305695" w:rsidRPr="003A0655" w:rsidRDefault="00305695" w:rsidP="00305695">
      <w:pPr>
        <w:pStyle w:val="NormalNonumber"/>
        <w:numPr>
          <w:ilvl w:val="0"/>
          <w:numId w:val="36"/>
        </w:numPr>
        <w:tabs>
          <w:tab w:val="clear" w:pos="624"/>
          <w:tab w:val="clear" w:pos="1247"/>
          <w:tab w:val="clear" w:pos="1871"/>
          <w:tab w:val="clear" w:pos="2495"/>
          <w:tab w:val="clear" w:pos="3119"/>
          <w:tab w:val="clear" w:pos="3742"/>
          <w:tab w:val="clear" w:pos="4366"/>
        </w:tabs>
        <w:ind w:left="3119" w:hanging="624"/>
      </w:pPr>
      <w:r w:rsidRPr="003A0655">
        <w:t>Déclaration d</w:t>
      </w:r>
      <w:r w:rsidR="000B3BB8" w:rsidRPr="003A0655">
        <w:t>’</w:t>
      </w:r>
      <w:r w:rsidRPr="003A0655">
        <w:t>un(e) représentant(e) du Gouvernement kényan.</w:t>
      </w:r>
    </w:p>
    <w:p w14:paraId="29387A1E" w14:textId="1FA4E428" w:rsidR="00305695" w:rsidRPr="003A0655" w:rsidRDefault="00305695" w:rsidP="00305695">
      <w:pPr>
        <w:pStyle w:val="NormalNonumber"/>
        <w:numPr>
          <w:ilvl w:val="0"/>
          <w:numId w:val="35"/>
        </w:numPr>
        <w:tabs>
          <w:tab w:val="clear" w:pos="1247"/>
          <w:tab w:val="clear" w:pos="1871"/>
          <w:tab w:val="clear" w:pos="2495"/>
          <w:tab w:val="clear" w:pos="3119"/>
          <w:tab w:val="clear" w:pos="3742"/>
          <w:tab w:val="clear" w:pos="4366"/>
        </w:tabs>
        <w:ind w:left="2495" w:hanging="624"/>
      </w:pPr>
      <w:r w:rsidRPr="003A0655">
        <w:t>Questions d</w:t>
      </w:r>
      <w:r w:rsidR="000B3BB8" w:rsidRPr="003A0655">
        <w:t>’</w:t>
      </w:r>
      <w:r w:rsidRPr="003A0655">
        <w:t>organisation</w:t>
      </w:r>
      <w:r w:rsidR="00F97C78" w:rsidRPr="003A0655">
        <w:t> </w:t>
      </w:r>
      <w:r w:rsidRPr="003A0655">
        <w:t>:</w:t>
      </w:r>
    </w:p>
    <w:p w14:paraId="76B18D5D" w14:textId="584F2FAC" w:rsidR="00305695" w:rsidRPr="003A0655" w:rsidRDefault="00305695" w:rsidP="00305695">
      <w:pPr>
        <w:pStyle w:val="NormalNonumber"/>
        <w:numPr>
          <w:ilvl w:val="0"/>
          <w:numId w:val="37"/>
        </w:numPr>
        <w:tabs>
          <w:tab w:val="clear" w:pos="624"/>
          <w:tab w:val="clear" w:pos="1247"/>
          <w:tab w:val="clear" w:pos="1871"/>
          <w:tab w:val="clear" w:pos="2495"/>
          <w:tab w:val="clear" w:pos="3119"/>
          <w:tab w:val="clear" w:pos="3742"/>
          <w:tab w:val="clear" w:pos="4366"/>
        </w:tabs>
        <w:ind w:left="3119" w:hanging="624"/>
      </w:pPr>
      <w:r w:rsidRPr="003A0655">
        <w:t xml:space="preserve">Élection des membres du Bureau de la trente-septième Réunion des Parties au Protocole de Montréal ; </w:t>
      </w:r>
    </w:p>
    <w:p w14:paraId="14891908" w14:textId="3EAC4130" w:rsidR="00305695" w:rsidRPr="003A0655" w:rsidRDefault="00305695" w:rsidP="00305695">
      <w:pPr>
        <w:pStyle w:val="NormalNonumber"/>
        <w:numPr>
          <w:ilvl w:val="0"/>
          <w:numId w:val="37"/>
        </w:numPr>
        <w:tabs>
          <w:tab w:val="clear" w:pos="624"/>
          <w:tab w:val="clear" w:pos="1247"/>
          <w:tab w:val="clear" w:pos="1871"/>
          <w:tab w:val="clear" w:pos="2495"/>
          <w:tab w:val="clear" w:pos="3119"/>
          <w:tab w:val="clear" w:pos="3742"/>
          <w:tab w:val="clear" w:pos="4366"/>
        </w:tabs>
        <w:ind w:left="3119" w:hanging="624"/>
      </w:pPr>
      <w:r w:rsidRPr="003A0655">
        <w:t>Adoption de l</w:t>
      </w:r>
      <w:r w:rsidR="000B3BB8" w:rsidRPr="003A0655">
        <w:t>’</w:t>
      </w:r>
      <w:r w:rsidRPr="003A0655">
        <w:t>ordre du jour du débat de haut niveau ;</w:t>
      </w:r>
    </w:p>
    <w:p w14:paraId="6A91FF47" w14:textId="1777B9EC" w:rsidR="00305695" w:rsidRPr="003A0655" w:rsidRDefault="00305695" w:rsidP="00305695">
      <w:pPr>
        <w:pStyle w:val="NormalNonumber"/>
        <w:numPr>
          <w:ilvl w:val="0"/>
          <w:numId w:val="37"/>
        </w:numPr>
        <w:tabs>
          <w:tab w:val="clear" w:pos="624"/>
          <w:tab w:val="clear" w:pos="1247"/>
          <w:tab w:val="clear" w:pos="1871"/>
          <w:tab w:val="clear" w:pos="2495"/>
          <w:tab w:val="clear" w:pos="3119"/>
          <w:tab w:val="clear" w:pos="3742"/>
          <w:tab w:val="clear" w:pos="4366"/>
        </w:tabs>
        <w:ind w:left="3119" w:hanging="624"/>
      </w:pPr>
      <w:r w:rsidRPr="003A0655">
        <w:t>Organisation des travaux</w:t>
      </w:r>
      <w:r w:rsidR="002A39D3" w:rsidRPr="003A0655">
        <w:t> </w:t>
      </w:r>
      <w:r w:rsidRPr="003A0655">
        <w:t>;</w:t>
      </w:r>
    </w:p>
    <w:p w14:paraId="7DFB298C" w14:textId="70E4CBBF" w:rsidR="00305695" w:rsidRPr="003A0655" w:rsidRDefault="00305695" w:rsidP="00305695">
      <w:pPr>
        <w:pStyle w:val="NormalNonumber"/>
        <w:numPr>
          <w:ilvl w:val="0"/>
          <w:numId w:val="37"/>
        </w:numPr>
        <w:tabs>
          <w:tab w:val="clear" w:pos="624"/>
          <w:tab w:val="clear" w:pos="1247"/>
          <w:tab w:val="clear" w:pos="1871"/>
          <w:tab w:val="clear" w:pos="2495"/>
          <w:tab w:val="clear" w:pos="3119"/>
          <w:tab w:val="clear" w:pos="3742"/>
          <w:tab w:val="clear" w:pos="4366"/>
        </w:tabs>
        <w:ind w:left="3119" w:hanging="624"/>
      </w:pPr>
      <w:r w:rsidRPr="003A0655">
        <w:t>Vérification des pouvoirs des représentant(e)s.</w:t>
      </w:r>
    </w:p>
    <w:p w14:paraId="2775C923" w14:textId="54147F16" w:rsidR="00305695" w:rsidRPr="003A0655" w:rsidRDefault="00305695" w:rsidP="00305695">
      <w:pPr>
        <w:pStyle w:val="NormalNonumber"/>
        <w:numPr>
          <w:ilvl w:val="0"/>
          <w:numId w:val="35"/>
        </w:numPr>
        <w:tabs>
          <w:tab w:val="clear" w:pos="1247"/>
          <w:tab w:val="clear" w:pos="1871"/>
          <w:tab w:val="clear" w:pos="2495"/>
          <w:tab w:val="clear" w:pos="3119"/>
          <w:tab w:val="clear" w:pos="3742"/>
          <w:tab w:val="clear" w:pos="4366"/>
        </w:tabs>
        <w:ind w:left="2495" w:hanging="624"/>
      </w:pPr>
      <w:r w:rsidRPr="003A0655">
        <w:t>Exposés des groupes d</w:t>
      </w:r>
      <w:r w:rsidR="000B3BB8" w:rsidRPr="003A0655">
        <w:t>’</w:t>
      </w:r>
      <w:r w:rsidRPr="003A0655">
        <w:t>évaluation sur leurs rapports d</w:t>
      </w:r>
      <w:r w:rsidR="000B3BB8" w:rsidRPr="003A0655">
        <w:t>’</w:t>
      </w:r>
      <w:r w:rsidRPr="003A0655">
        <w:t xml:space="preserve">activité, y compris sur toute nouvelle question. </w:t>
      </w:r>
    </w:p>
    <w:p w14:paraId="6CB1FF21" w14:textId="0CEC116C" w:rsidR="00305695" w:rsidRPr="003A0655" w:rsidRDefault="00305695" w:rsidP="00305695">
      <w:pPr>
        <w:pStyle w:val="NormalNonumber"/>
        <w:numPr>
          <w:ilvl w:val="0"/>
          <w:numId w:val="35"/>
        </w:numPr>
        <w:tabs>
          <w:tab w:val="clear" w:pos="1247"/>
          <w:tab w:val="clear" w:pos="1871"/>
          <w:tab w:val="clear" w:pos="2495"/>
          <w:tab w:val="clear" w:pos="3119"/>
          <w:tab w:val="clear" w:pos="3742"/>
          <w:tab w:val="clear" w:pos="4366"/>
        </w:tabs>
        <w:ind w:left="2495" w:hanging="624"/>
      </w:pPr>
      <w:r w:rsidRPr="003A0655">
        <w:t>Exposé du Président du Comité exécutif du Fonds multilatéral aux fins d</w:t>
      </w:r>
      <w:r w:rsidR="000B3BB8" w:rsidRPr="003A0655">
        <w:t>’</w:t>
      </w:r>
      <w:r w:rsidRPr="003A0655">
        <w:t>application du Protocole de Montréal sur les travaux du Comité exécutif, du secrétariat du Fonds multilatéral et des organismes d</w:t>
      </w:r>
      <w:r w:rsidR="000B3BB8" w:rsidRPr="003A0655">
        <w:t>’</w:t>
      </w:r>
      <w:r w:rsidRPr="003A0655">
        <w:t>exécution du Fonds.</w:t>
      </w:r>
    </w:p>
    <w:p w14:paraId="039596C5" w14:textId="14695EAB" w:rsidR="00305695" w:rsidRPr="003A0655" w:rsidRDefault="00305695" w:rsidP="00305695">
      <w:pPr>
        <w:pStyle w:val="NormalNonumber"/>
        <w:numPr>
          <w:ilvl w:val="0"/>
          <w:numId w:val="35"/>
        </w:numPr>
        <w:tabs>
          <w:tab w:val="clear" w:pos="1247"/>
          <w:tab w:val="clear" w:pos="1871"/>
          <w:tab w:val="clear" w:pos="2495"/>
          <w:tab w:val="clear" w:pos="3119"/>
          <w:tab w:val="clear" w:pos="3742"/>
          <w:tab w:val="clear" w:pos="4366"/>
        </w:tabs>
        <w:ind w:left="2495" w:hanging="624"/>
      </w:pPr>
      <w:r w:rsidRPr="003A0655">
        <w:t>Déclarations des chef(</w:t>
      </w:r>
      <w:proofErr w:type="spellStart"/>
      <w:r w:rsidRPr="003A0655">
        <w:t>fe</w:t>
      </w:r>
      <w:proofErr w:type="spellEnd"/>
      <w:r w:rsidRPr="003A0655">
        <w:t>)s de délégation et débat sur des sujets clefs.</w:t>
      </w:r>
    </w:p>
    <w:p w14:paraId="1CC5A7C2" w14:textId="29617866" w:rsidR="00305695" w:rsidRPr="003A0655" w:rsidRDefault="00305695" w:rsidP="00305695">
      <w:pPr>
        <w:pStyle w:val="NormalNonumber"/>
        <w:numPr>
          <w:ilvl w:val="0"/>
          <w:numId w:val="35"/>
        </w:numPr>
        <w:tabs>
          <w:tab w:val="clear" w:pos="1247"/>
          <w:tab w:val="clear" w:pos="1871"/>
          <w:tab w:val="clear" w:pos="2495"/>
          <w:tab w:val="clear" w:pos="3119"/>
          <w:tab w:val="clear" w:pos="3742"/>
          <w:tab w:val="clear" w:pos="4366"/>
        </w:tabs>
        <w:ind w:left="2495" w:hanging="624"/>
      </w:pPr>
      <w:r w:rsidRPr="003A0655">
        <w:t>Rapport des coprésident(e)s du débat préparatoire et examen des décisions recommandées pour adoption par la trente-septième Réunion des Parties.</w:t>
      </w:r>
    </w:p>
    <w:p w14:paraId="65C18D0C" w14:textId="1B54B653" w:rsidR="00305695" w:rsidRPr="003A0655" w:rsidRDefault="00305695" w:rsidP="00305695">
      <w:pPr>
        <w:pStyle w:val="NormalNonumber"/>
        <w:numPr>
          <w:ilvl w:val="0"/>
          <w:numId w:val="35"/>
        </w:numPr>
        <w:tabs>
          <w:tab w:val="clear" w:pos="1247"/>
          <w:tab w:val="clear" w:pos="1871"/>
          <w:tab w:val="clear" w:pos="2495"/>
          <w:tab w:val="clear" w:pos="3119"/>
          <w:tab w:val="clear" w:pos="3742"/>
          <w:tab w:val="clear" w:pos="4366"/>
        </w:tabs>
        <w:ind w:left="2495" w:hanging="624"/>
      </w:pPr>
      <w:r w:rsidRPr="003A0655">
        <w:t>Date et lieu de la trente-huitième Réunion des Parties au Protocole de Montréal.</w:t>
      </w:r>
    </w:p>
    <w:p w14:paraId="4D4D01D1" w14:textId="1BE35CC1" w:rsidR="00305695" w:rsidRPr="003A0655" w:rsidRDefault="00305695" w:rsidP="00305695">
      <w:pPr>
        <w:pStyle w:val="NormalNonumber"/>
        <w:numPr>
          <w:ilvl w:val="0"/>
          <w:numId w:val="35"/>
        </w:numPr>
        <w:tabs>
          <w:tab w:val="clear" w:pos="1247"/>
          <w:tab w:val="clear" w:pos="1871"/>
          <w:tab w:val="clear" w:pos="2495"/>
          <w:tab w:val="clear" w:pos="3119"/>
          <w:tab w:val="clear" w:pos="3742"/>
          <w:tab w:val="clear" w:pos="4366"/>
        </w:tabs>
        <w:ind w:left="2495" w:hanging="624"/>
      </w:pPr>
      <w:r w:rsidRPr="003A0655">
        <w:t>Questions diverses.</w:t>
      </w:r>
    </w:p>
    <w:p w14:paraId="1E4B7D74" w14:textId="7C6A2057" w:rsidR="00305695" w:rsidRPr="003A0655" w:rsidRDefault="00305695" w:rsidP="00305695">
      <w:pPr>
        <w:pStyle w:val="NormalNonumber"/>
        <w:numPr>
          <w:ilvl w:val="0"/>
          <w:numId w:val="35"/>
        </w:numPr>
        <w:tabs>
          <w:tab w:val="clear" w:pos="1247"/>
          <w:tab w:val="clear" w:pos="1871"/>
          <w:tab w:val="clear" w:pos="2495"/>
          <w:tab w:val="clear" w:pos="3119"/>
          <w:tab w:val="clear" w:pos="3742"/>
          <w:tab w:val="clear" w:pos="4366"/>
        </w:tabs>
        <w:ind w:left="2495" w:hanging="624"/>
      </w:pPr>
      <w:r w:rsidRPr="003A0655">
        <w:t>Adoption des décisions de la trente-septième Réunion des Parties.</w:t>
      </w:r>
    </w:p>
    <w:p w14:paraId="51188C67" w14:textId="0E67ADB5" w:rsidR="00305695" w:rsidRPr="003A0655" w:rsidRDefault="00305695" w:rsidP="00305695">
      <w:pPr>
        <w:pStyle w:val="NormalNonumber"/>
        <w:numPr>
          <w:ilvl w:val="0"/>
          <w:numId w:val="35"/>
        </w:numPr>
        <w:tabs>
          <w:tab w:val="clear" w:pos="1247"/>
          <w:tab w:val="clear" w:pos="1871"/>
          <w:tab w:val="clear" w:pos="2495"/>
          <w:tab w:val="clear" w:pos="3119"/>
          <w:tab w:val="clear" w:pos="3742"/>
          <w:tab w:val="clear" w:pos="4366"/>
        </w:tabs>
        <w:ind w:left="2495" w:hanging="624"/>
      </w:pPr>
      <w:r w:rsidRPr="003A0655">
        <w:t>Adoption du rapport de la réunion.</w:t>
      </w:r>
    </w:p>
    <w:p w14:paraId="35CF2D46" w14:textId="3A7FB539" w:rsidR="00305695" w:rsidRPr="003A0655" w:rsidRDefault="00305695" w:rsidP="00305695">
      <w:pPr>
        <w:pStyle w:val="NormalNonumber"/>
        <w:numPr>
          <w:ilvl w:val="0"/>
          <w:numId w:val="35"/>
        </w:numPr>
        <w:tabs>
          <w:tab w:val="clear" w:pos="1247"/>
          <w:tab w:val="clear" w:pos="1871"/>
          <w:tab w:val="clear" w:pos="2495"/>
          <w:tab w:val="clear" w:pos="3119"/>
          <w:tab w:val="clear" w:pos="3742"/>
          <w:tab w:val="clear" w:pos="4366"/>
        </w:tabs>
        <w:ind w:left="2495" w:hanging="624"/>
      </w:pPr>
      <w:r w:rsidRPr="003A0655">
        <w:t>Clôture de la réunion.</w:t>
      </w:r>
    </w:p>
    <w:p w14:paraId="11E80908" w14:textId="4B58B94E" w:rsidR="00E05E1F" w:rsidRPr="003A0655" w:rsidRDefault="00E05E1F" w:rsidP="00E05E1F">
      <w:pPr>
        <w:pStyle w:val="Normalnumber"/>
        <w:numPr>
          <w:ilvl w:val="0"/>
          <w:numId w:val="1"/>
        </w:numPr>
        <w:tabs>
          <w:tab w:val="clear" w:pos="1871"/>
          <w:tab w:val="clear" w:pos="2495"/>
          <w:tab w:val="clear" w:pos="3119"/>
          <w:tab w:val="clear" w:pos="3742"/>
          <w:tab w:val="clear" w:pos="4366"/>
          <w:tab w:val="num" w:pos="624"/>
        </w:tabs>
        <w:ind w:left="1248"/>
      </w:pPr>
      <w:r w:rsidRPr="003A0655">
        <w:t>Les représentants du Kazakhstan, du Kirghizistan et du Tadjikistan ont demandé l</w:t>
      </w:r>
      <w:r w:rsidR="000B3BB8" w:rsidRPr="003A0655">
        <w:t>’</w:t>
      </w:r>
      <w:r w:rsidRPr="003A0655">
        <w:t>inscription d</w:t>
      </w:r>
      <w:r w:rsidR="000B3BB8" w:rsidRPr="003A0655">
        <w:t>’</w:t>
      </w:r>
      <w:r w:rsidRPr="003A0655">
        <w:t>un sous-point au point</w:t>
      </w:r>
      <w:r w:rsidR="002D7998" w:rsidRPr="003A0655">
        <w:t> </w:t>
      </w:r>
      <w:r w:rsidRPr="003A0655">
        <w:t>8 de l</w:t>
      </w:r>
      <w:r w:rsidR="000B3BB8" w:rsidRPr="003A0655">
        <w:t>’</w:t>
      </w:r>
      <w:r w:rsidRPr="003A0655">
        <w:t>ordre du jour, «</w:t>
      </w:r>
      <w:r w:rsidR="00EF4538" w:rsidRPr="003A0655">
        <w:t> </w:t>
      </w:r>
      <w:r w:rsidRPr="003A0655">
        <w:t>Questions diverses</w:t>
      </w:r>
      <w:r w:rsidR="00EF4538" w:rsidRPr="003A0655">
        <w:t> </w:t>
      </w:r>
      <w:r w:rsidRPr="003A0655">
        <w:t>», afin de souligner leur profonde préoccupation face aux tentatives visant à exclure leurs trois Parties, ainsi que le Turkménistan et l</w:t>
      </w:r>
      <w:r w:rsidR="000B3BB8" w:rsidRPr="003A0655">
        <w:t>’</w:t>
      </w:r>
      <w:r w:rsidRPr="003A0655">
        <w:t>Ouzbékistan, du Groupe des États d</w:t>
      </w:r>
      <w:r w:rsidR="000B3BB8" w:rsidRPr="003A0655">
        <w:t>’</w:t>
      </w:r>
      <w:r w:rsidRPr="003A0655">
        <w:t>Europe orientale, ce qui, selon eux, expliquait pourquoi ces États n</w:t>
      </w:r>
      <w:r w:rsidR="000B3BB8" w:rsidRPr="003A0655">
        <w:t>’</w:t>
      </w:r>
      <w:r w:rsidRPr="003A0655">
        <w:t>avaient pas pu parvenir à un consensus sur leurs candidatures aux postes de vice-président(e) du Bureau, et de membre du Comité d</w:t>
      </w:r>
      <w:r w:rsidR="000B3BB8" w:rsidRPr="003A0655">
        <w:t>’</w:t>
      </w:r>
      <w:r w:rsidRPr="003A0655">
        <w:t>application et d</w:t>
      </w:r>
      <w:r w:rsidR="000B3BB8" w:rsidRPr="003A0655">
        <w:t>’</w:t>
      </w:r>
      <w:r w:rsidRPr="003A0655">
        <w:t>autres organes. Les auteurs de cette proposition ont rappelé que les Parties d</w:t>
      </w:r>
      <w:r w:rsidR="000B3BB8" w:rsidRPr="003A0655">
        <w:t>’</w:t>
      </w:r>
      <w:r w:rsidRPr="003A0655">
        <w:t>Asie centrale étaient membres du Groupe des États d</w:t>
      </w:r>
      <w:r w:rsidR="000B3BB8" w:rsidRPr="003A0655">
        <w:t>’</w:t>
      </w:r>
      <w:r w:rsidRPr="003A0655">
        <w:t>Europe orientale depuis une trentaine d</w:t>
      </w:r>
      <w:r w:rsidR="000B3BB8" w:rsidRPr="003A0655">
        <w:t>’</w:t>
      </w:r>
      <w:r w:rsidRPr="003A0655">
        <w:t>années et avaient par le passé occupé des postes au sein des institutions du Protocole de Montréal. Le Kirghizistan était actuellement membre du Comité exécutif du Fonds multilatéral. Ils étaient également membres du Groupe des États d</w:t>
      </w:r>
      <w:r w:rsidR="000B3BB8" w:rsidRPr="003A0655">
        <w:t>’</w:t>
      </w:r>
      <w:r w:rsidRPr="003A0655">
        <w:t>Europe orientale dans de nombreuses autres institutions internationales, telles que l</w:t>
      </w:r>
      <w:r w:rsidR="000B3BB8" w:rsidRPr="003A0655">
        <w:t>’</w:t>
      </w:r>
      <w:r w:rsidRPr="003A0655">
        <w:t>Organisation mondiale de la Santé, l</w:t>
      </w:r>
      <w:r w:rsidR="000B3BB8" w:rsidRPr="003A0655">
        <w:t>’</w:t>
      </w:r>
      <w:r w:rsidRPr="003A0655">
        <w:t>Union</w:t>
      </w:r>
      <w:r w:rsidR="00985B8A" w:rsidRPr="003A0655">
        <w:t> </w:t>
      </w:r>
      <w:r w:rsidRPr="003A0655">
        <w:t>postale universelle et l</w:t>
      </w:r>
      <w:r w:rsidR="000B3BB8" w:rsidRPr="003A0655">
        <w:t>’</w:t>
      </w:r>
      <w:r w:rsidRPr="003A0655">
        <w:t>Organisation mondiale du tourisme. En vertu du droit international et des procédures habituelles du Protocole de Montréal, chaque Partie était libre de choisir le groupe régional auquel elle souhaitait appartenir, et toute modification du statut des pays au sein des groupes régionaux ne pouvait être décidée que par consensus. Ils ont appelé les Parties à mettre fin à la politisation de ce qui n</w:t>
      </w:r>
      <w:r w:rsidR="000B3BB8" w:rsidRPr="003A0655">
        <w:t>’</w:t>
      </w:r>
      <w:r w:rsidRPr="003A0655">
        <w:t>était qu</w:t>
      </w:r>
      <w:r w:rsidR="000B3BB8" w:rsidRPr="003A0655">
        <w:t>’</w:t>
      </w:r>
      <w:r w:rsidRPr="003A0655">
        <w:t>une question de procédure et à défendre les valeurs de partenariat, d</w:t>
      </w:r>
      <w:r w:rsidR="000B3BB8" w:rsidRPr="003A0655">
        <w:t>’</w:t>
      </w:r>
      <w:r w:rsidRPr="003A0655">
        <w:t>inclusion et de respect mutuel qui guidaient le Protocole de Montréal depuis près de quarante ans.</w:t>
      </w:r>
    </w:p>
    <w:p w14:paraId="0DAF27A4" w14:textId="7F110AFA" w:rsidR="00E05E1F" w:rsidRPr="003A0655" w:rsidRDefault="00E05E1F" w:rsidP="00E05E1F">
      <w:pPr>
        <w:pStyle w:val="Normalnumber"/>
        <w:numPr>
          <w:ilvl w:val="0"/>
          <w:numId w:val="1"/>
        </w:numPr>
        <w:tabs>
          <w:tab w:val="clear" w:pos="1871"/>
          <w:tab w:val="clear" w:pos="2495"/>
          <w:tab w:val="clear" w:pos="3119"/>
          <w:tab w:val="clear" w:pos="3742"/>
          <w:tab w:val="clear" w:pos="4366"/>
          <w:tab w:val="num" w:pos="624"/>
        </w:tabs>
        <w:ind w:left="1248"/>
      </w:pPr>
      <w:r w:rsidRPr="003A0655">
        <w:t>Les Parties sont convenues d</w:t>
      </w:r>
      <w:r w:rsidR="000B3BB8" w:rsidRPr="003A0655">
        <w:t>’</w:t>
      </w:r>
      <w:r w:rsidRPr="003A0655">
        <w:t>examiner cette question au titre du point</w:t>
      </w:r>
      <w:r w:rsidR="009D2107" w:rsidRPr="003A0655">
        <w:t> </w:t>
      </w:r>
      <w:r w:rsidRPr="003A0655">
        <w:t>8 de l</w:t>
      </w:r>
      <w:r w:rsidR="000B3BB8" w:rsidRPr="003A0655">
        <w:t>’</w:t>
      </w:r>
      <w:r w:rsidRPr="003A0655">
        <w:t>ordre du jour, « Questions diverses</w:t>
      </w:r>
      <w:r w:rsidR="00EF4538" w:rsidRPr="003A0655">
        <w:t> </w:t>
      </w:r>
      <w:r w:rsidRPr="003A0655">
        <w:t xml:space="preserve">». </w:t>
      </w:r>
    </w:p>
    <w:p w14:paraId="0318DC21" w14:textId="5817A2A3" w:rsidR="00CF4056" w:rsidRPr="003A0655" w:rsidRDefault="00CF4056" w:rsidP="00E86016">
      <w:pPr>
        <w:pStyle w:val="CH2"/>
      </w:pPr>
      <w:r w:rsidRPr="003A0655">
        <w:tab/>
        <w:t>C.</w:t>
      </w:r>
      <w:r w:rsidRPr="003A0655">
        <w:tab/>
        <w:t>Organi</w:t>
      </w:r>
      <w:r w:rsidR="004B1372" w:rsidRPr="003A0655">
        <w:t>s</w:t>
      </w:r>
      <w:r w:rsidRPr="003A0655">
        <w:t xml:space="preserve">ation </w:t>
      </w:r>
      <w:r w:rsidR="004B1372" w:rsidRPr="003A0655">
        <w:t>des travaux</w:t>
      </w:r>
    </w:p>
    <w:p w14:paraId="198BDD22" w14:textId="0093FA71" w:rsidR="001C7549" w:rsidRPr="003A0655" w:rsidRDefault="001C7549" w:rsidP="001C7549">
      <w:pPr>
        <w:pStyle w:val="Normalnumber"/>
        <w:keepNext/>
        <w:keepLines/>
        <w:numPr>
          <w:ilvl w:val="0"/>
          <w:numId w:val="34"/>
        </w:numPr>
        <w:tabs>
          <w:tab w:val="clear" w:pos="2495"/>
          <w:tab w:val="clear" w:pos="3119"/>
          <w:tab w:val="clear" w:pos="3742"/>
          <w:tab w:val="clear" w:pos="4366"/>
        </w:tabs>
      </w:pPr>
      <w:r w:rsidRPr="003A0655">
        <w:t>Les Parties sont convenues de s</w:t>
      </w:r>
      <w:r w:rsidR="000B3BB8" w:rsidRPr="003A0655">
        <w:t>’</w:t>
      </w:r>
      <w:r w:rsidRPr="003A0655">
        <w:t>en tenir à la pratique habituelle.</w:t>
      </w:r>
    </w:p>
    <w:p w14:paraId="7C2A1193" w14:textId="71D1483C" w:rsidR="00CF4056" w:rsidRPr="003A0655" w:rsidRDefault="00CF4056" w:rsidP="00CF4056">
      <w:pPr>
        <w:pStyle w:val="CH2"/>
        <w:keepNext w:val="0"/>
        <w:keepLines w:val="0"/>
      </w:pPr>
      <w:r w:rsidRPr="003A0655">
        <w:tab/>
        <w:t>D.</w:t>
      </w:r>
      <w:r w:rsidRPr="003A0655">
        <w:tab/>
      </w:r>
      <w:r w:rsidR="00B3722C" w:rsidRPr="003A0655">
        <w:t>Vérification des pouvoirs des représentant(e)s</w:t>
      </w:r>
    </w:p>
    <w:p w14:paraId="77466AA4" w14:textId="24F42E09" w:rsidR="006B014F" w:rsidRPr="003A0655" w:rsidRDefault="006B014F" w:rsidP="006B014F">
      <w:pPr>
        <w:pStyle w:val="Normalnumber"/>
        <w:numPr>
          <w:ilvl w:val="0"/>
          <w:numId w:val="34"/>
        </w:numPr>
        <w:tabs>
          <w:tab w:val="clear" w:pos="2495"/>
          <w:tab w:val="clear" w:pos="3119"/>
          <w:tab w:val="clear" w:pos="3742"/>
          <w:tab w:val="clear" w:pos="4366"/>
        </w:tabs>
      </w:pPr>
      <w:r w:rsidRPr="003A0655">
        <w:t>Conformément à l</w:t>
      </w:r>
      <w:r w:rsidR="000B3BB8" w:rsidRPr="003A0655">
        <w:t>’</w:t>
      </w:r>
      <w:r w:rsidRPr="003A0655">
        <w:t xml:space="preserve">article 19 du </w:t>
      </w:r>
      <w:r w:rsidR="00A10B53" w:rsidRPr="003A0655">
        <w:t xml:space="preserve">Règlement </w:t>
      </w:r>
      <w:r w:rsidRPr="003A0655">
        <w:t>intérieur des Réunions des Parties au Protocole de Montréal, le Bureau de la trente-septième Réunion des Parties s</w:t>
      </w:r>
      <w:r w:rsidR="000B3BB8" w:rsidRPr="003A0655">
        <w:t>’</w:t>
      </w:r>
      <w:r w:rsidRPr="003A0655">
        <w:t>est réuni pour examiner les pouvoirs des représentant(e)s des Parties et a présenté son rapport à la trente-septième Réunion des Parties. Dans son rapport, le Bureau recommandait l</w:t>
      </w:r>
      <w:r w:rsidR="000B3BB8" w:rsidRPr="003A0655">
        <w:t>’</w:t>
      </w:r>
      <w:r w:rsidRPr="003A0655">
        <w:t>approbation des pouvoirs des représentant(e)s de 97 des 154</w:t>
      </w:r>
      <w:r w:rsidR="00EC3CE1" w:rsidRPr="003A0655">
        <w:t> </w:t>
      </w:r>
      <w:r w:rsidRPr="003A0655">
        <w:t>Parties représentées à la Réunion, qui avaient été jugés en bonne et due forme. Il notait que les pouvoirs de 66 de ces</w:t>
      </w:r>
      <w:r w:rsidR="0053093E" w:rsidRPr="003A0655">
        <w:t xml:space="preserve"> </w:t>
      </w:r>
      <w:r w:rsidRPr="003A0655">
        <w:t>97</w:t>
      </w:r>
      <w:r w:rsidR="0053093E" w:rsidRPr="003A0655">
        <w:t> </w:t>
      </w:r>
      <w:r w:rsidRPr="003A0655">
        <w:t>Parties étaient des originaux, tandis que 31 étaient des copies, qui avaient été acceptées sous réserve que les originaux soient remis dans les meilleurs délais. Le Bureau recommandait également que la trente-septième Réunion des Parties approuve provisoirement la participation de 57</w:t>
      </w:r>
      <w:r w:rsidR="003F133E" w:rsidRPr="003A0655">
        <w:t> </w:t>
      </w:r>
      <w:r w:rsidRPr="003A0655">
        <w:t>Parties, étant entendu qu</w:t>
      </w:r>
      <w:r w:rsidR="000B3BB8" w:rsidRPr="003A0655">
        <w:t>’</w:t>
      </w:r>
      <w:r w:rsidRPr="003A0655">
        <w:t>elles transmettraient leurs pouvoirs au Secrétariat dès que possible. Le Bureau a vivement engagé toutes les Parties participant aux futures Réunions des Parties à faire tous les efforts possibles pour soumettre les pouvoirs de leurs représentant(e)s au Secrétariat conformément à l</w:t>
      </w:r>
      <w:r w:rsidR="000B3BB8" w:rsidRPr="003A0655">
        <w:t>’</w:t>
      </w:r>
      <w:r w:rsidRPr="003A0655">
        <w:t xml:space="preserve">article 18 du </w:t>
      </w:r>
      <w:r w:rsidR="00A10B53" w:rsidRPr="003A0655">
        <w:t>R</w:t>
      </w:r>
      <w:r w:rsidRPr="003A0655">
        <w:t xml:space="preserve">èglement intérieur. Le Bureau a également rappelé que, selon le </w:t>
      </w:r>
      <w:r w:rsidR="00A10B53" w:rsidRPr="003A0655">
        <w:t>R</w:t>
      </w:r>
      <w:r w:rsidRPr="003A0655">
        <w:t>èglement intérieur, les pouvoirs devaient émaner soit du (de la) chef(</w:t>
      </w:r>
      <w:proofErr w:type="spellStart"/>
      <w:r w:rsidRPr="003A0655">
        <w:t>fe</w:t>
      </w:r>
      <w:proofErr w:type="spellEnd"/>
      <w:r w:rsidRPr="003A0655">
        <w:t>) de l</w:t>
      </w:r>
      <w:r w:rsidR="000B3BB8" w:rsidRPr="003A0655">
        <w:t>’</w:t>
      </w:r>
      <w:r w:rsidRPr="003A0655">
        <w:t>État ou du (de la) chef(</w:t>
      </w:r>
      <w:proofErr w:type="spellStart"/>
      <w:r w:rsidRPr="003A0655">
        <w:t>fe</w:t>
      </w:r>
      <w:proofErr w:type="spellEnd"/>
      <w:r w:rsidRPr="003A0655">
        <w:t xml:space="preserve">) du Gouvernement, soit du (de la) </w:t>
      </w:r>
      <w:proofErr w:type="gramStart"/>
      <w:r w:rsidRPr="003A0655">
        <w:t>Ministre des affaires</w:t>
      </w:r>
      <w:proofErr w:type="gramEnd"/>
      <w:r w:rsidRPr="003A0655">
        <w:t xml:space="preserve"> étrangères ou, dans le cas d</w:t>
      </w:r>
      <w:r w:rsidR="000B3BB8" w:rsidRPr="003A0655">
        <w:t>’</w:t>
      </w:r>
      <w:r w:rsidRPr="003A0655">
        <w:t>une organisation régionale d</w:t>
      </w:r>
      <w:r w:rsidR="000B3BB8" w:rsidRPr="003A0655">
        <w:t>’</w:t>
      </w:r>
      <w:r w:rsidRPr="003A0655">
        <w:t>intégration économique, de l</w:t>
      </w:r>
      <w:r w:rsidR="000B3BB8" w:rsidRPr="003A0655">
        <w:t>’</w:t>
      </w:r>
      <w:r w:rsidRPr="003A0655">
        <w:t xml:space="preserve">autorité compétente de cette organisation. </w:t>
      </w:r>
    </w:p>
    <w:p w14:paraId="637613D5" w14:textId="7DE28A9F" w:rsidR="006B014F" w:rsidRPr="003A0655" w:rsidRDefault="006B014F" w:rsidP="006B014F">
      <w:pPr>
        <w:pStyle w:val="Normalnumber"/>
        <w:numPr>
          <w:ilvl w:val="0"/>
          <w:numId w:val="34"/>
        </w:numPr>
        <w:tabs>
          <w:tab w:val="clear" w:pos="2495"/>
          <w:tab w:val="clear" w:pos="3119"/>
          <w:tab w:val="clear" w:pos="3742"/>
          <w:tab w:val="clear" w:pos="4366"/>
        </w:tabs>
      </w:pPr>
      <w:r w:rsidRPr="003A0655">
        <w:t>Les Parties sont convenues d</w:t>
      </w:r>
      <w:r w:rsidR="000B3BB8" w:rsidRPr="003A0655">
        <w:t>’</w:t>
      </w:r>
      <w:r w:rsidRPr="003A0655">
        <w:t>approuver le rapport sur les pouvoirs des représentant(e)s présenté par le Bureau.</w:t>
      </w:r>
    </w:p>
    <w:p w14:paraId="628206D1" w14:textId="6A249B11" w:rsidR="00CF4056" w:rsidRPr="003A0655" w:rsidRDefault="00CF4056" w:rsidP="00CF4056">
      <w:pPr>
        <w:pStyle w:val="CH1"/>
        <w:keepNext w:val="0"/>
        <w:keepLines w:val="0"/>
      </w:pPr>
      <w:r w:rsidRPr="003A0655">
        <w:tab/>
        <w:t>III.</w:t>
      </w:r>
      <w:r w:rsidRPr="003A0655">
        <w:tab/>
      </w:r>
      <w:r w:rsidR="00973C01" w:rsidRPr="003A0655">
        <w:t>Exposés des groupes d</w:t>
      </w:r>
      <w:r w:rsidR="000B3BB8" w:rsidRPr="003A0655">
        <w:t>’</w:t>
      </w:r>
      <w:r w:rsidR="00973C01" w:rsidRPr="003A0655">
        <w:t>évaluation sur leurs rapports d</w:t>
      </w:r>
      <w:r w:rsidR="000B3BB8" w:rsidRPr="003A0655">
        <w:t>’</w:t>
      </w:r>
      <w:r w:rsidR="00973C01" w:rsidRPr="003A0655">
        <w:t>activité, y</w:t>
      </w:r>
      <w:r w:rsidR="004D3761" w:rsidRPr="003A0655">
        <w:t> </w:t>
      </w:r>
      <w:r w:rsidR="00973C01" w:rsidRPr="003A0655">
        <w:t>compris sur toute nouvelle question</w:t>
      </w:r>
    </w:p>
    <w:p w14:paraId="6F8EC5EA" w14:textId="0FBA427B" w:rsidR="0025222A" w:rsidRPr="003A0655" w:rsidRDefault="0025222A" w:rsidP="0025222A">
      <w:pPr>
        <w:pStyle w:val="Normalnumber"/>
        <w:numPr>
          <w:ilvl w:val="0"/>
          <w:numId w:val="34"/>
        </w:numPr>
        <w:tabs>
          <w:tab w:val="clear" w:pos="2495"/>
          <w:tab w:val="clear" w:pos="3119"/>
          <w:tab w:val="clear" w:pos="3742"/>
          <w:tab w:val="clear" w:pos="4366"/>
        </w:tabs>
      </w:pPr>
      <w:r w:rsidRPr="003A0655">
        <w:t>Les Coprésident(e)s du Groupe de l</w:t>
      </w:r>
      <w:r w:rsidR="000B3BB8" w:rsidRPr="003A0655">
        <w:t>’</w:t>
      </w:r>
      <w:r w:rsidRPr="003A0655">
        <w:t xml:space="preserve">évaluation scientifique, Lucy </w:t>
      </w:r>
      <w:r w:rsidR="00604E96" w:rsidRPr="003A0655">
        <w:t>Carpenter</w:t>
      </w:r>
      <w:r w:rsidRPr="003A0655">
        <w:t xml:space="preserve"> et Ken Ju</w:t>
      </w:r>
      <w:r w:rsidR="00604E96" w:rsidRPr="003A0655">
        <w:t>c</w:t>
      </w:r>
      <w:r w:rsidRPr="003A0655">
        <w:t>ks, ont présenté les travaux du Groupe. Un résumé de cet exposé, établi par les présentateur(</w:t>
      </w:r>
      <w:proofErr w:type="spellStart"/>
      <w:r w:rsidRPr="003A0655">
        <w:t>rice</w:t>
      </w:r>
      <w:proofErr w:type="spellEnd"/>
      <w:r w:rsidRPr="003A0655">
        <w:t>)s, figure dans la section C.1 de l</w:t>
      </w:r>
      <w:r w:rsidR="000B3BB8" w:rsidRPr="003A0655">
        <w:t>’</w:t>
      </w:r>
      <w:r w:rsidRPr="003A0655">
        <w:t>annexe I du présent rapport.</w:t>
      </w:r>
      <w:bookmarkStart w:id="44" w:name="_Hlk181266219"/>
    </w:p>
    <w:bookmarkEnd w:id="44"/>
    <w:p w14:paraId="534BA069" w14:textId="47CEFD78" w:rsidR="0025222A" w:rsidRPr="003A0655" w:rsidRDefault="0025222A" w:rsidP="0025222A">
      <w:pPr>
        <w:pStyle w:val="Normalnumber"/>
        <w:numPr>
          <w:ilvl w:val="0"/>
          <w:numId w:val="1"/>
        </w:numPr>
        <w:tabs>
          <w:tab w:val="clear" w:pos="1871"/>
          <w:tab w:val="clear" w:pos="2495"/>
          <w:tab w:val="clear" w:pos="3119"/>
          <w:tab w:val="clear" w:pos="3742"/>
          <w:tab w:val="clear" w:pos="4366"/>
          <w:tab w:val="num" w:pos="624"/>
        </w:tabs>
        <w:ind w:left="1248"/>
      </w:pPr>
      <w:r w:rsidRPr="003A0655">
        <w:t>La Coprésidente du Groupe de l</w:t>
      </w:r>
      <w:r w:rsidR="000B3BB8" w:rsidRPr="003A0655">
        <w:t>’</w:t>
      </w:r>
      <w:r w:rsidRPr="003A0655">
        <w:t>évaluation des effets sur l</w:t>
      </w:r>
      <w:r w:rsidR="000B3BB8" w:rsidRPr="003A0655">
        <w:t>’</w:t>
      </w:r>
      <w:r w:rsidRPr="003A0655">
        <w:t>environnement, Janet F. Bornman, a</w:t>
      </w:r>
      <w:r w:rsidR="009430AF" w:rsidRPr="003A0655">
        <w:t> </w:t>
      </w:r>
      <w:r w:rsidRPr="003A0655">
        <w:t>présenté les travaux du Groupe. Un résumé de cet exposé, établi par la présentatrice, figure dans la section C.2 de l</w:t>
      </w:r>
      <w:r w:rsidR="000B3BB8" w:rsidRPr="003A0655">
        <w:t>’</w:t>
      </w:r>
      <w:r w:rsidRPr="003A0655">
        <w:t>annexe I du présent rapport.</w:t>
      </w:r>
    </w:p>
    <w:p w14:paraId="1755C678" w14:textId="032A88D0" w:rsidR="0025222A" w:rsidRPr="003A0655" w:rsidRDefault="0025222A" w:rsidP="0025222A">
      <w:pPr>
        <w:pStyle w:val="Normalnumber"/>
        <w:numPr>
          <w:ilvl w:val="0"/>
          <w:numId w:val="1"/>
        </w:numPr>
        <w:tabs>
          <w:tab w:val="clear" w:pos="1871"/>
          <w:tab w:val="clear" w:pos="2495"/>
          <w:tab w:val="clear" w:pos="3119"/>
          <w:tab w:val="clear" w:pos="3742"/>
          <w:tab w:val="clear" w:pos="4366"/>
          <w:tab w:val="num" w:pos="624"/>
        </w:tabs>
        <w:ind w:left="1248"/>
      </w:pPr>
      <w:r w:rsidRPr="003A0655">
        <w:t>Les Coprésident(e)s du Groupe de l</w:t>
      </w:r>
      <w:r w:rsidR="000B3BB8" w:rsidRPr="003A0655">
        <w:t>’</w:t>
      </w:r>
      <w:r w:rsidRPr="003A0655">
        <w:t>évaluation technique et économique, Marta Pizano et Ashley Woodcock, ont présenté les travaux du Groupe. Un résumé de cet exposé, établi par les présentateur(</w:t>
      </w:r>
      <w:proofErr w:type="spellStart"/>
      <w:r w:rsidRPr="003A0655">
        <w:t>rice</w:t>
      </w:r>
      <w:proofErr w:type="spellEnd"/>
      <w:r w:rsidRPr="003A0655">
        <w:t>)s, figure dans la section C.3 de l</w:t>
      </w:r>
      <w:r w:rsidR="000B3BB8" w:rsidRPr="003A0655">
        <w:t>’</w:t>
      </w:r>
      <w:r w:rsidRPr="003A0655">
        <w:t>annexe I du présent rapport.</w:t>
      </w:r>
    </w:p>
    <w:p w14:paraId="50ABB9C4" w14:textId="54E2BEF7" w:rsidR="0025222A" w:rsidRPr="003A0655" w:rsidRDefault="0025222A" w:rsidP="0025222A">
      <w:pPr>
        <w:pStyle w:val="Normalnumber"/>
        <w:numPr>
          <w:ilvl w:val="0"/>
          <w:numId w:val="1"/>
        </w:numPr>
        <w:tabs>
          <w:tab w:val="clear" w:pos="1871"/>
          <w:tab w:val="clear" w:pos="2495"/>
          <w:tab w:val="clear" w:pos="3119"/>
          <w:tab w:val="clear" w:pos="3742"/>
          <w:tab w:val="clear" w:pos="4366"/>
          <w:tab w:val="num" w:pos="624"/>
        </w:tabs>
        <w:ind w:left="1248"/>
      </w:pPr>
      <w:r w:rsidRPr="003A0655">
        <w:t>Les trois groupes d</w:t>
      </w:r>
      <w:r w:rsidR="000B3BB8" w:rsidRPr="003A0655">
        <w:t>’</w:t>
      </w:r>
      <w:r w:rsidRPr="003A0655">
        <w:t xml:space="preserve">évaluation ont été félicités pour leurs travaux et leurs exposés. </w:t>
      </w:r>
    </w:p>
    <w:p w14:paraId="67027BAD" w14:textId="0ED8F0E2" w:rsidR="0025222A" w:rsidRPr="003A0655" w:rsidRDefault="0025222A" w:rsidP="0025222A">
      <w:pPr>
        <w:pStyle w:val="Normalnumber"/>
        <w:numPr>
          <w:ilvl w:val="0"/>
          <w:numId w:val="1"/>
        </w:numPr>
        <w:tabs>
          <w:tab w:val="clear" w:pos="1871"/>
          <w:tab w:val="clear" w:pos="2495"/>
          <w:tab w:val="clear" w:pos="3119"/>
          <w:tab w:val="clear" w:pos="3742"/>
          <w:tab w:val="clear" w:pos="4366"/>
          <w:tab w:val="num" w:pos="624"/>
        </w:tabs>
        <w:ind w:left="1248"/>
      </w:pPr>
      <w:r w:rsidRPr="003A0655">
        <w:t>Plusieurs représentant(e)s, dont un s</w:t>
      </w:r>
      <w:r w:rsidR="000B3BB8" w:rsidRPr="003A0655">
        <w:t>’</w:t>
      </w:r>
      <w:r w:rsidRPr="003A0655">
        <w:t>exprimant au nom d</w:t>
      </w:r>
      <w:r w:rsidR="000B3BB8" w:rsidRPr="003A0655">
        <w:t>’</w:t>
      </w:r>
      <w:r w:rsidRPr="003A0655">
        <w:t>un groupe de Parties, ont salué divers aspects des exposés, notamment la grande quantité d</w:t>
      </w:r>
      <w:r w:rsidR="000B3BB8" w:rsidRPr="003A0655">
        <w:t>’</w:t>
      </w:r>
      <w:r w:rsidRPr="003A0655">
        <w:t>informations supplémentaires fournie, en particulier les renseignements spécifiques concernant le tétrachlorure de carbone, les substances à très courte durée de vie et les solutions de remplacement du bromure de méthyle</w:t>
      </w:r>
      <w:r w:rsidR="002A39D3" w:rsidRPr="003A0655">
        <w:t> </w:t>
      </w:r>
      <w:r w:rsidRPr="003A0655">
        <w:t>; l</w:t>
      </w:r>
      <w:r w:rsidR="000B3BB8" w:rsidRPr="003A0655">
        <w:t>’</w:t>
      </w:r>
      <w:r w:rsidRPr="003A0655">
        <w:t>élaboration de scénarios visant à évaluer l</w:t>
      </w:r>
      <w:r w:rsidR="000B3BB8" w:rsidRPr="003A0655">
        <w:t>’</w:t>
      </w:r>
      <w:r w:rsidRPr="003A0655">
        <w:t>impact des émissions provenant des produits intermédiaires sur la couche d</w:t>
      </w:r>
      <w:r w:rsidR="000B3BB8" w:rsidRPr="003A0655">
        <w:t>’</w:t>
      </w:r>
      <w:r w:rsidRPr="003A0655">
        <w:t>ozone</w:t>
      </w:r>
      <w:r w:rsidR="002A39D3" w:rsidRPr="003A0655">
        <w:t> </w:t>
      </w:r>
      <w:r w:rsidRPr="003A0655">
        <w:t>; le constat d</w:t>
      </w:r>
      <w:r w:rsidR="000B3BB8" w:rsidRPr="003A0655">
        <w:t>’</w:t>
      </w:r>
      <w:r w:rsidRPr="003A0655">
        <w:t>une régression de la perte d</w:t>
      </w:r>
      <w:r w:rsidR="000B3BB8" w:rsidRPr="003A0655">
        <w:t>’</w:t>
      </w:r>
      <w:r w:rsidRPr="003A0655">
        <w:t>ozone en 2025</w:t>
      </w:r>
      <w:r w:rsidR="002A39D3" w:rsidRPr="003A0655">
        <w:t> </w:t>
      </w:r>
      <w:r w:rsidRPr="003A0655">
        <w:t>; et l</w:t>
      </w:r>
      <w:r w:rsidR="000B3BB8" w:rsidRPr="003A0655">
        <w:t>’</w:t>
      </w:r>
      <w:r w:rsidRPr="003A0655">
        <w:t xml:space="preserve">accent mis sur les produits de dégradation des substances réglementées, telles que les substances per- et </w:t>
      </w:r>
      <w:proofErr w:type="spellStart"/>
      <w:r w:rsidRPr="003A0655">
        <w:t>polyfluoroalkylées</w:t>
      </w:r>
      <w:proofErr w:type="spellEnd"/>
      <w:r w:rsidRPr="003A0655">
        <w:t xml:space="preserve"> (PFAS), y compris l</w:t>
      </w:r>
      <w:r w:rsidR="000B3BB8" w:rsidRPr="003A0655">
        <w:t>’</w:t>
      </w:r>
      <w:r w:rsidRPr="003A0655">
        <w:t xml:space="preserve">acide </w:t>
      </w:r>
      <w:proofErr w:type="spellStart"/>
      <w:r w:rsidRPr="003A0655">
        <w:t>trifluoroacétique</w:t>
      </w:r>
      <w:proofErr w:type="spellEnd"/>
      <w:r w:rsidRPr="003A0655">
        <w:t xml:space="preserve">, et leurs solutions de remplacement. </w:t>
      </w:r>
    </w:p>
    <w:p w14:paraId="654F9621" w14:textId="18CFCB63" w:rsidR="0025222A" w:rsidRPr="003A0655" w:rsidRDefault="0025222A" w:rsidP="0025222A">
      <w:pPr>
        <w:pStyle w:val="Normalnumber"/>
        <w:numPr>
          <w:ilvl w:val="0"/>
          <w:numId w:val="1"/>
        </w:numPr>
        <w:tabs>
          <w:tab w:val="clear" w:pos="1871"/>
          <w:tab w:val="clear" w:pos="2495"/>
          <w:tab w:val="clear" w:pos="3119"/>
          <w:tab w:val="clear" w:pos="3742"/>
          <w:tab w:val="clear" w:pos="4366"/>
          <w:tab w:val="num" w:pos="624"/>
        </w:tabs>
        <w:ind w:left="1248"/>
      </w:pPr>
      <w:r w:rsidRPr="003A0655">
        <w:t>M. Woodcock a rappelé que l</w:t>
      </w:r>
      <w:r w:rsidR="000B3BB8" w:rsidRPr="003A0655">
        <w:t>’</w:t>
      </w:r>
      <w:r w:rsidRPr="003A0655">
        <w:t>objectif des groupes d</w:t>
      </w:r>
      <w:r w:rsidR="000B3BB8" w:rsidRPr="003A0655">
        <w:t>’</w:t>
      </w:r>
      <w:r w:rsidRPr="003A0655">
        <w:t>évaluation était de fournir aux Parties des informations objectives sur les PFAS, étant donné que la question était controversée et que beaucoup de fausses informations circulaient. Une nouvelle mise à jour, préparée par les trois groupes d</w:t>
      </w:r>
      <w:r w:rsidR="000B3BB8" w:rsidRPr="003A0655">
        <w:t>’</w:t>
      </w:r>
      <w:r w:rsidRPr="003A0655">
        <w:t>évaluation, serait incluse dans le rapport d</w:t>
      </w:r>
      <w:r w:rsidR="000B3BB8" w:rsidRPr="003A0655">
        <w:t>’</w:t>
      </w:r>
      <w:r w:rsidRPr="003A0655">
        <w:t>activité du Groupe de l</w:t>
      </w:r>
      <w:r w:rsidR="000B3BB8" w:rsidRPr="003A0655">
        <w:t>’</w:t>
      </w:r>
      <w:r w:rsidRPr="003A0655">
        <w:t>évaluation technique et économique de 2026. Les trois groupes d</w:t>
      </w:r>
      <w:r w:rsidR="000B3BB8" w:rsidRPr="003A0655">
        <w:t>’</w:t>
      </w:r>
      <w:r w:rsidRPr="003A0655">
        <w:t>évaluation s</w:t>
      </w:r>
      <w:r w:rsidR="000B3BB8" w:rsidRPr="003A0655">
        <w:t>’</w:t>
      </w:r>
      <w:r w:rsidRPr="003A0655">
        <w:t>efforceraient de parvenir à un consensus sur la question et tiendraient les Parties informées. Un représentant, soulignant les difficultés liées à la définition des PFAS, a demandé comment les Parties pouvaient garantir que les politiques concernant ces substances, qui évoluaient sans cesse, restent fondées sur des données scientifiques et n</w:t>
      </w:r>
      <w:r w:rsidR="000B3BB8" w:rsidRPr="003A0655">
        <w:t>’</w:t>
      </w:r>
      <w:r w:rsidRPr="003A0655">
        <w:t>entravent pas involontairement la transition vers des solutions de remplacement plus sûres et plus durables. Mme Bornman a confirmé que les travaux des trois groupes d</w:t>
      </w:r>
      <w:r w:rsidR="000B3BB8" w:rsidRPr="003A0655">
        <w:t>’</w:t>
      </w:r>
      <w:r w:rsidRPr="003A0655">
        <w:t>évaluation s</w:t>
      </w:r>
      <w:r w:rsidR="000B3BB8" w:rsidRPr="003A0655">
        <w:t>’</w:t>
      </w:r>
      <w:r w:rsidRPr="003A0655">
        <w:t>appuieraient toujours sur la science.</w:t>
      </w:r>
    </w:p>
    <w:p w14:paraId="393F5A9D" w14:textId="261AAE46" w:rsidR="0025222A" w:rsidRPr="003A0655" w:rsidRDefault="0025222A" w:rsidP="0025222A">
      <w:pPr>
        <w:pStyle w:val="Normalnumber"/>
        <w:numPr>
          <w:ilvl w:val="0"/>
          <w:numId w:val="1"/>
        </w:numPr>
        <w:tabs>
          <w:tab w:val="clear" w:pos="1871"/>
          <w:tab w:val="clear" w:pos="2495"/>
          <w:tab w:val="clear" w:pos="3119"/>
          <w:tab w:val="clear" w:pos="3742"/>
          <w:tab w:val="clear" w:pos="4366"/>
          <w:tab w:val="num" w:pos="624"/>
        </w:tabs>
        <w:ind w:left="1248"/>
      </w:pPr>
      <w:r w:rsidRPr="003A0655">
        <w:t>Se référant à l</w:t>
      </w:r>
      <w:r w:rsidR="000B3BB8" w:rsidRPr="003A0655">
        <w:t>’</w:t>
      </w:r>
      <w:r w:rsidRPr="003A0655">
        <w:t>exposé du Groupe de l</w:t>
      </w:r>
      <w:r w:rsidR="000B3BB8" w:rsidRPr="003A0655">
        <w:t>’</w:t>
      </w:r>
      <w:r w:rsidRPr="003A0655">
        <w:t>évaluation des effets sur l</w:t>
      </w:r>
      <w:r w:rsidR="000B3BB8" w:rsidRPr="003A0655">
        <w:t>’</w:t>
      </w:r>
      <w:r w:rsidRPr="003A0655">
        <w:t>environnement, selon lequel le rapport d</w:t>
      </w:r>
      <w:r w:rsidR="000B3BB8" w:rsidRPr="003A0655">
        <w:t>’</w:t>
      </w:r>
      <w:r w:rsidRPr="003A0655">
        <w:t>évaluation quadriennal du Groupe contiendrait des informations sur la mesure, les quantités réelles et les estimations des PFAS relevant du Protocole de Montréal dans les eaux courantes, les lacs d</w:t>
      </w:r>
      <w:r w:rsidR="000B3BB8" w:rsidRPr="003A0655">
        <w:t>’</w:t>
      </w:r>
      <w:r w:rsidRPr="003A0655">
        <w:t>eau douce et les océans, une représentante a ajouté que son pays avait également connaissance d</w:t>
      </w:r>
      <w:r w:rsidR="000B3BB8" w:rsidRPr="003A0655">
        <w:t>’</w:t>
      </w:r>
      <w:r w:rsidRPr="003A0655">
        <w:t>études montrant une augmentation des concentrations d</w:t>
      </w:r>
      <w:r w:rsidR="000B3BB8" w:rsidRPr="003A0655">
        <w:t>’</w:t>
      </w:r>
      <w:r w:rsidRPr="003A0655">
        <w:t xml:space="preserve">acide </w:t>
      </w:r>
      <w:proofErr w:type="spellStart"/>
      <w:r w:rsidRPr="003A0655">
        <w:t>trifluoroacétique</w:t>
      </w:r>
      <w:proofErr w:type="spellEnd"/>
      <w:r w:rsidRPr="003A0655">
        <w:t xml:space="preserve"> dans l</w:t>
      </w:r>
      <w:r w:rsidR="000B3BB8" w:rsidRPr="003A0655">
        <w:t>’</w:t>
      </w:r>
      <w:r w:rsidRPr="003A0655">
        <w:t>eau potable, les organismes vivants tels que les plantes, et le sang humain. En réponse, Mme Bornman a précisé que certaines informations contenues dans l</w:t>
      </w:r>
      <w:r w:rsidR="000B3BB8" w:rsidRPr="003A0655">
        <w:t>’</w:t>
      </w:r>
      <w:r w:rsidRPr="003A0655">
        <w:t>exposé provenaient du document introductif moins détaillé de l</w:t>
      </w:r>
      <w:r w:rsidR="000B3BB8" w:rsidRPr="003A0655">
        <w:t>’</w:t>
      </w:r>
      <w:r w:rsidRPr="003A0655">
        <w:t>évaluation quadriennale. Elle a confirmé que le rapport d</w:t>
      </w:r>
      <w:r w:rsidR="000B3BB8" w:rsidRPr="003A0655">
        <w:t>’</w:t>
      </w:r>
      <w:r w:rsidRPr="003A0655">
        <w:t>évaluation quadriennal de 2026</w:t>
      </w:r>
      <w:r w:rsidR="00535C2F" w:rsidRPr="003A0655">
        <w:t> </w:t>
      </w:r>
      <w:r w:rsidRPr="003A0655">
        <w:t>examinerait de plus près les concentrations d</w:t>
      </w:r>
      <w:r w:rsidR="000B3BB8" w:rsidRPr="003A0655">
        <w:t>’</w:t>
      </w:r>
      <w:r w:rsidRPr="003A0655">
        <w:t xml:space="preserve">acide </w:t>
      </w:r>
      <w:proofErr w:type="spellStart"/>
      <w:r w:rsidRPr="003A0655">
        <w:t>trifluoroacétique</w:t>
      </w:r>
      <w:proofErr w:type="spellEnd"/>
      <w:r w:rsidRPr="003A0655">
        <w:t xml:space="preserve"> chez les animaux, les humains, dans l</w:t>
      </w:r>
      <w:r w:rsidR="000B3BB8" w:rsidRPr="003A0655">
        <w:t>’</w:t>
      </w:r>
      <w:r w:rsidRPr="003A0655">
        <w:t>eau potable et dans les régions naturelles. Un autre représentant a suggéré que l</w:t>
      </w:r>
      <w:r w:rsidR="000B3BB8" w:rsidRPr="003A0655">
        <w:t>’</w:t>
      </w:r>
      <w:r w:rsidRPr="003A0655">
        <w:t>évaluation se penche sur le nombre de substances régulièrement détectées dans le sang.</w:t>
      </w:r>
    </w:p>
    <w:p w14:paraId="4E83FEB8" w14:textId="7F38B3CE" w:rsidR="0025222A" w:rsidRPr="003A0655" w:rsidRDefault="0025222A" w:rsidP="0025222A">
      <w:pPr>
        <w:pStyle w:val="Normalnumber"/>
        <w:numPr>
          <w:ilvl w:val="0"/>
          <w:numId w:val="1"/>
        </w:numPr>
        <w:tabs>
          <w:tab w:val="clear" w:pos="1871"/>
          <w:tab w:val="clear" w:pos="2495"/>
          <w:tab w:val="clear" w:pos="3119"/>
          <w:tab w:val="clear" w:pos="3742"/>
          <w:tab w:val="clear" w:pos="4366"/>
          <w:tab w:val="num" w:pos="624"/>
        </w:tabs>
        <w:ind w:left="1248"/>
      </w:pPr>
      <w:r w:rsidRPr="003A0655">
        <w:t>Un représentant, s</w:t>
      </w:r>
      <w:r w:rsidR="000B3BB8" w:rsidRPr="003A0655">
        <w:t>’</w:t>
      </w:r>
      <w:r w:rsidRPr="003A0655">
        <w:t>exprimant au nom d</w:t>
      </w:r>
      <w:r w:rsidR="000B3BB8" w:rsidRPr="003A0655">
        <w:t>’</w:t>
      </w:r>
      <w:r w:rsidRPr="003A0655">
        <w:t xml:space="preserve">un groupe de Parties, a annoncé que la future législation de sa région sur les PFAS, </w:t>
      </w:r>
      <w:proofErr w:type="gramStart"/>
      <w:r w:rsidRPr="003A0655">
        <w:t>actuellement en cours</w:t>
      </w:r>
      <w:proofErr w:type="gramEnd"/>
      <w:r w:rsidRPr="003A0655">
        <w:t xml:space="preserve"> d</w:t>
      </w:r>
      <w:r w:rsidR="000B3BB8" w:rsidRPr="003A0655">
        <w:t>’</w:t>
      </w:r>
      <w:r w:rsidRPr="003A0655">
        <w:t>élaboration, viserait à apporter des certitudes propres à apaiser les préoccupations du public concernant ces substances. En outre, toute législation adoptée prévoirait probablement des dérogations pour utilisations essentielles dans les secteurs clés, tels que l</w:t>
      </w:r>
      <w:r w:rsidR="000B3BB8" w:rsidRPr="003A0655">
        <w:t>’</w:t>
      </w:r>
      <w:r w:rsidRPr="003A0655">
        <w:t>aviation. Ces Parties avaient donc une perception différente des incertitudes pesant sur l</w:t>
      </w:r>
      <w:r w:rsidR="000B3BB8" w:rsidRPr="003A0655">
        <w:t>’</w:t>
      </w:r>
      <w:r w:rsidRPr="003A0655">
        <w:t>utilisation de halons pour la lutte contre les incendies dans l</w:t>
      </w:r>
      <w:r w:rsidR="000B3BB8" w:rsidRPr="003A0655">
        <w:t>’</w:t>
      </w:r>
      <w:r w:rsidRPr="003A0655">
        <w:t>aviation civile, telle qu</w:t>
      </w:r>
      <w:r w:rsidR="000B3BB8" w:rsidRPr="003A0655">
        <w:t>’</w:t>
      </w:r>
      <w:r w:rsidRPr="003A0655">
        <w:t>elle avait été décrite dans l</w:t>
      </w:r>
      <w:r w:rsidR="000B3BB8" w:rsidRPr="003A0655">
        <w:t>’</w:t>
      </w:r>
      <w:r w:rsidRPr="003A0655">
        <w:t>exposé du Groupe de l</w:t>
      </w:r>
      <w:r w:rsidR="000B3BB8" w:rsidRPr="003A0655">
        <w:t>’</w:t>
      </w:r>
      <w:r w:rsidRPr="003A0655">
        <w:t>évaluation technique et économique. Elles croyaient comprendre non pas que le moratoire de 2024 sur l</w:t>
      </w:r>
      <w:r w:rsidR="000B3BB8" w:rsidRPr="003A0655">
        <w:t>’</w:t>
      </w:r>
      <w:r w:rsidRPr="003A0655">
        <w:t xml:space="preserve">utilisation </w:t>
      </w:r>
      <w:proofErr w:type="gramStart"/>
      <w:r w:rsidRPr="003A0655">
        <w:t>de halon</w:t>
      </w:r>
      <w:proofErr w:type="gramEnd"/>
      <w:r w:rsidRPr="003A0655">
        <w:t xml:space="preserve"> 1301 dans les compartiments de fret des aéronefs de conception entièrement nouvelle avait été levé, mais qu</w:t>
      </w:r>
      <w:r w:rsidR="000B3BB8" w:rsidRPr="003A0655">
        <w:t>’</w:t>
      </w:r>
      <w:r w:rsidRPr="003A0655">
        <w:t>un nouveau moratoire serait fixé et que, d</w:t>
      </w:r>
      <w:r w:rsidR="000B3BB8" w:rsidRPr="003A0655">
        <w:t>’</w:t>
      </w:r>
      <w:r w:rsidRPr="003A0655">
        <w:t>ici là, la date actuelle de 2024 restait en vigueur.</w:t>
      </w:r>
    </w:p>
    <w:p w14:paraId="38CFAFD6" w14:textId="28A06CAD" w:rsidR="0025222A" w:rsidRPr="003A0655" w:rsidRDefault="0025222A" w:rsidP="0025222A">
      <w:pPr>
        <w:pStyle w:val="Normalnumber"/>
        <w:numPr>
          <w:ilvl w:val="0"/>
          <w:numId w:val="1"/>
        </w:numPr>
        <w:tabs>
          <w:tab w:val="clear" w:pos="1871"/>
          <w:tab w:val="clear" w:pos="2495"/>
          <w:tab w:val="clear" w:pos="3119"/>
          <w:tab w:val="clear" w:pos="3742"/>
          <w:tab w:val="clear" w:pos="4366"/>
          <w:tab w:val="num" w:pos="624"/>
        </w:tabs>
        <w:ind w:left="1248"/>
      </w:pPr>
      <w:r w:rsidRPr="003A0655">
        <w:t>Une représentante a rappelé que le Groupe de l</w:t>
      </w:r>
      <w:r w:rsidR="000B3BB8" w:rsidRPr="003A0655">
        <w:t>’</w:t>
      </w:r>
      <w:r w:rsidRPr="003A0655">
        <w:t>évaluation technique et économique avait signalé que le flou réglementaire concernant les PFAS pourrait ralentir la transition vers des technologies à faible potentiel de réchauffement global dans les Parties visées à l</w:t>
      </w:r>
      <w:r w:rsidR="000B3BB8" w:rsidRPr="003A0655">
        <w:t>’</w:t>
      </w:r>
      <w:r w:rsidRPr="003A0655">
        <w:t>article 5 du groupe</w:t>
      </w:r>
      <w:r w:rsidR="00166575" w:rsidRPr="003A0655">
        <w:t> </w:t>
      </w:r>
      <w:r w:rsidRPr="003A0655">
        <w:t>1.</w:t>
      </w:r>
      <w:r w:rsidR="0092792B" w:rsidRPr="003A0655">
        <w:t> </w:t>
      </w:r>
      <w:r w:rsidRPr="003A0655">
        <w:t xml:space="preserve">Elle a donc demandé au Groupe de </w:t>
      </w:r>
      <w:proofErr w:type="gramStart"/>
      <w:r w:rsidRPr="003A0655">
        <w:t>donner</w:t>
      </w:r>
      <w:proofErr w:type="gramEnd"/>
      <w:r w:rsidRPr="003A0655">
        <w:t xml:space="preserve"> des conseils sur la manière d</w:t>
      </w:r>
      <w:r w:rsidR="000B3BB8" w:rsidRPr="003A0655">
        <w:t>’</w:t>
      </w:r>
      <w:r w:rsidRPr="003A0655">
        <w:t>assurer des progrès soutenus et équilibrés dans la réduction progressive des HFC, en particulier dans l</w:t>
      </w:r>
      <w:r w:rsidR="000B3BB8" w:rsidRPr="003A0655">
        <w:t>’</w:t>
      </w:r>
      <w:r w:rsidRPr="003A0655">
        <w:t>identification de solutions de remplacement sûres, d</w:t>
      </w:r>
      <w:r w:rsidR="000B3BB8" w:rsidRPr="003A0655">
        <w:t>’</w:t>
      </w:r>
      <w:r w:rsidRPr="003A0655">
        <w:t>un bon rapport coût-efficacité et respectueuses de l</w:t>
      </w:r>
      <w:r w:rsidR="000B3BB8" w:rsidRPr="003A0655">
        <w:t>’</w:t>
      </w:r>
      <w:r w:rsidRPr="003A0655">
        <w:t>environnement. En réponse à une question sur le contenu du nouveau tableau destiné à évaluer les informations relatives aux produits de dégradation, en cours d</w:t>
      </w:r>
      <w:r w:rsidR="000B3BB8" w:rsidRPr="003A0655">
        <w:t>’</w:t>
      </w:r>
      <w:r w:rsidRPr="003A0655">
        <w:t>élaboration par le Groupe de l</w:t>
      </w:r>
      <w:r w:rsidR="000B3BB8" w:rsidRPr="003A0655">
        <w:t>’</w:t>
      </w:r>
      <w:r w:rsidRPr="003A0655">
        <w:t>évaluation scientifique en collaboration avec les deux autres groupes d</w:t>
      </w:r>
      <w:r w:rsidR="000B3BB8" w:rsidRPr="003A0655">
        <w:t>’</w:t>
      </w:r>
      <w:r w:rsidRPr="003A0655">
        <w:t>évaluation, Mme Carpenter a expliqué qu</w:t>
      </w:r>
      <w:r w:rsidR="000B3BB8" w:rsidRPr="003A0655">
        <w:t>’</w:t>
      </w:r>
      <w:r w:rsidRPr="003A0655">
        <w:t>il n</w:t>
      </w:r>
      <w:r w:rsidR="000B3BB8" w:rsidRPr="003A0655">
        <w:t>’</w:t>
      </w:r>
      <w:r w:rsidRPr="003A0655">
        <w:t>avait pas été possible de montrer le tableau complet dans le cadre de l</w:t>
      </w:r>
      <w:r w:rsidR="000B3BB8" w:rsidRPr="003A0655">
        <w:t>’</w:t>
      </w:r>
      <w:r w:rsidRPr="003A0655">
        <w:t>exposé. Elle a toutefois donné aux Parties l</w:t>
      </w:r>
      <w:r w:rsidR="000B3BB8" w:rsidRPr="003A0655">
        <w:t>’</w:t>
      </w:r>
      <w:r w:rsidRPr="003A0655">
        <w:t>assurance que ce tableau contiendrait des informations sur les solutions de remplacement.</w:t>
      </w:r>
    </w:p>
    <w:p w14:paraId="12997A2A" w14:textId="3B976F6B" w:rsidR="0025222A" w:rsidRPr="003A0655" w:rsidRDefault="0025222A" w:rsidP="00B778EE">
      <w:pPr>
        <w:pStyle w:val="Normalnumber"/>
        <w:keepNext/>
        <w:keepLines/>
        <w:numPr>
          <w:ilvl w:val="0"/>
          <w:numId w:val="1"/>
        </w:numPr>
        <w:tabs>
          <w:tab w:val="clear" w:pos="1871"/>
          <w:tab w:val="clear" w:pos="2495"/>
          <w:tab w:val="clear" w:pos="3119"/>
          <w:tab w:val="clear" w:pos="3742"/>
          <w:tab w:val="clear" w:pos="4366"/>
          <w:tab w:val="num" w:pos="624"/>
        </w:tabs>
      </w:pPr>
      <w:r w:rsidRPr="003A0655">
        <w:t>Répondant aux questions concernant les scénarios relatifs à l</w:t>
      </w:r>
      <w:r w:rsidR="000B3BB8" w:rsidRPr="003A0655">
        <w:t>’</w:t>
      </w:r>
      <w:r w:rsidRPr="003A0655">
        <w:t>impact des émissions de produits intermédiaires sur la couche d</w:t>
      </w:r>
      <w:r w:rsidR="000B3BB8" w:rsidRPr="003A0655">
        <w:t>’</w:t>
      </w:r>
      <w:r w:rsidRPr="003A0655">
        <w:t>ozone, Mme Carpenter a confirmé que ces scénarios utilisaient les coefficients d</w:t>
      </w:r>
      <w:r w:rsidR="000B3BB8" w:rsidRPr="003A0655">
        <w:t>’</w:t>
      </w:r>
      <w:r w:rsidRPr="003A0655">
        <w:t>émission récemment révisés par le Groupe de l</w:t>
      </w:r>
      <w:r w:rsidR="000B3BB8" w:rsidRPr="003A0655">
        <w:t>’</w:t>
      </w:r>
      <w:r w:rsidRPr="003A0655">
        <w:t>évaluation technique et économique, qui étaient plus élevés que ceux utilisés dans l</w:t>
      </w:r>
      <w:r w:rsidR="000B3BB8" w:rsidRPr="003A0655">
        <w:t>’</w:t>
      </w:r>
      <w:r w:rsidRPr="003A0655">
        <w:t>évaluation précédente et que, en termes de technologies de réduction, le scénario de référence supposait le respect total du Protocole de Montréal et de l</w:t>
      </w:r>
      <w:r w:rsidR="000B3BB8" w:rsidRPr="003A0655">
        <w:t>’</w:t>
      </w:r>
      <w:r w:rsidRPr="003A0655">
        <w:t>Amendement de Kigali. Rappelant que, dans la dernière évaluation, le retard dans la reconstitution de la couche d</w:t>
      </w:r>
      <w:r w:rsidR="000B3BB8" w:rsidRPr="003A0655">
        <w:t>’</w:t>
      </w:r>
      <w:r w:rsidRPr="003A0655">
        <w:t>ozone avait été estimé à environ cinq ans, Mme Carpenter a signalé que, bien que cet écart n</w:t>
      </w:r>
      <w:r w:rsidR="000B3BB8" w:rsidRPr="003A0655">
        <w:t>’</w:t>
      </w:r>
      <w:r w:rsidRPr="003A0655">
        <w:t>ait pas encore été calculé, on pouvait s</w:t>
      </w:r>
      <w:r w:rsidR="000B3BB8" w:rsidRPr="003A0655">
        <w:t>’</w:t>
      </w:r>
      <w:r w:rsidRPr="003A0655">
        <w:t>attendre à ce qu</w:t>
      </w:r>
      <w:r w:rsidR="000B3BB8" w:rsidRPr="003A0655">
        <w:t>’</w:t>
      </w:r>
      <w:r w:rsidRPr="003A0655">
        <w:t>il soit plus important compte tenu de l</w:t>
      </w:r>
      <w:r w:rsidR="000B3BB8" w:rsidRPr="003A0655">
        <w:t>’</w:t>
      </w:r>
      <w:r w:rsidRPr="003A0655">
        <w:t>augmentation des coefficients d</w:t>
      </w:r>
      <w:r w:rsidR="000B3BB8" w:rsidRPr="003A0655">
        <w:t>’</w:t>
      </w:r>
      <w:r w:rsidRPr="003A0655">
        <w:t xml:space="preserve">émission. </w:t>
      </w:r>
    </w:p>
    <w:p w14:paraId="24F0536F" w14:textId="629ACE91" w:rsidR="0025222A" w:rsidRPr="003A0655" w:rsidRDefault="0025222A" w:rsidP="0025222A">
      <w:pPr>
        <w:pStyle w:val="Normalnumber"/>
        <w:numPr>
          <w:ilvl w:val="0"/>
          <w:numId w:val="1"/>
        </w:numPr>
        <w:tabs>
          <w:tab w:val="clear" w:pos="1871"/>
          <w:tab w:val="clear" w:pos="2495"/>
          <w:tab w:val="clear" w:pos="3119"/>
          <w:tab w:val="clear" w:pos="3742"/>
          <w:tab w:val="clear" w:pos="4366"/>
          <w:tab w:val="num" w:pos="624"/>
        </w:tabs>
        <w:ind w:left="1248"/>
      </w:pPr>
      <w:r w:rsidRPr="003A0655">
        <w:t>En réponse à une question concernant le rôle joué par les valeurs d</w:t>
      </w:r>
      <w:r w:rsidR="000B3BB8" w:rsidRPr="003A0655">
        <w:t>’</w:t>
      </w:r>
      <w:r w:rsidRPr="003A0655">
        <w:t>émission dans les travaux des groupes d</w:t>
      </w:r>
      <w:r w:rsidR="000B3BB8" w:rsidRPr="003A0655">
        <w:t>’</w:t>
      </w:r>
      <w:r w:rsidRPr="003A0655">
        <w:t>évaluation, Mme Carpenter a expliqué que le calcul des niveaux d</w:t>
      </w:r>
      <w:r w:rsidR="000B3BB8" w:rsidRPr="003A0655">
        <w:t>’</w:t>
      </w:r>
      <w:r w:rsidRPr="003A0655">
        <w:t>émissions permettait aux groupes d</w:t>
      </w:r>
      <w:r w:rsidR="000B3BB8" w:rsidRPr="003A0655">
        <w:t>’</w:t>
      </w:r>
      <w:r w:rsidRPr="003A0655">
        <w:t>évaluation de réaliser des modélisations informatiques et étayait les calculs liés à la reconstitution de la couche d</w:t>
      </w:r>
      <w:r w:rsidR="000B3BB8" w:rsidRPr="003A0655">
        <w:t>’</w:t>
      </w:r>
      <w:r w:rsidRPr="003A0655">
        <w:t>ozone. La surveillance des émissions permettait aux groupes d</w:t>
      </w:r>
      <w:r w:rsidR="000B3BB8" w:rsidRPr="003A0655">
        <w:t>’</w:t>
      </w:r>
      <w:r w:rsidRPr="003A0655">
        <w:t>évaluation et aux Parties de suivre l</w:t>
      </w:r>
      <w:r w:rsidR="000B3BB8" w:rsidRPr="003A0655">
        <w:t>’</w:t>
      </w:r>
      <w:r w:rsidRPr="003A0655">
        <w:t>avancée de l</w:t>
      </w:r>
      <w:r w:rsidR="000B3BB8" w:rsidRPr="003A0655">
        <w:t>’</w:t>
      </w:r>
      <w:r w:rsidRPr="003A0655">
        <w:t>élimination et de la réduction progressives des substances réglementées</w:t>
      </w:r>
      <w:r w:rsidR="002A39D3" w:rsidRPr="003A0655">
        <w:t> </w:t>
      </w:r>
      <w:r w:rsidRPr="003A0655">
        <w:t>; d</w:t>
      </w:r>
      <w:r w:rsidR="000B3BB8" w:rsidRPr="003A0655">
        <w:t>’</w:t>
      </w:r>
      <w:r w:rsidRPr="003A0655">
        <w:t>identifier les questions émergentes</w:t>
      </w:r>
      <w:r w:rsidR="002A39D3" w:rsidRPr="003A0655">
        <w:t> </w:t>
      </w:r>
      <w:r w:rsidRPr="003A0655">
        <w:t>; et de mettre en évidence les situations où les données communiquées indiquaient des niveaux d</w:t>
      </w:r>
      <w:r w:rsidR="000B3BB8" w:rsidRPr="003A0655">
        <w:t>’</w:t>
      </w:r>
      <w:r w:rsidRPr="003A0655">
        <w:t>émissions différents de ceux observés dans l</w:t>
      </w:r>
      <w:r w:rsidR="000B3BB8" w:rsidRPr="003A0655">
        <w:t>’</w:t>
      </w:r>
      <w:r w:rsidRPr="003A0655">
        <w:t>atmosphère.</w:t>
      </w:r>
    </w:p>
    <w:p w14:paraId="32BD8950" w14:textId="39F93E5D" w:rsidR="0025222A" w:rsidRPr="003A0655" w:rsidRDefault="0025222A" w:rsidP="0025222A">
      <w:pPr>
        <w:pStyle w:val="Normalnumber"/>
        <w:numPr>
          <w:ilvl w:val="0"/>
          <w:numId w:val="1"/>
        </w:numPr>
        <w:tabs>
          <w:tab w:val="clear" w:pos="1871"/>
          <w:tab w:val="clear" w:pos="2495"/>
          <w:tab w:val="clear" w:pos="3119"/>
          <w:tab w:val="clear" w:pos="3742"/>
          <w:tab w:val="clear" w:pos="4366"/>
          <w:tab w:val="num" w:pos="624"/>
        </w:tabs>
        <w:ind w:left="1248"/>
      </w:pPr>
      <w:r w:rsidRPr="003A0655">
        <w:t>En réponse à une question sur la disponibilité de solutions de remplacement des propulseurs de qualité pharmaceutique dans les Parties visées à l</w:t>
      </w:r>
      <w:r w:rsidR="000B3BB8" w:rsidRPr="003A0655">
        <w:t>’</w:t>
      </w:r>
      <w:r w:rsidRPr="003A0655">
        <w:t>article 5, M. Woodcock a rappelé que 30</w:t>
      </w:r>
      <w:r w:rsidR="009816DC" w:rsidRPr="003A0655">
        <w:t> </w:t>
      </w:r>
      <w:r w:rsidRPr="003A0655">
        <w:t>ans auparavant, très peu d</w:t>
      </w:r>
      <w:r w:rsidR="000B3BB8" w:rsidRPr="003A0655">
        <w:t>’</w:t>
      </w:r>
      <w:r w:rsidRPr="003A0655">
        <w:t>entreprises produisaient des inhalateurs et qu</w:t>
      </w:r>
      <w:r w:rsidR="000B3BB8" w:rsidRPr="003A0655">
        <w:t>’</w:t>
      </w:r>
      <w:r w:rsidRPr="003A0655">
        <w:t>il avait donc été possible de gérer l</w:t>
      </w:r>
      <w:r w:rsidR="000B3BB8" w:rsidRPr="003A0655">
        <w:t>’</w:t>
      </w:r>
      <w:r w:rsidRPr="003A0655">
        <w:t>élimination progressive des CFC de manière rigoureuse et minutieuse. Aujourd</w:t>
      </w:r>
      <w:r w:rsidR="000B3BB8" w:rsidRPr="003A0655">
        <w:t>’</w:t>
      </w:r>
      <w:r w:rsidRPr="003A0655">
        <w:t>hui, il existait 94</w:t>
      </w:r>
      <w:r w:rsidR="007E78C7" w:rsidRPr="003A0655">
        <w:t> </w:t>
      </w:r>
      <w:r w:rsidRPr="003A0655">
        <w:t>fabricants d</w:t>
      </w:r>
      <w:r w:rsidR="000B3BB8" w:rsidRPr="003A0655">
        <w:t>’</w:t>
      </w:r>
      <w:r w:rsidRPr="003A0655">
        <w:t>inhalateurs dans le monde, et la prévalence de l</w:t>
      </w:r>
      <w:r w:rsidR="000B3BB8" w:rsidRPr="003A0655">
        <w:t>’</w:t>
      </w:r>
      <w:r w:rsidRPr="003A0655">
        <w:t>asthme et de la bronchopneumopathie chronique obstructive était en augmentation. Les premières entreprises, implantées dans des Parties non</w:t>
      </w:r>
      <w:r w:rsidR="00EB02D1" w:rsidRPr="003A0655">
        <w:t> </w:t>
      </w:r>
      <w:r w:rsidRPr="003A0655">
        <w:t>visées à l</w:t>
      </w:r>
      <w:r w:rsidR="000B3BB8" w:rsidRPr="003A0655">
        <w:t>’</w:t>
      </w:r>
      <w:r w:rsidRPr="003A0655">
        <w:t>article 5, avaient amorcé la transition vers des solutions de remplacement à faible potentiel de réchauffement global</w:t>
      </w:r>
      <w:r w:rsidR="002A39D3" w:rsidRPr="003A0655">
        <w:t> </w:t>
      </w:r>
      <w:r w:rsidRPr="003A0655">
        <w:t>; certaines avaient choisi le HFC-152a, dont l</w:t>
      </w:r>
      <w:r w:rsidR="000B3BB8" w:rsidRPr="003A0655">
        <w:t>’</w:t>
      </w:r>
      <w:r w:rsidRPr="003A0655">
        <w:t>utilisation permettrait d</w:t>
      </w:r>
      <w:r w:rsidR="000B3BB8" w:rsidRPr="003A0655">
        <w:t>’</w:t>
      </w:r>
      <w:r w:rsidRPr="003A0655">
        <w:t>abaisser le potentiel de réchauffement global d</w:t>
      </w:r>
      <w:r w:rsidR="000B3BB8" w:rsidRPr="003A0655">
        <w:t>’</w:t>
      </w:r>
      <w:r w:rsidRPr="003A0655">
        <w:t>environ 90</w:t>
      </w:r>
      <w:r w:rsidR="002A39D3" w:rsidRPr="003A0655">
        <w:t> </w:t>
      </w:r>
      <w:r w:rsidRPr="003A0655">
        <w:t xml:space="preserve">%. Au moins une entreprise avait commencé à utiliser une </w:t>
      </w:r>
      <w:proofErr w:type="spellStart"/>
      <w:r w:rsidRPr="003A0655">
        <w:t>hydrofluorooléfine</w:t>
      </w:r>
      <w:proofErr w:type="spellEnd"/>
      <w:r w:rsidRPr="003A0655">
        <w:t xml:space="preserve"> (HFO) et le premier inhalateur-doseur à base de HFO avait reçu l</w:t>
      </w:r>
      <w:r w:rsidR="000B3BB8" w:rsidRPr="003A0655">
        <w:t>’</w:t>
      </w:r>
      <w:r w:rsidRPr="003A0655">
        <w:t>autorisation réglementaire en Europe et au Royaume-Uni au cours des derniers mois. Selon lui, de nombreuses entreprises attendaient de voir si la législation suivrait avant d</w:t>
      </w:r>
      <w:r w:rsidR="000B3BB8" w:rsidRPr="003A0655">
        <w:t>’</w:t>
      </w:r>
      <w:r w:rsidRPr="003A0655">
        <w:t>agir. Malheureusement, aucune solution à court terme n</w:t>
      </w:r>
      <w:r w:rsidR="000B3BB8" w:rsidRPr="003A0655">
        <w:t>’</w:t>
      </w:r>
      <w:r w:rsidRPr="003A0655">
        <w:t>était en vue pour les Parties visées à l</w:t>
      </w:r>
      <w:r w:rsidR="000B3BB8" w:rsidRPr="003A0655">
        <w:t>’</w:t>
      </w:r>
      <w:r w:rsidRPr="003A0655">
        <w:t>article</w:t>
      </w:r>
      <w:r w:rsidR="00D25466" w:rsidRPr="003A0655">
        <w:t> </w:t>
      </w:r>
      <w:r w:rsidRPr="003A0655">
        <w:t>5.</w:t>
      </w:r>
      <w:r w:rsidR="00D25466" w:rsidRPr="003A0655">
        <w:t> </w:t>
      </w:r>
      <w:r w:rsidRPr="003A0655">
        <w:t>L</w:t>
      </w:r>
      <w:r w:rsidR="000B3BB8" w:rsidRPr="003A0655">
        <w:t>’</w:t>
      </w:r>
      <w:r w:rsidRPr="003A0655">
        <w:t>un des problèmes concernait l</w:t>
      </w:r>
      <w:r w:rsidR="000B3BB8" w:rsidRPr="003A0655">
        <w:t>’</w:t>
      </w:r>
      <w:r w:rsidRPr="003A0655">
        <w:t>approvisionnement en propergol, qui, actuellement, provenait principalement d</w:t>
      </w:r>
      <w:r w:rsidR="000B3BB8" w:rsidRPr="003A0655">
        <w:t>’</w:t>
      </w:r>
      <w:r w:rsidRPr="003A0655">
        <w:t>une entreprise basée au Royaume-Uni. Cependant, les propulseurs de qualité pharmaceutique provenaient de plus en plus souvent de Chine et d</w:t>
      </w:r>
      <w:r w:rsidR="000B3BB8" w:rsidRPr="003A0655">
        <w:t>’</w:t>
      </w:r>
      <w:r w:rsidRPr="003A0655">
        <w:t>Inde, et il fallait davantage d</w:t>
      </w:r>
      <w:r w:rsidR="000B3BB8" w:rsidRPr="003A0655">
        <w:t>’</w:t>
      </w:r>
      <w:r w:rsidRPr="003A0655">
        <w:t>informations pour savoir si l</w:t>
      </w:r>
      <w:r w:rsidR="000B3BB8" w:rsidRPr="003A0655">
        <w:t>’</w:t>
      </w:r>
      <w:r w:rsidRPr="003A0655">
        <w:t xml:space="preserve">approvisionnement en propulseurs était sûr et si les compagnies pharmaceutiques pouvaient effectuer la transition de manière ordonnée. Le HFC-152a, par exemple, était un propulseur plus inflammable, ce qui obligeait les entreprises à prendre de nouvelles mesures de sécurité. </w:t>
      </w:r>
    </w:p>
    <w:p w14:paraId="2C49A08C" w14:textId="250A884A" w:rsidR="0025222A" w:rsidRPr="003A0655" w:rsidRDefault="0025222A" w:rsidP="0025222A">
      <w:pPr>
        <w:pStyle w:val="Normalnumber"/>
        <w:numPr>
          <w:ilvl w:val="0"/>
          <w:numId w:val="1"/>
        </w:numPr>
        <w:tabs>
          <w:tab w:val="clear" w:pos="1871"/>
          <w:tab w:val="clear" w:pos="2495"/>
          <w:tab w:val="clear" w:pos="3119"/>
          <w:tab w:val="clear" w:pos="3742"/>
          <w:tab w:val="clear" w:pos="4366"/>
          <w:tab w:val="num" w:pos="624"/>
        </w:tabs>
        <w:ind w:left="1248"/>
      </w:pPr>
      <w:r w:rsidRPr="003A0655">
        <w:t>Au sujet de l</w:t>
      </w:r>
      <w:r w:rsidR="000B3BB8" w:rsidRPr="003A0655">
        <w:t>’</w:t>
      </w:r>
      <w:r w:rsidRPr="003A0655">
        <w:t>inflammabilité, un représentant s</w:t>
      </w:r>
      <w:r w:rsidR="000B3BB8" w:rsidRPr="003A0655">
        <w:t>’</w:t>
      </w:r>
      <w:r w:rsidRPr="003A0655">
        <w:t>est dit inquiet de l</w:t>
      </w:r>
      <w:r w:rsidR="000B3BB8" w:rsidRPr="003A0655">
        <w:t>’</w:t>
      </w:r>
      <w:r w:rsidRPr="003A0655">
        <w:t>utilisation de substances inflammables dans les aérosols et les mousses, qui faisait souvent l</w:t>
      </w:r>
      <w:r w:rsidR="000B3BB8" w:rsidRPr="003A0655">
        <w:t>’</w:t>
      </w:r>
      <w:r w:rsidRPr="003A0655">
        <w:t>objet d</w:t>
      </w:r>
      <w:r w:rsidR="000B3BB8" w:rsidRPr="003A0655">
        <w:t>’</w:t>
      </w:r>
      <w:r w:rsidRPr="003A0655">
        <w:t>idées fausses. Par ailleurs, M.</w:t>
      </w:r>
      <w:r w:rsidR="000A52F2" w:rsidRPr="003A0655">
        <w:t> </w:t>
      </w:r>
      <w:r w:rsidRPr="003A0655">
        <w:t>Woodcock a proposé la tenue d</w:t>
      </w:r>
      <w:r w:rsidR="000B3BB8" w:rsidRPr="003A0655">
        <w:t>’</w:t>
      </w:r>
      <w:r w:rsidRPr="003A0655">
        <w:t>entretiens bilatéraux en marge de la Réunion afin de répondre à la question de savoir quel sous-secteur de la réfrigération et de la climatisation présentait le plus de difficultés en termes d</w:t>
      </w:r>
      <w:r w:rsidR="000B3BB8" w:rsidRPr="003A0655">
        <w:t>’</w:t>
      </w:r>
      <w:r w:rsidRPr="003A0655">
        <w:t>utilisation de réfrigérants naturels.</w:t>
      </w:r>
    </w:p>
    <w:p w14:paraId="1FA0F693" w14:textId="6B8CCD53" w:rsidR="0025222A" w:rsidRPr="003A0655" w:rsidRDefault="0025222A" w:rsidP="0025222A">
      <w:pPr>
        <w:pStyle w:val="Normalnumber"/>
        <w:numPr>
          <w:ilvl w:val="0"/>
          <w:numId w:val="1"/>
        </w:numPr>
        <w:tabs>
          <w:tab w:val="clear" w:pos="1871"/>
          <w:tab w:val="clear" w:pos="2495"/>
          <w:tab w:val="clear" w:pos="3119"/>
          <w:tab w:val="clear" w:pos="3742"/>
          <w:tab w:val="clear" w:pos="4366"/>
          <w:tab w:val="num" w:pos="624"/>
        </w:tabs>
        <w:ind w:left="1248"/>
      </w:pPr>
      <w:r w:rsidRPr="003A0655">
        <w:t>Un représentant a fait part de ses préoccupations, communes à toute sa région, concernant le peu de progrès en matière d</w:t>
      </w:r>
      <w:r w:rsidR="000B3BB8" w:rsidRPr="003A0655">
        <w:t>’</w:t>
      </w:r>
      <w:r w:rsidRPr="003A0655">
        <w:t xml:space="preserve">investissements dans des solutions de remplacement des HFC, qui limitait ou compromettait la pérennité des conversions ou les rendait beaucoup plus compliquées à mettre en œuvre. </w:t>
      </w:r>
    </w:p>
    <w:p w14:paraId="7D202576" w14:textId="67A62F03" w:rsidR="0025222A" w:rsidRPr="003A0655" w:rsidRDefault="0025222A" w:rsidP="0025222A">
      <w:pPr>
        <w:pStyle w:val="Normalnumber"/>
        <w:numPr>
          <w:ilvl w:val="0"/>
          <w:numId w:val="1"/>
        </w:numPr>
        <w:tabs>
          <w:tab w:val="clear" w:pos="1871"/>
          <w:tab w:val="clear" w:pos="2495"/>
          <w:tab w:val="clear" w:pos="3119"/>
          <w:tab w:val="clear" w:pos="3742"/>
          <w:tab w:val="clear" w:pos="4366"/>
          <w:tab w:val="num" w:pos="624"/>
        </w:tabs>
        <w:ind w:left="1248"/>
      </w:pPr>
      <w:r w:rsidRPr="003A0655">
        <w:t>En réponse à une question concernant le nouvel indicateur, «</w:t>
      </w:r>
      <w:r w:rsidR="00535C2F" w:rsidRPr="003A0655">
        <w:t> </w:t>
      </w:r>
      <w:r w:rsidRPr="003A0655">
        <w:t>déficit de masse d</w:t>
      </w:r>
      <w:r w:rsidR="000B3BB8" w:rsidRPr="003A0655">
        <w:t>’</w:t>
      </w:r>
      <w:r w:rsidRPr="003A0655">
        <w:t>ozone</w:t>
      </w:r>
      <w:r w:rsidR="00535C2F" w:rsidRPr="003A0655">
        <w:t> </w:t>
      </w:r>
      <w:r w:rsidRPr="003A0655">
        <w:t>», M. Jucks a expliqué que celui-ci visait à donner une image plus complète de la perte d</w:t>
      </w:r>
      <w:r w:rsidR="000B3BB8" w:rsidRPr="003A0655">
        <w:t>’</w:t>
      </w:r>
      <w:r w:rsidRPr="003A0655">
        <w:t>ozone. Cet indicateur s</w:t>
      </w:r>
      <w:r w:rsidR="000B3BB8" w:rsidRPr="003A0655">
        <w:t>’</w:t>
      </w:r>
      <w:r w:rsidRPr="003A0655">
        <w:t>intéressait davantage à la quantité totale d</w:t>
      </w:r>
      <w:r w:rsidR="000B3BB8" w:rsidRPr="003A0655">
        <w:t>’</w:t>
      </w:r>
      <w:r w:rsidRPr="003A0655">
        <w:t>ozone au-dessus du trou dans la couche d</w:t>
      </w:r>
      <w:r w:rsidR="000B3BB8" w:rsidRPr="003A0655">
        <w:t>’</w:t>
      </w:r>
      <w:r w:rsidRPr="003A0655">
        <w:t>ozone qu</w:t>
      </w:r>
      <w:r w:rsidR="000B3BB8" w:rsidRPr="003A0655">
        <w:t>’</w:t>
      </w:r>
      <w:r w:rsidRPr="003A0655">
        <w:t>à l</w:t>
      </w:r>
      <w:r w:rsidR="000B3BB8" w:rsidRPr="003A0655">
        <w:t>’</w:t>
      </w:r>
      <w:r w:rsidRPr="003A0655">
        <w:t>envergure de ce dernier, ou à la perte minimale moyenne d</w:t>
      </w:r>
      <w:r w:rsidR="000B3BB8" w:rsidRPr="003A0655">
        <w:t>’</w:t>
      </w:r>
      <w:r w:rsidRPr="003A0655">
        <w:t>ozone, qui ne reflétaient guère l</w:t>
      </w:r>
      <w:r w:rsidR="000B3BB8" w:rsidRPr="003A0655">
        <w:t>’</w:t>
      </w:r>
      <w:r w:rsidRPr="003A0655">
        <w:t>ensemble des pertes subies.</w:t>
      </w:r>
    </w:p>
    <w:p w14:paraId="554A2BAF" w14:textId="66976138" w:rsidR="0025222A" w:rsidRPr="003A0655" w:rsidRDefault="0025222A" w:rsidP="0025222A">
      <w:pPr>
        <w:pStyle w:val="Normalnumber"/>
        <w:numPr>
          <w:ilvl w:val="0"/>
          <w:numId w:val="1"/>
        </w:numPr>
        <w:tabs>
          <w:tab w:val="clear" w:pos="1871"/>
          <w:tab w:val="clear" w:pos="2495"/>
          <w:tab w:val="clear" w:pos="3119"/>
          <w:tab w:val="clear" w:pos="3742"/>
          <w:tab w:val="clear" w:pos="4366"/>
          <w:tab w:val="num" w:pos="624"/>
        </w:tabs>
        <w:ind w:left="1248"/>
      </w:pPr>
      <w:r w:rsidRPr="003A0655">
        <w:t>En réponse à une question concernant l</w:t>
      </w:r>
      <w:r w:rsidR="000B3BB8" w:rsidRPr="003A0655">
        <w:t>’</w:t>
      </w:r>
      <w:r w:rsidRPr="003A0655">
        <w:t>impact des cycles naturels sur l</w:t>
      </w:r>
      <w:r w:rsidR="000B3BB8" w:rsidRPr="003A0655">
        <w:t>’</w:t>
      </w:r>
      <w:r w:rsidRPr="003A0655">
        <w:t>ozone, notamment le cycle solaire, Mme Carpenter a expliqué que cet impact se faisait principalement sentir dans la haute stratosphère et qu</w:t>
      </w:r>
      <w:r w:rsidR="000B3BB8" w:rsidRPr="003A0655">
        <w:t>’</w:t>
      </w:r>
      <w:r w:rsidRPr="003A0655">
        <w:t>il était pris en compte dans les modèles du Groupe. Rien ne prouvait que l</w:t>
      </w:r>
      <w:r w:rsidR="000B3BB8" w:rsidRPr="003A0655">
        <w:t>’</w:t>
      </w:r>
      <w:r w:rsidRPr="003A0655">
        <w:t xml:space="preserve">impact du cycle solaire sur le climat </w:t>
      </w:r>
      <w:proofErr w:type="gramStart"/>
      <w:r w:rsidRPr="003A0655">
        <w:t>était</w:t>
      </w:r>
      <w:proofErr w:type="gramEnd"/>
      <w:r w:rsidRPr="003A0655">
        <w:t xml:space="preserve"> autre que mineur. Quant à la reconstitution de la couche d</w:t>
      </w:r>
      <w:r w:rsidR="000B3BB8" w:rsidRPr="003A0655">
        <w:t>’</w:t>
      </w:r>
      <w:r w:rsidRPr="003A0655">
        <w:t>ozone, en dépit d</w:t>
      </w:r>
      <w:r w:rsidR="000B3BB8" w:rsidRPr="003A0655">
        <w:t>’</w:t>
      </w:r>
      <w:r w:rsidRPr="003A0655">
        <w:t>une grande variabilité, elle avait généralement suivi la trajectoire prévue. La variabilité naturelle, à caractère épisodique, ne provenait pas seulement des cycles solaires mais aussi de phénomènes tels que les incendies de forêt et les éruptions volcaniques.</w:t>
      </w:r>
    </w:p>
    <w:p w14:paraId="197AB051" w14:textId="4FDA393A" w:rsidR="0025222A" w:rsidRPr="003A0655" w:rsidRDefault="0025222A" w:rsidP="0025222A">
      <w:pPr>
        <w:pStyle w:val="Normalnumber"/>
        <w:numPr>
          <w:ilvl w:val="0"/>
          <w:numId w:val="1"/>
        </w:numPr>
        <w:tabs>
          <w:tab w:val="clear" w:pos="1871"/>
          <w:tab w:val="clear" w:pos="2495"/>
          <w:tab w:val="clear" w:pos="3119"/>
          <w:tab w:val="clear" w:pos="3742"/>
          <w:tab w:val="clear" w:pos="4366"/>
          <w:tab w:val="num" w:pos="624"/>
        </w:tabs>
        <w:ind w:left="1248"/>
      </w:pPr>
      <w:r w:rsidRPr="003A0655">
        <w:t>Répondant au commentaire d</w:t>
      </w:r>
      <w:r w:rsidR="000B3BB8" w:rsidRPr="003A0655">
        <w:t>’</w:t>
      </w:r>
      <w:r w:rsidRPr="003A0655">
        <w:t>un représentant concernant le peu d</w:t>
      </w:r>
      <w:r w:rsidR="000B3BB8" w:rsidRPr="003A0655">
        <w:t>’</w:t>
      </w:r>
      <w:r w:rsidRPr="003A0655">
        <w:t>attention accordé dans les rapports des groupes d</w:t>
      </w:r>
      <w:r w:rsidR="000B3BB8" w:rsidRPr="003A0655">
        <w:t>’</w:t>
      </w:r>
      <w:r w:rsidRPr="003A0655">
        <w:t>évaluation à l</w:t>
      </w:r>
      <w:r w:rsidR="000B3BB8" w:rsidRPr="003A0655">
        <w:t>’</w:t>
      </w:r>
      <w:r w:rsidRPr="003A0655">
        <w:t>écart entre les mesures atmosphériques et les émissions déclarées de HFC-23, Mme Carpenter a signalé que le Groupe de l</w:t>
      </w:r>
      <w:r w:rsidR="000B3BB8" w:rsidRPr="003A0655">
        <w:t>’</w:t>
      </w:r>
      <w:r w:rsidRPr="003A0655">
        <w:t>évaluation scientifique et le Groupe de l</w:t>
      </w:r>
      <w:r w:rsidR="000B3BB8" w:rsidRPr="003A0655">
        <w:t>’</w:t>
      </w:r>
      <w:r w:rsidRPr="003A0655">
        <w:t>évaluation technique et économique avaient récemment établi des rapports actualisés sur la question, présentés lors du débat préparatoire ; c</w:t>
      </w:r>
      <w:r w:rsidR="000B3BB8" w:rsidRPr="003A0655">
        <w:t>’</w:t>
      </w:r>
      <w:r w:rsidRPr="003A0655">
        <w:t>est pourquoi ils avaient choisi de ne pas s</w:t>
      </w:r>
      <w:r w:rsidR="000B3BB8" w:rsidRPr="003A0655">
        <w:t>’</w:t>
      </w:r>
      <w:r w:rsidRPr="003A0655">
        <w:t>attarder sur cette question dans leurs exposés au titre du point de l</w:t>
      </w:r>
      <w:r w:rsidR="000B3BB8" w:rsidRPr="003A0655">
        <w:t>’</w:t>
      </w:r>
      <w:r w:rsidRPr="003A0655">
        <w:t>ordre du jour à l</w:t>
      </w:r>
      <w:r w:rsidR="000B3BB8" w:rsidRPr="003A0655">
        <w:t>’</w:t>
      </w:r>
      <w:r w:rsidRPr="003A0655">
        <w:t>examen. Les projections relatives au HFC-23 seraient bien sûr incluses dans les rapports d</w:t>
      </w:r>
      <w:r w:rsidR="000B3BB8" w:rsidRPr="003A0655">
        <w:t>’</w:t>
      </w:r>
      <w:r w:rsidRPr="003A0655">
        <w:t>évaluation quadriennaux de 2026. M. Woodcock a concédé que la question de l</w:t>
      </w:r>
      <w:r w:rsidR="000B3BB8" w:rsidRPr="003A0655">
        <w:t>’</w:t>
      </w:r>
      <w:r w:rsidRPr="003A0655">
        <w:t>écart constaté était importante et qu</w:t>
      </w:r>
      <w:r w:rsidR="000B3BB8" w:rsidRPr="003A0655">
        <w:t>’</w:t>
      </w:r>
      <w:r w:rsidRPr="003A0655">
        <w:t>elle aurait dû être traitée de manière plus approfondie.</w:t>
      </w:r>
    </w:p>
    <w:p w14:paraId="12CAE1CE" w14:textId="7ABF55BE" w:rsidR="0025222A" w:rsidRPr="003A0655" w:rsidRDefault="0025222A" w:rsidP="0025222A">
      <w:pPr>
        <w:pStyle w:val="Normalnumber"/>
        <w:numPr>
          <w:ilvl w:val="0"/>
          <w:numId w:val="1"/>
        </w:numPr>
        <w:tabs>
          <w:tab w:val="clear" w:pos="1871"/>
          <w:tab w:val="clear" w:pos="2495"/>
          <w:tab w:val="clear" w:pos="3119"/>
          <w:tab w:val="clear" w:pos="3742"/>
          <w:tab w:val="clear" w:pos="4366"/>
          <w:tab w:val="num" w:pos="624"/>
        </w:tabs>
        <w:ind w:left="1248"/>
      </w:pPr>
      <w:r w:rsidRPr="003A0655">
        <w:t>Un représentant a demandé aux groupes d</w:t>
      </w:r>
      <w:r w:rsidR="000B3BB8" w:rsidRPr="003A0655">
        <w:t>’</w:t>
      </w:r>
      <w:r w:rsidRPr="003A0655">
        <w:t>évaluation de présenter plus clairement, dans leurs futurs rapports, les informations relatives aux substances provenant de sources naturelles importantes.</w:t>
      </w:r>
    </w:p>
    <w:p w14:paraId="0C454F2A" w14:textId="77777777" w:rsidR="0025222A" w:rsidRPr="003A0655" w:rsidRDefault="0025222A" w:rsidP="0025222A">
      <w:pPr>
        <w:pStyle w:val="Normalnumber"/>
        <w:numPr>
          <w:ilvl w:val="0"/>
          <w:numId w:val="1"/>
        </w:numPr>
        <w:tabs>
          <w:tab w:val="clear" w:pos="1871"/>
          <w:tab w:val="clear" w:pos="2495"/>
          <w:tab w:val="clear" w:pos="3119"/>
          <w:tab w:val="clear" w:pos="3742"/>
          <w:tab w:val="clear" w:pos="4366"/>
          <w:tab w:val="num" w:pos="624"/>
        </w:tabs>
        <w:ind w:left="1248"/>
      </w:pPr>
      <w:r w:rsidRPr="003A0655">
        <w:t>Les Parties ont pris note des informations présentées.</w:t>
      </w:r>
    </w:p>
    <w:p w14:paraId="598F80B3" w14:textId="65EDCF1E" w:rsidR="00CF4056" w:rsidRPr="003A0655" w:rsidRDefault="00CF4056" w:rsidP="00CF4056">
      <w:pPr>
        <w:pStyle w:val="CH1"/>
        <w:keepNext w:val="0"/>
        <w:keepLines w:val="0"/>
      </w:pPr>
      <w:r w:rsidRPr="003A0655">
        <w:tab/>
        <w:t>IV.</w:t>
      </w:r>
      <w:r w:rsidRPr="003A0655">
        <w:tab/>
      </w:r>
      <w:r w:rsidR="00FF6122" w:rsidRPr="003A0655">
        <w:t>Exposé du Président du Comité exécutif du Fonds multilatéral aux</w:t>
      </w:r>
      <w:r w:rsidR="004D3761" w:rsidRPr="003A0655">
        <w:t> </w:t>
      </w:r>
      <w:r w:rsidR="00FF6122" w:rsidRPr="003A0655">
        <w:t>fins d</w:t>
      </w:r>
      <w:r w:rsidR="000B3BB8" w:rsidRPr="003A0655">
        <w:t>’</w:t>
      </w:r>
      <w:r w:rsidR="00FF6122" w:rsidRPr="003A0655">
        <w:t>application du Protocole de Montréal sur les travaux du</w:t>
      </w:r>
      <w:r w:rsidR="004D3761" w:rsidRPr="003A0655">
        <w:t> </w:t>
      </w:r>
      <w:r w:rsidR="00FF6122" w:rsidRPr="003A0655">
        <w:t>Comité exécutif, du secrétariat du Fonds multilatéral et</w:t>
      </w:r>
      <w:r w:rsidR="00535C2F" w:rsidRPr="003A0655">
        <w:t> </w:t>
      </w:r>
      <w:r w:rsidR="00FF6122" w:rsidRPr="003A0655">
        <w:t>des</w:t>
      </w:r>
      <w:r w:rsidR="005927C7" w:rsidRPr="003A0655">
        <w:t> </w:t>
      </w:r>
      <w:r w:rsidR="00FF6122" w:rsidRPr="003A0655">
        <w:t>organismes d</w:t>
      </w:r>
      <w:r w:rsidR="000B3BB8" w:rsidRPr="003A0655">
        <w:t>’</w:t>
      </w:r>
      <w:r w:rsidR="00FF6122" w:rsidRPr="003A0655">
        <w:t>exécution du Fonds</w:t>
      </w:r>
    </w:p>
    <w:p w14:paraId="6719B10E" w14:textId="5779A36B" w:rsidR="0044568A" w:rsidRPr="003A0655" w:rsidRDefault="0044568A" w:rsidP="0044568A">
      <w:pPr>
        <w:pStyle w:val="Normalnumber"/>
        <w:numPr>
          <w:ilvl w:val="0"/>
          <w:numId w:val="1"/>
        </w:numPr>
        <w:tabs>
          <w:tab w:val="clear" w:pos="1871"/>
          <w:tab w:val="clear" w:pos="2495"/>
          <w:tab w:val="clear" w:pos="3119"/>
          <w:tab w:val="clear" w:pos="3742"/>
          <w:tab w:val="clear" w:pos="4366"/>
          <w:tab w:val="num" w:pos="624"/>
        </w:tabs>
        <w:ind w:left="1248"/>
      </w:pPr>
      <w:r w:rsidRPr="003A0655">
        <w:t>Alessandro Peru, Président du Comité exécutif du Fonds multilatéral aux fins d</w:t>
      </w:r>
      <w:r w:rsidR="000B3BB8" w:rsidRPr="003A0655">
        <w:t>’</w:t>
      </w:r>
      <w:r w:rsidRPr="003A0655">
        <w:t>application du Protocole de Montréal, a rendu compte des travaux menés par le Comité exécutif, le secrétariat du Fonds multilatéral et les organismes d</w:t>
      </w:r>
      <w:r w:rsidR="000B3BB8" w:rsidRPr="003A0655">
        <w:t>’</w:t>
      </w:r>
      <w:r w:rsidRPr="003A0655">
        <w:t>exécution du Fonds depuis la trente-sixième Réunion des Parties, en résumant les informations figurant dans le document UNEP/OzL.Pro.37/8. Sa déclaration est reproduite dans l</w:t>
      </w:r>
      <w:r w:rsidR="000B3BB8" w:rsidRPr="003A0655">
        <w:t>’</w:t>
      </w:r>
      <w:r w:rsidRPr="003A0655">
        <w:t xml:space="preserve">annexe II du présent rapport. </w:t>
      </w:r>
    </w:p>
    <w:p w14:paraId="5FAA5953" w14:textId="77777777" w:rsidR="0044568A" w:rsidRPr="003A0655" w:rsidRDefault="0044568A" w:rsidP="0044568A">
      <w:pPr>
        <w:pStyle w:val="Normalnumber"/>
        <w:numPr>
          <w:ilvl w:val="0"/>
          <w:numId w:val="1"/>
        </w:numPr>
        <w:tabs>
          <w:tab w:val="clear" w:pos="1871"/>
          <w:tab w:val="clear" w:pos="2495"/>
          <w:tab w:val="clear" w:pos="3119"/>
          <w:tab w:val="clear" w:pos="3742"/>
          <w:tab w:val="clear" w:pos="4366"/>
          <w:tab w:val="num" w:pos="624"/>
        </w:tabs>
        <w:ind w:left="1248"/>
      </w:pPr>
      <w:r w:rsidRPr="003A0655">
        <w:t>Les Parties ont pris note des informations présentées.</w:t>
      </w:r>
    </w:p>
    <w:p w14:paraId="2344A48A" w14:textId="43B8B8D6" w:rsidR="00CF4056" w:rsidRPr="003A0655" w:rsidRDefault="00CF4056" w:rsidP="00CF4056">
      <w:pPr>
        <w:pStyle w:val="CH1"/>
        <w:keepNext w:val="0"/>
        <w:keepLines w:val="0"/>
      </w:pPr>
      <w:r w:rsidRPr="003A0655">
        <w:tab/>
        <w:t>V.</w:t>
      </w:r>
      <w:r w:rsidRPr="003A0655">
        <w:tab/>
      </w:r>
      <w:r w:rsidR="00D27FD0" w:rsidRPr="003A0655">
        <w:t>Déclarations des chef(</w:t>
      </w:r>
      <w:proofErr w:type="spellStart"/>
      <w:r w:rsidR="00D27FD0" w:rsidRPr="003A0655">
        <w:t>fe</w:t>
      </w:r>
      <w:proofErr w:type="spellEnd"/>
      <w:r w:rsidR="00D27FD0" w:rsidRPr="003A0655">
        <w:t>)s de délégation et débat sur des sujets c</w:t>
      </w:r>
      <w:r w:rsidR="006E4119" w:rsidRPr="003A0655">
        <w:t>lé</w:t>
      </w:r>
      <w:r w:rsidR="00D27FD0" w:rsidRPr="003A0655">
        <w:t>s</w:t>
      </w:r>
    </w:p>
    <w:p w14:paraId="4B7E4FF7" w14:textId="5CAB690A"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Au cours du débat de haut niveau, les chef(</w:t>
      </w:r>
      <w:proofErr w:type="spellStart"/>
      <w:r w:rsidRPr="003A0655">
        <w:t>fe</w:t>
      </w:r>
      <w:proofErr w:type="spellEnd"/>
      <w:r w:rsidRPr="003A0655">
        <w:t>)s de délégation ou les représentant(e)s des Parties ci-après ont fait des déclarations</w:t>
      </w:r>
      <w:r w:rsidR="00F97C78" w:rsidRPr="003A0655">
        <w:t> </w:t>
      </w:r>
      <w:r w:rsidRPr="003A0655">
        <w:t>: Angola, Arabie saoudite, Azerbaïdjan, Bangladesh, Barbade, Bosnie-Herzégovine, Brésil, Burundi, Cambodge, Chine, Colombie, Comores, Costa Rica, Cuba, Équateur, Fidji, Gambie, Inde, Indonésie, Iran (République islamique d</w:t>
      </w:r>
      <w:r w:rsidR="000B3BB8" w:rsidRPr="003A0655">
        <w:t>’</w:t>
      </w:r>
      <w:r w:rsidRPr="003A0655">
        <w:t>), Iraq, Malaisie, Maldives, Maurice, Mexique, Mozambique, Myanmar, Nigéria, Ouganda, Pérou, Philippines, Qatar, Sénégal (au nom du Groupe africain de négociateurs sur l</w:t>
      </w:r>
      <w:r w:rsidR="000B3BB8" w:rsidRPr="003A0655">
        <w:t>’</w:t>
      </w:r>
      <w:r w:rsidRPr="003A0655">
        <w:t>ozone), Sri Lanka, Tunisie, Türkiye, Union européenne, Viet Nam et Yémen. Des déclarations ont également été faites par des représentant(e)s du grand groupe des enfants et des jeunes et de l</w:t>
      </w:r>
      <w:r w:rsidR="000B3BB8" w:rsidRPr="003A0655">
        <w:t>’</w:t>
      </w:r>
      <w:r w:rsidRPr="003A0655">
        <w:t>Institut international du froid.</w:t>
      </w:r>
    </w:p>
    <w:p w14:paraId="47CE8C86" w14:textId="444A04EB" w:rsidR="00A4464D" w:rsidRPr="003A0655" w:rsidRDefault="00A4464D" w:rsidP="000D1E09">
      <w:pPr>
        <w:pStyle w:val="Normalnumber"/>
        <w:numPr>
          <w:ilvl w:val="0"/>
          <w:numId w:val="1"/>
        </w:numPr>
        <w:tabs>
          <w:tab w:val="clear" w:pos="1871"/>
          <w:tab w:val="clear" w:pos="2495"/>
          <w:tab w:val="clear" w:pos="3119"/>
          <w:tab w:val="clear" w:pos="3742"/>
          <w:tab w:val="clear" w:pos="4366"/>
          <w:tab w:val="num" w:pos="624"/>
        </w:tabs>
        <w:ind w:left="1248"/>
      </w:pPr>
      <w:r w:rsidRPr="003A0655">
        <w:t>Bon nombre d</w:t>
      </w:r>
      <w:r w:rsidR="000B3BB8" w:rsidRPr="003A0655">
        <w:t>’</w:t>
      </w:r>
      <w:r w:rsidRPr="003A0655">
        <w:t>intervenant(e)s ont remercié le Gouvernement et le peuple kényans pour leur hospitalité. Des remerciements ont également été adressés au Secrétariat de l</w:t>
      </w:r>
      <w:r w:rsidR="000B3BB8" w:rsidRPr="003A0655">
        <w:t>’</w:t>
      </w:r>
      <w:r w:rsidRPr="003A0655">
        <w:t>ozone et au Bureau, au secrétariat et au Comité exécutif du Fonds multilatéral, au PNUE, aux organismes d</w:t>
      </w:r>
      <w:r w:rsidR="000B3BB8" w:rsidRPr="003A0655">
        <w:t>’</w:t>
      </w:r>
      <w:r w:rsidRPr="003A0655">
        <w:t>exécution, aux partenaires donateurs, aux groupes d</w:t>
      </w:r>
      <w:r w:rsidR="000B3BB8" w:rsidRPr="003A0655">
        <w:t>’</w:t>
      </w:r>
      <w:r w:rsidRPr="003A0655">
        <w:t>évaluation, aux organisations internationales et aux autres parties</w:t>
      </w:r>
      <w:r w:rsidR="000D1E09" w:rsidRPr="003A0655">
        <w:t> </w:t>
      </w:r>
      <w:r w:rsidRPr="003A0655">
        <w:t xml:space="preserve">prenantes pour le concours apporté au succès de la Réunion et du Protocole de Montréal en général. </w:t>
      </w:r>
    </w:p>
    <w:p w14:paraId="59F1C9B1" w14:textId="6608E269"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Plusieurs représentant(e)s ont évoqué l</w:t>
      </w:r>
      <w:r w:rsidR="000B3BB8" w:rsidRPr="003A0655">
        <w:t>’</w:t>
      </w:r>
      <w:r w:rsidRPr="003A0655">
        <w:t>importance contextuelle de la Réunion, qui offrait l</w:t>
      </w:r>
      <w:r w:rsidR="000B3BB8" w:rsidRPr="003A0655">
        <w:t>’</w:t>
      </w:r>
      <w:r w:rsidRPr="003A0655">
        <w:t>occasion de réfléchir aux progrès accomplis, de circonscrire les défis qui subsistaient et de renouveler l</w:t>
      </w:r>
      <w:r w:rsidR="000B3BB8" w:rsidRPr="003A0655">
        <w:t>’</w:t>
      </w:r>
      <w:r w:rsidRPr="003A0655">
        <w:t>engagement collectif en faveur de la protection de la couche d</w:t>
      </w:r>
      <w:r w:rsidR="000B3BB8" w:rsidRPr="003A0655">
        <w:t>’</w:t>
      </w:r>
      <w:r w:rsidRPr="003A0655">
        <w:t>ozone et de l</w:t>
      </w:r>
      <w:r w:rsidR="000B3BB8" w:rsidRPr="003A0655">
        <w:t>’</w:t>
      </w:r>
      <w:r w:rsidRPr="003A0655">
        <w:t>atténuation des changements climatiques. Plusieurs représentant(e)s ont rappelé que 2025 marquait le quarantième</w:t>
      </w:r>
      <w:r w:rsidR="00D7777E" w:rsidRPr="003A0655">
        <w:t> </w:t>
      </w:r>
      <w:r w:rsidRPr="003A0655">
        <w:t>anniversaire de la Convention de Vienne qui, avec le Protocole de Montréal y relatif, avait jeté les bases d</w:t>
      </w:r>
      <w:r w:rsidR="000B3BB8" w:rsidRPr="003A0655">
        <w:t>’</w:t>
      </w:r>
      <w:r w:rsidRPr="003A0655">
        <w:t>une coopération internationale ultérieure dans les domaines de la recherche, de l</w:t>
      </w:r>
      <w:r w:rsidR="000B3BB8" w:rsidRPr="003A0655">
        <w:t>’</w:t>
      </w:r>
      <w:r w:rsidRPr="003A0655">
        <w:t>observation systématique et de l</w:t>
      </w:r>
      <w:r w:rsidR="000B3BB8" w:rsidRPr="003A0655">
        <w:t>’</w:t>
      </w:r>
      <w:r w:rsidRPr="003A0655">
        <w:t>évaluation scientifique afin de remédier au problème que constituait l</w:t>
      </w:r>
      <w:r w:rsidR="000B3BB8" w:rsidRPr="003A0655">
        <w:t>’</w:t>
      </w:r>
      <w:r w:rsidRPr="003A0655">
        <w:t>appauvrissement de la couche d</w:t>
      </w:r>
      <w:r w:rsidR="000B3BB8" w:rsidRPr="003A0655">
        <w:t>’</w:t>
      </w:r>
      <w:r w:rsidRPr="003A0655">
        <w:t>ozone.</w:t>
      </w:r>
    </w:p>
    <w:p w14:paraId="2BD3836A" w14:textId="223ACD52"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Le succès remporté par le Protocole de Montréal et ses Parties dans l</w:t>
      </w:r>
      <w:r w:rsidR="00AE29B6" w:rsidRPr="003A0655">
        <w:t>a</w:t>
      </w:r>
      <w:r w:rsidRPr="003A0655">
        <w:t xml:space="preserve"> réglementation et l</w:t>
      </w:r>
      <w:r w:rsidR="000B3BB8" w:rsidRPr="003A0655">
        <w:t>’</w:t>
      </w:r>
      <w:r w:rsidRPr="003A0655">
        <w:t>élimination progressive des substances appauvrissant la couche d</w:t>
      </w:r>
      <w:r w:rsidR="000B3BB8" w:rsidRPr="003A0655">
        <w:t>’</w:t>
      </w:r>
      <w:r w:rsidRPr="003A0655">
        <w:t>ozone, qui avait été une source de bienfaits considérables pour la santé humaine et l</w:t>
      </w:r>
      <w:r w:rsidR="000B3BB8" w:rsidRPr="003A0655">
        <w:t>’</w:t>
      </w:r>
      <w:r w:rsidRPr="003A0655">
        <w:t>environnement, a été salué par bon nombre d</w:t>
      </w:r>
      <w:r w:rsidR="000B3BB8" w:rsidRPr="003A0655">
        <w:t>’</w:t>
      </w:r>
      <w:r w:rsidRPr="003A0655">
        <w:t>intervenant(e)s. Le Protocole de Montréal constituait un jalon dans la réussite des accords multilatéraux, illustrant ce qu</w:t>
      </w:r>
      <w:r w:rsidR="000B3BB8" w:rsidRPr="003A0655">
        <w:t>’</w:t>
      </w:r>
      <w:r w:rsidRPr="003A0655">
        <w:t>il était possible d</w:t>
      </w:r>
      <w:r w:rsidR="000B3BB8" w:rsidRPr="003A0655">
        <w:t>’</w:t>
      </w:r>
      <w:r w:rsidRPr="003A0655">
        <w:t>accomplir lorsque les nations admettaient que les défis environnementaux transcendaient les frontières et s</w:t>
      </w:r>
      <w:r w:rsidR="000B3BB8" w:rsidRPr="003A0655">
        <w:t>’</w:t>
      </w:r>
      <w:r w:rsidRPr="003A0655">
        <w:t>unissaient autour d</w:t>
      </w:r>
      <w:r w:rsidR="000B3BB8" w:rsidRPr="003A0655">
        <w:t>’</w:t>
      </w:r>
      <w:r w:rsidRPr="003A0655">
        <w:t>un objectif commun. Ce succès trouvait son origine dans la reconnaissance collective du fait que la science, alliée à la confiance dans les résultats des travaux scientifiques, constituait le fondement d</w:t>
      </w:r>
      <w:r w:rsidR="000B3BB8" w:rsidRPr="003A0655">
        <w:t>’</w:t>
      </w:r>
      <w:r w:rsidRPr="003A0655">
        <w:t>une action efficace. Le Fonds multilatéral, en aidant de nombreux pays à prendre les mesures nécessaires au niveau national pour éliminer progressivement les substances appauvrissant la couche d</w:t>
      </w:r>
      <w:r w:rsidR="000B3BB8" w:rsidRPr="003A0655">
        <w:t>’</w:t>
      </w:r>
      <w:r w:rsidRPr="003A0655">
        <w:t>ozone, avait joué un rôle primordial dans cette réussite. Plus récemment, l</w:t>
      </w:r>
      <w:r w:rsidR="000B3BB8" w:rsidRPr="003A0655">
        <w:t>’</w:t>
      </w:r>
      <w:r w:rsidRPr="003A0655">
        <w:t>Amendement de Kigali au Protocole de Montréal s</w:t>
      </w:r>
      <w:r w:rsidR="000B3BB8" w:rsidRPr="003A0655">
        <w:t>’</w:t>
      </w:r>
      <w:r w:rsidRPr="003A0655">
        <w:t>était imposé comme l</w:t>
      </w:r>
      <w:r w:rsidR="000B3BB8" w:rsidRPr="003A0655">
        <w:t>’</w:t>
      </w:r>
      <w:r w:rsidRPr="003A0655">
        <w:t>un des piliers de la coopération internationale en matière d</w:t>
      </w:r>
      <w:r w:rsidR="000B3BB8" w:rsidRPr="003A0655">
        <w:t>’</w:t>
      </w:r>
      <w:r w:rsidRPr="003A0655">
        <w:t>environnement. Comme l</w:t>
      </w:r>
      <w:r w:rsidR="000B3BB8" w:rsidRPr="003A0655">
        <w:t>’</w:t>
      </w:r>
      <w:r w:rsidRPr="003A0655">
        <w:t>a fait remarquer un représentant, la véritable valeur du Protocole de Montréal résidait dans le fait qu</w:t>
      </w:r>
      <w:r w:rsidR="000B3BB8" w:rsidRPr="003A0655">
        <w:t>’</w:t>
      </w:r>
      <w:r w:rsidRPr="003A0655">
        <w:t>il démontrait qu</w:t>
      </w:r>
      <w:r w:rsidR="000B3BB8" w:rsidRPr="003A0655">
        <w:t>’</w:t>
      </w:r>
      <w:r w:rsidRPr="003A0655">
        <w:t>en dépit de réalités économiques et politiques différentes, les pays pouvaient s</w:t>
      </w:r>
      <w:r w:rsidR="000B3BB8" w:rsidRPr="003A0655">
        <w:t>’</w:t>
      </w:r>
      <w:r w:rsidRPr="003A0655">
        <w:t>accorder, partager des responsabilités et les assumer. Plusieurs représentant(e)s ont mentionné le principe des responsabilités communes mais différenciées, qui offrait une base juridique et institutionnelle équitable et efficace pour assurer le respect des obligations et apporter un soutien technique et financier.</w:t>
      </w:r>
    </w:p>
    <w:p w14:paraId="6C653380" w14:textId="24623428"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Plusieurs représentant(e)s ont réaffirmé leur attachement aux objectifs de ces instruments et aux principes sous-jacents</w:t>
      </w:r>
      <w:r w:rsidR="00F97C78" w:rsidRPr="003A0655">
        <w:t> </w:t>
      </w:r>
      <w:r w:rsidRPr="003A0655">
        <w:t>: la science comme fondement des décisions, l</w:t>
      </w:r>
      <w:r w:rsidR="000B3BB8" w:rsidRPr="003A0655">
        <w:t>’</w:t>
      </w:r>
      <w:r w:rsidRPr="003A0655">
        <w:t>équité comme moteur de l</w:t>
      </w:r>
      <w:r w:rsidR="000B3BB8" w:rsidRPr="003A0655">
        <w:t>’</w:t>
      </w:r>
      <w:r w:rsidRPr="003A0655">
        <w:t>action, la coopération comme condition préalable au succès et une approche consensuelle pour parvenir à un accord.</w:t>
      </w:r>
    </w:p>
    <w:p w14:paraId="0175A5F9" w14:textId="7301C042"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Malgré ces réalisations impressionnantes, un certain nombre de défis, tant actuels que futurs, continueraient de mettre à l</w:t>
      </w:r>
      <w:r w:rsidR="000B3BB8" w:rsidRPr="003A0655">
        <w:t>’</w:t>
      </w:r>
      <w:r w:rsidRPr="003A0655">
        <w:t>épreuve l</w:t>
      </w:r>
      <w:r w:rsidR="000B3BB8" w:rsidRPr="003A0655">
        <w:t>’</w:t>
      </w:r>
      <w:r w:rsidRPr="003A0655">
        <w:t>ingéniosité de la «</w:t>
      </w:r>
      <w:r w:rsidR="00EF4538" w:rsidRPr="003A0655">
        <w:t> </w:t>
      </w:r>
      <w:r w:rsidRPr="003A0655">
        <w:t>famille de l</w:t>
      </w:r>
      <w:r w:rsidR="000B3BB8" w:rsidRPr="003A0655">
        <w:t>’</w:t>
      </w:r>
      <w:r w:rsidRPr="003A0655">
        <w:t>ozone</w:t>
      </w:r>
      <w:r w:rsidR="00EF4538" w:rsidRPr="003A0655">
        <w:t> </w:t>
      </w:r>
      <w:r w:rsidRPr="003A0655">
        <w:t>». Au nombre de ces défis figuraient</w:t>
      </w:r>
      <w:r w:rsidR="00F97C78" w:rsidRPr="003A0655">
        <w:t> </w:t>
      </w:r>
      <w:r w:rsidRPr="003A0655">
        <w:t>: l</w:t>
      </w:r>
      <w:r w:rsidR="000B3BB8" w:rsidRPr="003A0655">
        <w:t>’</w:t>
      </w:r>
      <w:r w:rsidRPr="003A0655">
        <w:t>incertitude quant à la disponibilité de substances et techniques de remplacement sur le marché et les coûts connexes</w:t>
      </w:r>
      <w:r w:rsidR="002A39D3" w:rsidRPr="003A0655">
        <w:t> </w:t>
      </w:r>
      <w:r w:rsidRPr="003A0655">
        <w:t>; la disponibilité de fonds pour faciliter la mise en œuvre du Protocole de Montréal</w:t>
      </w:r>
      <w:r w:rsidR="002A39D3" w:rsidRPr="003A0655">
        <w:t> </w:t>
      </w:r>
      <w:r w:rsidRPr="003A0655">
        <w:t>; le renforcement des capacités et la formation, actuellement inadéquats, à différents niveaux de gouvernance</w:t>
      </w:r>
      <w:r w:rsidR="002A39D3" w:rsidRPr="003A0655">
        <w:t> </w:t>
      </w:r>
      <w:r w:rsidRPr="003A0655">
        <w:t>; l</w:t>
      </w:r>
      <w:r w:rsidR="000B3BB8" w:rsidRPr="003A0655">
        <w:t>’</w:t>
      </w:r>
      <w:r w:rsidRPr="003A0655">
        <w:t>engagement insuffisant d</w:t>
      </w:r>
      <w:r w:rsidR="000B3BB8" w:rsidRPr="003A0655">
        <w:t>’</w:t>
      </w:r>
      <w:r w:rsidRPr="003A0655">
        <w:t>un large éventail de parties prenantes</w:t>
      </w:r>
      <w:r w:rsidR="002A39D3" w:rsidRPr="003A0655">
        <w:t> </w:t>
      </w:r>
      <w:r w:rsidRPr="003A0655">
        <w:t>; les quantités croissantes de substances appauvrissant la couche d</w:t>
      </w:r>
      <w:r w:rsidR="000B3BB8" w:rsidRPr="003A0655">
        <w:t>’</w:t>
      </w:r>
      <w:r w:rsidRPr="003A0655">
        <w:t>ozone usagées qui devaient être éliminées</w:t>
      </w:r>
      <w:r w:rsidR="002A39D3" w:rsidRPr="003A0655">
        <w:t> </w:t>
      </w:r>
      <w:r w:rsidRPr="003A0655">
        <w:t>; et l</w:t>
      </w:r>
      <w:r w:rsidR="000B3BB8" w:rsidRPr="003A0655">
        <w:t>’</w:t>
      </w:r>
      <w:r w:rsidRPr="003A0655">
        <w:t>impact des conflits armés dans un environnement géopolitique difficile.</w:t>
      </w:r>
    </w:p>
    <w:p w14:paraId="196CE74C" w14:textId="3B446EA5"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Un défi majeur était lié aux écarts inexpliqués entre les données communiquées par les Parties et les concentrations mondiales effectives de certaines substances réglementées. À cet égard, selon les données de la surveillance atmosphérique, les émissions réelles de HFC-23, un sous-produit de la production de HCFC-22 présentant un potentiel de réchauffement global extrêmement élevé, étaient nettement supérieures aux émissions communiquées par les Parties, ce qui constituait une énigme au niveau mondial qu</w:t>
      </w:r>
      <w:r w:rsidR="000B3BB8" w:rsidRPr="003A0655">
        <w:t>’</w:t>
      </w:r>
      <w:r w:rsidRPr="003A0655">
        <w:t>il fallait résoudre d</w:t>
      </w:r>
      <w:r w:rsidR="000B3BB8" w:rsidRPr="003A0655">
        <w:t>’</w:t>
      </w:r>
      <w:r w:rsidRPr="003A0655">
        <w:t>urgence. Ces anomalies et autres phénomènes mettaient en évidence la nécessité pressante de prendre des mesures pour élargir le réseau mondial de surveillance atmosphérique en installant des stations supplémentaires dans des sites prioritaires afin d</w:t>
      </w:r>
      <w:r w:rsidR="000B3BB8" w:rsidRPr="003A0655">
        <w:t>’</w:t>
      </w:r>
      <w:r w:rsidRPr="003A0655">
        <w:t>identifier les besoins et les lacunes à combler et de vérifier l</w:t>
      </w:r>
      <w:r w:rsidR="000B3BB8" w:rsidRPr="003A0655">
        <w:t>’</w:t>
      </w:r>
      <w:r w:rsidRPr="003A0655">
        <w:t>impact des mesures prises sur la couche d</w:t>
      </w:r>
      <w:r w:rsidR="000B3BB8" w:rsidRPr="003A0655">
        <w:t>’</w:t>
      </w:r>
      <w:r w:rsidRPr="003A0655">
        <w:t>ozone. Le représentant du Bangladesh a déclaré que son pays était fier d</w:t>
      </w:r>
      <w:r w:rsidR="000B3BB8" w:rsidRPr="003A0655">
        <w:t>’</w:t>
      </w:r>
      <w:r w:rsidRPr="003A0655">
        <w:t>accueillir la station de surveillance atmosphérique de l</w:t>
      </w:r>
      <w:r w:rsidR="000B3BB8" w:rsidRPr="003A0655">
        <w:t>’</w:t>
      </w:r>
      <w:r w:rsidRPr="003A0655">
        <w:t>île de Bhola, qui fournissait des données précieuses pour améliorer l</w:t>
      </w:r>
      <w:r w:rsidR="000B3BB8" w:rsidRPr="003A0655">
        <w:t>’</w:t>
      </w:r>
      <w:r w:rsidRPr="003A0655">
        <w:t>observation atmosphérique mondiale et renforcer les fondements scientifiques sur lesquels reposaient les décisions prises dans le cadre du Protocole de Montréal.</w:t>
      </w:r>
    </w:p>
    <w:p w14:paraId="01F21E0A" w14:textId="5C4F5547"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D</w:t>
      </w:r>
      <w:r w:rsidR="000B3BB8" w:rsidRPr="003A0655">
        <w:t>’</w:t>
      </w:r>
      <w:r w:rsidRPr="003A0655">
        <w:t>autres défis émergents étaient liés aux PFAS, dont la production et les émissions étaient associées aux produits intermédiaires et aux précurseurs utilisés dans la fabrication de substances fluorées, ainsi qu</w:t>
      </w:r>
      <w:r w:rsidR="000B3BB8" w:rsidRPr="003A0655">
        <w:t>’</w:t>
      </w:r>
      <w:r w:rsidRPr="003A0655">
        <w:t>à l</w:t>
      </w:r>
      <w:r w:rsidR="000B3BB8" w:rsidRPr="003A0655">
        <w:t>’</w:t>
      </w:r>
      <w:r w:rsidRPr="003A0655">
        <w:t xml:space="preserve">utilisation continue </w:t>
      </w:r>
      <w:proofErr w:type="gramStart"/>
      <w:r w:rsidRPr="003A0655">
        <w:t>de halon</w:t>
      </w:r>
      <w:proofErr w:type="gramEnd"/>
      <w:r w:rsidRPr="003A0655">
        <w:t xml:space="preserve"> 1301 dans le secteur de l</w:t>
      </w:r>
      <w:r w:rsidR="000B3BB8" w:rsidRPr="003A0655">
        <w:t>’</w:t>
      </w:r>
      <w:r w:rsidRPr="003A0655">
        <w:t xml:space="preserve">aviation. </w:t>
      </w:r>
    </w:p>
    <w:p w14:paraId="407712ED" w14:textId="7909AB3C"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S</w:t>
      </w:r>
      <w:r w:rsidR="000B3BB8" w:rsidRPr="003A0655">
        <w:t>’</w:t>
      </w:r>
      <w:r w:rsidRPr="003A0655">
        <w:t>agissant de la structure organisationnelle du Protocole de Montréal, il importait de continuer de renforcer les institutions du Protocole afin d</w:t>
      </w:r>
      <w:r w:rsidR="000B3BB8" w:rsidRPr="003A0655">
        <w:t>’</w:t>
      </w:r>
      <w:r w:rsidRPr="003A0655">
        <w:t>assurer le respect ininterrompu de ses dispositions et de s</w:t>
      </w:r>
      <w:r w:rsidR="000B3BB8" w:rsidRPr="003A0655">
        <w:t>’</w:t>
      </w:r>
      <w:r w:rsidRPr="003A0655">
        <w:t>adapter à l</w:t>
      </w:r>
      <w:r w:rsidR="000B3BB8" w:rsidRPr="003A0655">
        <w:t>’</w:t>
      </w:r>
      <w:r w:rsidRPr="003A0655">
        <w:t>évolution rapide du cadre institutionnel mondial. L</w:t>
      </w:r>
      <w:r w:rsidR="000B3BB8" w:rsidRPr="003A0655">
        <w:t>’</w:t>
      </w:r>
      <w:r w:rsidRPr="003A0655">
        <w:t>intensification du commerce illicite exigeait une vigilance accrue, soulignant la nécessité pour les Parties de continuer à partager des informations, des pratiques exemplaires et des enseignements à retenir afin d</w:t>
      </w:r>
      <w:r w:rsidR="000B3BB8" w:rsidRPr="003A0655">
        <w:t>’</w:t>
      </w:r>
      <w:r w:rsidRPr="003A0655">
        <w:t>améliorer les systèmes d</w:t>
      </w:r>
      <w:r w:rsidR="000B3BB8" w:rsidRPr="003A0655">
        <w:t>’</w:t>
      </w:r>
      <w:r w:rsidRPr="003A0655">
        <w:t>octroi de licences, de vérification et de communication des données.</w:t>
      </w:r>
    </w:p>
    <w:p w14:paraId="331DF384" w14:textId="3781FF2F"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Pour relever tous ces défis, le Protocole de Montréal devait rester attentif aux besoins et aux exigences spécifiques de certains groupes de pays vulnérables, notamment les petits États insulaires en développement et les pays à faible ou très faible consommation.</w:t>
      </w:r>
    </w:p>
    <w:p w14:paraId="1F13E6D9" w14:textId="6322E6FA"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Le financement et les autres formes d</w:t>
      </w:r>
      <w:r w:rsidR="000B3BB8" w:rsidRPr="003A0655">
        <w:t>’</w:t>
      </w:r>
      <w:r w:rsidRPr="003A0655">
        <w:t>aide restaient essentiels au succès du Protocole de Montréal, en particulier dans un contexte où les pays en développement étaient confrontés à des contraintes financières, à des limitations technologiques et à une pression sociale grandissante pour maintenir le cap sur la croissance économique et l</w:t>
      </w:r>
      <w:r w:rsidR="000B3BB8" w:rsidRPr="003A0655">
        <w:t>’</w:t>
      </w:r>
      <w:r w:rsidRPr="003A0655">
        <w:t>inclusion. Plusieurs pays ont évoqué la nécessité d</w:t>
      </w:r>
      <w:r w:rsidR="000B3BB8" w:rsidRPr="003A0655">
        <w:t>’</w:t>
      </w:r>
      <w:r w:rsidRPr="003A0655">
        <w:t>une aide technique et financière supplémentaire, notamment en matière de transfert de technologies, afin de soutenir le renforcement des institutions et des capacités ainsi que la formation à la sécurité, et de traiter les questions émergentes telles que les PFAS, les réfrigérants inflammables et la demande croissante de refroidissement dans les centres de données. Au nombre des autres priorités de financement identifiées figuraient l</w:t>
      </w:r>
      <w:r w:rsidR="000B3BB8" w:rsidRPr="003A0655">
        <w:t>’</w:t>
      </w:r>
      <w:r w:rsidRPr="003A0655">
        <w:t xml:space="preserve">efficacité énergétique, </w:t>
      </w:r>
      <w:r w:rsidR="00D66BCE" w:rsidRPr="003A0655">
        <w:t xml:space="preserve">la prise en compte </w:t>
      </w:r>
      <w:r w:rsidRPr="003A0655">
        <w:t>des questions de genre, la gestion de fin de vie et la transition numérique dans le secteur de l</w:t>
      </w:r>
      <w:r w:rsidR="000B3BB8" w:rsidRPr="003A0655">
        <w:t>’</w:t>
      </w:r>
      <w:r w:rsidRPr="003A0655">
        <w:t>entretien. Des inquiétudes ont été exprimées quant au coût élevé des technologies de remplacement actuellement disponibles, en particulier dans les secteurs de la climatisation et de la réfrigération, qui pesait lourdement sur les économies nationales. Pour remédier à cette situation, un soutien technique et financier accru était indispensable, notamment de la part du Fonds multilatéral. Plusieurs représentant(e)s ont souligné que ce soutien devait être dispensé de manière juste et équitable, sans parti pris politique.</w:t>
      </w:r>
    </w:p>
    <w:p w14:paraId="598BC8C7" w14:textId="051B1F38"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Le Fonds multilatéral demeurait le mécanisme incontournable qui permettait aux pays en développement de relever des défis complexes et de se conformer aux calendriers d</w:t>
      </w:r>
      <w:r w:rsidR="000B3BB8" w:rsidRPr="003A0655">
        <w:t>’</w:t>
      </w:r>
      <w:r w:rsidRPr="003A0655">
        <w:t>élimination et de réduction progressives prévus par le Protocole de Montréal et l</w:t>
      </w:r>
      <w:r w:rsidR="000B3BB8" w:rsidRPr="003A0655">
        <w:t>’</w:t>
      </w:r>
      <w:r w:rsidRPr="003A0655">
        <w:t>Amendement de Kigali, tout en servant de plateforme pour l</w:t>
      </w:r>
      <w:r w:rsidR="000B3BB8" w:rsidRPr="003A0655">
        <w:t>’</w:t>
      </w:r>
      <w:r w:rsidRPr="003A0655">
        <w:t>innovation, le renforcement des capacités et la mise en commun des progrès. Cependant, malgré son efficacité exemplaire en matière de coopération, le Fonds multilatéral devait être consolidé pour faire face aux nouvelles étapes à franchir. Des mécanismes de financement plus réactifs, prévisibles et durables étaient nécessaires pour intensifier l</w:t>
      </w:r>
      <w:r w:rsidR="000B3BB8" w:rsidRPr="003A0655">
        <w:t>’</w:t>
      </w:r>
      <w:r w:rsidRPr="003A0655">
        <w:t>action et veiller à ce qu</w:t>
      </w:r>
      <w:r w:rsidR="000B3BB8" w:rsidRPr="003A0655">
        <w:t>’</w:t>
      </w:r>
      <w:r w:rsidRPr="003A0655">
        <w:t xml:space="preserve">aucun pays ne soit laissé pour compte. </w:t>
      </w:r>
    </w:p>
    <w:p w14:paraId="62A2721A" w14:textId="210EF0BD"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Les discussions menées lors de la Réunion en cours au sujet du cadre de l</w:t>
      </w:r>
      <w:r w:rsidR="000B3BB8" w:rsidRPr="003A0655">
        <w:t>’</w:t>
      </w:r>
      <w:r w:rsidRPr="003A0655">
        <w:t>étude sur la reconstitution du Fonds multilatéral aux fins d</w:t>
      </w:r>
      <w:r w:rsidR="000B3BB8" w:rsidRPr="003A0655">
        <w:t>’</w:t>
      </w:r>
      <w:r w:rsidRPr="003A0655">
        <w:t>application du Protocole de Montréal pour la période 2027-2029 revêtaient donc une importance cruciale. Pour assurer la viabilité à long terme du Protocole de Montréal, il était impératif de poursuivre les activités et les politiques visant le respect des engagements en matière de réduction progressive des HFC, y compris la mise au point de solutions utilisant des réfrigérants naturels. Le montant de la reconstitution devait être à la hauteur des défis réels auxquels étaient confrontés les pays en développement, notamment les pays à faible consommation, pour lesquels les besoins en matière d</w:t>
      </w:r>
      <w:r w:rsidR="000B3BB8" w:rsidRPr="003A0655">
        <w:t>’</w:t>
      </w:r>
      <w:r w:rsidRPr="003A0655">
        <w:t>entretien, de transfert de technologie, de formation technique, de vérification des données et d</w:t>
      </w:r>
      <w:r w:rsidR="000B3BB8" w:rsidRPr="003A0655">
        <w:t>’</w:t>
      </w:r>
      <w:r w:rsidRPr="003A0655">
        <w:t xml:space="preserve">ajustements réglementaires constituaient une lourde charge. </w:t>
      </w:r>
    </w:p>
    <w:p w14:paraId="0D003A4C" w14:textId="7085135C"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Plusieurs représentant(e)s ont décrit les mesures successives prises par leurs pays, avec l</w:t>
      </w:r>
      <w:r w:rsidR="000B3BB8" w:rsidRPr="003A0655">
        <w:t>’</w:t>
      </w:r>
      <w:r w:rsidRPr="003A0655">
        <w:t>aide du Fonds multilatéral et des organismes d</w:t>
      </w:r>
      <w:r w:rsidR="000B3BB8" w:rsidRPr="003A0655">
        <w:t>’</w:t>
      </w:r>
      <w:r w:rsidRPr="003A0655">
        <w:t>exécution, pour éliminer progressivement les substances qui appauvrissent la couche d</w:t>
      </w:r>
      <w:r w:rsidR="000B3BB8" w:rsidRPr="003A0655">
        <w:t>’</w:t>
      </w:r>
      <w:r w:rsidRPr="003A0655">
        <w:t>ozone, mettre en œuvre les différentes phases de leur plan de gestion de l</w:t>
      </w:r>
      <w:r w:rsidR="000B3BB8" w:rsidRPr="003A0655">
        <w:t>’</w:t>
      </w:r>
      <w:r w:rsidRPr="003A0655">
        <w:t>élimination des HCFC et se conformer aux dispositions du Protocole de Montréal, au nombre desquelles figuraient des mesures législatives, politiques, fiscales, institutionnelles et programmatiques. Un large éventail d</w:t>
      </w:r>
      <w:r w:rsidR="000B3BB8" w:rsidRPr="003A0655">
        <w:t>’</w:t>
      </w:r>
      <w:r w:rsidRPr="003A0655">
        <w:t>activités a été présenté, notamment l</w:t>
      </w:r>
      <w:r w:rsidR="000B3BB8" w:rsidRPr="003A0655">
        <w:t>’</w:t>
      </w:r>
      <w:r w:rsidRPr="003A0655">
        <w:t>interdiction d</w:t>
      </w:r>
      <w:r w:rsidR="000B3BB8" w:rsidRPr="003A0655">
        <w:t>’</w:t>
      </w:r>
      <w:r w:rsidRPr="003A0655">
        <w:t>importer et d</w:t>
      </w:r>
      <w:r w:rsidR="000B3BB8" w:rsidRPr="003A0655">
        <w:t>’</w:t>
      </w:r>
      <w:r w:rsidRPr="003A0655">
        <w:t>utiliser des climatiseurs à base de HCFC</w:t>
      </w:r>
      <w:r w:rsidR="002A39D3" w:rsidRPr="003A0655">
        <w:t> </w:t>
      </w:r>
      <w:r w:rsidRPr="003A0655">
        <w:t>; le renforcement des cadres institutionnels et réglementaires grâce à la collaboration avec les principaux organismes concernés</w:t>
      </w:r>
      <w:r w:rsidR="002A39D3" w:rsidRPr="003A0655">
        <w:t> </w:t>
      </w:r>
      <w:r w:rsidRPr="003A0655">
        <w:t>; la mise en place de programmes de formation et de certification destinés au personnel des services techniques, des douanes et des forces de l</w:t>
      </w:r>
      <w:r w:rsidR="000B3BB8" w:rsidRPr="003A0655">
        <w:t>’</w:t>
      </w:r>
      <w:r w:rsidRPr="003A0655">
        <w:t>ordre ainsi qu</w:t>
      </w:r>
      <w:r w:rsidR="000B3BB8" w:rsidRPr="003A0655">
        <w:t>’</w:t>
      </w:r>
      <w:r w:rsidRPr="003A0655">
        <w:t>aux secteurs industriels concernés</w:t>
      </w:r>
      <w:r w:rsidR="002A39D3" w:rsidRPr="003A0655">
        <w:t> </w:t>
      </w:r>
      <w:r w:rsidRPr="003A0655">
        <w:t>; le lancement de campagnes de sensibilisation dans les écoles et auprès du grand public</w:t>
      </w:r>
      <w:r w:rsidR="002A39D3" w:rsidRPr="003A0655">
        <w:t> </w:t>
      </w:r>
      <w:r w:rsidRPr="003A0655">
        <w:t>; la mise en place d</w:t>
      </w:r>
      <w:r w:rsidR="000B3BB8" w:rsidRPr="003A0655">
        <w:t>’</w:t>
      </w:r>
      <w:r w:rsidRPr="003A0655">
        <w:t>un système en ligne de gestion des licences et des quotas d</w:t>
      </w:r>
      <w:r w:rsidR="000B3BB8" w:rsidRPr="003A0655">
        <w:t>’</w:t>
      </w:r>
      <w:r w:rsidRPr="003A0655">
        <w:t>importation et d</w:t>
      </w:r>
      <w:r w:rsidR="000B3BB8" w:rsidRPr="003A0655">
        <w:t>’</w:t>
      </w:r>
      <w:r w:rsidRPr="003A0655">
        <w:t>exportation de substances réglementées</w:t>
      </w:r>
      <w:r w:rsidR="002A39D3" w:rsidRPr="003A0655">
        <w:t> </w:t>
      </w:r>
      <w:r w:rsidRPr="003A0655">
        <w:t>; l</w:t>
      </w:r>
      <w:r w:rsidR="000B3BB8" w:rsidRPr="003A0655">
        <w:t>’</w:t>
      </w:r>
      <w:r w:rsidRPr="003A0655">
        <w:t>attribution de classifications douanières aux substances réglementées, avec l</w:t>
      </w:r>
      <w:r w:rsidR="000B3BB8" w:rsidRPr="003A0655">
        <w:t>’</w:t>
      </w:r>
      <w:r w:rsidRPr="003A0655">
        <w:t>aide du Secrétariat de l</w:t>
      </w:r>
      <w:r w:rsidR="000B3BB8" w:rsidRPr="003A0655">
        <w:t>’</w:t>
      </w:r>
      <w:r w:rsidRPr="003A0655">
        <w:t>ozone et de l</w:t>
      </w:r>
      <w:r w:rsidR="000B3BB8" w:rsidRPr="003A0655">
        <w:t>’</w:t>
      </w:r>
      <w:r w:rsidRPr="003A0655">
        <w:t>Organisation mondiale des douanes</w:t>
      </w:r>
      <w:r w:rsidR="002A39D3" w:rsidRPr="003A0655">
        <w:t> </w:t>
      </w:r>
      <w:r w:rsidRPr="003A0655">
        <w:t>; et l</w:t>
      </w:r>
      <w:r w:rsidR="000B3BB8" w:rsidRPr="003A0655">
        <w:t>’</w:t>
      </w:r>
      <w:r w:rsidRPr="003A0655">
        <w:t>établissement d</w:t>
      </w:r>
      <w:r w:rsidR="000B3BB8" w:rsidRPr="003A0655">
        <w:t>’</w:t>
      </w:r>
      <w:r w:rsidRPr="003A0655">
        <w:t xml:space="preserve">un </w:t>
      </w:r>
      <w:r w:rsidR="00D66BCE" w:rsidRPr="003A0655">
        <w:t xml:space="preserve">tableau </w:t>
      </w:r>
      <w:r w:rsidRPr="003A0655">
        <w:t>interactif contenant des données actualisées sur la consommation de HCFC et de HFC afin d</w:t>
      </w:r>
      <w:r w:rsidR="000B3BB8" w:rsidRPr="003A0655">
        <w:t>’</w:t>
      </w:r>
      <w:r w:rsidRPr="003A0655">
        <w:t>améliorer l</w:t>
      </w:r>
      <w:r w:rsidR="000B3BB8" w:rsidRPr="003A0655">
        <w:t>’</w:t>
      </w:r>
      <w:r w:rsidRPr="003A0655">
        <w:t>efficacité et la transparence de la gestion.</w:t>
      </w:r>
    </w:p>
    <w:p w14:paraId="5CC929D5" w14:textId="57F9EBEE"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S</w:t>
      </w:r>
      <w:r w:rsidR="000B3BB8" w:rsidRPr="003A0655">
        <w:t>’</w:t>
      </w:r>
      <w:r w:rsidRPr="003A0655">
        <w:t>agissant de l</w:t>
      </w:r>
      <w:r w:rsidR="000B3BB8" w:rsidRPr="003A0655">
        <w:t>’</w:t>
      </w:r>
      <w:r w:rsidRPr="003A0655">
        <w:t>Amendement de Kigali, plusieurs représentant(e)s ont annoncé que leurs pays venaient de le ratifier ou s</w:t>
      </w:r>
      <w:r w:rsidR="000B3BB8" w:rsidRPr="003A0655">
        <w:t>’</w:t>
      </w:r>
      <w:r w:rsidRPr="003A0655">
        <w:t>apprêtaient à le faire, car ils étaient conscients de son importance pour l</w:t>
      </w:r>
      <w:r w:rsidR="000B3BB8" w:rsidRPr="003A0655">
        <w:t>’</w:t>
      </w:r>
      <w:r w:rsidRPr="003A0655">
        <w:t>orientation future du Protocole de Montréal et de son rôle critique dans les efforts mondiaux visant à lutter contre les changements climatiques en réduisant les émissions de gaz à effet de serre. Un certain nombre de pays avaient pris des mesures pertinentes conformément à leurs obligations au titre de l</w:t>
      </w:r>
      <w:r w:rsidR="000B3BB8" w:rsidRPr="003A0655">
        <w:t>’</w:t>
      </w:r>
      <w:r w:rsidRPr="003A0655">
        <w:t>Amendement de Kigali, notamment la collecte de données pour établir la consommation de référence des HFC et l</w:t>
      </w:r>
      <w:r w:rsidR="000B3BB8" w:rsidRPr="003A0655">
        <w:t>’</w:t>
      </w:r>
      <w:r w:rsidRPr="003A0655">
        <w:t>élaboration de plans de réduction progressive de ces substances. Plusieurs représentant(e)s ont signalé que leurs pays avai</w:t>
      </w:r>
      <w:r w:rsidR="00CD6949" w:rsidRPr="003A0655">
        <w:t>en</w:t>
      </w:r>
      <w:r w:rsidRPr="003A0655">
        <w:t>t soumis leurs contributions déterminées au niveau national au titre de l</w:t>
      </w:r>
      <w:r w:rsidR="000B3BB8" w:rsidRPr="003A0655">
        <w:t>’</w:t>
      </w:r>
      <w:r w:rsidRPr="003A0655">
        <w:t>Accord de Paris sur les changements climatiques.</w:t>
      </w:r>
    </w:p>
    <w:p w14:paraId="2C56C15F" w14:textId="774957C1"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Un représentant a fait observer que, paradoxalement, le réchauffement planétaire avait accru la demande mondiale en systèmes de refroidissement, alors que cette même demande risquait d</w:t>
      </w:r>
      <w:r w:rsidR="000B3BB8" w:rsidRPr="003A0655">
        <w:t>’</w:t>
      </w:r>
      <w:r w:rsidRPr="003A0655">
        <w:t>aggraver encore le réchauffement en raison des émissions de gaz à effet de serre tels que les HFC. Un équilibre délicat devait être trouvé pour relever le double défi consistant à répondre à la demande en matière de refroidissement tout en respectant les obligations de protection du climat et de la couche d</w:t>
      </w:r>
      <w:r w:rsidR="000B3BB8" w:rsidRPr="003A0655">
        <w:t>’</w:t>
      </w:r>
      <w:r w:rsidRPr="003A0655">
        <w:t>ozone. À cet égard, une représentante a déclaré que la vision de son pays concernant la mise en œuvre de l</w:t>
      </w:r>
      <w:r w:rsidR="000B3BB8" w:rsidRPr="003A0655">
        <w:t>’</w:t>
      </w:r>
      <w:r w:rsidRPr="003A0655">
        <w:t>Amendement de Kigali consistait à adopter une approche équilibrée respectant les engagements pris au titre du Protocole de Montréal et en matière de climat, tout en favorisant une croissance durable.</w:t>
      </w:r>
    </w:p>
    <w:p w14:paraId="1745300F" w14:textId="38AA6DAA"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Plusieurs représentant(e)s ont décrit les actions engagées par leurs pays respectifs pour relever ce double défi, notamment l</w:t>
      </w:r>
      <w:r w:rsidR="000B3BB8" w:rsidRPr="003A0655">
        <w:t>’</w:t>
      </w:r>
      <w:r w:rsidRPr="003A0655">
        <w:t>adoption de mesures stratégiques, politiques et législatives. Ces mesures comprenaient l</w:t>
      </w:r>
      <w:r w:rsidR="000B3BB8" w:rsidRPr="003A0655">
        <w:t>’</w:t>
      </w:r>
      <w:r w:rsidRPr="003A0655">
        <w:t>établissement de partenariats public-privé</w:t>
      </w:r>
      <w:r w:rsidR="002A39D3" w:rsidRPr="003A0655">
        <w:t> </w:t>
      </w:r>
      <w:r w:rsidRPr="003A0655">
        <w:t>; la création de centres de récupération et de régénération des réfrigérants</w:t>
      </w:r>
      <w:r w:rsidR="002A39D3" w:rsidRPr="003A0655">
        <w:t> </w:t>
      </w:r>
      <w:r w:rsidRPr="003A0655">
        <w:t>; la promotion de la conversion technologique de l</w:t>
      </w:r>
      <w:r w:rsidR="000B3BB8" w:rsidRPr="003A0655">
        <w:t>’</w:t>
      </w:r>
      <w:r w:rsidRPr="003A0655">
        <w:t>industrie à des réfrigérants naturels et des solutions de remplacement respectueuses du climat</w:t>
      </w:r>
      <w:r w:rsidR="002A39D3" w:rsidRPr="003A0655">
        <w:t> </w:t>
      </w:r>
      <w:r w:rsidRPr="003A0655">
        <w:t>; l</w:t>
      </w:r>
      <w:r w:rsidR="000B3BB8" w:rsidRPr="003A0655">
        <w:t>’</w:t>
      </w:r>
      <w:r w:rsidRPr="003A0655">
        <w:t>adoption d</w:t>
      </w:r>
      <w:r w:rsidR="000B3BB8" w:rsidRPr="003A0655">
        <w:t>’</w:t>
      </w:r>
      <w:r w:rsidRPr="003A0655">
        <w:t>une législation visant à atteindre la neutralité carbone et à favoriser le développement vert</w:t>
      </w:r>
      <w:r w:rsidR="002A39D3" w:rsidRPr="003A0655">
        <w:t>  </w:t>
      </w:r>
      <w:r w:rsidRPr="003A0655">
        <w:t>; l</w:t>
      </w:r>
      <w:r w:rsidR="000B3BB8" w:rsidRPr="003A0655">
        <w:t>’</w:t>
      </w:r>
      <w:r w:rsidRPr="003A0655">
        <w:t>adoption de mesures visant à faciliter le financement de l</w:t>
      </w:r>
      <w:r w:rsidR="000B3BB8" w:rsidRPr="003A0655">
        <w:t>’</w:t>
      </w:r>
      <w:r w:rsidRPr="003A0655">
        <w:t>action climatique, notamment la mise en place d</w:t>
      </w:r>
      <w:r w:rsidR="000B3BB8" w:rsidRPr="003A0655">
        <w:t>’</w:t>
      </w:r>
      <w:r w:rsidRPr="003A0655">
        <w:t>un système d</w:t>
      </w:r>
      <w:r w:rsidR="000B3BB8" w:rsidRPr="003A0655">
        <w:t>’</w:t>
      </w:r>
      <w:r w:rsidRPr="003A0655">
        <w:t>échange de droits d</w:t>
      </w:r>
      <w:r w:rsidR="000B3BB8" w:rsidRPr="003A0655">
        <w:t>’</w:t>
      </w:r>
      <w:r w:rsidRPr="003A0655">
        <w:t>émission et d</w:t>
      </w:r>
      <w:r w:rsidR="000B3BB8" w:rsidRPr="003A0655">
        <w:t>’</w:t>
      </w:r>
      <w:r w:rsidRPr="003A0655">
        <w:t>un système de compensation et de crédits carbone</w:t>
      </w:r>
      <w:r w:rsidR="002A39D3" w:rsidRPr="003A0655">
        <w:t> </w:t>
      </w:r>
      <w:r w:rsidRPr="003A0655">
        <w:t>; l</w:t>
      </w:r>
      <w:r w:rsidR="000B3BB8" w:rsidRPr="003A0655">
        <w:t>’</w:t>
      </w:r>
      <w:r w:rsidRPr="003A0655">
        <w:t>élaboration de stratégies d</w:t>
      </w:r>
      <w:r w:rsidR="000B3BB8" w:rsidRPr="003A0655">
        <w:t>’</w:t>
      </w:r>
      <w:r w:rsidRPr="003A0655">
        <w:t>atténuation et d</w:t>
      </w:r>
      <w:r w:rsidR="000B3BB8" w:rsidRPr="003A0655">
        <w:t>’</w:t>
      </w:r>
      <w:r w:rsidRPr="003A0655">
        <w:t>adaptation</w:t>
      </w:r>
      <w:r w:rsidR="002A39D3" w:rsidRPr="003A0655">
        <w:t> </w:t>
      </w:r>
      <w:r w:rsidRPr="003A0655">
        <w:t>; et le lancement d</w:t>
      </w:r>
      <w:r w:rsidR="000B3BB8" w:rsidRPr="003A0655">
        <w:t>’</w:t>
      </w:r>
      <w:r w:rsidRPr="003A0655">
        <w:t>un plan d</w:t>
      </w:r>
      <w:r w:rsidR="000B3BB8" w:rsidRPr="003A0655">
        <w:t>’</w:t>
      </w:r>
      <w:r w:rsidRPr="003A0655">
        <w:t>action pour le refroidissement afin de répondre durablement aux besoins nationaux dans ce domaine. L</w:t>
      </w:r>
      <w:r w:rsidR="000B3BB8" w:rsidRPr="003A0655">
        <w:t>’</w:t>
      </w:r>
      <w:r w:rsidRPr="003A0655">
        <w:t xml:space="preserve">efficacité énergétique était une considération primordiale, qui pouvait être garantie par la certification et </w:t>
      </w:r>
      <w:r w:rsidR="00D66BCE" w:rsidRPr="003A0655">
        <w:t xml:space="preserve">le </w:t>
      </w:r>
      <w:r w:rsidRPr="003A0655">
        <w:t>recours à des technologies à haut rendement et à faible potentiel de réchauffement global</w:t>
      </w:r>
      <w:r w:rsidR="002A39D3" w:rsidRPr="003A0655">
        <w:rPr>
          <w:sz w:val="18"/>
          <w:szCs w:val="18"/>
        </w:rPr>
        <w:t> </w:t>
      </w:r>
      <w:r w:rsidRPr="003A0655">
        <w:t>; la mise en place de programmes de formation professionnelle et d</w:t>
      </w:r>
      <w:r w:rsidR="000B3BB8" w:rsidRPr="003A0655">
        <w:t>’</w:t>
      </w:r>
      <w:r w:rsidRPr="003A0655">
        <w:t>un système national de certification pour les technicien(ne)s et les prestataires de services dans le domaine de la réfrigération et de la climatisation</w:t>
      </w:r>
      <w:r w:rsidR="00535C2F" w:rsidRPr="003A0655">
        <w:t> </w:t>
      </w:r>
      <w:r w:rsidRPr="003A0655">
        <w:t>; la création de centres d</w:t>
      </w:r>
      <w:r w:rsidR="000B3BB8" w:rsidRPr="003A0655">
        <w:t>’</w:t>
      </w:r>
      <w:r w:rsidRPr="003A0655">
        <w:t>excellence</w:t>
      </w:r>
      <w:r w:rsidR="002A39D3" w:rsidRPr="003A0655">
        <w:t> </w:t>
      </w:r>
      <w:r w:rsidRPr="003A0655">
        <w:t>; l</w:t>
      </w:r>
      <w:r w:rsidR="000B3BB8" w:rsidRPr="003A0655">
        <w:t>’</w:t>
      </w:r>
      <w:r w:rsidRPr="003A0655">
        <w:t>établissement ou l</w:t>
      </w:r>
      <w:r w:rsidR="000B3BB8" w:rsidRPr="003A0655">
        <w:t>’</w:t>
      </w:r>
      <w:r w:rsidRPr="003A0655">
        <w:t>actualisation de normes minimales de performance énergétique (NMPE) en coordination avec les institutions nationales compétentes</w:t>
      </w:r>
      <w:r w:rsidR="00535C2F" w:rsidRPr="003A0655">
        <w:t> </w:t>
      </w:r>
      <w:r w:rsidRPr="003A0655">
        <w:t>; et</w:t>
      </w:r>
      <w:r w:rsidR="00FF473B" w:rsidRPr="003A0655">
        <w:t> </w:t>
      </w:r>
      <w:r w:rsidRPr="003A0655">
        <w:t>l</w:t>
      </w:r>
      <w:r w:rsidR="000B3BB8" w:rsidRPr="003A0655">
        <w:t>’</w:t>
      </w:r>
      <w:r w:rsidRPr="003A0655">
        <w:t>instauration d</w:t>
      </w:r>
      <w:r w:rsidR="000B3BB8" w:rsidRPr="003A0655">
        <w:t>’</w:t>
      </w:r>
      <w:r w:rsidRPr="003A0655">
        <w:t>un système d</w:t>
      </w:r>
      <w:r w:rsidR="000B3BB8" w:rsidRPr="003A0655">
        <w:t>’</w:t>
      </w:r>
      <w:r w:rsidRPr="003A0655">
        <w:t>étiquetage pour les produits électriques conformes à ces normes.</w:t>
      </w:r>
    </w:p>
    <w:p w14:paraId="54515B0E" w14:textId="79D75F34" w:rsidR="00A4464D" w:rsidRPr="003A0655" w:rsidRDefault="00A4464D" w:rsidP="00A4464D">
      <w:pPr>
        <w:pStyle w:val="Normalnumber"/>
        <w:keepNext/>
        <w:keepLines/>
        <w:numPr>
          <w:ilvl w:val="0"/>
          <w:numId w:val="1"/>
        </w:numPr>
        <w:tabs>
          <w:tab w:val="clear" w:pos="1871"/>
          <w:tab w:val="clear" w:pos="2495"/>
          <w:tab w:val="clear" w:pos="3119"/>
          <w:tab w:val="clear" w:pos="3742"/>
          <w:tab w:val="clear" w:pos="4366"/>
          <w:tab w:val="num" w:pos="624"/>
        </w:tabs>
      </w:pPr>
      <w:r w:rsidRPr="003A0655">
        <w:t>Plusieurs difficultés entravaient toutefois une mise en œuvre réussie de l</w:t>
      </w:r>
      <w:r w:rsidR="000B3BB8" w:rsidRPr="003A0655">
        <w:t>’</w:t>
      </w:r>
      <w:r w:rsidRPr="003A0655">
        <w:t>Amendement de Kigali. La question de la réfrigération dépassait la simple demande de refroidissement</w:t>
      </w:r>
      <w:r w:rsidR="002A39D3" w:rsidRPr="003A0655">
        <w:t> </w:t>
      </w:r>
      <w:r w:rsidRPr="003A0655">
        <w:t>; ainsi, la gestion d</w:t>
      </w:r>
      <w:r w:rsidR="000B3BB8" w:rsidRPr="003A0655">
        <w:t>’</w:t>
      </w:r>
      <w:r w:rsidRPr="003A0655">
        <w:t>importantes quantités de réfrigérants en fin de vie mettait à rude épreuve les ressources de nombreux pays. Plusieurs représentant(e)s ont souligné l</w:t>
      </w:r>
      <w:r w:rsidR="000B3BB8" w:rsidRPr="003A0655">
        <w:t>’</w:t>
      </w:r>
      <w:r w:rsidRPr="003A0655">
        <w:t>importance de la gestion du cycle de vie des réfrigérants, en particulier des réfrigérants en fin de vie destinés à être détruits. Un représentant a fait observer que les défis à relever étaient très différents de ceux rencontrés lors de l</w:t>
      </w:r>
      <w:r w:rsidR="000B3BB8" w:rsidRPr="003A0655">
        <w:t>’</w:t>
      </w:r>
      <w:r w:rsidRPr="003A0655">
        <w:t>élimination progressive des substances qui appauvrissent la couche d</w:t>
      </w:r>
      <w:r w:rsidR="000B3BB8" w:rsidRPr="003A0655">
        <w:t>’</w:t>
      </w:r>
      <w:r w:rsidRPr="003A0655">
        <w:t xml:space="preserve">ozone. Bon nombre des nouveaux produits de remplacement à faible potentiel de réchauffement global étaient inflammables et toxiques, ou fonctionnaient sous haute pression, et devaient être manipulés et réglementés avec prudence. Les pays devaient mettre au point des stratégies de refroidissement durables à long terme afin de réduire leur dépendance aux HFC. </w:t>
      </w:r>
    </w:p>
    <w:p w14:paraId="501F1D59" w14:textId="3735A40E"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Une représentante a indiqué que son pays avait progressé dans l</w:t>
      </w:r>
      <w:r w:rsidR="000B3BB8" w:rsidRPr="003A0655">
        <w:t>’</w:t>
      </w:r>
      <w:r w:rsidRPr="003A0655">
        <w:t>établissement d</w:t>
      </w:r>
      <w:r w:rsidR="000B3BB8" w:rsidRPr="003A0655">
        <w:t>’</w:t>
      </w:r>
      <w:r w:rsidRPr="003A0655">
        <w:t>inventaires nationaux et le lancement de programmes pilotes pour la récupération, le recyclage et l</w:t>
      </w:r>
      <w:r w:rsidR="000B3BB8" w:rsidRPr="003A0655">
        <w:t>’</w:t>
      </w:r>
      <w:r w:rsidRPr="003A0655">
        <w:t>élimination écologiquement rationnelle de ces gaz, et qu</w:t>
      </w:r>
      <w:r w:rsidR="000B3BB8" w:rsidRPr="003A0655">
        <w:t>’</w:t>
      </w:r>
      <w:r w:rsidRPr="003A0655">
        <w:t>il prévoyait de mettre au point un modèle circulaire de gestion des réfrigérants capable de récupérer et de régénérer les gaz usagés, d</w:t>
      </w:r>
      <w:r w:rsidR="000B3BB8" w:rsidRPr="003A0655">
        <w:t>’</w:t>
      </w:r>
      <w:r w:rsidRPr="003A0655">
        <w:t>éliminer les gaz non réutilisables et de recruter du personnel technique formé dans des centres de récupération, de recyclage et de régénération. Un autre représentant a préconisé l</w:t>
      </w:r>
      <w:r w:rsidR="000B3BB8" w:rsidRPr="003A0655">
        <w:t>’</w:t>
      </w:r>
      <w:r w:rsidRPr="003A0655">
        <w:t>établissement de normes nationales de sécurité pour la manipulation des réfrigérants inflammables et toxiques afin de favoriser une transition sûre vers des solutions de remplacement sans incidences sur le climat, soulignant qu</w:t>
      </w:r>
      <w:r w:rsidR="000B3BB8" w:rsidRPr="003A0655">
        <w:t>’</w:t>
      </w:r>
      <w:r w:rsidRPr="003A0655">
        <w:t>il importait de maintenir l</w:t>
      </w:r>
      <w:r w:rsidR="000B3BB8" w:rsidRPr="003A0655">
        <w:t>’</w:t>
      </w:r>
      <w:r w:rsidRPr="003A0655">
        <w:t>intégrité et la qualité des réfrigérants disponibles sur le marché. La représentante d</w:t>
      </w:r>
      <w:r w:rsidR="000B3BB8" w:rsidRPr="003A0655">
        <w:t>’</w:t>
      </w:r>
      <w:r w:rsidRPr="003A0655">
        <w:t>une organisation ayant le statut d</w:t>
      </w:r>
      <w:r w:rsidR="000B3BB8" w:rsidRPr="003A0655">
        <w:t>’</w:t>
      </w:r>
      <w:r w:rsidRPr="003A0655">
        <w:t xml:space="preserve">observatrice a déclaré que, selon cette dernière, une transition juste dans le secteur de la réfrigération qui garantirait un accès équitable à </w:t>
      </w:r>
      <w:proofErr w:type="spellStart"/>
      <w:r w:rsidRPr="003A0655">
        <w:t>tou</w:t>
      </w:r>
      <w:proofErr w:type="spellEnd"/>
      <w:r w:rsidRPr="003A0655">
        <w:t>(te)s ne pouvait se faire qu</w:t>
      </w:r>
      <w:r w:rsidR="000B3BB8" w:rsidRPr="003A0655">
        <w:t>’</w:t>
      </w:r>
      <w:r w:rsidRPr="003A0655">
        <w:t xml:space="preserve">avec la collaboration de toutes les parties prenantes de ce secteur et en adoptant des décisions stratégiques fondées sur des preuves et étayées par des connaissances scientifiques indépendantes et impartiales. </w:t>
      </w:r>
    </w:p>
    <w:p w14:paraId="54B5C36F" w14:textId="400957B4"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Plusieurs représentant(e)s ont déclaré que, si l</w:t>
      </w:r>
      <w:r w:rsidR="000B3BB8" w:rsidRPr="003A0655">
        <w:t>’</w:t>
      </w:r>
      <w:r w:rsidRPr="003A0655">
        <w:t>aide apportée par le Fonds multilatéral et ses organismes d</w:t>
      </w:r>
      <w:r w:rsidR="000B3BB8" w:rsidRPr="003A0655">
        <w:t>’</w:t>
      </w:r>
      <w:r w:rsidRPr="003A0655">
        <w:t>exécution pour mener des activités liées à l</w:t>
      </w:r>
      <w:r w:rsidR="000B3BB8" w:rsidRPr="003A0655">
        <w:t>’</w:t>
      </w:r>
      <w:r w:rsidRPr="003A0655">
        <w:t>Amendement de Kigali était reconnue et appréciée, il n</w:t>
      </w:r>
      <w:r w:rsidR="000B3BB8" w:rsidRPr="003A0655">
        <w:t>’</w:t>
      </w:r>
      <w:r w:rsidRPr="003A0655">
        <w:t>en restait pas moins nécessaire de renforcer le soutien international afin d</w:t>
      </w:r>
      <w:r w:rsidR="000B3BB8" w:rsidRPr="003A0655">
        <w:t>’</w:t>
      </w:r>
      <w:r w:rsidRPr="003A0655">
        <w:t>accélérer la mise en œuvre et d</w:t>
      </w:r>
      <w:r w:rsidR="000B3BB8" w:rsidRPr="003A0655">
        <w:t>’</w:t>
      </w:r>
      <w:r w:rsidRPr="003A0655">
        <w:t>assurer le respect des engagements pris. Une assistance était requise dans des domaines tels que la collecte de données, notamment pour mener des études visant à déterminer les niveaux de référence des HFC</w:t>
      </w:r>
      <w:r w:rsidR="00F97C78" w:rsidRPr="003A0655">
        <w:t> </w:t>
      </w:r>
      <w:r w:rsidRPr="003A0655">
        <w:t>; la fourniture d</w:t>
      </w:r>
      <w:r w:rsidR="000B3BB8" w:rsidRPr="003A0655">
        <w:t>’</w:t>
      </w:r>
      <w:r w:rsidRPr="003A0655">
        <w:t>un soutien technique pour identifier les réfrigérants afin de prévenir le commerce illicite et la contrefaçon de ces produits</w:t>
      </w:r>
      <w:r w:rsidR="00F97C78" w:rsidRPr="003A0655">
        <w:t> </w:t>
      </w:r>
      <w:r w:rsidRPr="003A0655">
        <w:t>; le développement d</w:t>
      </w:r>
      <w:r w:rsidR="000B3BB8" w:rsidRPr="003A0655">
        <w:t>’</w:t>
      </w:r>
      <w:r w:rsidRPr="003A0655">
        <w:t>outils et d</w:t>
      </w:r>
      <w:r w:rsidR="000B3BB8" w:rsidRPr="003A0655">
        <w:t>’</w:t>
      </w:r>
      <w:r w:rsidRPr="003A0655">
        <w:t>infrastructures pour la gestion du cycle de vie des réfrigérants et leur bonne gestion</w:t>
      </w:r>
      <w:r w:rsidR="00F97C78" w:rsidRPr="003A0655">
        <w:t> </w:t>
      </w:r>
      <w:r w:rsidRPr="003A0655">
        <w:t>; et le renforcement des capacités et la fourniture d</w:t>
      </w:r>
      <w:r w:rsidR="000B3BB8" w:rsidRPr="003A0655">
        <w:t>’</w:t>
      </w:r>
      <w:r w:rsidRPr="003A0655">
        <w:t>une assistance technique pour assurer le respect des lois, la formation du personnel technique et la sensibilisation du public. Les pays à températures ambiantes élevées étaient confrontés à des défis techniques et opérationnels particuliers pour mettre en œuvre des solutions de remplacement, d</w:t>
      </w:r>
      <w:r w:rsidR="000B3BB8" w:rsidRPr="003A0655">
        <w:t>’</w:t>
      </w:r>
      <w:r w:rsidRPr="003A0655">
        <w:t>où le besoin d</w:t>
      </w:r>
      <w:r w:rsidR="000B3BB8" w:rsidRPr="003A0655">
        <w:t>’</w:t>
      </w:r>
      <w:r w:rsidRPr="003A0655">
        <w:t>une coopération et d</w:t>
      </w:r>
      <w:r w:rsidR="000B3BB8" w:rsidRPr="003A0655">
        <w:t>’</w:t>
      </w:r>
      <w:r w:rsidRPr="003A0655">
        <w:t>une assistance internationales dans des domaines tels que le soutien technique et financier, le renforcement des capacités et le transfert de technologies. Toute intervention à cet égard devait garantir la viabilité des solutions retenues, l</w:t>
      </w:r>
      <w:r w:rsidR="000B3BB8" w:rsidRPr="003A0655">
        <w:t>’</w:t>
      </w:r>
      <w:r w:rsidRPr="003A0655">
        <w:t>obtention d</w:t>
      </w:r>
      <w:r w:rsidR="000B3BB8" w:rsidRPr="003A0655">
        <w:t>’</w:t>
      </w:r>
      <w:r w:rsidRPr="003A0655">
        <w:t>avantages mutuels et le maintien de la stabilité des marchés et des chaînes d</w:t>
      </w:r>
      <w:r w:rsidR="000B3BB8" w:rsidRPr="003A0655">
        <w:t>’</w:t>
      </w:r>
      <w:r w:rsidRPr="003A0655">
        <w:t xml:space="preserve">approvisionnement. </w:t>
      </w:r>
    </w:p>
    <w:p w14:paraId="5C176CF0" w14:textId="547BD806"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Le représentant du Groupe africain de négociateur</w:t>
      </w:r>
      <w:r w:rsidR="000C5BA5" w:rsidRPr="003A0655">
        <w:t>(</w:t>
      </w:r>
      <w:proofErr w:type="spellStart"/>
      <w:r w:rsidR="000C5BA5" w:rsidRPr="003A0655">
        <w:t>rice</w:t>
      </w:r>
      <w:proofErr w:type="spellEnd"/>
      <w:r w:rsidR="000C5BA5" w:rsidRPr="003A0655">
        <w:t>)</w:t>
      </w:r>
      <w:r w:rsidRPr="003A0655">
        <w:t>s sur l</w:t>
      </w:r>
      <w:r w:rsidR="000B3BB8" w:rsidRPr="003A0655">
        <w:t>’</w:t>
      </w:r>
      <w:r w:rsidRPr="003A0655">
        <w:t>ozone a annoncé la création de ce groupe, dont la mission serait de veiller à ce que la voix de l</w:t>
      </w:r>
      <w:r w:rsidR="000B3BB8" w:rsidRPr="003A0655">
        <w:t>’</w:t>
      </w:r>
      <w:r w:rsidRPr="003A0655">
        <w:t>Afrique soit entendue dans le cadre des Réunions des Parties et de stimuler la contribution des pays africains à la mise en œuvre et au fonctionnement du Protocole de Montréal et de ses différents organes. Ainsi, la réunion des responsables nationaux africains de l</w:t>
      </w:r>
      <w:r w:rsidR="000B3BB8" w:rsidRPr="003A0655">
        <w:t>’</w:t>
      </w:r>
      <w:r w:rsidRPr="003A0655">
        <w:t>ozone, qui s</w:t>
      </w:r>
      <w:r w:rsidR="000B3BB8" w:rsidRPr="003A0655">
        <w:t>’</w:t>
      </w:r>
      <w:r w:rsidRPr="003A0655">
        <w:t>était tenue à Dakar du 22 au 26</w:t>
      </w:r>
      <w:r w:rsidR="00535C2F" w:rsidRPr="003A0655">
        <w:t> </w:t>
      </w:r>
      <w:r w:rsidRPr="003A0655">
        <w:t>septembre 2025, avait notamment abouti à l</w:t>
      </w:r>
      <w:r w:rsidR="000B3BB8" w:rsidRPr="003A0655">
        <w:t>’</w:t>
      </w:r>
      <w:r w:rsidRPr="003A0655">
        <w:t>engagement d</w:t>
      </w:r>
      <w:r w:rsidR="000B3BB8" w:rsidRPr="003A0655">
        <w:t>’</w:t>
      </w:r>
      <w:r w:rsidRPr="003A0655">
        <w:t>accélérer et d</w:t>
      </w:r>
      <w:r w:rsidR="000B3BB8" w:rsidRPr="003A0655">
        <w:t>’</w:t>
      </w:r>
      <w:r w:rsidRPr="003A0655">
        <w:t>améliorer l</w:t>
      </w:r>
      <w:r w:rsidR="000B3BB8" w:rsidRPr="003A0655">
        <w:t>’</w:t>
      </w:r>
      <w:r w:rsidRPr="003A0655">
        <w:t>accès à de nouvelles technologies de réfrigération ne portant pas atteinte au climat, et de lutter contre le déversement de matériel de réfrigération contenant des réfrigérants obsolètes sur le continent africain. L</w:t>
      </w:r>
      <w:r w:rsidR="000B3BB8" w:rsidRPr="003A0655">
        <w:t>’</w:t>
      </w:r>
      <w:r w:rsidRPr="003A0655">
        <w:t>intervenant a appelé à une plus grande continuité et une meilleure fiabilité du financement afin d</w:t>
      </w:r>
      <w:r w:rsidR="000B3BB8" w:rsidRPr="003A0655">
        <w:t>’</w:t>
      </w:r>
      <w:r w:rsidRPr="003A0655">
        <w:t xml:space="preserve">aider les pays africains à mener à bien ces tâches. </w:t>
      </w:r>
    </w:p>
    <w:p w14:paraId="09BB1772" w14:textId="0E340197"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Le rôle des partenariats et de la collaboration dans la réalisation des objectifs en matière d</w:t>
      </w:r>
      <w:r w:rsidR="000B3BB8" w:rsidRPr="003A0655">
        <w:t>’</w:t>
      </w:r>
      <w:r w:rsidRPr="003A0655">
        <w:t>environnement et de bien-être humain, notamment ceux du Protocole de Montréal, a été largement admis. Le succès du Protocole avait démontré comment des mécanismes multilatéraux pouvaient apporter de réels avantages en faveur du climat grâce au transfert de technologies, au renforcement des capacités et à un soutien équitable. L</w:t>
      </w:r>
      <w:r w:rsidR="000B3BB8" w:rsidRPr="003A0655">
        <w:t>’</w:t>
      </w:r>
      <w:r w:rsidRPr="003A0655">
        <w:t>engagement collectif, la confiance mutuelle et une vision tournée vers l</w:t>
      </w:r>
      <w:r w:rsidR="000B3BB8" w:rsidRPr="003A0655">
        <w:t>’</w:t>
      </w:r>
      <w:r w:rsidRPr="003A0655">
        <w:t>avenir permettraient aux populations de saisir les opportunités qui s</w:t>
      </w:r>
      <w:r w:rsidR="000B3BB8" w:rsidRPr="003A0655">
        <w:t>’</w:t>
      </w:r>
      <w:r w:rsidRPr="003A0655">
        <w:t>offraient à elles et de relever concrètement les défis immédiats tout en assurant la viabilité à long terme de la planète. Les accords multilatéraux sur l</w:t>
      </w:r>
      <w:r w:rsidR="000B3BB8" w:rsidRPr="003A0655">
        <w:t>’</w:t>
      </w:r>
      <w:r w:rsidRPr="003A0655">
        <w:t>environnement incarnaient cette approche et constituaient un outil fondamental pour s</w:t>
      </w:r>
      <w:r w:rsidR="000B3BB8" w:rsidRPr="003A0655">
        <w:t>’</w:t>
      </w:r>
      <w:r w:rsidRPr="003A0655">
        <w:t>attaquer aux défis environnementaux de dimension mondiale en renforçant la coopération internationale. Plusieurs représentant(e)s ont affirmé leur attachement à la collaboration régionale et internationale comme moyen d</w:t>
      </w:r>
      <w:r w:rsidR="000B3BB8" w:rsidRPr="003A0655">
        <w:t>’</w:t>
      </w:r>
      <w:r w:rsidRPr="003A0655">
        <w:t>échanger des expériences et d</w:t>
      </w:r>
      <w:r w:rsidR="000B3BB8" w:rsidRPr="003A0655">
        <w:t>’</w:t>
      </w:r>
      <w:r w:rsidRPr="003A0655">
        <w:t>élaborer des solutions communes pour protéger la couche d</w:t>
      </w:r>
      <w:r w:rsidR="000B3BB8" w:rsidRPr="003A0655">
        <w:t>’</w:t>
      </w:r>
      <w:r w:rsidRPr="003A0655">
        <w:t>ozone, atténuer les changements climatiques et protéger la santé de l</w:t>
      </w:r>
      <w:r w:rsidR="000B3BB8" w:rsidRPr="003A0655">
        <w:t>’</w:t>
      </w:r>
      <w:r w:rsidRPr="003A0655">
        <w:t>environnement et celle de l</w:t>
      </w:r>
      <w:r w:rsidR="000B3BB8" w:rsidRPr="003A0655">
        <w:t>’</w:t>
      </w:r>
      <w:r w:rsidRPr="003A0655">
        <w:t>humanité. Une représentante a rappelé la proposition de son pays tendant à lancer une initiative pour la gouvernance mondiale mettant l</w:t>
      </w:r>
      <w:r w:rsidR="000B3BB8" w:rsidRPr="003A0655">
        <w:t>’</w:t>
      </w:r>
      <w:r w:rsidRPr="003A0655">
        <w:t>accent sur les principes fondamentaux que sont le respect de l</w:t>
      </w:r>
      <w:r w:rsidR="000B3BB8" w:rsidRPr="003A0655">
        <w:t>’</w:t>
      </w:r>
      <w:r w:rsidRPr="003A0655">
        <w:t>égalité souveraine, l</w:t>
      </w:r>
      <w:r w:rsidR="000B3BB8" w:rsidRPr="003A0655">
        <w:t>’</w:t>
      </w:r>
      <w:r w:rsidRPr="003A0655">
        <w:t>adhésion au droit international, la pratique du multilatéralisme, le plaidoyer pour une approche axée sur la personne humaine et l</w:t>
      </w:r>
      <w:r w:rsidR="000B3BB8" w:rsidRPr="003A0655">
        <w:t>’</w:t>
      </w:r>
      <w:r w:rsidRPr="003A0655">
        <w:t>importance accordée à l</w:t>
      </w:r>
      <w:r w:rsidR="000B3BB8" w:rsidRPr="003A0655">
        <w:t>’</w:t>
      </w:r>
      <w:r w:rsidRPr="003A0655">
        <w:t>action. Une telle initiative pourrait contribuer à améliorer la gouvernance mondiale du climat et de l</w:t>
      </w:r>
      <w:r w:rsidR="000B3BB8" w:rsidRPr="003A0655">
        <w:t>’</w:t>
      </w:r>
      <w:r w:rsidRPr="003A0655">
        <w:t>environnement.</w:t>
      </w:r>
    </w:p>
    <w:p w14:paraId="697F253C" w14:textId="1063C374"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La représentante de l</w:t>
      </w:r>
      <w:r w:rsidR="000B3BB8" w:rsidRPr="003A0655">
        <w:t>’</w:t>
      </w:r>
      <w:r w:rsidRPr="003A0655">
        <w:t>Azerbaïdjan a annoncé que son pays accueillerait la treizième session du Forum urbain mondial du 17 au 22</w:t>
      </w:r>
      <w:r w:rsidR="005358E3" w:rsidRPr="003A0655">
        <w:t> </w:t>
      </w:r>
      <w:r w:rsidRPr="003A0655">
        <w:t>mai 2026 et la Journée mondiale de l</w:t>
      </w:r>
      <w:r w:rsidR="000B3BB8" w:rsidRPr="003A0655">
        <w:t>’</w:t>
      </w:r>
      <w:r w:rsidRPr="003A0655">
        <w:t>environnement le 5</w:t>
      </w:r>
      <w:r w:rsidR="001E08AF" w:rsidRPr="003A0655">
        <w:t> </w:t>
      </w:r>
      <w:r w:rsidRPr="003A0655">
        <w:t>juin</w:t>
      </w:r>
      <w:r w:rsidR="00535C2F" w:rsidRPr="003A0655">
        <w:t> </w:t>
      </w:r>
      <w:r w:rsidRPr="003A0655">
        <w:t xml:space="preserve">2026, et elle a invité toutes les Parties à se joindre à ces événements et à y participer. </w:t>
      </w:r>
    </w:p>
    <w:p w14:paraId="4DC4712C" w14:textId="0297CE9B" w:rsidR="00A4464D" w:rsidRPr="003A0655" w:rsidRDefault="00A4464D" w:rsidP="00A4464D">
      <w:pPr>
        <w:pStyle w:val="Normalnumber"/>
        <w:keepNext/>
        <w:keepLines/>
        <w:numPr>
          <w:ilvl w:val="0"/>
          <w:numId w:val="1"/>
        </w:numPr>
        <w:tabs>
          <w:tab w:val="clear" w:pos="1871"/>
          <w:tab w:val="clear" w:pos="2495"/>
          <w:tab w:val="clear" w:pos="3119"/>
          <w:tab w:val="clear" w:pos="3742"/>
          <w:tab w:val="clear" w:pos="4366"/>
          <w:tab w:val="num" w:pos="624"/>
        </w:tabs>
      </w:pPr>
      <w:r w:rsidRPr="003A0655">
        <w:t>Le représentant du grand groupe des enfants et des jeunes a félicité le Secrétariat d</w:t>
      </w:r>
      <w:r w:rsidR="000B3BB8" w:rsidRPr="003A0655">
        <w:t>’</w:t>
      </w:r>
      <w:r w:rsidRPr="003A0655">
        <w:t>avoir veillé à l</w:t>
      </w:r>
      <w:r w:rsidR="000B3BB8" w:rsidRPr="003A0655">
        <w:t>’</w:t>
      </w:r>
      <w:r w:rsidRPr="003A0655">
        <w:t>inclusivité et à la participation des jeunes aux travaux entrepris dans le cadre du Protocole de Montréal et de l</w:t>
      </w:r>
      <w:r w:rsidR="000B3BB8" w:rsidRPr="003A0655">
        <w:t>’</w:t>
      </w:r>
      <w:r w:rsidRPr="003A0655">
        <w:t>Amendement de Kigali y relatif. Des millions de jeunes considéraient l</w:t>
      </w:r>
      <w:r w:rsidR="000B3BB8" w:rsidRPr="003A0655">
        <w:t>’</w:t>
      </w:r>
      <w:r w:rsidRPr="003A0655">
        <w:t>issue de ces travaux comme essentielle pour leur avenir commun. L</w:t>
      </w:r>
      <w:r w:rsidR="000B3BB8" w:rsidRPr="003A0655">
        <w:t>’</w:t>
      </w:r>
      <w:r w:rsidRPr="003A0655">
        <w:t>enquête mondiale sur l</w:t>
      </w:r>
      <w:r w:rsidR="000B3BB8" w:rsidRPr="003A0655">
        <w:t>’</w:t>
      </w:r>
      <w:r w:rsidRPr="003A0655">
        <w:t>ozone et la protection du climat menée auprès des jeunes en 2025 à l</w:t>
      </w:r>
      <w:r w:rsidR="000B3BB8" w:rsidRPr="003A0655">
        <w:t>’</w:t>
      </w:r>
      <w:r w:rsidRPr="003A0655">
        <w:t>occasion du deuxième Forum de la jeunesse sur la protection du climat, à Nairobi, le 2</w:t>
      </w:r>
      <w:r w:rsidR="009816DC" w:rsidRPr="003A0655">
        <w:t> </w:t>
      </w:r>
      <w:r w:rsidRPr="003A0655">
        <w:t>novembre 2025, avait révélé qu</w:t>
      </w:r>
      <w:r w:rsidR="000B3BB8" w:rsidRPr="003A0655">
        <w:t>’</w:t>
      </w:r>
      <w:r w:rsidRPr="003A0655">
        <w:t>une écrasante majorité de jeunes était profondément préoccupée par les changements climatiques. Il était donc impératif d</w:t>
      </w:r>
      <w:r w:rsidR="000B3BB8" w:rsidRPr="003A0655">
        <w:t>’</w:t>
      </w:r>
      <w:r w:rsidRPr="003A0655">
        <w:t>intégrer les connaissances et les compétences des jeunes dans les futures activités liées à l</w:t>
      </w:r>
      <w:r w:rsidR="000B3BB8" w:rsidRPr="003A0655">
        <w:t>’</w:t>
      </w:r>
      <w:r w:rsidRPr="003A0655">
        <w:t>ozone et au climat.</w:t>
      </w:r>
    </w:p>
    <w:p w14:paraId="043680ED" w14:textId="0FE13993"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Plusieurs représentant(e)s ont indiqué comment leurs pays, ayant pris conscience de l</w:t>
      </w:r>
      <w:r w:rsidR="000B3BB8" w:rsidRPr="003A0655">
        <w:t>’</w:t>
      </w:r>
      <w:r w:rsidRPr="003A0655">
        <w:t>intérêt de la collaboration, avaient adopté une approche intégrée pour surmonter les problèmes environnementaux au niveau national tout en favorisant la croissance économique. L</w:t>
      </w:r>
      <w:r w:rsidR="000B3BB8" w:rsidRPr="003A0655">
        <w:t>’</w:t>
      </w:r>
      <w:r w:rsidRPr="003A0655">
        <w:t>équité et la justice, y compris l</w:t>
      </w:r>
      <w:r w:rsidR="000B3BB8" w:rsidRPr="003A0655">
        <w:t>’</w:t>
      </w:r>
      <w:r w:rsidRPr="003A0655">
        <w:t>intégration des questions de genre et l</w:t>
      </w:r>
      <w:r w:rsidR="000B3BB8" w:rsidRPr="003A0655">
        <w:t>’</w:t>
      </w:r>
      <w:r w:rsidRPr="003A0655">
        <w:t>engagement en faveur de la prise en compte des besoins des populations vulnérables et des jeunes, étaient considérées comme des composantes vitales des mesures visant à garantir une société inclusive offrant l</w:t>
      </w:r>
      <w:r w:rsidR="000B3BB8" w:rsidRPr="003A0655">
        <w:t>’</w:t>
      </w:r>
      <w:r w:rsidRPr="003A0655">
        <w:t xml:space="preserve">égalité des chances à </w:t>
      </w:r>
      <w:proofErr w:type="spellStart"/>
      <w:r w:rsidRPr="003A0655">
        <w:t>tou</w:t>
      </w:r>
      <w:proofErr w:type="spellEnd"/>
      <w:r w:rsidRPr="003A0655">
        <w:t>(te)s. Beaucoup de pays s</w:t>
      </w:r>
      <w:r w:rsidR="000B3BB8" w:rsidRPr="003A0655">
        <w:t>’</w:t>
      </w:r>
      <w:r w:rsidRPr="003A0655">
        <w:t>étaient dotés d</w:t>
      </w:r>
      <w:r w:rsidR="000B3BB8" w:rsidRPr="003A0655">
        <w:t>’</w:t>
      </w:r>
      <w:r w:rsidRPr="003A0655">
        <w:t>une vision à long terme du développement durable, concrétisée dans divers instruments et initiatives de portée nationale, notamment des politiques et stratégies en matière de changements climatiques ; des politiques en faveur d</w:t>
      </w:r>
      <w:r w:rsidR="000B3BB8" w:rsidRPr="003A0655">
        <w:t>’</w:t>
      </w:r>
      <w:r w:rsidRPr="003A0655">
        <w:t>une économie verte favorisant la transition vers des énergies propres et l</w:t>
      </w:r>
      <w:r w:rsidR="000B3BB8" w:rsidRPr="003A0655">
        <w:t>’</w:t>
      </w:r>
      <w:r w:rsidRPr="003A0655">
        <w:t>efficacité énergétique ; l</w:t>
      </w:r>
      <w:r w:rsidR="000B3BB8" w:rsidRPr="003A0655">
        <w:t>’</w:t>
      </w:r>
      <w:r w:rsidRPr="003A0655">
        <w:t>adoption d</w:t>
      </w:r>
      <w:r w:rsidR="000B3BB8" w:rsidRPr="003A0655">
        <w:t>’</w:t>
      </w:r>
      <w:r w:rsidRPr="003A0655">
        <w:t>un modèle circulaire pour la gestion des déchets conformément aux meilleures pratiques mondiales</w:t>
      </w:r>
      <w:r w:rsidR="00F97C78" w:rsidRPr="003A0655">
        <w:t> </w:t>
      </w:r>
      <w:r w:rsidRPr="003A0655">
        <w:t>; la mise en œuvre d</w:t>
      </w:r>
      <w:r w:rsidR="000B3BB8" w:rsidRPr="003A0655">
        <w:t>’</w:t>
      </w:r>
      <w:r w:rsidRPr="003A0655">
        <w:t>une feuille de route nationale pour la transition énergétique afin de tirer parti des multiples retombées positives découlant du couplage entre la réduction progressive des HFC et le rendement énergétique</w:t>
      </w:r>
      <w:r w:rsidR="00F97C78" w:rsidRPr="003A0655">
        <w:t> </w:t>
      </w:r>
      <w:r w:rsidRPr="003A0655">
        <w:t>; et la promulgation de lois, codes et règlements visant à soutenir les programmes environnementaux par une législation forte. Ces mesures étaient systématiquement alignées sur les accords et programmes régionaux et internationaux relatifs à l</w:t>
      </w:r>
      <w:r w:rsidR="000B3BB8" w:rsidRPr="003A0655">
        <w:t>’</w:t>
      </w:r>
      <w:r w:rsidRPr="003A0655">
        <w:t xml:space="preserve">environnement. </w:t>
      </w:r>
    </w:p>
    <w:p w14:paraId="39FCB2B4" w14:textId="28FEC159"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Une telle approche, globale et intégrée, englobait toute une série d</w:t>
      </w:r>
      <w:r w:rsidR="000B3BB8" w:rsidRPr="003A0655">
        <w:t>’</w:t>
      </w:r>
      <w:r w:rsidRPr="003A0655">
        <w:t>activités interdépendantes, notamment la réduction des émissions de carbone et la transition vers une économie bas carbone</w:t>
      </w:r>
      <w:r w:rsidR="00F97C78" w:rsidRPr="003A0655">
        <w:t> </w:t>
      </w:r>
      <w:r w:rsidRPr="003A0655">
        <w:t>; une gestion et une surveillance efficaces des ressources naturelles, notamment l</w:t>
      </w:r>
      <w:r w:rsidR="000B3BB8" w:rsidRPr="003A0655">
        <w:t>’</w:t>
      </w:r>
      <w:r w:rsidRPr="003A0655">
        <w:t>eau, le sol et l</w:t>
      </w:r>
      <w:r w:rsidR="000B3BB8" w:rsidRPr="003A0655">
        <w:t>’</w:t>
      </w:r>
      <w:r w:rsidRPr="003A0655">
        <w:t>air</w:t>
      </w:r>
      <w:r w:rsidR="00F97C78" w:rsidRPr="003A0655">
        <w:t> </w:t>
      </w:r>
      <w:r w:rsidRPr="003A0655">
        <w:t>; et le soutien à la recherche scientifique, en collaboration avec les centres universitaires et de recherche nationaux, afin d</w:t>
      </w:r>
      <w:r w:rsidR="000B3BB8" w:rsidRPr="003A0655">
        <w:t>’</w:t>
      </w:r>
      <w:r w:rsidRPr="003A0655">
        <w:t>encourager l</w:t>
      </w:r>
      <w:r w:rsidR="000B3BB8" w:rsidRPr="003A0655">
        <w:t>’</w:t>
      </w:r>
      <w:r w:rsidRPr="003A0655">
        <w:t>innovation dans la quête de solutions aux problèmes environnementaux.</w:t>
      </w:r>
    </w:p>
    <w:p w14:paraId="2E607C7B" w14:textId="6B63C215"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Plusieurs représentant(e)s ont fait part de leurs réflexions quant à la voie que devrait emprunter le Protocole de Montréal. De nombreuses Parties ont réaffirmé leur soutien indéfectible au Protocole dans ses efforts pour sauvegarder la couche d</w:t>
      </w:r>
      <w:r w:rsidR="000B3BB8" w:rsidRPr="003A0655">
        <w:t>’</w:t>
      </w:r>
      <w:r w:rsidRPr="003A0655">
        <w:t>ozone et atteindre des objectifs environnementaux plus larges, notamment dans les domaines des changements climatiques et du réchauffement planétaire. Le Protocole de Montréal était un modèle à suivre pour engager une action concertée à l</w:t>
      </w:r>
      <w:r w:rsidR="000B3BB8" w:rsidRPr="003A0655">
        <w:t>’</w:t>
      </w:r>
      <w:r w:rsidRPr="003A0655">
        <w:t>échelle mondiale face aux défis environnementaux. Son succès rappelait que les défis mondiaux exigeaient des solutions mondiales fondées sur la science, guidées par la coopération et motivées par l</w:t>
      </w:r>
      <w:r w:rsidR="000B3BB8" w:rsidRPr="003A0655">
        <w:t>’</w:t>
      </w:r>
      <w:r w:rsidRPr="003A0655">
        <w:t>action. Le Protocole de Montréal incarnait l</w:t>
      </w:r>
      <w:r w:rsidR="000B3BB8" w:rsidRPr="003A0655">
        <w:t>’</w:t>
      </w:r>
      <w:r w:rsidRPr="003A0655">
        <w:t>esprit des Nations Unies</w:t>
      </w:r>
      <w:r w:rsidR="00F97C78" w:rsidRPr="003A0655">
        <w:t> </w:t>
      </w:r>
      <w:r w:rsidRPr="003A0655">
        <w:t>: un système fondé sur la confiance, la solidarité et la capacité à unir l</w:t>
      </w:r>
      <w:r w:rsidR="000B3BB8" w:rsidRPr="003A0655">
        <w:t>’</w:t>
      </w:r>
      <w:r w:rsidRPr="003A0655">
        <w:t xml:space="preserve">humanité autour de causes communes. </w:t>
      </w:r>
    </w:p>
    <w:p w14:paraId="46945366" w14:textId="2F706611" w:rsidR="00A4464D" w:rsidRPr="003A0655" w:rsidRDefault="00A4464D" w:rsidP="00A4464D">
      <w:pPr>
        <w:pStyle w:val="Normalnumber"/>
        <w:numPr>
          <w:ilvl w:val="0"/>
          <w:numId w:val="1"/>
        </w:numPr>
        <w:tabs>
          <w:tab w:val="clear" w:pos="1871"/>
          <w:tab w:val="clear" w:pos="2495"/>
          <w:tab w:val="clear" w:pos="3119"/>
          <w:tab w:val="clear" w:pos="3742"/>
          <w:tab w:val="clear" w:pos="4366"/>
          <w:tab w:val="num" w:pos="624"/>
        </w:tabs>
        <w:ind w:left="1248"/>
      </w:pPr>
      <w:r w:rsidRPr="003A0655">
        <w:t>Dans un monde marqué par les conflits, les inégalités et la désinformation, il était vital de renouveler cette confiance et de démontrer que le consensus pouvait l</w:t>
      </w:r>
      <w:r w:rsidR="000B3BB8" w:rsidRPr="003A0655">
        <w:t>’</w:t>
      </w:r>
      <w:r w:rsidRPr="003A0655">
        <w:t xml:space="preserve">emporter sur les divisions, et que la science et la bonne foi restaient des forces </w:t>
      </w:r>
      <w:r w:rsidR="000C5BA5" w:rsidRPr="003A0655">
        <w:t>fédératrices</w:t>
      </w:r>
      <w:r w:rsidRPr="003A0655">
        <w:t>. Si la société s</w:t>
      </w:r>
      <w:r w:rsidR="000B3BB8" w:rsidRPr="003A0655">
        <w:t>’</w:t>
      </w:r>
      <w:r w:rsidRPr="003A0655">
        <w:t>était montrée capable d</w:t>
      </w:r>
      <w:r w:rsidR="000B3BB8" w:rsidRPr="003A0655">
        <w:t>’</w:t>
      </w:r>
      <w:r w:rsidRPr="003A0655">
        <w:t>inverser la destruction de la couche d</w:t>
      </w:r>
      <w:r w:rsidR="000B3BB8" w:rsidRPr="003A0655">
        <w:t>’</w:t>
      </w:r>
      <w:r w:rsidRPr="003A0655">
        <w:t>ozone, elle devait donc être capable aussi d</w:t>
      </w:r>
      <w:r w:rsidR="000B3BB8" w:rsidRPr="003A0655">
        <w:t>’</w:t>
      </w:r>
      <w:r w:rsidRPr="003A0655">
        <w:t>atteindre ses autres objectifs environnementaux, léguant ainsi un environnement plus sain aux générations futures.</w:t>
      </w:r>
    </w:p>
    <w:p w14:paraId="2A2973B8" w14:textId="26C5176F" w:rsidR="00CF4056" w:rsidRPr="003A0655" w:rsidRDefault="00CF4056" w:rsidP="00CF4056">
      <w:pPr>
        <w:pStyle w:val="CH1"/>
        <w:keepNext w:val="0"/>
        <w:keepLines w:val="0"/>
      </w:pPr>
      <w:r w:rsidRPr="003A0655">
        <w:tab/>
        <w:t>VI.</w:t>
      </w:r>
      <w:r w:rsidRPr="003A0655">
        <w:tab/>
      </w:r>
      <w:r w:rsidR="00027D30" w:rsidRPr="003A0655">
        <w:t>Rapport des coprésident(e)s du débat préparatoire et examen des</w:t>
      </w:r>
      <w:r w:rsidR="006660BF" w:rsidRPr="003A0655">
        <w:t> </w:t>
      </w:r>
      <w:r w:rsidR="00027D30" w:rsidRPr="003A0655">
        <w:t xml:space="preserve">décisions recommandées pour adoption par </w:t>
      </w:r>
      <w:r w:rsidR="006660BF" w:rsidRPr="003A0655">
        <w:br/>
      </w:r>
      <w:r w:rsidR="00027D30" w:rsidRPr="003A0655">
        <w:t>la trente-septième</w:t>
      </w:r>
      <w:r w:rsidR="005927C7" w:rsidRPr="003A0655">
        <w:t> </w:t>
      </w:r>
      <w:r w:rsidR="00027D30" w:rsidRPr="003A0655">
        <w:t>Réunion des Parties</w:t>
      </w:r>
    </w:p>
    <w:p w14:paraId="29F022CD" w14:textId="15667416" w:rsidR="00F64748" w:rsidRPr="003A0655" w:rsidRDefault="00F64748" w:rsidP="00F64748">
      <w:pPr>
        <w:pStyle w:val="Normalnumber"/>
        <w:numPr>
          <w:ilvl w:val="0"/>
          <w:numId w:val="1"/>
        </w:numPr>
        <w:tabs>
          <w:tab w:val="clear" w:pos="1871"/>
          <w:tab w:val="clear" w:pos="2495"/>
          <w:tab w:val="clear" w:pos="3119"/>
          <w:tab w:val="clear" w:pos="3742"/>
          <w:tab w:val="clear" w:pos="4366"/>
          <w:tab w:val="num" w:pos="624"/>
        </w:tabs>
        <w:ind w:left="1248"/>
      </w:pPr>
      <w:r w:rsidRPr="003A0655">
        <w:t xml:space="preserve">Le Président du débat préparatoire a annoncé que les travaux de ce dernier avaient été menés à bien et que des projets de décision avaient été approuvés pour examen et adoption éventuelle lors du débat de haut niveau. </w:t>
      </w:r>
    </w:p>
    <w:p w14:paraId="755A0B68" w14:textId="746F17E2" w:rsidR="00CF4056" w:rsidRPr="003A0655" w:rsidRDefault="00CF4056" w:rsidP="00CF4056">
      <w:pPr>
        <w:pStyle w:val="CH1"/>
        <w:keepNext w:val="0"/>
        <w:keepLines w:val="0"/>
      </w:pPr>
      <w:r w:rsidRPr="003A0655">
        <w:tab/>
        <w:t>VII.</w:t>
      </w:r>
      <w:r w:rsidRPr="003A0655">
        <w:tab/>
      </w:r>
      <w:r w:rsidR="00523005" w:rsidRPr="003A0655">
        <w:t>Date et lieu de la trente-huitième Réunion des Parties au Protocole de</w:t>
      </w:r>
      <w:r w:rsidR="005927C7" w:rsidRPr="003A0655">
        <w:t> </w:t>
      </w:r>
      <w:r w:rsidR="00523005" w:rsidRPr="003A0655">
        <w:t>Montréal</w:t>
      </w:r>
    </w:p>
    <w:p w14:paraId="7AA3262B" w14:textId="4E01BC17" w:rsidR="002D1EB0" w:rsidRPr="003A0655" w:rsidRDefault="002D1EB0" w:rsidP="002D1EB0">
      <w:pPr>
        <w:pStyle w:val="Normalnumber"/>
        <w:numPr>
          <w:ilvl w:val="0"/>
          <w:numId w:val="1"/>
        </w:numPr>
        <w:tabs>
          <w:tab w:val="clear" w:pos="1871"/>
          <w:tab w:val="clear" w:pos="2495"/>
          <w:tab w:val="clear" w:pos="3119"/>
          <w:tab w:val="clear" w:pos="3742"/>
          <w:tab w:val="clear" w:pos="4366"/>
          <w:tab w:val="num" w:pos="624"/>
        </w:tabs>
        <w:ind w:left="1248"/>
      </w:pPr>
      <w:r w:rsidRPr="003A0655">
        <w:t>Présentant ce point, le Président a rappelé que les dates de la trente-huitième Réunion des Parties au Protocole de Montréal avaient été fixées du 2 au 6</w:t>
      </w:r>
      <w:r w:rsidR="009816DC" w:rsidRPr="003A0655">
        <w:t> </w:t>
      </w:r>
      <w:r w:rsidRPr="003A0655">
        <w:t>novembre 2026. Il a invité toute Partie souhaitant proposer d</w:t>
      </w:r>
      <w:r w:rsidR="000B3BB8" w:rsidRPr="003A0655">
        <w:t>’</w:t>
      </w:r>
      <w:r w:rsidRPr="003A0655">
        <w:t>accueillir la Réunion à prendre la parole.</w:t>
      </w:r>
    </w:p>
    <w:p w14:paraId="5FFC479D" w14:textId="009AA3CD" w:rsidR="002D1EB0" w:rsidRPr="003A0655" w:rsidRDefault="002D1EB0" w:rsidP="002D1EB0">
      <w:pPr>
        <w:pStyle w:val="Normalnumber"/>
        <w:numPr>
          <w:ilvl w:val="0"/>
          <w:numId w:val="1"/>
        </w:numPr>
        <w:tabs>
          <w:tab w:val="clear" w:pos="1871"/>
          <w:tab w:val="clear" w:pos="2495"/>
          <w:tab w:val="clear" w:pos="3119"/>
          <w:tab w:val="clear" w:pos="3742"/>
          <w:tab w:val="clear" w:pos="4366"/>
          <w:tab w:val="num" w:pos="624"/>
        </w:tabs>
        <w:ind w:left="1248"/>
      </w:pPr>
      <w:r w:rsidRPr="003A0655">
        <w:t>La représentante du Rwanda a exprimé le souhait de son gouvernement d</w:t>
      </w:r>
      <w:r w:rsidR="000B3BB8" w:rsidRPr="003A0655">
        <w:t>’</w:t>
      </w:r>
      <w:r w:rsidRPr="003A0655">
        <w:t>accueillir la trente</w:t>
      </w:r>
      <w:r w:rsidR="00D73F1B" w:rsidRPr="003A0655">
        <w:noBreakHyphen/>
      </w:r>
      <w:r w:rsidRPr="003A0655">
        <w:t>huitième Réunion des Parties au Protocole de Montréal à Kigali, en novembre 2026. La trente</w:t>
      </w:r>
      <w:r w:rsidR="00D73F1B" w:rsidRPr="003A0655">
        <w:noBreakHyphen/>
      </w:r>
      <w:r w:rsidRPr="003A0655">
        <w:t>huitième Réunion marquerait le dixième anniversaire de l</w:t>
      </w:r>
      <w:r w:rsidR="000B3BB8" w:rsidRPr="003A0655">
        <w:t>’</w:t>
      </w:r>
      <w:r w:rsidRPr="003A0655">
        <w:t>accord sur l</w:t>
      </w:r>
      <w:r w:rsidR="000B3BB8" w:rsidRPr="003A0655">
        <w:t>’</w:t>
      </w:r>
      <w:r w:rsidRPr="003A0655">
        <w:t>Amendement de Kigali, qui avait largement contribué à faire du Protocole de Montréal l</w:t>
      </w:r>
      <w:r w:rsidR="000B3BB8" w:rsidRPr="003A0655">
        <w:t>’</w:t>
      </w:r>
      <w:r w:rsidRPr="003A0655">
        <w:t>accord international le plus efficace en matière de climat, permettant d</w:t>
      </w:r>
      <w:r w:rsidR="000B3BB8" w:rsidRPr="003A0655">
        <w:t>’</w:t>
      </w:r>
      <w:r w:rsidRPr="003A0655">
        <w:t>éviter un réchauffement planétaire estimé à 1,1 °C d</w:t>
      </w:r>
      <w:r w:rsidR="000B3BB8" w:rsidRPr="003A0655">
        <w:t>’</w:t>
      </w:r>
      <w:r w:rsidRPr="003A0655">
        <w:t>ici 2100.</w:t>
      </w:r>
      <w:r w:rsidR="00D73F1B" w:rsidRPr="003A0655">
        <w:t> </w:t>
      </w:r>
      <w:r w:rsidRPr="003A0655">
        <w:t>L</w:t>
      </w:r>
      <w:r w:rsidR="000B3BB8" w:rsidRPr="003A0655">
        <w:t>’</w:t>
      </w:r>
      <w:r w:rsidRPr="003A0655">
        <w:t>offre de son gouvernement était accompagnée d</w:t>
      </w:r>
      <w:r w:rsidR="000B3BB8" w:rsidRPr="003A0655">
        <w:t>’</w:t>
      </w:r>
      <w:r w:rsidRPr="003A0655">
        <w:t>une présentation vidéo.</w:t>
      </w:r>
      <w:bookmarkStart w:id="45" w:name="_Hlk213433629"/>
      <w:bookmarkEnd w:id="45"/>
    </w:p>
    <w:p w14:paraId="6C5445F2" w14:textId="7166917B" w:rsidR="002D1EB0" w:rsidRPr="003A0655" w:rsidRDefault="002D1EB0" w:rsidP="002D1EB0">
      <w:pPr>
        <w:pStyle w:val="Normalnumber"/>
        <w:numPr>
          <w:ilvl w:val="0"/>
          <w:numId w:val="1"/>
        </w:numPr>
        <w:tabs>
          <w:tab w:val="clear" w:pos="1871"/>
          <w:tab w:val="clear" w:pos="2495"/>
          <w:tab w:val="clear" w:pos="3119"/>
          <w:tab w:val="clear" w:pos="3742"/>
          <w:tab w:val="clear" w:pos="4366"/>
          <w:tab w:val="num" w:pos="624"/>
        </w:tabs>
        <w:ind w:left="1248"/>
      </w:pPr>
      <w:r w:rsidRPr="003A0655">
        <w:t>Les Parties sont convenues que la trente-huitième Réunion des Parties au Protocole de Montréal se tiendrait à Kigali du 2 au 6 novembre 202</w:t>
      </w:r>
      <w:r w:rsidR="00BE1EA2" w:rsidRPr="003A0655">
        <w:t>6</w:t>
      </w:r>
      <w:r w:rsidRPr="003A0655">
        <w:t>.</w:t>
      </w:r>
    </w:p>
    <w:p w14:paraId="780C550A" w14:textId="77777777" w:rsidR="002D1EB0" w:rsidRPr="003A0655" w:rsidRDefault="002D1EB0" w:rsidP="002D1EB0">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Les Parties ont ensuite adopté une décision sur la question. Le texte de cette décision est reproduit dans le document UNEP/OzL.Pro.37/9/Add.1.</w:t>
      </w:r>
    </w:p>
    <w:p w14:paraId="02767C79" w14:textId="5EA9297D" w:rsidR="00CF4056" w:rsidRPr="003A0655" w:rsidRDefault="00CF4056" w:rsidP="00CF4056">
      <w:pPr>
        <w:pStyle w:val="CH1"/>
        <w:keepNext w:val="0"/>
        <w:keepLines w:val="0"/>
      </w:pPr>
      <w:r w:rsidRPr="003A0655">
        <w:tab/>
        <w:t>VIII.</w:t>
      </w:r>
      <w:r w:rsidRPr="003A0655">
        <w:tab/>
      </w:r>
      <w:r w:rsidR="00523005" w:rsidRPr="003A0655">
        <w:t>Questions diverses</w:t>
      </w:r>
      <w:r w:rsidRPr="003A0655">
        <w:t xml:space="preserve"> </w:t>
      </w:r>
    </w:p>
    <w:p w14:paraId="15FD0B4E" w14:textId="3F8B70F0" w:rsidR="00A72D5C" w:rsidRPr="003A0655" w:rsidRDefault="00A72D5C" w:rsidP="00275E36">
      <w:pPr>
        <w:pStyle w:val="CH2"/>
      </w:pPr>
      <w:r w:rsidRPr="003A0655">
        <w:tab/>
      </w:r>
      <w:r w:rsidRPr="003A0655">
        <w:tab/>
      </w:r>
      <w:r w:rsidR="00275E36" w:rsidRPr="003A0655">
        <w:rPr>
          <w:bCs/>
        </w:rPr>
        <w:t>Composition du Groupe des États d</w:t>
      </w:r>
      <w:r w:rsidR="000B3BB8" w:rsidRPr="003A0655">
        <w:rPr>
          <w:bCs/>
        </w:rPr>
        <w:t>’</w:t>
      </w:r>
      <w:r w:rsidR="00275E36" w:rsidRPr="003A0655">
        <w:rPr>
          <w:bCs/>
        </w:rPr>
        <w:t>Europe orientale</w:t>
      </w:r>
    </w:p>
    <w:p w14:paraId="4D68E606" w14:textId="52BB9536" w:rsidR="00D40D16" w:rsidRPr="003A0655" w:rsidRDefault="00D40D16" w:rsidP="00D40D16">
      <w:pPr>
        <w:pStyle w:val="Normalnumber"/>
        <w:numPr>
          <w:ilvl w:val="0"/>
          <w:numId w:val="1"/>
        </w:numPr>
        <w:tabs>
          <w:tab w:val="clear" w:pos="1871"/>
          <w:tab w:val="clear" w:pos="2495"/>
          <w:tab w:val="clear" w:pos="3119"/>
          <w:tab w:val="clear" w:pos="3742"/>
          <w:tab w:val="clear" w:pos="4366"/>
          <w:tab w:val="num" w:pos="624"/>
        </w:tabs>
        <w:ind w:left="1248"/>
      </w:pPr>
      <w:r w:rsidRPr="003A0655">
        <w:t>Le Président a rappelé que, lors de l</w:t>
      </w:r>
      <w:r w:rsidR="000B3BB8" w:rsidRPr="003A0655">
        <w:t>’</w:t>
      </w:r>
      <w:r w:rsidRPr="003A0655">
        <w:t>adoption de l</w:t>
      </w:r>
      <w:r w:rsidR="000B3BB8" w:rsidRPr="003A0655">
        <w:t>’</w:t>
      </w:r>
      <w:r w:rsidRPr="003A0655">
        <w:t>ordre du jour, les Parties étaient convenues d</w:t>
      </w:r>
      <w:r w:rsidR="000B3BB8" w:rsidRPr="003A0655">
        <w:t>’</w:t>
      </w:r>
      <w:r w:rsidRPr="003A0655">
        <w:t>examiner la question de la composition du Groupe des États d</w:t>
      </w:r>
      <w:r w:rsidR="000B3BB8" w:rsidRPr="003A0655">
        <w:t>’</w:t>
      </w:r>
      <w:r w:rsidRPr="003A0655">
        <w:t>Europe orientale.</w:t>
      </w:r>
    </w:p>
    <w:p w14:paraId="4C4D4F5E" w14:textId="07B5B628" w:rsidR="00D40D16" w:rsidRPr="003A0655" w:rsidRDefault="00D40D16" w:rsidP="00D40D16">
      <w:pPr>
        <w:pStyle w:val="Normalnumber"/>
        <w:numPr>
          <w:ilvl w:val="0"/>
          <w:numId w:val="1"/>
        </w:numPr>
        <w:tabs>
          <w:tab w:val="clear" w:pos="1871"/>
          <w:tab w:val="clear" w:pos="2495"/>
          <w:tab w:val="clear" w:pos="3119"/>
          <w:tab w:val="clear" w:pos="3742"/>
          <w:tab w:val="clear" w:pos="4366"/>
          <w:tab w:val="num" w:pos="624"/>
        </w:tabs>
        <w:ind w:left="1248"/>
      </w:pPr>
      <w:r w:rsidRPr="003A0655">
        <w:t>Présentant la question, le représentant du Kirghizistan a réaffirmé que, au sein du Groupe des États d</w:t>
      </w:r>
      <w:r w:rsidR="000B3BB8" w:rsidRPr="003A0655">
        <w:t>’</w:t>
      </w:r>
      <w:r w:rsidRPr="003A0655">
        <w:t>Europe orientale, des tentatives avaient été faites pour empêcher les cinq pays d</w:t>
      </w:r>
      <w:r w:rsidR="000B3BB8" w:rsidRPr="003A0655">
        <w:t>’</w:t>
      </w:r>
      <w:r w:rsidRPr="003A0655">
        <w:t>Asie centrale – le Kazakhstan, le Kirghizistan, le Tadjikistan, le Turkménistan et l</w:t>
      </w:r>
      <w:r w:rsidR="000B3BB8" w:rsidRPr="003A0655">
        <w:t>’</w:t>
      </w:r>
      <w:r w:rsidRPr="003A0655">
        <w:t>Ouzbékistan – de présenter des candidatures aux postes de membre des organes du Protocole de Montréal pour 2026 ainsi qu</w:t>
      </w:r>
      <w:r w:rsidR="000B3BB8" w:rsidRPr="003A0655">
        <w:t>’</w:t>
      </w:r>
      <w:r w:rsidRPr="003A0655">
        <w:t>à l</w:t>
      </w:r>
      <w:r w:rsidR="000B3BB8" w:rsidRPr="003A0655">
        <w:t>’</w:t>
      </w:r>
      <w:r w:rsidRPr="003A0655">
        <w:t>élection des membres du Bureau de la trente-septième Réunion des Parties, perturbant ainsi les travaux du Protocole, faisant abstraction de la pratique établie dans le système des Nations Unies et conduisant à la politisation d</w:t>
      </w:r>
      <w:r w:rsidR="000B3BB8" w:rsidRPr="003A0655">
        <w:t>’</w:t>
      </w:r>
      <w:r w:rsidRPr="003A0655">
        <w:t>une question de procédure. Il a rappelé que, lors de la trente</w:t>
      </w:r>
      <w:r w:rsidR="00D70732" w:rsidRPr="003A0655">
        <w:noBreakHyphen/>
      </w:r>
      <w:r w:rsidRPr="003A0655">
        <w:t>cinquième</w:t>
      </w:r>
      <w:r w:rsidR="00D70732" w:rsidRPr="003A0655">
        <w:t> </w:t>
      </w:r>
      <w:r w:rsidRPr="003A0655">
        <w:t>Réunion des Parties, alors qu</w:t>
      </w:r>
      <w:r w:rsidR="000B3BB8" w:rsidRPr="003A0655">
        <w:t>’</w:t>
      </w:r>
      <w:r w:rsidRPr="003A0655">
        <w:t>une tentative analogue avait été faite, un représentant du Secrétariat avait expliqué que les Parties avaient le droit de décider à quel groupement régional elles appartenaient. Il a souligné que les pays d</w:t>
      </w:r>
      <w:r w:rsidR="000B3BB8" w:rsidRPr="003A0655">
        <w:t>’</w:t>
      </w:r>
      <w:r w:rsidRPr="003A0655">
        <w:t>Asie centrale étaient membres du Groupe des États d</w:t>
      </w:r>
      <w:r w:rsidR="000B3BB8" w:rsidRPr="003A0655">
        <w:t>’</w:t>
      </w:r>
      <w:r w:rsidRPr="003A0655">
        <w:t>Europe orientale depuis plus de 30</w:t>
      </w:r>
      <w:r w:rsidR="00974468" w:rsidRPr="003A0655">
        <w:t> </w:t>
      </w:r>
      <w:r w:rsidRPr="003A0655">
        <w:t>ans, plusieurs d</w:t>
      </w:r>
      <w:r w:rsidR="000B3BB8" w:rsidRPr="003A0655">
        <w:t>’</w:t>
      </w:r>
      <w:r w:rsidRPr="003A0655">
        <w:t>entre eux ayant été nommés et élus à des postes au sein des organes du Protocole au nom de ce groupe. L</w:t>
      </w:r>
      <w:r w:rsidR="000B3BB8" w:rsidRPr="003A0655">
        <w:t>’</w:t>
      </w:r>
      <w:r w:rsidRPr="003A0655">
        <w:t>année précédente, par exemple, le Kirghizistan avait été élu au Comité exécutif du Fonds multilatéral. L</w:t>
      </w:r>
      <w:r w:rsidR="000B3BB8" w:rsidRPr="003A0655">
        <w:t>’</w:t>
      </w:r>
      <w:r w:rsidRPr="003A0655">
        <w:t>appartenance aux groupes régionaux informels dans le cadre du Protocole était un droit souverain et n</w:t>
      </w:r>
      <w:r w:rsidR="000B3BB8" w:rsidRPr="003A0655">
        <w:t>’</w:t>
      </w:r>
      <w:r w:rsidRPr="003A0655">
        <w:t>était pas sujet à interprétation par d</w:t>
      </w:r>
      <w:r w:rsidR="000B3BB8" w:rsidRPr="003A0655">
        <w:t>’</w:t>
      </w:r>
      <w:r w:rsidRPr="003A0655">
        <w:t>autres pays. Il a appelé les Parties et le Secrétariat à contribuer à la recherche d</w:t>
      </w:r>
      <w:r w:rsidR="000B3BB8" w:rsidRPr="003A0655">
        <w:t>’</w:t>
      </w:r>
      <w:r w:rsidRPr="003A0655">
        <w:t>une solution et il a proposé que le groupement régional informel créé en vertu du Protocole soit renommé «</w:t>
      </w:r>
      <w:r w:rsidR="00EF4538" w:rsidRPr="003A0655">
        <w:t> </w:t>
      </w:r>
      <w:r w:rsidRPr="003A0655">
        <w:t>Groupe des États d</w:t>
      </w:r>
      <w:r w:rsidR="000B3BB8" w:rsidRPr="003A0655">
        <w:t>’</w:t>
      </w:r>
      <w:r w:rsidRPr="003A0655">
        <w:t>Europe orientale, du Caucase et d</w:t>
      </w:r>
      <w:r w:rsidR="000B3BB8" w:rsidRPr="003A0655">
        <w:t>’</w:t>
      </w:r>
      <w:r w:rsidRPr="003A0655">
        <w:t>Asie centrale</w:t>
      </w:r>
      <w:r w:rsidR="00EF4538" w:rsidRPr="003A0655">
        <w:t> </w:t>
      </w:r>
      <w:r w:rsidRPr="003A0655">
        <w:t>», proposition qui a été appuyée par un autre représentant.</w:t>
      </w:r>
    </w:p>
    <w:p w14:paraId="4CEAA529" w14:textId="008C1AD8" w:rsidR="00D40D16" w:rsidRPr="003A0655" w:rsidRDefault="00D40D16" w:rsidP="00D40D16">
      <w:pPr>
        <w:pStyle w:val="Normalnumber"/>
        <w:numPr>
          <w:ilvl w:val="0"/>
          <w:numId w:val="1"/>
        </w:numPr>
        <w:tabs>
          <w:tab w:val="clear" w:pos="1871"/>
          <w:tab w:val="clear" w:pos="2495"/>
          <w:tab w:val="clear" w:pos="3119"/>
          <w:tab w:val="clear" w:pos="3742"/>
          <w:tab w:val="clear" w:pos="4366"/>
          <w:tab w:val="num" w:pos="624"/>
        </w:tabs>
        <w:ind w:left="1248"/>
      </w:pPr>
      <w:r w:rsidRPr="003A0655">
        <w:t>Le représentant du Tadjikistan, en tant que coauteur de la proposition, a souligné que le principe de la participation égale et inclusive de tous les pays aux groupes régionaux devait rester au cœur du processus décisionnel du Protocole de Montréal. Toute proposition de modification concernant les membres d</w:t>
      </w:r>
      <w:r w:rsidR="000B3BB8" w:rsidRPr="003A0655">
        <w:t>’</w:t>
      </w:r>
      <w:r w:rsidRPr="003A0655">
        <w:t>un groupe régional devait être discutée de manière transparente et reposer sur un consensus, le droit international et la pratique établie par les Réunions des Parties. Toute tentative conduisant à l</w:t>
      </w:r>
      <w:r w:rsidR="000B3BB8" w:rsidRPr="003A0655">
        <w:t>’</w:t>
      </w:r>
      <w:r w:rsidRPr="003A0655">
        <w:t>exclusion ou à la réaffectation de pays sans leur consentement porterait atteinte aux principes de solidarité, d</w:t>
      </w:r>
      <w:r w:rsidR="000B3BB8" w:rsidRPr="003A0655">
        <w:t>’</w:t>
      </w:r>
      <w:r w:rsidRPr="003A0655">
        <w:t>inclusion et de coopération qui avaient fait le succès du Protocole.</w:t>
      </w:r>
    </w:p>
    <w:p w14:paraId="60CEF1D4" w14:textId="3DB14B91" w:rsidR="00D40D16" w:rsidRPr="003A0655" w:rsidRDefault="00D40D16" w:rsidP="00D40D16">
      <w:pPr>
        <w:pStyle w:val="Normalnumber"/>
        <w:numPr>
          <w:ilvl w:val="0"/>
          <w:numId w:val="1"/>
        </w:numPr>
        <w:tabs>
          <w:tab w:val="clear" w:pos="1871"/>
          <w:tab w:val="clear" w:pos="2495"/>
          <w:tab w:val="clear" w:pos="3119"/>
          <w:tab w:val="clear" w:pos="3742"/>
          <w:tab w:val="clear" w:pos="4366"/>
          <w:tab w:val="num" w:pos="624"/>
        </w:tabs>
        <w:ind w:left="1248"/>
      </w:pPr>
      <w:r w:rsidRPr="003A0655">
        <w:t>Un représentant a exprimé son soutien aux déclarations précédentes, soulignant la nécessité de suivre la pratique établie et d</w:t>
      </w:r>
      <w:r w:rsidR="000B3BB8" w:rsidRPr="003A0655">
        <w:t>’</w:t>
      </w:r>
      <w:r w:rsidRPr="003A0655">
        <w:t>agir conformément au principe du consensus. Il a déclaré que sa délégation s</w:t>
      </w:r>
      <w:r w:rsidR="000B3BB8" w:rsidRPr="003A0655">
        <w:t>’</w:t>
      </w:r>
      <w:r w:rsidRPr="003A0655">
        <w:t>opposait à l</w:t>
      </w:r>
      <w:r w:rsidR="000B3BB8" w:rsidRPr="003A0655">
        <w:t>’</w:t>
      </w:r>
      <w:r w:rsidRPr="003A0655">
        <w:t>exclusion ou au retrait délibéré de pays d</w:t>
      </w:r>
      <w:r w:rsidR="000B3BB8" w:rsidRPr="003A0655">
        <w:t>’</w:t>
      </w:r>
      <w:r w:rsidRPr="003A0655">
        <w:t>un groupe régional auquel ils étaient affiliés. Il a exhorté les Parties à se concentrer sur les questions scientifiques fondamentales inscrites à l</w:t>
      </w:r>
      <w:r w:rsidR="000B3BB8" w:rsidRPr="003A0655">
        <w:t>’</w:t>
      </w:r>
      <w:r w:rsidRPr="003A0655">
        <w:t>ordre du jour, à éviter de politiser la trente-septième Réunion des Parties et à respecter les principes de solidarité et de coopération, dans le but premier d</w:t>
      </w:r>
      <w:r w:rsidR="000B3BB8" w:rsidRPr="003A0655">
        <w:t>’</w:t>
      </w:r>
      <w:r w:rsidRPr="003A0655">
        <w:t xml:space="preserve">assurer la mise en œuvre intégrale du Protocole de Montréal. Un autre représentant a déclaré que sa délégation était profondément préoccupée par les tentatives visant à exclure cinq membres de longue date du groupe régional informel et à discréditer leur travail. La situation était sans précédent, car les pays avaient le droit souverain de décider au sein de quel groupe informel ils souhaitaient être représentés dans le système des Nations Unies. </w:t>
      </w:r>
    </w:p>
    <w:p w14:paraId="7E204D58" w14:textId="31B2643F" w:rsidR="00D40D16" w:rsidRPr="003A0655" w:rsidRDefault="00D40D16" w:rsidP="00D40D16">
      <w:pPr>
        <w:pStyle w:val="Normalnumber"/>
        <w:numPr>
          <w:ilvl w:val="0"/>
          <w:numId w:val="1"/>
        </w:numPr>
        <w:tabs>
          <w:tab w:val="clear" w:pos="1871"/>
          <w:tab w:val="clear" w:pos="2495"/>
          <w:tab w:val="clear" w:pos="3119"/>
          <w:tab w:val="clear" w:pos="3742"/>
          <w:tab w:val="clear" w:pos="4366"/>
          <w:tab w:val="num" w:pos="624"/>
        </w:tabs>
        <w:ind w:left="1248"/>
      </w:pPr>
      <w:r w:rsidRPr="003A0655">
        <w:t>Un représentant a fait valoir que les organes du Protocole de Montréal opéraient au sein du système des Nations Unies et conformément à la pratique établie par l</w:t>
      </w:r>
      <w:r w:rsidR="000B3BB8" w:rsidRPr="003A0655">
        <w:t>’</w:t>
      </w:r>
      <w:r w:rsidRPr="003A0655">
        <w:t>Assemblée générale. Une Réunion des Parties n</w:t>
      </w:r>
      <w:r w:rsidR="000B3BB8" w:rsidRPr="003A0655">
        <w:t>’</w:t>
      </w:r>
      <w:r w:rsidRPr="003A0655">
        <w:t>était donc pas le cadre approprié pour débattre de ces questions. Plusieurs autres représentants ont souscrit à sa déclaration. Un autre représentant, convenant que la Réunion des Parties n</w:t>
      </w:r>
      <w:r w:rsidR="000B3BB8" w:rsidRPr="003A0655">
        <w:t>’</w:t>
      </w:r>
      <w:r w:rsidRPr="003A0655">
        <w:t>était pas l</w:t>
      </w:r>
      <w:r w:rsidR="000B3BB8" w:rsidRPr="003A0655">
        <w:t>’</w:t>
      </w:r>
      <w:r w:rsidRPr="003A0655">
        <w:t>instance appropriée pour statuer sur cette question, a fait observer que l</w:t>
      </w:r>
      <w:r w:rsidR="000B3BB8" w:rsidRPr="003A0655">
        <w:t>’</w:t>
      </w:r>
      <w:r w:rsidRPr="003A0655">
        <w:t>article 21 du règlement intérieur de la Réunion des Parties faisait référence aux cinq groupes d</w:t>
      </w:r>
      <w:r w:rsidR="000B3BB8" w:rsidRPr="003A0655">
        <w:t>’</w:t>
      </w:r>
      <w:r w:rsidRPr="003A0655">
        <w:t>États créés par l</w:t>
      </w:r>
      <w:r w:rsidR="000B3BB8" w:rsidRPr="003A0655">
        <w:t>’</w:t>
      </w:r>
      <w:r w:rsidRPr="003A0655">
        <w:t>Assemblée générale dans sa résolution 2997 (XXVII) relative aux dispositions institutionnelles et financières concernant la coopération internationale dans le domaine de l</w:t>
      </w:r>
      <w:r w:rsidR="000B3BB8" w:rsidRPr="003A0655">
        <w:t>’</w:t>
      </w:r>
      <w:r w:rsidRPr="003A0655">
        <w:t>environnement. Un autre représentant a souligné l</w:t>
      </w:r>
      <w:r w:rsidR="000B3BB8" w:rsidRPr="003A0655">
        <w:t>’</w:t>
      </w:r>
      <w:r w:rsidRPr="003A0655">
        <w:t>importance du dialogue et du compromis. Le Secrétariat devait fournir des orientations supplémentaires sur la marche à suivre car aucune décision ne pouvait être prise à ce stade.</w:t>
      </w:r>
    </w:p>
    <w:p w14:paraId="3844286C" w14:textId="699ED6D1" w:rsidR="00D40D16" w:rsidRPr="003A0655" w:rsidRDefault="00D40D16" w:rsidP="00D40D16">
      <w:pPr>
        <w:pStyle w:val="Normalnumber"/>
        <w:numPr>
          <w:ilvl w:val="0"/>
          <w:numId w:val="1"/>
        </w:numPr>
        <w:tabs>
          <w:tab w:val="clear" w:pos="1871"/>
          <w:tab w:val="clear" w:pos="2495"/>
          <w:tab w:val="clear" w:pos="3119"/>
          <w:tab w:val="clear" w:pos="3742"/>
          <w:tab w:val="clear" w:pos="4366"/>
          <w:tab w:val="num" w:pos="624"/>
        </w:tabs>
      </w:pPr>
      <w:r w:rsidRPr="003A0655">
        <w:t>Un représentant a demandé pour quelle raison cette question ne pouvait pas être négociée dans le cadre de la Réunion en cours. Étant donné que la composition des groupes régionaux informels était restée inchangée depuis la création du Protocole et que les cinq pays concernés étaient membres du Groupe des États d</w:t>
      </w:r>
      <w:r w:rsidR="000B3BB8" w:rsidRPr="003A0655">
        <w:t>’</w:t>
      </w:r>
      <w:r w:rsidRPr="003A0655">
        <w:t>Europe orientale depuis trois décennies, il se demandait pour quelles raisons on s</w:t>
      </w:r>
      <w:r w:rsidR="000B3BB8" w:rsidRPr="003A0655">
        <w:t>’</w:t>
      </w:r>
      <w:r w:rsidRPr="003A0655">
        <w:t>efforçait maintenant d</w:t>
      </w:r>
      <w:r w:rsidR="000B3BB8" w:rsidRPr="003A0655">
        <w:t>’</w:t>
      </w:r>
      <w:r w:rsidRPr="003A0655">
        <w:t>aligner davantage la composition de ce groupe particulier sur celle du groupe régional du système des Nations Unies. Un autre représentant a approuvé ces sentiments, soulignant que le succès du Protocole dépendait de la coopération, laquelle visait à préserver l</w:t>
      </w:r>
      <w:r w:rsidR="000B3BB8" w:rsidRPr="003A0655">
        <w:t>’</w:t>
      </w:r>
      <w:r w:rsidRPr="003A0655">
        <w:t>environnement pour les générations actuelles et futures. Ignorer la pratique passée risquait de nuire à la coopération et à l</w:t>
      </w:r>
      <w:r w:rsidR="000B3BB8" w:rsidRPr="003A0655">
        <w:t>’</w:t>
      </w:r>
      <w:r w:rsidRPr="003A0655">
        <w:t>unité entre les Parties.</w:t>
      </w:r>
    </w:p>
    <w:p w14:paraId="29CF9007" w14:textId="66944A77" w:rsidR="00D40D16" w:rsidRPr="003A0655" w:rsidRDefault="00D40D16" w:rsidP="00D40D16">
      <w:pPr>
        <w:pStyle w:val="Normalnumber"/>
        <w:numPr>
          <w:ilvl w:val="0"/>
          <w:numId w:val="1"/>
        </w:numPr>
        <w:tabs>
          <w:tab w:val="clear" w:pos="1871"/>
          <w:tab w:val="clear" w:pos="2495"/>
          <w:tab w:val="clear" w:pos="3119"/>
          <w:tab w:val="clear" w:pos="3742"/>
          <w:tab w:val="clear" w:pos="4366"/>
          <w:tab w:val="num" w:pos="624"/>
        </w:tabs>
        <w:ind w:left="1248"/>
      </w:pPr>
      <w:r w:rsidRPr="003A0655">
        <w:t>Le représentant du Kazakhstan, en tant que coauteur de la proposition, a déclaré que sa délégation s</w:t>
      </w:r>
      <w:r w:rsidR="000B3BB8" w:rsidRPr="003A0655">
        <w:t>’</w:t>
      </w:r>
      <w:r w:rsidRPr="003A0655">
        <w:t>opposait fermement à toute initiative visant à exclure les pays d</w:t>
      </w:r>
      <w:r w:rsidR="000B3BB8" w:rsidRPr="003A0655">
        <w:t>’</w:t>
      </w:r>
      <w:r w:rsidRPr="003A0655">
        <w:t>Asie centrale du Groupe des États d</w:t>
      </w:r>
      <w:r w:rsidR="000B3BB8" w:rsidRPr="003A0655">
        <w:t>’</w:t>
      </w:r>
      <w:r w:rsidRPr="003A0655">
        <w:t>Europe orientale, estimant qu</w:t>
      </w:r>
      <w:r w:rsidR="000B3BB8" w:rsidRPr="003A0655">
        <w:t>’</w:t>
      </w:r>
      <w:r w:rsidRPr="003A0655">
        <w:t>elle était dépourvue de tout fondement juridique, qu</w:t>
      </w:r>
      <w:r w:rsidR="000B3BB8" w:rsidRPr="003A0655">
        <w:t>’</w:t>
      </w:r>
      <w:r w:rsidRPr="003A0655">
        <w:t>elle était contraire à la pratique établie et qu</w:t>
      </w:r>
      <w:r w:rsidR="000B3BB8" w:rsidRPr="003A0655">
        <w:t>’</w:t>
      </w:r>
      <w:r w:rsidRPr="003A0655">
        <w:t>elle contrevenait au droit des Parties d</w:t>
      </w:r>
      <w:r w:rsidR="000B3BB8" w:rsidRPr="003A0655">
        <w:t>’</w:t>
      </w:r>
      <w:r w:rsidRPr="003A0655">
        <w:t>élire les membres des organes directeurs et des organes subsidiaires du Protocole de Montréal, ou d</w:t>
      </w:r>
      <w:r w:rsidR="000B3BB8" w:rsidRPr="003A0655">
        <w:t>’</w:t>
      </w:r>
      <w:r w:rsidRPr="003A0655">
        <w:t>être élues comme membres de ces organes. Le Kazakhstan, qui avait précédemment été élu comme membre du Bureau, souhaitait maintenant présenter sa candidature à l</w:t>
      </w:r>
      <w:r w:rsidR="000B3BB8" w:rsidRPr="003A0655">
        <w:t>’</w:t>
      </w:r>
      <w:r w:rsidRPr="003A0655">
        <w:t>élection au Comité exécutif du Fonds multilatéral. Le représentant du Kazakhstan a souligné que la résolution 2997 (XXVII) de l</w:t>
      </w:r>
      <w:r w:rsidR="000B3BB8" w:rsidRPr="003A0655">
        <w:t>’</w:t>
      </w:r>
      <w:r w:rsidRPr="003A0655">
        <w:t>Assemblée générale était obsolète et qu</w:t>
      </w:r>
      <w:r w:rsidR="000B3BB8" w:rsidRPr="003A0655">
        <w:t>’</w:t>
      </w:r>
      <w:r w:rsidRPr="003A0655">
        <w:t>elle ne reflétait pas la carte politique actuelle. Elle avait été adoptée en 1972, alors que les cinq pays d</w:t>
      </w:r>
      <w:r w:rsidR="000B3BB8" w:rsidRPr="003A0655">
        <w:t>’</w:t>
      </w:r>
      <w:r w:rsidRPr="003A0655">
        <w:t>Asie centrale faisaient partie de l</w:t>
      </w:r>
      <w:r w:rsidR="000B3BB8" w:rsidRPr="003A0655">
        <w:t>’</w:t>
      </w:r>
      <w:r w:rsidRPr="003A0655">
        <w:t>Union des Républiques socialistes soviétiques. De plus, elle avait été remplacée par la résolution 67/251, par laquelle le Conseil d</w:t>
      </w:r>
      <w:r w:rsidR="000B3BB8" w:rsidRPr="003A0655">
        <w:t>’</w:t>
      </w:r>
      <w:r w:rsidRPr="003A0655">
        <w:t>administration du PNUE était devenu l</w:t>
      </w:r>
      <w:r w:rsidR="000B3BB8" w:rsidRPr="003A0655">
        <w:t>’</w:t>
      </w:r>
      <w:r w:rsidRPr="003A0655">
        <w:t>Assemblée des Nations Unies pour l</w:t>
      </w:r>
      <w:r w:rsidR="000B3BB8" w:rsidRPr="003A0655">
        <w:t>’</w:t>
      </w:r>
      <w:r w:rsidRPr="003A0655">
        <w:t>environnement, abolissant ainsi le modèle de répartition des sièges de 1972 et introduisant la participation universelle. Après la dissolution de l</w:t>
      </w:r>
      <w:r w:rsidR="000B3BB8" w:rsidRPr="003A0655">
        <w:t>’</w:t>
      </w:r>
      <w:r w:rsidRPr="003A0655">
        <w:t>Union des Républiques socialistes soviétiques, en 1991, les cinq États nouvellement indépendants avaient continué d</w:t>
      </w:r>
      <w:r w:rsidR="000B3BB8" w:rsidRPr="003A0655">
        <w:t>’</w:t>
      </w:r>
      <w:r w:rsidRPr="003A0655">
        <w:t>appartenir au Groupe des États d</w:t>
      </w:r>
      <w:r w:rsidR="000B3BB8" w:rsidRPr="003A0655">
        <w:t>’</w:t>
      </w:r>
      <w:r w:rsidRPr="003A0655">
        <w:t>Europe orientale. Ils étaient également membres de groupes régionaux d</w:t>
      </w:r>
      <w:r w:rsidR="000B3BB8" w:rsidRPr="003A0655">
        <w:t>’</w:t>
      </w:r>
      <w:r w:rsidRPr="003A0655">
        <w:t>Europe orientale dans d</w:t>
      </w:r>
      <w:r w:rsidR="000B3BB8" w:rsidRPr="003A0655">
        <w:t>’</w:t>
      </w:r>
      <w:r w:rsidRPr="003A0655">
        <w:t xml:space="preserve">autres entités des Nations Unies. </w:t>
      </w:r>
    </w:p>
    <w:p w14:paraId="1AD51963" w14:textId="4799720F" w:rsidR="00D40D16" w:rsidRPr="003A0655" w:rsidRDefault="00D40D16" w:rsidP="00D40D16">
      <w:pPr>
        <w:pStyle w:val="Normalnumber"/>
        <w:numPr>
          <w:ilvl w:val="0"/>
          <w:numId w:val="1"/>
        </w:numPr>
        <w:tabs>
          <w:tab w:val="clear" w:pos="1871"/>
          <w:tab w:val="clear" w:pos="2495"/>
          <w:tab w:val="clear" w:pos="3119"/>
          <w:tab w:val="clear" w:pos="3742"/>
          <w:tab w:val="clear" w:pos="4366"/>
          <w:tab w:val="num" w:pos="624"/>
        </w:tabs>
        <w:ind w:left="1248"/>
      </w:pPr>
      <w:r w:rsidRPr="003A0655">
        <w:t>Il a ajouté que toute référence à l</w:t>
      </w:r>
      <w:r w:rsidR="000B3BB8" w:rsidRPr="003A0655">
        <w:t>’</w:t>
      </w:r>
      <w:r w:rsidRPr="003A0655">
        <w:t xml:space="preserve">article 21 du </w:t>
      </w:r>
      <w:r w:rsidR="000C5BA5" w:rsidRPr="003A0655">
        <w:t xml:space="preserve">Règlement </w:t>
      </w:r>
      <w:r w:rsidRPr="003A0655">
        <w:t>intérieur devait être comprise comme une référence historique à une représentation géographique équitable et non comme à un cadre juridiquement contraignant. En l</w:t>
      </w:r>
      <w:r w:rsidR="000B3BB8" w:rsidRPr="003A0655">
        <w:t>’</w:t>
      </w:r>
      <w:r w:rsidRPr="003A0655">
        <w:t>absence d</w:t>
      </w:r>
      <w:r w:rsidR="000B3BB8" w:rsidRPr="003A0655">
        <w:t>’</w:t>
      </w:r>
      <w:r w:rsidRPr="003A0655">
        <w:t>un instrument juridiquement contraignant redéfinissant la composition des groupes régionaux, la pratique institutionnelle habituelle guidait la participation des pays à ces groupes. La participation ininterrompue des pays d</w:t>
      </w:r>
      <w:r w:rsidR="000B3BB8" w:rsidRPr="003A0655">
        <w:t>’</w:t>
      </w:r>
      <w:r w:rsidRPr="003A0655">
        <w:t>Asie centrale au Groupe des États d</w:t>
      </w:r>
      <w:r w:rsidR="000B3BB8" w:rsidRPr="003A0655">
        <w:t>’</w:t>
      </w:r>
      <w:r w:rsidRPr="003A0655">
        <w:t>Europe orientale depuis leur indépendance constituait un fait institutionnel de longue date protégé par les principes d</w:t>
      </w:r>
      <w:r w:rsidR="000B3BB8" w:rsidRPr="003A0655">
        <w:t>’</w:t>
      </w:r>
      <w:r w:rsidRPr="003A0655">
        <w:t>expectative légitime et de droits acquis. Dès lors qu</w:t>
      </w:r>
      <w:r w:rsidR="000B3BB8" w:rsidRPr="003A0655">
        <w:t>’</w:t>
      </w:r>
      <w:r w:rsidRPr="003A0655">
        <w:t>un État avait exercé pendant des décennies des fonctions d</w:t>
      </w:r>
      <w:r w:rsidR="000B3BB8" w:rsidRPr="003A0655">
        <w:t>’</w:t>
      </w:r>
      <w:r w:rsidRPr="003A0655">
        <w:t>appartenance à un groupe régional sans objection de la part des autres membres, il acquérait des droits procéduraux qui ne pouvaient être modifiés unilatéralement ou rétroactivement sans son consentement exprès ou une décision intergouvernementale formelle. Le</w:t>
      </w:r>
      <w:r w:rsidR="00A8780E" w:rsidRPr="003A0655">
        <w:t> </w:t>
      </w:r>
      <w:r w:rsidRPr="003A0655">
        <w:t>principe de l</w:t>
      </w:r>
      <w:r w:rsidR="000B3BB8" w:rsidRPr="003A0655">
        <w:t>’</w:t>
      </w:r>
      <w:r w:rsidRPr="003A0655">
        <w:t>égalité souveraine de tous les États, tel qu</w:t>
      </w:r>
      <w:r w:rsidR="000B3BB8" w:rsidRPr="003A0655">
        <w:t>’</w:t>
      </w:r>
      <w:r w:rsidRPr="003A0655">
        <w:t>énoncé à l</w:t>
      </w:r>
      <w:r w:rsidR="000B3BB8" w:rsidRPr="003A0655">
        <w:t>’</w:t>
      </w:r>
      <w:r w:rsidRPr="003A0655">
        <w:t>article 2 de la Charte des Nations</w:t>
      </w:r>
      <w:r w:rsidR="00535C2F" w:rsidRPr="003A0655">
        <w:t> </w:t>
      </w:r>
      <w:r w:rsidRPr="003A0655">
        <w:t xml:space="preserve">Unies, et </w:t>
      </w:r>
      <w:r w:rsidR="00CD6949" w:rsidRPr="003A0655">
        <w:t xml:space="preserve">le principe </w:t>
      </w:r>
      <w:r w:rsidRPr="003A0655">
        <w:t>de sécurité juridique devaient être respectés. Le représentant du Kazakhstan a demandé au Secrétariat de préparer un document contenant des informations exhaustives ainsi qu</w:t>
      </w:r>
      <w:r w:rsidR="000B3BB8" w:rsidRPr="003A0655">
        <w:t>’</w:t>
      </w:r>
      <w:r w:rsidRPr="003A0655">
        <w:t>une analyse des décisions, résolutions et pratiques de toutes les entités des Nations Unies, y compris les organes subsidiaires et les secrétariats des conventions, concernant la répartition des États Membres de l</w:t>
      </w:r>
      <w:r w:rsidR="000B3BB8" w:rsidRPr="003A0655">
        <w:t>’</w:t>
      </w:r>
      <w:r w:rsidRPr="003A0655">
        <w:t>Organisation des Nations Unies entre les groupes régionaux. Le dialogue devait se poursuivre sur la base du respect mutuel et de l</w:t>
      </w:r>
      <w:r w:rsidR="000B3BB8" w:rsidRPr="003A0655">
        <w:t>’</w:t>
      </w:r>
      <w:r w:rsidRPr="003A0655">
        <w:t>adhésion au droit international, tandis que les Parties devaient continuer de se concentrer collectivement sur la réalisation des objectifs environnementaux communs et la garantie d</w:t>
      </w:r>
      <w:r w:rsidR="000B3BB8" w:rsidRPr="003A0655">
        <w:t>’</w:t>
      </w:r>
      <w:r w:rsidRPr="003A0655">
        <w:t>un avenir viable pour l</w:t>
      </w:r>
      <w:r w:rsidR="000B3BB8" w:rsidRPr="003A0655">
        <w:t>’</w:t>
      </w:r>
      <w:r w:rsidRPr="003A0655">
        <w:t xml:space="preserve">humanité </w:t>
      </w:r>
      <w:proofErr w:type="gramStart"/>
      <w:r w:rsidRPr="003A0655">
        <w:t>toute</w:t>
      </w:r>
      <w:proofErr w:type="gramEnd"/>
      <w:r w:rsidRPr="003A0655">
        <w:t xml:space="preserve"> entière.</w:t>
      </w:r>
    </w:p>
    <w:p w14:paraId="7C3BB152" w14:textId="26F9CF7D" w:rsidR="00D40D16" w:rsidRPr="003A0655" w:rsidRDefault="00D40D16" w:rsidP="00D40D16">
      <w:pPr>
        <w:pStyle w:val="Normalnumber"/>
        <w:numPr>
          <w:ilvl w:val="0"/>
          <w:numId w:val="1"/>
        </w:numPr>
        <w:tabs>
          <w:tab w:val="clear" w:pos="1871"/>
          <w:tab w:val="clear" w:pos="2495"/>
          <w:tab w:val="clear" w:pos="3119"/>
          <w:tab w:val="clear" w:pos="3742"/>
          <w:tab w:val="clear" w:pos="4366"/>
          <w:tab w:val="num" w:pos="624"/>
        </w:tabs>
        <w:ind w:left="1248"/>
      </w:pPr>
      <w:r w:rsidRPr="003A0655">
        <w:t>Certain(e)s représentant(e)s ont déclaré que les propositions de modification des groupes régionaux, y compris les critères d</w:t>
      </w:r>
      <w:r w:rsidR="000B3BB8" w:rsidRPr="003A0655">
        <w:t>’</w:t>
      </w:r>
      <w:r w:rsidRPr="003A0655">
        <w:t>affiliation à ceux-ci, nécessitaient une évaluation et des discussions plus approfondies qui dépassaient le cadre d</w:t>
      </w:r>
      <w:r w:rsidR="000B3BB8" w:rsidRPr="003A0655">
        <w:t>’</w:t>
      </w:r>
      <w:r w:rsidRPr="003A0655">
        <w:t xml:space="preserve">une Réunion des Parties. </w:t>
      </w:r>
    </w:p>
    <w:p w14:paraId="190E8623" w14:textId="7960C88B" w:rsidR="00D40D16" w:rsidRPr="003A0655" w:rsidRDefault="00D40D16" w:rsidP="00D40D16">
      <w:pPr>
        <w:pStyle w:val="Normalnumber"/>
        <w:numPr>
          <w:ilvl w:val="0"/>
          <w:numId w:val="1"/>
        </w:numPr>
        <w:tabs>
          <w:tab w:val="clear" w:pos="1871"/>
          <w:tab w:val="clear" w:pos="2495"/>
          <w:tab w:val="clear" w:pos="3119"/>
          <w:tab w:val="clear" w:pos="3742"/>
          <w:tab w:val="clear" w:pos="4366"/>
          <w:tab w:val="num" w:pos="624"/>
        </w:tabs>
        <w:ind w:left="1248"/>
      </w:pPr>
      <w:r w:rsidRPr="003A0655">
        <w:t>Le représentant du Kirghizistan, se référant à une lettre reçue d</w:t>
      </w:r>
      <w:r w:rsidR="000B3BB8" w:rsidRPr="003A0655">
        <w:t>’</w:t>
      </w:r>
      <w:r w:rsidRPr="003A0655">
        <w:t>un représentant du Secrétariat, a</w:t>
      </w:r>
      <w:r w:rsidR="00E14809" w:rsidRPr="003A0655">
        <w:t> </w:t>
      </w:r>
      <w:r w:rsidRPr="003A0655">
        <w:t xml:space="preserve">fait savoir que le </w:t>
      </w:r>
      <w:r w:rsidR="000C5BA5" w:rsidRPr="003A0655">
        <w:t>R</w:t>
      </w:r>
      <w:r w:rsidRPr="003A0655">
        <w:t>èglement intérieur ne s</w:t>
      </w:r>
      <w:r w:rsidR="000B3BB8" w:rsidRPr="003A0655">
        <w:t>’</w:t>
      </w:r>
      <w:r w:rsidRPr="003A0655">
        <w:t>appliquait pas aux groupes régionaux informels. Lors de l</w:t>
      </w:r>
      <w:r w:rsidR="000B3BB8" w:rsidRPr="003A0655">
        <w:t>’</w:t>
      </w:r>
      <w:r w:rsidRPr="003A0655">
        <w:t>adoption de la résolution 2997 (XXVII) de l</w:t>
      </w:r>
      <w:r w:rsidR="000B3BB8" w:rsidRPr="003A0655">
        <w:t>’</w:t>
      </w:r>
      <w:r w:rsidRPr="003A0655">
        <w:t>Assemblée générale, en 1972, les 15</w:t>
      </w:r>
      <w:r w:rsidR="00F97C78" w:rsidRPr="003A0655">
        <w:t> </w:t>
      </w:r>
      <w:r w:rsidRPr="003A0655">
        <w:t>républiques de l</w:t>
      </w:r>
      <w:r w:rsidR="000B3BB8" w:rsidRPr="003A0655">
        <w:t>’</w:t>
      </w:r>
      <w:r w:rsidRPr="003A0655">
        <w:t>Union des Républiques socialistes soviétiques appartenaient toutes au Groupe des États d</w:t>
      </w:r>
      <w:r w:rsidR="000B3BB8" w:rsidRPr="003A0655">
        <w:t>’</w:t>
      </w:r>
      <w:r w:rsidRPr="003A0655">
        <w:t>Europe orientale. Depuis lors, aucun document officiel des Nations Unies n</w:t>
      </w:r>
      <w:r w:rsidR="000B3BB8" w:rsidRPr="003A0655">
        <w:t>’</w:t>
      </w:r>
      <w:r w:rsidRPr="003A0655">
        <w:t>avait été publié pour clarifier la liste des pays appartenant à ce groupe régional. De plus, les groupes régionaux n</w:t>
      </w:r>
      <w:r w:rsidR="000B3BB8" w:rsidRPr="003A0655">
        <w:t>’</w:t>
      </w:r>
      <w:r w:rsidRPr="003A0655">
        <w:t>avaient pas été créés en tant qu</w:t>
      </w:r>
      <w:r w:rsidR="000B3BB8" w:rsidRPr="003A0655">
        <w:t>’</w:t>
      </w:r>
      <w:r w:rsidRPr="003A0655">
        <w:t>organes du Protocole de Montréal</w:t>
      </w:r>
      <w:r w:rsidR="00F97C78" w:rsidRPr="003A0655">
        <w:t> </w:t>
      </w:r>
      <w:r w:rsidRPr="003A0655">
        <w:t xml:space="preserve">; ils se réunissaient de manière informelle, aucune règle ne régissait leur composition et la prise de décision au sein de ces groupes reposait sur le consensus. </w:t>
      </w:r>
    </w:p>
    <w:p w14:paraId="5D3C9D31" w14:textId="3B063545" w:rsidR="00D40D16" w:rsidRPr="003A0655" w:rsidRDefault="00D40D16" w:rsidP="00D40D16">
      <w:pPr>
        <w:pStyle w:val="Normalnumber"/>
        <w:numPr>
          <w:ilvl w:val="0"/>
          <w:numId w:val="1"/>
        </w:numPr>
        <w:tabs>
          <w:tab w:val="clear" w:pos="1871"/>
          <w:tab w:val="clear" w:pos="2495"/>
          <w:tab w:val="clear" w:pos="3119"/>
          <w:tab w:val="clear" w:pos="3742"/>
          <w:tab w:val="clear" w:pos="4366"/>
          <w:tab w:val="num" w:pos="624"/>
        </w:tabs>
        <w:ind w:left="1248"/>
      </w:pPr>
      <w:r w:rsidRPr="003A0655">
        <w:t>À la question de savoir si les Parties pouvaient choisir le groupe régional auquel elles souhaitaient appartenir, une représentante du Secrétariat a rappelé que, lors de la trente</w:t>
      </w:r>
      <w:r w:rsidR="002469DD" w:rsidRPr="003A0655">
        <w:noBreakHyphen/>
      </w:r>
      <w:r w:rsidRPr="003A0655">
        <w:t>cinquième</w:t>
      </w:r>
      <w:r w:rsidR="002469DD" w:rsidRPr="003A0655">
        <w:t> </w:t>
      </w:r>
      <w:r w:rsidRPr="003A0655">
        <w:t>Réunion des Parties, des consultations avaient eu lieu au sujet des pays d</w:t>
      </w:r>
      <w:r w:rsidR="000B3BB8" w:rsidRPr="003A0655">
        <w:t>’</w:t>
      </w:r>
      <w:r w:rsidRPr="003A0655">
        <w:t>Europe orientale et d</w:t>
      </w:r>
      <w:r w:rsidR="000B3BB8" w:rsidRPr="003A0655">
        <w:t>’</w:t>
      </w:r>
      <w:r w:rsidRPr="003A0655">
        <w:t>Asie centrale. Au cours de ces consultations, elle avait indiqué qu</w:t>
      </w:r>
      <w:r w:rsidR="000B3BB8" w:rsidRPr="003A0655">
        <w:t>’</w:t>
      </w:r>
      <w:r w:rsidRPr="003A0655">
        <w:t>une Partie membre d</w:t>
      </w:r>
      <w:r w:rsidR="000B3BB8" w:rsidRPr="003A0655">
        <w:t>’</w:t>
      </w:r>
      <w:r w:rsidRPr="003A0655">
        <w:t>un groupe régional pouvait choisir de s</w:t>
      </w:r>
      <w:r w:rsidR="000B3BB8" w:rsidRPr="003A0655">
        <w:t>’</w:t>
      </w:r>
      <w:r w:rsidRPr="003A0655">
        <w:t>associer à un autre groupe régional, à condition que le groupe en question donne son accord. Toutefois, les Parties ne pouvaient pas être membres de plus d</w:t>
      </w:r>
      <w:r w:rsidR="000B3BB8" w:rsidRPr="003A0655">
        <w:t>’</w:t>
      </w:r>
      <w:r w:rsidRPr="003A0655">
        <w:t>un groupe régional à la fois.</w:t>
      </w:r>
    </w:p>
    <w:p w14:paraId="79674EA4" w14:textId="0ECBCF6E" w:rsidR="00D40D16" w:rsidRPr="003A0655" w:rsidRDefault="00D40D16" w:rsidP="00D40D16">
      <w:pPr>
        <w:pStyle w:val="Normalnumber"/>
        <w:numPr>
          <w:ilvl w:val="0"/>
          <w:numId w:val="1"/>
        </w:numPr>
        <w:tabs>
          <w:tab w:val="clear" w:pos="1871"/>
          <w:tab w:val="clear" w:pos="2495"/>
          <w:tab w:val="clear" w:pos="3119"/>
          <w:tab w:val="clear" w:pos="3742"/>
          <w:tab w:val="clear" w:pos="4366"/>
          <w:tab w:val="num" w:pos="624"/>
        </w:tabs>
        <w:ind w:left="1248"/>
      </w:pPr>
      <w:r w:rsidRPr="003A0655">
        <w:t>En réponse à une question concernant la présentation des candidatures à la trente</w:t>
      </w:r>
      <w:r w:rsidR="00535C2F" w:rsidRPr="003A0655">
        <w:noBreakHyphen/>
      </w:r>
      <w:r w:rsidRPr="003A0655">
        <w:t>septième</w:t>
      </w:r>
      <w:r w:rsidR="00535C2F" w:rsidRPr="003A0655">
        <w:t> </w:t>
      </w:r>
      <w:r w:rsidRPr="003A0655">
        <w:t>Réunion des Parties, le Président a précisé que les candidatures pouvaient être déposées pendant le débat préparatoire.</w:t>
      </w:r>
    </w:p>
    <w:p w14:paraId="0B40F4B9" w14:textId="7982CAC9" w:rsidR="00D40D16" w:rsidRPr="003A0655" w:rsidRDefault="00D40D16" w:rsidP="00D40D16">
      <w:pPr>
        <w:pStyle w:val="Normalnumber"/>
        <w:numPr>
          <w:ilvl w:val="0"/>
          <w:numId w:val="1"/>
        </w:numPr>
        <w:tabs>
          <w:tab w:val="clear" w:pos="1871"/>
          <w:tab w:val="clear" w:pos="2495"/>
          <w:tab w:val="clear" w:pos="3119"/>
          <w:tab w:val="clear" w:pos="3742"/>
          <w:tab w:val="clear" w:pos="4366"/>
          <w:tab w:val="num" w:pos="624"/>
        </w:tabs>
        <w:ind w:left="1248"/>
      </w:pPr>
      <w:r w:rsidRPr="003A0655">
        <w:t>Sur proposition du Président de la trente-septième Réunion des Parties, celles-ci sont convenues que les Parties intéressées poursuivraient les discussions pendant l</w:t>
      </w:r>
      <w:r w:rsidR="000B3BB8" w:rsidRPr="003A0655">
        <w:t>’</w:t>
      </w:r>
      <w:r w:rsidRPr="003A0655">
        <w:t xml:space="preserve">intersession et que le Secrétariat fournirait un résumé des informations pertinentes avant la quarante-huitième réunion du Groupe de travail à composition non limitée. </w:t>
      </w:r>
    </w:p>
    <w:p w14:paraId="77BE3742" w14:textId="7F85AB13" w:rsidR="00CF4056" w:rsidRPr="003A0655" w:rsidRDefault="00CF4056" w:rsidP="00CF4056">
      <w:pPr>
        <w:pStyle w:val="CH1"/>
        <w:keepNext w:val="0"/>
        <w:keepLines w:val="0"/>
      </w:pPr>
      <w:r w:rsidRPr="003A0655">
        <w:tab/>
        <w:t>IX.</w:t>
      </w:r>
      <w:r w:rsidRPr="003A0655">
        <w:tab/>
      </w:r>
      <w:r w:rsidR="00A27D70" w:rsidRPr="003A0655">
        <w:t>Adoption des décisions de la trente-septième</w:t>
      </w:r>
      <w:r w:rsidR="005927C7" w:rsidRPr="003A0655">
        <w:t> </w:t>
      </w:r>
      <w:r w:rsidR="00A27D70" w:rsidRPr="003A0655">
        <w:t xml:space="preserve">Réunion des Parties </w:t>
      </w:r>
    </w:p>
    <w:p w14:paraId="1EC1F210" w14:textId="1323050A" w:rsidR="00DB07B8" w:rsidRPr="003A0655" w:rsidRDefault="00DB07B8" w:rsidP="00DB07B8">
      <w:pPr>
        <w:pStyle w:val="Normalnumber"/>
        <w:numPr>
          <w:ilvl w:val="0"/>
          <w:numId w:val="1"/>
        </w:numPr>
        <w:tabs>
          <w:tab w:val="clear" w:pos="1247"/>
          <w:tab w:val="clear" w:pos="1814"/>
          <w:tab w:val="clear" w:pos="1871"/>
          <w:tab w:val="clear" w:pos="2381"/>
          <w:tab w:val="clear" w:pos="2495"/>
          <w:tab w:val="clear" w:pos="2948"/>
          <w:tab w:val="clear" w:pos="3119"/>
          <w:tab w:val="clear" w:pos="3515"/>
          <w:tab w:val="clear" w:pos="3742"/>
          <w:tab w:val="clear" w:pos="4366"/>
          <w:tab w:val="num" w:pos="624"/>
        </w:tabs>
      </w:pPr>
      <w:r w:rsidRPr="003A0655">
        <w:t>La trente-septième Réunion des Parties au Protocole de Montréal a adopté les décisions approuvées au cours du débat préparatoire. Les décisions sont disponibles dans le document UNEP/OzL.Pro.37/9/Add.1.</w:t>
      </w:r>
    </w:p>
    <w:p w14:paraId="55672B7D" w14:textId="574D4018" w:rsidR="00CF4056" w:rsidRPr="003A0655" w:rsidRDefault="00CF4056" w:rsidP="00CF4056">
      <w:pPr>
        <w:pStyle w:val="CH1"/>
        <w:keepNext w:val="0"/>
        <w:keepLines w:val="0"/>
      </w:pPr>
      <w:r w:rsidRPr="003A0655">
        <w:tab/>
        <w:t>X.</w:t>
      </w:r>
      <w:r w:rsidRPr="003A0655">
        <w:tab/>
      </w:r>
      <w:r w:rsidR="006F4ACF" w:rsidRPr="003A0655">
        <w:t>Adoption du rapport de la réunion</w:t>
      </w:r>
    </w:p>
    <w:p w14:paraId="333DEC5A" w14:textId="402BD2A8" w:rsidR="00E95CF6" w:rsidRPr="003A0655" w:rsidRDefault="00E95CF6" w:rsidP="00E95CF6">
      <w:pPr>
        <w:pStyle w:val="Normalnumber"/>
        <w:numPr>
          <w:ilvl w:val="0"/>
          <w:numId w:val="1"/>
        </w:numPr>
        <w:tabs>
          <w:tab w:val="clear" w:pos="1871"/>
          <w:tab w:val="clear" w:pos="2495"/>
          <w:tab w:val="clear" w:pos="3119"/>
          <w:tab w:val="clear" w:pos="3742"/>
          <w:tab w:val="clear" w:pos="4366"/>
          <w:tab w:val="num" w:pos="624"/>
        </w:tabs>
        <w:ind w:left="1248"/>
      </w:pPr>
      <w:r w:rsidRPr="003A0655">
        <w:t>Les Parties ont adopté le présent rapport le vendredi 7</w:t>
      </w:r>
      <w:r w:rsidR="00535C2F" w:rsidRPr="003A0655">
        <w:t> </w:t>
      </w:r>
      <w:r w:rsidRPr="003A0655">
        <w:t>novembre, sur la base du projet de rapport précédemment distribué. L</w:t>
      </w:r>
      <w:r w:rsidR="000B3BB8" w:rsidRPr="003A0655">
        <w:t>’</w:t>
      </w:r>
      <w:r w:rsidRPr="003A0655">
        <w:t>établissement de la version définitive du rapport a été confiée au Président, aidé du Secrétariat.</w:t>
      </w:r>
    </w:p>
    <w:p w14:paraId="76B1C749" w14:textId="193BEEA6" w:rsidR="00CF4056" w:rsidRPr="003A0655" w:rsidRDefault="00CF4056" w:rsidP="00CF4056">
      <w:pPr>
        <w:pStyle w:val="CH1"/>
        <w:keepNext w:val="0"/>
        <w:keepLines w:val="0"/>
      </w:pPr>
      <w:r w:rsidRPr="003A0655">
        <w:tab/>
        <w:t>XI.</w:t>
      </w:r>
      <w:r w:rsidRPr="003A0655">
        <w:tab/>
      </w:r>
      <w:r w:rsidR="004D3761" w:rsidRPr="003A0655">
        <w:t>Clôture de la réunion</w:t>
      </w:r>
    </w:p>
    <w:p w14:paraId="1D373162" w14:textId="77777777" w:rsidR="00CF4056" w:rsidRPr="003A0655" w:rsidRDefault="00CF4056" w:rsidP="00CF4056">
      <w:pPr>
        <w:rPr>
          <w:sz w:val="2"/>
          <w:szCs w:val="2"/>
        </w:rPr>
      </w:pPr>
    </w:p>
    <w:p w14:paraId="16511B04" w14:textId="51D87123" w:rsidR="002B33A1" w:rsidRPr="003A0655" w:rsidRDefault="002B33A1" w:rsidP="002B33A1">
      <w:pPr>
        <w:pStyle w:val="Normalnumber"/>
        <w:numPr>
          <w:ilvl w:val="0"/>
          <w:numId w:val="1"/>
        </w:numPr>
        <w:tabs>
          <w:tab w:val="clear" w:pos="1871"/>
          <w:tab w:val="clear" w:pos="2495"/>
          <w:tab w:val="clear" w:pos="3119"/>
          <w:tab w:val="clear" w:pos="3742"/>
          <w:tab w:val="clear" w:pos="4366"/>
          <w:tab w:val="num" w:pos="624"/>
        </w:tabs>
        <w:ind w:left="1248"/>
      </w:pPr>
      <w:r w:rsidRPr="003A0655">
        <w:t>Après les échanges de courtoisie d</w:t>
      </w:r>
      <w:r w:rsidR="000B3BB8" w:rsidRPr="003A0655">
        <w:t>’</w:t>
      </w:r>
      <w:r w:rsidRPr="003A0655">
        <w:t>usage, la clôture de la Réunion a été prononcée le samedi 8 novembre 2025 à 12</w:t>
      </w:r>
      <w:r w:rsidR="00BB3166" w:rsidRPr="003A0655">
        <w:t> </w:t>
      </w:r>
      <w:r w:rsidRPr="003A0655">
        <w:t>h</w:t>
      </w:r>
      <w:r w:rsidR="00BB3166" w:rsidRPr="003A0655">
        <w:t> </w:t>
      </w:r>
      <w:r w:rsidRPr="003A0655">
        <w:t>10.</w:t>
      </w:r>
    </w:p>
    <w:p w14:paraId="6F3A4A9F" w14:textId="77777777" w:rsidR="00FC517C" w:rsidRPr="003A0655" w:rsidRDefault="00FC517C">
      <w:pPr>
        <w:tabs>
          <w:tab w:val="clear" w:pos="1247"/>
          <w:tab w:val="clear" w:pos="1814"/>
          <w:tab w:val="clear" w:pos="2381"/>
          <w:tab w:val="clear" w:pos="2948"/>
          <w:tab w:val="clear" w:pos="3515"/>
        </w:tabs>
      </w:pPr>
      <w:r w:rsidRPr="003A0655">
        <w:br w:type="page"/>
      </w:r>
    </w:p>
    <w:p w14:paraId="69E73D35" w14:textId="1E7E39B2" w:rsidR="00CF4056" w:rsidRPr="003A0655" w:rsidRDefault="00D47363" w:rsidP="00D47363">
      <w:pPr>
        <w:pStyle w:val="ZZAnxheader"/>
      </w:pPr>
      <w:r w:rsidRPr="003A0655">
        <w:t>Annexe I</w:t>
      </w:r>
    </w:p>
    <w:p w14:paraId="4562AD8B" w14:textId="410C2F74" w:rsidR="003103F4" w:rsidRPr="003A0655" w:rsidRDefault="003103F4" w:rsidP="003103F4">
      <w:pPr>
        <w:pStyle w:val="ZZAnxtitle"/>
      </w:pPr>
      <w:r w:rsidRPr="003A0655">
        <w:t>Résumés des exposés des membres des groupes d</w:t>
      </w:r>
      <w:r w:rsidR="000B3BB8" w:rsidRPr="003A0655">
        <w:t>’</w:t>
      </w:r>
      <w:r w:rsidRPr="003A0655">
        <w:t>évaluation et</w:t>
      </w:r>
      <w:r w:rsidR="00535C2F" w:rsidRPr="003A0655">
        <w:t> </w:t>
      </w:r>
      <w:r w:rsidRPr="003A0655">
        <w:t>des</w:t>
      </w:r>
      <w:r w:rsidR="00535C2F" w:rsidRPr="003A0655">
        <w:t> </w:t>
      </w:r>
      <w:r w:rsidRPr="003A0655">
        <w:t>comités des choix techniques</w:t>
      </w:r>
      <w:r w:rsidRPr="003A0655">
        <w:rPr>
          <w:rStyle w:val="FootnoteReference"/>
          <w:b w:val="0"/>
          <w:bCs w:val="0"/>
          <w:sz w:val="28"/>
          <w:szCs w:val="28"/>
          <w:vertAlign w:val="baseline"/>
        </w:rPr>
        <w:footnoteReference w:customMarkFollows="1" w:id="5"/>
        <w:t>*</w:t>
      </w:r>
    </w:p>
    <w:p w14:paraId="75A8823D" w14:textId="16A945DC" w:rsidR="003103F4" w:rsidRPr="003A0655" w:rsidRDefault="003103F4" w:rsidP="003103F4">
      <w:pPr>
        <w:pStyle w:val="CH2"/>
      </w:pPr>
      <w:r w:rsidRPr="003A0655">
        <w:tab/>
        <w:t>A.</w:t>
      </w:r>
      <w:r w:rsidRPr="003A0655">
        <w:tab/>
        <w:t>Rapport du Groupe de l</w:t>
      </w:r>
      <w:r w:rsidR="000B3BB8" w:rsidRPr="003A0655">
        <w:t>’</w:t>
      </w:r>
      <w:r w:rsidRPr="003A0655">
        <w:t>évaluation scientifique sur la suite donnée à</w:t>
      </w:r>
      <w:r w:rsidR="00535C2F" w:rsidRPr="003A0655">
        <w:t> </w:t>
      </w:r>
      <w:r w:rsidRPr="003A0655">
        <w:t>la</w:t>
      </w:r>
      <w:r w:rsidR="00535C2F" w:rsidRPr="003A0655">
        <w:t> </w:t>
      </w:r>
      <w:r w:rsidRPr="003A0655">
        <w:t>décision XXXVI/3</w:t>
      </w:r>
    </w:p>
    <w:p w14:paraId="5C9948B5" w14:textId="2379E92B" w:rsidR="003103F4" w:rsidRPr="003A0655" w:rsidRDefault="003103F4" w:rsidP="003103F4">
      <w:pPr>
        <w:pStyle w:val="Normalnumber"/>
        <w:numPr>
          <w:ilvl w:val="0"/>
          <w:numId w:val="21"/>
        </w:numPr>
        <w:tabs>
          <w:tab w:val="clear" w:pos="1871"/>
          <w:tab w:val="clear" w:pos="2495"/>
          <w:tab w:val="clear" w:pos="3119"/>
          <w:tab w:val="clear" w:pos="3742"/>
          <w:tab w:val="clear" w:pos="4366"/>
          <w:tab w:val="num" w:pos="624"/>
        </w:tabs>
        <w:ind w:left="1248"/>
      </w:pPr>
      <w:r w:rsidRPr="003A0655">
        <w:t>L</w:t>
      </w:r>
      <w:r w:rsidR="000B3BB8" w:rsidRPr="003A0655">
        <w:t>’</w:t>
      </w:r>
      <w:r w:rsidRPr="003A0655">
        <w:t>exposé résumait le contenu du rapport, et mettait en évidence les conclusions jugées les plus dignes d</w:t>
      </w:r>
      <w:r w:rsidR="000B3BB8" w:rsidRPr="003A0655">
        <w:t>’</w:t>
      </w:r>
      <w:r w:rsidRPr="003A0655">
        <w:t>intérêt pour les Parties. Les estimations des émissions d</w:t>
      </w:r>
      <w:r w:rsidR="000B3BB8" w:rsidRPr="003A0655">
        <w:t>’</w:t>
      </w:r>
      <w:r w:rsidRPr="003A0655">
        <w:t>hydrofluorocarbone-23 (HFC-23) figurant dans ce rapport avaient été calculées à partir des observations atmosphériques effectuées jusqu</w:t>
      </w:r>
      <w:r w:rsidR="000B3BB8" w:rsidRPr="003A0655">
        <w:t>’</w:t>
      </w:r>
      <w:r w:rsidRPr="003A0655">
        <w:t>en 2022. Le rapport complémentaire présentait les estimations des émissions actualisées à partir des observations atmosphériques effectuées jusqu</w:t>
      </w:r>
      <w:r w:rsidR="000B3BB8" w:rsidRPr="003A0655">
        <w:t>’</w:t>
      </w:r>
      <w:r w:rsidRPr="003A0655">
        <w:t>en 2023. L</w:t>
      </w:r>
      <w:r w:rsidR="000B3BB8" w:rsidRPr="003A0655">
        <w:t>’</w:t>
      </w:r>
      <w:r w:rsidRPr="003A0655">
        <w:t>année supplémentaire de mesures, les émissions déduites et les mises à jour des quantités déclarées et des quantités calculées à partir des informations fournies devenues disponibles pour 2024 ne modifiaient pas les conclusions fondamentales de ce rapport.</w:t>
      </w:r>
    </w:p>
    <w:p w14:paraId="7F872CFA" w14:textId="7FE31D57" w:rsidR="003103F4" w:rsidRPr="003A0655" w:rsidRDefault="003103F4" w:rsidP="003103F4">
      <w:pPr>
        <w:pStyle w:val="Normalnumber"/>
        <w:numPr>
          <w:ilvl w:val="0"/>
          <w:numId w:val="21"/>
        </w:numPr>
        <w:tabs>
          <w:tab w:val="clear" w:pos="1871"/>
          <w:tab w:val="clear" w:pos="2495"/>
          <w:tab w:val="clear" w:pos="3119"/>
          <w:tab w:val="clear" w:pos="3742"/>
          <w:tab w:val="clear" w:pos="4366"/>
          <w:tab w:val="num" w:pos="624"/>
        </w:tabs>
        <w:ind w:left="1248"/>
      </w:pPr>
      <w:r w:rsidRPr="003A0655">
        <w:t>En 2023, la charge atmosphérique mondiale moyenne de HFC-23 (CHF</w:t>
      </w:r>
      <w:r w:rsidRPr="003A0655">
        <w:rPr>
          <w:vertAlign w:val="subscript"/>
        </w:rPr>
        <w:t>3</w:t>
      </w:r>
      <w:r w:rsidRPr="003A0655">
        <w:t>) avait continué à augmenter. La charge mondiale moyenne mesurée en 2023 était de 36,8 ± 0,9 </w:t>
      </w:r>
      <w:proofErr w:type="spellStart"/>
      <w:r w:rsidRPr="003A0655">
        <w:t>ppt</w:t>
      </w:r>
      <w:proofErr w:type="spellEnd"/>
      <w:r w:rsidRPr="003A0655">
        <w:t xml:space="preserve"> (parties par trillion), soit 0,97 ± 0,04 </w:t>
      </w:r>
      <w:proofErr w:type="spellStart"/>
      <w:r w:rsidRPr="003A0655">
        <w:t>ppt</w:t>
      </w:r>
      <w:proofErr w:type="spellEnd"/>
      <w:r w:rsidRPr="003A0655">
        <w:t xml:space="preserve"> de plus que les 35,9 ± 0,9 </w:t>
      </w:r>
      <w:proofErr w:type="spellStart"/>
      <w:r w:rsidRPr="003A0655">
        <w:t>ppt</w:t>
      </w:r>
      <w:proofErr w:type="spellEnd"/>
      <w:r w:rsidRPr="003A0655">
        <w:t xml:space="preserve"> mesurées en 2022. Cette augmentation annuelle était légèrement inférieure à l</w:t>
      </w:r>
      <w:r w:rsidR="000B3BB8" w:rsidRPr="003A0655">
        <w:t>’</w:t>
      </w:r>
      <w:r w:rsidRPr="003A0655">
        <w:t>accroissement moyen observé de 2015 à 2023, à savoir 1,10 ± 0,13 ppt·an</w:t>
      </w:r>
      <w:r w:rsidRPr="003A0655">
        <w:rPr>
          <w:vertAlign w:val="superscript"/>
        </w:rPr>
        <w:t>-1</w:t>
      </w:r>
      <w:r w:rsidRPr="003A0655">
        <w:t>.</w:t>
      </w:r>
    </w:p>
    <w:p w14:paraId="7FD5823B" w14:textId="549F5AF4" w:rsidR="003103F4" w:rsidRPr="003A0655" w:rsidRDefault="003103F4" w:rsidP="003103F4">
      <w:pPr>
        <w:pStyle w:val="Normalnumber"/>
        <w:numPr>
          <w:ilvl w:val="0"/>
          <w:numId w:val="21"/>
        </w:numPr>
        <w:tabs>
          <w:tab w:val="clear" w:pos="1871"/>
          <w:tab w:val="clear" w:pos="2495"/>
          <w:tab w:val="clear" w:pos="3119"/>
          <w:tab w:val="clear" w:pos="3742"/>
          <w:tab w:val="clear" w:pos="4366"/>
          <w:tab w:val="num" w:pos="624"/>
        </w:tabs>
        <w:ind w:left="1248"/>
      </w:pPr>
      <w:r w:rsidRPr="003A0655">
        <w:t>En 2023, les émissions mondiales de HFC-23 calculées à partir des charges atmosphériques mesurées s</w:t>
      </w:r>
      <w:r w:rsidR="000B3BB8" w:rsidRPr="003A0655">
        <w:t>’</w:t>
      </w:r>
      <w:r w:rsidRPr="003A0655">
        <w:t>élevaient à 14,2 ± 0,7 kt· et étaient comparables aux émissions de 2022 (14,4 ± 0,6 kt). La faible variation des émissions au cours de ces années contrastait avec l</w:t>
      </w:r>
      <w:r w:rsidR="000B3BB8" w:rsidRPr="003A0655">
        <w:t>’</w:t>
      </w:r>
      <w:r w:rsidRPr="003A0655">
        <w:t>importante diminution annuelle enregistrée entre 2019 et 2022, qui était de 0,8 kt·an</w:t>
      </w:r>
      <w:r w:rsidRPr="003A0655">
        <w:rPr>
          <w:vertAlign w:val="superscript"/>
        </w:rPr>
        <w:t>-1</w:t>
      </w:r>
      <w:r w:rsidRPr="003A0655">
        <w:t xml:space="preserve"> en moyenne. La production déclarée (toutes utilisations confondues) de HCFC-22, qui demeurait la plus grande source connue de HFC-23 en tant que sous-produit, avait baissé de 1,9 % entre 2022 et 2023 (1197 kt en 2022 et 1175 kt en 2023).</w:t>
      </w:r>
    </w:p>
    <w:p w14:paraId="3CF204C0" w14:textId="2435F222" w:rsidR="003103F4" w:rsidRPr="003A0655" w:rsidRDefault="003103F4" w:rsidP="003103F4">
      <w:pPr>
        <w:pStyle w:val="Normalnumber"/>
        <w:numPr>
          <w:ilvl w:val="0"/>
          <w:numId w:val="21"/>
        </w:numPr>
        <w:tabs>
          <w:tab w:val="clear" w:pos="1871"/>
          <w:tab w:val="clear" w:pos="2495"/>
          <w:tab w:val="clear" w:pos="3119"/>
          <w:tab w:val="clear" w:pos="3742"/>
          <w:tab w:val="clear" w:pos="4366"/>
          <w:tab w:val="num" w:pos="624"/>
        </w:tabs>
        <w:ind w:left="1248"/>
      </w:pPr>
      <w:r w:rsidRPr="003A0655">
        <w:t>De nouveaux résultats scientifiques confirmaient que les réactions d</w:t>
      </w:r>
      <w:r w:rsidR="000B3BB8" w:rsidRPr="003A0655">
        <w:t>’</w:t>
      </w:r>
      <w:r w:rsidRPr="003A0655">
        <w:t>oxydation de certains gaz fluorés présents dans l</w:t>
      </w:r>
      <w:r w:rsidR="000B3BB8" w:rsidRPr="003A0655">
        <w:t>’</w:t>
      </w:r>
      <w:r w:rsidRPr="003A0655">
        <w:t>atmosphère produisaient du HFC-23. On estimait que cette source de HFC-23 représentait moins de 0,22 kt</w:t>
      </w:r>
      <w:r w:rsidR="00D029A4" w:rsidRPr="003A0655">
        <w:t>/an</w:t>
      </w:r>
      <w:r w:rsidRPr="003A0655">
        <w:t xml:space="preserve"> en 2023. Cette valeur révisée était inférieure à l</w:t>
      </w:r>
      <w:r w:rsidR="000B3BB8" w:rsidRPr="003A0655">
        <w:t>’</w:t>
      </w:r>
      <w:r w:rsidRPr="003A0655">
        <w:t>estimation précédente (GES, 2024) et continuait d</w:t>
      </w:r>
      <w:r w:rsidR="000B3BB8" w:rsidRPr="003A0655">
        <w:t>’</w:t>
      </w:r>
      <w:r w:rsidRPr="003A0655">
        <w:t>être une limite supérieure, ce qui signifiait que la valeur réelle était probablement inférieure.</w:t>
      </w:r>
    </w:p>
    <w:p w14:paraId="2BAD0235" w14:textId="59347B89" w:rsidR="003103F4" w:rsidRPr="003A0655" w:rsidRDefault="003103F4" w:rsidP="003103F4">
      <w:pPr>
        <w:pStyle w:val="Normalnumber"/>
        <w:numPr>
          <w:ilvl w:val="0"/>
          <w:numId w:val="21"/>
        </w:numPr>
        <w:tabs>
          <w:tab w:val="clear" w:pos="1871"/>
          <w:tab w:val="clear" w:pos="2495"/>
          <w:tab w:val="clear" w:pos="3119"/>
          <w:tab w:val="clear" w:pos="3742"/>
          <w:tab w:val="clear" w:pos="4366"/>
          <w:tab w:val="num" w:pos="624"/>
        </w:tabs>
        <w:ind w:left="1248"/>
      </w:pPr>
      <w:r w:rsidRPr="003A0655">
        <w:t>La différence (écart) entre les émissions mondiales déduites des mesures atmosphériques et celles déclarées ou estimées à partir des informations fournies à la Convention-cadre des Nations</w:t>
      </w:r>
      <w:r w:rsidR="008029D3" w:rsidRPr="003A0655">
        <w:t> </w:t>
      </w:r>
      <w:r w:rsidRPr="003A0655">
        <w:t>Unies sur les changements climatiques (CCNUCC), au Fonds multilatéral aux fins d</w:t>
      </w:r>
      <w:r w:rsidR="000B3BB8" w:rsidRPr="003A0655">
        <w:t>’</w:t>
      </w:r>
      <w:r w:rsidRPr="003A0655">
        <w:t>application du Protocole de Montréal et au Secrétariat de l</w:t>
      </w:r>
      <w:r w:rsidR="000B3BB8" w:rsidRPr="003A0655">
        <w:t>’</w:t>
      </w:r>
      <w:r w:rsidRPr="003A0655">
        <w:t>ozone persistait en 2023 et restait substantielle.</w:t>
      </w:r>
    </w:p>
    <w:p w14:paraId="273A7788" w14:textId="6C1D89C8" w:rsidR="003103F4" w:rsidRPr="003A0655" w:rsidRDefault="003103F4" w:rsidP="003103F4">
      <w:pPr>
        <w:pStyle w:val="Normalnumber"/>
        <w:numPr>
          <w:ilvl w:val="0"/>
          <w:numId w:val="21"/>
        </w:numPr>
        <w:tabs>
          <w:tab w:val="clear" w:pos="1871"/>
          <w:tab w:val="clear" w:pos="2495"/>
          <w:tab w:val="clear" w:pos="3119"/>
          <w:tab w:val="clear" w:pos="3742"/>
          <w:tab w:val="clear" w:pos="4366"/>
          <w:tab w:val="num" w:pos="624"/>
        </w:tabs>
        <w:ind w:left="1248"/>
      </w:pPr>
      <w:r w:rsidRPr="003A0655">
        <w:t>Compte tenu des faibles variations des émissions calculées à partir de l</w:t>
      </w:r>
      <w:r w:rsidR="000B3BB8" w:rsidRPr="003A0655">
        <w:t>’</w:t>
      </w:r>
      <w:r w:rsidRPr="003A0655">
        <w:t>évolution de la charge atmosphérique mondiale et des émissions déclarées disponibles entre 2022 et 2023, l</w:t>
      </w:r>
      <w:r w:rsidR="000B3BB8" w:rsidRPr="003A0655">
        <w:t>’</w:t>
      </w:r>
      <w:r w:rsidRPr="003A0655">
        <w:t>écart inexpliqué pour les émissions de HFC-23 en 2023, à savoir 11,4 à 12,8 kt·an</w:t>
      </w:r>
      <w:r w:rsidRPr="003A0655">
        <w:rPr>
          <w:vertAlign w:val="superscript"/>
        </w:rPr>
        <w:t>-1</w:t>
      </w:r>
      <w:r w:rsidRPr="003A0655">
        <w:t>, était comparable à celui estimé pour 2022 dans le précédent rapport sur le HFC-23 (GES, 2024), à savoir 10,5 à 12,5 kt·an</w:t>
      </w:r>
      <w:r w:rsidRPr="003A0655">
        <w:rPr>
          <w:vertAlign w:val="superscript"/>
        </w:rPr>
        <w:t>-1</w:t>
      </w:r>
      <w:r w:rsidRPr="003A0655">
        <w:t>.</w:t>
      </w:r>
    </w:p>
    <w:p w14:paraId="090872CD" w14:textId="48DCAD7A" w:rsidR="003103F4" w:rsidRPr="003A0655" w:rsidRDefault="003103F4" w:rsidP="003103F4">
      <w:pPr>
        <w:pStyle w:val="Normalnumber"/>
        <w:numPr>
          <w:ilvl w:val="0"/>
          <w:numId w:val="21"/>
        </w:numPr>
        <w:tabs>
          <w:tab w:val="clear" w:pos="1871"/>
          <w:tab w:val="clear" w:pos="2495"/>
          <w:tab w:val="clear" w:pos="3119"/>
          <w:tab w:val="clear" w:pos="3742"/>
          <w:tab w:val="clear" w:pos="4366"/>
          <w:tab w:val="num" w:pos="624"/>
        </w:tabs>
        <w:ind w:left="1248"/>
      </w:pPr>
      <w:r w:rsidRPr="003A0655">
        <w:t>L</w:t>
      </w:r>
      <w:r w:rsidR="000B3BB8" w:rsidRPr="003A0655">
        <w:t>’</w:t>
      </w:r>
      <w:r w:rsidRPr="003A0655">
        <w:t>écart entre les émissions de HFC-23 déclarées et celles déduites des charges atmosphériques n</w:t>
      </w:r>
      <w:r w:rsidR="000B3BB8" w:rsidRPr="003A0655">
        <w:t>’</w:t>
      </w:r>
      <w:r w:rsidRPr="003A0655">
        <w:t>était pas compensé par la prise en compte de toutes les sources connues autres que la production de HCFC-22. Selon l</w:t>
      </w:r>
      <w:r w:rsidR="000B3BB8" w:rsidRPr="003A0655">
        <w:t>’</w:t>
      </w:r>
      <w:r w:rsidRPr="003A0655">
        <w:t>évaluation actualisée publiée en 2025 par le Groupe de l</w:t>
      </w:r>
      <w:r w:rsidR="000B3BB8" w:rsidRPr="003A0655">
        <w:t>’</w:t>
      </w:r>
      <w:r w:rsidRPr="003A0655">
        <w:t>évaluation technique et économique (GETE), les émissions de HFC-23 provenant de toutes les sources connues et les réductions d</w:t>
      </w:r>
      <w:r w:rsidR="000B3BB8" w:rsidRPr="003A0655">
        <w:t>’</w:t>
      </w:r>
      <w:r w:rsidRPr="003A0655">
        <w:t>émissions déclarées après 2020 étaient comprises entre 1,6 et 3,7 kt·an</w:t>
      </w:r>
      <w:r w:rsidRPr="003A0655">
        <w:rPr>
          <w:vertAlign w:val="superscript"/>
        </w:rPr>
        <w:t>-1</w:t>
      </w:r>
      <w:r w:rsidRPr="003A0655">
        <w:t>, ce chiffre étant nettement inférieur à la valeur de 14,2 ± 0,7 kt·an</w:t>
      </w:r>
      <w:r w:rsidRPr="003A0655">
        <w:rPr>
          <w:vertAlign w:val="superscript"/>
        </w:rPr>
        <w:t>-1</w:t>
      </w:r>
      <w:r w:rsidRPr="003A0655">
        <w:t xml:space="preserve"> calculée pour 2023 à partir des données de surveillance atmosphérique. En ajoutant les quantités résultant de l</w:t>
      </w:r>
      <w:r w:rsidR="000B3BB8" w:rsidRPr="003A0655">
        <w:t>’</w:t>
      </w:r>
      <w:r w:rsidRPr="003A0655">
        <w:t>oxydation atmosphérique des gaz industriels fluorés aux estimations actualisées du GETE, on obtenait un écart d</w:t>
      </w:r>
      <w:r w:rsidR="000B3BB8" w:rsidRPr="003A0655">
        <w:t>’</w:t>
      </w:r>
      <w:r w:rsidRPr="003A0655">
        <w:t>émissions allant de 9,6</w:t>
      </w:r>
      <w:r w:rsidR="00535C2F" w:rsidRPr="003A0655">
        <w:t> </w:t>
      </w:r>
      <w:r w:rsidRPr="003A0655">
        <w:t>à 13,3 kt·an</w:t>
      </w:r>
      <w:r w:rsidRPr="003A0655">
        <w:rPr>
          <w:vertAlign w:val="superscript"/>
        </w:rPr>
        <w:t>-1</w:t>
      </w:r>
      <w:r w:rsidRPr="003A0655">
        <w:t xml:space="preserve"> en 2023.</w:t>
      </w:r>
    </w:p>
    <w:p w14:paraId="2428E682" w14:textId="5D6FDD96" w:rsidR="003103F4" w:rsidRPr="003A0655" w:rsidRDefault="003103F4" w:rsidP="003103F4">
      <w:pPr>
        <w:pStyle w:val="Normalnumber"/>
        <w:numPr>
          <w:ilvl w:val="0"/>
          <w:numId w:val="21"/>
        </w:numPr>
        <w:tabs>
          <w:tab w:val="clear" w:pos="1871"/>
          <w:tab w:val="clear" w:pos="2495"/>
          <w:tab w:val="clear" w:pos="3119"/>
          <w:tab w:val="clear" w:pos="3742"/>
          <w:tab w:val="clear" w:pos="4366"/>
          <w:tab w:val="num" w:pos="624"/>
        </w:tabs>
        <w:ind w:left="1248"/>
      </w:pPr>
      <w:r w:rsidRPr="003A0655">
        <w:t>L</w:t>
      </w:r>
      <w:r w:rsidR="000B3BB8" w:rsidRPr="003A0655">
        <w:t>’</w:t>
      </w:r>
      <w:r w:rsidRPr="003A0655">
        <w:t>augmentation des écarts d</w:t>
      </w:r>
      <w:r w:rsidR="000B3BB8" w:rsidRPr="003A0655">
        <w:t>’</w:t>
      </w:r>
      <w:r w:rsidRPr="003A0655">
        <w:t>émissions de 2015 à 2018 coïncidait avec l</w:t>
      </w:r>
      <w:r w:rsidR="000B3BB8" w:rsidRPr="003A0655">
        <w:t>’</w:t>
      </w:r>
      <w:r w:rsidRPr="003A0655">
        <w:t>accroissement de la réduction des émissions de HFC-23 déclarées par un petit nombre de Parties visées à l</w:t>
      </w:r>
      <w:r w:rsidR="000B3BB8" w:rsidRPr="003A0655">
        <w:t>’</w:t>
      </w:r>
      <w:r w:rsidRPr="003A0655">
        <w:t>article 5. Après</w:t>
      </w:r>
      <w:r w:rsidR="00810A0B" w:rsidRPr="003A0655">
        <w:t> </w:t>
      </w:r>
      <w:r w:rsidRPr="003A0655">
        <w:t>2019, l</w:t>
      </w:r>
      <w:r w:rsidR="000B3BB8" w:rsidRPr="003A0655">
        <w:t>’</w:t>
      </w:r>
      <w:r w:rsidRPr="003A0655">
        <w:t>écart des émissions avait diminué, passant d</w:t>
      </w:r>
      <w:r w:rsidR="000B3BB8" w:rsidRPr="003A0655">
        <w:t>’</w:t>
      </w:r>
      <w:r w:rsidRPr="003A0655">
        <w:t>un maximum de 15 kt·an</w:t>
      </w:r>
      <w:r w:rsidRPr="003A0655">
        <w:rPr>
          <w:vertAlign w:val="superscript"/>
        </w:rPr>
        <w:t>-1</w:t>
      </w:r>
      <w:r w:rsidRPr="003A0655">
        <w:t xml:space="preserve"> à des valeurs comprises entre 11 et 12,5 kt·an</w:t>
      </w:r>
      <w:r w:rsidRPr="003A0655">
        <w:rPr>
          <w:vertAlign w:val="superscript"/>
        </w:rPr>
        <w:t>-1</w:t>
      </w:r>
      <w:r w:rsidRPr="003A0655">
        <w:t xml:space="preserve"> en 2023 ; les réductions d</w:t>
      </w:r>
      <w:r w:rsidR="000B3BB8" w:rsidRPr="003A0655">
        <w:t>’</w:t>
      </w:r>
      <w:r w:rsidRPr="003A0655">
        <w:t>émissions déclarées par l</w:t>
      </w:r>
      <w:r w:rsidR="000B3BB8" w:rsidRPr="003A0655">
        <w:t>’</w:t>
      </w:r>
      <w:r w:rsidRPr="003A0655">
        <w:t>ensemble des pays avaient augmenté au cours de ces années pour atteindre 23 kt·an</w:t>
      </w:r>
      <w:r w:rsidRPr="003A0655">
        <w:rPr>
          <w:vertAlign w:val="superscript"/>
        </w:rPr>
        <w:t>-1</w:t>
      </w:r>
      <w:r w:rsidRPr="003A0655">
        <w:t xml:space="preserve"> en 2023.</w:t>
      </w:r>
    </w:p>
    <w:p w14:paraId="501FE05E" w14:textId="50741D66" w:rsidR="003103F4" w:rsidRPr="003A0655" w:rsidRDefault="003103F4" w:rsidP="003103F4">
      <w:pPr>
        <w:pStyle w:val="Normalnumber"/>
        <w:numPr>
          <w:ilvl w:val="0"/>
          <w:numId w:val="21"/>
        </w:numPr>
        <w:tabs>
          <w:tab w:val="clear" w:pos="1871"/>
          <w:tab w:val="clear" w:pos="2495"/>
          <w:tab w:val="clear" w:pos="3119"/>
          <w:tab w:val="clear" w:pos="3742"/>
          <w:tab w:val="clear" w:pos="4366"/>
          <w:tab w:val="num" w:pos="624"/>
        </w:tabs>
        <w:ind w:left="1248"/>
      </w:pPr>
      <w:r w:rsidRPr="003A0655">
        <w:t>La diminution des écarts d</w:t>
      </w:r>
      <w:r w:rsidR="000B3BB8" w:rsidRPr="003A0655">
        <w:t>’</w:t>
      </w:r>
      <w:r w:rsidRPr="003A0655">
        <w:t>émissions après 2019 s</w:t>
      </w:r>
      <w:r w:rsidR="000B3BB8" w:rsidRPr="003A0655">
        <w:t>’</w:t>
      </w:r>
      <w:r w:rsidRPr="003A0655">
        <w:t>était accompagnée d</w:t>
      </w:r>
      <w:r w:rsidR="000B3BB8" w:rsidRPr="003A0655">
        <w:t>’</w:t>
      </w:r>
      <w:r w:rsidRPr="003A0655">
        <w:t>une baisse du ratio entre les émissions calculées à partir des données d</w:t>
      </w:r>
      <w:r w:rsidR="000B3BB8" w:rsidRPr="003A0655">
        <w:t>’</w:t>
      </w:r>
      <w:r w:rsidRPr="003A0655">
        <w:t>observation à l</w:t>
      </w:r>
      <w:r w:rsidR="000B3BB8" w:rsidRPr="003A0655">
        <w:t>’</w:t>
      </w:r>
      <w:r w:rsidRPr="003A0655">
        <w:t>échelle mondiale et la production totale déclarée de HCFC-22 (E23/P22). En 2023, le ratio E23/P22 était de 1,1 %, inchangé par rapport à 2022. La diminution des écarts d</w:t>
      </w:r>
      <w:r w:rsidR="000B3BB8" w:rsidRPr="003A0655">
        <w:t>’</w:t>
      </w:r>
      <w:r w:rsidRPr="003A0655">
        <w:t>émission et des ratios E23/P22 après 2019 tenait à une augmentation de la réduction globale des émissions de HFC-23, à une optimisation de la production de HCFC-22 visant à réduire encore la génération de HFC-23 en tant que sous-produit ainsi que les émissions associées, ou à une réduction des émissions de HFC-23 provenant de sources inconnues ou non prises en compte de manière précise.</w:t>
      </w:r>
    </w:p>
    <w:p w14:paraId="71EF5980" w14:textId="27CD62D5" w:rsidR="003103F4" w:rsidRPr="003A0655" w:rsidRDefault="003103F4" w:rsidP="003103F4">
      <w:pPr>
        <w:pStyle w:val="Normalnumber"/>
        <w:numPr>
          <w:ilvl w:val="0"/>
          <w:numId w:val="21"/>
        </w:numPr>
        <w:tabs>
          <w:tab w:val="clear" w:pos="1871"/>
          <w:tab w:val="clear" w:pos="2495"/>
          <w:tab w:val="clear" w:pos="3119"/>
          <w:tab w:val="clear" w:pos="3742"/>
          <w:tab w:val="clear" w:pos="4366"/>
          <w:tab w:val="num" w:pos="624"/>
        </w:tabs>
        <w:ind w:left="1248"/>
      </w:pPr>
      <w:r w:rsidRPr="003A0655">
        <w:t>Notre compréhension des contributions régionales aux émissions mondiales de HFC-23 demeurait partielle. En 2023, la somme de toutes les estimations d</w:t>
      </w:r>
      <w:r w:rsidR="000B3BB8" w:rsidRPr="003A0655">
        <w:t>’</w:t>
      </w:r>
      <w:r w:rsidRPr="003A0655">
        <w:t>émissions régionales calculées à partir des données d</w:t>
      </w:r>
      <w:r w:rsidR="000B3BB8" w:rsidRPr="003A0655">
        <w:t>’</w:t>
      </w:r>
      <w:r w:rsidRPr="003A0655">
        <w:t>observation disponibles ne représentait que 6,1 ± 0,7 kt·an</w:t>
      </w:r>
      <w:r w:rsidRPr="003A0655">
        <w:rPr>
          <w:vertAlign w:val="superscript"/>
        </w:rPr>
        <w:t>-1</w:t>
      </w:r>
      <w:r w:rsidRPr="003A0655">
        <w:t xml:space="preserve"> de HFC-23, soit</w:t>
      </w:r>
      <w:r w:rsidR="00A04B38" w:rsidRPr="003A0655">
        <w:t> </w:t>
      </w:r>
      <w:r w:rsidRPr="003A0655">
        <w:t>43</w:t>
      </w:r>
      <w:r w:rsidR="00A04B38" w:rsidRPr="003A0655">
        <w:t> </w:t>
      </w:r>
      <w:r w:rsidRPr="003A0655">
        <w:t>±</w:t>
      </w:r>
      <w:r w:rsidR="00A04B38" w:rsidRPr="003A0655">
        <w:t> </w:t>
      </w:r>
      <w:r w:rsidRPr="003A0655">
        <w:t>10 % des émissions mondiales de la même année. Ces estimations incluaient les émissions de plusieurs pays ou parties de pays, mises à jour jusqu</w:t>
      </w:r>
      <w:r w:rsidR="000B3BB8" w:rsidRPr="003A0655">
        <w:t>’</w:t>
      </w:r>
      <w:r w:rsidRPr="003A0655">
        <w:t>en 2023 sur la base de mesures atmosphériques continues. Les estimations des émissions de HFC-23 de nombreuses régions n</w:t>
      </w:r>
      <w:r w:rsidR="000B3BB8" w:rsidRPr="003A0655">
        <w:t>’</w:t>
      </w:r>
      <w:r w:rsidRPr="003A0655">
        <w:t>étaient pas disponibles en raison de lacunes dans la surveillance atmosphérique.</w:t>
      </w:r>
    </w:p>
    <w:p w14:paraId="06497E29" w14:textId="73EB80B8" w:rsidR="003103F4" w:rsidRPr="003A0655" w:rsidRDefault="003103F4" w:rsidP="003103F4">
      <w:pPr>
        <w:pStyle w:val="Normalnumber"/>
        <w:numPr>
          <w:ilvl w:val="0"/>
          <w:numId w:val="21"/>
        </w:numPr>
        <w:tabs>
          <w:tab w:val="clear" w:pos="1871"/>
          <w:tab w:val="clear" w:pos="2495"/>
          <w:tab w:val="clear" w:pos="3119"/>
          <w:tab w:val="clear" w:pos="3742"/>
          <w:tab w:val="clear" w:pos="4366"/>
          <w:tab w:val="num" w:pos="624"/>
        </w:tabs>
        <w:ind w:left="1248"/>
      </w:pPr>
      <w:r w:rsidRPr="003A0655">
        <w:t>En 2023, d</w:t>
      </w:r>
      <w:r w:rsidR="000B3BB8" w:rsidRPr="003A0655">
        <w:t>’</w:t>
      </w:r>
      <w:r w:rsidRPr="003A0655">
        <w:t xml:space="preserve">après les mesures continues effectuées à la station de </w:t>
      </w:r>
      <w:proofErr w:type="spellStart"/>
      <w:r w:rsidRPr="003A0655">
        <w:t>Gosan</w:t>
      </w:r>
      <w:proofErr w:type="spellEnd"/>
      <w:r w:rsidRPr="003A0655">
        <w:t xml:space="preserve"> en République de Corée, les émissions de HFC-23 de la partie orientale de la Chine se montaient à 5,6 ± 0,7 kt·an</w:t>
      </w:r>
      <w:r w:rsidRPr="003A0655">
        <w:rPr>
          <w:vertAlign w:val="superscript"/>
        </w:rPr>
        <w:t>-1</w:t>
      </w:r>
      <w:r w:rsidRPr="003A0655">
        <w:t>, celles de la République de Corée à 0,23 ± 0,02 kt·an</w:t>
      </w:r>
      <w:r w:rsidRPr="003A0655">
        <w:rPr>
          <w:vertAlign w:val="superscript"/>
        </w:rPr>
        <w:t>-1</w:t>
      </w:r>
      <w:r w:rsidRPr="003A0655">
        <w:t>, celles de la partie occidentale du Japon à 0,10</w:t>
      </w:r>
      <w:r w:rsidR="007A15B7" w:rsidRPr="003A0655">
        <w:t> </w:t>
      </w:r>
      <w:r w:rsidRPr="003A0655">
        <w:t>±</w:t>
      </w:r>
      <w:r w:rsidR="007A15B7" w:rsidRPr="003A0655">
        <w:t> </w:t>
      </w:r>
      <w:r w:rsidRPr="003A0655">
        <w:t>0,07 kt·an</w:t>
      </w:r>
      <w:r w:rsidRPr="003A0655">
        <w:rPr>
          <w:vertAlign w:val="superscript"/>
        </w:rPr>
        <w:t>-1</w:t>
      </w:r>
      <w:r w:rsidRPr="003A0655">
        <w:t xml:space="preserve"> et celles de la République populaire démocratique de Corée à 0,01 ± 0,01 kt·an</w:t>
      </w:r>
      <w:r w:rsidRPr="003A0655">
        <w:rPr>
          <w:vertAlign w:val="superscript"/>
        </w:rPr>
        <w:t>-1</w:t>
      </w:r>
      <w:r w:rsidRPr="003A0655">
        <w:t>.</w:t>
      </w:r>
    </w:p>
    <w:p w14:paraId="4C79ABB5" w14:textId="1D9B1A2D" w:rsidR="003103F4" w:rsidRPr="003A0655" w:rsidRDefault="003103F4" w:rsidP="003103F4">
      <w:pPr>
        <w:pStyle w:val="Normalnumber"/>
        <w:numPr>
          <w:ilvl w:val="0"/>
          <w:numId w:val="21"/>
        </w:numPr>
        <w:tabs>
          <w:tab w:val="clear" w:pos="1871"/>
          <w:tab w:val="clear" w:pos="2495"/>
          <w:tab w:val="clear" w:pos="3119"/>
          <w:tab w:val="clear" w:pos="3742"/>
          <w:tab w:val="clear" w:pos="4366"/>
          <w:tab w:val="num" w:pos="624"/>
        </w:tabs>
        <w:ind w:left="1248"/>
      </w:pPr>
      <w:r w:rsidRPr="003A0655">
        <w:t>Depuis 2019, les émissions annuelles de HFC-23 de la Chine orientale étaient inférieures à la valeur maximale calculée pour 2019, soit 8,0 ± 0,4 kt·an</w:t>
      </w:r>
      <w:r w:rsidRPr="003A0655">
        <w:rPr>
          <w:vertAlign w:val="superscript"/>
        </w:rPr>
        <w:t>-1</w:t>
      </w:r>
      <w:r w:rsidRPr="003A0655">
        <w:t>. En 2023, les émissions de cette région de la Chine étaient supérieures de 4,7 ± 0,7 kt aux 0,9 kt déclarées au Secrétariat de l</w:t>
      </w:r>
      <w:r w:rsidR="000B3BB8" w:rsidRPr="003A0655">
        <w:t>’</w:t>
      </w:r>
      <w:r w:rsidRPr="003A0655">
        <w:t>ozone pour l</w:t>
      </w:r>
      <w:r w:rsidR="000B3BB8" w:rsidRPr="003A0655">
        <w:t>’</w:t>
      </w:r>
      <w:r w:rsidRPr="003A0655">
        <w:t>ensemble de la Chine, et représentaient 40 ± 10 % de l</w:t>
      </w:r>
      <w:r w:rsidR="000B3BB8" w:rsidRPr="003A0655">
        <w:t>’</w:t>
      </w:r>
      <w:r w:rsidRPr="003A0655">
        <w:t>écart des émissions mondiales de cette année-là. En 2023, la somme des émissions de la République de Corée, de la partie occidentale du Japon et de la République populaire démocratique de Corée était nettement inférieure à ce qu</w:t>
      </w:r>
      <w:r w:rsidR="000B3BB8" w:rsidRPr="003A0655">
        <w:t>’</w:t>
      </w:r>
      <w:r w:rsidRPr="003A0655">
        <w:t>elle était en 2018-2022 et restait supérieure d</w:t>
      </w:r>
      <w:r w:rsidR="000B3BB8" w:rsidRPr="003A0655">
        <w:t>’</w:t>
      </w:r>
      <w:r w:rsidRPr="003A0655">
        <w:t>environ 0,3 ± 0,07 kt aux valeurs déclarées au Secrétariat de l</w:t>
      </w:r>
      <w:r w:rsidR="000B3BB8" w:rsidRPr="003A0655">
        <w:t>’</w:t>
      </w:r>
      <w:r w:rsidRPr="003A0655">
        <w:t>ozone ou à la CCNUCC ces dernières années, ce qui représentait 1,5 à 3 % de l</w:t>
      </w:r>
      <w:r w:rsidR="000B3BB8" w:rsidRPr="003A0655">
        <w:t>’</w:t>
      </w:r>
      <w:r w:rsidRPr="003A0655">
        <w:t>écart des émissions mondiales.</w:t>
      </w:r>
    </w:p>
    <w:p w14:paraId="72BD1D29" w14:textId="0D8FAE34" w:rsidR="003103F4" w:rsidRPr="003A0655" w:rsidRDefault="003103F4" w:rsidP="003103F4">
      <w:pPr>
        <w:pStyle w:val="Normalnumber"/>
        <w:numPr>
          <w:ilvl w:val="0"/>
          <w:numId w:val="21"/>
        </w:numPr>
        <w:tabs>
          <w:tab w:val="clear" w:pos="1871"/>
          <w:tab w:val="clear" w:pos="2495"/>
          <w:tab w:val="clear" w:pos="3119"/>
          <w:tab w:val="clear" w:pos="3742"/>
          <w:tab w:val="clear" w:pos="4366"/>
          <w:tab w:val="num" w:pos="624"/>
        </w:tabs>
        <w:ind w:left="1248"/>
      </w:pPr>
      <w:r w:rsidRPr="003A0655">
        <w:t>En 2023, d</w:t>
      </w:r>
      <w:r w:rsidR="000B3BB8" w:rsidRPr="003A0655">
        <w:t>’</w:t>
      </w:r>
      <w:r w:rsidRPr="003A0655">
        <w:t>après les mesures atmosphériques continues effectuées par un réseau de sites en Europe, les émissions de HFC-23 s</w:t>
      </w:r>
      <w:r w:rsidR="000B3BB8" w:rsidRPr="003A0655">
        <w:t>’</w:t>
      </w:r>
      <w:r w:rsidRPr="003A0655">
        <w:t>élevaient à 0,15 ± 0,04 kt·an</w:t>
      </w:r>
      <w:r w:rsidRPr="003A0655">
        <w:rPr>
          <w:vertAlign w:val="superscript"/>
        </w:rPr>
        <w:t>-1</w:t>
      </w:r>
      <w:r w:rsidRPr="003A0655">
        <w:t xml:space="preserve"> pour l</w:t>
      </w:r>
      <w:r w:rsidR="000B3BB8" w:rsidRPr="003A0655">
        <w:t>’</w:t>
      </w:r>
      <w:r w:rsidRPr="003A0655">
        <w:t>ensemble des pays du nord</w:t>
      </w:r>
      <w:r w:rsidR="00FB64B0" w:rsidRPr="003A0655">
        <w:noBreakHyphen/>
      </w:r>
      <w:r w:rsidRPr="003A0655">
        <w:t>ouest de l</w:t>
      </w:r>
      <w:r w:rsidR="000B3BB8" w:rsidRPr="003A0655">
        <w:t>’</w:t>
      </w:r>
      <w:r w:rsidRPr="003A0655">
        <w:t>Europe, notamment l</w:t>
      </w:r>
      <w:r w:rsidR="000B3BB8" w:rsidRPr="003A0655">
        <w:t>’</w:t>
      </w:r>
      <w:r w:rsidRPr="003A0655">
        <w:t>Irlande, le Royaume-Uni, la France, le Royaume des Pays-Bas, la Belgique, le Luxembourg et l</w:t>
      </w:r>
      <w:r w:rsidR="000B3BB8" w:rsidRPr="003A0655">
        <w:t>’</w:t>
      </w:r>
      <w:r w:rsidRPr="003A0655">
        <w:t>Allemagne. Ces émissions étaient supérieures de 0,1 ± 0,04 kt aux valeurs déclarées à la CCNUCC en 2022 (dernière année disponible), et cette région représentait 0,7 à</w:t>
      </w:r>
      <w:r w:rsidR="00365C1B" w:rsidRPr="003A0655">
        <w:t> </w:t>
      </w:r>
      <w:r w:rsidRPr="003A0655">
        <w:t>1,5 % de l</w:t>
      </w:r>
      <w:r w:rsidR="000B3BB8" w:rsidRPr="003A0655">
        <w:t>’</w:t>
      </w:r>
      <w:r w:rsidRPr="003A0655">
        <w:t>écart des émissions mondiales.</w:t>
      </w:r>
    </w:p>
    <w:p w14:paraId="5C14A900" w14:textId="512314F0" w:rsidR="003103F4" w:rsidRPr="003A0655" w:rsidRDefault="003103F4" w:rsidP="003103F4">
      <w:pPr>
        <w:pStyle w:val="Normalnumber"/>
        <w:numPr>
          <w:ilvl w:val="0"/>
          <w:numId w:val="21"/>
        </w:numPr>
        <w:tabs>
          <w:tab w:val="clear" w:pos="1871"/>
          <w:tab w:val="clear" w:pos="2495"/>
          <w:tab w:val="clear" w:pos="3119"/>
          <w:tab w:val="clear" w:pos="3742"/>
          <w:tab w:val="clear" w:pos="4366"/>
          <w:tab w:val="num" w:pos="624"/>
        </w:tabs>
        <w:ind w:left="1248"/>
      </w:pPr>
      <w:r w:rsidRPr="003A0655">
        <w:t>En 2023, d</w:t>
      </w:r>
      <w:r w:rsidR="000B3BB8" w:rsidRPr="003A0655">
        <w:t>’</w:t>
      </w:r>
      <w:r w:rsidRPr="003A0655">
        <w:t>après les mesures atmosphériques continues effectuées à la station de mesure des niveaux de pollution atmosphérique de référence de Cape Grim, dans le sud de l</w:t>
      </w:r>
      <w:r w:rsidR="000B3BB8" w:rsidRPr="003A0655">
        <w:t>’</w:t>
      </w:r>
      <w:r w:rsidRPr="003A0655">
        <w:t>Australie, les émissions de HFC-23 du pays étaient de 0,025 kt·an</w:t>
      </w:r>
      <w:r w:rsidRPr="003A0655">
        <w:rPr>
          <w:vertAlign w:val="superscript"/>
        </w:rPr>
        <w:t>-1</w:t>
      </w:r>
      <w:r w:rsidRPr="003A0655">
        <w:t xml:space="preserve"> (aucune incertitude spécifiée), soit 0,03 kt·an</w:t>
      </w:r>
      <w:r w:rsidRPr="003A0655">
        <w:rPr>
          <w:vertAlign w:val="superscript"/>
        </w:rPr>
        <w:t>-1</w:t>
      </w:r>
      <w:r w:rsidRPr="003A0655">
        <w:t xml:space="preserve"> de moins que ce qui avait été déclaré à la CCNUCC cette année-là.</w:t>
      </w:r>
    </w:p>
    <w:p w14:paraId="1FA44FA0" w14:textId="79F8394F" w:rsidR="003103F4" w:rsidRPr="003A0655" w:rsidRDefault="003103F4" w:rsidP="003103F4">
      <w:pPr>
        <w:pStyle w:val="Normalnumber"/>
        <w:numPr>
          <w:ilvl w:val="0"/>
          <w:numId w:val="21"/>
        </w:numPr>
        <w:tabs>
          <w:tab w:val="clear" w:pos="1871"/>
          <w:tab w:val="clear" w:pos="2495"/>
          <w:tab w:val="clear" w:pos="3119"/>
          <w:tab w:val="clear" w:pos="3742"/>
          <w:tab w:val="clear" w:pos="4366"/>
          <w:tab w:val="num" w:pos="624"/>
        </w:tabs>
        <w:ind w:left="1248"/>
      </w:pPr>
      <w:r w:rsidRPr="003A0655">
        <w:t>Les pays pour lesquels les émissions régionales de 2023 avaient été estimées, à savoir la Chine, la République de Corée, la République populaire démocratique de Corée, le Japon, l</w:t>
      </w:r>
      <w:r w:rsidR="000B3BB8" w:rsidRPr="003A0655">
        <w:t>’</w:t>
      </w:r>
      <w:r w:rsidRPr="003A0655">
        <w:t>Union européenne et le Royaume-Uni, représentaient environ 85 % de la production de HCFC-22 déclarée cette année-là. Pour les pays responsables du reste de la production de HCFC-22 déclarée au Secrétariat de l</w:t>
      </w:r>
      <w:r w:rsidR="000B3BB8" w:rsidRPr="003A0655">
        <w:t>’</w:t>
      </w:r>
      <w:r w:rsidRPr="003A0655">
        <w:t>ozone en 2023 (Argentine, États-Unis d</w:t>
      </w:r>
      <w:r w:rsidR="000B3BB8" w:rsidRPr="003A0655">
        <w:t>’</w:t>
      </w:r>
      <w:r w:rsidRPr="003A0655">
        <w:t>Amérique, Fédération de Russie, Inde et Mexique), les estimations des émissions de HFC-23 calculées à partir des données de surveillance atmosphérique n</w:t>
      </w:r>
      <w:r w:rsidR="000B3BB8" w:rsidRPr="003A0655">
        <w:t>’</w:t>
      </w:r>
      <w:r w:rsidRPr="003A0655">
        <w:t>étaient toujours pas disponibles malgré l</w:t>
      </w:r>
      <w:r w:rsidR="000B3BB8" w:rsidRPr="003A0655">
        <w:t>’</w:t>
      </w:r>
      <w:r w:rsidRPr="003A0655">
        <w:t>entrée en vigueur de l</w:t>
      </w:r>
      <w:r w:rsidR="000B3BB8" w:rsidRPr="003A0655">
        <w:t>’</w:t>
      </w:r>
      <w:r w:rsidRPr="003A0655">
        <w:t>Amendement de Kigali en 2019.</w:t>
      </w:r>
    </w:p>
    <w:p w14:paraId="7D8F72CE" w14:textId="52F5BAFE" w:rsidR="003103F4" w:rsidRPr="003A0655" w:rsidRDefault="003103F4" w:rsidP="003103F4">
      <w:pPr>
        <w:pStyle w:val="CH2"/>
      </w:pPr>
      <w:r w:rsidRPr="003A0655">
        <w:tab/>
        <w:t>B.</w:t>
      </w:r>
      <w:r w:rsidRPr="003A0655">
        <w:tab/>
        <w:t>Rapport du Groupe de l</w:t>
      </w:r>
      <w:r w:rsidR="000B3BB8" w:rsidRPr="003A0655">
        <w:t>’</w:t>
      </w:r>
      <w:r w:rsidRPr="003A0655">
        <w:t>évaluation technique et économique sur la suite donnée à la décision XXXVI/3</w:t>
      </w:r>
    </w:p>
    <w:p w14:paraId="03344632" w14:textId="0771D70D" w:rsidR="003103F4" w:rsidRPr="003A0655" w:rsidRDefault="003103F4" w:rsidP="003103F4">
      <w:pPr>
        <w:pStyle w:val="Normalnumber"/>
        <w:numPr>
          <w:ilvl w:val="0"/>
          <w:numId w:val="1"/>
        </w:numPr>
        <w:tabs>
          <w:tab w:val="clear" w:pos="1871"/>
          <w:tab w:val="clear" w:pos="2495"/>
          <w:tab w:val="clear" w:pos="3119"/>
          <w:tab w:val="clear" w:pos="3742"/>
          <w:tab w:val="clear" w:pos="4366"/>
          <w:tab w:val="num" w:pos="624"/>
        </w:tabs>
        <w:ind w:left="1248"/>
      </w:pPr>
      <w:r w:rsidRPr="003A0655">
        <w:t>Takeshi Eriguchi, Coprésident du Comité des choix techniques pour les produits chimiques et médicaux, a présenté Nick Campbell, qui a fait un exposé sur le rapport du Groupe de l</w:t>
      </w:r>
      <w:r w:rsidR="000B3BB8" w:rsidRPr="003A0655">
        <w:t>’</w:t>
      </w:r>
      <w:r w:rsidRPr="003A0655">
        <w:t xml:space="preserve">évaluation technique et économique (GETE) établi comme </w:t>
      </w:r>
      <w:proofErr w:type="gramStart"/>
      <w:r w:rsidRPr="003A0655">
        <w:t>suite à</w:t>
      </w:r>
      <w:proofErr w:type="gramEnd"/>
      <w:r w:rsidRPr="003A0655">
        <w:t xml:space="preserve"> la décision XXX</w:t>
      </w:r>
      <w:r w:rsidR="00D029A4" w:rsidRPr="003A0655">
        <w:t>V</w:t>
      </w:r>
      <w:r w:rsidRPr="003A0655">
        <w:t>I/3 sur les émissions de HFC-23.</w:t>
      </w:r>
    </w:p>
    <w:p w14:paraId="07759B4C" w14:textId="76C3495C" w:rsidR="003103F4" w:rsidRPr="003A0655" w:rsidRDefault="003103F4" w:rsidP="003103F4">
      <w:pPr>
        <w:pStyle w:val="Normalnumber"/>
        <w:numPr>
          <w:ilvl w:val="0"/>
          <w:numId w:val="1"/>
        </w:numPr>
        <w:tabs>
          <w:tab w:val="clear" w:pos="1871"/>
          <w:tab w:val="clear" w:pos="2495"/>
          <w:tab w:val="clear" w:pos="3119"/>
          <w:tab w:val="clear" w:pos="3742"/>
          <w:tab w:val="clear" w:pos="4366"/>
          <w:tab w:val="num" w:pos="624"/>
        </w:tabs>
        <w:ind w:left="1248"/>
      </w:pPr>
      <w:r w:rsidRPr="003A0655">
        <w:t>M. Campbell a rappelé que le GETE avait été chargé d</w:t>
      </w:r>
      <w:r w:rsidR="000B3BB8" w:rsidRPr="003A0655">
        <w:t>’</w:t>
      </w:r>
      <w:r w:rsidRPr="003A0655">
        <w:t>actualiser des rapports antérieurs sur les émissions de HFC-23 et de comparer les meilleures pratiques en matière de mesure et de vérification. L</w:t>
      </w:r>
      <w:r w:rsidR="000B3BB8" w:rsidRPr="003A0655">
        <w:t>’</w:t>
      </w:r>
      <w:r w:rsidRPr="003A0655">
        <w:t>exposé ne portait que sur les mises à jour, et les comparaisons des meilleures pratiques figuraient dans le rapport complet. Il a fait remarquer que les rapports clés précédemment rédigés par le GETE comprenaient le rapport d</w:t>
      </w:r>
      <w:r w:rsidR="000B3BB8" w:rsidRPr="003A0655">
        <w:t>’</w:t>
      </w:r>
      <w:r w:rsidRPr="003A0655">
        <w:t>évaluation de 2022 du Comité des choix techniques pour les produits chimiques et médicaux et le rapport du GETE sur la suite donnée aux décisions XXXIV/7 et XXXV/7 concernant les émissions de HFC-23. Le Comité des choix techniques pour les produits chimiques et médicaux avait dirigé la préparation du rapport en collaboration avec le Groupe de l</w:t>
      </w:r>
      <w:r w:rsidR="000B3BB8" w:rsidRPr="003A0655">
        <w:t>’</w:t>
      </w:r>
      <w:r w:rsidRPr="003A0655">
        <w:t>évaluation scientifique (GES) afin de coordonner les conclusions qui comportaient des informations actualisées sur les émissions liées à des utilisations consommatrices de HFC-23, y compris en tant que sous</w:t>
      </w:r>
      <w:r w:rsidR="00D4471D" w:rsidRPr="003A0655">
        <w:noBreakHyphen/>
      </w:r>
      <w:r w:rsidRPr="003A0655">
        <w:t>produit de la production d</w:t>
      </w:r>
      <w:r w:rsidR="000B3BB8" w:rsidRPr="003A0655">
        <w:t>’</w:t>
      </w:r>
      <w:r w:rsidRPr="003A0655">
        <w:t>autres substances.</w:t>
      </w:r>
    </w:p>
    <w:p w14:paraId="45D36FC1" w14:textId="0E460ACB" w:rsidR="003103F4" w:rsidRPr="003A0655" w:rsidRDefault="003103F4" w:rsidP="003103F4">
      <w:pPr>
        <w:pStyle w:val="Normalnumber"/>
        <w:numPr>
          <w:ilvl w:val="0"/>
          <w:numId w:val="1"/>
        </w:numPr>
        <w:tabs>
          <w:tab w:val="clear" w:pos="1871"/>
          <w:tab w:val="clear" w:pos="2495"/>
          <w:tab w:val="clear" w:pos="3119"/>
          <w:tab w:val="clear" w:pos="3742"/>
          <w:tab w:val="clear" w:pos="4366"/>
          <w:tab w:val="num" w:pos="624"/>
        </w:tabs>
        <w:ind w:left="1248"/>
      </w:pPr>
      <w:r w:rsidRPr="003A0655">
        <w:t>À titre d</w:t>
      </w:r>
      <w:r w:rsidR="000B3BB8" w:rsidRPr="003A0655">
        <w:t>’</w:t>
      </w:r>
      <w:r w:rsidRPr="003A0655">
        <w:t>information, il était précisé que le HFC-23 était généré selon divers mécanismes chimiques au cours des procédés de production, parmi lesquels les réactions excessives et les réactions secondaires indésirables. Les données sur la consommation de HFC-23 étaient limitées, car cette substance était produite essentiellement en tant qu</w:t>
      </w:r>
      <w:r w:rsidR="000B3BB8" w:rsidRPr="003A0655">
        <w:t>’</w:t>
      </w:r>
      <w:r w:rsidRPr="003A0655">
        <w:t>intermédiaire de synthèse et faisait l</w:t>
      </w:r>
      <w:r w:rsidR="000B3BB8" w:rsidRPr="003A0655">
        <w:t>’</w:t>
      </w:r>
      <w:r w:rsidRPr="003A0655">
        <w:t>objet de peu d</w:t>
      </w:r>
      <w:r w:rsidR="000B3BB8" w:rsidRPr="003A0655">
        <w:t>’</w:t>
      </w:r>
      <w:r w:rsidRPr="003A0655">
        <w:t>utilisations émettrices. En 2023, la consommation mondiale déclarée de HFC-23 était comprise entre 1</w:t>
      </w:r>
      <w:r w:rsidR="00723E49" w:rsidRPr="003A0655">
        <w:t> </w:t>
      </w:r>
      <w:r w:rsidRPr="003A0655">
        <w:t>000 et 10 000 tonnes, et avait considérablement augmenté pendant la période 2021-2023, en particulier pour les applications électroniques.</w:t>
      </w:r>
    </w:p>
    <w:p w14:paraId="5B7311F9" w14:textId="287F9373" w:rsidR="003103F4" w:rsidRPr="003A0655" w:rsidRDefault="003103F4" w:rsidP="003103F4">
      <w:pPr>
        <w:pStyle w:val="Normalnumber"/>
        <w:numPr>
          <w:ilvl w:val="0"/>
          <w:numId w:val="1"/>
        </w:numPr>
        <w:tabs>
          <w:tab w:val="clear" w:pos="1871"/>
          <w:tab w:val="clear" w:pos="2495"/>
          <w:tab w:val="clear" w:pos="3119"/>
          <w:tab w:val="clear" w:pos="3742"/>
          <w:tab w:val="clear" w:pos="4366"/>
          <w:tab w:val="num" w:pos="624"/>
        </w:tabs>
        <w:ind w:left="1248"/>
      </w:pPr>
      <w:r w:rsidRPr="003A0655">
        <w:t>M. Campbell a fourni une estimation actualisée des quantités de HFC-23 émises par les installations de production de gaz fluorés, et précisé que la production totale de HCFC-22 était de 1</w:t>
      </w:r>
      <w:r w:rsidR="00C76824" w:rsidRPr="003A0655">
        <w:t> </w:t>
      </w:r>
      <w:r w:rsidRPr="003A0655">
        <w:t>174 751 tonnes en 2023, et que celle de HFC-23 en tant que sous-produit était comprise entre 18</w:t>
      </w:r>
      <w:r w:rsidR="008A0AB6" w:rsidRPr="003A0655">
        <w:t> </w:t>
      </w:r>
      <w:r w:rsidRPr="003A0655">
        <w:t>000</w:t>
      </w:r>
      <w:r w:rsidR="00535C2F" w:rsidRPr="003A0655">
        <w:t> </w:t>
      </w:r>
      <w:r w:rsidRPr="003A0655">
        <w:t>et 36 000 tonnes. Ces chiffres ne tenaient pas compte de l</w:t>
      </w:r>
      <w:r w:rsidR="000B3BB8" w:rsidRPr="003A0655">
        <w:t>’</w:t>
      </w:r>
      <w:r w:rsidRPr="003A0655">
        <w:t>incinération sur site du HFC-23. En</w:t>
      </w:r>
      <w:r w:rsidR="008A0AB6" w:rsidRPr="003A0655">
        <w:t> </w:t>
      </w:r>
      <w:r w:rsidRPr="003A0655">
        <w:t>2023, d</w:t>
      </w:r>
      <w:r w:rsidR="000B3BB8" w:rsidRPr="003A0655">
        <w:t>’</w:t>
      </w:r>
      <w:r w:rsidRPr="003A0655">
        <w:t>après les déclarations des Parties, les émissions de HFC-23 provenant d</w:t>
      </w:r>
      <w:r w:rsidR="000B3BB8" w:rsidRPr="003A0655">
        <w:t>’</w:t>
      </w:r>
      <w:r w:rsidRPr="003A0655">
        <w:t>installations de production de gaz fluorés se montaient à 959 tonnes.</w:t>
      </w:r>
    </w:p>
    <w:p w14:paraId="68856A53" w14:textId="2D5E9E46" w:rsidR="003103F4" w:rsidRPr="003A0655" w:rsidRDefault="003103F4" w:rsidP="003103F4">
      <w:pPr>
        <w:pStyle w:val="Normalnumber"/>
        <w:numPr>
          <w:ilvl w:val="0"/>
          <w:numId w:val="1"/>
        </w:numPr>
        <w:tabs>
          <w:tab w:val="clear" w:pos="1871"/>
          <w:tab w:val="clear" w:pos="2495"/>
          <w:tab w:val="clear" w:pos="3119"/>
          <w:tab w:val="clear" w:pos="3742"/>
          <w:tab w:val="clear" w:pos="4366"/>
          <w:tab w:val="num" w:pos="624"/>
        </w:tabs>
        <w:ind w:left="1248"/>
      </w:pPr>
      <w:r w:rsidRPr="003A0655">
        <w:t>Selon le tableau détaillant les estimations actualisées du GETE qui a été présenté, les émissions annuelles de HFC-23 provenant de sources connues étaient comprises entre 1 600 et 3 700 tonnes. Les estimations descendantes du Groupe de l</w:t>
      </w:r>
      <w:r w:rsidR="000B3BB8" w:rsidRPr="003A0655">
        <w:t>’</w:t>
      </w:r>
      <w:r w:rsidRPr="003A0655">
        <w:t>évaluation scientifique faisaient état de 14 200 ± 700 tonnes pour 2023.</w:t>
      </w:r>
    </w:p>
    <w:p w14:paraId="614CEF6E" w14:textId="67C28E33" w:rsidR="003103F4" w:rsidRPr="003A0655" w:rsidRDefault="003103F4" w:rsidP="003103F4">
      <w:pPr>
        <w:pStyle w:val="Normalnumber"/>
        <w:numPr>
          <w:ilvl w:val="0"/>
          <w:numId w:val="1"/>
        </w:numPr>
        <w:tabs>
          <w:tab w:val="clear" w:pos="1871"/>
          <w:tab w:val="clear" w:pos="2495"/>
          <w:tab w:val="clear" w:pos="3119"/>
          <w:tab w:val="clear" w:pos="3742"/>
          <w:tab w:val="clear" w:pos="4366"/>
          <w:tab w:val="num" w:pos="624"/>
        </w:tabs>
        <w:ind w:left="1248"/>
      </w:pPr>
      <w:r w:rsidRPr="003A0655">
        <w:t>En résumé, il a été indiqué que la compréhension des émissions mondiales de HFC-23 demeurait très insuffisante, les écarts entre les émissions déclarées et les émissions calculées à partir des données de surveillance atmosphérique variant entre 9,6 et 13,3 kt·an</w:t>
      </w:r>
      <w:r w:rsidRPr="003A0655">
        <w:rPr>
          <w:vertAlign w:val="superscript"/>
        </w:rPr>
        <w:t>-1</w:t>
      </w:r>
      <w:r w:rsidRPr="003A0655">
        <w:t>. Le Groupe de l</w:t>
      </w:r>
      <w:r w:rsidR="000B3BB8" w:rsidRPr="003A0655">
        <w:t>’</w:t>
      </w:r>
      <w:r w:rsidRPr="003A0655">
        <w:t>évaluation technique et économique était convaincu d</w:t>
      </w:r>
      <w:r w:rsidR="000B3BB8" w:rsidRPr="003A0655">
        <w:t>’</w:t>
      </w:r>
      <w:r w:rsidRPr="003A0655">
        <w:t>avoir inclus toutes les sources connues de HFC</w:t>
      </w:r>
      <w:r w:rsidRPr="003A0655">
        <w:noBreakHyphen/>
        <w:t>23 dans ses estimations ascendantes, et que les petites incertitudes de calcul ne pouvaient pas expliquer les écarts d</w:t>
      </w:r>
      <w:r w:rsidR="000B3BB8" w:rsidRPr="003A0655">
        <w:t>’</w:t>
      </w:r>
      <w:r w:rsidRPr="003A0655">
        <w:t>émission.</w:t>
      </w:r>
    </w:p>
    <w:p w14:paraId="5F8A43C6" w14:textId="7BBDC5C4" w:rsidR="003103F4" w:rsidRPr="003A0655" w:rsidRDefault="003103F4" w:rsidP="003103F4">
      <w:pPr>
        <w:pStyle w:val="CH2"/>
      </w:pPr>
      <w:r w:rsidRPr="003A0655">
        <w:tab/>
        <w:t>C.</w:t>
      </w:r>
      <w:r w:rsidRPr="003A0655">
        <w:tab/>
        <w:t>Exposés des groupes d</w:t>
      </w:r>
      <w:r w:rsidR="000B3BB8" w:rsidRPr="003A0655">
        <w:t>’</w:t>
      </w:r>
      <w:r w:rsidRPr="003A0655">
        <w:t>évaluation sur l</w:t>
      </w:r>
      <w:r w:rsidR="000B3BB8" w:rsidRPr="003A0655">
        <w:t>’</w:t>
      </w:r>
      <w:r w:rsidRPr="003A0655">
        <w:t>avancement de leurs travaux et</w:t>
      </w:r>
      <w:r w:rsidR="00535C2F" w:rsidRPr="003A0655">
        <w:t> </w:t>
      </w:r>
      <w:r w:rsidRPr="003A0655">
        <w:t>les</w:t>
      </w:r>
      <w:r w:rsidR="00535C2F" w:rsidRPr="003A0655">
        <w:t> </w:t>
      </w:r>
      <w:r w:rsidRPr="003A0655">
        <w:t>questions émergentes en vue de l</w:t>
      </w:r>
      <w:r w:rsidR="000B3BB8" w:rsidRPr="003A0655">
        <w:t>’</w:t>
      </w:r>
      <w:r w:rsidRPr="003A0655">
        <w:t>évaluation quadriennale de 2026</w:t>
      </w:r>
    </w:p>
    <w:p w14:paraId="5656E396" w14:textId="4BBE78A8" w:rsidR="003103F4" w:rsidRPr="003A0655" w:rsidRDefault="003103F4" w:rsidP="003103F4">
      <w:pPr>
        <w:pStyle w:val="CH3"/>
      </w:pPr>
      <w:r w:rsidRPr="003A0655">
        <w:tab/>
        <w:t>1.</w:t>
      </w:r>
      <w:r w:rsidRPr="003A0655">
        <w:tab/>
        <w:t>Exposé du Groupe de l</w:t>
      </w:r>
      <w:r w:rsidR="000B3BB8" w:rsidRPr="003A0655">
        <w:t>’</w:t>
      </w:r>
      <w:r w:rsidRPr="003A0655">
        <w:t>évaluation scientifique</w:t>
      </w:r>
    </w:p>
    <w:p w14:paraId="5E65D778" w14:textId="598E95F4" w:rsidR="003103F4" w:rsidRPr="003A0655" w:rsidRDefault="003103F4" w:rsidP="003103F4">
      <w:pPr>
        <w:pStyle w:val="Normalnumber"/>
        <w:numPr>
          <w:ilvl w:val="0"/>
          <w:numId w:val="1"/>
        </w:numPr>
        <w:tabs>
          <w:tab w:val="clear" w:pos="1871"/>
          <w:tab w:val="clear" w:pos="2495"/>
          <w:tab w:val="clear" w:pos="3119"/>
          <w:tab w:val="clear" w:pos="3742"/>
          <w:tab w:val="clear" w:pos="4366"/>
          <w:tab w:val="num" w:pos="624"/>
        </w:tabs>
        <w:ind w:left="1248"/>
      </w:pPr>
      <w:r w:rsidRPr="003A0655">
        <w:t>L</w:t>
      </w:r>
      <w:r w:rsidR="000B3BB8" w:rsidRPr="003A0655">
        <w:t>’</w:t>
      </w:r>
      <w:r w:rsidRPr="003A0655">
        <w:t>exposé a retracé les plus de 40 ans écoulés depuis la première édition de l</w:t>
      </w:r>
      <w:r w:rsidR="000B3BB8" w:rsidRPr="003A0655">
        <w:t>’</w:t>
      </w:r>
      <w:r w:rsidRPr="003A0655">
        <w:t>Évaluation scientifique de l</w:t>
      </w:r>
      <w:r w:rsidR="000B3BB8" w:rsidRPr="003A0655">
        <w:t>’</w:t>
      </w:r>
      <w:r w:rsidRPr="003A0655">
        <w:t>appauvrissement de la couche d</w:t>
      </w:r>
      <w:r w:rsidR="000B3BB8" w:rsidRPr="003A0655">
        <w:t>’</w:t>
      </w:r>
      <w:r w:rsidRPr="003A0655">
        <w:t>ozone. Il a rappelé aux Parties le mandat du Groupe de l</w:t>
      </w:r>
      <w:r w:rsidR="000B3BB8" w:rsidRPr="003A0655">
        <w:t>’</w:t>
      </w:r>
      <w:r w:rsidRPr="003A0655">
        <w:t>évaluation scientifique et expliqué la manière dont le rapport serait structuré en conséquence. De</w:t>
      </w:r>
      <w:r w:rsidR="00842DAB" w:rsidRPr="003A0655">
        <w:t> </w:t>
      </w:r>
      <w:r w:rsidRPr="003A0655">
        <w:t>fait, l</w:t>
      </w:r>
      <w:r w:rsidR="000B3BB8" w:rsidRPr="003A0655">
        <w:t>’</w:t>
      </w:r>
      <w:r w:rsidRPr="003A0655">
        <w:t>organisation actuelle des chapitres permettait d</w:t>
      </w:r>
      <w:r w:rsidR="000B3BB8" w:rsidRPr="003A0655">
        <w:t>’</w:t>
      </w:r>
      <w:r w:rsidRPr="003A0655">
        <w:t>assurer la conformité à tous les éléments du mandat.</w:t>
      </w:r>
    </w:p>
    <w:p w14:paraId="0407F89B" w14:textId="3F2F4CC9" w:rsidR="003103F4" w:rsidRPr="003A0655" w:rsidRDefault="003103F4" w:rsidP="003103F4">
      <w:pPr>
        <w:pStyle w:val="Normalnumber"/>
        <w:numPr>
          <w:ilvl w:val="0"/>
          <w:numId w:val="1"/>
        </w:numPr>
        <w:tabs>
          <w:tab w:val="clear" w:pos="1871"/>
          <w:tab w:val="clear" w:pos="2495"/>
          <w:tab w:val="clear" w:pos="3119"/>
          <w:tab w:val="clear" w:pos="3742"/>
          <w:tab w:val="clear" w:pos="4366"/>
          <w:tab w:val="num" w:pos="624"/>
        </w:tabs>
        <w:ind w:left="1248"/>
      </w:pPr>
      <w:r w:rsidRPr="003A0655">
        <w:t>La rédaction de chaque chapitre du présent rapport serait assurée par des auteur</w:t>
      </w:r>
      <w:r w:rsidR="00574B9D" w:rsidRPr="003A0655">
        <w:t>(e)</w:t>
      </w:r>
      <w:r w:rsidRPr="003A0655">
        <w:t>s principaux</w:t>
      </w:r>
      <w:r w:rsidR="00574B9D" w:rsidRPr="003A0655">
        <w:t>(les)</w:t>
      </w:r>
      <w:r w:rsidRPr="003A0655">
        <w:t xml:space="preserve"> de diverses nationalités et à différents stades de leurs carrières. Le nombre de pays représenté se montait à 17 en comptant les co-auteur</w:t>
      </w:r>
      <w:r w:rsidR="00574B9D" w:rsidRPr="003A0655">
        <w:t>(e)</w:t>
      </w:r>
      <w:r w:rsidRPr="003A0655">
        <w:t>s, et était encore plus élevé une fois inclus l</w:t>
      </w:r>
      <w:r w:rsidR="000B3BB8" w:rsidRPr="003A0655">
        <w:t>’</w:t>
      </w:r>
      <w:r w:rsidRPr="003A0655">
        <w:t>ensemble des contributeur</w:t>
      </w:r>
      <w:r w:rsidR="00574B9D" w:rsidRPr="003A0655">
        <w:t>(</w:t>
      </w:r>
      <w:proofErr w:type="spellStart"/>
      <w:r w:rsidR="00574B9D" w:rsidRPr="003A0655">
        <w:t>rice</w:t>
      </w:r>
      <w:proofErr w:type="spellEnd"/>
      <w:r w:rsidR="00574B9D" w:rsidRPr="003A0655">
        <w:t>)</w:t>
      </w:r>
      <w:r w:rsidRPr="003A0655">
        <w:t>s et les membres du comité de lecture.</w:t>
      </w:r>
    </w:p>
    <w:p w14:paraId="40D8F5E6" w14:textId="6B0FBD73" w:rsidR="003103F4" w:rsidRPr="003A0655" w:rsidRDefault="003103F4" w:rsidP="003103F4">
      <w:pPr>
        <w:pStyle w:val="Normalnumber"/>
        <w:numPr>
          <w:ilvl w:val="0"/>
          <w:numId w:val="1"/>
        </w:numPr>
        <w:tabs>
          <w:tab w:val="clear" w:pos="1871"/>
          <w:tab w:val="clear" w:pos="2495"/>
          <w:tab w:val="clear" w:pos="3119"/>
          <w:tab w:val="clear" w:pos="3742"/>
          <w:tab w:val="clear" w:pos="4366"/>
          <w:tab w:val="num" w:pos="624"/>
        </w:tabs>
        <w:ind w:left="1248"/>
      </w:pPr>
      <w:r w:rsidRPr="003A0655">
        <w:t>Le calendrier d</w:t>
      </w:r>
      <w:r w:rsidR="000B3BB8" w:rsidRPr="003A0655">
        <w:t>’</w:t>
      </w:r>
      <w:r w:rsidRPr="003A0655">
        <w:t>élaboration du rapport quadriennal montrait que les délais étaient respectés et que le rapport serait prêt à être examiné à la prochaine Réunion des Parties. L</w:t>
      </w:r>
      <w:r w:rsidR="000B3BB8" w:rsidRPr="003A0655">
        <w:t>’</w:t>
      </w:r>
      <w:r w:rsidRPr="003A0655">
        <w:t>exposé portait également sur tous les autres documents que les auteur</w:t>
      </w:r>
      <w:r w:rsidR="00574B9D" w:rsidRPr="003A0655">
        <w:t>(e)</w:t>
      </w:r>
      <w:r w:rsidRPr="003A0655">
        <w:t>s du rapport d</w:t>
      </w:r>
      <w:r w:rsidR="000B3BB8" w:rsidRPr="003A0655">
        <w:t>’</w:t>
      </w:r>
      <w:r w:rsidRPr="003A0655">
        <w:t>évaluation étaient en train de tirer de plusieurs chapitres.</w:t>
      </w:r>
    </w:p>
    <w:p w14:paraId="5E5E5D1B" w14:textId="6D7CD87E" w:rsidR="003103F4" w:rsidRPr="003A0655" w:rsidRDefault="003103F4" w:rsidP="003103F4">
      <w:pPr>
        <w:pStyle w:val="Normalnumber"/>
        <w:numPr>
          <w:ilvl w:val="0"/>
          <w:numId w:val="1"/>
        </w:numPr>
        <w:tabs>
          <w:tab w:val="clear" w:pos="1871"/>
          <w:tab w:val="clear" w:pos="2495"/>
          <w:tab w:val="clear" w:pos="3119"/>
          <w:tab w:val="clear" w:pos="3742"/>
          <w:tab w:val="clear" w:pos="4366"/>
          <w:tab w:val="num" w:pos="624"/>
        </w:tabs>
        <w:ind w:left="1248"/>
      </w:pPr>
      <w:r w:rsidRPr="003A0655">
        <w:t>Les chapitres ont ensuite été passés en revue en présentant un ou deux points clés de chacun d</w:t>
      </w:r>
      <w:r w:rsidR="000B3BB8" w:rsidRPr="003A0655">
        <w:t>’</w:t>
      </w:r>
      <w:r w:rsidRPr="003A0655">
        <w:t>entre eux, puisque les premiers projets étaient achevés et en cours d</w:t>
      </w:r>
      <w:r w:rsidR="000B3BB8" w:rsidRPr="003A0655">
        <w:t>’</w:t>
      </w:r>
      <w:r w:rsidRPr="003A0655">
        <w:t>examen. Parmi les éléments abordés figurait la mise à jour de l</w:t>
      </w:r>
      <w:r w:rsidR="000B3BB8" w:rsidRPr="003A0655">
        <w:t>’</w:t>
      </w:r>
      <w:r w:rsidRPr="003A0655">
        <w:t>annexe contenant des données scientifiques essentielles concernant un grand nombre de molécules relevant du Protocole de Montréal. L</w:t>
      </w:r>
      <w:r w:rsidR="000B3BB8" w:rsidRPr="003A0655">
        <w:t>’</w:t>
      </w:r>
      <w:r w:rsidRPr="003A0655">
        <w:t>annexe comporterait un nouveau tableau présentant des connaissances fondamentales sur la manière dont les substances et les gaz relevant du Protocole de Montréal se décomposaient en HFC-23 et en acides persistants préoccupants pour les Parties et le public ; ce tableau constituerait une référence fiable pour les futurs travaux du Groupe de l</w:t>
      </w:r>
      <w:r w:rsidR="000B3BB8" w:rsidRPr="003A0655">
        <w:t>’</w:t>
      </w:r>
      <w:r w:rsidRPr="003A0655">
        <w:t>évaluation scientifique, du Groupe de l</w:t>
      </w:r>
      <w:r w:rsidR="000B3BB8" w:rsidRPr="003A0655">
        <w:t>’</w:t>
      </w:r>
      <w:r w:rsidRPr="003A0655">
        <w:t>évaluation technique et économique et du Groupe de l</w:t>
      </w:r>
      <w:r w:rsidR="000B3BB8" w:rsidRPr="003A0655">
        <w:t>’</w:t>
      </w:r>
      <w:r w:rsidRPr="003A0655">
        <w:t>évaluation des effets sur l</w:t>
      </w:r>
      <w:r w:rsidR="000B3BB8" w:rsidRPr="003A0655">
        <w:t>’</w:t>
      </w:r>
      <w:r w:rsidRPr="003A0655">
        <w:t>environnement.</w:t>
      </w:r>
    </w:p>
    <w:p w14:paraId="6526CBDE" w14:textId="670ADCA9" w:rsidR="003103F4" w:rsidRPr="003A0655" w:rsidRDefault="003103F4" w:rsidP="00B778EE">
      <w:pPr>
        <w:pStyle w:val="Normalnumber"/>
        <w:keepNext/>
        <w:keepLines/>
        <w:numPr>
          <w:ilvl w:val="0"/>
          <w:numId w:val="1"/>
        </w:numPr>
        <w:tabs>
          <w:tab w:val="clear" w:pos="1871"/>
          <w:tab w:val="clear" w:pos="2495"/>
          <w:tab w:val="clear" w:pos="3119"/>
          <w:tab w:val="clear" w:pos="3742"/>
          <w:tab w:val="clear" w:pos="4366"/>
          <w:tab w:val="num" w:pos="624"/>
        </w:tabs>
      </w:pPr>
      <w:r w:rsidRPr="003A0655">
        <w:t>L</w:t>
      </w:r>
      <w:r w:rsidR="000B3BB8" w:rsidRPr="003A0655">
        <w:t>’</w:t>
      </w:r>
      <w:r w:rsidRPr="003A0655">
        <w:t>exposé s</w:t>
      </w:r>
      <w:r w:rsidR="000B3BB8" w:rsidRPr="003A0655">
        <w:t>’</w:t>
      </w:r>
      <w:r w:rsidRPr="003A0655">
        <w:t>est achevé sur l</w:t>
      </w:r>
      <w:r w:rsidR="000B3BB8" w:rsidRPr="003A0655">
        <w:t>’</w:t>
      </w:r>
      <w:r w:rsidRPr="003A0655">
        <w:t>état du trou d</w:t>
      </w:r>
      <w:r w:rsidR="000B3BB8" w:rsidRPr="003A0655">
        <w:t>’</w:t>
      </w:r>
      <w:r w:rsidRPr="003A0655">
        <w:t>ozone antarctique en 2025 et son évolution par rapport aux années précédentes. Selon une partie des indicateurs classiques, il s</w:t>
      </w:r>
      <w:r w:rsidR="000B3BB8" w:rsidRPr="003A0655">
        <w:t>’</w:t>
      </w:r>
      <w:r w:rsidRPr="003A0655">
        <w:t>agissait d</w:t>
      </w:r>
      <w:r w:rsidR="000B3BB8" w:rsidRPr="003A0655">
        <w:t>’</w:t>
      </w:r>
      <w:r w:rsidRPr="003A0655">
        <w:t>un trou de taille modeste, légèrement plus petit que la moyenne. Un indicateur plus complet de la perte d</w:t>
      </w:r>
      <w:r w:rsidR="000B3BB8" w:rsidRPr="003A0655">
        <w:t>’</w:t>
      </w:r>
      <w:r w:rsidRPr="003A0655">
        <w:t>ozone a montré que la perte totale d</w:t>
      </w:r>
      <w:r w:rsidR="000B3BB8" w:rsidRPr="003A0655">
        <w:t>’</w:t>
      </w:r>
      <w:r w:rsidRPr="003A0655">
        <w:t>ozone en 2025 était très inférieure à celle de la période 1990</w:t>
      </w:r>
      <w:r w:rsidR="00ED092B" w:rsidRPr="003A0655">
        <w:t>-</w:t>
      </w:r>
      <w:r w:rsidRPr="003A0655">
        <w:t>2010. Le trou dans la couche d</w:t>
      </w:r>
      <w:r w:rsidR="000B3BB8" w:rsidRPr="003A0655">
        <w:t>’</w:t>
      </w:r>
      <w:r w:rsidRPr="003A0655">
        <w:t>ozone avait commencé à se refermer plus tôt cette année en raison de l</w:t>
      </w:r>
      <w:r w:rsidR="000B3BB8" w:rsidRPr="003A0655">
        <w:t>’</w:t>
      </w:r>
      <w:r w:rsidRPr="003A0655">
        <w:t>augmentation de l</w:t>
      </w:r>
      <w:r w:rsidR="000B3BB8" w:rsidRPr="003A0655">
        <w:t>’</w:t>
      </w:r>
      <w:r w:rsidRPr="003A0655">
        <w:t>instabilité atmosphérique.</w:t>
      </w:r>
    </w:p>
    <w:p w14:paraId="1C67F58B" w14:textId="08EFC60A" w:rsidR="003103F4" w:rsidRPr="003A0655" w:rsidRDefault="003103F4" w:rsidP="003103F4">
      <w:pPr>
        <w:pStyle w:val="CH3"/>
      </w:pPr>
      <w:r w:rsidRPr="003A0655">
        <w:tab/>
        <w:t>2.</w:t>
      </w:r>
      <w:r w:rsidRPr="003A0655">
        <w:tab/>
        <w:t>Exposé du Groupe de l</w:t>
      </w:r>
      <w:r w:rsidR="000B3BB8" w:rsidRPr="003A0655">
        <w:t>’</w:t>
      </w:r>
      <w:r w:rsidRPr="003A0655">
        <w:t>évaluation des effets sur l</w:t>
      </w:r>
      <w:r w:rsidR="000B3BB8" w:rsidRPr="003A0655">
        <w:t>’</w:t>
      </w:r>
      <w:r w:rsidRPr="003A0655">
        <w:t>environnement</w:t>
      </w:r>
    </w:p>
    <w:p w14:paraId="5B438C91" w14:textId="4AF9093C" w:rsidR="003103F4" w:rsidRPr="003A0655" w:rsidRDefault="003103F4" w:rsidP="003103F4">
      <w:pPr>
        <w:pStyle w:val="Normalnumber"/>
        <w:numPr>
          <w:ilvl w:val="0"/>
          <w:numId w:val="21"/>
        </w:numPr>
        <w:tabs>
          <w:tab w:val="clear" w:pos="1871"/>
          <w:tab w:val="clear" w:pos="2495"/>
          <w:tab w:val="clear" w:pos="3119"/>
          <w:tab w:val="clear" w:pos="3742"/>
          <w:tab w:val="clear" w:pos="4366"/>
          <w:tab w:val="num" w:pos="624"/>
        </w:tabs>
        <w:ind w:left="1248"/>
      </w:pPr>
      <w:r w:rsidRPr="003A0655">
        <w:t>Janet Bornman, s</w:t>
      </w:r>
      <w:r w:rsidR="000B3BB8" w:rsidRPr="003A0655">
        <w:t>’</w:t>
      </w:r>
      <w:r w:rsidRPr="003A0655">
        <w:t>exprimant au nom de la coprésidence du Groupe de l</w:t>
      </w:r>
      <w:r w:rsidR="000B3BB8" w:rsidRPr="003A0655">
        <w:t>’</w:t>
      </w:r>
      <w:r w:rsidRPr="003A0655">
        <w:t>évaluation des effets sur l</w:t>
      </w:r>
      <w:r w:rsidR="000B3BB8" w:rsidRPr="003A0655">
        <w:t>’</w:t>
      </w:r>
      <w:r w:rsidRPr="003A0655">
        <w:t>environnement (GEEE), composée de Paul Barnes et d</w:t>
      </w:r>
      <w:r w:rsidR="000B3BB8" w:rsidRPr="003A0655">
        <w:t>’</w:t>
      </w:r>
      <w:r w:rsidRPr="003A0655">
        <w:t>elle-même, a présenté un résumé de l</w:t>
      </w:r>
      <w:r w:rsidR="000B3BB8" w:rsidRPr="003A0655">
        <w:t>’</w:t>
      </w:r>
      <w:r w:rsidRPr="003A0655">
        <w:t>avancement des travaux du Groupe et des questions émergentes auxquels il s</w:t>
      </w:r>
      <w:r w:rsidR="000B3BB8" w:rsidRPr="003A0655">
        <w:t>’</w:t>
      </w:r>
      <w:r w:rsidRPr="003A0655">
        <w:t>intéressait en vue de l</w:t>
      </w:r>
      <w:r w:rsidR="000B3BB8" w:rsidRPr="003A0655">
        <w:t>’</w:t>
      </w:r>
      <w:r w:rsidRPr="003A0655">
        <w:t>évaluation quadriennale de 2026 dans le cadre de l</w:t>
      </w:r>
      <w:r w:rsidR="000B3BB8" w:rsidRPr="003A0655">
        <w:t>’</w:t>
      </w:r>
      <w:r w:rsidRPr="003A0655">
        <w:t>évaluation des effets sur l</w:t>
      </w:r>
      <w:r w:rsidR="000B3BB8" w:rsidRPr="003A0655">
        <w:t>’</w:t>
      </w:r>
      <w:r w:rsidRPr="003A0655">
        <w:t>environnement de l</w:t>
      </w:r>
      <w:r w:rsidR="000B3BB8" w:rsidRPr="003A0655">
        <w:t>’</w:t>
      </w:r>
      <w:r w:rsidRPr="003A0655">
        <w:t>appauvrissement de l</w:t>
      </w:r>
      <w:r w:rsidR="000B3BB8" w:rsidRPr="003A0655">
        <w:t>’</w:t>
      </w:r>
      <w:r w:rsidRPr="003A0655">
        <w:t xml:space="preserve">ozone stratosphérique et du rayonnement ultraviolet, ainsi que de leurs interactions avec les changements climatiques.  </w:t>
      </w:r>
    </w:p>
    <w:p w14:paraId="497483EC" w14:textId="4E99FE3A" w:rsidR="003103F4" w:rsidRPr="003A0655" w:rsidRDefault="003103F4" w:rsidP="003103F4">
      <w:pPr>
        <w:pStyle w:val="Normalnumber"/>
        <w:numPr>
          <w:ilvl w:val="0"/>
          <w:numId w:val="1"/>
        </w:numPr>
        <w:tabs>
          <w:tab w:val="clear" w:pos="1871"/>
          <w:tab w:val="clear" w:pos="2495"/>
          <w:tab w:val="clear" w:pos="3119"/>
          <w:tab w:val="clear" w:pos="3742"/>
          <w:tab w:val="clear" w:pos="4366"/>
          <w:tab w:val="num" w:pos="624"/>
        </w:tabs>
        <w:ind w:left="1248"/>
      </w:pPr>
      <w:r w:rsidRPr="003A0655">
        <w:t>Elle a communiqué les calendriers 2025 et 2026 d</w:t>
      </w:r>
      <w:r w:rsidR="000B3BB8" w:rsidRPr="003A0655">
        <w:t>’</w:t>
      </w:r>
      <w:r w:rsidRPr="003A0655">
        <w:t>élaboration du rapport quadriennal, ainsi qu</w:t>
      </w:r>
      <w:r w:rsidR="000B3BB8" w:rsidRPr="003A0655">
        <w:t>’</w:t>
      </w:r>
      <w:r w:rsidRPr="003A0655">
        <w:t>un aperçu des 10 chapitres du rapport, à savoir : Modifications de la couche d</w:t>
      </w:r>
      <w:r w:rsidR="000B3BB8" w:rsidRPr="003A0655">
        <w:t>’</w:t>
      </w:r>
      <w:r w:rsidRPr="003A0655">
        <w:t>ozone et du rayonnement ultraviolet et leurs interactions avec le système climatique ; Effets potentiels de l</w:t>
      </w:r>
      <w:r w:rsidR="000B3BB8" w:rsidRPr="003A0655">
        <w:t>’</w:t>
      </w:r>
      <w:r w:rsidRPr="003A0655">
        <w:t>injection d</w:t>
      </w:r>
      <w:r w:rsidR="000B3BB8" w:rsidRPr="003A0655">
        <w:t>’</w:t>
      </w:r>
      <w:r w:rsidRPr="003A0655">
        <w:t xml:space="preserve">aérosols dans la stratosphère ; Effets induits par le rayonnement ultraviolet sur la troposphère ; Substances per- et </w:t>
      </w:r>
      <w:proofErr w:type="spellStart"/>
      <w:r w:rsidRPr="003A0655">
        <w:t>polyfluoroalkylées</w:t>
      </w:r>
      <w:proofErr w:type="spellEnd"/>
      <w:r w:rsidRPr="003A0655">
        <w:t xml:space="preserve"> (SPFA) relevant du Protocole de Montréal : définitions, pertinence et implications ; Chimie, devenir et toxicologie des solutions de remplacement des substances qui appauvrissent la couche d</w:t>
      </w:r>
      <w:r w:rsidR="000B3BB8" w:rsidRPr="003A0655">
        <w:t>’</w:t>
      </w:r>
      <w:r w:rsidRPr="003A0655">
        <w:t>ozone et de leurs produits de dégradation ; Écosystèmes terrestres et aquatiques ; Matières naturelles et synthétiques dans l</w:t>
      </w:r>
      <w:r w:rsidR="000B3BB8" w:rsidRPr="003A0655">
        <w:t>’</w:t>
      </w:r>
      <w:r w:rsidRPr="003A0655">
        <w:t>environnement ; Devenir des matières plastiques dans l</w:t>
      </w:r>
      <w:r w:rsidR="000B3BB8" w:rsidRPr="003A0655">
        <w:t>’</w:t>
      </w:r>
      <w:r w:rsidRPr="003A0655">
        <w:t>environnement ; Effets interactifs du rayonnement ultraviolet et des changements climatiques sur la santé humaine.</w:t>
      </w:r>
    </w:p>
    <w:p w14:paraId="15F5C822" w14:textId="47CE4820" w:rsidR="003103F4" w:rsidRPr="003A0655" w:rsidRDefault="003103F4" w:rsidP="003103F4">
      <w:pPr>
        <w:pStyle w:val="Normalnumber"/>
        <w:numPr>
          <w:ilvl w:val="0"/>
          <w:numId w:val="1"/>
        </w:numPr>
        <w:tabs>
          <w:tab w:val="clear" w:pos="1871"/>
          <w:tab w:val="clear" w:pos="2495"/>
          <w:tab w:val="clear" w:pos="3119"/>
          <w:tab w:val="clear" w:pos="3742"/>
          <w:tab w:val="clear" w:pos="4366"/>
          <w:tab w:val="num" w:pos="624"/>
        </w:tabs>
        <w:ind w:left="1248"/>
      </w:pPr>
      <w:r w:rsidRPr="003A0655">
        <w:t>L</w:t>
      </w:r>
      <w:r w:rsidR="000B3BB8" w:rsidRPr="003A0655">
        <w:t>’</w:t>
      </w:r>
      <w:r w:rsidRPr="003A0655">
        <w:t>accent a été mis sur certaines questions émergentes, parmi lesquelles : a) l</w:t>
      </w:r>
      <w:r w:rsidR="000B3BB8" w:rsidRPr="003A0655">
        <w:t>’</w:t>
      </w:r>
      <w:r w:rsidRPr="003A0655">
        <w:t>augmentation prévue du rayonnement ultraviolet liée aux vols d</w:t>
      </w:r>
      <w:r w:rsidR="000B3BB8" w:rsidRPr="003A0655">
        <w:t>’</w:t>
      </w:r>
      <w:r w:rsidRPr="003A0655">
        <w:t>avions supersoniques, aux lancements de fusée et à l</w:t>
      </w:r>
      <w:r w:rsidR="000B3BB8" w:rsidRPr="003A0655">
        <w:t>’</w:t>
      </w:r>
      <w:r w:rsidRPr="003A0655">
        <w:t>oxyde de diazote ; b) les effets potentiels de l</w:t>
      </w:r>
      <w:r w:rsidR="000B3BB8" w:rsidRPr="003A0655">
        <w:t>’</w:t>
      </w:r>
      <w:r w:rsidRPr="003A0655">
        <w:t>injection d</w:t>
      </w:r>
      <w:r w:rsidR="000B3BB8" w:rsidRPr="003A0655">
        <w:t>’</w:t>
      </w:r>
      <w:r w:rsidRPr="003A0655">
        <w:t>aérosols stratosphériques (par exemple, des aérosols de sulfate provenant du dioxyde de soufre), un type d</w:t>
      </w:r>
      <w:r w:rsidR="000B3BB8" w:rsidRPr="003A0655">
        <w:t>’</w:t>
      </w:r>
      <w:r w:rsidRPr="003A0655">
        <w:t>intervention climatique qui avait été proposé pour réduire temporairement le réchauffement de la planète en réfléchissant le rayonnement solaire avant qu</w:t>
      </w:r>
      <w:r w:rsidR="000B3BB8" w:rsidRPr="003A0655">
        <w:t>’</w:t>
      </w:r>
      <w:r w:rsidRPr="003A0655">
        <w:t>il n</w:t>
      </w:r>
      <w:r w:rsidR="000B3BB8" w:rsidRPr="003A0655">
        <w:t>’</w:t>
      </w:r>
      <w:r w:rsidRPr="003A0655">
        <w:t>atteigne la surface de la Terre ; c) l</w:t>
      </w:r>
      <w:r w:rsidR="000B3BB8" w:rsidRPr="003A0655">
        <w:t>’</w:t>
      </w:r>
      <w:r w:rsidRPr="003A0655">
        <w:t>élaboration par le GEEE, en coordination avec le GETE et le GES, d</w:t>
      </w:r>
      <w:r w:rsidR="000B3BB8" w:rsidRPr="003A0655">
        <w:t>’</w:t>
      </w:r>
      <w:r w:rsidRPr="003A0655">
        <w:t xml:space="preserve">un texte introductif destiné à combattre les idées fausses et à mieux faire </w:t>
      </w:r>
      <w:r w:rsidR="004445A7" w:rsidRPr="003A0655">
        <w:t>connaître</w:t>
      </w:r>
      <w:r w:rsidRPr="003A0655">
        <w:t xml:space="preserve"> les substances per- et </w:t>
      </w:r>
      <w:proofErr w:type="spellStart"/>
      <w:r w:rsidRPr="003A0655">
        <w:t>polyfluoroalkylées</w:t>
      </w:r>
      <w:proofErr w:type="spellEnd"/>
      <w:r w:rsidRPr="003A0655">
        <w:t xml:space="preserve"> (SPFA) relevant du Protocole de Montréal, y</w:t>
      </w:r>
      <w:r w:rsidR="005942D0" w:rsidRPr="003A0655">
        <w:t> </w:t>
      </w:r>
      <w:r w:rsidRPr="003A0655">
        <w:t>compris l</w:t>
      </w:r>
      <w:r w:rsidR="000B3BB8" w:rsidRPr="003A0655">
        <w:t>’</w:t>
      </w:r>
      <w:r w:rsidRPr="003A0655">
        <w:t xml:space="preserve">acide </w:t>
      </w:r>
      <w:proofErr w:type="spellStart"/>
      <w:r w:rsidRPr="003A0655">
        <w:t>trifluoroacétique</w:t>
      </w:r>
      <w:proofErr w:type="spellEnd"/>
      <w:r w:rsidRPr="003A0655">
        <w:t>, l</w:t>
      </w:r>
      <w:r w:rsidR="000B3BB8" w:rsidRPr="003A0655">
        <w:t>’</w:t>
      </w:r>
      <w:r w:rsidRPr="003A0655">
        <w:t xml:space="preserve">acide </w:t>
      </w:r>
      <w:proofErr w:type="spellStart"/>
      <w:r w:rsidRPr="003A0655">
        <w:t>perfluoropropanoïque</w:t>
      </w:r>
      <w:proofErr w:type="spellEnd"/>
      <w:r w:rsidRPr="003A0655">
        <w:t xml:space="preserve"> et l</w:t>
      </w:r>
      <w:r w:rsidR="000B3BB8" w:rsidRPr="003A0655">
        <w:t>’</w:t>
      </w:r>
      <w:r w:rsidRPr="003A0655">
        <w:t xml:space="preserve">acide </w:t>
      </w:r>
      <w:proofErr w:type="spellStart"/>
      <w:r w:rsidRPr="003A0655">
        <w:t>perfluorobutanoïque</w:t>
      </w:r>
      <w:proofErr w:type="spellEnd"/>
      <w:r w:rsidRPr="003A0655">
        <w:t>, qui sont extrêmement persistants.</w:t>
      </w:r>
    </w:p>
    <w:p w14:paraId="110B7A33" w14:textId="396C1868" w:rsidR="003103F4" w:rsidRPr="003A0655" w:rsidRDefault="003103F4" w:rsidP="003103F4">
      <w:pPr>
        <w:pStyle w:val="CH3"/>
      </w:pPr>
      <w:r w:rsidRPr="003A0655">
        <w:tab/>
        <w:t>3.</w:t>
      </w:r>
      <w:r w:rsidRPr="003A0655">
        <w:tab/>
        <w:t>Exposé du Groupe de l</w:t>
      </w:r>
      <w:r w:rsidR="000B3BB8" w:rsidRPr="003A0655">
        <w:t>’</w:t>
      </w:r>
      <w:r w:rsidRPr="003A0655">
        <w:t>évaluation technique et économique</w:t>
      </w:r>
    </w:p>
    <w:p w14:paraId="005BB2B3" w14:textId="1025D914" w:rsidR="003103F4" w:rsidRPr="003A0655" w:rsidRDefault="003103F4" w:rsidP="003103F4">
      <w:pPr>
        <w:pStyle w:val="Normalnumber"/>
        <w:numPr>
          <w:ilvl w:val="0"/>
          <w:numId w:val="1"/>
        </w:numPr>
        <w:tabs>
          <w:tab w:val="clear" w:pos="1871"/>
          <w:tab w:val="clear" w:pos="2495"/>
          <w:tab w:val="clear" w:pos="3119"/>
          <w:tab w:val="clear" w:pos="3742"/>
          <w:tab w:val="clear" w:pos="4366"/>
          <w:tab w:val="num" w:pos="624"/>
        </w:tabs>
        <w:ind w:left="1248"/>
      </w:pPr>
      <w:r w:rsidRPr="003A0655">
        <w:t>Marta Pizano, s</w:t>
      </w:r>
      <w:r w:rsidR="000B3BB8" w:rsidRPr="003A0655">
        <w:t>’</w:t>
      </w:r>
      <w:r w:rsidRPr="003A0655">
        <w:t>exprimant au nom de la coprésidence du Groupe de l</w:t>
      </w:r>
      <w:r w:rsidR="000B3BB8" w:rsidRPr="003A0655">
        <w:t>’</w:t>
      </w:r>
      <w:r w:rsidRPr="003A0655">
        <w:t>évaluation technique et économique (GETE), composée d</w:t>
      </w:r>
      <w:r w:rsidR="000B3BB8" w:rsidRPr="003A0655">
        <w:t>’</w:t>
      </w:r>
      <w:r w:rsidRPr="003A0655">
        <w:t xml:space="preserve">Ashley Woodcock, de Bella </w:t>
      </w:r>
      <w:proofErr w:type="spellStart"/>
      <w:r w:rsidRPr="003A0655">
        <w:t>Maranion</w:t>
      </w:r>
      <w:proofErr w:type="spellEnd"/>
      <w:r w:rsidRPr="003A0655">
        <w:t xml:space="preserve"> et d</w:t>
      </w:r>
      <w:r w:rsidR="000B3BB8" w:rsidRPr="003A0655">
        <w:t>’</w:t>
      </w:r>
      <w:r w:rsidRPr="003A0655">
        <w:t>elle-même, a présenté l</w:t>
      </w:r>
      <w:r w:rsidR="000B3BB8" w:rsidRPr="003A0655">
        <w:t>’</w:t>
      </w:r>
      <w:r w:rsidRPr="003A0655">
        <w:t>avancement des travaux du Groupe et les questions émergentes auxquelles il s</w:t>
      </w:r>
      <w:r w:rsidR="000B3BB8" w:rsidRPr="003A0655">
        <w:t>’</w:t>
      </w:r>
      <w:r w:rsidRPr="003A0655">
        <w:t>intéressait ; elle a précisé que Mme Maranion n</w:t>
      </w:r>
      <w:r w:rsidR="000B3BB8" w:rsidRPr="003A0655">
        <w:t>’</w:t>
      </w:r>
      <w:r w:rsidRPr="003A0655">
        <w:t>avait pas pu participer à la réunion. Elle a ensuite remercié ses collègues du Groupe et les plus de 150 membres des comités des choix techniques qui s</w:t>
      </w:r>
      <w:r w:rsidR="000B3BB8" w:rsidRPr="003A0655">
        <w:t>’</w:t>
      </w:r>
      <w:r w:rsidRPr="003A0655">
        <w:t>employaient, sous la direction du GETE et sur une base volontaire, à rédiger les rapports demandés par les Parties. Mme Pizano a également présenté un résumé des rapports du GETE attendus en 2026 et 2027, en appelant l</w:t>
      </w:r>
      <w:r w:rsidR="000B3BB8" w:rsidRPr="003A0655">
        <w:t>’</w:t>
      </w:r>
      <w:r w:rsidRPr="003A0655">
        <w:t>attention sur ceux de 2026, à savoir les rapports d</w:t>
      </w:r>
      <w:r w:rsidR="000B3BB8" w:rsidRPr="003A0655">
        <w:t>’</w:t>
      </w:r>
      <w:r w:rsidRPr="003A0655">
        <w:t>activité, les rapports sur la reconstitution du Fonds multilatéral (probablement accompagnés d</w:t>
      </w:r>
      <w:r w:rsidR="000B3BB8" w:rsidRPr="003A0655">
        <w:t>’</w:t>
      </w:r>
      <w:r w:rsidRPr="003A0655">
        <w:t>un rapport complémentaire plus tard dans l</w:t>
      </w:r>
      <w:r w:rsidR="000B3BB8" w:rsidRPr="003A0655">
        <w:t>’</w:t>
      </w:r>
      <w:r w:rsidRPr="003A0655">
        <w:t>année) ainsi que les rapports d</w:t>
      </w:r>
      <w:r w:rsidR="000B3BB8" w:rsidRPr="003A0655">
        <w:t>’</w:t>
      </w:r>
      <w:r w:rsidRPr="003A0655">
        <w:t>évaluation quadriennaux que les comités des choix techniques et le GETE lui-même devaient soumettre à la fin de l</w:t>
      </w:r>
      <w:r w:rsidR="000B3BB8" w:rsidRPr="003A0655">
        <w:t>’</w:t>
      </w:r>
      <w:r w:rsidRPr="003A0655">
        <w:t>année. Elle a ajouté qu</w:t>
      </w:r>
      <w:r w:rsidR="000B3BB8" w:rsidRPr="003A0655">
        <w:t>’</w:t>
      </w:r>
      <w:r w:rsidRPr="003A0655">
        <w:t>en 2027, en plus des rapports d</w:t>
      </w:r>
      <w:r w:rsidR="000B3BB8" w:rsidRPr="003A0655">
        <w:t>’</w:t>
      </w:r>
      <w:r w:rsidRPr="003A0655">
        <w:t>activité habituels, le GETE devrait préparer le rapport de synthèse en collaboration avec les autres groupes, et procéder à l</w:t>
      </w:r>
      <w:r w:rsidR="000B3BB8" w:rsidRPr="003A0655">
        <w:t>’</w:t>
      </w:r>
      <w:r w:rsidRPr="003A0655">
        <w:t>étude périodique des solutions de remplacement des HFC prévue par la décision XXVIII/2.</w:t>
      </w:r>
    </w:p>
    <w:p w14:paraId="58E32B08" w14:textId="74D54EA4" w:rsidR="003103F4" w:rsidRPr="003A0655" w:rsidRDefault="003103F4" w:rsidP="003103F4">
      <w:pPr>
        <w:pStyle w:val="Normalnumber"/>
        <w:numPr>
          <w:ilvl w:val="0"/>
          <w:numId w:val="1"/>
        </w:numPr>
        <w:tabs>
          <w:tab w:val="clear" w:pos="1871"/>
          <w:tab w:val="clear" w:pos="2495"/>
          <w:tab w:val="clear" w:pos="3119"/>
          <w:tab w:val="clear" w:pos="3742"/>
          <w:tab w:val="clear" w:pos="4366"/>
          <w:tab w:val="num" w:pos="624"/>
        </w:tabs>
        <w:ind w:left="1248"/>
      </w:pPr>
      <w:r w:rsidRPr="003A0655">
        <w:t>Mme Pizano a ensuite passé en revue les travaux en cours, en amont de la définition par la trente-septième Réunion des Parties du cadre définitif de l</w:t>
      </w:r>
      <w:r w:rsidR="000B3BB8" w:rsidRPr="003A0655">
        <w:t>’</w:t>
      </w:r>
      <w:r w:rsidRPr="003A0655">
        <w:t>étude sur la reconstitution des ressources, que le Groupe devrait finir à temps pour la réunion du Groupe de travail à composition non limitée, prévue l</w:t>
      </w:r>
      <w:r w:rsidR="000B3BB8" w:rsidRPr="003A0655">
        <w:t>’</w:t>
      </w:r>
      <w:r w:rsidRPr="003A0655">
        <w:t>année suivante. Le délai étant court (environ 4 mois), le Groupe était en train d</w:t>
      </w:r>
      <w:r w:rsidR="000B3BB8" w:rsidRPr="003A0655">
        <w:t>’</w:t>
      </w:r>
      <w:r w:rsidRPr="003A0655">
        <w:t>actualiser sa méthode de modélisation et avait pris contact avec les Secrétariats de l</w:t>
      </w:r>
      <w:r w:rsidR="000B3BB8" w:rsidRPr="003A0655">
        <w:t>’</w:t>
      </w:r>
      <w:r w:rsidRPr="003A0655">
        <w:t>ozone et du Fonds multilatéral à des fins de coordination de la mise à jour des données jusqu</w:t>
      </w:r>
      <w:r w:rsidR="000B3BB8" w:rsidRPr="003A0655">
        <w:t>’</w:t>
      </w:r>
      <w:r w:rsidRPr="003A0655">
        <w:t>à la fin de 2025.</w:t>
      </w:r>
    </w:p>
    <w:p w14:paraId="1DF6BFFB" w14:textId="64C4AFD7" w:rsidR="003103F4" w:rsidRPr="003A0655" w:rsidRDefault="003103F4" w:rsidP="003103F4">
      <w:pPr>
        <w:pStyle w:val="Normalnumber"/>
        <w:numPr>
          <w:ilvl w:val="0"/>
          <w:numId w:val="1"/>
        </w:numPr>
        <w:tabs>
          <w:tab w:val="clear" w:pos="1871"/>
          <w:tab w:val="clear" w:pos="2495"/>
          <w:tab w:val="clear" w:pos="3119"/>
          <w:tab w:val="clear" w:pos="3742"/>
          <w:tab w:val="clear" w:pos="4366"/>
          <w:tab w:val="num" w:pos="624"/>
        </w:tabs>
        <w:ind w:left="1248"/>
      </w:pPr>
      <w:r w:rsidRPr="003A0655">
        <w:t>Elle a ensuite brièvement présenté les thèmes qui seraient abordés dans les rapports d</w:t>
      </w:r>
      <w:r w:rsidR="000B3BB8" w:rsidRPr="003A0655">
        <w:t>’</w:t>
      </w:r>
      <w:r w:rsidRPr="003A0655">
        <w:t>évaluation de 2026 prévus par la décision XXXV/3, parmi lesquels on pouvait citer les progrès techniques accomplis dans les secteurs de la production et de la consommation en matière de passage à</w:t>
      </w:r>
      <w:r w:rsidR="00095B47" w:rsidRPr="003A0655">
        <w:t> </w:t>
      </w:r>
      <w:r w:rsidRPr="003A0655">
        <w:t>des solutions de remplacement des substances réglementées dans toutes les branches d</w:t>
      </w:r>
      <w:r w:rsidR="000B3BB8" w:rsidRPr="003A0655">
        <w:t>’</w:t>
      </w:r>
      <w:r w:rsidRPr="003A0655">
        <w:t>activité ; les utilisations des agents de transformation et des intermédiaires de synthèse ; les émissions de substances réglementées ; l</w:t>
      </w:r>
      <w:r w:rsidR="000B3BB8" w:rsidRPr="003A0655">
        <w:t>’</w:t>
      </w:r>
      <w:r w:rsidRPr="003A0655">
        <w:t>état des réserves et des stocks de substances réglementées ; les difficultés rencontrées par les Parties s</w:t>
      </w:r>
      <w:r w:rsidR="000B3BB8" w:rsidRPr="003A0655">
        <w:t>’</w:t>
      </w:r>
      <w:r w:rsidRPr="003A0655">
        <w:t>agissant de la préservation des progrès accomplis en matière d</w:t>
      </w:r>
      <w:r w:rsidR="000B3BB8" w:rsidRPr="003A0655">
        <w:t>’</w:t>
      </w:r>
      <w:r w:rsidRPr="003A0655">
        <w:t>abandon progressif ; l</w:t>
      </w:r>
      <w:r w:rsidR="000B3BB8" w:rsidRPr="003A0655">
        <w:t>’</w:t>
      </w:r>
      <w:r w:rsidRPr="003A0655">
        <w:t>impact de l</w:t>
      </w:r>
      <w:r w:rsidR="000B3BB8" w:rsidRPr="003A0655">
        <w:t>’</w:t>
      </w:r>
      <w:r w:rsidRPr="003A0655">
        <w:t>élimination progressive des substances appauvrissant la couche d</w:t>
      </w:r>
      <w:r w:rsidR="000B3BB8" w:rsidRPr="003A0655">
        <w:t>’</w:t>
      </w:r>
      <w:r w:rsidRPr="003A0655">
        <w:t>ozone et de la réduction progressive des HFC sur le développement durable ; les progrès accomplis dans la mise au point de solutions de remplacement des HFC économes en énergie, sûres et adaptées aux pays à températures ambiantes élevées ; les informations sur les nouvelles utilisations des HCFC ; une évaluation indiquant si la production d</w:t>
      </w:r>
      <w:r w:rsidR="000B3BB8" w:rsidRPr="003A0655">
        <w:t>’</w:t>
      </w:r>
      <w:proofErr w:type="spellStart"/>
      <w:r w:rsidRPr="003A0655">
        <w:t>hydrofluoroléfine</w:t>
      </w:r>
      <w:proofErr w:type="spellEnd"/>
      <w:r w:rsidRPr="003A0655">
        <w:t xml:space="preserve"> générait ou non des émissions fugitives de HFC ; les impacts potentiels de l</w:t>
      </w:r>
      <w:r w:rsidR="000B3BB8" w:rsidRPr="003A0655">
        <w:t>’</w:t>
      </w:r>
      <w:r w:rsidRPr="003A0655">
        <w:t>évolution des politiques et des réglementations (par exemple, concernant les SPFA) relatives à la gestion des substances réglementées, de leurs solutions de remplacement et de leurs produits de dégradation ; et les informations sur la gestion des réfrigérants, en particulier sur la prévention des fuites et la gestion en fin de vie.</w:t>
      </w:r>
    </w:p>
    <w:p w14:paraId="1E2FBB87" w14:textId="48600AE4" w:rsidR="003103F4" w:rsidRPr="003A0655" w:rsidRDefault="003103F4" w:rsidP="003103F4">
      <w:pPr>
        <w:pStyle w:val="Normalnumber"/>
        <w:numPr>
          <w:ilvl w:val="0"/>
          <w:numId w:val="1"/>
        </w:numPr>
        <w:tabs>
          <w:tab w:val="clear" w:pos="1871"/>
          <w:tab w:val="clear" w:pos="2495"/>
          <w:tab w:val="clear" w:pos="3119"/>
          <w:tab w:val="clear" w:pos="3742"/>
          <w:tab w:val="clear" w:pos="4366"/>
          <w:tab w:val="num" w:pos="624"/>
        </w:tabs>
        <w:ind w:left="1248"/>
      </w:pPr>
      <w:r w:rsidRPr="003A0655">
        <w:t>En conclusion, Mme Pizano a déclaré que les rapports d</w:t>
      </w:r>
      <w:r w:rsidR="000B3BB8" w:rsidRPr="003A0655">
        <w:t>’</w:t>
      </w:r>
      <w:r w:rsidRPr="003A0655">
        <w:t xml:space="preserve">évaluation de 2026 </w:t>
      </w:r>
      <w:r w:rsidR="00574B9D" w:rsidRPr="003A0655">
        <w:t>porteraient</w:t>
      </w:r>
      <w:r w:rsidRPr="003A0655">
        <w:t xml:space="preserve"> également sur huit autres décisions prises par les Parties ces dernières années, qui concernaient les utilisations en laboratoire et à des fins d</w:t>
      </w:r>
      <w:r w:rsidR="000B3BB8" w:rsidRPr="003A0655">
        <w:t>’</w:t>
      </w:r>
      <w:r w:rsidRPr="003A0655">
        <w:t xml:space="preserve">analyse, les agents de transformation, les HFC </w:t>
      </w:r>
      <w:proofErr w:type="spellStart"/>
      <w:r w:rsidRPr="003A0655">
        <w:t>non inscrits</w:t>
      </w:r>
      <w:proofErr w:type="spellEnd"/>
      <w:r w:rsidRPr="003A0655">
        <w:t xml:space="preserve"> à</w:t>
      </w:r>
      <w:r w:rsidR="00C73D67" w:rsidRPr="003A0655">
        <w:t> </w:t>
      </w:r>
      <w:r w:rsidRPr="003A0655">
        <w:t>l</w:t>
      </w:r>
      <w:r w:rsidR="000B3BB8" w:rsidRPr="003A0655">
        <w:t>’</w:t>
      </w:r>
      <w:r w:rsidRPr="003A0655">
        <w:t>Annexe F du Protocole, la disponibilité des HCFC, la gestion du cycle de vie des réfrigérants, les substances à très courte durée de vie, les évolutions dans le domaine des inhalateurs-doseurs et les solutions de remplacement des HFC dans les Parties visées à l</w:t>
      </w:r>
      <w:r w:rsidR="000B3BB8" w:rsidRPr="003A0655">
        <w:t>’</w:t>
      </w:r>
      <w:r w:rsidRPr="003A0655">
        <w:t>article 5 classées dans le groupe 2.</w:t>
      </w:r>
    </w:p>
    <w:p w14:paraId="2839FE7D" w14:textId="048EE620" w:rsidR="003103F4" w:rsidRPr="003A0655" w:rsidRDefault="003103F4" w:rsidP="003103F4">
      <w:pPr>
        <w:pStyle w:val="Normalnumber"/>
        <w:numPr>
          <w:ilvl w:val="0"/>
          <w:numId w:val="1"/>
        </w:numPr>
        <w:tabs>
          <w:tab w:val="clear" w:pos="1871"/>
          <w:tab w:val="clear" w:pos="2495"/>
          <w:tab w:val="clear" w:pos="3119"/>
          <w:tab w:val="clear" w:pos="3742"/>
          <w:tab w:val="clear" w:pos="4366"/>
          <w:tab w:val="num" w:pos="624"/>
        </w:tabs>
        <w:ind w:left="1248"/>
      </w:pPr>
      <w:r w:rsidRPr="003A0655">
        <w:t>Ashley Woodcock a commencé la seconde partie de l</w:t>
      </w:r>
      <w:r w:rsidR="000B3BB8" w:rsidRPr="003A0655">
        <w:t>’</w:t>
      </w:r>
      <w:r w:rsidRPr="003A0655">
        <w:t>exposé du GETE en remerciant les comités des choix techniques de lui permettre de présenter les questions clés de leurs secteurs.</w:t>
      </w:r>
    </w:p>
    <w:p w14:paraId="53E4D015" w14:textId="2F758FE9" w:rsidR="003103F4" w:rsidRPr="003A0655" w:rsidRDefault="003103F4" w:rsidP="003103F4">
      <w:pPr>
        <w:pStyle w:val="Normalnumber"/>
        <w:numPr>
          <w:ilvl w:val="0"/>
          <w:numId w:val="1"/>
        </w:numPr>
        <w:tabs>
          <w:tab w:val="clear" w:pos="1871"/>
          <w:tab w:val="clear" w:pos="2495"/>
          <w:tab w:val="clear" w:pos="3119"/>
          <w:tab w:val="clear" w:pos="3742"/>
          <w:tab w:val="clear" w:pos="4366"/>
          <w:tab w:val="num" w:pos="624"/>
        </w:tabs>
        <w:ind w:left="1248"/>
      </w:pPr>
      <w:r w:rsidRPr="003A0655">
        <w:t>Dans le domaine des mousses, des HCFC et des HFC utilisés comme agents d</w:t>
      </w:r>
      <w:r w:rsidR="000B3BB8" w:rsidRPr="003A0655">
        <w:t>’</w:t>
      </w:r>
      <w:r w:rsidRPr="003A0655">
        <w:t>expansion avaient été remplacés avec succès par des substances non fluorées ou par des mélanges, notamment pour des raisons de coûts. Toutefois, les agents d</w:t>
      </w:r>
      <w:r w:rsidR="000B3BB8" w:rsidRPr="003A0655">
        <w:t>’</w:t>
      </w:r>
      <w:r w:rsidRPr="003A0655">
        <w:t>expansion fluorés permettant d</w:t>
      </w:r>
      <w:r w:rsidR="000B3BB8" w:rsidRPr="003A0655">
        <w:t>’</w:t>
      </w:r>
      <w:r w:rsidRPr="003A0655">
        <w:t>améliorer les performances thermiques, il pouvait être difficile de respecter les normes en la matière lorsque les mousses en contenaient moins. Certains agents d</w:t>
      </w:r>
      <w:r w:rsidR="000B3BB8" w:rsidRPr="003A0655">
        <w:t>’</w:t>
      </w:r>
      <w:r w:rsidRPr="003A0655">
        <w:t>expansion non fluorés étaient plus inflammables et plus toxiques que les agents d</w:t>
      </w:r>
      <w:r w:rsidR="000B3BB8" w:rsidRPr="003A0655">
        <w:t>’</w:t>
      </w:r>
      <w:r w:rsidRPr="003A0655">
        <w:t>expansion fluorés</w:t>
      </w:r>
      <w:r w:rsidR="00574B9D" w:rsidRPr="003A0655">
        <w:t xml:space="preserve"> et</w:t>
      </w:r>
      <w:r w:rsidRPr="003A0655">
        <w:t>, de ce fait, leur manutention et leur utilisation en toute sécurité pouvaient nécessiter des précautions différentes. Le Comité des choix techniques pour les mousses souples et rigides s</w:t>
      </w:r>
      <w:r w:rsidR="000B3BB8" w:rsidRPr="003A0655">
        <w:t>’</w:t>
      </w:r>
      <w:r w:rsidRPr="003A0655">
        <w:t>était déclaré préoccupé par le fait que certaines petites et moyennes entreprises auraient mis en œuvre des agents d</w:t>
      </w:r>
      <w:r w:rsidR="000B3BB8" w:rsidRPr="003A0655">
        <w:t>’</w:t>
      </w:r>
      <w:r w:rsidRPr="003A0655">
        <w:t xml:space="preserve">expansion inflammables sans prendre les mesures de sécurité adéquates. </w:t>
      </w:r>
    </w:p>
    <w:p w14:paraId="0C0FAB32" w14:textId="47C399F2" w:rsidR="003103F4" w:rsidRPr="003A0655" w:rsidRDefault="003103F4" w:rsidP="003103F4">
      <w:pPr>
        <w:pStyle w:val="Normalnumber"/>
        <w:numPr>
          <w:ilvl w:val="0"/>
          <w:numId w:val="1"/>
        </w:numPr>
        <w:tabs>
          <w:tab w:val="clear" w:pos="1871"/>
          <w:tab w:val="clear" w:pos="2495"/>
          <w:tab w:val="clear" w:pos="3119"/>
          <w:tab w:val="clear" w:pos="3742"/>
          <w:tab w:val="clear" w:pos="4366"/>
          <w:tab w:val="num" w:pos="624"/>
        </w:tabs>
        <w:ind w:left="1248"/>
      </w:pPr>
      <w:r w:rsidRPr="003A0655">
        <w:t>M. Woodcock est ensuite passé à la lutte contre les incendies. L</w:t>
      </w:r>
      <w:r w:rsidR="000B3BB8" w:rsidRPr="003A0655">
        <w:t>’</w:t>
      </w:r>
      <w:r w:rsidRPr="003A0655">
        <w:t>incertitude générée par la potentielle réglementation globale des SPFA avait conduit l</w:t>
      </w:r>
      <w:r w:rsidR="000B3BB8" w:rsidRPr="003A0655">
        <w:t>’</w:t>
      </w:r>
      <w:r w:rsidRPr="003A0655">
        <w:t>Organisation de l</w:t>
      </w:r>
      <w:r w:rsidR="000B3BB8" w:rsidRPr="003A0655">
        <w:t>’</w:t>
      </w:r>
      <w:r w:rsidRPr="003A0655">
        <w:t>aviation civile internationale (OACI) à revenir sur sa décision d</w:t>
      </w:r>
      <w:r w:rsidR="000B3BB8" w:rsidRPr="003A0655">
        <w:t>’</w:t>
      </w:r>
      <w:r w:rsidRPr="003A0655">
        <w:t>interdire l</w:t>
      </w:r>
      <w:r w:rsidR="000B3BB8" w:rsidRPr="003A0655">
        <w:t>’</w:t>
      </w:r>
      <w:r w:rsidRPr="003A0655">
        <w:t xml:space="preserve">utilisation </w:t>
      </w:r>
      <w:proofErr w:type="gramStart"/>
      <w:r w:rsidRPr="003A0655">
        <w:t>du halon</w:t>
      </w:r>
      <w:proofErr w:type="gramEnd"/>
      <w:r w:rsidRPr="003A0655">
        <w:t> 1301 dans les compartiments de fret des nouveaux modèles d</w:t>
      </w:r>
      <w:r w:rsidR="000B3BB8" w:rsidRPr="003A0655">
        <w:t>’</w:t>
      </w:r>
      <w:r w:rsidRPr="003A0655">
        <w:t>avions après 2024 (Résolution A42-11). De ce fait, l</w:t>
      </w:r>
      <w:r w:rsidR="000B3BB8" w:rsidRPr="003A0655">
        <w:t>’</w:t>
      </w:r>
      <w:r w:rsidRPr="003A0655">
        <w:t>aviation civile s</w:t>
      </w:r>
      <w:r w:rsidR="000B3BB8" w:rsidRPr="003A0655">
        <w:t>’</w:t>
      </w:r>
      <w:r w:rsidRPr="003A0655">
        <w:t xml:space="preserve">engageait à maintenir sa demande </w:t>
      </w:r>
      <w:proofErr w:type="gramStart"/>
      <w:r w:rsidRPr="003A0655">
        <w:t>de halon</w:t>
      </w:r>
      <w:proofErr w:type="gramEnd"/>
      <w:r w:rsidRPr="003A0655">
        <w:t> 1301 pendant encore au moins 50 ans, bien au-delà de toutes les dates d</w:t>
      </w:r>
      <w:r w:rsidR="000B3BB8" w:rsidRPr="003A0655">
        <w:t>’</w:t>
      </w:r>
      <w:r w:rsidRPr="003A0655">
        <w:t>épuisement des stocks prévues.  Le Comité des choix techniques pour la lutte contre les incendies poursuivait sa collaboration avec l</w:t>
      </w:r>
      <w:r w:rsidR="000B3BB8" w:rsidRPr="003A0655">
        <w:t>’</w:t>
      </w:r>
      <w:r w:rsidRPr="003A0655">
        <w:t xml:space="preserve">OACI et suivrait de près ses démarches visant à demander une dérogation pour utilisation essentielle portant sur </w:t>
      </w:r>
      <w:proofErr w:type="gramStart"/>
      <w:r w:rsidRPr="003A0655">
        <w:t>le halon</w:t>
      </w:r>
      <w:proofErr w:type="gramEnd"/>
      <w:r w:rsidRPr="003A0655">
        <w:t xml:space="preserve"> 1301. D</w:t>
      </w:r>
      <w:r w:rsidR="000B3BB8" w:rsidRPr="003A0655">
        <w:t>’</w:t>
      </w:r>
      <w:r w:rsidRPr="003A0655">
        <w:t>autres utilisations persistantes risquaient également de prolonger la demande de halons, ce qui augmentait la possibilité qu</w:t>
      </w:r>
      <w:r w:rsidR="000B3BB8" w:rsidRPr="003A0655">
        <w:t>’</w:t>
      </w:r>
      <w:r w:rsidRPr="003A0655">
        <w:t>une telle dérogation soit accordée. La gestion du cycle de vie restait essentielle à la réduction des émissions, ainsi que la conservation des réserves d</w:t>
      </w:r>
      <w:r w:rsidR="000B3BB8" w:rsidRPr="003A0655">
        <w:t>’</w:t>
      </w:r>
      <w:r w:rsidRPr="003A0655">
        <w:t>agents d</w:t>
      </w:r>
      <w:r w:rsidR="000B3BB8" w:rsidRPr="003A0655">
        <w:t>’</w:t>
      </w:r>
      <w:r w:rsidRPr="003A0655">
        <w:t>extinction pour une utilisation future.</w:t>
      </w:r>
    </w:p>
    <w:p w14:paraId="5027506A" w14:textId="3643C12D" w:rsidR="003103F4" w:rsidRPr="003A0655" w:rsidRDefault="003103F4" w:rsidP="000C5D15">
      <w:pPr>
        <w:pStyle w:val="Normalnumber"/>
        <w:widowControl w:val="0"/>
        <w:numPr>
          <w:ilvl w:val="0"/>
          <w:numId w:val="1"/>
        </w:numPr>
        <w:tabs>
          <w:tab w:val="clear" w:pos="1871"/>
          <w:tab w:val="clear" w:pos="2495"/>
          <w:tab w:val="clear" w:pos="3119"/>
          <w:tab w:val="clear" w:pos="3742"/>
          <w:tab w:val="clear" w:pos="4366"/>
          <w:tab w:val="num" w:pos="624"/>
        </w:tabs>
      </w:pPr>
      <w:r w:rsidRPr="003A0655">
        <w:t xml:space="preserve">M. Woodcock a ensuite abordé la question du </w:t>
      </w:r>
      <w:r w:rsidR="00B575EA" w:rsidRPr="003A0655">
        <w:t>bromure de méthyle</w:t>
      </w:r>
      <w:r w:rsidRPr="003A0655">
        <w:t>. Les données de 2024 montraient une augmentation d</w:t>
      </w:r>
      <w:r w:rsidR="000B3BB8" w:rsidRPr="003A0655">
        <w:t>’</w:t>
      </w:r>
      <w:r w:rsidRPr="003A0655">
        <w:t>environ 2</w:t>
      </w:r>
      <w:r w:rsidR="0086307F" w:rsidRPr="003A0655">
        <w:t> </w:t>
      </w:r>
      <w:r w:rsidRPr="003A0655">
        <w:t>000 t (25 %) de la quantité utilisée pour la quarantaine et les traitements préalables à l</w:t>
      </w:r>
      <w:r w:rsidR="000B3BB8" w:rsidRPr="003A0655">
        <w:t>’</w:t>
      </w:r>
      <w:r w:rsidRPr="003A0655">
        <w:t xml:space="preserve">expédition. Les émissions de </w:t>
      </w:r>
      <w:r w:rsidR="00B575EA" w:rsidRPr="003A0655">
        <w:t xml:space="preserve">bromure de méthyle </w:t>
      </w:r>
      <w:r w:rsidRPr="003A0655">
        <w:t>ne diminuaient plus, et on observait encore un écart important avec les niveaux de référence. M. Woodcock a rappelé qu</w:t>
      </w:r>
      <w:r w:rsidR="000B3BB8" w:rsidRPr="003A0655">
        <w:t>’</w:t>
      </w:r>
      <w:r w:rsidRPr="003A0655">
        <w:t xml:space="preserve">il existait des solutions de remplacement pour les quelque 10 000 tonnes de </w:t>
      </w:r>
      <w:r w:rsidR="00B575EA" w:rsidRPr="003A0655">
        <w:t xml:space="preserve">bromure de méthyle </w:t>
      </w:r>
      <w:r w:rsidRPr="003A0655">
        <w:t>utilisé pour la quarantaine et les traitements préalables à l</w:t>
      </w:r>
      <w:r w:rsidR="000B3BB8" w:rsidRPr="003A0655">
        <w:t>’</w:t>
      </w:r>
      <w:r w:rsidRPr="003A0655">
        <w:t>expédition, et que des secteurs clés, dont ceux du bois d</w:t>
      </w:r>
      <w:r w:rsidR="000B3BB8" w:rsidRPr="003A0655">
        <w:t>’</w:t>
      </w:r>
      <w:r w:rsidRPr="003A0655">
        <w:t>œuvre et des céréales, étaient en train d</w:t>
      </w:r>
      <w:r w:rsidR="000B3BB8" w:rsidRPr="003A0655">
        <w:t>’</w:t>
      </w:r>
      <w:r w:rsidRPr="003A0655">
        <w:t>en adopter certaines (par exemple, la phosphine, le formiate de méthyle et le dinitrile d</w:t>
      </w:r>
      <w:r w:rsidR="000B3BB8" w:rsidRPr="003A0655">
        <w:t>’</w:t>
      </w:r>
      <w:r w:rsidRPr="003A0655">
        <w:t>éthane). En particulier, des solutions de remplacement étaient disponibles pour la plupart des traitements préalables à l</w:t>
      </w:r>
      <w:r w:rsidR="000B3BB8" w:rsidRPr="003A0655">
        <w:t>’</w:t>
      </w:r>
      <w:r w:rsidRPr="003A0655">
        <w:t>expédition, qui représentaient environ un tiers des quantités utilisées pour la quarantaine et les traitements préalables à l</w:t>
      </w:r>
      <w:r w:rsidR="000B3BB8" w:rsidRPr="003A0655">
        <w:t>’</w:t>
      </w:r>
      <w:r w:rsidRPr="003A0655">
        <w:t>expédition. Le rapport d</w:t>
      </w:r>
      <w:r w:rsidR="000B3BB8" w:rsidRPr="003A0655">
        <w:t>’</w:t>
      </w:r>
      <w:r w:rsidRPr="003A0655">
        <w:t xml:space="preserve">évaluation du Comité des choix techniques pour le bromure de méthyle aborderait les utilisations du </w:t>
      </w:r>
      <w:r w:rsidR="00B575EA" w:rsidRPr="003A0655">
        <w:t xml:space="preserve">bromure de méthyle </w:t>
      </w:r>
      <w:r w:rsidRPr="003A0655">
        <w:t>aux fins de traitement du sol avant plantation et les effets de la réduction de la valeur limite d</w:t>
      </w:r>
      <w:r w:rsidR="000B3BB8" w:rsidRPr="003A0655">
        <w:t>’</w:t>
      </w:r>
      <w:r w:rsidRPr="003A0655">
        <w:t>exposition professionnelle (de 5 ppm à 1 ppm), qui pourrait encore réduire le recours à cette substance. Le rapport présenterait également une synthèse des principaux avantages pour la couche d</w:t>
      </w:r>
      <w:r w:rsidR="000B3BB8" w:rsidRPr="003A0655">
        <w:t>’</w:t>
      </w:r>
      <w:r w:rsidRPr="003A0655">
        <w:t>ozone présentés par l</w:t>
      </w:r>
      <w:r w:rsidR="000B3BB8" w:rsidRPr="003A0655">
        <w:t>’</w:t>
      </w:r>
      <w:r w:rsidRPr="003A0655">
        <w:t xml:space="preserve">élimination complète des utilisations du </w:t>
      </w:r>
      <w:r w:rsidR="00B575EA" w:rsidRPr="003A0655">
        <w:t xml:space="preserve">bromure de méthyle </w:t>
      </w:r>
      <w:r w:rsidRPr="003A0655">
        <w:t>hors quarantaine et traitements préalables à l</w:t>
      </w:r>
      <w:r w:rsidR="000B3BB8" w:rsidRPr="003A0655">
        <w:t>’</w:t>
      </w:r>
      <w:r w:rsidRPr="003A0655">
        <w:t xml:space="preserve">expédition, qui représentaient 62 000 t. </w:t>
      </w:r>
    </w:p>
    <w:p w14:paraId="0F44D5A4" w14:textId="04740A3F" w:rsidR="003103F4" w:rsidRPr="003A0655" w:rsidRDefault="003103F4" w:rsidP="003103F4">
      <w:pPr>
        <w:pStyle w:val="Normalnumber"/>
        <w:numPr>
          <w:ilvl w:val="0"/>
          <w:numId w:val="1"/>
        </w:numPr>
        <w:tabs>
          <w:tab w:val="clear" w:pos="1871"/>
          <w:tab w:val="clear" w:pos="2495"/>
          <w:tab w:val="clear" w:pos="3119"/>
          <w:tab w:val="clear" w:pos="3742"/>
          <w:tab w:val="clear" w:pos="4366"/>
          <w:tab w:val="num" w:pos="624"/>
        </w:tabs>
        <w:ind w:left="1248"/>
      </w:pPr>
      <w:r w:rsidRPr="003A0655">
        <w:t>Le Comité des choix techniques pour les produits médicaux et chimiques traitait un large éventail de dossiers. Son rapport d</w:t>
      </w:r>
      <w:r w:rsidR="000B3BB8" w:rsidRPr="003A0655">
        <w:t>’</w:t>
      </w:r>
      <w:r w:rsidRPr="003A0655">
        <w:t>évaluation aborderait les thèmes suivants : la production et les utilisations de substances réglementées comme intermédiaires de synthèse ainsi que les informations communiquées par les Parties au titre de la décision XXXVI/5 ; les informations actualisées sur le HFC-23, le tétrachlorure de carbone, les substances à très courte durée de vie, le bromure de n-propyle et les agents de transformation, ainsi que sur les utilisations en laboratoire et à des fins d</w:t>
      </w:r>
      <w:r w:rsidR="000B3BB8" w:rsidRPr="003A0655">
        <w:t>’</w:t>
      </w:r>
      <w:r w:rsidRPr="003A0655">
        <w:t>analyse, y</w:t>
      </w:r>
      <w:r w:rsidR="00ED092B" w:rsidRPr="003A0655">
        <w:t> </w:t>
      </w:r>
      <w:r w:rsidRPr="003A0655">
        <w:t xml:space="preserve">compris des informations pertinentes sur les solutions de remplacement ; les HFC </w:t>
      </w:r>
      <w:proofErr w:type="spellStart"/>
      <w:r w:rsidRPr="003A0655">
        <w:t>non inscrits</w:t>
      </w:r>
      <w:proofErr w:type="spellEnd"/>
      <w:r w:rsidRPr="003A0655">
        <w:t xml:space="preserve"> à l</w:t>
      </w:r>
      <w:r w:rsidR="000B3BB8" w:rsidRPr="003A0655">
        <w:t>’</w:t>
      </w:r>
      <w:r w:rsidRPr="003A0655">
        <w:t>Annexe F du Protocole, y compris des informations sur les utilisations des produits qui avaient été répertoriées par le Groupe de l</w:t>
      </w:r>
      <w:r w:rsidR="000B3BB8" w:rsidRPr="003A0655">
        <w:t>’</w:t>
      </w:r>
      <w:r w:rsidRPr="003A0655">
        <w:t>évaluation scientifique. Le rapport fournirait également des informations actualisées sur l</w:t>
      </w:r>
      <w:r w:rsidR="000B3BB8" w:rsidRPr="003A0655">
        <w:t>’</w:t>
      </w:r>
      <w:r w:rsidRPr="003A0655">
        <w:t>augmentation des quantités de substances réglementées utilisées dans les revêtements de surface des puces de semiconducteurs et la fabrication d</w:t>
      </w:r>
      <w:r w:rsidR="000B3BB8" w:rsidRPr="003A0655">
        <w:t>’</w:t>
      </w:r>
      <w:r w:rsidRPr="003A0655">
        <w:t>autres produits électroniques, sur l</w:t>
      </w:r>
      <w:r w:rsidR="000B3BB8" w:rsidRPr="003A0655">
        <w:t>’</w:t>
      </w:r>
      <w:r w:rsidRPr="003A0655">
        <w:t>utilisation de substances réglementées ainsi que sur la disponibilité de solutions de remplacement pour les aérosols et les inhalateurs-doseurs pressurisés. Il comprendrait aussi des informations sur les techniques de destruction</w:t>
      </w:r>
      <w:r w:rsidR="00E22D5E" w:rsidRPr="003A0655">
        <w:t>.</w:t>
      </w:r>
    </w:p>
    <w:p w14:paraId="5EC4B3F7" w14:textId="3A11132F" w:rsidR="003103F4" w:rsidRPr="003A0655" w:rsidRDefault="003103F4" w:rsidP="00ED092B">
      <w:pPr>
        <w:pStyle w:val="Normalnumber"/>
        <w:numPr>
          <w:ilvl w:val="0"/>
          <w:numId w:val="1"/>
        </w:numPr>
        <w:tabs>
          <w:tab w:val="clear" w:pos="1871"/>
          <w:tab w:val="clear" w:pos="2495"/>
          <w:tab w:val="clear" w:pos="3119"/>
          <w:tab w:val="clear" w:pos="3742"/>
          <w:tab w:val="clear" w:pos="4366"/>
          <w:tab w:val="num" w:pos="624"/>
        </w:tabs>
        <w:ind w:left="1248"/>
      </w:pPr>
      <w:r w:rsidRPr="003A0655">
        <w:t>S</w:t>
      </w:r>
      <w:r w:rsidR="000B3BB8" w:rsidRPr="003A0655">
        <w:t>’</w:t>
      </w:r>
      <w:r w:rsidRPr="003A0655">
        <w:t>agissant du secteur de la réfrigération, de la climatisation et des pompes à chaleur, M.</w:t>
      </w:r>
      <w:r w:rsidR="00EE64BA" w:rsidRPr="003A0655">
        <w:t> </w:t>
      </w:r>
      <w:r w:rsidRPr="003A0655">
        <w:t>Woodcock a déclaré qu</w:t>
      </w:r>
      <w:r w:rsidR="000B3BB8" w:rsidRPr="003A0655">
        <w:t>’</w:t>
      </w:r>
      <w:r w:rsidRPr="003A0655">
        <w:t xml:space="preserve">aucun nouveau réfrigérant </w:t>
      </w:r>
      <w:proofErr w:type="spellStart"/>
      <w:r w:rsidRPr="003A0655">
        <w:t>monocomposant</w:t>
      </w:r>
      <w:proofErr w:type="spellEnd"/>
      <w:r w:rsidRPr="003A0655">
        <w:t xml:space="preserve"> n</w:t>
      </w:r>
      <w:r w:rsidR="000B3BB8" w:rsidRPr="003A0655">
        <w:t>’</w:t>
      </w:r>
      <w:r w:rsidRPr="003A0655">
        <w:t xml:space="preserve">avait été mis sur le marché, et que le nombre de mélanges </w:t>
      </w:r>
      <w:proofErr w:type="spellStart"/>
      <w:r w:rsidRPr="003A0655">
        <w:t>zéotropiques</w:t>
      </w:r>
      <w:proofErr w:type="spellEnd"/>
      <w:r w:rsidRPr="003A0655">
        <w:t xml:space="preserve"> annoncés était limité. Le rapport d</w:t>
      </w:r>
      <w:r w:rsidR="000B3BB8" w:rsidRPr="003A0655">
        <w:t>’</w:t>
      </w:r>
      <w:r w:rsidRPr="003A0655">
        <w:t>évaluation du Comité des choix techniques pour la réfrigération, la climatisation et les pompes à chaleur ferait le point sur la poursuite du passage aux réfrigérants de classes A1, A2L/B2L et A3 à faible potentiel de réchauffement global ; le rythme de cette transition variait selon les sous-secteurs (réfrigération, climatisation et pompes à chaleur) et selon la région. M. Woodcock a précisé que le manque d</w:t>
      </w:r>
      <w:r w:rsidR="000B3BB8" w:rsidRPr="003A0655">
        <w:t>’</w:t>
      </w:r>
      <w:r w:rsidRPr="003A0655">
        <w:t>informations et de connaissances sur l</w:t>
      </w:r>
      <w:r w:rsidR="000B3BB8" w:rsidRPr="003A0655">
        <w:t>’</w:t>
      </w:r>
      <w:r w:rsidRPr="003A0655">
        <w:t>utilisation de réfrigérants inflammables des classes A2L et A3</w:t>
      </w:r>
      <w:r w:rsidR="00ED092B" w:rsidRPr="003A0655">
        <w:t> </w:t>
      </w:r>
      <w:r w:rsidRPr="003A0655">
        <w:t>constituait encore un obstacle considérable à l</w:t>
      </w:r>
      <w:r w:rsidR="000B3BB8" w:rsidRPr="003A0655">
        <w:t>’</w:t>
      </w:r>
      <w:r w:rsidRPr="003A0655">
        <w:t>adoption de réfrigérants à faible potentiel de réchauffement global, tant dans les Parties visées à l</w:t>
      </w:r>
      <w:r w:rsidR="000B3BB8" w:rsidRPr="003A0655">
        <w:t>’</w:t>
      </w:r>
      <w:r w:rsidRPr="003A0655">
        <w:t>article 5 que dans certaines Parties non visées à</w:t>
      </w:r>
      <w:r w:rsidR="00737C00" w:rsidRPr="003A0655">
        <w:t> </w:t>
      </w:r>
      <w:r w:rsidRPr="003A0655">
        <w:t>l</w:t>
      </w:r>
      <w:r w:rsidR="000B3BB8" w:rsidRPr="003A0655">
        <w:t>’</w:t>
      </w:r>
      <w:r w:rsidRPr="003A0655">
        <w:t>article 5. Le rapport d</w:t>
      </w:r>
      <w:r w:rsidR="000B3BB8" w:rsidRPr="003A0655">
        <w:t>’</w:t>
      </w:r>
      <w:r w:rsidRPr="003A0655">
        <w:t>évaluation se concentrerait sur les questions transversales, telles que l</w:t>
      </w:r>
      <w:r w:rsidR="000B3BB8" w:rsidRPr="003A0655">
        <w:t>’</w:t>
      </w:r>
      <w:r w:rsidRPr="003A0655">
        <w:t>efficacité énergétique, la gestion du cycle de vie des réfrigérants et l</w:t>
      </w:r>
      <w:r w:rsidR="000B3BB8" w:rsidRPr="003A0655">
        <w:t>’</w:t>
      </w:r>
      <w:r w:rsidRPr="003A0655">
        <w:t>expansion des centres de données.</w:t>
      </w:r>
    </w:p>
    <w:p w14:paraId="3B38FE32" w14:textId="5A3D0363" w:rsidR="003103F4" w:rsidRPr="003A0655" w:rsidRDefault="003103F4" w:rsidP="003103F4">
      <w:pPr>
        <w:pStyle w:val="Normalnumber"/>
        <w:numPr>
          <w:ilvl w:val="0"/>
          <w:numId w:val="1"/>
        </w:numPr>
        <w:tabs>
          <w:tab w:val="clear" w:pos="1871"/>
          <w:tab w:val="clear" w:pos="2495"/>
          <w:tab w:val="clear" w:pos="3119"/>
          <w:tab w:val="clear" w:pos="3742"/>
          <w:tab w:val="clear" w:pos="4366"/>
          <w:tab w:val="num" w:pos="624"/>
        </w:tabs>
        <w:ind w:left="1248"/>
      </w:pPr>
      <w:r w:rsidRPr="003A0655">
        <w:t>M. Woodcock a enfin abordé le sujet des SPFA et de leur impact potentiel sur le Protocole de Montréal. Il s</w:t>
      </w:r>
      <w:r w:rsidR="000B3BB8" w:rsidRPr="003A0655">
        <w:t>’</w:t>
      </w:r>
      <w:r w:rsidRPr="003A0655">
        <w:t>est penché sur l</w:t>
      </w:r>
      <w:r w:rsidR="000B3BB8" w:rsidRPr="003A0655">
        <w:t>’</w:t>
      </w:r>
      <w:r w:rsidRPr="003A0655">
        <w:t>intérêt des médias et du public pour les « polluants éternels », qui étaient devenus à tort synonymes de « SPFA ». Il a rappelé qu</w:t>
      </w:r>
      <w:r w:rsidR="000B3BB8" w:rsidRPr="003A0655">
        <w:t>’</w:t>
      </w:r>
      <w:r w:rsidRPr="003A0655">
        <w:t>il existait plus de 15 définitions de ce qu</w:t>
      </w:r>
      <w:r w:rsidR="000B3BB8" w:rsidRPr="003A0655">
        <w:t>’</w:t>
      </w:r>
      <w:r w:rsidRPr="003A0655">
        <w:t>on entendait par « SPFA », qui reposaient plus sur la composition chimique de ces substances que sur leurs impacts sur la santé humaine et l</w:t>
      </w:r>
      <w:r w:rsidR="000B3BB8" w:rsidRPr="003A0655">
        <w:t>’</w:t>
      </w:r>
      <w:r w:rsidRPr="003A0655">
        <w:t>environnement. Cette confusion avait pour origine les contrôles mis en place pour l</w:t>
      </w:r>
      <w:r w:rsidR="000B3BB8" w:rsidRPr="003A0655">
        <w:t>’</w:t>
      </w:r>
      <w:r w:rsidRPr="003A0655">
        <w:t xml:space="preserve">acide </w:t>
      </w:r>
      <w:proofErr w:type="spellStart"/>
      <w:r w:rsidRPr="003A0655">
        <w:t>perfluorooctanoïque</w:t>
      </w:r>
      <w:proofErr w:type="spellEnd"/>
      <w:r w:rsidRPr="003A0655">
        <w:t xml:space="preserve"> (APFO) et l</w:t>
      </w:r>
      <w:r w:rsidR="000B3BB8" w:rsidRPr="003A0655">
        <w:t>’</w:t>
      </w:r>
      <w:r w:rsidRPr="003A0655">
        <w:t xml:space="preserve">acide </w:t>
      </w:r>
      <w:proofErr w:type="spellStart"/>
      <w:r w:rsidRPr="003A0655">
        <w:t>perfluorooctane</w:t>
      </w:r>
      <w:proofErr w:type="spellEnd"/>
      <w:r w:rsidRPr="003A0655">
        <w:t xml:space="preserve"> sulfonique (SPFO), qui étaient persistants, bioaccumulables et toxiques, et inclus dans toutes les définitions des SPFA. Le problème était que le caractère persistant, bioaccumulable et toxique de l</w:t>
      </w:r>
      <w:r w:rsidR="000B3BB8" w:rsidRPr="003A0655">
        <w:t>’</w:t>
      </w:r>
      <w:r w:rsidRPr="003A0655">
        <w:t>APFO et du SPFO était à tort étendu à d</w:t>
      </w:r>
      <w:r w:rsidR="000B3BB8" w:rsidRPr="003A0655">
        <w:t>’</w:t>
      </w:r>
      <w:r w:rsidRPr="003A0655">
        <w:t>autres substances chimiques, y compris les substances réglementées par le Protocole de Montréal et leurs solutions de remplacement.</w:t>
      </w:r>
    </w:p>
    <w:p w14:paraId="147C9A7C" w14:textId="1643D8CA" w:rsidR="003103F4" w:rsidRPr="003A0655" w:rsidRDefault="003103F4" w:rsidP="003103F4">
      <w:pPr>
        <w:pStyle w:val="Normalnumber"/>
        <w:numPr>
          <w:ilvl w:val="0"/>
          <w:numId w:val="1"/>
        </w:numPr>
        <w:tabs>
          <w:tab w:val="clear" w:pos="1871"/>
          <w:tab w:val="clear" w:pos="2495"/>
          <w:tab w:val="clear" w:pos="3119"/>
          <w:tab w:val="clear" w:pos="3742"/>
          <w:tab w:val="clear" w:pos="4366"/>
          <w:tab w:val="num" w:pos="624"/>
        </w:tabs>
        <w:ind w:left="1248"/>
      </w:pPr>
      <w:r w:rsidRPr="003A0655">
        <w:t>M. Woodcock a fait valoir que les substances réglementées par le Protocole de Montréal et leurs solutions de remplacement n</w:t>
      </w:r>
      <w:r w:rsidR="000B3BB8" w:rsidRPr="003A0655">
        <w:t>’</w:t>
      </w:r>
      <w:r w:rsidRPr="003A0655">
        <w:t>étaient ni persistantes, ni bioaccumulables, ni toxiques. Cependant, certaines substances réglementées par le Protocole de Montréal et leurs solutions de remplacement se décomposaient à des degrés divers en sels d</w:t>
      </w:r>
      <w:r w:rsidR="000B3BB8" w:rsidRPr="003A0655">
        <w:t>’</w:t>
      </w:r>
      <w:r w:rsidRPr="003A0655">
        <w:t xml:space="preserve">acide </w:t>
      </w:r>
      <w:proofErr w:type="spellStart"/>
      <w:r w:rsidRPr="003A0655">
        <w:t>trifluoroacétique</w:t>
      </w:r>
      <w:proofErr w:type="spellEnd"/>
      <w:r w:rsidRPr="003A0655">
        <w:t>. L</w:t>
      </w:r>
      <w:r w:rsidR="000B3BB8" w:rsidRPr="003A0655">
        <w:t>’</w:t>
      </w:r>
      <w:r w:rsidRPr="003A0655">
        <w:t xml:space="preserve">acide </w:t>
      </w:r>
      <w:proofErr w:type="spellStart"/>
      <w:r w:rsidRPr="003A0655">
        <w:t>trifluoroacétique</w:t>
      </w:r>
      <w:proofErr w:type="spellEnd"/>
      <w:r w:rsidRPr="003A0655">
        <w:t xml:space="preserve"> (TFA) était persistant dans les eaux de surface et présentait une faible toxicité. Sa concentration augmentait dans certaines zones, mais devrait, selon les prévisions, rester bien inférieure aux seuils de préoccupation.</w:t>
      </w:r>
      <w:r w:rsidR="00791DA9" w:rsidRPr="003A0655">
        <w:t xml:space="preserve"> O</w:t>
      </w:r>
      <w:r w:rsidRPr="003A0655">
        <w:t xml:space="preserve">n manquait </w:t>
      </w:r>
      <w:r w:rsidR="00791DA9" w:rsidRPr="003A0655">
        <w:t xml:space="preserve">néanmoins </w:t>
      </w:r>
      <w:r w:rsidRPr="003A0655">
        <w:t>de connaissances sur les contributions relatives</w:t>
      </w:r>
      <w:r w:rsidR="00383FB4" w:rsidRPr="003A0655">
        <w:t xml:space="preserve"> provenant</w:t>
      </w:r>
      <w:r w:rsidRPr="003A0655">
        <w:t xml:space="preserve"> d</w:t>
      </w:r>
      <w:r w:rsidR="000B3BB8" w:rsidRPr="003A0655">
        <w:t>’</w:t>
      </w:r>
      <w:r w:rsidRPr="003A0655">
        <w:t>autres sources (par exemple, les produits pharmaceutiques et les pesticides) aux quantités d</w:t>
      </w:r>
      <w:r w:rsidR="000B3BB8" w:rsidRPr="003A0655">
        <w:t>’</w:t>
      </w:r>
      <w:r w:rsidRPr="003A0655">
        <w:t xml:space="preserve">acide </w:t>
      </w:r>
      <w:proofErr w:type="spellStart"/>
      <w:r w:rsidRPr="003A0655">
        <w:t>trifluoroacétique</w:t>
      </w:r>
      <w:proofErr w:type="spellEnd"/>
      <w:r w:rsidRPr="003A0655">
        <w:t xml:space="preserve"> présentes dans l</w:t>
      </w:r>
      <w:r w:rsidR="000B3BB8" w:rsidRPr="003A0655">
        <w:t>’</w:t>
      </w:r>
      <w:r w:rsidRPr="003A0655">
        <w:t>environnement.</w:t>
      </w:r>
    </w:p>
    <w:p w14:paraId="0B3F441E" w14:textId="3BEE8798" w:rsidR="003103F4" w:rsidRPr="003A0655" w:rsidRDefault="003103F4" w:rsidP="003103F4">
      <w:pPr>
        <w:pStyle w:val="Normalnumber"/>
        <w:numPr>
          <w:ilvl w:val="0"/>
          <w:numId w:val="1"/>
        </w:numPr>
        <w:tabs>
          <w:tab w:val="clear" w:pos="1871"/>
          <w:tab w:val="clear" w:pos="2495"/>
          <w:tab w:val="clear" w:pos="3119"/>
          <w:tab w:val="clear" w:pos="3742"/>
          <w:tab w:val="clear" w:pos="4366"/>
          <w:tab w:val="num" w:pos="624"/>
        </w:tabs>
        <w:ind w:left="1248"/>
      </w:pPr>
      <w:r w:rsidRPr="003A0655">
        <w:t>M. Woodcock a expliqué que l</w:t>
      </w:r>
      <w:r w:rsidR="000B3BB8" w:rsidRPr="003A0655">
        <w:t>’</w:t>
      </w:r>
      <w:r w:rsidRPr="003A0655">
        <w:t xml:space="preserve">incertitude générée par la potentielle réglementation globale des SPFA </w:t>
      </w:r>
      <w:r w:rsidR="00A95BAA" w:rsidRPr="003A0655">
        <w:t xml:space="preserve">retardait </w:t>
      </w:r>
      <w:r w:rsidRPr="003A0655">
        <w:t>les investissements privés dans le passage aux solutions de remplacement, et pourrait réduire la disponibilité de ces solutions pour certaines applications. Cela risquait de ralentir l</w:t>
      </w:r>
      <w:r w:rsidR="000B3BB8" w:rsidRPr="003A0655">
        <w:t>’</w:t>
      </w:r>
      <w:r w:rsidRPr="003A0655">
        <w:t>élimination progressive des HFC du fait de la lente adoption des solutions de remplacement à faible potentiel de réchauffement global, voire de réduire l</w:t>
      </w:r>
      <w:r w:rsidR="000B3BB8" w:rsidRPr="003A0655">
        <w:t>’</w:t>
      </w:r>
      <w:r w:rsidRPr="003A0655">
        <w:t>efficacité énergétique de certaines applications. Il</w:t>
      </w:r>
      <w:r w:rsidR="001715A7" w:rsidRPr="003A0655">
        <w:t> </w:t>
      </w:r>
      <w:r w:rsidRPr="003A0655">
        <w:t xml:space="preserve">a également </w:t>
      </w:r>
      <w:r w:rsidR="00A95BAA" w:rsidRPr="003A0655">
        <w:t xml:space="preserve">donné </w:t>
      </w:r>
      <w:r w:rsidRPr="003A0655">
        <w:t>deux exemples d</w:t>
      </w:r>
      <w:r w:rsidR="000B3BB8" w:rsidRPr="003A0655">
        <w:t>’</w:t>
      </w:r>
      <w:r w:rsidRPr="003A0655">
        <w:t>impacts sectoriels. Dans le cas de la lutte contre les incendies, l</w:t>
      </w:r>
      <w:r w:rsidR="000B3BB8" w:rsidRPr="003A0655">
        <w:t>’</w:t>
      </w:r>
      <w:r w:rsidRPr="003A0655">
        <w:t>incertitude sur la gestion à long terme des halons était réelle. S</w:t>
      </w:r>
      <w:r w:rsidR="000B3BB8" w:rsidRPr="003A0655">
        <w:t>’</w:t>
      </w:r>
      <w:r w:rsidRPr="003A0655">
        <w:t>agissant des inhalateurs-doseurs, le passage aux gaz propulseurs à faible potentiel de réchauffement global avait déjà commencé, mais on ne savait pas quelles solutions de remplacement seraient disponibles à long terme. Il a rappelé que 94</w:t>
      </w:r>
      <w:r w:rsidR="00B45825" w:rsidRPr="003A0655">
        <w:t> </w:t>
      </w:r>
      <w:r w:rsidRPr="003A0655">
        <w:t>entreprises pharmaceutiques étaient potentiellement concernées par la transition, et que la santé de plus</w:t>
      </w:r>
      <w:r w:rsidR="00220DC6" w:rsidRPr="003A0655">
        <w:t> </w:t>
      </w:r>
      <w:r w:rsidRPr="003A0655">
        <w:t>d</w:t>
      </w:r>
      <w:r w:rsidR="000B3BB8" w:rsidRPr="003A0655">
        <w:t>’</w:t>
      </w:r>
      <w:r w:rsidRPr="003A0655">
        <w:t>un milliard de patient</w:t>
      </w:r>
      <w:r w:rsidR="00A95BAA" w:rsidRPr="003A0655">
        <w:t>(</w:t>
      </w:r>
      <w:r w:rsidRPr="003A0655">
        <w:t>e</w:t>
      </w:r>
      <w:r w:rsidR="00A95BAA" w:rsidRPr="003A0655">
        <w:t>)</w:t>
      </w:r>
      <w:r w:rsidRPr="003A0655">
        <w:t>s était en jeu.</w:t>
      </w:r>
    </w:p>
    <w:p w14:paraId="1524E7CD" w14:textId="72AB8427" w:rsidR="003103F4" w:rsidRPr="003A0655" w:rsidRDefault="003103F4" w:rsidP="003103F4">
      <w:pPr>
        <w:pStyle w:val="Normalnumber"/>
        <w:numPr>
          <w:ilvl w:val="0"/>
          <w:numId w:val="1"/>
        </w:numPr>
        <w:tabs>
          <w:tab w:val="clear" w:pos="1871"/>
          <w:tab w:val="clear" w:pos="2495"/>
          <w:tab w:val="clear" w:pos="3119"/>
          <w:tab w:val="clear" w:pos="3742"/>
          <w:tab w:val="clear" w:pos="4366"/>
          <w:tab w:val="num" w:pos="624"/>
        </w:tabs>
        <w:ind w:left="1248"/>
      </w:pPr>
      <w:r w:rsidRPr="003A0655">
        <w:t>Les trois Groupes coordonneraient leurs activités afin de tenir les Parties pleinement informées des évolutions de la réglementation des SPFA susceptibles d</w:t>
      </w:r>
      <w:r w:rsidR="000B3BB8" w:rsidRPr="003A0655">
        <w:t>’</w:t>
      </w:r>
      <w:r w:rsidRPr="003A0655">
        <w:t>avoir des conséquences sur le Protocole de Montréal.</w:t>
      </w:r>
    </w:p>
    <w:p w14:paraId="713C3D3A" w14:textId="137B513E" w:rsidR="003103F4" w:rsidRPr="003A0655" w:rsidRDefault="0069471B" w:rsidP="00D47363">
      <w:pPr>
        <w:pStyle w:val="ZZAnxheader"/>
      </w:pPr>
      <w:r w:rsidRPr="003A0655">
        <w:t>Annexe II</w:t>
      </w:r>
    </w:p>
    <w:p w14:paraId="3BB3EAEF" w14:textId="43E5D76E" w:rsidR="0069471B" w:rsidRPr="003A0655" w:rsidRDefault="0069471B" w:rsidP="0069471B">
      <w:pPr>
        <w:pStyle w:val="ZZAnxtitle"/>
      </w:pPr>
      <w:r w:rsidRPr="003A0655">
        <w:t>Déclaration du Président du Comité exécutif du Fonds multilatéral aux fins d</w:t>
      </w:r>
      <w:r w:rsidR="000B3BB8" w:rsidRPr="003A0655">
        <w:t>’</w:t>
      </w:r>
      <w:r w:rsidRPr="003A0655">
        <w:t>application du Protocole de Montréal sur les travaux du</w:t>
      </w:r>
      <w:r w:rsidR="00ED092B" w:rsidRPr="003A0655">
        <w:t> </w:t>
      </w:r>
      <w:r w:rsidRPr="003A0655">
        <w:t>Comité exécutif, du secrétariat du Fonds multilatéral et</w:t>
      </w:r>
      <w:r w:rsidR="00ED092B" w:rsidRPr="003A0655">
        <w:t> </w:t>
      </w:r>
      <w:r w:rsidRPr="003A0655">
        <w:t>des</w:t>
      </w:r>
      <w:r w:rsidR="00ED092B" w:rsidRPr="003A0655">
        <w:t> </w:t>
      </w:r>
      <w:r w:rsidR="00FE738D" w:rsidRPr="003A0655">
        <w:t>organismes d</w:t>
      </w:r>
      <w:r w:rsidR="000B3BB8" w:rsidRPr="003A0655">
        <w:t>’</w:t>
      </w:r>
      <w:r w:rsidR="00FE738D" w:rsidRPr="003A0655">
        <w:t>exécution</w:t>
      </w:r>
      <w:r w:rsidRPr="003A0655">
        <w:t xml:space="preserve"> du Fonds</w:t>
      </w:r>
      <w:r w:rsidR="00442E6F" w:rsidRPr="003A0655">
        <w:rPr>
          <w:rFonts w:eastAsia="Times New Roman"/>
          <w:b w:val="0"/>
          <w:bCs w:val="0"/>
          <w:lang w:eastAsia="en-US"/>
        </w:rPr>
        <w:footnoteReference w:customMarkFollows="1" w:id="6"/>
        <w:t>*</w:t>
      </w:r>
    </w:p>
    <w:p w14:paraId="0048B85B" w14:textId="3398379D" w:rsidR="0069471B" w:rsidRPr="003A0655" w:rsidRDefault="0069471B" w:rsidP="0069471B">
      <w:pPr>
        <w:pStyle w:val="NormalNonumber"/>
        <w:spacing w:before="240"/>
      </w:pPr>
      <w:r w:rsidRPr="003A0655">
        <w:footnoteReference w:customMarkFollows="1" w:id="7"/>
        <w:t xml:space="preserve">Monsieur le Président, Mesdames </w:t>
      </w:r>
      <w:r w:rsidR="00FE738D" w:rsidRPr="003A0655">
        <w:t xml:space="preserve">les représentantes, </w:t>
      </w:r>
      <w:r w:rsidRPr="003A0655">
        <w:t xml:space="preserve">Messieurs les </w:t>
      </w:r>
      <w:r w:rsidR="00FE738D" w:rsidRPr="003A0655">
        <w:t>représentants</w:t>
      </w:r>
      <w:r w:rsidRPr="003A0655">
        <w:t xml:space="preserve">, </w:t>
      </w:r>
    </w:p>
    <w:p w14:paraId="00D53342" w14:textId="4109820B" w:rsidR="0069471B" w:rsidRPr="003A0655" w:rsidRDefault="0069471B" w:rsidP="0069471B">
      <w:pPr>
        <w:pStyle w:val="NormalNonumber"/>
        <w:spacing w:before="120"/>
      </w:pPr>
      <w:r w:rsidRPr="003A0655">
        <w:t>Au nom du Comité exécutif du Fonds multilatéral, j</w:t>
      </w:r>
      <w:r w:rsidR="000B3BB8" w:rsidRPr="003A0655">
        <w:t>’</w:t>
      </w:r>
      <w:r w:rsidRPr="003A0655">
        <w:t>ai l</w:t>
      </w:r>
      <w:r w:rsidR="000B3BB8" w:rsidRPr="003A0655">
        <w:t>’</w:t>
      </w:r>
      <w:r w:rsidRPr="003A0655">
        <w:t>honneur de rendre compte aux Parties des progrès faits par le Comité exécutif depuis la trente-sixième Réunion des Parties, en 2024. Il convient de mentionner principalement deux décisions qui résultent de nombreuses années de discussions.</w:t>
      </w:r>
    </w:p>
    <w:p w14:paraId="0E1C274C" w14:textId="16DB2336" w:rsidR="0069471B" w:rsidRPr="003A0655" w:rsidRDefault="0069471B" w:rsidP="0069471B">
      <w:pPr>
        <w:pStyle w:val="NormalNonumber"/>
        <w:numPr>
          <w:ilvl w:val="0"/>
          <w:numId w:val="33"/>
        </w:numPr>
        <w:tabs>
          <w:tab w:val="clear" w:pos="1871"/>
          <w:tab w:val="left" w:pos="4990"/>
        </w:tabs>
        <w:spacing w:before="120"/>
        <w:ind w:left="1962" w:hanging="357"/>
      </w:pPr>
      <w:r w:rsidRPr="003A0655">
        <w:t xml:space="preserve">Premièrement, la mise en œuvre de </w:t>
      </w:r>
      <w:r w:rsidR="00FE738D" w:rsidRPr="003A0655">
        <w:t>l</w:t>
      </w:r>
      <w:r w:rsidR="000B3BB8" w:rsidRPr="003A0655">
        <w:t>’</w:t>
      </w:r>
      <w:r w:rsidR="00FE738D" w:rsidRPr="003A0655">
        <w:t xml:space="preserve">Amendement </w:t>
      </w:r>
      <w:r w:rsidRPr="003A0655">
        <w:t xml:space="preserve">de Kigali </w:t>
      </w:r>
      <w:r w:rsidR="00FE738D" w:rsidRPr="003A0655">
        <w:t>par l</w:t>
      </w:r>
      <w:r w:rsidR="000B3BB8" w:rsidRPr="003A0655">
        <w:t>’</w:t>
      </w:r>
      <w:r w:rsidR="00FE738D" w:rsidRPr="003A0655">
        <w:t>intermédiaire</w:t>
      </w:r>
      <w:r w:rsidRPr="003A0655">
        <w:t xml:space="preserve"> de l</w:t>
      </w:r>
      <w:r w:rsidR="000B3BB8" w:rsidRPr="003A0655">
        <w:t>’</w:t>
      </w:r>
      <w:r w:rsidRPr="003A0655">
        <w:t xml:space="preserve">accord </w:t>
      </w:r>
      <w:r w:rsidR="00FE738D" w:rsidRPr="003A0655">
        <w:t>relatif aux</w:t>
      </w:r>
      <w:r w:rsidRPr="003A0655">
        <w:t xml:space="preserve"> </w:t>
      </w:r>
      <w:r w:rsidR="0099167B" w:rsidRPr="003A0655">
        <w:t>directives</w:t>
      </w:r>
      <w:r w:rsidRPr="003A0655">
        <w:t xml:space="preserve"> sur les coûts de l</w:t>
      </w:r>
      <w:r w:rsidR="000B3BB8" w:rsidRPr="003A0655">
        <w:t>’</w:t>
      </w:r>
      <w:r w:rsidRPr="003A0655">
        <w:t>élimination progressive des HFC dans les Parties visées</w:t>
      </w:r>
      <w:r w:rsidR="00FE738D" w:rsidRPr="003A0655">
        <w:t xml:space="preserve"> à</w:t>
      </w:r>
      <w:r w:rsidRPr="003A0655">
        <w:t xml:space="preserve"> l</w:t>
      </w:r>
      <w:r w:rsidR="000B3BB8" w:rsidRPr="003A0655">
        <w:t>’</w:t>
      </w:r>
      <w:r w:rsidRPr="003A0655">
        <w:t xml:space="preserve">article 5 </w:t>
      </w:r>
      <w:r w:rsidR="00FE738D" w:rsidRPr="003A0655">
        <w:t>s</w:t>
      </w:r>
      <w:r w:rsidR="000B3BB8" w:rsidRPr="003A0655">
        <w:t>’</w:t>
      </w:r>
      <w:r w:rsidR="00FE738D" w:rsidRPr="003A0655">
        <w:t>agissant d</w:t>
      </w:r>
      <w:r w:rsidRPr="003A0655">
        <w:t>es surcoûts admissibles pour le secteur manufacturier, y</w:t>
      </w:r>
      <w:r w:rsidR="004F3404" w:rsidRPr="003A0655">
        <w:t> </w:t>
      </w:r>
      <w:r w:rsidRPr="003A0655">
        <w:t>compris son niveau de financement, ainsi que</w:t>
      </w:r>
      <w:r w:rsidR="0099167B" w:rsidRPr="003A0655">
        <w:t xml:space="preserve"> de l</w:t>
      </w:r>
      <w:r w:rsidR="000B3BB8" w:rsidRPr="003A0655">
        <w:t>’</w:t>
      </w:r>
      <w:r w:rsidR="0099167B" w:rsidRPr="003A0655">
        <w:t>accord</w:t>
      </w:r>
      <w:r w:rsidRPr="003A0655">
        <w:t xml:space="preserve"> sur le point de départ </w:t>
      </w:r>
      <w:r w:rsidR="0099167B" w:rsidRPr="003A0655">
        <w:t>retenu pour</w:t>
      </w:r>
      <w:r w:rsidR="004F3404" w:rsidRPr="003A0655">
        <w:t> </w:t>
      </w:r>
      <w:r w:rsidR="0099167B" w:rsidRPr="003A0655">
        <w:t xml:space="preserve">les </w:t>
      </w:r>
      <w:r w:rsidRPr="003A0655">
        <w:t>réductions globales durables de la consommation de HFC, en réponse à votre décision</w:t>
      </w:r>
      <w:r w:rsidR="004F3404" w:rsidRPr="003A0655">
        <w:t> </w:t>
      </w:r>
      <w:r w:rsidRPr="003A0655">
        <w:t>XXVIII/2 (28/2)</w:t>
      </w:r>
      <w:r w:rsidR="00F97C78" w:rsidRPr="003A0655">
        <w:t> </w:t>
      </w:r>
      <w:r w:rsidRPr="003A0655">
        <w:t xml:space="preserve">; </w:t>
      </w:r>
    </w:p>
    <w:p w14:paraId="691C58EC" w14:textId="7BE4871D" w:rsidR="0069471B" w:rsidRPr="003A0655" w:rsidRDefault="0069471B" w:rsidP="0069471B">
      <w:pPr>
        <w:pStyle w:val="NormalNonumber"/>
        <w:numPr>
          <w:ilvl w:val="0"/>
          <w:numId w:val="33"/>
        </w:numPr>
        <w:tabs>
          <w:tab w:val="clear" w:pos="1871"/>
          <w:tab w:val="left" w:pos="4990"/>
        </w:tabs>
        <w:spacing w:before="120"/>
        <w:ind w:left="1962" w:hanging="357"/>
      </w:pPr>
      <w:r w:rsidRPr="003A0655">
        <w:t>Deuxièmement, le cadre opérationnel du maintien et/ou de l</w:t>
      </w:r>
      <w:r w:rsidR="000B3BB8" w:rsidRPr="003A0655">
        <w:t>’</w:t>
      </w:r>
      <w:r w:rsidRPr="003A0655">
        <w:t>amélioration de l</w:t>
      </w:r>
      <w:r w:rsidR="000B3BB8" w:rsidRPr="003A0655">
        <w:t>’</w:t>
      </w:r>
      <w:r w:rsidRPr="003A0655">
        <w:t>efficacité énergétique des technologies et équipements de remplacement dans le secteur manufacturier dans le cadre de l</w:t>
      </w:r>
      <w:r w:rsidR="000B3BB8" w:rsidRPr="003A0655">
        <w:t>’</w:t>
      </w:r>
      <w:r w:rsidRPr="003A0655">
        <w:t xml:space="preserve">élimination progressive des HFC et les niveaux de financement de </w:t>
      </w:r>
      <w:r w:rsidR="006B203E" w:rsidRPr="003A0655">
        <w:t xml:space="preserve">ces </w:t>
      </w:r>
      <w:r w:rsidRPr="003A0655">
        <w:t xml:space="preserve">projets, y compris une modalité innovante de financement </w:t>
      </w:r>
      <w:proofErr w:type="spellStart"/>
      <w:r w:rsidRPr="003A0655">
        <w:t>autorenouvelable</w:t>
      </w:r>
      <w:proofErr w:type="spellEnd"/>
      <w:r w:rsidRPr="003A0655">
        <w:t xml:space="preserve"> pour les utilisateur</w:t>
      </w:r>
      <w:r w:rsidR="006B203E" w:rsidRPr="003A0655">
        <w:t>(</w:t>
      </w:r>
      <w:proofErr w:type="spellStart"/>
      <w:r w:rsidR="006B203E" w:rsidRPr="003A0655">
        <w:t>rice</w:t>
      </w:r>
      <w:proofErr w:type="spellEnd"/>
      <w:r w:rsidR="006B203E" w:rsidRPr="003A0655">
        <w:t>)</w:t>
      </w:r>
      <w:r w:rsidRPr="003A0655">
        <w:t>s finaux</w:t>
      </w:r>
      <w:r w:rsidR="006B203E" w:rsidRPr="003A0655">
        <w:t>(les)</w:t>
      </w:r>
      <w:r w:rsidRPr="003A0655">
        <w:t xml:space="preserve">. </w:t>
      </w:r>
    </w:p>
    <w:p w14:paraId="7F8C51BD" w14:textId="6058E9FB" w:rsidR="0069471B" w:rsidRPr="003A0655" w:rsidRDefault="0069471B" w:rsidP="0069471B">
      <w:pPr>
        <w:pStyle w:val="NormalNonumber"/>
        <w:spacing w:before="120"/>
      </w:pPr>
      <w:r w:rsidRPr="003A0655">
        <w:t>Le document 3</w:t>
      </w:r>
      <w:r w:rsidR="00383FB4" w:rsidRPr="003A0655">
        <w:t>7</w:t>
      </w:r>
      <w:r w:rsidRPr="003A0655">
        <w:t xml:space="preserve">/8 </w:t>
      </w:r>
      <w:r w:rsidR="006B203E" w:rsidRPr="003A0655">
        <w:t xml:space="preserve">offre </w:t>
      </w:r>
      <w:r w:rsidRPr="003A0655">
        <w:t>une description complète des délibérations et des résultats des travaux du Comité au cours de la période considérée, des décisions de politique générale</w:t>
      </w:r>
      <w:r w:rsidR="006B203E" w:rsidRPr="003A0655">
        <w:t xml:space="preserve"> adoptées</w:t>
      </w:r>
      <w:r w:rsidRPr="003A0655">
        <w:t>, des projets approuvés, de l</w:t>
      </w:r>
      <w:r w:rsidR="000B3BB8" w:rsidRPr="003A0655">
        <w:t>’</w:t>
      </w:r>
      <w:r w:rsidRPr="003A0655">
        <w:t>état d</w:t>
      </w:r>
      <w:r w:rsidR="000B3BB8" w:rsidRPr="003A0655">
        <w:t>’</w:t>
      </w:r>
      <w:r w:rsidRPr="003A0655">
        <w:t>avancement des projets en cours, ainsi que des questions relatives à la planification des activités, aux finances et à l</w:t>
      </w:r>
      <w:r w:rsidR="000B3BB8" w:rsidRPr="003A0655">
        <w:t>’</w:t>
      </w:r>
      <w:r w:rsidRPr="003A0655">
        <w:t>administration. Le bulletin d</w:t>
      </w:r>
      <w:r w:rsidR="000B3BB8" w:rsidRPr="003A0655">
        <w:t>’</w:t>
      </w:r>
      <w:r w:rsidRPr="003A0655">
        <w:t>information annuel du secrétariat du Fonds multilatéral donne également une vue d</w:t>
      </w:r>
      <w:r w:rsidR="000B3BB8" w:rsidRPr="003A0655">
        <w:t>’</w:t>
      </w:r>
      <w:r w:rsidRPr="003A0655">
        <w:t xml:space="preserve">ensemble des </w:t>
      </w:r>
      <w:r w:rsidR="006B203E" w:rsidRPr="003A0655">
        <w:t xml:space="preserve">résultats </w:t>
      </w:r>
      <w:r w:rsidRPr="003A0655">
        <w:t xml:space="preserve">de 2024. </w:t>
      </w:r>
    </w:p>
    <w:p w14:paraId="4528B11A" w14:textId="2BCD9E22" w:rsidR="0069471B" w:rsidRPr="003A0655" w:rsidRDefault="0069471B" w:rsidP="0069471B">
      <w:pPr>
        <w:pStyle w:val="NormalNonumber"/>
        <w:spacing w:before="120"/>
      </w:pPr>
      <w:r w:rsidRPr="003A0655">
        <w:t xml:space="preserve">Dans </w:t>
      </w:r>
      <w:r w:rsidR="006B203E" w:rsidRPr="003A0655">
        <w:t>mon exposé</w:t>
      </w:r>
      <w:r w:rsidRPr="003A0655">
        <w:t xml:space="preserve">, je vais vous </w:t>
      </w:r>
      <w:r w:rsidR="006B203E" w:rsidRPr="003A0655">
        <w:t xml:space="preserve">présenter </w:t>
      </w:r>
      <w:r w:rsidRPr="003A0655">
        <w:t xml:space="preserve">un aperçu de quelques décisions. </w:t>
      </w:r>
    </w:p>
    <w:p w14:paraId="451F0C96" w14:textId="5169E536" w:rsidR="0069471B" w:rsidRPr="003A0655" w:rsidRDefault="0069471B" w:rsidP="0069471B">
      <w:pPr>
        <w:pStyle w:val="NormalNonumber"/>
        <w:spacing w:before="120"/>
      </w:pPr>
      <w:r w:rsidRPr="003A0655">
        <w:t xml:space="preserve">Le Comité exécutif avait précédemment approuvé les principes et les niveaux de financement </w:t>
      </w:r>
      <w:r w:rsidR="006B203E" w:rsidRPr="003A0655">
        <w:t xml:space="preserve">concernant les </w:t>
      </w:r>
      <w:r w:rsidRPr="003A0655">
        <w:t>surcoûts admissibles pour le secteur de l</w:t>
      </w:r>
      <w:r w:rsidR="000B3BB8" w:rsidRPr="003A0655">
        <w:t>’</w:t>
      </w:r>
      <w:r w:rsidRPr="003A0655">
        <w:t>entretien des équipements de réfrigération pour la phase I des plans de mise en œuvre de l</w:t>
      </w:r>
      <w:r w:rsidR="000B3BB8" w:rsidRPr="003A0655">
        <w:t>’</w:t>
      </w:r>
      <w:r w:rsidRPr="003A0655">
        <w:t>Amendement de Kigali. À la 95</w:t>
      </w:r>
      <w:r w:rsidRPr="003A0655">
        <w:rPr>
          <w:vertAlign w:val="superscript"/>
        </w:rPr>
        <w:t>e</w:t>
      </w:r>
      <w:r w:rsidRPr="003A0655">
        <w:t xml:space="preserve"> réunion, le Comité est parvenu à un accord sur les directi</w:t>
      </w:r>
      <w:r w:rsidR="006B203E" w:rsidRPr="003A0655">
        <w:t>v</w:t>
      </w:r>
      <w:r w:rsidRPr="003A0655">
        <w:t xml:space="preserve">es </w:t>
      </w:r>
      <w:r w:rsidR="006B203E" w:rsidRPr="003A0655">
        <w:t>relatives aux</w:t>
      </w:r>
      <w:r w:rsidRPr="003A0655">
        <w:t xml:space="preserve"> coûts dans le secteur manufacturier et, à</w:t>
      </w:r>
      <w:r w:rsidR="00A4482B" w:rsidRPr="003A0655">
        <w:t> </w:t>
      </w:r>
      <w:r w:rsidRPr="003A0655">
        <w:t>la</w:t>
      </w:r>
      <w:r w:rsidR="00A4482B" w:rsidRPr="003A0655">
        <w:t> </w:t>
      </w:r>
      <w:r w:rsidRPr="003A0655">
        <w:t>96</w:t>
      </w:r>
      <w:r w:rsidRPr="003A0655">
        <w:rPr>
          <w:vertAlign w:val="superscript"/>
        </w:rPr>
        <w:t>e</w:t>
      </w:r>
      <w:r w:rsidR="00ED092B" w:rsidRPr="003A0655">
        <w:rPr>
          <w:vertAlign w:val="superscript"/>
        </w:rPr>
        <w:t> </w:t>
      </w:r>
      <w:r w:rsidRPr="003A0655">
        <w:t xml:space="preserve">réunion, sur le point de départ </w:t>
      </w:r>
      <w:r w:rsidR="005C06AC" w:rsidRPr="003A0655">
        <w:t xml:space="preserve">retenu pour </w:t>
      </w:r>
      <w:r w:rsidRPr="003A0655">
        <w:t>de</w:t>
      </w:r>
      <w:r w:rsidR="005C06AC" w:rsidRPr="003A0655">
        <w:t>s</w:t>
      </w:r>
      <w:r w:rsidRPr="003A0655">
        <w:t xml:space="preserve"> réductions globales durables. Ces décisions garantissent le financement et encouragent les pays à soumettre leurs plans. Ce processus donnant suite à votre décision XXVIII/2 (28/2) a conclu les négociations en cours depuis 2017. </w:t>
      </w:r>
    </w:p>
    <w:p w14:paraId="53329DAC" w14:textId="701BF912" w:rsidR="0069471B" w:rsidRPr="003A0655" w:rsidRDefault="0069471B" w:rsidP="0069471B">
      <w:pPr>
        <w:pStyle w:val="NormalNonumber"/>
        <w:spacing w:before="120"/>
      </w:pPr>
      <w:r w:rsidRPr="003A0655">
        <w:t>Les petites et moyennes entreprises (PME) ont été considérées comme prioritaires dans ces directi</w:t>
      </w:r>
      <w:r w:rsidR="00C12531" w:rsidRPr="003A0655">
        <w:t>v</w:t>
      </w:r>
      <w:r w:rsidRPr="003A0655">
        <w:t>es. Les PME des secteurs de la mousse de polyuréthane et de la réfrigération et climatisation peuvent recevoir un financement supplémentaire pour se conformer</w:t>
      </w:r>
      <w:r w:rsidR="005C06AC" w:rsidRPr="003A0655">
        <w:t xml:space="preserve"> aux dispositions</w:t>
      </w:r>
      <w:r w:rsidRPr="003A0655">
        <w:t>. Les directi</w:t>
      </w:r>
      <w:r w:rsidR="005C06AC" w:rsidRPr="003A0655">
        <w:t>v</w:t>
      </w:r>
      <w:r w:rsidRPr="003A0655">
        <w:t xml:space="preserve">es </w:t>
      </w:r>
      <w:r w:rsidR="005C06AC" w:rsidRPr="003A0655">
        <w:t xml:space="preserve">favorisent </w:t>
      </w:r>
      <w:r w:rsidRPr="003A0655">
        <w:t>une approche souple pilotée par les pays, permettant aux Parties visées à l</w:t>
      </w:r>
      <w:r w:rsidR="000B3BB8" w:rsidRPr="003A0655">
        <w:t>’</w:t>
      </w:r>
      <w:r w:rsidRPr="003A0655">
        <w:t>article 5 de donner la priorité aux HFC, de définir les secteurs</w:t>
      </w:r>
      <w:r w:rsidR="005C06AC" w:rsidRPr="003A0655">
        <w:t xml:space="preserve"> concernés</w:t>
      </w:r>
      <w:r w:rsidRPr="003A0655">
        <w:t>, de sélectionner les technologies et d</w:t>
      </w:r>
      <w:r w:rsidR="000B3BB8" w:rsidRPr="003A0655">
        <w:t>’</w:t>
      </w:r>
      <w:r w:rsidRPr="003A0655">
        <w:t>adapter les stratégies aux circonstances nationales.</w:t>
      </w:r>
    </w:p>
    <w:p w14:paraId="57D7BEC0" w14:textId="251F2DEE" w:rsidR="0069471B" w:rsidRPr="003A0655" w:rsidRDefault="0069471B" w:rsidP="0069471B">
      <w:pPr>
        <w:pStyle w:val="NormalNonumber"/>
        <w:spacing w:before="120"/>
      </w:pPr>
      <w:r w:rsidRPr="003A0655">
        <w:t>Le Comité a également approuvé le modèle d</w:t>
      </w:r>
      <w:r w:rsidR="000B3BB8" w:rsidRPr="003A0655">
        <w:t>’</w:t>
      </w:r>
      <w:r w:rsidRPr="003A0655">
        <w:t>accord avec les Parties visées à l</w:t>
      </w:r>
      <w:r w:rsidR="000B3BB8" w:rsidRPr="003A0655">
        <w:t>’</w:t>
      </w:r>
      <w:r w:rsidRPr="003A0655">
        <w:t xml:space="preserve">article 5 pour </w:t>
      </w:r>
      <w:r w:rsidR="005C06AC" w:rsidRPr="003A0655">
        <w:t xml:space="preserve">la </w:t>
      </w:r>
      <w:r w:rsidRPr="003A0655">
        <w:t>phase</w:t>
      </w:r>
      <w:r w:rsidR="00184341" w:rsidRPr="003A0655">
        <w:t> </w:t>
      </w:r>
      <w:r w:rsidRPr="003A0655">
        <w:t>I des plans de mise en œuvre de l</w:t>
      </w:r>
      <w:r w:rsidR="000B3BB8" w:rsidRPr="003A0655">
        <w:t>’</w:t>
      </w:r>
      <w:r w:rsidRPr="003A0655">
        <w:t xml:space="preserve">Amendement de Kigali et </w:t>
      </w:r>
      <w:r w:rsidR="005C06AC" w:rsidRPr="003A0655">
        <w:t xml:space="preserve">est </w:t>
      </w:r>
      <w:r w:rsidRPr="003A0655">
        <w:t xml:space="preserve">convenu de la vérification de la consommation de HFC pour les pays à faible consommation dont les phases </w:t>
      </w:r>
      <w:r w:rsidR="005C06AC" w:rsidRPr="003A0655">
        <w:t xml:space="preserve">avaient </w:t>
      </w:r>
      <w:r w:rsidRPr="003A0655">
        <w:t xml:space="preserve">été approuvées. Les polyols </w:t>
      </w:r>
      <w:proofErr w:type="spellStart"/>
      <w:r w:rsidRPr="003A0655">
        <w:t>prémélangés</w:t>
      </w:r>
      <w:proofErr w:type="spellEnd"/>
      <w:r w:rsidRPr="003A0655">
        <w:t xml:space="preserve"> importés dans le secteur des mousses de polyuréthane peuvent également être inclus dans le financement au titre de la phase I des plans de mise en </w:t>
      </w:r>
      <w:r w:rsidR="00CF7BF3" w:rsidRPr="003A0655">
        <w:t>œuvre</w:t>
      </w:r>
      <w:r w:rsidRPr="003A0655">
        <w:t xml:space="preserve"> de l</w:t>
      </w:r>
      <w:r w:rsidR="000B3BB8" w:rsidRPr="003A0655">
        <w:t>’</w:t>
      </w:r>
      <w:r w:rsidRPr="003A0655">
        <w:t>Amendement de Kigali aux fins de leur élimination complète et le financement de la consommation des HFC dans le sous-secteur de l</w:t>
      </w:r>
      <w:r w:rsidR="000B3BB8" w:rsidRPr="003A0655">
        <w:t>’</w:t>
      </w:r>
      <w:r w:rsidRPr="003A0655">
        <w:t>installation et de l</w:t>
      </w:r>
      <w:r w:rsidR="000B3BB8" w:rsidRPr="003A0655">
        <w:t>’</w:t>
      </w:r>
      <w:r w:rsidRPr="003A0655">
        <w:t>assemblage au niveau local sera décidé au cas par cas.</w:t>
      </w:r>
    </w:p>
    <w:p w14:paraId="0ABDC1D7" w14:textId="48E2912C" w:rsidR="0069471B" w:rsidRPr="003A0655" w:rsidRDefault="0069471B" w:rsidP="0069471B">
      <w:pPr>
        <w:pStyle w:val="NormalNonumber"/>
        <w:spacing w:before="120"/>
      </w:pPr>
      <w:r w:rsidRPr="003A0655">
        <w:t>En ce qui concerne l</w:t>
      </w:r>
      <w:r w:rsidR="000B3BB8" w:rsidRPr="003A0655">
        <w:t>’</w:t>
      </w:r>
      <w:r w:rsidRPr="003A0655">
        <w:t>élimination, le Comité a déjà pris plusieurs décisions et continuera à examiner la question</w:t>
      </w:r>
      <w:r w:rsidR="005C06AC" w:rsidRPr="003A0655">
        <w:t>,</w:t>
      </w:r>
      <w:r w:rsidRPr="003A0655">
        <w:t xml:space="preserve"> à sa 97</w:t>
      </w:r>
      <w:r w:rsidRPr="003A0655">
        <w:rPr>
          <w:vertAlign w:val="superscript"/>
        </w:rPr>
        <w:t>e</w:t>
      </w:r>
      <w:r w:rsidRPr="003A0655">
        <w:t xml:space="preserve"> réunion</w:t>
      </w:r>
      <w:r w:rsidR="005C06AC" w:rsidRPr="003A0655">
        <w:t>,</w:t>
      </w:r>
      <w:r w:rsidRPr="003A0655">
        <w:t xml:space="preserve"> dans le cadre des débats sur la gestion du cycle de vie des réfrigérants conformément à la décision XXXV/11 (35/11).</w:t>
      </w:r>
    </w:p>
    <w:p w14:paraId="2CC212C6" w14:textId="3706DE23" w:rsidR="0069471B" w:rsidRPr="003A0655" w:rsidRDefault="0069471B" w:rsidP="0069471B">
      <w:pPr>
        <w:pStyle w:val="NormalNonumber"/>
        <w:spacing w:before="120"/>
      </w:pPr>
      <w:r w:rsidRPr="003A0655">
        <w:t>Après la décision capitale sur le cadre opérationnel visant à améliorer l</w:t>
      </w:r>
      <w:r w:rsidR="000B3BB8" w:rsidRPr="003A0655">
        <w:t>’</w:t>
      </w:r>
      <w:r w:rsidRPr="003A0655">
        <w:t>efficacité énergétique dans le cadre de l</w:t>
      </w:r>
      <w:r w:rsidR="000B3BB8" w:rsidRPr="003A0655">
        <w:t>’</w:t>
      </w:r>
      <w:r w:rsidRPr="003A0655">
        <w:t>élimination progressive des HFC, adoptée à la 94</w:t>
      </w:r>
      <w:r w:rsidRPr="003A0655">
        <w:rPr>
          <w:vertAlign w:val="superscript"/>
        </w:rPr>
        <w:t>e</w:t>
      </w:r>
      <w:r w:rsidRPr="003A0655">
        <w:t xml:space="preserve"> réunion, le Comité a approuvé</w:t>
      </w:r>
      <w:r w:rsidR="005C06AC" w:rsidRPr="003A0655">
        <w:t>,</w:t>
      </w:r>
      <w:r w:rsidRPr="003A0655">
        <w:t xml:space="preserve"> à sa 95</w:t>
      </w:r>
      <w:r w:rsidRPr="003A0655">
        <w:rPr>
          <w:vertAlign w:val="superscript"/>
        </w:rPr>
        <w:t>e</w:t>
      </w:r>
      <w:r w:rsidR="005923A3" w:rsidRPr="003A0655">
        <w:rPr>
          <w:vertAlign w:val="superscript"/>
        </w:rPr>
        <w:t> </w:t>
      </w:r>
      <w:r w:rsidRPr="003A0655">
        <w:t>réunion</w:t>
      </w:r>
      <w:r w:rsidR="005C06AC" w:rsidRPr="003A0655">
        <w:t>,</w:t>
      </w:r>
      <w:r w:rsidRPr="003A0655">
        <w:t xml:space="preserve"> un mécanisme innovant de fonds </w:t>
      </w:r>
      <w:proofErr w:type="spellStart"/>
      <w:r w:rsidRPr="003A0655">
        <w:t>autorenouvelables</w:t>
      </w:r>
      <w:proofErr w:type="spellEnd"/>
      <w:r w:rsidRPr="003A0655">
        <w:t xml:space="preserve"> doté d</w:t>
      </w:r>
      <w:r w:rsidR="000B3BB8" w:rsidRPr="003A0655">
        <w:t>’</w:t>
      </w:r>
      <w:r w:rsidRPr="003A0655">
        <w:t>un guichet de financement de 40</w:t>
      </w:r>
      <w:r w:rsidR="00A72E88" w:rsidRPr="003A0655">
        <w:t> </w:t>
      </w:r>
      <w:r w:rsidRPr="003A0655">
        <w:t xml:space="preserve">millions de dollars </w:t>
      </w:r>
      <w:r w:rsidR="005C06AC" w:rsidRPr="003A0655">
        <w:t xml:space="preserve">des </w:t>
      </w:r>
      <w:r w:rsidRPr="003A0655">
        <w:t>É</w:t>
      </w:r>
      <w:r w:rsidR="005C06AC" w:rsidRPr="003A0655">
        <w:t>tats</w:t>
      </w:r>
      <w:r w:rsidRPr="003A0655">
        <w:t>-U</w:t>
      </w:r>
      <w:r w:rsidR="005C06AC" w:rsidRPr="003A0655">
        <w:t>nis</w:t>
      </w:r>
      <w:r w:rsidRPr="003A0655">
        <w:t>. Ce guichet soutiendra deux projets pilotes dans les Parties visées à l</w:t>
      </w:r>
      <w:r w:rsidR="000B3BB8" w:rsidRPr="003A0655">
        <w:t>’</w:t>
      </w:r>
      <w:r w:rsidRPr="003A0655">
        <w:t xml:space="preserve">article 5, conçus pour créer des fonds </w:t>
      </w:r>
      <w:proofErr w:type="spellStart"/>
      <w:r w:rsidRPr="003A0655">
        <w:t>autorenouvelables</w:t>
      </w:r>
      <w:proofErr w:type="spellEnd"/>
      <w:r w:rsidRPr="003A0655">
        <w:t xml:space="preserve"> pour les utilisateur</w:t>
      </w:r>
      <w:r w:rsidR="005C06AC" w:rsidRPr="003A0655">
        <w:t>(</w:t>
      </w:r>
      <w:proofErr w:type="spellStart"/>
      <w:r w:rsidR="005C06AC" w:rsidRPr="003A0655">
        <w:t>rice</w:t>
      </w:r>
      <w:proofErr w:type="spellEnd"/>
      <w:r w:rsidR="005C06AC" w:rsidRPr="003A0655">
        <w:t>)</w:t>
      </w:r>
      <w:r w:rsidRPr="003A0655">
        <w:t>s finaux</w:t>
      </w:r>
      <w:r w:rsidR="005C06AC" w:rsidRPr="003A0655">
        <w:t>(les)</w:t>
      </w:r>
      <w:r w:rsidRPr="003A0655">
        <w:t xml:space="preserve"> de l</w:t>
      </w:r>
      <w:r w:rsidR="000B3BB8" w:rsidRPr="003A0655">
        <w:t>’</w:t>
      </w:r>
      <w:r w:rsidRPr="003A0655">
        <w:t>efficacité énergétique. Ce mécanisme prévoit que les remboursements des bénéficiaires reconstitueront les fonds, garantissant un cycle supplémentaire d</w:t>
      </w:r>
      <w:r w:rsidR="000B3BB8" w:rsidRPr="003A0655">
        <w:t>’</w:t>
      </w:r>
      <w:r w:rsidRPr="003A0655">
        <w:t>appui financier à d</w:t>
      </w:r>
      <w:r w:rsidR="000B3BB8" w:rsidRPr="003A0655">
        <w:t>’</w:t>
      </w:r>
      <w:r w:rsidRPr="003A0655">
        <w:t xml:space="preserve">autres bénéficiaires. Prévus pour une période de huit ans, les projets pilotes finiront par restituer les fonds au Fonds multilatéral, </w:t>
      </w:r>
      <w:r w:rsidR="005C06AC" w:rsidRPr="003A0655">
        <w:t xml:space="preserve">et </w:t>
      </w:r>
      <w:r w:rsidRPr="003A0655">
        <w:t>optimis</w:t>
      </w:r>
      <w:r w:rsidR="005C06AC" w:rsidRPr="003A0655">
        <w:t>ero</w:t>
      </w:r>
      <w:r w:rsidRPr="003A0655">
        <w:t xml:space="preserve">nt </w:t>
      </w:r>
      <w:r w:rsidR="005C06AC" w:rsidRPr="003A0655">
        <w:t xml:space="preserve">ainsi </w:t>
      </w:r>
      <w:r w:rsidRPr="003A0655">
        <w:t>les effets de l</w:t>
      </w:r>
      <w:r w:rsidR="000B3BB8" w:rsidRPr="003A0655">
        <w:t>’</w:t>
      </w:r>
      <w:r w:rsidRPr="003A0655">
        <w:t>investissement initial. La sélection de ces deux</w:t>
      </w:r>
      <w:r w:rsidR="00DC7F2F" w:rsidRPr="003A0655">
        <w:t> </w:t>
      </w:r>
      <w:r w:rsidRPr="003A0655">
        <w:t>projets pilotes se fera l</w:t>
      </w:r>
      <w:r w:rsidR="000B3BB8" w:rsidRPr="003A0655">
        <w:t>’</w:t>
      </w:r>
      <w:r w:rsidRPr="003A0655">
        <w:t>an prochain, à la 98</w:t>
      </w:r>
      <w:r w:rsidRPr="003A0655">
        <w:rPr>
          <w:vertAlign w:val="superscript"/>
        </w:rPr>
        <w:t>e</w:t>
      </w:r>
      <w:r w:rsidRPr="003A0655">
        <w:t xml:space="preserve"> réunion du Comité exécutif. </w:t>
      </w:r>
    </w:p>
    <w:p w14:paraId="2C56FC37" w14:textId="4686A071" w:rsidR="0069471B" w:rsidRPr="003A0655" w:rsidRDefault="0069471B" w:rsidP="0069471B">
      <w:pPr>
        <w:pStyle w:val="NormalNonumber"/>
        <w:spacing w:before="120"/>
      </w:pPr>
      <w:r w:rsidRPr="003A0655">
        <w:t>Des sessions d</w:t>
      </w:r>
      <w:r w:rsidR="000B3BB8" w:rsidRPr="003A0655">
        <w:t>’</w:t>
      </w:r>
      <w:r w:rsidRPr="003A0655">
        <w:t>une demi-journée sur les approches stratégiques pour la mise en œuvre de l</w:t>
      </w:r>
      <w:r w:rsidR="000B3BB8" w:rsidRPr="003A0655">
        <w:t>’</w:t>
      </w:r>
      <w:r w:rsidRPr="003A0655">
        <w:t>Amendement de Kigali et la contribution au refroidissement durable dans le cadre du Fonds multilatéral ont été organisées en marge des 95</w:t>
      </w:r>
      <w:r w:rsidRPr="003A0655">
        <w:rPr>
          <w:vertAlign w:val="superscript"/>
        </w:rPr>
        <w:t>e</w:t>
      </w:r>
      <w:r w:rsidRPr="003A0655">
        <w:t xml:space="preserve"> et 96</w:t>
      </w:r>
      <w:r w:rsidRPr="003A0655">
        <w:rPr>
          <w:vertAlign w:val="superscript"/>
        </w:rPr>
        <w:t>e</w:t>
      </w:r>
      <w:r w:rsidRPr="003A0655">
        <w:t xml:space="preserve"> réunions afin de trouver des moyens efficaces par lesquels le Fonds </w:t>
      </w:r>
      <w:r w:rsidR="002F15BD" w:rsidRPr="003A0655">
        <w:t xml:space="preserve">pourrait </w:t>
      </w:r>
      <w:r w:rsidRPr="003A0655">
        <w:t xml:space="preserve">appuyer des actions allant au-delà </w:t>
      </w:r>
      <w:r w:rsidR="002F15BD" w:rsidRPr="003A0655">
        <w:t>de l</w:t>
      </w:r>
      <w:r w:rsidR="000B3BB8" w:rsidRPr="003A0655">
        <w:t>’</w:t>
      </w:r>
      <w:r w:rsidR="002F15BD" w:rsidRPr="003A0655">
        <w:t>application</w:t>
      </w:r>
      <w:r w:rsidRPr="003A0655">
        <w:t xml:space="preserve"> de l</w:t>
      </w:r>
      <w:r w:rsidR="000B3BB8" w:rsidRPr="003A0655">
        <w:t>’</w:t>
      </w:r>
      <w:r w:rsidRPr="003A0655">
        <w:t>Amendement de Kigali. La question sera examinée plus avant sur la base d</w:t>
      </w:r>
      <w:r w:rsidR="000B3BB8" w:rsidRPr="003A0655">
        <w:t>’</w:t>
      </w:r>
      <w:r w:rsidRPr="003A0655">
        <w:t>un document établi par le secrétariat du Fonds à la 98</w:t>
      </w:r>
      <w:r w:rsidRPr="003A0655">
        <w:rPr>
          <w:vertAlign w:val="superscript"/>
        </w:rPr>
        <w:t>e</w:t>
      </w:r>
      <w:r w:rsidRPr="003A0655">
        <w:t xml:space="preserve"> réunion du Comité exécutif. </w:t>
      </w:r>
    </w:p>
    <w:p w14:paraId="20168BFF" w14:textId="5385DF52" w:rsidR="0069471B" w:rsidRPr="003A0655" w:rsidRDefault="0069471B" w:rsidP="0069471B">
      <w:pPr>
        <w:pStyle w:val="NormalNonumber"/>
        <w:spacing w:before="120"/>
      </w:pPr>
      <w:r w:rsidRPr="003A0655">
        <w:t>Lors de la même réunion, les défis liés aux questions de chaîne d</w:t>
      </w:r>
      <w:r w:rsidR="000B3BB8" w:rsidRPr="003A0655">
        <w:t>’</w:t>
      </w:r>
      <w:r w:rsidRPr="003A0655">
        <w:t>approvisionnement qui deviennent plus évidentes lors de la mise en œuvre des projets seront également examinés de manière plus approfondie sur la base d</w:t>
      </w:r>
      <w:r w:rsidR="000B3BB8" w:rsidRPr="003A0655">
        <w:t>’</w:t>
      </w:r>
      <w:r w:rsidRPr="003A0655">
        <w:t xml:space="preserve">un document préparé par le secrétariat du Fonds. </w:t>
      </w:r>
    </w:p>
    <w:p w14:paraId="1C056A17" w14:textId="103C87BF" w:rsidR="0069471B" w:rsidRPr="003A0655" w:rsidRDefault="0069471B" w:rsidP="0069471B">
      <w:pPr>
        <w:pStyle w:val="NormalNonumber"/>
        <w:spacing w:before="120"/>
      </w:pPr>
      <w:r w:rsidRPr="003A0655">
        <w:t>Lors de sa 96</w:t>
      </w:r>
      <w:r w:rsidR="000B3BB8" w:rsidRPr="003A0655">
        <w:rPr>
          <w:vertAlign w:val="superscript"/>
        </w:rPr>
        <w:t>e</w:t>
      </w:r>
      <w:r w:rsidRPr="003A0655">
        <w:t xml:space="preserve"> réunion, le Comité a également décidé d</w:t>
      </w:r>
      <w:r w:rsidR="000B3BB8" w:rsidRPr="003A0655">
        <w:t>’</w:t>
      </w:r>
      <w:r w:rsidRPr="003A0655">
        <w:t>envisager de créer</w:t>
      </w:r>
      <w:r w:rsidR="002F15BD" w:rsidRPr="003A0655">
        <w:t>,</w:t>
      </w:r>
      <w:r w:rsidRPr="003A0655">
        <w:t xml:space="preserve"> à la 98</w:t>
      </w:r>
      <w:r w:rsidR="000B3BB8" w:rsidRPr="003A0655">
        <w:rPr>
          <w:vertAlign w:val="superscript"/>
        </w:rPr>
        <w:t>e</w:t>
      </w:r>
      <w:r w:rsidRPr="003A0655">
        <w:rPr>
          <w:vertAlign w:val="superscript"/>
        </w:rPr>
        <w:t xml:space="preserve"> </w:t>
      </w:r>
      <w:r w:rsidRPr="003A0655">
        <w:t>réunion</w:t>
      </w:r>
      <w:r w:rsidR="002F15BD" w:rsidRPr="003A0655">
        <w:t>,</w:t>
      </w:r>
      <w:r w:rsidRPr="003A0655">
        <w:t xml:space="preserve"> un guichet de financement pour trois projets pilotes visant à améliorer la surveillance atmosphérique régionale des substances réglementées par le Protocole de Montréal et demandé au </w:t>
      </w:r>
      <w:r w:rsidR="002F15BD" w:rsidRPr="003A0655">
        <w:t xml:space="preserve">Secrétariat </w:t>
      </w:r>
      <w:r w:rsidRPr="003A0655">
        <w:t>d</w:t>
      </w:r>
      <w:r w:rsidR="000B3BB8" w:rsidRPr="003A0655">
        <w:t>’</w:t>
      </w:r>
      <w:r w:rsidRPr="003A0655">
        <w:t>établir un projet de directi</w:t>
      </w:r>
      <w:r w:rsidR="002F15BD" w:rsidRPr="003A0655">
        <w:t>v</w:t>
      </w:r>
      <w:r w:rsidRPr="003A0655">
        <w:t>es pour la préparation et la mise en œuvre de ces projets pilotes. Ce sujet a fait l</w:t>
      </w:r>
      <w:r w:rsidR="000B3BB8" w:rsidRPr="003A0655">
        <w:t>’</w:t>
      </w:r>
      <w:r w:rsidRPr="003A0655">
        <w:t>objet de longues discussions lors du débat préparatoire de la présente réunion, ce qui montre le niveau de collaboration existant entre les différentes institutions chargées des traités sur l</w:t>
      </w:r>
      <w:r w:rsidR="000B3BB8" w:rsidRPr="003A0655">
        <w:t>’</w:t>
      </w:r>
      <w:r w:rsidRPr="003A0655">
        <w:t xml:space="preserve">ozone. </w:t>
      </w:r>
    </w:p>
    <w:p w14:paraId="16C3AD87" w14:textId="246E105A" w:rsidR="0069471B" w:rsidRPr="003A0655" w:rsidRDefault="0069471B" w:rsidP="0069471B">
      <w:pPr>
        <w:pStyle w:val="NormalNonumber"/>
        <w:spacing w:before="120"/>
      </w:pPr>
      <w:r w:rsidRPr="003A0655">
        <w:t xml:space="preserve">Monsieur le Président, Mesdames </w:t>
      </w:r>
      <w:r w:rsidR="002F15BD" w:rsidRPr="003A0655">
        <w:t>les représentantes,</w:t>
      </w:r>
      <w:r w:rsidRPr="003A0655">
        <w:t xml:space="preserve"> Messieurs les </w:t>
      </w:r>
      <w:r w:rsidR="002F15BD" w:rsidRPr="003A0655">
        <w:t>représentants</w:t>
      </w:r>
      <w:r w:rsidRPr="003A0655">
        <w:t xml:space="preserve">, </w:t>
      </w:r>
    </w:p>
    <w:p w14:paraId="6BE4DE38" w14:textId="1FAD97B3" w:rsidR="0069471B" w:rsidRPr="003A0655" w:rsidRDefault="0069471B" w:rsidP="0069471B">
      <w:pPr>
        <w:pStyle w:val="NormalNonumber"/>
        <w:spacing w:before="120"/>
      </w:pPr>
      <w:r w:rsidRPr="003A0655">
        <w:t>Au cours de la période considérée, nous avons approuvé des projets à hauteur de 136,5</w:t>
      </w:r>
      <w:r w:rsidR="000B3BB8" w:rsidRPr="003A0655">
        <w:t> </w:t>
      </w:r>
      <w:r w:rsidRPr="003A0655">
        <w:t xml:space="preserve">millions de dollars </w:t>
      </w:r>
      <w:r w:rsidR="002F15BD" w:rsidRPr="003A0655">
        <w:t>des États-Unis</w:t>
      </w:r>
      <w:r w:rsidRPr="003A0655">
        <w:t>. Notre réussite dépend des résultats obtenus sur le terrain et de la capacité de</w:t>
      </w:r>
      <w:r w:rsidR="002F15BD" w:rsidRPr="003A0655">
        <w:t>s</w:t>
      </w:r>
      <w:r w:rsidRPr="003A0655">
        <w:t xml:space="preserve"> </w:t>
      </w:r>
      <w:r w:rsidR="002F15BD" w:rsidRPr="003A0655">
        <w:t>bénéficiaires</w:t>
      </w:r>
      <w:r w:rsidRPr="003A0655">
        <w:t xml:space="preserve"> de ces fonds à s</w:t>
      </w:r>
      <w:r w:rsidR="000B3BB8" w:rsidRPr="003A0655">
        <w:t>’</w:t>
      </w:r>
      <w:r w:rsidRPr="003A0655">
        <w:t>adapter aux objectifs environnementaux de nos traités avec le moins d</w:t>
      </w:r>
      <w:r w:rsidR="000B3BB8" w:rsidRPr="003A0655">
        <w:t>’</w:t>
      </w:r>
      <w:r w:rsidRPr="003A0655">
        <w:t>incidences financières et sociales possible</w:t>
      </w:r>
      <w:r w:rsidR="002F15BD" w:rsidRPr="003A0655">
        <w:t xml:space="preserve">s. </w:t>
      </w:r>
      <w:r w:rsidRPr="003A0655">
        <w:t>C</w:t>
      </w:r>
      <w:r w:rsidR="000B3BB8" w:rsidRPr="003A0655">
        <w:t>’</w:t>
      </w:r>
      <w:r w:rsidRPr="003A0655">
        <w:t>est donc le moment de remercier le PNUD, le PNUE, l</w:t>
      </w:r>
      <w:r w:rsidR="000B3BB8" w:rsidRPr="003A0655">
        <w:t>’</w:t>
      </w:r>
      <w:r w:rsidRPr="003A0655">
        <w:t xml:space="preserve">ONUDI et la Banque mondiale mais aussi les </w:t>
      </w:r>
      <w:r w:rsidR="00AD7449" w:rsidRPr="003A0655">
        <w:t>organismes</w:t>
      </w:r>
      <w:r w:rsidR="002F15BD" w:rsidRPr="003A0655">
        <w:t xml:space="preserve"> </w:t>
      </w:r>
      <w:r w:rsidRPr="003A0655">
        <w:t>bilatéra</w:t>
      </w:r>
      <w:r w:rsidR="00AD7449" w:rsidRPr="003A0655">
        <w:t>ux</w:t>
      </w:r>
      <w:r w:rsidRPr="003A0655">
        <w:t xml:space="preserve"> pour le</w:t>
      </w:r>
      <w:r w:rsidR="002F15BD" w:rsidRPr="003A0655">
        <w:t>s</w:t>
      </w:r>
      <w:r w:rsidRPr="003A0655">
        <w:t xml:space="preserve"> </w:t>
      </w:r>
      <w:r w:rsidR="002F15BD" w:rsidRPr="003A0655">
        <w:t xml:space="preserve">travaux </w:t>
      </w:r>
      <w:r w:rsidRPr="003A0655">
        <w:t>qu</w:t>
      </w:r>
      <w:r w:rsidR="000B3BB8" w:rsidRPr="003A0655">
        <w:t>’</w:t>
      </w:r>
      <w:r w:rsidRPr="003A0655">
        <w:t xml:space="preserve">ils </w:t>
      </w:r>
      <w:r w:rsidR="002F15BD" w:rsidRPr="003A0655">
        <w:t>mènent</w:t>
      </w:r>
      <w:r w:rsidRPr="003A0655">
        <w:t xml:space="preserve"> avec les pays. </w:t>
      </w:r>
    </w:p>
    <w:p w14:paraId="462E03CD" w14:textId="48744834" w:rsidR="0069471B" w:rsidRPr="003A0655" w:rsidRDefault="0069471B" w:rsidP="0069471B">
      <w:pPr>
        <w:pStyle w:val="NormalNonumber"/>
        <w:spacing w:before="120"/>
      </w:pPr>
      <w:r w:rsidRPr="003A0655">
        <w:t>Le PNUD fournit un appui technique à 47</w:t>
      </w:r>
      <w:r w:rsidR="00466E0C" w:rsidRPr="003A0655">
        <w:t> </w:t>
      </w:r>
      <w:r w:rsidRPr="003A0655">
        <w:t>pays</w:t>
      </w:r>
      <w:r w:rsidR="002F15BD" w:rsidRPr="003A0655">
        <w:t xml:space="preserve"> pour </w:t>
      </w:r>
      <w:r w:rsidRPr="003A0655">
        <w:t>les aid</w:t>
      </w:r>
      <w:r w:rsidR="002F15BD" w:rsidRPr="003A0655">
        <w:t>er</w:t>
      </w:r>
      <w:r w:rsidRPr="003A0655">
        <w:t xml:space="preserve"> à atteindre leurs objectifs liés aux HCFC au titre du Protocole de Montréal. Il a aidé 34</w:t>
      </w:r>
      <w:r w:rsidR="00466E0C" w:rsidRPr="003A0655">
        <w:t> </w:t>
      </w:r>
      <w:r w:rsidRPr="003A0655">
        <w:t xml:space="preserve">pays à établir leurs plans de mise en </w:t>
      </w:r>
      <w:r w:rsidR="00CF7BF3" w:rsidRPr="003A0655">
        <w:t>œuvre</w:t>
      </w:r>
      <w:r w:rsidRPr="003A0655">
        <w:t xml:space="preserve"> de l</w:t>
      </w:r>
      <w:r w:rsidR="000B3BB8" w:rsidRPr="003A0655">
        <w:t>’</w:t>
      </w:r>
      <w:r w:rsidRPr="003A0655">
        <w:t>Amendement de Kigali, dont 22 ont déjà été soumis, tout en renforçant les capacités des Parties visées à l</w:t>
      </w:r>
      <w:r w:rsidR="000B3BB8" w:rsidRPr="003A0655">
        <w:t>’</w:t>
      </w:r>
      <w:r w:rsidRPr="003A0655">
        <w:t>article 5 à l</w:t>
      </w:r>
      <w:r w:rsidR="000B3BB8" w:rsidRPr="003A0655">
        <w:t>’</w:t>
      </w:r>
      <w:r w:rsidRPr="003A0655">
        <w:t>appui de l</w:t>
      </w:r>
      <w:r w:rsidR="000B3BB8" w:rsidRPr="003A0655">
        <w:t>’</w:t>
      </w:r>
      <w:r w:rsidRPr="003A0655">
        <w:t>Amendement de Kigali. L</w:t>
      </w:r>
      <w:r w:rsidR="000B3BB8" w:rsidRPr="003A0655">
        <w:t>’</w:t>
      </w:r>
      <w:r w:rsidRPr="003A0655">
        <w:t>organisme a reçu une approbation concernant la préparation d</w:t>
      </w:r>
      <w:r w:rsidR="000B3BB8" w:rsidRPr="003A0655">
        <w:t>’</w:t>
      </w:r>
      <w:r w:rsidRPr="003A0655">
        <w:t xml:space="preserve">un fonds </w:t>
      </w:r>
      <w:proofErr w:type="spellStart"/>
      <w:r w:rsidRPr="003A0655">
        <w:t>autorenouvelable</w:t>
      </w:r>
      <w:proofErr w:type="spellEnd"/>
      <w:r w:rsidRPr="003A0655">
        <w:t xml:space="preserve"> visant à promouvoir l</w:t>
      </w:r>
      <w:r w:rsidR="000B3BB8" w:rsidRPr="003A0655">
        <w:t>’</w:t>
      </w:r>
      <w:r w:rsidRPr="003A0655">
        <w:t>efficacité énergétique pour les utilisateur</w:t>
      </w:r>
      <w:r w:rsidR="002F15BD" w:rsidRPr="003A0655">
        <w:t>(</w:t>
      </w:r>
      <w:proofErr w:type="spellStart"/>
      <w:r w:rsidR="002F15BD" w:rsidRPr="003A0655">
        <w:t>rice</w:t>
      </w:r>
      <w:proofErr w:type="spellEnd"/>
      <w:r w:rsidR="002F15BD" w:rsidRPr="003A0655">
        <w:t>)</w:t>
      </w:r>
      <w:r w:rsidRPr="003A0655">
        <w:t>s finaux</w:t>
      </w:r>
      <w:r w:rsidR="002F15BD" w:rsidRPr="003A0655">
        <w:t>(les)</w:t>
      </w:r>
      <w:r w:rsidRPr="003A0655">
        <w:t xml:space="preserve"> dans le secteur du tourisme en Colombie, au Ghana et en Jordanie. </w:t>
      </w:r>
      <w:r w:rsidR="002F15BD" w:rsidRPr="003A0655">
        <w:t>Ses activités ont</w:t>
      </w:r>
      <w:r w:rsidRPr="003A0655">
        <w:t xml:space="preserve"> également permis d</w:t>
      </w:r>
      <w:r w:rsidR="000B3BB8" w:rsidRPr="003A0655">
        <w:t>’</w:t>
      </w:r>
      <w:r w:rsidRPr="003A0655">
        <w:t>accroître la participation des femmes aux cours et aux réunions organisés dans le cadre du Protocole de Montréal.</w:t>
      </w:r>
    </w:p>
    <w:p w14:paraId="6E54BA3E" w14:textId="530844FD" w:rsidR="0069471B" w:rsidRPr="003A0655" w:rsidRDefault="0069471B" w:rsidP="001C252C">
      <w:pPr>
        <w:pStyle w:val="NormalNonumber"/>
        <w:spacing w:before="120"/>
      </w:pPr>
      <w:r w:rsidRPr="003A0655">
        <w:t>Le PNUE aide 101</w:t>
      </w:r>
      <w:r w:rsidR="00466E0C" w:rsidRPr="003A0655">
        <w:t> </w:t>
      </w:r>
      <w:r w:rsidRPr="003A0655">
        <w:t xml:space="preserve">pays à renforcer leurs institutions, à établir des politiques, à fixer des quotas et à communiquer des données. Il a concouru au respect </w:t>
      </w:r>
      <w:r w:rsidR="00AD7449" w:rsidRPr="003A0655">
        <w:t>des dispositions</w:t>
      </w:r>
      <w:r w:rsidRPr="003A0655">
        <w:t xml:space="preserve"> au moyens de réseaux régionaux et d</w:t>
      </w:r>
      <w:r w:rsidR="000B3BB8" w:rsidRPr="003A0655">
        <w:t>’</w:t>
      </w:r>
      <w:r w:rsidRPr="003A0655">
        <w:t>outils d</w:t>
      </w:r>
      <w:r w:rsidR="000B3BB8" w:rsidRPr="003A0655">
        <w:t>’</w:t>
      </w:r>
      <w:r w:rsidRPr="003A0655">
        <w:t>échange d</w:t>
      </w:r>
      <w:r w:rsidR="000B3BB8" w:rsidRPr="003A0655">
        <w:t>’</w:t>
      </w:r>
      <w:r w:rsidRPr="003A0655">
        <w:t>informations. Il a aidé 102</w:t>
      </w:r>
      <w:r w:rsidR="001C252C" w:rsidRPr="003A0655">
        <w:t> </w:t>
      </w:r>
      <w:r w:rsidRPr="003A0655">
        <w:t>pays à mettre en œuvre des plans de gestion de l</w:t>
      </w:r>
      <w:r w:rsidR="000B3BB8" w:rsidRPr="003A0655">
        <w:t>’</w:t>
      </w:r>
      <w:r w:rsidRPr="003A0655">
        <w:t>élimination des HCFC (HPMP) et 50</w:t>
      </w:r>
      <w:r w:rsidR="001C252C" w:rsidRPr="003A0655">
        <w:t> </w:t>
      </w:r>
      <w:r w:rsidRPr="003A0655">
        <w:t xml:space="preserve">pays à établir leurs plans de mise en </w:t>
      </w:r>
      <w:r w:rsidR="00CF7BF3" w:rsidRPr="003A0655">
        <w:t>œuvre</w:t>
      </w:r>
      <w:r w:rsidRPr="003A0655">
        <w:t xml:space="preserve"> de l</w:t>
      </w:r>
      <w:r w:rsidR="000B3BB8" w:rsidRPr="003A0655">
        <w:t>’</w:t>
      </w:r>
      <w:r w:rsidRPr="003A0655">
        <w:t>Amendement de Kigali, notamment par la promotion de technologies à faible potentiel de réchauffement global et à haut rendement énergétique dans le secteur de l</w:t>
      </w:r>
      <w:r w:rsidR="000B3BB8" w:rsidRPr="003A0655">
        <w:t>’</w:t>
      </w:r>
      <w:r w:rsidRPr="003A0655">
        <w:t>entretien des équipements de réfrigération. Une</w:t>
      </w:r>
      <w:r w:rsidR="0011376F" w:rsidRPr="003A0655">
        <w:t> </w:t>
      </w:r>
      <w:r w:rsidRPr="003A0655">
        <w:t>attention particulière a été accordée aux pays à faible consommation au moyen d</w:t>
      </w:r>
      <w:r w:rsidR="000B3BB8" w:rsidRPr="003A0655">
        <w:t>’</w:t>
      </w:r>
      <w:r w:rsidRPr="003A0655">
        <w:t>une assistance technique adaptée et d</w:t>
      </w:r>
      <w:r w:rsidR="000B3BB8" w:rsidRPr="003A0655">
        <w:t>’</w:t>
      </w:r>
      <w:r w:rsidRPr="003A0655">
        <w:t>une aide à l</w:t>
      </w:r>
      <w:r w:rsidR="000B3BB8" w:rsidRPr="003A0655">
        <w:t>’</w:t>
      </w:r>
      <w:r w:rsidRPr="003A0655">
        <w:t>élaboration des politiques. Le PNUE aide 63</w:t>
      </w:r>
      <w:r w:rsidR="000B3BB8" w:rsidRPr="003A0655">
        <w:t> </w:t>
      </w:r>
      <w:r w:rsidRPr="003A0655">
        <w:t xml:space="preserve">pays à </w:t>
      </w:r>
      <w:r w:rsidR="00AD7449" w:rsidRPr="003A0655">
        <w:t xml:space="preserve">dresser </w:t>
      </w:r>
      <w:r w:rsidRPr="003A0655">
        <w:t xml:space="preserve">des inventaires et </w:t>
      </w:r>
      <w:r w:rsidR="00AD7449" w:rsidRPr="003A0655">
        <w:t xml:space="preserve">à établir </w:t>
      </w:r>
      <w:r w:rsidRPr="003A0655">
        <w:t>des plans de gestion des réserves de substances réglementées usagées ou indésirables.</w:t>
      </w:r>
    </w:p>
    <w:p w14:paraId="4379D682" w14:textId="1D3CBCB0" w:rsidR="0069471B" w:rsidRPr="003A0655" w:rsidRDefault="0069471B" w:rsidP="0069471B">
      <w:pPr>
        <w:pStyle w:val="NormalNonumber"/>
        <w:spacing w:before="120"/>
      </w:pPr>
      <w:r w:rsidRPr="003A0655">
        <w:t>L</w:t>
      </w:r>
      <w:r w:rsidR="000B3BB8" w:rsidRPr="003A0655">
        <w:t>’</w:t>
      </w:r>
      <w:r w:rsidRPr="003A0655">
        <w:t xml:space="preserve">ONUDI assure la mise en </w:t>
      </w:r>
      <w:r w:rsidR="00CF7BF3" w:rsidRPr="003A0655">
        <w:t>œuvre</w:t>
      </w:r>
      <w:r w:rsidRPr="003A0655">
        <w:t xml:space="preserve"> de plans de gestion de l</w:t>
      </w:r>
      <w:r w:rsidR="000B3BB8" w:rsidRPr="003A0655">
        <w:t>’</w:t>
      </w:r>
      <w:r w:rsidRPr="003A0655">
        <w:t xml:space="preserve">élimination des HCFC dans </w:t>
      </w:r>
      <w:r w:rsidR="00AD7449" w:rsidRPr="003A0655">
        <w:t>68</w:t>
      </w:r>
      <w:r w:rsidR="000B3BB8" w:rsidRPr="003A0655">
        <w:t> </w:t>
      </w:r>
      <w:r w:rsidRPr="003A0655">
        <w:t>pays, de plans de mise en œuvre de l</w:t>
      </w:r>
      <w:r w:rsidR="000B3BB8" w:rsidRPr="003A0655">
        <w:t>’</w:t>
      </w:r>
      <w:r w:rsidRPr="003A0655">
        <w:t>Amendement de Kigali dans 22</w:t>
      </w:r>
      <w:r w:rsidR="000B3BB8" w:rsidRPr="003A0655">
        <w:t> </w:t>
      </w:r>
      <w:r w:rsidRPr="003A0655">
        <w:t>pays, de projets de renforcement institutionnel dans 14</w:t>
      </w:r>
      <w:r w:rsidR="001C252C" w:rsidRPr="003A0655">
        <w:t> </w:t>
      </w:r>
      <w:r w:rsidRPr="003A0655">
        <w:t xml:space="preserve">pays et de projets de destruction des émissions de HFC-23 générées comme sous-produit dans </w:t>
      </w:r>
      <w:r w:rsidR="00AD7449" w:rsidRPr="003A0655">
        <w:t xml:space="preserve">deux </w:t>
      </w:r>
      <w:r w:rsidRPr="003A0655">
        <w:t>pays. Trois projets d</w:t>
      </w:r>
      <w:r w:rsidR="000B3BB8" w:rsidRPr="003A0655">
        <w:t>’</w:t>
      </w:r>
      <w:r w:rsidRPr="003A0655">
        <w:t>investissement dans les HFC sont en cours dans les secteurs de la climatisation résidentielle et de la fabrication de réfrigérateurs domestiques et commerciaux. L</w:t>
      </w:r>
      <w:r w:rsidR="000B3BB8" w:rsidRPr="003A0655">
        <w:t>’</w:t>
      </w:r>
      <w:r w:rsidRPr="003A0655">
        <w:t>ONUDI continue d</w:t>
      </w:r>
      <w:r w:rsidR="000B3BB8" w:rsidRPr="003A0655">
        <w:t>’</w:t>
      </w:r>
      <w:r w:rsidRPr="003A0655">
        <w:t>aider les pays sur la voie de l</w:t>
      </w:r>
      <w:r w:rsidR="000B3BB8" w:rsidRPr="003A0655">
        <w:t>’</w:t>
      </w:r>
      <w:r w:rsidRPr="003A0655">
        <w:t>élimination des HCFC et de la réduction progressive des HFC. Au moyen des guichets de financement, l</w:t>
      </w:r>
      <w:r w:rsidR="000B3BB8" w:rsidRPr="003A0655">
        <w:t>’</w:t>
      </w:r>
      <w:r w:rsidRPr="003A0655">
        <w:t>ONUDI appuie des activités d</w:t>
      </w:r>
      <w:r w:rsidR="000B3BB8" w:rsidRPr="003A0655">
        <w:t>’</w:t>
      </w:r>
      <w:r w:rsidRPr="003A0655">
        <w:t>efficacité énergétique dans 11</w:t>
      </w:r>
      <w:r w:rsidR="00466E0C" w:rsidRPr="003A0655">
        <w:t> </w:t>
      </w:r>
      <w:r w:rsidRPr="003A0655">
        <w:t>pays à faible consommation, des projets pilotes dans 14</w:t>
      </w:r>
      <w:r w:rsidR="000B3BB8" w:rsidRPr="003A0655">
        <w:t> </w:t>
      </w:r>
      <w:r w:rsidRPr="003A0655">
        <w:t>pays et des inventaires pour la gestion des réserves de substances réglementées usagées ou indésirables dans 25</w:t>
      </w:r>
      <w:r w:rsidR="00083059" w:rsidRPr="003A0655">
        <w:t> </w:t>
      </w:r>
      <w:r w:rsidRPr="003A0655">
        <w:t xml:space="preserve">pays. </w:t>
      </w:r>
    </w:p>
    <w:p w14:paraId="342707FA" w14:textId="44967643" w:rsidR="0069471B" w:rsidRPr="003A0655" w:rsidRDefault="0069471B" w:rsidP="0069471B">
      <w:pPr>
        <w:pStyle w:val="NormalNonumber"/>
        <w:spacing w:before="120"/>
      </w:pPr>
      <w:r w:rsidRPr="003A0655">
        <w:t>La Banque mondiale a continué d</w:t>
      </w:r>
      <w:r w:rsidR="000B3BB8" w:rsidRPr="003A0655">
        <w:t>’</w:t>
      </w:r>
      <w:r w:rsidRPr="003A0655">
        <w:t xml:space="preserve">appuyer </w:t>
      </w:r>
      <w:r w:rsidR="00AD7449" w:rsidRPr="003A0655">
        <w:t>l</w:t>
      </w:r>
      <w:r w:rsidR="000B3BB8" w:rsidRPr="003A0655">
        <w:t>’</w:t>
      </w:r>
      <w:r w:rsidR="00AD7449" w:rsidRPr="003A0655">
        <w:t>établissement</w:t>
      </w:r>
      <w:r w:rsidRPr="003A0655">
        <w:t xml:space="preserve"> de plans de mise en </w:t>
      </w:r>
      <w:r w:rsidR="00CF7BF3" w:rsidRPr="003A0655">
        <w:t>œuvre</w:t>
      </w:r>
      <w:r w:rsidRPr="003A0655">
        <w:t xml:space="preserve"> de l</w:t>
      </w:r>
      <w:r w:rsidR="000B3BB8" w:rsidRPr="003A0655">
        <w:t>’</w:t>
      </w:r>
      <w:r w:rsidRPr="003A0655">
        <w:t>Amendement de Kigali visant à intégrer des aspects tels que l</w:t>
      </w:r>
      <w:r w:rsidR="000B3BB8" w:rsidRPr="003A0655">
        <w:t>’</w:t>
      </w:r>
      <w:r w:rsidRPr="003A0655">
        <w:t>efficacité énergétique et la gestion du cycle de vie, conformément à son engagement plus vaste de maximiser les retombées climatiques positives. Elle a notamment approuvé un projet pilote visant à améliorer l</w:t>
      </w:r>
      <w:r w:rsidR="000B3BB8" w:rsidRPr="003A0655">
        <w:t>’</w:t>
      </w:r>
      <w:r w:rsidRPr="003A0655">
        <w:t>efficacité énergétique dans le secteur de la réfrigération commerciale parallèlement à la réduction progressive des HFC. Elle a aidé les pays au moyen de manifestations d</w:t>
      </w:r>
      <w:r w:rsidR="000B3BB8" w:rsidRPr="003A0655">
        <w:t>’</w:t>
      </w:r>
      <w:r w:rsidRPr="003A0655">
        <w:t>échange des connaissances et d</w:t>
      </w:r>
      <w:r w:rsidR="000B3BB8" w:rsidRPr="003A0655">
        <w:t>’</w:t>
      </w:r>
      <w:r w:rsidRPr="003A0655">
        <w:t>un appui technique et consultatif, notamment de conseils sur l</w:t>
      </w:r>
      <w:r w:rsidR="000B3BB8" w:rsidRPr="003A0655">
        <w:t>’</w:t>
      </w:r>
      <w:r w:rsidRPr="003A0655">
        <w:t>attribution des quotas. Elle a continué d</w:t>
      </w:r>
      <w:r w:rsidR="000B3BB8" w:rsidRPr="003A0655">
        <w:t>’</w:t>
      </w:r>
      <w:r w:rsidRPr="003A0655">
        <w:t>aider les pays à achever la phase II des plans de gestion de l</w:t>
      </w:r>
      <w:r w:rsidR="000B3BB8" w:rsidRPr="003A0655">
        <w:t>’</w:t>
      </w:r>
      <w:r w:rsidRPr="003A0655">
        <w:t>élimination des HCFC et un pays à achever la phase II de l</w:t>
      </w:r>
      <w:r w:rsidR="000B3BB8" w:rsidRPr="003A0655">
        <w:t>’</w:t>
      </w:r>
      <w:r w:rsidRPr="003A0655">
        <w:t xml:space="preserve">élimination de </w:t>
      </w:r>
      <w:r w:rsidR="00AD7449" w:rsidRPr="003A0655">
        <w:t xml:space="preserve">sa </w:t>
      </w:r>
      <w:r w:rsidRPr="003A0655">
        <w:t>production. Elle prépare des projets d</w:t>
      </w:r>
      <w:r w:rsidR="000B3BB8" w:rsidRPr="003A0655">
        <w:t>’</w:t>
      </w:r>
      <w:r w:rsidRPr="003A0655">
        <w:t>appui aux utilisateur</w:t>
      </w:r>
      <w:r w:rsidR="00AD7449" w:rsidRPr="003A0655">
        <w:t>(</w:t>
      </w:r>
      <w:proofErr w:type="spellStart"/>
      <w:r w:rsidR="00AD7449" w:rsidRPr="003A0655">
        <w:t>rice</w:t>
      </w:r>
      <w:proofErr w:type="spellEnd"/>
      <w:r w:rsidR="00AD7449" w:rsidRPr="003A0655">
        <w:t>)</w:t>
      </w:r>
      <w:r w:rsidRPr="003A0655">
        <w:t>s finaux</w:t>
      </w:r>
      <w:r w:rsidR="00AD7449" w:rsidRPr="003A0655">
        <w:t>(les)</w:t>
      </w:r>
      <w:r w:rsidRPr="003A0655">
        <w:t xml:space="preserve"> à la Grenade, en Thaïlande et en Türkiye dans le cadre du mécanisme de fonds </w:t>
      </w:r>
      <w:proofErr w:type="spellStart"/>
      <w:r w:rsidRPr="003A0655">
        <w:t>autorenouvelables</w:t>
      </w:r>
      <w:proofErr w:type="spellEnd"/>
      <w:r w:rsidRPr="003A0655">
        <w:t>.</w:t>
      </w:r>
    </w:p>
    <w:p w14:paraId="5869D7FD" w14:textId="437490C7" w:rsidR="0069471B" w:rsidRPr="003A0655" w:rsidRDefault="0069471B" w:rsidP="0069471B">
      <w:pPr>
        <w:pStyle w:val="NormalNonumber"/>
        <w:spacing w:before="120"/>
      </w:pPr>
      <w:r w:rsidRPr="003A0655">
        <w:t xml:space="preserve">Monsieur le Président, Mesdames </w:t>
      </w:r>
      <w:r w:rsidR="00AD7449" w:rsidRPr="003A0655">
        <w:t>les représentantes,</w:t>
      </w:r>
      <w:r w:rsidR="00AD7449" w:rsidRPr="003A0655" w:rsidDel="00AD7449">
        <w:t xml:space="preserve"> </w:t>
      </w:r>
      <w:r w:rsidRPr="003A0655">
        <w:t xml:space="preserve">Messieurs les </w:t>
      </w:r>
      <w:r w:rsidR="00AD7449" w:rsidRPr="003A0655">
        <w:t>représentants</w:t>
      </w:r>
      <w:r w:rsidRPr="003A0655">
        <w:t xml:space="preserve">, </w:t>
      </w:r>
    </w:p>
    <w:p w14:paraId="6F8FDA67" w14:textId="3F1FE565" w:rsidR="0069471B" w:rsidRPr="003A0655" w:rsidRDefault="0069471B" w:rsidP="0069471B">
      <w:pPr>
        <w:pStyle w:val="NormalNonumber"/>
        <w:spacing w:before="120"/>
      </w:pPr>
      <w:r w:rsidRPr="003A0655">
        <w:t>Les travaux du Fonds multilatéral sont des vecteurs de transformation pour les économies et d</w:t>
      </w:r>
      <w:r w:rsidR="000B3BB8" w:rsidRPr="003A0655">
        <w:t>’</w:t>
      </w:r>
      <w:r w:rsidRPr="003A0655">
        <w:t xml:space="preserve">autonomisation pour les populations. Le Fonds investit dans le transfert de technologie, la formation et le renforcement des capacités. De nouvelles </w:t>
      </w:r>
      <w:r w:rsidR="00AD7449" w:rsidRPr="003A0655">
        <w:t xml:space="preserve">perspectives </w:t>
      </w:r>
      <w:r w:rsidRPr="003A0655">
        <w:t xml:space="preserve">commerciales sont ainsi </w:t>
      </w:r>
      <w:r w:rsidR="00AD7449" w:rsidRPr="003A0655">
        <w:t xml:space="preserve">ouvertes </w:t>
      </w:r>
      <w:r w:rsidRPr="003A0655">
        <w:t>et l</w:t>
      </w:r>
      <w:r w:rsidR="000B3BB8" w:rsidRPr="003A0655">
        <w:t>’</w:t>
      </w:r>
      <w:r w:rsidRPr="003A0655">
        <w:t xml:space="preserve">innovation technologique </w:t>
      </w:r>
      <w:r w:rsidR="00AD7449" w:rsidRPr="003A0655">
        <w:t xml:space="preserve">est </w:t>
      </w:r>
      <w:r w:rsidRPr="003A0655">
        <w:t xml:space="preserve">stimulée dans les pays du monde entier, </w:t>
      </w:r>
      <w:r w:rsidR="00AD7449" w:rsidRPr="003A0655">
        <w:t xml:space="preserve">ce qui </w:t>
      </w:r>
      <w:r w:rsidRPr="003A0655">
        <w:t>cré</w:t>
      </w:r>
      <w:r w:rsidR="00AD7449" w:rsidRPr="003A0655">
        <w:t>e</w:t>
      </w:r>
      <w:r w:rsidRPr="003A0655">
        <w:t xml:space="preserve"> de nouveaux emplois et </w:t>
      </w:r>
      <w:r w:rsidR="00AD7449" w:rsidRPr="003A0655">
        <w:t xml:space="preserve">améliore </w:t>
      </w:r>
      <w:r w:rsidRPr="003A0655">
        <w:t xml:space="preserve">les moyens de subsistance. </w:t>
      </w:r>
    </w:p>
    <w:p w14:paraId="7CBA84EB" w14:textId="36BC568D" w:rsidR="0069471B" w:rsidRPr="003A0655" w:rsidRDefault="00AD7449" w:rsidP="0069471B">
      <w:pPr>
        <w:pStyle w:val="NormalNonumber"/>
        <w:spacing w:before="120"/>
      </w:pPr>
      <w:r w:rsidRPr="003A0655">
        <w:t>Je tiens à</w:t>
      </w:r>
      <w:r w:rsidR="0069471B" w:rsidRPr="003A0655">
        <w:t xml:space="preserve"> remercier sincèrement les membres du Comité exécutif, qui m</w:t>
      </w:r>
      <w:r w:rsidR="000B3BB8" w:rsidRPr="003A0655">
        <w:t>’</w:t>
      </w:r>
      <w:r w:rsidR="0069471B" w:rsidRPr="003A0655">
        <w:t>ont aidé à m</w:t>
      </w:r>
      <w:r w:rsidR="000B3BB8" w:rsidRPr="003A0655">
        <w:t>’</w:t>
      </w:r>
      <w:r w:rsidR="0069471B" w:rsidRPr="003A0655">
        <w:t>acquitter de mes fonctions de Président, et le secrétariat du Fonds et les organismes bilatéraux et d</w:t>
      </w:r>
      <w:r w:rsidR="000B3BB8" w:rsidRPr="003A0655">
        <w:t>’</w:t>
      </w:r>
      <w:r w:rsidR="0069471B" w:rsidRPr="003A0655">
        <w:t>exécution pour leur travail acharné et leur dévouement indéfectible à nos objectifs communs. Je souhaite remercier ma collègue, Madame Maria Antonella Parodi, d</w:t>
      </w:r>
      <w:r w:rsidR="000B3BB8" w:rsidRPr="003A0655">
        <w:t>’</w:t>
      </w:r>
      <w:r w:rsidR="0069471B" w:rsidRPr="003A0655">
        <w:t>Argentine, qui a présidé l</w:t>
      </w:r>
      <w:r w:rsidR="000B3BB8" w:rsidRPr="003A0655">
        <w:t>’</w:t>
      </w:r>
      <w:r w:rsidR="0069471B" w:rsidRPr="003A0655">
        <w:t>une des réunions du Comité exécutif depuis la dernière Réunion des Parties.</w:t>
      </w:r>
    </w:p>
    <w:p w14:paraId="1A8A33F8" w14:textId="2F40C0EB" w:rsidR="0069471B" w:rsidRPr="003A0655" w:rsidRDefault="0069471B" w:rsidP="0069471B">
      <w:pPr>
        <w:pStyle w:val="NormalNonumber"/>
        <w:spacing w:before="120"/>
      </w:pPr>
      <w:r w:rsidRPr="003A0655">
        <w:t>Je tiens également à remercier les Parties pour leur engagement ferme en faveur de la mise en œuvre du Protocole de Montréal et les orientations qu</w:t>
      </w:r>
      <w:r w:rsidR="000B3BB8" w:rsidRPr="003A0655">
        <w:t>’</w:t>
      </w:r>
      <w:r w:rsidRPr="003A0655">
        <w:t>elles fournissent au Comité exécutif.</w:t>
      </w:r>
    </w:p>
    <w:p w14:paraId="42F869AA" w14:textId="77777777" w:rsidR="0069471B" w:rsidRPr="003A0655" w:rsidRDefault="0069471B" w:rsidP="0069471B">
      <w:pPr>
        <w:pStyle w:val="NormalNonumber"/>
        <w:spacing w:before="120"/>
      </w:pPr>
      <w:r w:rsidRPr="003A0655">
        <w:t>Je vous remercie.</w:t>
      </w:r>
    </w:p>
    <w:tbl>
      <w:tblPr>
        <w:tblStyle w:val="TableGrid"/>
        <w:tblW w:w="0" w:type="auto"/>
        <w:tblLayout w:type="fixed"/>
        <w:tblLook w:val="04A0" w:firstRow="1" w:lastRow="0" w:firstColumn="1" w:lastColumn="0" w:noHBand="0" w:noVBand="1"/>
      </w:tblPr>
      <w:tblGrid>
        <w:gridCol w:w="1897"/>
        <w:gridCol w:w="1897"/>
        <w:gridCol w:w="1897"/>
        <w:gridCol w:w="1898"/>
        <w:gridCol w:w="1898"/>
      </w:tblGrid>
      <w:tr w:rsidR="0069471B" w:rsidRPr="003A0655" w14:paraId="1A836A3B" w14:textId="77777777">
        <w:tc>
          <w:tcPr>
            <w:tcW w:w="1897" w:type="dxa"/>
          </w:tcPr>
          <w:p w14:paraId="7ABD6E12" w14:textId="77777777" w:rsidR="0069471B" w:rsidRPr="003A0655" w:rsidRDefault="0069471B">
            <w:pPr>
              <w:pStyle w:val="Normal-pool"/>
              <w:spacing w:before="520"/>
            </w:pPr>
          </w:p>
        </w:tc>
        <w:tc>
          <w:tcPr>
            <w:tcW w:w="1897" w:type="dxa"/>
          </w:tcPr>
          <w:p w14:paraId="5034903D" w14:textId="77777777" w:rsidR="0069471B" w:rsidRPr="003A0655" w:rsidRDefault="0069471B">
            <w:pPr>
              <w:pStyle w:val="Normal-pool"/>
              <w:spacing w:before="520"/>
            </w:pPr>
          </w:p>
        </w:tc>
        <w:tc>
          <w:tcPr>
            <w:tcW w:w="1897" w:type="dxa"/>
            <w:tcBorders>
              <w:bottom w:val="single" w:sz="4" w:space="0" w:color="auto"/>
            </w:tcBorders>
          </w:tcPr>
          <w:p w14:paraId="0B8E5CFD" w14:textId="77777777" w:rsidR="0069471B" w:rsidRPr="003A0655" w:rsidRDefault="0069471B">
            <w:pPr>
              <w:pStyle w:val="Normal-pool"/>
              <w:spacing w:before="520"/>
            </w:pPr>
          </w:p>
        </w:tc>
        <w:tc>
          <w:tcPr>
            <w:tcW w:w="1898" w:type="dxa"/>
          </w:tcPr>
          <w:p w14:paraId="6F920DCE" w14:textId="77777777" w:rsidR="0069471B" w:rsidRPr="003A0655" w:rsidRDefault="0069471B">
            <w:pPr>
              <w:pStyle w:val="Normal-pool"/>
              <w:spacing w:before="520"/>
            </w:pPr>
          </w:p>
        </w:tc>
        <w:tc>
          <w:tcPr>
            <w:tcW w:w="1898" w:type="dxa"/>
          </w:tcPr>
          <w:p w14:paraId="51288501" w14:textId="77777777" w:rsidR="0069471B" w:rsidRPr="003A0655" w:rsidRDefault="0069471B">
            <w:pPr>
              <w:pStyle w:val="Normal-pool"/>
              <w:spacing w:before="520"/>
            </w:pPr>
          </w:p>
        </w:tc>
      </w:tr>
    </w:tbl>
    <w:p w14:paraId="3E8F1E5E" w14:textId="6E51C487" w:rsidR="0069471B" w:rsidRPr="003A0655" w:rsidRDefault="0069471B" w:rsidP="003F7EAF">
      <w:pPr>
        <w:pStyle w:val="Normal-pool"/>
        <w:rPr>
          <w:rFonts w:eastAsiaTheme="minorEastAsia"/>
        </w:rPr>
      </w:pPr>
    </w:p>
    <w:sectPr w:rsidR="0069471B" w:rsidRPr="003A0655" w:rsidSect="008F611A">
      <w:headerReference w:type="even" r:id="rId12"/>
      <w:headerReference w:type="default" r:id="rId13"/>
      <w:footerReference w:type="even" r:id="rId14"/>
      <w:footerReference w:type="default" r:id="rId15"/>
      <w:footerReference w:type="first" r:id="rId16"/>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4994" w14:textId="77777777" w:rsidR="00A17DC2" w:rsidRPr="008F611A" w:rsidRDefault="00A17DC2">
      <w:r w:rsidRPr="008F611A">
        <w:separator/>
      </w:r>
    </w:p>
  </w:endnote>
  <w:endnote w:type="continuationSeparator" w:id="0">
    <w:p w14:paraId="3A450C31" w14:textId="77777777" w:rsidR="00A17DC2" w:rsidRPr="008F611A" w:rsidRDefault="00A17DC2">
      <w:r w:rsidRPr="008F61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042B" w14:textId="41DD3961" w:rsidR="007A36F8" w:rsidRPr="008F611A" w:rsidRDefault="008F611A" w:rsidP="008F611A">
    <w:pPr>
      <w:pStyle w:val="Footer-pool"/>
    </w:pPr>
    <w:r w:rsidRPr="008F611A">
      <w:rPr>
        <w:rStyle w:val="PageNumber"/>
        <w:b/>
      </w:rPr>
      <w:fldChar w:fldCharType="begin"/>
    </w:r>
    <w:r w:rsidRPr="008F611A">
      <w:rPr>
        <w:rStyle w:val="PageNumber"/>
        <w:b/>
      </w:rPr>
      <w:instrText xml:space="preserve"> PAGE </w:instrText>
    </w:r>
    <w:r w:rsidRPr="008F611A">
      <w:rPr>
        <w:rStyle w:val="PageNumber"/>
        <w:b/>
      </w:rPr>
      <w:fldChar w:fldCharType="separate"/>
    </w:r>
    <w:r w:rsidRPr="008F611A">
      <w:rPr>
        <w:rStyle w:val="PageNumber"/>
        <w:b/>
        <w:noProof/>
      </w:rPr>
      <w:t>2</w:t>
    </w:r>
    <w:r w:rsidRPr="008F611A">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C14A" w14:textId="1000002B" w:rsidR="007A36F8" w:rsidRPr="008F611A" w:rsidRDefault="008F611A" w:rsidP="008F611A">
    <w:pPr>
      <w:pStyle w:val="Footer-pool"/>
      <w:jc w:val="right"/>
    </w:pPr>
    <w:r w:rsidRPr="008F611A">
      <w:rPr>
        <w:rStyle w:val="PageNumber"/>
        <w:b/>
      </w:rPr>
      <w:fldChar w:fldCharType="begin"/>
    </w:r>
    <w:r w:rsidRPr="008F611A">
      <w:rPr>
        <w:rStyle w:val="PageNumber"/>
        <w:b/>
      </w:rPr>
      <w:instrText xml:space="preserve"> PAGE \* MERGEFORMAT </w:instrText>
    </w:r>
    <w:r w:rsidRPr="008F611A">
      <w:rPr>
        <w:rStyle w:val="PageNumber"/>
        <w:b/>
      </w:rPr>
      <w:fldChar w:fldCharType="separate"/>
    </w:r>
    <w:r w:rsidRPr="008F611A">
      <w:rPr>
        <w:rStyle w:val="PageNumber"/>
        <w:b/>
        <w:noProof/>
      </w:rPr>
      <w:t>2</w:t>
    </w:r>
    <w:r w:rsidRPr="008F611A">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1A46" w14:textId="0FC3CCAA" w:rsidR="00C20895" w:rsidRPr="008F611A" w:rsidRDefault="008F611A" w:rsidP="008F611A">
    <w:pPr>
      <w:pStyle w:val="Normal-pool"/>
    </w:pPr>
    <w:bookmarkStart w:id="46" w:name="FooterJobDate"/>
    <w:r>
      <w:t>K2518262[F]</w:t>
    </w:r>
    <w:bookmarkEnd w:id="46"/>
    <w:r w:rsidR="007B4AAA">
      <w:tab/>
    </w:r>
    <w:r w:rsidR="007B4AAA">
      <w:tab/>
    </w:r>
    <w:r w:rsidR="00CF7BF3">
      <w:t>2</w:t>
    </w:r>
    <w:r w:rsidR="005D0BA1">
      <w:t>5</w:t>
    </w:r>
    <w:r w:rsidR="005A0822" w:rsidRPr="008F611A">
      <w:t>02</w:t>
    </w:r>
    <w:r w:rsidR="004A5966" w:rsidRPr="008F611A">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16766" w14:textId="77777777" w:rsidR="00A17DC2" w:rsidRPr="008F611A" w:rsidRDefault="00A17DC2" w:rsidP="008F611A">
      <w:pPr>
        <w:pStyle w:val="Footnote-Separator"/>
        <w:ind w:left="624"/>
        <w:rPr>
          <w:szCs w:val="18"/>
        </w:rPr>
      </w:pPr>
      <w:r w:rsidRPr="008F611A">
        <w:separator/>
      </w:r>
    </w:p>
  </w:footnote>
  <w:footnote w:type="continuationSeparator" w:id="0">
    <w:p w14:paraId="5E431880" w14:textId="77777777" w:rsidR="00A17DC2" w:rsidRPr="008F611A" w:rsidRDefault="00A17DC2" w:rsidP="008F611A">
      <w:pPr>
        <w:pStyle w:val="Footnote-Separator"/>
      </w:pPr>
      <w:r w:rsidRPr="008F611A">
        <w:continuationSeparator/>
      </w:r>
    </w:p>
  </w:footnote>
  <w:footnote w:type="continuationNotice" w:id="1">
    <w:p w14:paraId="2B720E59" w14:textId="77777777" w:rsidR="00A17DC2" w:rsidRPr="008F611A" w:rsidRDefault="00A17DC2" w:rsidP="008F611A">
      <w:pPr>
        <w:pStyle w:val="ASpacer"/>
      </w:pPr>
    </w:p>
  </w:footnote>
  <w:footnote w:id="2">
    <w:p w14:paraId="14958BE5" w14:textId="3DFAAA50" w:rsidR="00DE75A8" w:rsidRPr="008F611A" w:rsidRDefault="008F611A" w:rsidP="008F611A">
      <w:pPr>
        <w:pStyle w:val="Footnote-Text"/>
      </w:pPr>
      <w:r w:rsidRPr="008F611A">
        <w:rPr>
          <w:rStyle w:val="FootnoteReference"/>
        </w:rPr>
        <w:footnoteRef/>
      </w:r>
      <w:r w:rsidR="00DE75A8" w:rsidRPr="008F611A">
        <w:t xml:space="preserve"> La correction a par la suite été faite dans la diapo de présentation et a été apportée au paragraphe 93 du présent rapport.</w:t>
      </w:r>
    </w:p>
  </w:footnote>
  <w:footnote w:id="3">
    <w:p w14:paraId="122747A4" w14:textId="353C44F7" w:rsidR="00722888" w:rsidRPr="008F611A" w:rsidRDefault="008F611A" w:rsidP="008F611A">
      <w:pPr>
        <w:pStyle w:val="Footnote-Text"/>
        <w:rPr>
          <w:szCs w:val="18"/>
        </w:rPr>
      </w:pPr>
      <w:r w:rsidRPr="008F611A">
        <w:rPr>
          <w:rStyle w:val="FootnoteReference"/>
        </w:rPr>
        <w:footnoteRef/>
      </w:r>
      <w:r w:rsidR="00722888" w:rsidRPr="008F611A">
        <w:t xml:space="preserve"> </w:t>
      </w:r>
      <w:r w:rsidR="00A64399">
        <w:t>Consultable</w:t>
      </w:r>
      <w:r w:rsidR="00722888" w:rsidRPr="008F611A">
        <w:t xml:space="preserve"> sur le site : </w:t>
      </w:r>
      <w:hyperlink r:id="rId1" w:history="1">
        <w:r w:rsidR="00722888" w:rsidRPr="008F611A">
          <w:rPr>
            <w:rStyle w:val="Hyperlink"/>
            <w:szCs w:val="18"/>
          </w:rPr>
          <w:t>https://ozone.unep.org/system/files/documents/IM_concept-note-and-provisional-programme_final-draft_for-posting.pdf</w:t>
        </w:r>
      </w:hyperlink>
      <w:r w:rsidR="00722888" w:rsidRPr="008F611A">
        <w:rPr>
          <w:szCs w:val="18"/>
          <w:u w:color="094FD1"/>
        </w:rPr>
        <w:t>.</w:t>
      </w:r>
      <w:r w:rsidR="00722888" w:rsidRPr="008F611A">
        <w:t xml:space="preserve"> </w:t>
      </w:r>
      <w:hyperlink r:id="rId2" w:history="1"/>
    </w:p>
  </w:footnote>
  <w:footnote w:id="4">
    <w:p w14:paraId="07F42550" w14:textId="50E05CAA" w:rsidR="00722888" w:rsidRPr="008F611A" w:rsidRDefault="008F611A" w:rsidP="008F611A">
      <w:pPr>
        <w:pStyle w:val="Footnote-Text"/>
        <w:rPr>
          <w:szCs w:val="18"/>
        </w:rPr>
      </w:pPr>
      <w:r w:rsidRPr="008F611A">
        <w:rPr>
          <w:rStyle w:val="FootnoteReference"/>
        </w:rPr>
        <w:footnoteRef/>
      </w:r>
      <w:r w:rsidR="00722888" w:rsidRPr="008F611A">
        <w:t xml:space="preserve"> </w:t>
      </w:r>
      <w:r w:rsidR="00A64399">
        <w:t>Consultable</w:t>
      </w:r>
      <w:r w:rsidR="00A64399" w:rsidRPr="008F611A">
        <w:t xml:space="preserve"> </w:t>
      </w:r>
      <w:r w:rsidR="00722888" w:rsidRPr="008F611A">
        <w:t xml:space="preserve">sur le site : </w:t>
      </w:r>
      <w:hyperlink r:id="rId3" w:history="1">
        <w:r w:rsidR="00722888" w:rsidRPr="008F611A">
          <w:rPr>
            <w:rStyle w:val="Hyperlink"/>
          </w:rPr>
          <w:t>https://ozone.unep.org/meetings/informal-meeting-facilitating-implementation-montreal-protocol/presentations</w:t>
        </w:r>
      </w:hyperlink>
      <w:r w:rsidR="00722888" w:rsidRPr="008F611A">
        <w:rPr>
          <w:szCs w:val="18"/>
        </w:rPr>
        <w:t>.</w:t>
      </w:r>
      <w:r w:rsidR="00722888" w:rsidRPr="008F611A">
        <w:t xml:space="preserve"> </w:t>
      </w:r>
      <w:hyperlink r:id="rId4" w:history="1"/>
    </w:p>
  </w:footnote>
  <w:footnote w:id="5">
    <w:p w14:paraId="1AC9C109" w14:textId="77777777" w:rsidR="003103F4" w:rsidRPr="008F611A" w:rsidRDefault="003103F4" w:rsidP="008F611A">
      <w:pPr>
        <w:pStyle w:val="Footnote-Text"/>
        <w:rPr>
          <w:szCs w:val="18"/>
        </w:rPr>
      </w:pPr>
      <w:r w:rsidRPr="008F611A">
        <w:rPr>
          <w:rStyle w:val="FootnoteReference"/>
          <w:sz w:val="18"/>
          <w:vertAlign w:val="baseline"/>
        </w:rPr>
        <w:t>*</w:t>
      </w:r>
      <w:r w:rsidRPr="008F611A">
        <w:t xml:space="preserve"> La version anglaise des exposés est présentée telle que reçue, sans avoir été revue par les services d’édition.</w:t>
      </w:r>
    </w:p>
  </w:footnote>
  <w:footnote w:id="6">
    <w:p w14:paraId="1E69FD8B" w14:textId="5FAC9C48" w:rsidR="00442E6F" w:rsidRPr="008F611A" w:rsidRDefault="00442E6F" w:rsidP="008F611A">
      <w:pPr>
        <w:pStyle w:val="Footnote-Text"/>
      </w:pPr>
      <w:r w:rsidRPr="009946C0">
        <w:rPr>
          <w:rStyle w:val="FootnoteReference"/>
          <w:vertAlign w:val="baseline"/>
        </w:rPr>
        <w:t>*</w:t>
      </w:r>
      <w:r w:rsidRPr="009946C0">
        <w:t xml:space="preserve"> </w:t>
      </w:r>
      <w:r w:rsidRPr="008F611A">
        <w:t>La version anglaise de la déclaration est reproduite telle que reçue, sans avoir été revue par les services d’édition.</w:t>
      </w:r>
    </w:p>
  </w:footnote>
  <w:footnote w:id="7">
    <w:p w14:paraId="618E8365" w14:textId="4C053AED" w:rsidR="0069471B" w:rsidRPr="008F611A" w:rsidRDefault="0069471B" w:rsidP="008F61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E955" w14:textId="131C18B5" w:rsidR="007A36F8" w:rsidRPr="008F611A" w:rsidRDefault="008F611A" w:rsidP="008F611A">
    <w:pPr>
      <w:pStyle w:val="Header-pool"/>
    </w:pPr>
    <w:r w:rsidRPr="008F611A">
      <w:rPr>
        <w:noProof/>
      </w:rPr>
      <w:fldChar w:fldCharType="begin"/>
    </w:r>
    <w:r w:rsidRPr="008F611A">
      <w:rPr>
        <w:noProof/>
      </w:rPr>
      <w:instrText xml:space="preserve"> StyleRef A_Symbol </w:instrText>
    </w:r>
    <w:r w:rsidRPr="008F611A">
      <w:rPr>
        <w:noProof/>
      </w:rPr>
      <w:fldChar w:fldCharType="separate"/>
    </w:r>
    <w:r w:rsidR="00CE583E">
      <w:rPr>
        <w:noProof/>
      </w:rPr>
      <w:t>UNEP/OzL.Pro.37/9</w:t>
    </w:r>
    <w:r w:rsidRPr="008F611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14CF" w14:textId="17A3706E" w:rsidR="007A36F8" w:rsidRPr="008F611A" w:rsidRDefault="008F611A" w:rsidP="008F611A">
    <w:pPr>
      <w:pStyle w:val="Header-pool"/>
      <w:jc w:val="right"/>
    </w:pPr>
    <w:r w:rsidRPr="008F611A">
      <w:rPr>
        <w:noProof/>
      </w:rPr>
      <w:fldChar w:fldCharType="begin"/>
    </w:r>
    <w:r w:rsidRPr="008F611A">
      <w:rPr>
        <w:noProof/>
      </w:rPr>
      <w:instrText xml:space="preserve"> StyleRef A_Symbol </w:instrText>
    </w:r>
    <w:r w:rsidRPr="008F611A">
      <w:rPr>
        <w:noProof/>
      </w:rPr>
      <w:fldChar w:fldCharType="separate"/>
    </w:r>
    <w:r w:rsidR="00CE583E">
      <w:rPr>
        <w:noProof/>
      </w:rPr>
      <w:t>UNEP/OzL.Pro.37/9</w:t>
    </w:r>
    <w:r w:rsidRPr="008F611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0E92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7AC0C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AE516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36ED13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6C74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C28A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84BC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2AE8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86EB0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67C7B"/>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1"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48E6015"/>
    <w:multiLevelType w:val="hybridMultilevel"/>
    <w:tmpl w:val="42C8478E"/>
    <w:lvl w:ilvl="0" w:tplc="FFFFFFFF">
      <w:start w:val="1"/>
      <w:numFmt w:val="lowerLetter"/>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3" w15:restartNumberingAfterBreak="0">
    <w:nsid w:val="04EF6C88"/>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4"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6" w15:restartNumberingAfterBreak="0">
    <w:nsid w:val="1C187024"/>
    <w:multiLevelType w:val="hybridMultilevel"/>
    <w:tmpl w:val="19EA6FAA"/>
    <w:lvl w:ilvl="0" w:tplc="AACA98E6">
      <w:start w:val="1"/>
      <w:numFmt w:val="decimal"/>
      <w:lvlText w:val="%1."/>
      <w:lvlJc w:val="left"/>
      <w:pPr>
        <w:ind w:left="4728" w:hanging="360"/>
      </w:pPr>
    </w:lvl>
    <w:lvl w:ilvl="1" w:tplc="040C0019" w:tentative="1">
      <w:start w:val="1"/>
      <w:numFmt w:val="lowerLetter"/>
      <w:lvlText w:val="%2."/>
      <w:lvlJc w:val="left"/>
      <w:pPr>
        <w:ind w:left="5448" w:hanging="360"/>
      </w:pPr>
    </w:lvl>
    <w:lvl w:ilvl="2" w:tplc="040C001B" w:tentative="1">
      <w:start w:val="1"/>
      <w:numFmt w:val="lowerRoman"/>
      <w:lvlText w:val="%3."/>
      <w:lvlJc w:val="right"/>
      <w:pPr>
        <w:ind w:left="6168" w:hanging="180"/>
      </w:pPr>
    </w:lvl>
    <w:lvl w:ilvl="3" w:tplc="040C000F" w:tentative="1">
      <w:start w:val="1"/>
      <w:numFmt w:val="decimal"/>
      <w:lvlText w:val="%4."/>
      <w:lvlJc w:val="left"/>
      <w:pPr>
        <w:ind w:left="6888" w:hanging="360"/>
      </w:pPr>
    </w:lvl>
    <w:lvl w:ilvl="4" w:tplc="040C0019" w:tentative="1">
      <w:start w:val="1"/>
      <w:numFmt w:val="lowerLetter"/>
      <w:lvlText w:val="%5."/>
      <w:lvlJc w:val="left"/>
      <w:pPr>
        <w:ind w:left="7608" w:hanging="360"/>
      </w:pPr>
    </w:lvl>
    <w:lvl w:ilvl="5" w:tplc="040C001B" w:tentative="1">
      <w:start w:val="1"/>
      <w:numFmt w:val="lowerRoman"/>
      <w:lvlText w:val="%6."/>
      <w:lvlJc w:val="right"/>
      <w:pPr>
        <w:ind w:left="8328" w:hanging="180"/>
      </w:pPr>
    </w:lvl>
    <w:lvl w:ilvl="6" w:tplc="040C000F" w:tentative="1">
      <w:start w:val="1"/>
      <w:numFmt w:val="decimal"/>
      <w:lvlText w:val="%7."/>
      <w:lvlJc w:val="left"/>
      <w:pPr>
        <w:ind w:left="9048" w:hanging="360"/>
      </w:pPr>
    </w:lvl>
    <w:lvl w:ilvl="7" w:tplc="040C0019" w:tentative="1">
      <w:start w:val="1"/>
      <w:numFmt w:val="lowerLetter"/>
      <w:lvlText w:val="%8."/>
      <w:lvlJc w:val="left"/>
      <w:pPr>
        <w:ind w:left="9768" w:hanging="360"/>
      </w:pPr>
    </w:lvl>
    <w:lvl w:ilvl="8" w:tplc="040C001B" w:tentative="1">
      <w:start w:val="1"/>
      <w:numFmt w:val="lowerRoman"/>
      <w:lvlText w:val="%9."/>
      <w:lvlJc w:val="right"/>
      <w:pPr>
        <w:ind w:left="10488" w:hanging="180"/>
      </w:pPr>
    </w:lvl>
  </w:abstractNum>
  <w:abstractNum w:abstractNumId="17" w15:restartNumberingAfterBreak="0">
    <w:nsid w:val="2B4D743C"/>
    <w:multiLevelType w:val="hybridMultilevel"/>
    <w:tmpl w:val="3BBC2AD2"/>
    <w:lvl w:ilvl="0" w:tplc="FFFFFFFF">
      <w:start w:val="1"/>
      <w:numFmt w:val="decimal"/>
      <w:lvlText w:val="%1."/>
      <w:lvlJc w:val="left"/>
      <w:pPr>
        <w:ind w:left="1967" w:hanging="360"/>
      </w:p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20" w15:restartNumberingAfterBreak="0">
    <w:nsid w:val="3FB07CCA"/>
    <w:multiLevelType w:val="hybridMultilevel"/>
    <w:tmpl w:val="3BBC2AD2"/>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1" w15:restartNumberingAfterBreak="0">
    <w:nsid w:val="45104256"/>
    <w:multiLevelType w:val="hybridMultilevel"/>
    <w:tmpl w:val="CE80A664"/>
    <w:lvl w:ilvl="0" w:tplc="FFFFFFFF">
      <w:start w:val="1"/>
      <w:numFmt w:val="lowerLetter"/>
      <w:lvlText w:val="%1)"/>
      <w:lvlJc w:val="left"/>
      <w:pPr>
        <w:ind w:left="2591" w:hanging="360"/>
      </w:pPr>
      <w:rPr>
        <w:rFonts w:hint="default"/>
      </w:rPr>
    </w:lvl>
    <w:lvl w:ilvl="1" w:tplc="B95EBFE6">
      <w:start w:val="1"/>
      <w:numFmt w:val="lowerRoman"/>
      <w:lvlText w:val="%2)"/>
      <w:lvlJc w:val="left"/>
      <w:pPr>
        <w:ind w:left="3311"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2" w15:restartNumberingAfterBreak="0">
    <w:nsid w:val="45FC1D4A"/>
    <w:multiLevelType w:val="hybridMultilevel"/>
    <w:tmpl w:val="C324D48C"/>
    <w:lvl w:ilvl="0" w:tplc="08090001">
      <w:start w:val="1"/>
      <w:numFmt w:val="bullet"/>
      <w:lvlText w:val=""/>
      <w:lvlJc w:val="left"/>
      <w:pPr>
        <w:ind w:left="1967" w:hanging="360"/>
      </w:pPr>
      <w:rPr>
        <w:rFonts w:ascii="Symbol" w:hAnsi="Symbol"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3"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24" w15:restartNumberingAfterBreak="0">
    <w:nsid w:val="5BDD66D4"/>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5" w15:restartNumberingAfterBreak="0">
    <w:nsid w:val="5C142790"/>
    <w:multiLevelType w:val="hybridMultilevel"/>
    <w:tmpl w:val="42C8478E"/>
    <w:lvl w:ilvl="0" w:tplc="FFFFFFFF">
      <w:start w:val="1"/>
      <w:numFmt w:val="lowerLetter"/>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5F910615"/>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7" w15:restartNumberingAfterBreak="0">
    <w:nsid w:val="60D47054"/>
    <w:multiLevelType w:val="hybridMultilevel"/>
    <w:tmpl w:val="42C8478E"/>
    <w:lvl w:ilvl="0" w:tplc="FFFFFFFF">
      <w:start w:val="1"/>
      <w:numFmt w:val="lowerLetter"/>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8" w15:restartNumberingAfterBreak="0">
    <w:nsid w:val="62291BF8"/>
    <w:multiLevelType w:val="multilevel"/>
    <w:tmpl w:val="1CA2EF82"/>
    <w:numStyleLink w:val="Normallist"/>
  </w:abstractNum>
  <w:abstractNum w:abstractNumId="29" w15:restartNumberingAfterBreak="0">
    <w:nsid w:val="62ED7916"/>
    <w:multiLevelType w:val="hybridMultilevel"/>
    <w:tmpl w:val="42C8478E"/>
    <w:lvl w:ilvl="0" w:tplc="BC602F18">
      <w:start w:val="1"/>
      <w:numFmt w:val="lowerLetter"/>
      <w:lvlText w:val="%1)"/>
      <w:lvlJc w:val="left"/>
      <w:pPr>
        <w:ind w:left="2591" w:hanging="360"/>
      </w:pPr>
      <w:rPr>
        <w:rFonts w:hint="default"/>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0" w15:restartNumberingAfterBreak="0">
    <w:nsid w:val="6E005415"/>
    <w:multiLevelType w:val="hybridMultilevel"/>
    <w:tmpl w:val="42C8478E"/>
    <w:lvl w:ilvl="0" w:tplc="FFFFFFFF">
      <w:start w:val="1"/>
      <w:numFmt w:val="lowerLetter"/>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1"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2"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560672902">
    <w:abstractNumId w:val="23"/>
  </w:num>
  <w:num w:numId="2" w16cid:durableId="1242644713">
    <w:abstractNumId w:val="31"/>
  </w:num>
  <w:num w:numId="3" w16cid:durableId="1933662228">
    <w:abstractNumId w:val="18"/>
  </w:num>
  <w:num w:numId="4" w16cid:durableId="1991909117">
    <w:abstractNumId w:val="11"/>
  </w:num>
  <w:num w:numId="5" w16cid:durableId="1138956019">
    <w:abstractNumId w:val="14"/>
  </w:num>
  <w:num w:numId="6" w16cid:durableId="613561673">
    <w:abstractNumId w:val="9"/>
  </w:num>
  <w:num w:numId="7" w16cid:durableId="1851675114">
    <w:abstractNumId w:val="7"/>
  </w:num>
  <w:num w:numId="8" w16cid:durableId="131288331">
    <w:abstractNumId w:val="6"/>
  </w:num>
  <w:num w:numId="9" w16cid:durableId="2018312553">
    <w:abstractNumId w:val="5"/>
  </w:num>
  <w:num w:numId="10" w16cid:durableId="322438105">
    <w:abstractNumId w:val="4"/>
  </w:num>
  <w:num w:numId="11" w16cid:durableId="1639918952">
    <w:abstractNumId w:val="8"/>
  </w:num>
  <w:num w:numId="12" w16cid:durableId="1439835462">
    <w:abstractNumId w:val="3"/>
  </w:num>
  <w:num w:numId="13" w16cid:durableId="26951412">
    <w:abstractNumId w:val="2"/>
  </w:num>
  <w:num w:numId="14" w16cid:durableId="1818179073">
    <w:abstractNumId w:val="1"/>
  </w:num>
  <w:num w:numId="15" w16cid:durableId="2058820549">
    <w:abstractNumId w:val="0"/>
  </w:num>
  <w:num w:numId="16" w16cid:durableId="1265454513">
    <w:abstractNumId w:val="20"/>
  </w:num>
  <w:num w:numId="17" w16cid:durableId="122580054">
    <w:abstractNumId w:val="29"/>
  </w:num>
  <w:num w:numId="18" w16cid:durableId="426849348">
    <w:abstractNumId w:val="27"/>
  </w:num>
  <w:num w:numId="19" w16cid:durableId="656768204">
    <w:abstractNumId w:val="21"/>
  </w:num>
  <w:num w:numId="20" w16cid:durableId="1916282499">
    <w:abstractNumId w:val="25"/>
  </w:num>
  <w:num w:numId="21" w16cid:durableId="16443146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261235">
    <w:abstractNumId w:val="32"/>
  </w:num>
  <w:num w:numId="23" w16cid:durableId="1626504287">
    <w:abstractNumId w:val="15"/>
  </w:num>
  <w:num w:numId="24" w16cid:durableId="499194188">
    <w:abstractNumId w:val="19"/>
  </w:num>
  <w:num w:numId="25" w16cid:durableId="1702246126">
    <w:abstractNumId w:val="28"/>
  </w:num>
  <w:num w:numId="26" w16cid:durableId="971054750">
    <w:abstractNumId w:val="24"/>
  </w:num>
  <w:num w:numId="27" w16cid:durableId="2008628561">
    <w:abstractNumId w:val="26"/>
  </w:num>
  <w:num w:numId="28" w16cid:durableId="1445953522">
    <w:abstractNumId w:val="10"/>
  </w:num>
  <w:num w:numId="29" w16cid:durableId="20368823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0081516">
    <w:abstractNumId w:val="16"/>
  </w:num>
  <w:num w:numId="31" w16cid:durableId="737441382">
    <w:abstractNumId w:val="13"/>
  </w:num>
  <w:num w:numId="32" w16cid:durableId="909510117">
    <w:abstractNumId w:val="23"/>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33" w16cid:durableId="143157483">
    <w:abstractNumId w:val="22"/>
  </w:num>
  <w:num w:numId="34" w16cid:durableId="1199129186">
    <w:abstractNumId w:val="23"/>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35" w16cid:durableId="2071419692">
    <w:abstractNumId w:val="17"/>
  </w:num>
  <w:num w:numId="36" w16cid:durableId="1487284377">
    <w:abstractNumId w:val="12"/>
  </w:num>
  <w:num w:numId="37" w16cid:durableId="1791701450">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insDel="0" w:formatting="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9D"/>
    <w:rsid w:val="0000120D"/>
    <w:rsid w:val="00003009"/>
    <w:rsid w:val="00003D6B"/>
    <w:rsid w:val="00004CB2"/>
    <w:rsid w:val="00005ABD"/>
    <w:rsid w:val="00005ACD"/>
    <w:rsid w:val="0000607E"/>
    <w:rsid w:val="00006F54"/>
    <w:rsid w:val="00007A20"/>
    <w:rsid w:val="0001138C"/>
    <w:rsid w:val="000121DF"/>
    <w:rsid w:val="00012C33"/>
    <w:rsid w:val="00014937"/>
    <w:rsid w:val="000149E6"/>
    <w:rsid w:val="00014AF0"/>
    <w:rsid w:val="0001633B"/>
    <w:rsid w:val="000163A1"/>
    <w:rsid w:val="0001678B"/>
    <w:rsid w:val="00016AF3"/>
    <w:rsid w:val="00017FC7"/>
    <w:rsid w:val="000208C8"/>
    <w:rsid w:val="00020D42"/>
    <w:rsid w:val="0002194A"/>
    <w:rsid w:val="00022951"/>
    <w:rsid w:val="00022E0F"/>
    <w:rsid w:val="00022FAD"/>
    <w:rsid w:val="00024066"/>
    <w:rsid w:val="000240FB"/>
    <w:rsid w:val="000247B0"/>
    <w:rsid w:val="00026000"/>
    <w:rsid w:val="000262AE"/>
    <w:rsid w:val="00026484"/>
    <w:rsid w:val="00026997"/>
    <w:rsid w:val="00027D30"/>
    <w:rsid w:val="000306CE"/>
    <w:rsid w:val="000320BA"/>
    <w:rsid w:val="00032F8E"/>
    <w:rsid w:val="00032F9E"/>
    <w:rsid w:val="00033E0B"/>
    <w:rsid w:val="0003483D"/>
    <w:rsid w:val="00035EDE"/>
    <w:rsid w:val="00036532"/>
    <w:rsid w:val="00036A2A"/>
    <w:rsid w:val="00036AB1"/>
    <w:rsid w:val="00036B27"/>
    <w:rsid w:val="0004050C"/>
    <w:rsid w:val="000422B7"/>
    <w:rsid w:val="000444ED"/>
    <w:rsid w:val="00044CB4"/>
    <w:rsid w:val="00047016"/>
    <w:rsid w:val="000474B4"/>
    <w:rsid w:val="00047BE2"/>
    <w:rsid w:val="00047E51"/>
    <w:rsid w:val="000504AC"/>
    <w:rsid w:val="00050539"/>
    <w:rsid w:val="00050696"/>
    <w:rsid w:val="000509B4"/>
    <w:rsid w:val="00050CF4"/>
    <w:rsid w:val="00052E36"/>
    <w:rsid w:val="00052EA7"/>
    <w:rsid w:val="00053048"/>
    <w:rsid w:val="0005351A"/>
    <w:rsid w:val="000548B5"/>
    <w:rsid w:val="00056130"/>
    <w:rsid w:val="0005654C"/>
    <w:rsid w:val="00056B2C"/>
    <w:rsid w:val="00057040"/>
    <w:rsid w:val="0006035B"/>
    <w:rsid w:val="00061E56"/>
    <w:rsid w:val="00062346"/>
    <w:rsid w:val="00062CB6"/>
    <w:rsid w:val="0006540F"/>
    <w:rsid w:val="00065652"/>
    <w:rsid w:val="000705ED"/>
    <w:rsid w:val="00070CBC"/>
    <w:rsid w:val="00071256"/>
    <w:rsid w:val="0007166E"/>
    <w:rsid w:val="00071886"/>
    <w:rsid w:val="00072FB9"/>
    <w:rsid w:val="000742BC"/>
    <w:rsid w:val="000763EA"/>
    <w:rsid w:val="00076F9C"/>
    <w:rsid w:val="0007783F"/>
    <w:rsid w:val="0008041D"/>
    <w:rsid w:val="00080862"/>
    <w:rsid w:val="00080972"/>
    <w:rsid w:val="00080B90"/>
    <w:rsid w:val="00081D39"/>
    <w:rsid w:val="0008252A"/>
    <w:rsid w:val="00082A0C"/>
    <w:rsid w:val="00082DCD"/>
    <w:rsid w:val="00083059"/>
    <w:rsid w:val="00083504"/>
    <w:rsid w:val="00085254"/>
    <w:rsid w:val="0008710B"/>
    <w:rsid w:val="00087D4B"/>
    <w:rsid w:val="000913D2"/>
    <w:rsid w:val="00095B47"/>
    <w:rsid w:val="000961E2"/>
    <w:rsid w:val="0009640C"/>
    <w:rsid w:val="00096437"/>
    <w:rsid w:val="000969B3"/>
    <w:rsid w:val="000970F5"/>
    <w:rsid w:val="00097AD6"/>
    <w:rsid w:val="000A18B5"/>
    <w:rsid w:val="000A200B"/>
    <w:rsid w:val="000A4FD6"/>
    <w:rsid w:val="000A52F2"/>
    <w:rsid w:val="000A69AA"/>
    <w:rsid w:val="000A6D33"/>
    <w:rsid w:val="000A778D"/>
    <w:rsid w:val="000B0954"/>
    <w:rsid w:val="000B0A3C"/>
    <w:rsid w:val="000B0ED1"/>
    <w:rsid w:val="000B14F4"/>
    <w:rsid w:val="000B21D5"/>
    <w:rsid w:val="000B22A2"/>
    <w:rsid w:val="000B312F"/>
    <w:rsid w:val="000B3BB8"/>
    <w:rsid w:val="000B4182"/>
    <w:rsid w:val="000B55C7"/>
    <w:rsid w:val="000B5FA1"/>
    <w:rsid w:val="000B65BF"/>
    <w:rsid w:val="000B70F4"/>
    <w:rsid w:val="000B7AD3"/>
    <w:rsid w:val="000C2A52"/>
    <w:rsid w:val="000C2DCD"/>
    <w:rsid w:val="000C46A9"/>
    <w:rsid w:val="000C476F"/>
    <w:rsid w:val="000C4F2D"/>
    <w:rsid w:val="000C5BA5"/>
    <w:rsid w:val="000C5D15"/>
    <w:rsid w:val="000C64F5"/>
    <w:rsid w:val="000C7E23"/>
    <w:rsid w:val="000C7E55"/>
    <w:rsid w:val="000D1D4F"/>
    <w:rsid w:val="000D1E09"/>
    <w:rsid w:val="000D2BCF"/>
    <w:rsid w:val="000D3022"/>
    <w:rsid w:val="000D33C0"/>
    <w:rsid w:val="000D41D6"/>
    <w:rsid w:val="000D4E5E"/>
    <w:rsid w:val="000D5884"/>
    <w:rsid w:val="000D62C0"/>
    <w:rsid w:val="000D6941"/>
    <w:rsid w:val="000D69CD"/>
    <w:rsid w:val="000D6CB9"/>
    <w:rsid w:val="000D71B6"/>
    <w:rsid w:val="000D767E"/>
    <w:rsid w:val="000D7A33"/>
    <w:rsid w:val="000D7B96"/>
    <w:rsid w:val="000D7CBA"/>
    <w:rsid w:val="000E0405"/>
    <w:rsid w:val="000E0D8A"/>
    <w:rsid w:val="000E1B05"/>
    <w:rsid w:val="000E21C2"/>
    <w:rsid w:val="000E278E"/>
    <w:rsid w:val="000E2FE4"/>
    <w:rsid w:val="000E3850"/>
    <w:rsid w:val="000E3AEA"/>
    <w:rsid w:val="000E3EC1"/>
    <w:rsid w:val="000E6418"/>
    <w:rsid w:val="000F0414"/>
    <w:rsid w:val="000F067C"/>
    <w:rsid w:val="000F2029"/>
    <w:rsid w:val="000F6B4F"/>
    <w:rsid w:val="000F6CFF"/>
    <w:rsid w:val="000F71A6"/>
    <w:rsid w:val="00101DE0"/>
    <w:rsid w:val="001022B9"/>
    <w:rsid w:val="00102A73"/>
    <w:rsid w:val="0010479A"/>
    <w:rsid w:val="00105D5C"/>
    <w:rsid w:val="00106988"/>
    <w:rsid w:val="00107CFF"/>
    <w:rsid w:val="00107D85"/>
    <w:rsid w:val="00111C1A"/>
    <w:rsid w:val="00112CCA"/>
    <w:rsid w:val="00112DC1"/>
    <w:rsid w:val="0011376F"/>
    <w:rsid w:val="00113F08"/>
    <w:rsid w:val="001146C9"/>
    <w:rsid w:val="00114857"/>
    <w:rsid w:val="00115F73"/>
    <w:rsid w:val="001202E3"/>
    <w:rsid w:val="001209E2"/>
    <w:rsid w:val="00121382"/>
    <w:rsid w:val="00122431"/>
    <w:rsid w:val="001226A1"/>
    <w:rsid w:val="00123699"/>
    <w:rsid w:val="001269F1"/>
    <w:rsid w:val="00126E6A"/>
    <w:rsid w:val="0013059D"/>
    <w:rsid w:val="0013062D"/>
    <w:rsid w:val="00131C37"/>
    <w:rsid w:val="00132808"/>
    <w:rsid w:val="0013357E"/>
    <w:rsid w:val="001349BE"/>
    <w:rsid w:val="00134B18"/>
    <w:rsid w:val="00134C0B"/>
    <w:rsid w:val="00135755"/>
    <w:rsid w:val="00135BD5"/>
    <w:rsid w:val="00135C0C"/>
    <w:rsid w:val="0013771F"/>
    <w:rsid w:val="0014083A"/>
    <w:rsid w:val="00140B50"/>
    <w:rsid w:val="00141A55"/>
    <w:rsid w:val="00141F2F"/>
    <w:rsid w:val="001423AB"/>
    <w:rsid w:val="0014252F"/>
    <w:rsid w:val="00142F7C"/>
    <w:rsid w:val="001430D5"/>
    <w:rsid w:val="001432A0"/>
    <w:rsid w:val="001446A3"/>
    <w:rsid w:val="00145961"/>
    <w:rsid w:val="001460CD"/>
    <w:rsid w:val="00147517"/>
    <w:rsid w:val="001504B8"/>
    <w:rsid w:val="00151961"/>
    <w:rsid w:val="00152487"/>
    <w:rsid w:val="0015277E"/>
    <w:rsid w:val="00152CB1"/>
    <w:rsid w:val="001531DE"/>
    <w:rsid w:val="00153B69"/>
    <w:rsid w:val="00153D77"/>
    <w:rsid w:val="00153EA4"/>
    <w:rsid w:val="00154D79"/>
    <w:rsid w:val="00155395"/>
    <w:rsid w:val="0015660D"/>
    <w:rsid w:val="001614E6"/>
    <w:rsid w:val="00161680"/>
    <w:rsid w:val="00161787"/>
    <w:rsid w:val="001622BD"/>
    <w:rsid w:val="00162A99"/>
    <w:rsid w:val="00162C86"/>
    <w:rsid w:val="00164549"/>
    <w:rsid w:val="00164A72"/>
    <w:rsid w:val="00164D59"/>
    <w:rsid w:val="00165202"/>
    <w:rsid w:val="00166575"/>
    <w:rsid w:val="00167157"/>
    <w:rsid w:val="00167415"/>
    <w:rsid w:val="00170B13"/>
    <w:rsid w:val="00170EC5"/>
    <w:rsid w:val="0017144F"/>
    <w:rsid w:val="001715A7"/>
    <w:rsid w:val="00171B77"/>
    <w:rsid w:val="00171D20"/>
    <w:rsid w:val="00171D44"/>
    <w:rsid w:val="00171FE2"/>
    <w:rsid w:val="00172734"/>
    <w:rsid w:val="00172E6C"/>
    <w:rsid w:val="00173D27"/>
    <w:rsid w:val="00174739"/>
    <w:rsid w:val="001765C8"/>
    <w:rsid w:val="00176777"/>
    <w:rsid w:val="00176B53"/>
    <w:rsid w:val="00176C04"/>
    <w:rsid w:val="00177AAE"/>
    <w:rsid w:val="001801E9"/>
    <w:rsid w:val="001806C4"/>
    <w:rsid w:val="00180C8B"/>
    <w:rsid w:val="0018127C"/>
    <w:rsid w:val="001813CF"/>
    <w:rsid w:val="00181EC8"/>
    <w:rsid w:val="00181FC0"/>
    <w:rsid w:val="001837CA"/>
    <w:rsid w:val="00183A5C"/>
    <w:rsid w:val="00184341"/>
    <w:rsid w:val="00184349"/>
    <w:rsid w:val="00184B48"/>
    <w:rsid w:val="00184FC5"/>
    <w:rsid w:val="001851DA"/>
    <w:rsid w:val="00185539"/>
    <w:rsid w:val="00187CEF"/>
    <w:rsid w:val="0019161E"/>
    <w:rsid w:val="00191E90"/>
    <w:rsid w:val="00192CDF"/>
    <w:rsid w:val="00193B6B"/>
    <w:rsid w:val="00195F33"/>
    <w:rsid w:val="00197C63"/>
    <w:rsid w:val="00197CE5"/>
    <w:rsid w:val="001A219E"/>
    <w:rsid w:val="001A4922"/>
    <w:rsid w:val="001A5EE1"/>
    <w:rsid w:val="001A6DD5"/>
    <w:rsid w:val="001A75DD"/>
    <w:rsid w:val="001A7FF9"/>
    <w:rsid w:val="001B002A"/>
    <w:rsid w:val="001B1617"/>
    <w:rsid w:val="001B1A93"/>
    <w:rsid w:val="001B2001"/>
    <w:rsid w:val="001B2569"/>
    <w:rsid w:val="001B27AC"/>
    <w:rsid w:val="001B433B"/>
    <w:rsid w:val="001B504B"/>
    <w:rsid w:val="001C030E"/>
    <w:rsid w:val="001C0883"/>
    <w:rsid w:val="001C0B43"/>
    <w:rsid w:val="001C1B12"/>
    <w:rsid w:val="001C252C"/>
    <w:rsid w:val="001C2665"/>
    <w:rsid w:val="001C29FC"/>
    <w:rsid w:val="001C3EDA"/>
    <w:rsid w:val="001C406A"/>
    <w:rsid w:val="001C629E"/>
    <w:rsid w:val="001C68CE"/>
    <w:rsid w:val="001C7549"/>
    <w:rsid w:val="001C799D"/>
    <w:rsid w:val="001D0140"/>
    <w:rsid w:val="001D0290"/>
    <w:rsid w:val="001D05A9"/>
    <w:rsid w:val="001D26D0"/>
    <w:rsid w:val="001D3523"/>
    <w:rsid w:val="001D3874"/>
    <w:rsid w:val="001D4E44"/>
    <w:rsid w:val="001D5344"/>
    <w:rsid w:val="001D731A"/>
    <w:rsid w:val="001D7E75"/>
    <w:rsid w:val="001E08AF"/>
    <w:rsid w:val="001E0C0C"/>
    <w:rsid w:val="001E0EBD"/>
    <w:rsid w:val="001E22D1"/>
    <w:rsid w:val="001E2EC7"/>
    <w:rsid w:val="001E501E"/>
    <w:rsid w:val="001E5371"/>
    <w:rsid w:val="001E5543"/>
    <w:rsid w:val="001E56D2"/>
    <w:rsid w:val="001E6734"/>
    <w:rsid w:val="001E7C02"/>
    <w:rsid w:val="001E7D56"/>
    <w:rsid w:val="001F081F"/>
    <w:rsid w:val="001F2518"/>
    <w:rsid w:val="001F49D8"/>
    <w:rsid w:val="001F4B6B"/>
    <w:rsid w:val="001F4C29"/>
    <w:rsid w:val="001F54B2"/>
    <w:rsid w:val="001F6875"/>
    <w:rsid w:val="001F6A87"/>
    <w:rsid w:val="001F75DE"/>
    <w:rsid w:val="001F7845"/>
    <w:rsid w:val="00200965"/>
    <w:rsid w:val="00200B60"/>
    <w:rsid w:val="00200D58"/>
    <w:rsid w:val="002012F9"/>
    <w:rsid w:val="002013BE"/>
    <w:rsid w:val="00201BE3"/>
    <w:rsid w:val="002045DC"/>
    <w:rsid w:val="00204C97"/>
    <w:rsid w:val="002063A4"/>
    <w:rsid w:val="00206F97"/>
    <w:rsid w:val="00207AE5"/>
    <w:rsid w:val="00210E88"/>
    <w:rsid w:val="002113AE"/>
    <w:rsid w:val="0021145B"/>
    <w:rsid w:val="00213EBA"/>
    <w:rsid w:val="00214277"/>
    <w:rsid w:val="0021528F"/>
    <w:rsid w:val="00215671"/>
    <w:rsid w:val="00215C4D"/>
    <w:rsid w:val="00215FE4"/>
    <w:rsid w:val="002172AD"/>
    <w:rsid w:val="0021745F"/>
    <w:rsid w:val="00217641"/>
    <w:rsid w:val="0022012F"/>
    <w:rsid w:val="00220DC6"/>
    <w:rsid w:val="00221048"/>
    <w:rsid w:val="0022162F"/>
    <w:rsid w:val="00226F1F"/>
    <w:rsid w:val="00226F69"/>
    <w:rsid w:val="0022762D"/>
    <w:rsid w:val="00232303"/>
    <w:rsid w:val="00233EA7"/>
    <w:rsid w:val="0023472A"/>
    <w:rsid w:val="00234806"/>
    <w:rsid w:val="00234FD5"/>
    <w:rsid w:val="00235115"/>
    <w:rsid w:val="00235559"/>
    <w:rsid w:val="00235BBE"/>
    <w:rsid w:val="002363A1"/>
    <w:rsid w:val="002364B7"/>
    <w:rsid w:val="00237034"/>
    <w:rsid w:val="002378D6"/>
    <w:rsid w:val="002407EB"/>
    <w:rsid w:val="00241BD6"/>
    <w:rsid w:val="00242E8C"/>
    <w:rsid w:val="00243D36"/>
    <w:rsid w:val="0024505C"/>
    <w:rsid w:val="002469DD"/>
    <w:rsid w:val="00247707"/>
    <w:rsid w:val="0024779E"/>
    <w:rsid w:val="002509AB"/>
    <w:rsid w:val="00251558"/>
    <w:rsid w:val="00251753"/>
    <w:rsid w:val="00251845"/>
    <w:rsid w:val="0025222A"/>
    <w:rsid w:val="002542F4"/>
    <w:rsid w:val="002550C8"/>
    <w:rsid w:val="0025586F"/>
    <w:rsid w:val="00257997"/>
    <w:rsid w:val="00257AF1"/>
    <w:rsid w:val="00261D36"/>
    <w:rsid w:val="00263171"/>
    <w:rsid w:val="00263236"/>
    <w:rsid w:val="00263BA5"/>
    <w:rsid w:val="0026420A"/>
    <w:rsid w:val="002643B3"/>
    <w:rsid w:val="002657E7"/>
    <w:rsid w:val="0026622B"/>
    <w:rsid w:val="002664AB"/>
    <w:rsid w:val="00267CA6"/>
    <w:rsid w:val="0027018E"/>
    <w:rsid w:val="00272280"/>
    <w:rsid w:val="002730E1"/>
    <w:rsid w:val="0027565B"/>
    <w:rsid w:val="00275A79"/>
    <w:rsid w:val="00275E36"/>
    <w:rsid w:val="0027658D"/>
    <w:rsid w:val="002767C4"/>
    <w:rsid w:val="002773A9"/>
    <w:rsid w:val="00277919"/>
    <w:rsid w:val="0028169C"/>
    <w:rsid w:val="002844F2"/>
    <w:rsid w:val="002851A7"/>
    <w:rsid w:val="00286740"/>
    <w:rsid w:val="00286D94"/>
    <w:rsid w:val="002870EB"/>
    <w:rsid w:val="00287B42"/>
    <w:rsid w:val="002906AB"/>
    <w:rsid w:val="00291347"/>
    <w:rsid w:val="00291945"/>
    <w:rsid w:val="002929D8"/>
    <w:rsid w:val="00292BB2"/>
    <w:rsid w:val="002935C2"/>
    <w:rsid w:val="002938F7"/>
    <w:rsid w:val="0029390E"/>
    <w:rsid w:val="00293CBD"/>
    <w:rsid w:val="00294E56"/>
    <w:rsid w:val="00295271"/>
    <w:rsid w:val="002967C9"/>
    <w:rsid w:val="002973B3"/>
    <w:rsid w:val="002A0020"/>
    <w:rsid w:val="002A221B"/>
    <w:rsid w:val="002A2225"/>
    <w:rsid w:val="002A237D"/>
    <w:rsid w:val="002A23EA"/>
    <w:rsid w:val="002A39D3"/>
    <w:rsid w:val="002A43C8"/>
    <w:rsid w:val="002A4B73"/>
    <w:rsid w:val="002A4C53"/>
    <w:rsid w:val="002A4FD5"/>
    <w:rsid w:val="002A5531"/>
    <w:rsid w:val="002A5928"/>
    <w:rsid w:val="002B0672"/>
    <w:rsid w:val="002B0DCC"/>
    <w:rsid w:val="002B145F"/>
    <w:rsid w:val="002B1926"/>
    <w:rsid w:val="002B1B4C"/>
    <w:rsid w:val="002B247F"/>
    <w:rsid w:val="002B2487"/>
    <w:rsid w:val="002B33A1"/>
    <w:rsid w:val="002B5CC6"/>
    <w:rsid w:val="002B65C3"/>
    <w:rsid w:val="002B6E99"/>
    <w:rsid w:val="002B70A4"/>
    <w:rsid w:val="002B7952"/>
    <w:rsid w:val="002B7B37"/>
    <w:rsid w:val="002B7E00"/>
    <w:rsid w:val="002C145D"/>
    <w:rsid w:val="002C1F7F"/>
    <w:rsid w:val="002C271B"/>
    <w:rsid w:val="002C2939"/>
    <w:rsid w:val="002C2C3E"/>
    <w:rsid w:val="002C2F14"/>
    <w:rsid w:val="002C3B5D"/>
    <w:rsid w:val="002C3F8A"/>
    <w:rsid w:val="002C503D"/>
    <w:rsid w:val="002C533E"/>
    <w:rsid w:val="002C5525"/>
    <w:rsid w:val="002C560E"/>
    <w:rsid w:val="002C59C1"/>
    <w:rsid w:val="002C619A"/>
    <w:rsid w:val="002D027F"/>
    <w:rsid w:val="002D1EB0"/>
    <w:rsid w:val="002D1ECC"/>
    <w:rsid w:val="002D2113"/>
    <w:rsid w:val="002D46E8"/>
    <w:rsid w:val="002D6585"/>
    <w:rsid w:val="002D66E0"/>
    <w:rsid w:val="002D7865"/>
    <w:rsid w:val="002D7998"/>
    <w:rsid w:val="002D7A85"/>
    <w:rsid w:val="002D7B60"/>
    <w:rsid w:val="002E001D"/>
    <w:rsid w:val="002E19D4"/>
    <w:rsid w:val="002E431D"/>
    <w:rsid w:val="002E4DCA"/>
    <w:rsid w:val="002E626B"/>
    <w:rsid w:val="002E6A79"/>
    <w:rsid w:val="002E6D3D"/>
    <w:rsid w:val="002F0362"/>
    <w:rsid w:val="002F051D"/>
    <w:rsid w:val="002F15BD"/>
    <w:rsid w:val="002F1E25"/>
    <w:rsid w:val="002F26DE"/>
    <w:rsid w:val="002F4761"/>
    <w:rsid w:val="002F5292"/>
    <w:rsid w:val="002F5477"/>
    <w:rsid w:val="002F5C79"/>
    <w:rsid w:val="002F6213"/>
    <w:rsid w:val="002F6215"/>
    <w:rsid w:val="003019E2"/>
    <w:rsid w:val="00302A81"/>
    <w:rsid w:val="00305695"/>
    <w:rsid w:val="00305CE0"/>
    <w:rsid w:val="00305D55"/>
    <w:rsid w:val="00306D84"/>
    <w:rsid w:val="00307921"/>
    <w:rsid w:val="003103F4"/>
    <w:rsid w:val="00310B2F"/>
    <w:rsid w:val="00310D7E"/>
    <w:rsid w:val="00311087"/>
    <w:rsid w:val="003117CB"/>
    <w:rsid w:val="0031413F"/>
    <w:rsid w:val="003144A5"/>
    <w:rsid w:val="003148BB"/>
    <w:rsid w:val="00315E05"/>
    <w:rsid w:val="00316016"/>
    <w:rsid w:val="00316430"/>
    <w:rsid w:val="003166BB"/>
    <w:rsid w:val="00316F3D"/>
    <w:rsid w:val="00317976"/>
    <w:rsid w:val="00317B3D"/>
    <w:rsid w:val="00321683"/>
    <w:rsid w:val="00321714"/>
    <w:rsid w:val="00321DC5"/>
    <w:rsid w:val="00321F80"/>
    <w:rsid w:val="00323885"/>
    <w:rsid w:val="003274D3"/>
    <w:rsid w:val="00331475"/>
    <w:rsid w:val="00331833"/>
    <w:rsid w:val="0033468C"/>
    <w:rsid w:val="00334777"/>
    <w:rsid w:val="00335DD6"/>
    <w:rsid w:val="00336D11"/>
    <w:rsid w:val="00337D0C"/>
    <w:rsid w:val="00337D4C"/>
    <w:rsid w:val="00340091"/>
    <w:rsid w:val="00341634"/>
    <w:rsid w:val="00341E1D"/>
    <w:rsid w:val="00344760"/>
    <w:rsid w:val="003471FD"/>
    <w:rsid w:val="00347714"/>
    <w:rsid w:val="00347BA9"/>
    <w:rsid w:val="00350710"/>
    <w:rsid w:val="00350A71"/>
    <w:rsid w:val="00351A93"/>
    <w:rsid w:val="00351BED"/>
    <w:rsid w:val="00351EE5"/>
    <w:rsid w:val="00351EFB"/>
    <w:rsid w:val="003523E2"/>
    <w:rsid w:val="00352DFC"/>
    <w:rsid w:val="003534AB"/>
    <w:rsid w:val="00354918"/>
    <w:rsid w:val="003550F4"/>
    <w:rsid w:val="00355C33"/>
    <w:rsid w:val="00355EA9"/>
    <w:rsid w:val="0035695F"/>
    <w:rsid w:val="003578DE"/>
    <w:rsid w:val="00357BCE"/>
    <w:rsid w:val="00360708"/>
    <w:rsid w:val="00360A18"/>
    <w:rsid w:val="00360D6F"/>
    <w:rsid w:val="00360EE4"/>
    <w:rsid w:val="003622D4"/>
    <w:rsid w:val="0036277E"/>
    <w:rsid w:val="00362B7B"/>
    <w:rsid w:val="00362DAC"/>
    <w:rsid w:val="0036419D"/>
    <w:rsid w:val="00364333"/>
    <w:rsid w:val="00365066"/>
    <w:rsid w:val="003650C4"/>
    <w:rsid w:val="0036551F"/>
    <w:rsid w:val="00365C1B"/>
    <w:rsid w:val="00365F6B"/>
    <w:rsid w:val="00366041"/>
    <w:rsid w:val="003674C8"/>
    <w:rsid w:val="00367D40"/>
    <w:rsid w:val="00370B5A"/>
    <w:rsid w:val="00370BF9"/>
    <w:rsid w:val="00371340"/>
    <w:rsid w:val="0037134F"/>
    <w:rsid w:val="0037176F"/>
    <w:rsid w:val="003720D3"/>
    <w:rsid w:val="0037281A"/>
    <w:rsid w:val="0037368A"/>
    <w:rsid w:val="00373B47"/>
    <w:rsid w:val="00373EC4"/>
    <w:rsid w:val="00374F7F"/>
    <w:rsid w:val="00375002"/>
    <w:rsid w:val="0037539E"/>
    <w:rsid w:val="003759E2"/>
    <w:rsid w:val="00375B3D"/>
    <w:rsid w:val="00377234"/>
    <w:rsid w:val="00380929"/>
    <w:rsid w:val="00382519"/>
    <w:rsid w:val="00383FB4"/>
    <w:rsid w:val="00384310"/>
    <w:rsid w:val="003863CC"/>
    <w:rsid w:val="00386999"/>
    <w:rsid w:val="00390145"/>
    <w:rsid w:val="003908CC"/>
    <w:rsid w:val="00392959"/>
    <w:rsid w:val="003938C1"/>
    <w:rsid w:val="00394379"/>
    <w:rsid w:val="00395CD8"/>
    <w:rsid w:val="00396257"/>
    <w:rsid w:val="00397686"/>
    <w:rsid w:val="00397EB8"/>
    <w:rsid w:val="003A0655"/>
    <w:rsid w:val="003A0749"/>
    <w:rsid w:val="003A07AB"/>
    <w:rsid w:val="003A086E"/>
    <w:rsid w:val="003A19FC"/>
    <w:rsid w:val="003A2B01"/>
    <w:rsid w:val="003A2EAB"/>
    <w:rsid w:val="003A37B8"/>
    <w:rsid w:val="003A4FD0"/>
    <w:rsid w:val="003A5858"/>
    <w:rsid w:val="003A69AB"/>
    <w:rsid w:val="003A69D1"/>
    <w:rsid w:val="003A6B13"/>
    <w:rsid w:val="003A7705"/>
    <w:rsid w:val="003B048F"/>
    <w:rsid w:val="003B0EE3"/>
    <w:rsid w:val="003B1545"/>
    <w:rsid w:val="003B1AAF"/>
    <w:rsid w:val="003B3798"/>
    <w:rsid w:val="003B3826"/>
    <w:rsid w:val="003B40DD"/>
    <w:rsid w:val="003B46D9"/>
    <w:rsid w:val="003B49F4"/>
    <w:rsid w:val="003B4A1D"/>
    <w:rsid w:val="003C035E"/>
    <w:rsid w:val="003C07A5"/>
    <w:rsid w:val="003C0B30"/>
    <w:rsid w:val="003C27F7"/>
    <w:rsid w:val="003C2E61"/>
    <w:rsid w:val="003C3267"/>
    <w:rsid w:val="003C338B"/>
    <w:rsid w:val="003C3DAE"/>
    <w:rsid w:val="003C409D"/>
    <w:rsid w:val="003C4337"/>
    <w:rsid w:val="003C440D"/>
    <w:rsid w:val="003C463B"/>
    <w:rsid w:val="003C52B8"/>
    <w:rsid w:val="003C55A9"/>
    <w:rsid w:val="003C5BA6"/>
    <w:rsid w:val="003C7110"/>
    <w:rsid w:val="003D20D5"/>
    <w:rsid w:val="003D20ED"/>
    <w:rsid w:val="003D4142"/>
    <w:rsid w:val="003D579D"/>
    <w:rsid w:val="003D7038"/>
    <w:rsid w:val="003D7A1D"/>
    <w:rsid w:val="003E04BF"/>
    <w:rsid w:val="003E0CE3"/>
    <w:rsid w:val="003E1F2D"/>
    <w:rsid w:val="003E304A"/>
    <w:rsid w:val="003E331F"/>
    <w:rsid w:val="003E35E7"/>
    <w:rsid w:val="003E3A3C"/>
    <w:rsid w:val="003E3FD7"/>
    <w:rsid w:val="003E4665"/>
    <w:rsid w:val="003E545F"/>
    <w:rsid w:val="003E55EE"/>
    <w:rsid w:val="003E5A4E"/>
    <w:rsid w:val="003E7889"/>
    <w:rsid w:val="003E7BCD"/>
    <w:rsid w:val="003F00B1"/>
    <w:rsid w:val="003F0359"/>
    <w:rsid w:val="003F0E85"/>
    <w:rsid w:val="003F133E"/>
    <w:rsid w:val="003F1699"/>
    <w:rsid w:val="003F1A33"/>
    <w:rsid w:val="003F2530"/>
    <w:rsid w:val="003F2880"/>
    <w:rsid w:val="003F3D6A"/>
    <w:rsid w:val="003F4456"/>
    <w:rsid w:val="003F4C20"/>
    <w:rsid w:val="003F5D3A"/>
    <w:rsid w:val="003F5F68"/>
    <w:rsid w:val="003F624B"/>
    <w:rsid w:val="003F6DB6"/>
    <w:rsid w:val="003F6ED8"/>
    <w:rsid w:val="003F7CB2"/>
    <w:rsid w:val="003F7EAF"/>
    <w:rsid w:val="00400B9B"/>
    <w:rsid w:val="004022D7"/>
    <w:rsid w:val="00402FD4"/>
    <w:rsid w:val="00403B18"/>
    <w:rsid w:val="004043EC"/>
    <w:rsid w:val="00404CB5"/>
    <w:rsid w:val="00404DB6"/>
    <w:rsid w:val="00404E3E"/>
    <w:rsid w:val="00405251"/>
    <w:rsid w:val="00405FD2"/>
    <w:rsid w:val="00410C55"/>
    <w:rsid w:val="004116FF"/>
    <w:rsid w:val="00411A15"/>
    <w:rsid w:val="0041254A"/>
    <w:rsid w:val="004142A9"/>
    <w:rsid w:val="00414D25"/>
    <w:rsid w:val="004159AB"/>
    <w:rsid w:val="0041604D"/>
    <w:rsid w:val="0041676B"/>
    <w:rsid w:val="00416854"/>
    <w:rsid w:val="00416C95"/>
    <w:rsid w:val="00417725"/>
    <w:rsid w:val="0041779A"/>
    <w:rsid w:val="00417B99"/>
    <w:rsid w:val="004201B2"/>
    <w:rsid w:val="004207FF"/>
    <w:rsid w:val="00421CC4"/>
    <w:rsid w:val="004228A3"/>
    <w:rsid w:val="00422F2A"/>
    <w:rsid w:val="0042420D"/>
    <w:rsid w:val="004243EA"/>
    <w:rsid w:val="00426209"/>
    <w:rsid w:val="004304E8"/>
    <w:rsid w:val="00430CD8"/>
    <w:rsid w:val="00431DD1"/>
    <w:rsid w:val="00432C91"/>
    <w:rsid w:val="0043344B"/>
    <w:rsid w:val="00434D06"/>
    <w:rsid w:val="00435330"/>
    <w:rsid w:val="004365F6"/>
    <w:rsid w:val="00437F26"/>
    <w:rsid w:val="0044078B"/>
    <w:rsid w:val="00440B46"/>
    <w:rsid w:val="00440EAD"/>
    <w:rsid w:val="00441A74"/>
    <w:rsid w:val="00442E6F"/>
    <w:rsid w:val="00444097"/>
    <w:rsid w:val="004445A7"/>
    <w:rsid w:val="00445487"/>
    <w:rsid w:val="0044568A"/>
    <w:rsid w:val="00445825"/>
    <w:rsid w:val="00446753"/>
    <w:rsid w:val="00446A7B"/>
    <w:rsid w:val="00447009"/>
    <w:rsid w:val="0045260B"/>
    <w:rsid w:val="00452801"/>
    <w:rsid w:val="00453460"/>
    <w:rsid w:val="0045450A"/>
    <w:rsid w:val="00454769"/>
    <w:rsid w:val="00455AF5"/>
    <w:rsid w:val="0045646D"/>
    <w:rsid w:val="00456D58"/>
    <w:rsid w:val="004572F2"/>
    <w:rsid w:val="00457738"/>
    <w:rsid w:val="00457AD4"/>
    <w:rsid w:val="00462C37"/>
    <w:rsid w:val="004635F1"/>
    <w:rsid w:val="00466251"/>
    <w:rsid w:val="00466991"/>
    <w:rsid w:val="00466DA5"/>
    <w:rsid w:val="00466E0C"/>
    <w:rsid w:val="00470436"/>
    <w:rsid w:val="0047060A"/>
    <w:rsid w:val="0047064C"/>
    <w:rsid w:val="004722A9"/>
    <w:rsid w:val="00473FC7"/>
    <w:rsid w:val="004743CF"/>
    <w:rsid w:val="00474923"/>
    <w:rsid w:val="00474D90"/>
    <w:rsid w:val="00474DD9"/>
    <w:rsid w:val="0047515E"/>
    <w:rsid w:val="0047662B"/>
    <w:rsid w:val="004766B7"/>
    <w:rsid w:val="00477AFF"/>
    <w:rsid w:val="00477E48"/>
    <w:rsid w:val="00480677"/>
    <w:rsid w:val="00481EB5"/>
    <w:rsid w:val="00481F0B"/>
    <w:rsid w:val="0048282E"/>
    <w:rsid w:val="004866C9"/>
    <w:rsid w:val="0049015A"/>
    <w:rsid w:val="00490AC8"/>
    <w:rsid w:val="00491038"/>
    <w:rsid w:val="00492EA0"/>
    <w:rsid w:val="00493E43"/>
    <w:rsid w:val="0049482D"/>
    <w:rsid w:val="00495BFE"/>
    <w:rsid w:val="00495C06"/>
    <w:rsid w:val="004A0657"/>
    <w:rsid w:val="004A0A98"/>
    <w:rsid w:val="004A0D4E"/>
    <w:rsid w:val="004A0FB5"/>
    <w:rsid w:val="004A10B3"/>
    <w:rsid w:val="004A36F6"/>
    <w:rsid w:val="004A3DC5"/>
    <w:rsid w:val="004A42E1"/>
    <w:rsid w:val="004A4447"/>
    <w:rsid w:val="004A4AF9"/>
    <w:rsid w:val="004A535C"/>
    <w:rsid w:val="004A57AA"/>
    <w:rsid w:val="004A5966"/>
    <w:rsid w:val="004A6355"/>
    <w:rsid w:val="004A6A9B"/>
    <w:rsid w:val="004A7BD3"/>
    <w:rsid w:val="004B1230"/>
    <w:rsid w:val="004B1372"/>
    <w:rsid w:val="004B162C"/>
    <w:rsid w:val="004B2023"/>
    <w:rsid w:val="004B2C66"/>
    <w:rsid w:val="004B3BF4"/>
    <w:rsid w:val="004B412E"/>
    <w:rsid w:val="004B42AD"/>
    <w:rsid w:val="004B46BE"/>
    <w:rsid w:val="004B5675"/>
    <w:rsid w:val="004B5DB2"/>
    <w:rsid w:val="004B67F8"/>
    <w:rsid w:val="004B6D7D"/>
    <w:rsid w:val="004B79F8"/>
    <w:rsid w:val="004C0C83"/>
    <w:rsid w:val="004C175B"/>
    <w:rsid w:val="004C185F"/>
    <w:rsid w:val="004C1FD4"/>
    <w:rsid w:val="004C2F58"/>
    <w:rsid w:val="004C3668"/>
    <w:rsid w:val="004C3A0C"/>
    <w:rsid w:val="004C3BBE"/>
    <w:rsid w:val="004C3DBE"/>
    <w:rsid w:val="004C5C96"/>
    <w:rsid w:val="004C61D4"/>
    <w:rsid w:val="004C63BE"/>
    <w:rsid w:val="004C745C"/>
    <w:rsid w:val="004C7AD1"/>
    <w:rsid w:val="004D06A4"/>
    <w:rsid w:val="004D3761"/>
    <w:rsid w:val="004D43BD"/>
    <w:rsid w:val="004D60EA"/>
    <w:rsid w:val="004E0DB3"/>
    <w:rsid w:val="004E13B3"/>
    <w:rsid w:val="004E170C"/>
    <w:rsid w:val="004E1D30"/>
    <w:rsid w:val="004E1EDA"/>
    <w:rsid w:val="004E26AD"/>
    <w:rsid w:val="004E294B"/>
    <w:rsid w:val="004E3DC9"/>
    <w:rsid w:val="004E576D"/>
    <w:rsid w:val="004E59D4"/>
    <w:rsid w:val="004E79AC"/>
    <w:rsid w:val="004F0D5B"/>
    <w:rsid w:val="004F1A81"/>
    <w:rsid w:val="004F245B"/>
    <w:rsid w:val="004F2A1A"/>
    <w:rsid w:val="004F3404"/>
    <w:rsid w:val="004F3B13"/>
    <w:rsid w:val="004F44D2"/>
    <w:rsid w:val="004F5A8E"/>
    <w:rsid w:val="004F6D5F"/>
    <w:rsid w:val="004F7422"/>
    <w:rsid w:val="00502687"/>
    <w:rsid w:val="005026A7"/>
    <w:rsid w:val="00502C55"/>
    <w:rsid w:val="005037C1"/>
    <w:rsid w:val="00503F99"/>
    <w:rsid w:val="005051B7"/>
    <w:rsid w:val="00506AE1"/>
    <w:rsid w:val="00506B02"/>
    <w:rsid w:val="00506E28"/>
    <w:rsid w:val="0050795D"/>
    <w:rsid w:val="005100F1"/>
    <w:rsid w:val="005104E0"/>
    <w:rsid w:val="005105B1"/>
    <w:rsid w:val="00510D69"/>
    <w:rsid w:val="00512C08"/>
    <w:rsid w:val="0051456A"/>
    <w:rsid w:val="005148CD"/>
    <w:rsid w:val="00514CE2"/>
    <w:rsid w:val="005174FB"/>
    <w:rsid w:val="00517BCE"/>
    <w:rsid w:val="00520053"/>
    <w:rsid w:val="005202BD"/>
    <w:rsid w:val="00521680"/>
    <w:rsid w:val="0052169F"/>
    <w:rsid w:val="005218D9"/>
    <w:rsid w:val="00523005"/>
    <w:rsid w:val="005232C0"/>
    <w:rsid w:val="00523B45"/>
    <w:rsid w:val="005246CB"/>
    <w:rsid w:val="00524B3C"/>
    <w:rsid w:val="00525DB1"/>
    <w:rsid w:val="00526599"/>
    <w:rsid w:val="0052753E"/>
    <w:rsid w:val="0053093E"/>
    <w:rsid w:val="005312A7"/>
    <w:rsid w:val="0053223E"/>
    <w:rsid w:val="005322AE"/>
    <w:rsid w:val="00532E47"/>
    <w:rsid w:val="00533220"/>
    <w:rsid w:val="00533BF3"/>
    <w:rsid w:val="005353C9"/>
    <w:rsid w:val="005358E3"/>
    <w:rsid w:val="00535B52"/>
    <w:rsid w:val="00535C2F"/>
    <w:rsid w:val="00536186"/>
    <w:rsid w:val="005366E2"/>
    <w:rsid w:val="00536793"/>
    <w:rsid w:val="00536826"/>
    <w:rsid w:val="00537457"/>
    <w:rsid w:val="005424AB"/>
    <w:rsid w:val="00542817"/>
    <w:rsid w:val="00544CBB"/>
    <w:rsid w:val="0054592A"/>
    <w:rsid w:val="00545D0C"/>
    <w:rsid w:val="005465D4"/>
    <w:rsid w:val="00546D48"/>
    <w:rsid w:val="00546E07"/>
    <w:rsid w:val="005472DA"/>
    <w:rsid w:val="00547B73"/>
    <w:rsid w:val="00547DD1"/>
    <w:rsid w:val="005503A6"/>
    <w:rsid w:val="00550518"/>
    <w:rsid w:val="0055097B"/>
    <w:rsid w:val="00550B48"/>
    <w:rsid w:val="00550F87"/>
    <w:rsid w:val="00551CAF"/>
    <w:rsid w:val="00551DB8"/>
    <w:rsid w:val="00551F81"/>
    <w:rsid w:val="00552CD6"/>
    <w:rsid w:val="00555EBD"/>
    <w:rsid w:val="00555FBB"/>
    <w:rsid w:val="00556B73"/>
    <w:rsid w:val="00556BB0"/>
    <w:rsid w:val="00556C55"/>
    <w:rsid w:val="0056166B"/>
    <w:rsid w:val="00561FD1"/>
    <w:rsid w:val="0056229F"/>
    <w:rsid w:val="005627F6"/>
    <w:rsid w:val="00562F1C"/>
    <w:rsid w:val="005630D6"/>
    <w:rsid w:val="00563B95"/>
    <w:rsid w:val="00563BA4"/>
    <w:rsid w:val="00565F5F"/>
    <w:rsid w:val="00566034"/>
    <w:rsid w:val="005663A5"/>
    <w:rsid w:val="00567B70"/>
    <w:rsid w:val="00570357"/>
    <w:rsid w:val="0057139C"/>
    <w:rsid w:val="00572F4D"/>
    <w:rsid w:val="00573035"/>
    <w:rsid w:val="0057315F"/>
    <w:rsid w:val="005735E1"/>
    <w:rsid w:val="0057426F"/>
    <w:rsid w:val="00574863"/>
    <w:rsid w:val="00574B9D"/>
    <w:rsid w:val="00574C92"/>
    <w:rsid w:val="00575129"/>
    <w:rsid w:val="005756A0"/>
    <w:rsid w:val="00575DF1"/>
    <w:rsid w:val="00575E30"/>
    <w:rsid w:val="00576104"/>
    <w:rsid w:val="00576CC6"/>
    <w:rsid w:val="0057786F"/>
    <w:rsid w:val="0058026C"/>
    <w:rsid w:val="00581794"/>
    <w:rsid w:val="00582E77"/>
    <w:rsid w:val="00583C9A"/>
    <w:rsid w:val="00584ECE"/>
    <w:rsid w:val="00586E3C"/>
    <w:rsid w:val="0058761F"/>
    <w:rsid w:val="005900C7"/>
    <w:rsid w:val="0059109A"/>
    <w:rsid w:val="00591EF3"/>
    <w:rsid w:val="005923A3"/>
    <w:rsid w:val="005923D2"/>
    <w:rsid w:val="005927C7"/>
    <w:rsid w:val="005940BC"/>
    <w:rsid w:val="005942D0"/>
    <w:rsid w:val="00594BA0"/>
    <w:rsid w:val="0059657B"/>
    <w:rsid w:val="00596EFC"/>
    <w:rsid w:val="005972B3"/>
    <w:rsid w:val="005A0822"/>
    <w:rsid w:val="005A1552"/>
    <w:rsid w:val="005A2587"/>
    <w:rsid w:val="005A6AC4"/>
    <w:rsid w:val="005B14C4"/>
    <w:rsid w:val="005B1B6F"/>
    <w:rsid w:val="005B34A4"/>
    <w:rsid w:val="005B35E0"/>
    <w:rsid w:val="005B3B54"/>
    <w:rsid w:val="005B3CA2"/>
    <w:rsid w:val="005B4B8D"/>
    <w:rsid w:val="005B5B96"/>
    <w:rsid w:val="005B5C00"/>
    <w:rsid w:val="005B5D44"/>
    <w:rsid w:val="005B65F7"/>
    <w:rsid w:val="005B6FFA"/>
    <w:rsid w:val="005C06AC"/>
    <w:rsid w:val="005C0F4B"/>
    <w:rsid w:val="005C1738"/>
    <w:rsid w:val="005C42AB"/>
    <w:rsid w:val="005C44E9"/>
    <w:rsid w:val="005C55E7"/>
    <w:rsid w:val="005C6274"/>
    <w:rsid w:val="005C67C8"/>
    <w:rsid w:val="005C6D8B"/>
    <w:rsid w:val="005C7760"/>
    <w:rsid w:val="005D0249"/>
    <w:rsid w:val="005D036F"/>
    <w:rsid w:val="005D0BA1"/>
    <w:rsid w:val="005D10B8"/>
    <w:rsid w:val="005D167A"/>
    <w:rsid w:val="005D2535"/>
    <w:rsid w:val="005D30C7"/>
    <w:rsid w:val="005D317B"/>
    <w:rsid w:val="005D5FAC"/>
    <w:rsid w:val="005D62F9"/>
    <w:rsid w:val="005D68B9"/>
    <w:rsid w:val="005D6D0D"/>
    <w:rsid w:val="005D6E8C"/>
    <w:rsid w:val="005D7DDD"/>
    <w:rsid w:val="005E03AA"/>
    <w:rsid w:val="005E0633"/>
    <w:rsid w:val="005E088B"/>
    <w:rsid w:val="005E0927"/>
    <w:rsid w:val="005E2933"/>
    <w:rsid w:val="005E2C2A"/>
    <w:rsid w:val="005E42A3"/>
    <w:rsid w:val="005E522A"/>
    <w:rsid w:val="005E70CE"/>
    <w:rsid w:val="005F0173"/>
    <w:rsid w:val="005F0B67"/>
    <w:rsid w:val="005F100C"/>
    <w:rsid w:val="005F2D33"/>
    <w:rsid w:val="005F2DDD"/>
    <w:rsid w:val="005F34CF"/>
    <w:rsid w:val="005F3D89"/>
    <w:rsid w:val="005F4127"/>
    <w:rsid w:val="005F68DA"/>
    <w:rsid w:val="005F6E63"/>
    <w:rsid w:val="005F70C9"/>
    <w:rsid w:val="005F75A6"/>
    <w:rsid w:val="005F75E6"/>
    <w:rsid w:val="005F7934"/>
    <w:rsid w:val="005F79C9"/>
    <w:rsid w:val="006014DD"/>
    <w:rsid w:val="00601766"/>
    <w:rsid w:val="0060291F"/>
    <w:rsid w:val="00602DEE"/>
    <w:rsid w:val="00604E96"/>
    <w:rsid w:val="006075E0"/>
    <w:rsid w:val="0060773B"/>
    <w:rsid w:val="006079F7"/>
    <w:rsid w:val="00607D94"/>
    <w:rsid w:val="00610B87"/>
    <w:rsid w:val="006122AB"/>
    <w:rsid w:val="00612709"/>
    <w:rsid w:val="00613E69"/>
    <w:rsid w:val="006141D3"/>
    <w:rsid w:val="006147C9"/>
    <w:rsid w:val="006157B5"/>
    <w:rsid w:val="00615AE7"/>
    <w:rsid w:val="00615CED"/>
    <w:rsid w:val="006163EB"/>
    <w:rsid w:val="00616928"/>
    <w:rsid w:val="00617D90"/>
    <w:rsid w:val="006215C9"/>
    <w:rsid w:val="00623F52"/>
    <w:rsid w:val="00624254"/>
    <w:rsid w:val="0062469A"/>
    <w:rsid w:val="00626FC6"/>
    <w:rsid w:val="006303B4"/>
    <w:rsid w:val="0063074E"/>
    <w:rsid w:val="00630D50"/>
    <w:rsid w:val="0063131B"/>
    <w:rsid w:val="006327BB"/>
    <w:rsid w:val="00633366"/>
    <w:rsid w:val="0063358A"/>
    <w:rsid w:val="00633CEB"/>
    <w:rsid w:val="00633D3D"/>
    <w:rsid w:val="00633F3A"/>
    <w:rsid w:val="00641703"/>
    <w:rsid w:val="00642138"/>
    <w:rsid w:val="00642429"/>
    <w:rsid w:val="006431A6"/>
    <w:rsid w:val="00644A5B"/>
    <w:rsid w:val="00644DAD"/>
    <w:rsid w:val="00644FF0"/>
    <w:rsid w:val="006459F6"/>
    <w:rsid w:val="00646849"/>
    <w:rsid w:val="006476E2"/>
    <w:rsid w:val="006501AD"/>
    <w:rsid w:val="00650279"/>
    <w:rsid w:val="00650CA9"/>
    <w:rsid w:val="00650F8B"/>
    <w:rsid w:val="00651BFA"/>
    <w:rsid w:val="006533B3"/>
    <w:rsid w:val="00654224"/>
    <w:rsid w:val="006548F3"/>
    <w:rsid w:val="00655632"/>
    <w:rsid w:val="00655EBA"/>
    <w:rsid w:val="0065629C"/>
    <w:rsid w:val="006568D4"/>
    <w:rsid w:val="00657E99"/>
    <w:rsid w:val="00660640"/>
    <w:rsid w:val="006609C3"/>
    <w:rsid w:val="0066150C"/>
    <w:rsid w:val="00661EFF"/>
    <w:rsid w:val="006626FA"/>
    <w:rsid w:val="006630A8"/>
    <w:rsid w:val="00663952"/>
    <w:rsid w:val="00663A80"/>
    <w:rsid w:val="00665A4B"/>
    <w:rsid w:val="00666065"/>
    <w:rsid w:val="006660BF"/>
    <w:rsid w:val="006666C2"/>
    <w:rsid w:val="00670015"/>
    <w:rsid w:val="00671919"/>
    <w:rsid w:val="006727FB"/>
    <w:rsid w:val="00672BCA"/>
    <w:rsid w:val="00673065"/>
    <w:rsid w:val="006731FE"/>
    <w:rsid w:val="006757F9"/>
    <w:rsid w:val="00676CF7"/>
    <w:rsid w:val="00676D4C"/>
    <w:rsid w:val="00677D74"/>
    <w:rsid w:val="00680044"/>
    <w:rsid w:val="00681374"/>
    <w:rsid w:val="00681526"/>
    <w:rsid w:val="00681D7F"/>
    <w:rsid w:val="006855A2"/>
    <w:rsid w:val="00686205"/>
    <w:rsid w:val="006871FB"/>
    <w:rsid w:val="006878B6"/>
    <w:rsid w:val="00690E3E"/>
    <w:rsid w:val="006916B3"/>
    <w:rsid w:val="006923FB"/>
    <w:rsid w:val="0069269F"/>
    <w:rsid w:val="00692E2A"/>
    <w:rsid w:val="006937A3"/>
    <w:rsid w:val="0069471B"/>
    <w:rsid w:val="00694DFC"/>
    <w:rsid w:val="00695203"/>
    <w:rsid w:val="00697354"/>
    <w:rsid w:val="00697CE6"/>
    <w:rsid w:val="006A1FA3"/>
    <w:rsid w:val="006A2089"/>
    <w:rsid w:val="006A2CA5"/>
    <w:rsid w:val="006A38F4"/>
    <w:rsid w:val="006A3BF7"/>
    <w:rsid w:val="006A4298"/>
    <w:rsid w:val="006A477B"/>
    <w:rsid w:val="006A4C44"/>
    <w:rsid w:val="006A76F2"/>
    <w:rsid w:val="006B014F"/>
    <w:rsid w:val="006B040B"/>
    <w:rsid w:val="006B0864"/>
    <w:rsid w:val="006B0C7C"/>
    <w:rsid w:val="006B139E"/>
    <w:rsid w:val="006B15A0"/>
    <w:rsid w:val="006B2036"/>
    <w:rsid w:val="006B203E"/>
    <w:rsid w:val="006B27E3"/>
    <w:rsid w:val="006B2E02"/>
    <w:rsid w:val="006B2EA2"/>
    <w:rsid w:val="006B3183"/>
    <w:rsid w:val="006B3CB1"/>
    <w:rsid w:val="006B5946"/>
    <w:rsid w:val="006B6A7F"/>
    <w:rsid w:val="006B72E0"/>
    <w:rsid w:val="006B791D"/>
    <w:rsid w:val="006B7D96"/>
    <w:rsid w:val="006C00E0"/>
    <w:rsid w:val="006C1B6A"/>
    <w:rsid w:val="006C2948"/>
    <w:rsid w:val="006C2CEC"/>
    <w:rsid w:val="006C3A8A"/>
    <w:rsid w:val="006C3DDA"/>
    <w:rsid w:val="006C5C47"/>
    <w:rsid w:val="006C5CA2"/>
    <w:rsid w:val="006C60A8"/>
    <w:rsid w:val="006C6307"/>
    <w:rsid w:val="006C7CFC"/>
    <w:rsid w:val="006D193A"/>
    <w:rsid w:val="006D1A8C"/>
    <w:rsid w:val="006D1C31"/>
    <w:rsid w:val="006D2434"/>
    <w:rsid w:val="006D3277"/>
    <w:rsid w:val="006D3CB5"/>
    <w:rsid w:val="006D422C"/>
    <w:rsid w:val="006D6119"/>
    <w:rsid w:val="006D6F6B"/>
    <w:rsid w:val="006D7EFB"/>
    <w:rsid w:val="006E0097"/>
    <w:rsid w:val="006E21FB"/>
    <w:rsid w:val="006E22BE"/>
    <w:rsid w:val="006E4119"/>
    <w:rsid w:val="006E4FFB"/>
    <w:rsid w:val="006E5A99"/>
    <w:rsid w:val="006E6672"/>
    <w:rsid w:val="006E6722"/>
    <w:rsid w:val="006E7693"/>
    <w:rsid w:val="006F10F1"/>
    <w:rsid w:val="006F1929"/>
    <w:rsid w:val="006F34E8"/>
    <w:rsid w:val="006F4787"/>
    <w:rsid w:val="006F4ACF"/>
    <w:rsid w:val="006F4B17"/>
    <w:rsid w:val="007005C3"/>
    <w:rsid w:val="0070123A"/>
    <w:rsid w:val="00701970"/>
    <w:rsid w:val="007027B9"/>
    <w:rsid w:val="00702F24"/>
    <w:rsid w:val="00703C78"/>
    <w:rsid w:val="007063B3"/>
    <w:rsid w:val="00706610"/>
    <w:rsid w:val="007117E9"/>
    <w:rsid w:val="00713D8F"/>
    <w:rsid w:val="00713DD9"/>
    <w:rsid w:val="007144CE"/>
    <w:rsid w:val="00714543"/>
    <w:rsid w:val="00715CE3"/>
    <w:rsid w:val="00715E88"/>
    <w:rsid w:val="00715F5D"/>
    <w:rsid w:val="00716745"/>
    <w:rsid w:val="00716896"/>
    <w:rsid w:val="00716B27"/>
    <w:rsid w:val="00722888"/>
    <w:rsid w:val="007232FD"/>
    <w:rsid w:val="00723E49"/>
    <w:rsid w:val="00724E0C"/>
    <w:rsid w:val="00724E6B"/>
    <w:rsid w:val="0072508B"/>
    <w:rsid w:val="00727402"/>
    <w:rsid w:val="007275E4"/>
    <w:rsid w:val="007306FD"/>
    <w:rsid w:val="00732257"/>
    <w:rsid w:val="00733171"/>
    <w:rsid w:val="00734CAA"/>
    <w:rsid w:val="00734CD1"/>
    <w:rsid w:val="00736583"/>
    <w:rsid w:val="00736671"/>
    <w:rsid w:val="007368C2"/>
    <w:rsid w:val="00736C49"/>
    <w:rsid w:val="00736E0F"/>
    <w:rsid w:val="00737C00"/>
    <w:rsid w:val="007414B0"/>
    <w:rsid w:val="0074203D"/>
    <w:rsid w:val="007421DC"/>
    <w:rsid w:val="00742207"/>
    <w:rsid w:val="00743E63"/>
    <w:rsid w:val="00744782"/>
    <w:rsid w:val="0074782E"/>
    <w:rsid w:val="007512CA"/>
    <w:rsid w:val="00752041"/>
    <w:rsid w:val="0075356F"/>
    <w:rsid w:val="0075473A"/>
    <w:rsid w:val="00754AA5"/>
    <w:rsid w:val="00754AAD"/>
    <w:rsid w:val="00755106"/>
    <w:rsid w:val="0075533C"/>
    <w:rsid w:val="007572A2"/>
    <w:rsid w:val="00757581"/>
    <w:rsid w:val="00757E55"/>
    <w:rsid w:val="007608C1"/>
    <w:rsid w:val="00760B88"/>
    <w:rsid w:val="007611A0"/>
    <w:rsid w:val="00762144"/>
    <w:rsid w:val="007658A0"/>
    <w:rsid w:val="00765EEF"/>
    <w:rsid w:val="00766A82"/>
    <w:rsid w:val="0077027F"/>
    <w:rsid w:val="007703DC"/>
    <w:rsid w:val="00770B07"/>
    <w:rsid w:val="0077125C"/>
    <w:rsid w:val="00771290"/>
    <w:rsid w:val="00771390"/>
    <w:rsid w:val="00771992"/>
    <w:rsid w:val="00771F89"/>
    <w:rsid w:val="00772146"/>
    <w:rsid w:val="00772ABF"/>
    <w:rsid w:val="007732B8"/>
    <w:rsid w:val="00774179"/>
    <w:rsid w:val="0077418C"/>
    <w:rsid w:val="007742F4"/>
    <w:rsid w:val="007743EA"/>
    <w:rsid w:val="007746FA"/>
    <w:rsid w:val="00775667"/>
    <w:rsid w:val="00775983"/>
    <w:rsid w:val="00775EB3"/>
    <w:rsid w:val="007761E3"/>
    <w:rsid w:val="0077718D"/>
    <w:rsid w:val="00777666"/>
    <w:rsid w:val="00783907"/>
    <w:rsid w:val="00784373"/>
    <w:rsid w:val="00784BA9"/>
    <w:rsid w:val="00784BB7"/>
    <w:rsid w:val="00785475"/>
    <w:rsid w:val="00786B52"/>
    <w:rsid w:val="00786BC1"/>
    <w:rsid w:val="00786DC3"/>
    <w:rsid w:val="007872BA"/>
    <w:rsid w:val="0079063E"/>
    <w:rsid w:val="00790F24"/>
    <w:rsid w:val="007912E4"/>
    <w:rsid w:val="007913D3"/>
    <w:rsid w:val="00791DA9"/>
    <w:rsid w:val="00792448"/>
    <w:rsid w:val="00792458"/>
    <w:rsid w:val="0079255E"/>
    <w:rsid w:val="00792761"/>
    <w:rsid w:val="00792B3B"/>
    <w:rsid w:val="00793036"/>
    <w:rsid w:val="007942BF"/>
    <w:rsid w:val="00794606"/>
    <w:rsid w:val="00794A14"/>
    <w:rsid w:val="00794F42"/>
    <w:rsid w:val="007954CA"/>
    <w:rsid w:val="00795EA4"/>
    <w:rsid w:val="00796D3F"/>
    <w:rsid w:val="00796EBB"/>
    <w:rsid w:val="007A12C7"/>
    <w:rsid w:val="007A15B7"/>
    <w:rsid w:val="007A1683"/>
    <w:rsid w:val="007A16AA"/>
    <w:rsid w:val="007A2391"/>
    <w:rsid w:val="007A29B2"/>
    <w:rsid w:val="007A2A2C"/>
    <w:rsid w:val="007A36F8"/>
    <w:rsid w:val="007A3B38"/>
    <w:rsid w:val="007A43C9"/>
    <w:rsid w:val="007A589E"/>
    <w:rsid w:val="007A5B5A"/>
    <w:rsid w:val="007A5C12"/>
    <w:rsid w:val="007A7103"/>
    <w:rsid w:val="007A7CB0"/>
    <w:rsid w:val="007B059E"/>
    <w:rsid w:val="007B16BB"/>
    <w:rsid w:val="007B1C16"/>
    <w:rsid w:val="007B23A7"/>
    <w:rsid w:val="007B2634"/>
    <w:rsid w:val="007B274A"/>
    <w:rsid w:val="007B4AAA"/>
    <w:rsid w:val="007B4F63"/>
    <w:rsid w:val="007B53D1"/>
    <w:rsid w:val="007B5F32"/>
    <w:rsid w:val="007B68A3"/>
    <w:rsid w:val="007B6E72"/>
    <w:rsid w:val="007B773D"/>
    <w:rsid w:val="007B7BCD"/>
    <w:rsid w:val="007C09FC"/>
    <w:rsid w:val="007C0D8E"/>
    <w:rsid w:val="007C2541"/>
    <w:rsid w:val="007C293A"/>
    <w:rsid w:val="007C2B52"/>
    <w:rsid w:val="007C2F87"/>
    <w:rsid w:val="007C2FF9"/>
    <w:rsid w:val="007C3CFA"/>
    <w:rsid w:val="007C4676"/>
    <w:rsid w:val="007D03AC"/>
    <w:rsid w:val="007D5C0D"/>
    <w:rsid w:val="007D5E11"/>
    <w:rsid w:val="007D66A8"/>
    <w:rsid w:val="007D773D"/>
    <w:rsid w:val="007E003F"/>
    <w:rsid w:val="007E0ED0"/>
    <w:rsid w:val="007E1189"/>
    <w:rsid w:val="007E1E65"/>
    <w:rsid w:val="007E2419"/>
    <w:rsid w:val="007E256D"/>
    <w:rsid w:val="007E561B"/>
    <w:rsid w:val="007E5E57"/>
    <w:rsid w:val="007E751D"/>
    <w:rsid w:val="007E78C7"/>
    <w:rsid w:val="007F1671"/>
    <w:rsid w:val="007F5D1F"/>
    <w:rsid w:val="007F6746"/>
    <w:rsid w:val="007F6EEA"/>
    <w:rsid w:val="007F752E"/>
    <w:rsid w:val="00800E9B"/>
    <w:rsid w:val="00801B84"/>
    <w:rsid w:val="00801DE0"/>
    <w:rsid w:val="0080240A"/>
    <w:rsid w:val="008029D3"/>
    <w:rsid w:val="00802DE9"/>
    <w:rsid w:val="00802E72"/>
    <w:rsid w:val="008039D8"/>
    <w:rsid w:val="00803BB1"/>
    <w:rsid w:val="00805C8E"/>
    <w:rsid w:val="00805F1D"/>
    <w:rsid w:val="00806B8C"/>
    <w:rsid w:val="00806D53"/>
    <w:rsid w:val="00810688"/>
    <w:rsid w:val="00810A0B"/>
    <w:rsid w:val="008123EA"/>
    <w:rsid w:val="00813B38"/>
    <w:rsid w:val="008141B1"/>
    <w:rsid w:val="008148A8"/>
    <w:rsid w:val="00814C20"/>
    <w:rsid w:val="008164F2"/>
    <w:rsid w:val="00816890"/>
    <w:rsid w:val="008202E4"/>
    <w:rsid w:val="00821395"/>
    <w:rsid w:val="0082154E"/>
    <w:rsid w:val="0082281B"/>
    <w:rsid w:val="0082319A"/>
    <w:rsid w:val="00824906"/>
    <w:rsid w:val="008265E7"/>
    <w:rsid w:val="00830E26"/>
    <w:rsid w:val="00832067"/>
    <w:rsid w:val="00833682"/>
    <w:rsid w:val="00833A19"/>
    <w:rsid w:val="008364B9"/>
    <w:rsid w:val="00837BF9"/>
    <w:rsid w:val="008403EB"/>
    <w:rsid w:val="00840CCB"/>
    <w:rsid w:val="00840E89"/>
    <w:rsid w:val="00842943"/>
    <w:rsid w:val="00842DAB"/>
    <w:rsid w:val="00843082"/>
    <w:rsid w:val="00843576"/>
    <w:rsid w:val="00843B64"/>
    <w:rsid w:val="00844582"/>
    <w:rsid w:val="00845B6C"/>
    <w:rsid w:val="00845FF1"/>
    <w:rsid w:val="00846CC7"/>
    <w:rsid w:val="008470BD"/>
    <w:rsid w:val="008478FC"/>
    <w:rsid w:val="00847AF4"/>
    <w:rsid w:val="00847FEA"/>
    <w:rsid w:val="008506FC"/>
    <w:rsid w:val="00852818"/>
    <w:rsid w:val="00852F28"/>
    <w:rsid w:val="00853AF9"/>
    <w:rsid w:val="008540BA"/>
    <w:rsid w:val="00855AD3"/>
    <w:rsid w:val="0085685D"/>
    <w:rsid w:val="008573B3"/>
    <w:rsid w:val="0085750A"/>
    <w:rsid w:val="00857949"/>
    <w:rsid w:val="0086039B"/>
    <w:rsid w:val="00861E45"/>
    <w:rsid w:val="00862D13"/>
    <w:rsid w:val="0086307F"/>
    <w:rsid w:val="00863726"/>
    <w:rsid w:val="00863A1F"/>
    <w:rsid w:val="008654AC"/>
    <w:rsid w:val="00865ABF"/>
    <w:rsid w:val="008665F0"/>
    <w:rsid w:val="00867BFF"/>
    <w:rsid w:val="0087076E"/>
    <w:rsid w:val="00871D22"/>
    <w:rsid w:val="008725E7"/>
    <w:rsid w:val="00872B32"/>
    <w:rsid w:val="00873E18"/>
    <w:rsid w:val="008741F3"/>
    <w:rsid w:val="00874E4C"/>
    <w:rsid w:val="00875280"/>
    <w:rsid w:val="008757BB"/>
    <w:rsid w:val="00876C28"/>
    <w:rsid w:val="00877D0D"/>
    <w:rsid w:val="00877D1D"/>
    <w:rsid w:val="00880900"/>
    <w:rsid w:val="00882A34"/>
    <w:rsid w:val="0088337E"/>
    <w:rsid w:val="0088480A"/>
    <w:rsid w:val="00885B88"/>
    <w:rsid w:val="00886A9B"/>
    <w:rsid w:val="0088757A"/>
    <w:rsid w:val="00887DB7"/>
    <w:rsid w:val="00890922"/>
    <w:rsid w:val="00892B84"/>
    <w:rsid w:val="00893E4F"/>
    <w:rsid w:val="0089493D"/>
    <w:rsid w:val="00894985"/>
    <w:rsid w:val="008957DD"/>
    <w:rsid w:val="00897058"/>
    <w:rsid w:val="00897239"/>
    <w:rsid w:val="0089790B"/>
    <w:rsid w:val="00897D98"/>
    <w:rsid w:val="008A02D1"/>
    <w:rsid w:val="008A0AB6"/>
    <w:rsid w:val="008A26B4"/>
    <w:rsid w:val="008A2D51"/>
    <w:rsid w:val="008A41EE"/>
    <w:rsid w:val="008A5277"/>
    <w:rsid w:val="008A5968"/>
    <w:rsid w:val="008A6222"/>
    <w:rsid w:val="008A6635"/>
    <w:rsid w:val="008A6DF2"/>
    <w:rsid w:val="008A76F3"/>
    <w:rsid w:val="008A7807"/>
    <w:rsid w:val="008A7C36"/>
    <w:rsid w:val="008A7C8B"/>
    <w:rsid w:val="008B0131"/>
    <w:rsid w:val="008B02B6"/>
    <w:rsid w:val="008B0D6B"/>
    <w:rsid w:val="008B3832"/>
    <w:rsid w:val="008B48A1"/>
    <w:rsid w:val="008B4CC9"/>
    <w:rsid w:val="008B55C8"/>
    <w:rsid w:val="008B5895"/>
    <w:rsid w:val="008B7D07"/>
    <w:rsid w:val="008B7D3D"/>
    <w:rsid w:val="008C007C"/>
    <w:rsid w:val="008C07F8"/>
    <w:rsid w:val="008C0B48"/>
    <w:rsid w:val="008C125C"/>
    <w:rsid w:val="008C1317"/>
    <w:rsid w:val="008C13F0"/>
    <w:rsid w:val="008C1B8B"/>
    <w:rsid w:val="008C24C2"/>
    <w:rsid w:val="008C2EA3"/>
    <w:rsid w:val="008C302A"/>
    <w:rsid w:val="008C4844"/>
    <w:rsid w:val="008C48EB"/>
    <w:rsid w:val="008C4E9B"/>
    <w:rsid w:val="008C5AF7"/>
    <w:rsid w:val="008C6945"/>
    <w:rsid w:val="008C6D8B"/>
    <w:rsid w:val="008D1276"/>
    <w:rsid w:val="008D1CB3"/>
    <w:rsid w:val="008D2157"/>
    <w:rsid w:val="008D22B5"/>
    <w:rsid w:val="008D2C2F"/>
    <w:rsid w:val="008D3AE0"/>
    <w:rsid w:val="008D5FB0"/>
    <w:rsid w:val="008D68B6"/>
    <w:rsid w:val="008D6EDA"/>
    <w:rsid w:val="008D7C99"/>
    <w:rsid w:val="008E095C"/>
    <w:rsid w:val="008E0CBF"/>
    <w:rsid w:val="008E0FCB"/>
    <w:rsid w:val="008E11C5"/>
    <w:rsid w:val="008E258D"/>
    <w:rsid w:val="008E61D9"/>
    <w:rsid w:val="008E70A9"/>
    <w:rsid w:val="008E75FF"/>
    <w:rsid w:val="008E78C2"/>
    <w:rsid w:val="008F0B99"/>
    <w:rsid w:val="008F1938"/>
    <w:rsid w:val="008F1B3E"/>
    <w:rsid w:val="008F2775"/>
    <w:rsid w:val="008F3634"/>
    <w:rsid w:val="008F4C80"/>
    <w:rsid w:val="008F4E7E"/>
    <w:rsid w:val="008F50D5"/>
    <w:rsid w:val="008F5A91"/>
    <w:rsid w:val="008F611A"/>
    <w:rsid w:val="008F63BF"/>
    <w:rsid w:val="00900250"/>
    <w:rsid w:val="00900980"/>
    <w:rsid w:val="00900A97"/>
    <w:rsid w:val="00902F69"/>
    <w:rsid w:val="00904A96"/>
    <w:rsid w:val="00905AC1"/>
    <w:rsid w:val="00905C73"/>
    <w:rsid w:val="00906B5B"/>
    <w:rsid w:val="00907107"/>
    <w:rsid w:val="0090765B"/>
    <w:rsid w:val="009078A4"/>
    <w:rsid w:val="00907A48"/>
    <w:rsid w:val="00907D78"/>
    <w:rsid w:val="009111C4"/>
    <w:rsid w:val="009119D4"/>
    <w:rsid w:val="00912622"/>
    <w:rsid w:val="00913C18"/>
    <w:rsid w:val="00913C34"/>
    <w:rsid w:val="0091488A"/>
    <w:rsid w:val="0091490A"/>
    <w:rsid w:val="00916BB8"/>
    <w:rsid w:val="00916C99"/>
    <w:rsid w:val="00916FA7"/>
    <w:rsid w:val="0092046E"/>
    <w:rsid w:val="00920494"/>
    <w:rsid w:val="009208B6"/>
    <w:rsid w:val="00920B76"/>
    <w:rsid w:val="00920C94"/>
    <w:rsid w:val="0092178C"/>
    <w:rsid w:val="00921C85"/>
    <w:rsid w:val="009226BF"/>
    <w:rsid w:val="009227C1"/>
    <w:rsid w:val="00922DA6"/>
    <w:rsid w:val="00923B72"/>
    <w:rsid w:val="0092493F"/>
    <w:rsid w:val="00924F9B"/>
    <w:rsid w:val="00925858"/>
    <w:rsid w:val="00925AAB"/>
    <w:rsid w:val="009261E1"/>
    <w:rsid w:val="0092792B"/>
    <w:rsid w:val="00930233"/>
    <w:rsid w:val="0093026F"/>
    <w:rsid w:val="009305DF"/>
    <w:rsid w:val="00930B88"/>
    <w:rsid w:val="00930DF4"/>
    <w:rsid w:val="0093138A"/>
    <w:rsid w:val="00931B07"/>
    <w:rsid w:val="00932A44"/>
    <w:rsid w:val="00933858"/>
    <w:rsid w:val="00934CF0"/>
    <w:rsid w:val="009356D3"/>
    <w:rsid w:val="009378DC"/>
    <w:rsid w:val="00940DCC"/>
    <w:rsid w:val="009414A0"/>
    <w:rsid w:val="00941650"/>
    <w:rsid w:val="0094179A"/>
    <w:rsid w:val="00942D67"/>
    <w:rsid w:val="009430AF"/>
    <w:rsid w:val="0094327D"/>
    <w:rsid w:val="00943322"/>
    <w:rsid w:val="0094459E"/>
    <w:rsid w:val="009446B1"/>
    <w:rsid w:val="00944C69"/>
    <w:rsid w:val="00944DBC"/>
    <w:rsid w:val="0094511B"/>
    <w:rsid w:val="00945864"/>
    <w:rsid w:val="009479FA"/>
    <w:rsid w:val="00950977"/>
    <w:rsid w:val="00950ABE"/>
    <w:rsid w:val="00951A7B"/>
    <w:rsid w:val="009526FF"/>
    <w:rsid w:val="00953593"/>
    <w:rsid w:val="009536F8"/>
    <w:rsid w:val="009537E3"/>
    <w:rsid w:val="00953C56"/>
    <w:rsid w:val="00954F0F"/>
    <w:rsid w:val="0095558D"/>
    <w:rsid w:val="009564A6"/>
    <w:rsid w:val="00957071"/>
    <w:rsid w:val="009570D7"/>
    <w:rsid w:val="00957228"/>
    <w:rsid w:val="00957240"/>
    <w:rsid w:val="0095750A"/>
    <w:rsid w:val="00957FD8"/>
    <w:rsid w:val="00960060"/>
    <w:rsid w:val="00961A33"/>
    <w:rsid w:val="009628B9"/>
    <w:rsid w:val="00963D61"/>
    <w:rsid w:val="00964459"/>
    <w:rsid w:val="00964DE8"/>
    <w:rsid w:val="009651EE"/>
    <w:rsid w:val="00965ABE"/>
    <w:rsid w:val="009660E1"/>
    <w:rsid w:val="00966773"/>
    <w:rsid w:val="00966971"/>
    <w:rsid w:val="00967621"/>
    <w:rsid w:val="00967E6A"/>
    <w:rsid w:val="00967EE8"/>
    <w:rsid w:val="00970DFB"/>
    <w:rsid w:val="00970E9B"/>
    <w:rsid w:val="00973C01"/>
    <w:rsid w:val="00974468"/>
    <w:rsid w:val="009746B5"/>
    <w:rsid w:val="009752CA"/>
    <w:rsid w:val="00975548"/>
    <w:rsid w:val="00977DF8"/>
    <w:rsid w:val="00977E8A"/>
    <w:rsid w:val="0098049A"/>
    <w:rsid w:val="00980797"/>
    <w:rsid w:val="009807CF"/>
    <w:rsid w:val="00980BA0"/>
    <w:rsid w:val="00981329"/>
    <w:rsid w:val="009816DC"/>
    <w:rsid w:val="00982AA9"/>
    <w:rsid w:val="00984975"/>
    <w:rsid w:val="00985B8A"/>
    <w:rsid w:val="00986C64"/>
    <w:rsid w:val="009904D7"/>
    <w:rsid w:val="009912B8"/>
    <w:rsid w:val="00991589"/>
    <w:rsid w:val="00991651"/>
    <w:rsid w:val="0099167B"/>
    <w:rsid w:val="00991C39"/>
    <w:rsid w:val="00992975"/>
    <w:rsid w:val="009935AC"/>
    <w:rsid w:val="00993853"/>
    <w:rsid w:val="00993FCC"/>
    <w:rsid w:val="009946C0"/>
    <w:rsid w:val="0099475F"/>
    <w:rsid w:val="00995805"/>
    <w:rsid w:val="009966C9"/>
    <w:rsid w:val="00996F96"/>
    <w:rsid w:val="00997E0B"/>
    <w:rsid w:val="009A0E20"/>
    <w:rsid w:val="009A246A"/>
    <w:rsid w:val="009A2AED"/>
    <w:rsid w:val="009A3700"/>
    <w:rsid w:val="009A3AA6"/>
    <w:rsid w:val="009A55A3"/>
    <w:rsid w:val="009A56A3"/>
    <w:rsid w:val="009A56D9"/>
    <w:rsid w:val="009A5D2B"/>
    <w:rsid w:val="009A6054"/>
    <w:rsid w:val="009A6C2C"/>
    <w:rsid w:val="009B04A9"/>
    <w:rsid w:val="009B2A1A"/>
    <w:rsid w:val="009B3690"/>
    <w:rsid w:val="009B4A0F"/>
    <w:rsid w:val="009B4CEB"/>
    <w:rsid w:val="009B5908"/>
    <w:rsid w:val="009B5AB7"/>
    <w:rsid w:val="009B660E"/>
    <w:rsid w:val="009B67EE"/>
    <w:rsid w:val="009B6E2B"/>
    <w:rsid w:val="009B7934"/>
    <w:rsid w:val="009C0FEC"/>
    <w:rsid w:val="009C11D2"/>
    <w:rsid w:val="009C13A4"/>
    <w:rsid w:val="009C1BA1"/>
    <w:rsid w:val="009C1BA5"/>
    <w:rsid w:val="009C1C60"/>
    <w:rsid w:val="009C1E01"/>
    <w:rsid w:val="009C1FD1"/>
    <w:rsid w:val="009C3525"/>
    <w:rsid w:val="009C3545"/>
    <w:rsid w:val="009C43EA"/>
    <w:rsid w:val="009C580A"/>
    <w:rsid w:val="009C5E94"/>
    <w:rsid w:val="009C6AFD"/>
    <w:rsid w:val="009C6C70"/>
    <w:rsid w:val="009D00F5"/>
    <w:rsid w:val="009D0922"/>
    <w:rsid w:val="009D0B63"/>
    <w:rsid w:val="009D18C8"/>
    <w:rsid w:val="009D1C62"/>
    <w:rsid w:val="009D2107"/>
    <w:rsid w:val="009D3FF3"/>
    <w:rsid w:val="009D4541"/>
    <w:rsid w:val="009D4ACA"/>
    <w:rsid w:val="009D4E6A"/>
    <w:rsid w:val="009D50C2"/>
    <w:rsid w:val="009D61B1"/>
    <w:rsid w:val="009D7194"/>
    <w:rsid w:val="009E039E"/>
    <w:rsid w:val="009E0700"/>
    <w:rsid w:val="009E1900"/>
    <w:rsid w:val="009E1A50"/>
    <w:rsid w:val="009E307E"/>
    <w:rsid w:val="009E343D"/>
    <w:rsid w:val="009E47E3"/>
    <w:rsid w:val="009E730D"/>
    <w:rsid w:val="009F1D90"/>
    <w:rsid w:val="009F1FB2"/>
    <w:rsid w:val="009F4AC0"/>
    <w:rsid w:val="009F5595"/>
    <w:rsid w:val="009F56F8"/>
    <w:rsid w:val="009F58AD"/>
    <w:rsid w:val="009F58DC"/>
    <w:rsid w:val="009F752B"/>
    <w:rsid w:val="009F7BA2"/>
    <w:rsid w:val="00A0056B"/>
    <w:rsid w:val="00A01A80"/>
    <w:rsid w:val="00A01F1D"/>
    <w:rsid w:val="00A026C5"/>
    <w:rsid w:val="00A03A4A"/>
    <w:rsid w:val="00A03DB3"/>
    <w:rsid w:val="00A0444D"/>
    <w:rsid w:val="00A04B38"/>
    <w:rsid w:val="00A04F5E"/>
    <w:rsid w:val="00A0769C"/>
    <w:rsid w:val="00A07783"/>
    <w:rsid w:val="00A07870"/>
    <w:rsid w:val="00A07B86"/>
    <w:rsid w:val="00A07F19"/>
    <w:rsid w:val="00A1006E"/>
    <w:rsid w:val="00A10235"/>
    <w:rsid w:val="00A106C9"/>
    <w:rsid w:val="00A109C0"/>
    <w:rsid w:val="00A10B53"/>
    <w:rsid w:val="00A10E59"/>
    <w:rsid w:val="00A114D9"/>
    <w:rsid w:val="00A12A19"/>
    <w:rsid w:val="00A1348D"/>
    <w:rsid w:val="00A13681"/>
    <w:rsid w:val="00A142D1"/>
    <w:rsid w:val="00A1489E"/>
    <w:rsid w:val="00A15E17"/>
    <w:rsid w:val="00A17DC2"/>
    <w:rsid w:val="00A20A0A"/>
    <w:rsid w:val="00A21560"/>
    <w:rsid w:val="00A22AC7"/>
    <w:rsid w:val="00A232EE"/>
    <w:rsid w:val="00A23C7D"/>
    <w:rsid w:val="00A244B4"/>
    <w:rsid w:val="00A27103"/>
    <w:rsid w:val="00A27643"/>
    <w:rsid w:val="00A27D70"/>
    <w:rsid w:val="00A30F56"/>
    <w:rsid w:val="00A321C0"/>
    <w:rsid w:val="00A34BF0"/>
    <w:rsid w:val="00A3539F"/>
    <w:rsid w:val="00A4175F"/>
    <w:rsid w:val="00A428B1"/>
    <w:rsid w:val="00A440A3"/>
    <w:rsid w:val="00A442FE"/>
    <w:rsid w:val="00A44411"/>
    <w:rsid w:val="00A4464D"/>
    <w:rsid w:val="00A4482B"/>
    <w:rsid w:val="00A44939"/>
    <w:rsid w:val="00A45AEF"/>
    <w:rsid w:val="00A461DE"/>
    <w:rsid w:val="00A4669C"/>
    <w:rsid w:val="00A469FA"/>
    <w:rsid w:val="00A472FF"/>
    <w:rsid w:val="00A47893"/>
    <w:rsid w:val="00A50E94"/>
    <w:rsid w:val="00A52169"/>
    <w:rsid w:val="00A53379"/>
    <w:rsid w:val="00A53914"/>
    <w:rsid w:val="00A54A76"/>
    <w:rsid w:val="00A5531C"/>
    <w:rsid w:val="00A55B01"/>
    <w:rsid w:val="00A55BEC"/>
    <w:rsid w:val="00A56B5B"/>
    <w:rsid w:val="00A574E6"/>
    <w:rsid w:val="00A57F91"/>
    <w:rsid w:val="00A60367"/>
    <w:rsid w:val="00A603FF"/>
    <w:rsid w:val="00A60958"/>
    <w:rsid w:val="00A60A96"/>
    <w:rsid w:val="00A60DDD"/>
    <w:rsid w:val="00A60E51"/>
    <w:rsid w:val="00A6140E"/>
    <w:rsid w:val="00A61760"/>
    <w:rsid w:val="00A62B23"/>
    <w:rsid w:val="00A63E87"/>
    <w:rsid w:val="00A64399"/>
    <w:rsid w:val="00A650DF"/>
    <w:rsid w:val="00A657DD"/>
    <w:rsid w:val="00A65D6B"/>
    <w:rsid w:val="00A65EED"/>
    <w:rsid w:val="00A666A6"/>
    <w:rsid w:val="00A67137"/>
    <w:rsid w:val="00A675FD"/>
    <w:rsid w:val="00A67E08"/>
    <w:rsid w:val="00A713FE"/>
    <w:rsid w:val="00A715A4"/>
    <w:rsid w:val="00A71C96"/>
    <w:rsid w:val="00A72437"/>
    <w:rsid w:val="00A72A05"/>
    <w:rsid w:val="00A72D5C"/>
    <w:rsid w:val="00A72E88"/>
    <w:rsid w:val="00A7413C"/>
    <w:rsid w:val="00A74313"/>
    <w:rsid w:val="00A74529"/>
    <w:rsid w:val="00A759D2"/>
    <w:rsid w:val="00A7684B"/>
    <w:rsid w:val="00A77324"/>
    <w:rsid w:val="00A80611"/>
    <w:rsid w:val="00A80953"/>
    <w:rsid w:val="00A81B9C"/>
    <w:rsid w:val="00A8257F"/>
    <w:rsid w:val="00A84008"/>
    <w:rsid w:val="00A84478"/>
    <w:rsid w:val="00A849E1"/>
    <w:rsid w:val="00A84B15"/>
    <w:rsid w:val="00A85821"/>
    <w:rsid w:val="00A8636A"/>
    <w:rsid w:val="00A86C57"/>
    <w:rsid w:val="00A87016"/>
    <w:rsid w:val="00A8780E"/>
    <w:rsid w:val="00A879CE"/>
    <w:rsid w:val="00A905BD"/>
    <w:rsid w:val="00A906EA"/>
    <w:rsid w:val="00A90CDB"/>
    <w:rsid w:val="00A90D27"/>
    <w:rsid w:val="00A91449"/>
    <w:rsid w:val="00A92546"/>
    <w:rsid w:val="00A9358E"/>
    <w:rsid w:val="00A94479"/>
    <w:rsid w:val="00A9491D"/>
    <w:rsid w:val="00A94C03"/>
    <w:rsid w:val="00A94C98"/>
    <w:rsid w:val="00A95441"/>
    <w:rsid w:val="00A95BAA"/>
    <w:rsid w:val="00A972E6"/>
    <w:rsid w:val="00AA1D0B"/>
    <w:rsid w:val="00AA2F2F"/>
    <w:rsid w:val="00AA31FE"/>
    <w:rsid w:val="00AA35AF"/>
    <w:rsid w:val="00AA4128"/>
    <w:rsid w:val="00AA4414"/>
    <w:rsid w:val="00AA4935"/>
    <w:rsid w:val="00AA5431"/>
    <w:rsid w:val="00AA70A4"/>
    <w:rsid w:val="00AB1661"/>
    <w:rsid w:val="00AB190D"/>
    <w:rsid w:val="00AB1F69"/>
    <w:rsid w:val="00AB2050"/>
    <w:rsid w:val="00AB2CDD"/>
    <w:rsid w:val="00AB3BE0"/>
    <w:rsid w:val="00AB453A"/>
    <w:rsid w:val="00AB4659"/>
    <w:rsid w:val="00AB5340"/>
    <w:rsid w:val="00AB5852"/>
    <w:rsid w:val="00AB5A85"/>
    <w:rsid w:val="00AB635F"/>
    <w:rsid w:val="00AB67A8"/>
    <w:rsid w:val="00AB6B01"/>
    <w:rsid w:val="00AB744F"/>
    <w:rsid w:val="00AC010E"/>
    <w:rsid w:val="00AC01CC"/>
    <w:rsid w:val="00AC0D23"/>
    <w:rsid w:val="00AC0E9E"/>
    <w:rsid w:val="00AC16B8"/>
    <w:rsid w:val="00AC42E4"/>
    <w:rsid w:val="00AC52C4"/>
    <w:rsid w:val="00AC65CA"/>
    <w:rsid w:val="00AC7C96"/>
    <w:rsid w:val="00AD0179"/>
    <w:rsid w:val="00AD12FB"/>
    <w:rsid w:val="00AD272F"/>
    <w:rsid w:val="00AD27C3"/>
    <w:rsid w:val="00AD4F18"/>
    <w:rsid w:val="00AD71E6"/>
    <w:rsid w:val="00AD7449"/>
    <w:rsid w:val="00AE04BD"/>
    <w:rsid w:val="00AE214F"/>
    <w:rsid w:val="00AE237D"/>
    <w:rsid w:val="00AE29B6"/>
    <w:rsid w:val="00AE2A3D"/>
    <w:rsid w:val="00AE378F"/>
    <w:rsid w:val="00AE3EE1"/>
    <w:rsid w:val="00AE502A"/>
    <w:rsid w:val="00AE510C"/>
    <w:rsid w:val="00AE5BF3"/>
    <w:rsid w:val="00AE5DDE"/>
    <w:rsid w:val="00AE6EC3"/>
    <w:rsid w:val="00AE7663"/>
    <w:rsid w:val="00AF0B0F"/>
    <w:rsid w:val="00AF0D9F"/>
    <w:rsid w:val="00AF0DF7"/>
    <w:rsid w:val="00AF24A0"/>
    <w:rsid w:val="00AF2869"/>
    <w:rsid w:val="00AF57DB"/>
    <w:rsid w:val="00AF605F"/>
    <w:rsid w:val="00AF69E2"/>
    <w:rsid w:val="00AF7199"/>
    <w:rsid w:val="00AF7C07"/>
    <w:rsid w:val="00B00646"/>
    <w:rsid w:val="00B02DF8"/>
    <w:rsid w:val="00B0305E"/>
    <w:rsid w:val="00B0504A"/>
    <w:rsid w:val="00B06DAB"/>
    <w:rsid w:val="00B0731E"/>
    <w:rsid w:val="00B1015A"/>
    <w:rsid w:val="00B114F7"/>
    <w:rsid w:val="00B17B94"/>
    <w:rsid w:val="00B20749"/>
    <w:rsid w:val="00B21EEA"/>
    <w:rsid w:val="00B2236A"/>
    <w:rsid w:val="00B22C93"/>
    <w:rsid w:val="00B22FD5"/>
    <w:rsid w:val="00B23B27"/>
    <w:rsid w:val="00B24246"/>
    <w:rsid w:val="00B24D07"/>
    <w:rsid w:val="00B24FAA"/>
    <w:rsid w:val="00B27586"/>
    <w:rsid w:val="00B27589"/>
    <w:rsid w:val="00B275D0"/>
    <w:rsid w:val="00B3046A"/>
    <w:rsid w:val="00B30508"/>
    <w:rsid w:val="00B30C27"/>
    <w:rsid w:val="00B323EF"/>
    <w:rsid w:val="00B33676"/>
    <w:rsid w:val="00B33A67"/>
    <w:rsid w:val="00B33FE4"/>
    <w:rsid w:val="00B34096"/>
    <w:rsid w:val="00B34184"/>
    <w:rsid w:val="00B34FD4"/>
    <w:rsid w:val="00B35FAD"/>
    <w:rsid w:val="00B37177"/>
    <w:rsid w:val="00B3722C"/>
    <w:rsid w:val="00B373F5"/>
    <w:rsid w:val="00B37723"/>
    <w:rsid w:val="00B37EF9"/>
    <w:rsid w:val="00B37F77"/>
    <w:rsid w:val="00B405B7"/>
    <w:rsid w:val="00B429EF"/>
    <w:rsid w:val="00B42CE4"/>
    <w:rsid w:val="00B454CB"/>
    <w:rsid w:val="00B45825"/>
    <w:rsid w:val="00B45E6D"/>
    <w:rsid w:val="00B46498"/>
    <w:rsid w:val="00B46656"/>
    <w:rsid w:val="00B4724B"/>
    <w:rsid w:val="00B504B3"/>
    <w:rsid w:val="00B51AB0"/>
    <w:rsid w:val="00B52222"/>
    <w:rsid w:val="00B523A2"/>
    <w:rsid w:val="00B54FE7"/>
    <w:rsid w:val="00B55CD8"/>
    <w:rsid w:val="00B561C6"/>
    <w:rsid w:val="00B575EA"/>
    <w:rsid w:val="00B57C47"/>
    <w:rsid w:val="00B57C74"/>
    <w:rsid w:val="00B603DB"/>
    <w:rsid w:val="00B6051F"/>
    <w:rsid w:val="00B60D1F"/>
    <w:rsid w:val="00B60FA6"/>
    <w:rsid w:val="00B62582"/>
    <w:rsid w:val="00B62C88"/>
    <w:rsid w:val="00B63695"/>
    <w:rsid w:val="00B64C19"/>
    <w:rsid w:val="00B661A5"/>
    <w:rsid w:val="00B66461"/>
    <w:rsid w:val="00B66762"/>
    <w:rsid w:val="00B66901"/>
    <w:rsid w:val="00B70A27"/>
    <w:rsid w:val="00B7165F"/>
    <w:rsid w:val="00B71E6D"/>
    <w:rsid w:val="00B72070"/>
    <w:rsid w:val="00B72898"/>
    <w:rsid w:val="00B73AE6"/>
    <w:rsid w:val="00B7425F"/>
    <w:rsid w:val="00B74BC9"/>
    <w:rsid w:val="00B74EEC"/>
    <w:rsid w:val="00B76BB3"/>
    <w:rsid w:val="00B77775"/>
    <w:rsid w:val="00B778EE"/>
    <w:rsid w:val="00B779E1"/>
    <w:rsid w:val="00B77C49"/>
    <w:rsid w:val="00B77EAC"/>
    <w:rsid w:val="00B81067"/>
    <w:rsid w:val="00B813D3"/>
    <w:rsid w:val="00B814FD"/>
    <w:rsid w:val="00B82F35"/>
    <w:rsid w:val="00B833D0"/>
    <w:rsid w:val="00B84398"/>
    <w:rsid w:val="00B843F0"/>
    <w:rsid w:val="00B85694"/>
    <w:rsid w:val="00B859A3"/>
    <w:rsid w:val="00B869DF"/>
    <w:rsid w:val="00B869F5"/>
    <w:rsid w:val="00B8744F"/>
    <w:rsid w:val="00B90544"/>
    <w:rsid w:val="00B912D3"/>
    <w:rsid w:val="00B91EE1"/>
    <w:rsid w:val="00B92C3F"/>
    <w:rsid w:val="00B96CAE"/>
    <w:rsid w:val="00B97125"/>
    <w:rsid w:val="00B97D22"/>
    <w:rsid w:val="00BA0090"/>
    <w:rsid w:val="00BA04AF"/>
    <w:rsid w:val="00BA1235"/>
    <w:rsid w:val="00BA1A67"/>
    <w:rsid w:val="00BA3B94"/>
    <w:rsid w:val="00BA4975"/>
    <w:rsid w:val="00BA4C40"/>
    <w:rsid w:val="00BA5486"/>
    <w:rsid w:val="00BA63BC"/>
    <w:rsid w:val="00BA6E41"/>
    <w:rsid w:val="00BA77FA"/>
    <w:rsid w:val="00BB1495"/>
    <w:rsid w:val="00BB3092"/>
    <w:rsid w:val="00BB3166"/>
    <w:rsid w:val="00BB3C64"/>
    <w:rsid w:val="00BB49DE"/>
    <w:rsid w:val="00BB4C68"/>
    <w:rsid w:val="00BB5100"/>
    <w:rsid w:val="00BB54C9"/>
    <w:rsid w:val="00BB5E51"/>
    <w:rsid w:val="00BB641A"/>
    <w:rsid w:val="00BB6E79"/>
    <w:rsid w:val="00BB7D03"/>
    <w:rsid w:val="00BC07FE"/>
    <w:rsid w:val="00BC0BF1"/>
    <w:rsid w:val="00BC1399"/>
    <w:rsid w:val="00BC29ED"/>
    <w:rsid w:val="00BC2C7C"/>
    <w:rsid w:val="00BC3444"/>
    <w:rsid w:val="00BC55B0"/>
    <w:rsid w:val="00BC5D71"/>
    <w:rsid w:val="00BC62D6"/>
    <w:rsid w:val="00BC64AF"/>
    <w:rsid w:val="00BC69A4"/>
    <w:rsid w:val="00BC71BA"/>
    <w:rsid w:val="00BC74D1"/>
    <w:rsid w:val="00BC7891"/>
    <w:rsid w:val="00BD0163"/>
    <w:rsid w:val="00BD0CF6"/>
    <w:rsid w:val="00BD0DBE"/>
    <w:rsid w:val="00BD10CC"/>
    <w:rsid w:val="00BD159E"/>
    <w:rsid w:val="00BD17C8"/>
    <w:rsid w:val="00BD27CE"/>
    <w:rsid w:val="00BD31E6"/>
    <w:rsid w:val="00BD3741"/>
    <w:rsid w:val="00BD5863"/>
    <w:rsid w:val="00BD5AB5"/>
    <w:rsid w:val="00BD6E7D"/>
    <w:rsid w:val="00BE05AF"/>
    <w:rsid w:val="00BE0A31"/>
    <w:rsid w:val="00BE1EA2"/>
    <w:rsid w:val="00BE1EA8"/>
    <w:rsid w:val="00BE214D"/>
    <w:rsid w:val="00BE29E8"/>
    <w:rsid w:val="00BE5B5F"/>
    <w:rsid w:val="00BE68F3"/>
    <w:rsid w:val="00BE6B92"/>
    <w:rsid w:val="00BE6DD0"/>
    <w:rsid w:val="00BE7655"/>
    <w:rsid w:val="00BE7664"/>
    <w:rsid w:val="00BE7B84"/>
    <w:rsid w:val="00BF0196"/>
    <w:rsid w:val="00BF0277"/>
    <w:rsid w:val="00BF1335"/>
    <w:rsid w:val="00BF1509"/>
    <w:rsid w:val="00BF1593"/>
    <w:rsid w:val="00BF1DB4"/>
    <w:rsid w:val="00BF24C8"/>
    <w:rsid w:val="00BF388C"/>
    <w:rsid w:val="00BF5452"/>
    <w:rsid w:val="00BF5B86"/>
    <w:rsid w:val="00BF702E"/>
    <w:rsid w:val="00BF721F"/>
    <w:rsid w:val="00BF7256"/>
    <w:rsid w:val="00C006DD"/>
    <w:rsid w:val="00C00C22"/>
    <w:rsid w:val="00C017D1"/>
    <w:rsid w:val="00C03334"/>
    <w:rsid w:val="00C03E1D"/>
    <w:rsid w:val="00C040A5"/>
    <w:rsid w:val="00C07566"/>
    <w:rsid w:val="00C07D75"/>
    <w:rsid w:val="00C117EF"/>
    <w:rsid w:val="00C121B9"/>
    <w:rsid w:val="00C12531"/>
    <w:rsid w:val="00C12919"/>
    <w:rsid w:val="00C1400A"/>
    <w:rsid w:val="00C154C2"/>
    <w:rsid w:val="00C1748F"/>
    <w:rsid w:val="00C20895"/>
    <w:rsid w:val="00C20972"/>
    <w:rsid w:val="00C209B5"/>
    <w:rsid w:val="00C21760"/>
    <w:rsid w:val="00C21E60"/>
    <w:rsid w:val="00C22FD7"/>
    <w:rsid w:val="00C25D11"/>
    <w:rsid w:val="00C2647B"/>
    <w:rsid w:val="00C26D06"/>
    <w:rsid w:val="00C26F55"/>
    <w:rsid w:val="00C27AA6"/>
    <w:rsid w:val="00C3012F"/>
    <w:rsid w:val="00C30C63"/>
    <w:rsid w:val="00C31309"/>
    <w:rsid w:val="00C31B59"/>
    <w:rsid w:val="00C31C9B"/>
    <w:rsid w:val="00C32B37"/>
    <w:rsid w:val="00C32DB9"/>
    <w:rsid w:val="00C34F6B"/>
    <w:rsid w:val="00C36187"/>
    <w:rsid w:val="00C36B8B"/>
    <w:rsid w:val="00C41508"/>
    <w:rsid w:val="00C4171E"/>
    <w:rsid w:val="00C4274B"/>
    <w:rsid w:val="00C427C1"/>
    <w:rsid w:val="00C42A6C"/>
    <w:rsid w:val="00C43DBC"/>
    <w:rsid w:val="00C44425"/>
    <w:rsid w:val="00C44695"/>
    <w:rsid w:val="00C46184"/>
    <w:rsid w:val="00C4671B"/>
    <w:rsid w:val="00C46C26"/>
    <w:rsid w:val="00C46C77"/>
    <w:rsid w:val="00C47210"/>
    <w:rsid w:val="00C475F8"/>
    <w:rsid w:val="00C47DBF"/>
    <w:rsid w:val="00C50820"/>
    <w:rsid w:val="00C50D6D"/>
    <w:rsid w:val="00C51423"/>
    <w:rsid w:val="00C53030"/>
    <w:rsid w:val="00C531CF"/>
    <w:rsid w:val="00C53371"/>
    <w:rsid w:val="00C53666"/>
    <w:rsid w:val="00C54383"/>
    <w:rsid w:val="00C54439"/>
    <w:rsid w:val="00C5527C"/>
    <w:rsid w:val="00C552FF"/>
    <w:rsid w:val="00C55851"/>
    <w:rsid w:val="00C558DA"/>
    <w:rsid w:val="00C55AF3"/>
    <w:rsid w:val="00C60713"/>
    <w:rsid w:val="00C607F7"/>
    <w:rsid w:val="00C60876"/>
    <w:rsid w:val="00C609BD"/>
    <w:rsid w:val="00C60CBE"/>
    <w:rsid w:val="00C6287E"/>
    <w:rsid w:val="00C630BD"/>
    <w:rsid w:val="00C64408"/>
    <w:rsid w:val="00C66412"/>
    <w:rsid w:val="00C675EE"/>
    <w:rsid w:val="00C7059B"/>
    <w:rsid w:val="00C70B49"/>
    <w:rsid w:val="00C71301"/>
    <w:rsid w:val="00C71EBB"/>
    <w:rsid w:val="00C73D67"/>
    <w:rsid w:val="00C73F20"/>
    <w:rsid w:val="00C74451"/>
    <w:rsid w:val="00C75C7C"/>
    <w:rsid w:val="00C75E81"/>
    <w:rsid w:val="00C76032"/>
    <w:rsid w:val="00C7644F"/>
    <w:rsid w:val="00C76824"/>
    <w:rsid w:val="00C76C6D"/>
    <w:rsid w:val="00C77E56"/>
    <w:rsid w:val="00C80370"/>
    <w:rsid w:val="00C8039D"/>
    <w:rsid w:val="00C81951"/>
    <w:rsid w:val="00C81998"/>
    <w:rsid w:val="00C81A33"/>
    <w:rsid w:val="00C82887"/>
    <w:rsid w:val="00C83798"/>
    <w:rsid w:val="00C8393A"/>
    <w:rsid w:val="00C83A8F"/>
    <w:rsid w:val="00C8428D"/>
    <w:rsid w:val="00C84759"/>
    <w:rsid w:val="00C87607"/>
    <w:rsid w:val="00C876C2"/>
    <w:rsid w:val="00C87E17"/>
    <w:rsid w:val="00C9030C"/>
    <w:rsid w:val="00C90D80"/>
    <w:rsid w:val="00C90FF9"/>
    <w:rsid w:val="00C921AF"/>
    <w:rsid w:val="00C923B7"/>
    <w:rsid w:val="00C94F13"/>
    <w:rsid w:val="00C950A5"/>
    <w:rsid w:val="00C958C2"/>
    <w:rsid w:val="00C97578"/>
    <w:rsid w:val="00C976B7"/>
    <w:rsid w:val="00CA0D48"/>
    <w:rsid w:val="00CA16EA"/>
    <w:rsid w:val="00CA2254"/>
    <w:rsid w:val="00CA3E37"/>
    <w:rsid w:val="00CA3F7F"/>
    <w:rsid w:val="00CA43F9"/>
    <w:rsid w:val="00CA4C22"/>
    <w:rsid w:val="00CA55B1"/>
    <w:rsid w:val="00CA6C7F"/>
    <w:rsid w:val="00CA78AF"/>
    <w:rsid w:val="00CB1AAA"/>
    <w:rsid w:val="00CB4E51"/>
    <w:rsid w:val="00CB4F9E"/>
    <w:rsid w:val="00CB5C43"/>
    <w:rsid w:val="00CB6886"/>
    <w:rsid w:val="00CB6F8C"/>
    <w:rsid w:val="00CB7617"/>
    <w:rsid w:val="00CB76EA"/>
    <w:rsid w:val="00CB7E8C"/>
    <w:rsid w:val="00CC019B"/>
    <w:rsid w:val="00CC0260"/>
    <w:rsid w:val="00CC07DC"/>
    <w:rsid w:val="00CC10A6"/>
    <w:rsid w:val="00CC34BB"/>
    <w:rsid w:val="00CC3502"/>
    <w:rsid w:val="00CC3BC2"/>
    <w:rsid w:val="00CC43F4"/>
    <w:rsid w:val="00CC461D"/>
    <w:rsid w:val="00CC590A"/>
    <w:rsid w:val="00CC6440"/>
    <w:rsid w:val="00CC6C3C"/>
    <w:rsid w:val="00CC6D57"/>
    <w:rsid w:val="00CD0D73"/>
    <w:rsid w:val="00CD331A"/>
    <w:rsid w:val="00CD4B7C"/>
    <w:rsid w:val="00CD5B90"/>
    <w:rsid w:val="00CD5EB8"/>
    <w:rsid w:val="00CD603F"/>
    <w:rsid w:val="00CD6949"/>
    <w:rsid w:val="00CD6AC7"/>
    <w:rsid w:val="00CD7044"/>
    <w:rsid w:val="00CD7658"/>
    <w:rsid w:val="00CE06F9"/>
    <w:rsid w:val="00CE08B9"/>
    <w:rsid w:val="00CE140B"/>
    <w:rsid w:val="00CE1BBD"/>
    <w:rsid w:val="00CE2C8B"/>
    <w:rsid w:val="00CE36FC"/>
    <w:rsid w:val="00CE4822"/>
    <w:rsid w:val="00CE4EE0"/>
    <w:rsid w:val="00CE4FDA"/>
    <w:rsid w:val="00CE524C"/>
    <w:rsid w:val="00CE5378"/>
    <w:rsid w:val="00CE57CC"/>
    <w:rsid w:val="00CE583E"/>
    <w:rsid w:val="00CE7CFD"/>
    <w:rsid w:val="00CF141F"/>
    <w:rsid w:val="00CF1F6E"/>
    <w:rsid w:val="00CF2900"/>
    <w:rsid w:val="00CF2B16"/>
    <w:rsid w:val="00CF4056"/>
    <w:rsid w:val="00CF4777"/>
    <w:rsid w:val="00CF5AF8"/>
    <w:rsid w:val="00CF6C33"/>
    <w:rsid w:val="00CF7B01"/>
    <w:rsid w:val="00CF7BF3"/>
    <w:rsid w:val="00CF7CA7"/>
    <w:rsid w:val="00D0022B"/>
    <w:rsid w:val="00D00BE3"/>
    <w:rsid w:val="00D01AB0"/>
    <w:rsid w:val="00D029A4"/>
    <w:rsid w:val="00D02CB2"/>
    <w:rsid w:val="00D03012"/>
    <w:rsid w:val="00D03BA5"/>
    <w:rsid w:val="00D03C44"/>
    <w:rsid w:val="00D051F9"/>
    <w:rsid w:val="00D05781"/>
    <w:rsid w:val="00D067BB"/>
    <w:rsid w:val="00D06883"/>
    <w:rsid w:val="00D068CA"/>
    <w:rsid w:val="00D06B0E"/>
    <w:rsid w:val="00D070CC"/>
    <w:rsid w:val="00D07D89"/>
    <w:rsid w:val="00D10893"/>
    <w:rsid w:val="00D10AA5"/>
    <w:rsid w:val="00D121B9"/>
    <w:rsid w:val="00D1352A"/>
    <w:rsid w:val="00D137AB"/>
    <w:rsid w:val="00D13EDE"/>
    <w:rsid w:val="00D13FD5"/>
    <w:rsid w:val="00D14747"/>
    <w:rsid w:val="00D169AF"/>
    <w:rsid w:val="00D16B2C"/>
    <w:rsid w:val="00D17557"/>
    <w:rsid w:val="00D17A63"/>
    <w:rsid w:val="00D17AAF"/>
    <w:rsid w:val="00D2011A"/>
    <w:rsid w:val="00D215BA"/>
    <w:rsid w:val="00D21884"/>
    <w:rsid w:val="00D21CCC"/>
    <w:rsid w:val="00D21FFE"/>
    <w:rsid w:val="00D226FE"/>
    <w:rsid w:val="00D22BEC"/>
    <w:rsid w:val="00D239B1"/>
    <w:rsid w:val="00D2464A"/>
    <w:rsid w:val="00D24F79"/>
    <w:rsid w:val="00D25249"/>
    <w:rsid w:val="00D2530F"/>
    <w:rsid w:val="00D25466"/>
    <w:rsid w:val="00D255A7"/>
    <w:rsid w:val="00D25C37"/>
    <w:rsid w:val="00D263CC"/>
    <w:rsid w:val="00D274D1"/>
    <w:rsid w:val="00D27A12"/>
    <w:rsid w:val="00D27A70"/>
    <w:rsid w:val="00D27F15"/>
    <w:rsid w:val="00D27FD0"/>
    <w:rsid w:val="00D30535"/>
    <w:rsid w:val="00D32B2E"/>
    <w:rsid w:val="00D331D1"/>
    <w:rsid w:val="00D33A22"/>
    <w:rsid w:val="00D34533"/>
    <w:rsid w:val="00D35C4C"/>
    <w:rsid w:val="00D40A5C"/>
    <w:rsid w:val="00D40AE7"/>
    <w:rsid w:val="00D40D16"/>
    <w:rsid w:val="00D40D72"/>
    <w:rsid w:val="00D4229C"/>
    <w:rsid w:val="00D42657"/>
    <w:rsid w:val="00D430F1"/>
    <w:rsid w:val="00D4350B"/>
    <w:rsid w:val="00D44172"/>
    <w:rsid w:val="00D4471D"/>
    <w:rsid w:val="00D47363"/>
    <w:rsid w:val="00D47694"/>
    <w:rsid w:val="00D4796C"/>
    <w:rsid w:val="00D50108"/>
    <w:rsid w:val="00D50197"/>
    <w:rsid w:val="00D526D8"/>
    <w:rsid w:val="00D52B83"/>
    <w:rsid w:val="00D53A8B"/>
    <w:rsid w:val="00D54206"/>
    <w:rsid w:val="00D546E9"/>
    <w:rsid w:val="00D5486A"/>
    <w:rsid w:val="00D54C2F"/>
    <w:rsid w:val="00D555FC"/>
    <w:rsid w:val="00D55A27"/>
    <w:rsid w:val="00D5605F"/>
    <w:rsid w:val="00D56C96"/>
    <w:rsid w:val="00D57C0A"/>
    <w:rsid w:val="00D600AD"/>
    <w:rsid w:val="00D623FA"/>
    <w:rsid w:val="00D6304C"/>
    <w:rsid w:val="00D63B8C"/>
    <w:rsid w:val="00D63BC3"/>
    <w:rsid w:val="00D63D85"/>
    <w:rsid w:val="00D63E4E"/>
    <w:rsid w:val="00D656EA"/>
    <w:rsid w:val="00D66BCE"/>
    <w:rsid w:val="00D70732"/>
    <w:rsid w:val="00D70C3C"/>
    <w:rsid w:val="00D70D25"/>
    <w:rsid w:val="00D712FD"/>
    <w:rsid w:val="00D71B64"/>
    <w:rsid w:val="00D72CB6"/>
    <w:rsid w:val="00D739CC"/>
    <w:rsid w:val="00D73F1B"/>
    <w:rsid w:val="00D74804"/>
    <w:rsid w:val="00D749D0"/>
    <w:rsid w:val="00D76097"/>
    <w:rsid w:val="00D7777E"/>
    <w:rsid w:val="00D8093D"/>
    <w:rsid w:val="00D80D72"/>
    <w:rsid w:val="00D80DA0"/>
    <w:rsid w:val="00D8108C"/>
    <w:rsid w:val="00D81090"/>
    <w:rsid w:val="00D823AE"/>
    <w:rsid w:val="00D8375F"/>
    <w:rsid w:val="00D842AE"/>
    <w:rsid w:val="00D85219"/>
    <w:rsid w:val="00D85717"/>
    <w:rsid w:val="00D86372"/>
    <w:rsid w:val="00D879D3"/>
    <w:rsid w:val="00D87F00"/>
    <w:rsid w:val="00D9050F"/>
    <w:rsid w:val="00D90554"/>
    <w:rsid w:val="00D90CDA"/>
    <w:rsid w:val="00D91284"/>
    <w:rsid w:val="00D9182C"/>
    <w:rsid w:val="00D9211C"/>
    <w:rsid w:val="00D92C31"/>
    <w:rsid w:val="00D92DE0"/>
    <w:rsid w:val="00D92FEF"/>
    <w:rsid w:val="00D93430"/>
    <w:rsid w:val="00D93A0F"/>
    <w:rsid w:val="00D9527F"/>
    <w:rsid w:val="00D95E0B"/>
    <w:rsid w:val="00D97290"/>
    <w:rsid w:val="00D97A51"/>
    <w:rsid w:val="00D97C64"/>
    <w:rsid w:val="00D97F9E"/>
    <w:rsid w:val="00DA00D9"/>
    <w:rsid w:val="00DA06E2"/>
    <w:rsid w:val="00DA0929"/>
    <w:rsid w:val="00DA1BCA"/>
    <w:rsid w:val="00DA236E"/>
    <w:rsid w:val="00DA272C"/>
    <w:rsid w:val="00DA2756"/>
    <w:rsid w:val="00DA2C8D"/>
    <w:rsid w:val="00DA3D87"/>
    <w:rsid w:val="00DA3FFA"/>
    <w:rsid w:val="00DA48F9"/>
    <w:rsid w:val="00DA7191"/>
    <w:rsid w:val="00DA7299"/>
    <w:rsid w:val="00DA7F03"/>
    <w:rsid w:val="00DB060A"/>
    <w:rsid w:val="00DB07B8"/>
    <w:rsid w:val="00DB274B"/>
    <w:rsid w:val="00DB28A0"/>
    <w:rsid w:val="00DB3683"/>
    <w:rsid w:val="00DB36B7"/>
    <w:rsid w:val="00DB3E23"/>
    <w:rsid w:val="00DB3ECA"/>
    <w:rsid w:val="00DB4FF9"/>
    <w:rsid w:val="00DB572F"/>
    <w:rsid w:val="00DB6500"/>
    <w:rsid w:val="00DB6984"/>
    <w:rsid w:val="00DB6B36"/>
    <w:rsid w:val="00DC151C"/>
    <w:rsid w:val="00DC1B15"/>
    <w:rsid w:val="00DC2392"/>
    <w:rsid w:val="00DC26CD"/>
    <w:rsid w:val="00DC2D86"/>
    <w:rsid w:val="00DC3321"/>
    <w:rsid w:val="00DC46FF"/>
    <w:rsid w:val="00DC5254"/>
    <w:rsid w:val="00DC5AA0"/>
    <w:rsid w:val="00DC5AD7"/>
    <w:rsid w:val="00DC733A"/>
    <w:rsid w:val="00DC7742"/>
    <w:rsid w:val="00DC7801"/>
    <w:rsid w:val="00DC7F2F"/>
    <w:rsid w:val="00DD016E"/>
    <w:rsid w:val="00DD137D"/>
    <w:rsid w:val="00DD1722"/>
    <w:rsid w:val="00DD1A4F"/>
    <w:rsid w:val="00DD27C5"/>
    <w:rsid w:val="00DD3107"/>
    <w:rsid w:val="00DD33A1"/>
    <w:rsid w:val="00DD347D"/>
    <w:rsid w:val="00DD5680"/>
    <w:rsid w:val="00DD5EFF"/>
    <w:rsid w:val="00DD7C2C"/>
    <w:rsid w:val="00DE093F"/>
    <w:rsid w:val="00DE1CFE"/>
    <w:rsid w:val="00DE1DC5"/>
    <w:rsid w:val="00DE2040"/>
    <w:rsid w:val="00DE2D9C"/>
    <w:rsid w:val="00DE565A"/>
    <w:rsid w:val="00DE5F08"/>
    <w:rsid w:val="00DE6574"/>
    <w:rsid w:val="00DE6B85"/>
    <w:rsid w:val="00DE6E55"/>
    <w:rsid w:val="00DE717A"/>
    <w:rsid w:val="00DE75A8"/>
    <w:rsid w:val="00DE7999"/>
    <w:rsid w:val="00DF0081"/>
    <w:rsid w:val="00DF0B38"/>
    <w:rsid w:val="00DF1745"/>
    <w:rsid w:val="00DF1BF1"/>
    <w:rsid w:val="00DF242A"/>
    <w:rsid w:val="00DF34E2"/>
    <w:rsid w:val="00DF35D6"/>
    <w:rsid w:val="00DF3C37"/>
    <w:rsid w:val="00DF51F7"/>
    <w:rsid w:val="00DF5660"/>
    <w:rsid w:val="00DF590E"/>
    <w:rsid w:val="00DF683F"/>
    <w:rsid w:val="00DF6DF1"/>
    <w:rsid w:val="00E01857"/>
    <w:rsid w:val="00E01C9A"/>
    <w:rsid w:val="00E02196"/>
    <w:rsid w:val="00E02403"/>
    <w:rsid w:val="00E02E82"/>
    <w:rsid w:val="00E0402D"/>
    <w:rsid w:val="00E0466F"/>
    <w:rsid w:val="00E0574F"/>
    <w:rsid w:val="00E05E1F"/>
    <w:rsid w:val="00E06797"/>
    <w:rsid w:val="00E06879"/>
    <w:rsid w:val="00E06D25"/>
    <w:rsid w:val="00E0729F"/>
    <w:rsid w:val="00E07BFB"/>
    <w:rsid w:val="00E105E6"/>
    <w:rsid w:val="00E105F3"/>
    <w:rsid w:val="00E10B12"/>
    <w:rsid w:val="00E110BC"/>
    <w:rsid w:val="00E122BC"/>
    <w:rsid w:val="00E123ED"/>
    <w:rsid w:val="00E1265B"/>
    <w:rsid w:val="00E13B48"/>
    <w:rsid w:val="00E1404F"/>
    <w:rsid w:val="00E14809"/>
    <w:rsid w:val="00E148D8"/>
    <w:rsid w:val="00E16AC5"/>
    <w:rsid w:val="00E20172"/>
    <w:rsid w:val="00E212EF"/>
    <w:rsid w:val="00E21C83"/>
    <w:rsid w:val="00E21EF7"/>
    <w:rsid w:val="00E22D5E"/>
    <w:rsid w:val="00E22EF4"/>
    <w:rsid w:val="00E23741"/>
    <w:rsid w:val="00E23AA1"/>
    <w:rsid w:val="00E24ADA"/>
    <w:rsid w:val="00E24EF3"/>
    <w:rsid w:val="00E256F6"/>
    <w:rsid w:val="00E2616F"/>
    <w:rsid w:val="00E27C26"/>
    <w:rsid w:val="00E3057C"/>
    <w:rsid w:val="00E307B8"/>
    <w:rsid w:val="00E30B69"/>
    <w:rsid w:val="00E3116D"/>
    <w:rsid w:val="00E31716"/>
    <w:rsid w:val="00E3190D"/>
    <w:rsid w:val="00E32A85"/>
    <w:rsid w:val="00E32F59"/>
    <w:rsid w:val="00E33215"/>
    <w:rsid w:val="00E3326D"/>
    <w:rsid w:val="00E33D89"/>
    <w:rsid w:val="00E33E9F"/>
    <w:rsid w:val="00E35240"/>
    <w:rsid w:val="00E366EE"/>
    <w:rsid w:val="00E37F15"/>
    <w:rsid w:val="00E4166A"/>
    <w:rsid w:val="00E42E88"/>
    <w:rsid w:val="00E436BF"/>
    <w:rsid w:val="00E43A3C"/>
    <w:rsid w:val="00E43DBC"/>
    <w:rsid w:val="00E440CD"/>
    <w:rsid w:val="00E46D9A"/>
    <w:rsid w:val="00E509D1"/>
    <w:rsid w:val="00E51738"/>
    <w:rsid w:val="00E51CB8"/>
    <w:rsid w:val="00E5300C"/>
    <w:rsid w:val="00E545A8"/>
    <w:rsid w:val="00E54B68"/>
    <w:rsid w:val="00E54CD7"/>
    <w:rsid w:val="00E54F2D"/>
    <w:rsid w:val="00E56478"/>
    <w:rsid w:val="00E565FF"/>
    <w:rsid w:val="00E56700"/>
    <w:rsid w:val="00E56884"/>
    <w:rsid w:val="00E57406"/>
    <w:rsid w:val="00E5785E"/>
    <w:rsid w:val="00E600D6"/>
    <w:rsid w:val="00E60CFD"/>
    <w:rsid w:val="00E61909"/>
    <w:rsid w:val="00E61B4D"/>
    <w:rsid w:val="00E61C4C"/>
    <w:rsid w:val="00E63605"/>
    <w:rsid w:val="00E63C75"/>
    <w:rsid w:val="00E64250"/>
    <w:rsid w:val="00E65388"/>
    <w:rsid w:val="00E65540"/>
    <w:rsid w:val="00E661FB"/>
    <w:rsid w:val="00E66797"/>
    <w:rsid w:val="00E66DF7"/>
    <w:rsid w:val="00E67833"/>
    <w:rsid w:val="00E71450"/>
    <w:rsid w:val="00E725F7"/>
    <w:rsid w:val="00E728FD"/>
    <w:rsid w:val="00E729EB"/>
    <w:rsid w:val="00E72C47"/>
    <w:rsid w:val="00E733B3"/>
    <w:rsid w:val="00E74ACB"/>
    <w:rsid w:val="00E74BC6"/>
    <w:rsid w:val="00E74E2B"/>
    <w:rsid w:val="00E76130"/>
    <w:rsid w:val="00E7659E"/>
    <w:rsid w:val="00E80702"/>
    <w:rsid w:val="00E811B2"/>
    <w:rsid w:val="00E82320"/>
    <w:rsid w:val="00E835A1"/>
    <w:rsid w:val="00E8479F"/>
    <w:rsid w:val="00E85B7D"/>
    <w:rsid w:val="00E86016"/>
    <w:rsid w:val="00E9121B"/>
    <w:rsid w:val="00E91714"/>
    <w:rsid w:val="00E93490"/>
    <w:rsid w:val="00E936B7"/>
    <w:rsid w:val="00E94618"/>
    <w:rsid w:val="00E9482C"/>
    <w:rsid w:val="00E94A74"/>
    <w:rsid w:val="00E94B48"/>
    <w:rsid w:val="00E9538B"/>
    <w:rsid w:val="00E95CF6"/>
    <w:rsid w:val="00E96526"/>
    <w:rsid w:val="00E96614"/>
    <w:rsid w:val="00EA0AE2"/>
    <w:rsid w:val="00EA0C9B"/>
    <w:rsid w:val="00EA0DEC"/>
    <w:rsid w:val="00EA1E06"/>
    <w:rsid w:val="00EA292F"/>
    <w:rsid w:val="00EA39E5"/>
    <w:rsid w:val="00EA3AEB"/>
    <w:rsid w:val="00EA465F"/>
    <w:rsid w:val="00EA6B9D"/>
    <w:rsid w:val="00EB02D1"/>
    <w:rsid w:val="00EB094E"/>
    <w:rsid w:val="00EB0BB2"/>
    <w:rsid w:val="00EB1A2C"/>
    <w:rsid w:val="00EB291F"/>
    <w:rsid w:val="00EB3106"/>
    <w:rsid w:val="00EB3E8D"/>
    <w:rsid w:val="00EB43BA"/>
    <w:rsid w:val="00EB54B8"/>
    <w:rsid w:val="00EB5C2D"/>
    <w:rsid w:val="00EB67DB"/>
    <w:rsid w:val="00EB698C"/>
    <w:rsid w:val="00EB7284"/>
    <w:rsid w:val="00EC0A50"/>
    <w:rsid w:val="00EC0CA7"/>
    <w:rsid w:val="00EC23EB"/>
    <w:rsid w:val="00EC29BF"/>
    <w:rsid w:val="00EC2C13"/>
    <w:rsid w:val="00EC3CE1"/>
    <w:rsid w:val="00EC45D4"/>
    <w:rsid w:val="00EC5A46"/>
    <w:rsid w:val="00EC611A"/>
    <w:rsid w:val="00EC61F9"/>
    <w:rsid w:val="00EC63E2"/>
    <w:rsid w:val="00EC6625"/>
    <w:rsid w:val="00EC6C2A"/>
    <w:rsid w:val="00EC787C"/>
    <w:rsid w:val="00EC78A0"/>
    <w:rsid w:val="00EC79BC"/>
    <w:rsid w:val="00EC7C3A"/>
    <w:rsid w:val="00ED0087"/>
    <w:rsid w:val="00ED092B"/>
    <w:rsid w:val="00ED0A5B"/>
    <w:rsid w:val="00ED0F85"/>
    <w:rsid w:val="00ED1F3E"/>
    <w:rsid w:val="00ED3238"/>
    <w:rsid w:val="00ED47A5"/>
    <w:rsid w:val="00ED4D88"/>
    <w:rsid w:val="00ED6D8B"/>
    <w:rsid w:val="00ED709B"/>
    <w:rsid w:val="00ED7BA3"/>
    <w:rsid w:val="00EE080A"/>
    <w:rsid w:val="00EE154D"/>
    <w:rsid w:val="00EE1BA8"/>
    <w:rsid w:val="00EE1E98"/>
    <w:rsid w:val="00EE1EFF"/>
    <w:rsid w:val="00EE2493"/>
    <w:rsid w:val="00EE397B"/>
    <w:rsid w:val="00EE4483"/>
    <w:rsid w:val="00EE463F"/>
    <w:rsid w:val="00EE47BA"/>
    <w:rsid w:val="00EE5261"/>
    <w:rsid w:val="00EE5D64"/>
    <w:rsid w:val="00EE64BA"/>
    <w:rsid w:val="00EF1021"/>
    <w:rsid w:val="00EF1446"/>
    <w:rsid w:val="00EF162E"/>
    <w:rsid w:val="00EF1C99"/>
    <w:rsid w:val="00EF1DFC"/>
    <w:rsid w:val="00EF22B3"/>
    <w:rsid w:val="00EF418D"/>
    <w:rsid w:val="00EF4538"/>
    <w:rsid w:val="00EF469A"/>
    <w:rsid w:val="00EF4E94"/>
    <w:rsid w:val="00EF64EA"/>
    <w:rsid w:val="00EF6BE4"/>
    <w:rsid w:val="00EF747E"/>
    <w:rsid w:val="00F0092A"/>
    <w:rsid w:val="00F011E7"/>
    <w:rsid w:val="00F02106"/>
    <w:rsid w:val="00F03B69"/>
    <w:rsid w:val="00F040D7"/>
    <w:rsid w:val="00F04328"/>
    <w:rsid w:val="00F059AE"/>
    <w:rsid w:val="00F0762E"/>
    <w:rsid w:val="00F07A50"/>
    <w:rsid w:val="00F07B82"/>
    <w:rsid w:val="00F10ADE"/>
    <w:rsid w:val="00F113DA"/>
    <w:rsid w:val="00F113F8"/>
    <w:rsid w:val="00F126AA"/>
    <w:rsid w:val="00F134AE"/>
    <w:rsid w:val="00F162ED"/>
    <w:rsid w:val="00F179C4"/>
    <w:rsid w:val="00F17B16"/>
    <w:rsid w:val="00F21177"/>
    <w:rsid w:val="00F21BD9"/>
    <w:rsid w:val="00F21C46"/>
    <w:rsid w:val="00F21F34"/>
    <w:rsid w:val="00F22222"/>
    <w:rsid w:val="00F22AF9"/>
    <w:rsid w:val="00F23184"/>
    <w:rsid w:val="00F238D3"/>
    <w:rsid w:val="00F240D5"/>
    <w:rsid w:val="00F2418B"/>
    <w:rsid w:val="00F242FF"/>
    <w:rsid w:val="00F25F15"/>
    <w:rsid w:val="00F261D4"/>
    <w:rsid w:val="00F267CF"/>
    <w:rsid w:val="00F269F3"/>
    <w:rsid w:val="00F2777F"/>
    <w:rsid w:val="00F2785E"/>
    <w:rsid w:val="00F27BA2"/>
    <w:rsid w:val="00F319FC"/>
    <w:rsid w:val="00F323B5"/>
    <w:rsid w:val="00F344BB"/>
    <w:rsid w:val="00F3637C"/>
    <w:rsid w:val="00F37DC8"/>
    <w:rsid w:val="00F40C36"/>
    <w:rsid w:val="00F41A12"/>
    <w:rsid w:val="00F41A5D"/>
    <w:rsid w:val="00F435D4"/>
    <w:rsid w:val="00F436AF"/>
    <w:rsid w:val="00F439B3"/>
    <w:rsid w:val="00F43BED"/>
    <w:rsid w:val="00F44709"/>
    <w:rsid w:val="00F44BC0"/>
    <w:rsid w:val="00F45AA8"/>
    <w:rsid w:val="00F4613F"/>
    <w:rsid w:val="00F46605"/>
    <w:rsid w:val="00F46CDC"/>
    <w:rsid w:val="00F479AC"/>
    <w:rsid w:val="00F47B3A"/>
    <w:rsid w:val="00F502DD"/>
    <w:rsid w:val="00F511D5"/>
    <w:rsid w:val="00F516C2"/>
    <w:rsid w:val="00F52A1B"/>
    <w:rsid w:val="00F557C7"/>
    <w:rsid w:val="00F57C68"/>
    <w:rsid w:val="00F62BC3"/>
    <w:rsid w:val="00F63210"/>
    <w:rsid w:val="00F638FC"/>
    <w:rsid w:val="00F64748"/>
    <w:rsid w:val="00F65053"/>
    <w:rsid w:val="00F650C3"/>
    <w:rsid w:val="00F6564A"/>
    <w:rsid w:val="00F65987"/>
    <w:rsid w:val="00F65D85"/>
    <w:rsid w:val="00F66F99"/>
    <w:rsid w:val="00F67184"/>
    <w:rsid w:val="00F708A1"/>
    <w:rsid w:val="00F71EF4"/>
    <w:rsid w:val="00F7203C"/>
    <w:rsid w:val="00F72FC9"/>
    <w:rsid w:val="00F735EB"/>
    <w:rsid w:val="00F73C29"/>
    <w:rsid w:val="00F74966"/>
    <w:rsid w:val="00F74C7B"/>
    <w:rsid w:val="00F75453"/>
    <w:rsid w:val="00F7702D"/>
    <w:rsid w:val="00F77ACD"/>
    <w:rsid w:val="00F8091E"/>
    <w:rsid w:val="00F80B35"/>
    <w:rsid w:val="00F81A71"/>
    <w:rsid w:val="00F82301"/>
    <w:rsid w:val="00F82A56"/>
    <w:rsid w:val="00F83D8C"/>
    <w:rsid w:val="00F856B6"/>
    <w:rsid w:val="00F8615C"/>
    <w:rsid w:val="00F87917"/>
    <w:rsid w:val="00F90962"/>
    <w:rsid w:val="00F9164F"/>
    <w:rsid w:val="00F917ED"/>
    <w:rsid w:val="00F92789"/>
    <w:rsid w:val="00F927D6"/>
    <w:rsid w:val="00F928D1"/>
    <w:rsid w:val="00F9338A"/>
    <w:rsid w:val="00F93D3E"/>
    <w:rsid w:val="00F94004"/>
    <w:rsid w:val="00F95044"/>
    <w:rsid w:val="00F9625B"/>
    <w:rsid w:val="00F969E5"/>
    <w:rsid w:val="00F978AD"/>
    <w:rsid w:val="00F97AEE"/>
    <w:rsid w:val="00F97C78"/>
    <w:rsid w:val="00F97E54"/>
    <w:rsid w:val="00FA060A"/>
    <w:rsid w:val="00FA1C95"/>
    <w:rsid w:val="00FA2FA9"/>
    <w:rsid w:val="00FA3962"/>
    <w:rsid w:val="00FA3F8E"/>
    <w:rsid w:val="00FA44AD"/>
    <w:rsid w:val="00FA52EF"/>
    <w:rsid w:val="00FA6BB0"/>
    <w:rsid w:val="00FB0915"/>
    <w:rsid w:val="00FB0ADE"/>
    <w:rsid w:val="00FB150B"/>
    <w:rsid w:val="00FB17D6"/>
    <w:rsid w:val="00FB1DFB"/>
    <w:rsid w:val="00FB4426"/>
    <w:rsid w:val="00FB47A9"/>
    <w:rsid w:val="00FB5322"/>
    <w:rsid w:val="00FB64B0"/>
    <w:rsid w:val="00FB6E65"/>
    <w:rsid w:val="00FB7171"/>
    <w:rsid w:val="00FC18B1"/>
    <w:rsid w:val="00FC475A"/>
    <w:rsid w:val="00FC4DFE"/>
    <w:rsid w:val="00FC517C"/>
    <w:rsid w:val="00FC6F2A"/>
    <w:rsid w:val="00FC7E41"/>
    <w:rsid w:val="00FD01D9"/>
    <w:rsid w:val="00FD0349"/>
    <w:rsid w:val="00FD1269"/>
    <w:rsid w:val="00FD1474"/>
    <w:rsid w:val="00FD1753"/>
    <w:rsid w:val="00FD2BA1"/>
    <w:rsid w:val="00FD2D77"/>
    <w:rsid w:val="00FD47B9"/>
    <w:rsid w:val="00FD5476"/>
    <w:rsid w:val="00FD5860"/>
    <w:rsid w:val="00FD5A8E"/>
    <w:rsid w:val="00FD60F3"/>
    <w:rsid w:val="00FD6463"/>
    <w:rsid w:val="00FD6D21"/>
    <w:rsid w:val="00FE315A"/>
    <w:rsid w:val="00FE31E3"/>
    <w:rsid w:val="00FE352D"/>
    <w:rsid w:val="00FE40EB"/>
    <w:rsid w:val="00FE4D02"/>
    <w:rsid w:val="00FE51C9"/>
    <w:rsid w:val="00FE5897"/>
    <w:rsid w:val="00FE6269"/>
    <w:rsid w:val="00FE738D"/>
    <w:rsid w:val="00FE76B4"/>
    <w:rsid w:val="00FE78CD"/>
    <w:rsid w:val="00FE7B2F"/>
    <w:rsid w:val="00FE7D62"/>
    <w:rsid w:val="00FF1CCF"/>
    <w:rsid w:val="00FF3819"/>
    <w:rsid w:val="00FF473B"/>
    <w:rsid w:val="00FF498B"/>
    <w:rsid w:val="00FF55D5"/>
    <w:rsid w:val="00FF6122"/>
    <w:rsid w:val="00FF68A5"/>
    <w:rsid w:val="00FF7702"/>
    <w:rsid w:val="00FF7802"/>
    <w:rsid w:val="0BB9434C"/>
    <w:rsid w:val="114197EF"/>
    <w:rsid w:val="25DCF25B"/>
    <w:rsid w:val="27729950"/>
    <w:rsid w:val="2BEBCCF8"/>
    <w:rsid w:val="373670E1"/>
    <w:rsid w:val="46F5F918"/>
    <w:rsid w:val="6406EE9A"/>
    <w:rsid w:val="6D1662B6"/>
    <w:rsid w:val="7F750A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DFDE3"/>
  <w15:chartTrackingRefBased/>
  <w15:docId w15:val="{E2A63EBB-6841-4E1B-80F3-DFE95BED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8F611A"/>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8F611A"/>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8F611A"/>
    <w:pPr>
      <w:numPr>
        <w:numId w:val="3"/>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8F611A"/>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8F611A"/>
    <w:pPr>
      <w:numPr>
        <w:numId w:val="22"/>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8F611A"/>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8F611A"/>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8F611A"/>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8F611A"/>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8F611A"/>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8F611A"/>
    <w:rPr>
      <w:rFonts w:ascii="Times New Roman" w:hAnsi="Times New Roman"/>
      <w:b/>
      <w:sz w:val="18"/>
      <w:lang w:val="fr-FR"/>
    </w:rPr>
  </w:style>
  <w:style w:type="table" w:customStyle="1" w:styleId="Tabledocright">
    <w:name w:val="Table_doc_right"/>
    <w:basedOn w:val="TableNormal"/>
    <w:rsid w:val="008F611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8F611A"/>
    <w:pPr>
      <w:ind w:left="1000"/>
    </w:pPr>
    <w:rPr>
      <w:sz w:val="18"/>
      <w:szCs w:val="18"/>
    </w:rPr>
  </w:style>
  <w:style w:type="paragraph" w:styleId="TOC7">
    <w:name w:val="toc 7"/>
    <w:basedOn w:val="Normal"/>
    <w:next w:val="Normal"/>
    <w:autoRedefine/>
    <w:semiHidden/>
    <w:rsid w:val="008F611A"/>
    <w:pPr>
      <w:ind w:left="1200"/>
    </w:pPr>
    <w:rPr>
      <w:sz w:val="18"/>
      <w:szCs w:val="18"/>
    </w:rPr>
  </w:style>
  <w:style w:type="paragraph" w:styleId="TOC8">
    <w:name w:val="toc 8"/>
    <w:basedOn w:val="Normal"/>
    <w:next w:val="Normal"/>
    <w:autoRedefine/>
    <w:semiHidden/>
    <w:rsid w:val="008F611A"/>
    <w:pPr>
      <w:ind w:left="1400"/>
    </w:pPr>
    <w:rPr>
      <w:sz w:val="18"/>
      <w:szCs w:val="18"/>
    </w:rPr>
  </w:style>
  <w:style w:type="paragraph" w:styleId="TOC9">
    <w:name w:val="toc 9"/>
    <w:basedOn w:val="Normal"/>
    <w:next w:val="Normal"/>
    <w:autoRedefine/>
    <w:semiHidden/>
    <w:rsid w:val="008F611A"/>
    <w:pPr>
      <w:ind w:left="1600"/>
    </w:pPr>
    <w:rPr>
      <w:sz w:val="18"/>
      <w:szCs w:val="18"/>
    </w:rPr>
  </w:style>
  <w:style w:type="paragraph" w:customStyle="1" w:styleId="Titlefigure">
    <w:name w:val="Title_figure"/>
    <w:basedOn w:val="Titletable"/>
    <w:next w:val="NormalNonumber"/>
    <w:rsid w:val="008F611A"/>
    <w:rPr>
      <w:bCs w:val="0"/>
    </w:rPr>
  </w:style>
  <w:style w:type="paragraph" w:styleId="TableofFigures">
    <w:name w:val="table of figures"/>
    <w:basedOn w:val="Normal"/>
    <w:next w:val="Normal"/>
    <w:autoRedefine/>
    <w:semiHidden/>
    <w:rsid w:val="008F611A"/>
    <w:pPr>
      <w:ind w:left="1814" w:hanging="567"/>
    </w:pPr>
  </w:style>
  <w:style w:type="paragraph" w:customStyle="1" w:styleId="CH1">
    <w:name w:val="CH1"/>
    <w:basedOn w:val="Normal-pool"/>
    <w:next w:val="CH2"/>
    <w:qFormat/>
    <w:rsid w:val="008F611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8F611A"/>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8F611A"/>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8F611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8F611A"/>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C20895"/>
    <w:pPr>
      <w:tabs>
        <w:tab w:val="left" w:pos="4321"/>
        <w:tab w:val="right" w:pos="8641"/>
      </w:tabs>
      <w:spacing w:before="60"/>
    </w:pPr>
    <w:rPr>
      <w:b/>
      <w:sz w:val="18"/>
    </w:rPr>
  </w:style>
  <w:style w:type="paragraph" w:customStyle="1" w:styleId="Footer-pool">
    <w:name w:val="Footer-pool"/>
    <w:basedOn w:val="Normal"/>
    <w:next w:val="Normal"/>
    <w:rsid w:val="008F611A"/>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8F611A"/>
    <w:pPr>
      <w:pBdr>
        <w:bottom w:val="single" w:sz="4" w:space="1" w:color="auto"/>
      </w:pBdr>
      <w:tabs>
        <w:tab w:val="center" w:pos="4536"/>
        <w:tab w:val="right" w:pos="9072"/>
      </w:tabs>
      <w:spacing w:after="120"/>
    </w:pPr>
    <w:rPr>
      <w:b/>
      <w:sz w:val="18"/>
    </w:rPr>
  </w:style>
  <w:style w:type="character" w:styleId="FootnoteReference">
    <w:name w:val="footnote reference"/>
    <w:aliases w:val="Footnote text,16 Point,Superscript 6 Point,Footnote Text1,Footnote Text2,number,Footnote reference number,Footnote symbol,note TESI,-E Fußnotenzeichen,SUPERS,stylish,ftref,Footnote Reference Superscript,-E Fuﬂnotenzeichen,fr,Ref"/>
    <w:rsid w:val="008F611A"/>
    <w:rPr>
      <w:rFonts w:ascii="Times New Roman" w:hAnsi="Times New Roman"/>
      <w:color w:val="auto"/>
      <w:sz w:val="20"/>
      <w:szCs w:val="18"/>
      <w:vertAlign w:val="superscript"/>
      <w:lang w:val="fr-FR"/>
    </w:rPr>
  </w:style>
  <w:style w:type="table" w:customStyle="1" w:styleId="AATable">
    <w:name w:val="AA_Table"/>
    <w:basedOn w:val="TableNormal"/>
    <w:semiHidden/>
    <w:rsid w:val="00C20895"/>
    <w:tblPr>
      <w:tblStyleRowBandSize w:val="1"/>
      <w:tblStyleColBandSize w:val="1"/>
      <w:jc w:val="right"/>
    </w:tblPr>
    <w:trPr>
      <w:jc w:val="right"/>
    </w:trPr>
    <w:tcPr>
      <w:tcBorders>
        <w:bottom w:val="single" w:sz="4" w:space="0" w:color="auto"/>
      </w:tcBorders>
    </w:tc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8F611A"/>
    <w:pPr>
      <w:keepNext/>
      <w:keepLines/>
      <w:suppressAutoHyphens/>
    </w:pPr>
    <w:rPr>
      <w:b/>
    </w:rPr>
  </w:style>
  <w:style w:type="paragraph" w:customStyle="1" w:styleId="AATitle2">
    <w:name w:val="AA_Title2"/>
    <w:basedOn w:val="AATitle"/>
    <w:qFormat/>
    <w:rsid w:val="008F611A"/>
    <w:pPr>
      <w:keepNext w:val="0"/>
      <w:keepLines w:val="0"/>
      <w:spacing w:before="120" w:after="120"/>
    </w:pPr>
  </w:style>
  <w:style w:type="paragraph" w:customStyle="1" w:styleId="BBTitle">
    <w:name w:val="BB_Title"/>
    <w:basedOn w:val="Normal-pool"/>
    <w:link w:val="BBTitleChar"/>
    <w:qFormat/>
    <w:rsid w:val="008F611A"/>
    <w:pPr>
      <w:keepNext/>
      <w:keepLines/>
      <w:suppressAutoHyphens/>
      <w:spacing w:before="320" w:after="240"/>
      <w:ind w:left="1247" w:right="567"/>
    </w:pPr>
    <w:rPr>
      <w:b/>
      <w:sz w:val="28"/>
      <w:szCs w:val="28"/>
    </w:rPr>
  </w:style>
  <w:style w:type="paragraph" w:customStyle="1" w:styleId="CH4">
    <w:name w:val="CH4"/>
    <w:basedOn w:val="Normal-pool"/>
    <w:next w:val="Normalnumber"/>
    <w:rsid w:val="008F611A"/>
    <w:pPr>
      <w:keepNext/>
      <w:keepLines/>
      <w:tabs>
        <w:tab w:val="clear" w:pos="624"/>
        <w:tab w:val="right" w:pos="851"/>
      </w:tabs>
      <w:suppressAutoHyphens/>
      <w:spacing w:after="120"/>
      <w:ind w:left="1247" w:right="284" w:hanging="1247"/>
    </w:pPr>
    <w:rPr>
      <w:b/>
    </w:rPr>
  </w:style>
  <w:style w:type="paragraph" w:styleId="Header">
    <w:name w:val="header"/>
    <w:basedOn w:val="Normal"/>
    <w:next w:val="Header-pool"/>
    <w:link w:val="HeaderChar"/>
    <w:semiHidden/>
    <w:rsid w:val="008F611A"/>
    <w:pPr>
      <w:pBdr>
        <w:bottom w:val="single" w:sz="4" w:space="1" w:color="auto"/>
      </w:pBdr>
      <w:tabs>
        <w:tab w:val="left" w:pos="624"/>
        <w:tab w:val="left" w:pos="1871"/>
        <w:tab w:val="left" w:pos="2495"/>
        <w:tab w:val="left" w:pos="3119"/>
        <w:tab w:val="left" w:pos="3742"/>
        <w:tab w:val="left" w:pos="4366"/>
        <w:tab w:val="center" w:pos="4536"/>
        <w:tab w:val="right" w:pos="9072"/>
      </w:tabs>
      <w:spacing w:after="120"/>
    </w:pPr>
    <w:rPr>
      <w:b/>
      <w:sz w:val="18"/>
    </w:rPr>
  </w:style>
  <w:style w:type="character" w:styleId="Hyperlink">
    <w:name w:val="Hyperlink"/>
    <w:basedOn w:val="DefaultParagraphFont"/>
    <w:uiPriority w:val="99"/>
    <w:rsid w:val="008F611A"/>
    <w:rPr>
      <w:color w:val="0000FF"/>
      <w:u w:val="none"/>
      <w:lang w:val="fr-FR"/>
    </w:rPr>
  </w:style>
  <w:style w:type="numbering" w:customStyle="1" w:styleId="Normallist">
    <w:name w:val="Normal_list"/>
    <w:basedOn w:val="NoList"/>
    <w:rsid w:val="008F611A"/>
    <w:pPr>
      <w:numPr>
        <w:numId w:val="1"/>
      </w:numPr>
    </w:pPr>
  </w:style>
  <w:style w:type="paragraph" w:customStyle="1" w:styleId="NormalNonumber">
    <w:name w:val="Normal_No_number"/>
    <w:basedOn w:val="Normal-pool"/>
    <w:qFormat/>
    <w:rsid w:val="008F611A"/>
    <w:pPr>
      <w:spacing w:after="120"/>
      <w:ind w:left="1247"/>
    </w:pPr>
  </w:style>
  <w:style w:type="paragraph" w:customStyle="1" w:styleId="Normalnumber">
    <w:name w:val="Normal_number"/>
    <w:basedOn w:val="Normal"/>
    <w:link w:val="NormalnumberChar"/>
    <w:qFormat/>
    <w:rsid w:val="008F611A"/>
    <w:pPr>
      <w:numPr>
        <w:numId w:val="29"/>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8F611A"/>
    <w:pPr>
      <w:keepNext/>
      <w:keepLines/>
      <w:suppressAutoHyphens/>
      <w:spacing w:after="60"/>
      <w:ind w:left="1247"/>
    </w:pPr>
    <w:rPr>
      <w:b/>
      <w:bCs/>
    </w:rPr>
  </w:style>
  <w:style w:type="paragraph" w:styleId="TOC1">
    <w:name w:val="toc 1"/>
    <w:basedOn w:val="Normal"/>
    <w:next w:val="Normal"/>
    <w:autoRedefine/>
    <w:uiPriority w:val="39"/>
    <w:unhideWhenUsed/>
    <w:rsid w:val="008F611A"/>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8F611A"/>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8F611A"/>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8F611A"/>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8F611A"/>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8F611A"/>
    <w:rPr>
      <w:b/>
      <w:bCs/>
      <w:sz w:val="28"/>
      <w:szCs w:val="22"/>
    </w:rPr>
  </w:style>
  <w:style w:type="paragraph" w:customStyle="1" w:styleId="ZZAnxtitle">
    <w:name w:val="ZZ_Anx_title"/>
    <w:basedOn w:val="Normal-pool"/>
    <w:rsid w:val="008F611A"/>
    <w:pPr>
      <w:spacing w:before="360" w:after="120"/>
      <w:ind w:left="1247"/>
    </w:pPr>
    <w:rPr>
      <w:b/>
      <w:bCs/>
      <w:sz w:val="28"/>
      <w:szCs w:val="26"/>
    </w:rPr>
  </w:style>
  <w:style w:type="paragraph" w:styleId="NormalWeb">
    <w:name w:val="Normal (Web)"/>
    <w:basedOn w:val="Normal"/>
    <w:uiPriority w:val="99"/>
    <w:semiHidden/>
    <w:unhideWhenUsed/>
    <w:rsid w:val="00C20895"/>
    <w:pPr>
      <w:spacing w:before="100" w:beforeAutospacing="1" w:after="100" w:afterAutospacing="1"/>
    </w:pPr>
    <w:rPr>
      <w:rFonts w:eastAsiaTheme="minorEastAsia"/>
      <w:sz w:val="24"/>
      <w:szCs w:val="24"/>
    </w:rPr>
  </w:style>
  <w:style w:type="paragraph" w:customStyle="1" w:styleId="Normal-pool-Table">
    <w:name w:val="Normal-pool-Table"/>
    <w:basedOn w:val="Normal-pool"/>
    <w:rsid w:val="008F611A"/>
    <w:pPr>
      <w:spacing w:before="40" w:after="40"/>
    </w:pPr>
    <w:rPr>
      <w:sz w:val="18"/>
    </w:rPr>
  </w:style>
  <w:style w:type="paragraph" w:customStyle="1" w:styleId="Footnote-Text">
    <w:name w:val="Footnote-Text"/>
    <w:basedOn w:val="Normal-pool"/>
    <w:rsid w:val="008F611A"/>
    <w:pPr>
      <w:spacing w:before="20" w:after="40"/>
      <w:ind w:left="1247"/>
    </w:pPr>
    <w:rPr>
      <w:sz w:val="18"/>
    </w:rPr>
  </w:style>
  <w:style w:type="paragraph" w:customStyle="1" w:styleId="AConvName">
    <w:name w:val="A_ConvName"/>
    <w:basedOn w:val="Normal-pool"/>
    <w:next w:val="Normal-pool"/>
    <w:rsid w:val="008F611A"/>
    <w:pPr>
      <w:tabs>
        <w:tab w:val="clear" w:pos="1247"/>
      </w:tabs>
      <w:spacing w:before="120" w:after="240"/>
    </w:pPr>
    <w:rPr>
      <w:rFonts w:ascii="Arial" w:hAnsi="Arial"/>
      <w:b/>
      <w:sz w:val="28"/>
    </w:rPr>
  </w:style>
  <w:style w:type="paragraph" w:customStyle="1" w:styleId="ASymbol">
    <w:name w:val="A_Symbol"/>
    <w:basedOn w:val="Normal-pool"/>
    <w:rsid w:val="008F611A"/>
    <w:pPr>
      <w:tabs>
        <w:tab w:val="clear" w:pos="1247"/>
      </w:tabs>
    </w:pPr>
  </w:style>
  <w:style w:type="paragraph" w:customStyle="1" w:styleId="AText">
    <w:name w:val="A_Text"/>
    <w:basedOn w:val="Normal-pool"/>
    <w:rsid w:val="008F611A"/>
    <w:pPr>
      <w:spacing w:before="120"/>
    </w:pPr>
  </w:style>
  <w:style w:type="paragraph" w:customStyle="1" w:styleId="ATwoLetters">
    <w:name w:val="A_TwoLetters"/>
    <w:basedOn w:val="Normal-pool"/>
    <w:next w:val="Normal-pool"/>
    <w:rsid w:val="008F611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8F611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C20895"/>
    <w:rPr>
      <w:rFonts w:ascii="Tahoma" w:hAnsi="Tahoma" w:cs="Tahoma"/>
      <w:sz w:val="16"/>
      <w:szCs w:val="16"/>
    </w:rPr>
  </w:style>
  <w:style w:type="character" w:customStyle="1" w:styleId="BalloonTextChar">
    <w:name w:val="Balloon Text Char"/>
    <w:basedOn w:val="DefaultParagraphFont"/>
    <w:link w:val="BalloonText"/>
    <w:rsid w:val="00C20895"/>
    <w:rPr>
      <w:rFonts w:ascii="Tahoma" w:eastAsia="Times New Roman" w:hAnsi="Tahoma" w:cs="Tahoma"/>
      <w:sz w:val="16"/>
      <w:szCs w:val="16"/>
      <w:lang w:val="fr-FR" w:eastAsia="en-US"/>
    </w:rPr>
  </w:style>
  <w:style w:type="character" w:styleId="CommentReference">
    <w:name w:val="annotation reference"/>
    <w:basedOn w:val="DefaultParagraphFont"/>
    <w:semiHidden/>
    <w:unhideWhenUsed/>
    <w:rsid w:val="008F611A"/>
    <w:rPr>
      <w:sz w:val="16"/>
      <w:szCs w:val="16"/>
      <w:lang w:val="fr-FR"/>
    </w:rPr>
  </w:style>
  <w:style w:type="paragraph" w:styleId="CommentText">
    <w:name w:val="annotation text"/>
    <w:basedOn w:val="Normal"/>
    <w:link w:val="CommentTextChar"/>
    <w:unhideWhenUsed/>
    <w:rsid w:val="008F611A"/>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8F611A"/>
    <w:rPr>
      <w:rFonts w:eastAsia="Times New Roman"/>
      <w:lang w:val="fr-FR" w:eastAsia="en-US"/>
    </w:rPr>
  </w:style>
  <w:style w:type="paragraph" w:styleId="CommentSubject">
    <w:name w:val="annotation subject"/>
    <w:basedOn w:val="CommentText"/>
    <w:next w:val="CommentText"/>
    <w:link w:val="CommentSubjectChar"/>
    <w:semiHidden/>
    <w:unhideWhenUsed/>
    <w:rsid w:val="008F611A"/>
    <w:rPr>
      <w:b/>
      <w:bCs/>
    </w:rPr>
  </w:style>
  <w:style w:type="character" w:customStyle="1" w:styleId="CommentSubjectChar">
    <w:name w:val="Comment Subject Char"/>
    <w:basedOn w:val="CommentTextChar"/>
    <w:link w:val="CommentSubject"/>
    <w:semiHidden/>
    <w:rsid w:val="008F611A"/>
    <w:rPr>
      <w:rFonts w:eastAsia="Times New Roman"/>
      <w:b/>
      <w:bCs/>
      <w:lang w:val="fr-FR" w:eastAsia="en-US"/>
    </w:rPr>
  </w:style>
  <w:style w:type="character" w:styleId="FollowedHyperlink">
    <w:name w:val="FollowedHyperlink"/>
    <w:uiPriority w:val="99"/>
    <w:semiHidden/>
    <w:rsid w:val="008F611A"/>
    <w:rPr>
      <w:color w:val="0000FF"/>
      <w:u w:val="none"/>
      <w:lang w:val="fr-FR"/>
    </w:rPr>
  </w:style>
  <w:style w:type="character" w:customStyle="1" w:styleId="FooterChar">
    <w:name w:val="Footer Char"/>
    <w:basedOn w:val="DefaultParagraphFont"/>
    <w:link w:val="Footer"/>
    <w:rsid w:val="008F611A"/>
    <w:rPr>
      <w:rFonts w:eastAsia="Times New Roman"/>
      <w:b/>
      <w:sz w:val="18"/>
      <w:lang w:val="fr-FR" w:eastAsia="en-US"/>
    </w:rPr>
  </w:style>
  <w:style w:type="character" w:customStyle="1" w:styleId="HeaderChar">
    <w:name w:val="Header Char"/>
    <w:basedOn w:val="DefaultParagraphFont"/>
    <w:link w:val="Header"/>
    <w:semiHidden/>
    <w:rsid w:val="008F611A"/>
    <w:rPr>
      <w:rFonts w:eastAsia="Times New Roman"/>
      <w:b/>
      <w:sz w:val="18"/>
      <w:lang w:val="fr-FR" w:eastAsia="en-US"/>
    </w:rPr>
  </w:style>
  <w:style w:type="character" w:customStyle="1" w:styleId="Heading1Char">
    <w:name w:val="Heading 1 Char"/>
    <w:basedOn w:val="DefaultParagraphFont"/>
    <w:link w:val="Heading1"/>
    <w:rsid w:val="008F611A"/>
    <w:rPr>
      <w:rFonts w:eastAsia="Times New Roman"/>
      <w:b/>
      <w:sz w:val="28"/>
      <w:szCs w:val="28"/>
      <w:lang w:val="fr-FR"/>
    </w:rPr>
  </w:style>
  <w:style w:type="character" w:customStyle="1" w:styleId="Heading2Char">
    <w:name w:val="Heading 2 Char"/>
    <w:basedOn w:val="DefaultParagraphFont"/>
    <w:link w:val="Heading2"/>
    <w:rsid w:val="008F611A"/>
    <w:rPr>
      <w:rFonts w:eastAsia="Times New Roman"/>
      <w:b/>
      <w:sz w:val="24"/>
      <w:szCs w:val="24"/>
      <w:lang w:val="fr-FR"/>
    </w:rPr>
  </w:style>
  <w:style w:type="character" w:customStyle="1" w:styleId="Heading3Char">
    <w:name w:val="Heading 3 Char"/>
    <w:basedOn w:val="DefaultParagraphFont"/>
    <w:link w:val="Heading3"/>
    <w:rsid w:val="008F611A"/>
    <w:rPr>
      <w:rFonts w:eastAsia="Times New Roman"/>
      <w:b/>
      <w:lang w:val="fr-FR"/>
    </w:rPr>
  </w:style>
  <w:style w:type="character" w:customStyle="1" w:styleId="Heading4Char">
    <w:name w:val="Heading 4 Char"/>
    <w:basedOn w:val="DefaultParagraphFont"/>
    <w:link w:val="Heading4"/>
    <w:rsid w:val="008F611A"/>
    <w:rPr>
      <w:rFonts w:eastAsia="Times New Roman"/>
      <w:b/>
      <w:lang w:val="fr-FR" w:eastAsia="en-US"/>
    </w:rPr>
  </w:style>
  <w:style w:type="character" w:customStyle="1" w:styleId="Heading5Char">
    <w:name w:val="Heading 5 Char"/>
    <w:basedOn w:val="DefaultParagraphFont"/>
    <w:link w:val="Heading5"/>
    <w:rsid w:val="008F611A"/>
    <w:rPr>
      <w:rFonts w:eastAsia="Times New Roman"/>
      <w:b/>
      <w:lang w:val="fr-FR"/>
    </w:rPr>
  </w:style>
  <w:style w:type="character" w:customStyle="1" w:styleId="Heading6Char">
    <w:name w:val="Heading 6 Char"/>
    <w:basedOn w:val="DefaultParagraphFont"/>
    <w:link w:val="Heading6"/>
    <w:rsid w:val="008F611A"/>
    <w:rPr>
      <w:rFonts w:eastAsia="Times New Roman"/>
      <w:bCs/>
      <w:sz w:val="24"/>
      <w:lang w:val="fr-FR"/>
    </w:rPr>
  </w:style>
  <w:style w:type="character" w:customStyle="1" w:styleId="Heading7Char">
    <w:name w:val="Heading 7 Char"/>
    <w:basedOn w:val="DefaultParagraphFont"/>
    <w:link w:val="Heading7"/>
    <w:rsid w:val="008F611A"/>
    <w:rPr>
      <w:rFonts w:eastAsia="Times New Roman"/>
      <w:b/>
      <w:snapToGrid w:val="0"/>
      <w:u w:val="single"/>
      <w:lang w:val="fr-FR"/>
    </w:rPr>
  </w:style>
  <w:style w:type="character" w:customStyle="1" w:styleId="Heading8Char">
    <w:name w:val="Heading 8 Char"/>
    <w:basedOn w:val="DefaultParagraphFont"/>
    <w:link w:val="Heading8"/>
    <w:rsid w:val="008F611A"/>
    <w:rPr>
      <w:rFonts w:eastAsia="Times New Roman"/>
      <w:b/>
      <w:snapToGrid w:val="0"/>
      <w:u w:val="single"/>
      <w:lang w:val="fr-FR"/>
    </w:rPr>
  </w:style>
  <w:style w:type="character" w:customStyle="1" w:styleId="Heading9Char">
    <w:name w:val="Heading 9 Char"/>
    <w:basedOn w:val="DefaultParagraphFont"/>
    <w:link w:val="Heading9"/>
    <w:rsid w:val="008F611A"/>
    <w:rPr>
      <w:rFonts w:eastAsia="Times New Roman"/>
      <w:snapToGrid w:val="0"/>
      <w:u w:val="single"/>
      <w:lang w:val="fr-FR" w:eastAsia="en-US"/>
    </w:rPr>
  </w:style>
  <w:style w:type="paragraph" w:styleId="ListParagraph">
    <w:name w:val="List Paragraph"/>
    <w:basedOn w:val="Normal"/>
    <w:uiPriority w:val="34"/>
    <w:semiHidden/>
    <w:qFormat/>
    <w:rsid w:val="00C20895"/>
    <w:pPr>
      <w:ind w:left="720"/>
      <w:contextualSpacing/>
    </w:pPr>
  </w:style>
  <w:style w:type="paragraph" w:styleId="NoSpacing">
    <w:name w:val="No Spacing"/>
    <w:uiPriority w:val="1"/>
    <w:semiHidden/>
    <w:qFormat/>
    <w:rsid w:val="00C20895"/>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8F611A"/>
    <w:rPr>
      <w:rFonts w:eastAsia="Times New Roman"/>
      <w:lang w:eastAsia="en-US"/>
    </w:rPr>
  </w:style>
  <w:style w:type="character" w:styleId="PlaceholderText">
    <w:name w:val="Placeholder Text"/>
    <w:basedOn w:val="DefaultParagraphFont"/>
    <w:uiPriority w:val="99"/>
    <w:semiHidden/>
    <w:rsid w:val="00C20895"/>
    <w:rPr>
      <w:color w:val="808080"/>
      <w:lang w:val="fr-FR"/>
    </w:rPr>
  </w:style>
  <w:style w:type="table" w:styleId="TableGrid">
    <w:name w:val="Table Grid"/>
    <w:basedOn w:val="TableNormal"/>
    <w:rsid w:val="00C20895"/>
    <w:tblPr/>
  </w:style>
  <w:style w:type="paragraph" w:customStyle="1" w:styleId="ALogo">
    <w:name w:val="A_Logo"/>
    <w:basedOn w:val="Normal-pool"/>
    <w:link w:val="ALogoChar"/>
    <w:qFormat/>
    <w:rsid w:val="008F611A"/>
    <w:pPr>
      <w:spacing w:before="120" w:after="240"/>
    </w:pPr>
    <w:rPr>
      <w:rFonts w:eastAsia="Times New Roman"/>
    </w:rPr>
  </w:style>
  <w:style w:type="character" w:customStyle="1" w:styleId="ALogoChar">
    <w:name w:val="A_Logo Char"/>
    <w:basedOn w:val="DefaultParagraphFont"/>
    <w:link w:val="ALogo"/>
    <w:rsid w:val="008F611A"/>
    <w:rPr>
      <w:rFonts w:eastAsia="Times New Roman"/>
      <w:lang w:val="fr-FR"/>
    </w:rPr>
  </w:style>
  <w:style w:type="paragraph" w:customStyle="1" w:styleId="ASpacer">
    <w:name w:val="A_Spacer"/>
    <w:basedOn w:val="Normal-pool"/>
    <w:link w:val="ASpacerChar"/>
    <w:qFormat/>
    <w:rsid w:val="008F611A"/>
    <w:rPr>
      <w:rFonts w:eastAsia="Times New Roman"/>
      <w:sz w:val="2"/>
    </w:rPr>
  </w:style>
  <w:style w:type="character" w:customStyle="1" w:styleId="ASpacerChar">
    <w:name w:val="A_Spacer Char"/>
    <w:basedOn w:val="DefaultParagraphFont"/>
    <w:link w:val="ASpacer"/>
    <w:rsid w:val="008F611A"/>
    <w:rPr>
      <w:rFonts w:eastAsia="Times New Roman"/>
      <w:sz w:val="2"/>
      <w:lang w:val="fr-FR"/>
    </w:rPr>
  </w:style>
  <w:style w:type="paragraph" w:customStyle="1" w:styleId="AATitle1">
    <w:name w:val="AA_Title1"/>
    <w:basedOn w:val="Normal-pool"/>
    <w:qFormat/>
    <w:rsid w:val="008F611A"/>
  </w:style>
  <w:style w:type="character" w:styleId="UnresolvedMention">
    <w:name w:val="Unresolved Mention"/>
    <w:basedOn w:val="DefaultParagraphFont"/>
    <w:uiPriority w:val="99"/>
    <w:semiHidden/>
    <w:rsid w:val="00C20895"/>
    <w:rPr>
      <w:color w:val="605E5C"/>
      <w:shd w:val="clear" w:color="auto" w:fill="E1DFDD"/>
      <w:lang w:val="fr-FR"/>
    </w:rPr>
  </w:style>
  <w:style w:type="paragraph" w:customStyle="1" w:styleId="ANormal">
    <w:name w:val="A_Normal"/>
    <w:basedOn w:val="Normal-pool"/>
    <w:qFormat/>
    <w:rsid w:val="008F611A"/>
    <w:rPr>
      <w:rFonts w:eastAsia="Times New Roman"/>
    </w:rPr>
  </w:style>
  <w:style w:type="paragraph" w:customStyle="1" w:styleId="AText0">
    <w:name w:val="A_Text0"/>
    <w:basedOn w:val="AText"/>
    <w:next w:val="Normal-pool"/>
    <w:qFormat/>
    <w:rsid w:val="008F611A"/>
    <w:pPr>
      <w:spacing w:before="0" w:after="120"/>
    </w:pPr>
    <w:rPr>
      <w:rFonts w:eastAsia="Times New Roman"/>
    </w:rPr>
  </w:style>
  <w:style w:type="paragraph" w:styleId="Footer">
    <w:name w:val="footer"/>
    <w:basedOn w:val="Normal"/>
    <w:link w:val="FooterChar"/>
    <w:unhideWhenUsed/>
    <w:rsid w:val="008F611A"/>
    <w:pPr>
      <w:tabs>
        <w:tab w:val="right" w:pos="8641"/>
      </w:tabs>
      <w:spacing w:after="120"/>
    </w:pPr>
    <w:rPr>
      <w:b/>
      <w:sz w:val="18"/>
    </w:rPr>
  </w:style>
  <w:style w:type="character" w:customStyle="1" w:styleId="FooterChar1">
    <w:name w:val="Footer Char1"/>
    <w:basedOn w:val="DefaultParagraphFont"/>
    <w:rsid w:val="00C20895"/>
    <w:rPr>
      <w:rFonts w:eastAsia="Times New Roman"/>
      <w:b/>
      <w:sz w:val="18"/>
      <w:lang w:val="fr-FR" w:eastAsia="en-US"/>
    </w:rPr>
  </w:style>
  <w:style w:type="paragraph" w:customStyle="1" w:styleId="Normal-pool">
    <w:name w:val="Normal-pool"/>
    <w:link w:val="Normal-poolChar"/>
    <w:qFormat/>
    <w:rsid w:val="008F611A"/>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8F611A"/>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8F611A"/>
    <w:pPr>
      <w:spacing w:before="60"/>
    </w:pPr>
    <w:rPr>
      <w:sz w:val="18"/>
    </w:rPr>
  </w:style>
  <w:style w:type="paragraph" w:styleId="Bibliography">
    <w:name w:val="Bibliography"/>
    <w:basedOn w:val="Normal"/>
    <w:next w:val="Normal"/>
    <w:uiPriority w:val="37"/>
    <w:semiHidden/>
    <w:rsid w:val="00C20895"/>
  </w:style>
  <w:style w:type="paragraph" w:styleId="BlockText">
    <w:name w:val="Block Text"/>
    <w:basedOn w:val="Normal"/>
    <w:semiHidden/>
    <w:unhideWhenUsed/>
    <w:rsid w:val="00C2089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20895"/>
    <w:pPr>
      <w:spacing w:after="120"/>
    </w:pPr>
  </w:style>
  <w:style w:type="character" w:customStyle="1" w:styleId="BodyTextChar">
    <w:name w:val="Body Text Char"/>
    <w:basedOn w:val="DefaultParagraphFont"/>
    <w:link w:val="BodyText"/>
    <w:semiHidden/>
    <w:rsid w:val="00C20895"/>
    <w:rPr>
      <w:rFonts w:eastAsia="Times New Roman"/>
      <w:lang w:val="fr-FR" w:eastAsia="en-US"/>
    </w:rPr>
  </w:style>
  <w:style w:type="paragraph" w:styleId="BodyText2">
    <w:name w:val="Body Text 2"/>
    <w:basedOn w:val="Normal"/>
    <w:link w:val="BodyText2Char"/>
    <w:semiHidden/>
    <w:unhideWhenUsed/>
    <w:rsid w:val="00C20895"/>
    <w:pPr>
      <w:spacing w:after="120" w:line="480" w:lineRule="auto"/>
    </w:pPr>
  </w:style>
  <w:style w:type="character" w:customStyle="1" w:styleId="BodyText2Char">
    <w:name w:val="Body Text 2 Char"/>
    <w:basedOn w:val="DefaultParagraphFont"/>
    <w:link w:val="BodyText2"/>
    <w:semiHidden/>
    <w:rsid w:val="00C20895"/>
    <w:rPr>
      <w:rFonts w:eastAsia="Times New Roman"/>
      <w:lang w:val="fr-FR" w:eastAsia="en-US"/>
    </w:rPr>
  </w:style>
  <w:style w:type="paragraph" w:styleId="BodyText3">
    <w:name w:val="Body Text 3"/>
    <w:basedOn w:val="Normal"/>
    <w:link w:val="BodyText3Char"/>
    <w:semiHidden/>
    <w:unhideWhenUsed/>
    <w:rsid w:val="00C20895"/>
    <w:pPr>
      <w:spacing w:after="120"/>
    </w:pPr>
    <w:rPr>
      <w:sz w:val="16"/>
      <w:szCs w:val="16"/>
    </w:rPr>
  </w:style>
  <w:style w:type="character" w:customStyle="1" w:styleId="BodyText3Char">
    <w:name w:val="Body Text 3 Char"/>
    <w:basedOn w:val="DefaultParagraphFont"/>
    <w:link w:val="BodyText3"/>
    <w:semiHidden/>
    <w:rsid w:val="00C20895"/>
    <w:rPr>
      <w:rFonts w:eastAsia="Times New Roman"/>
      <w:sz w:val="16"/>
      <w:szCs w:val="16"/>
      <w:lang w:val="fr-FR" w:eastAsia="en-US"/>
    </w:rPr>
  </w:style>
  <w:style w:type="paragraph" w:styleId="BodyTextFirstIndent">
    <w:name w:val="Body Text First Indent"/>
    <w:basedOn w:val="BodyText"/>
    <w:link w:val="BodyTextFirstIndentChar"/>
    <w:semiHidden/>
    <w:unhideWhenUsed/>
    <w:rsid w:val="00C20895"/>
    <w:pPr>
      <w:spacing w:after="0"/>
      <w:ind w:firstLine="360"/>
    </w:pPr>
  </w:style>
  <w:style w:type="character" w:customStyle="1" w:styleId="BodyTextFirstIndentChar">
    <w:name w:val="Body Text First Indent Char"/>
    <w:basedOn w:val="BodyTextChar"/>
    <w:link w:val="BodyTextFirstIndent"/>
    <w:semiHidden/>
    <w:rsid w:val="00C20895"/>
    <w:rPr>
      <w:rFonts w:eastAsia="Times New Roman"/>
      <w:lang w:val="fr-FR" w:eastAsia="en-US"/>
    </w:rPr>
  </w:style>
  <w:style w:type="paragraph" w:styleId="BodyTextIndent">
    <w:name w:val="Body Text Indent"/>
    <w:basedOn w:val="Normal"/>
    <w:link w:val="BodyTextIndentChar"/>
    <w:semiHidden/>
    <w:unhideWhenUsed/>
    <w:rsid w:val="00C20895"/>
    <w:pPr>
      <w:spacing w:after="120"/>
      <w:ind w:left="283"/>
    </w:pPr>
  </w:style>
  <w:style w:type="character" w:customStyle="1" w:styleId="BodyTextIndentChar">
    <w:name w:val="Body Text Indent Char"/>
    <w:basedOn w:val="DefaultParagraphFont"/>
    <w:link w:val="BodyTextIndent"/>
    <w:semiHidden/>
    <w:rsid w:val="00C20895"/>
    <w:rPr>
      <w:rFonts w:eastAsia="Times New Roman"/>
      <w:lang w:val="fr-FR" w:eastAsia="en-US"/>
    </w:rPr>
  </w:style>
  <w:style w:type="paragraph" w:styleId="BodyTextFirstIndent2">
    <w:name w:val="Body Text First Indent 2"/>
    <w:basedOn w:val="BodyTextIndent"/>
    <w:link w:val="BodyTextFirstIndent2Char"/>
    <w:semiHidden/>
    <w:unhideWhenUsed/>
    <w:rsid w:val="00C20895"/>
    <w:pPr>
      <w:spacing w:after="0"/>
      <w:ind w:left="360" w:firstLine="360"/>
    </w:pPr>
  </w:style>
  <w:style w:type="character" w:customStyle="1" w:styleId="BodyTextFirstIndent2Char">
    <w:name w:val="Body Text First Indent 2 Char"/>
    <w:basedOn w:val="BodyTextIndentChar"/>
    <w:link w:val="BodyTextFirstIndent2"/>
    <w:semiHidden/>
    <w:rsid w:val="00C20895"/>
    <w:rPr>
      <w:rFonts w:eastAsia="Times New Roman"/>
      <w:lang w:val="fr-FR" w:eastAsia="en-US"/>
    </w:rPr>
  </w:style>
  <w:style w:type="paragraph" w:styleId="BodyTextIndent2">
    <w:name w:val="Body Text Indent 2"/>
    <w:basedOn w:val="Normal"/>
    <w:link w:val="BodyTextIndent2Char"/>
    <w:semiHidden/>
    <w:unhideWhenUsed/>
    <w:rsid w:val="00C20895"/>
    <w:pPr>
      <w:spacing w:after="120" w:line="480" w:lineRule="auto"/>
      <w:ind w:left="283"/>
    </w:pPr>
  </w:style>
  <w:style w:type="character" w:customStyle="1" w:styleId="BodyTextIndent2Char">
    <w:name w:val="Body Text Indent 2 Char"/>
    <w:basedOn w:val="DefaultParagraphFont"/>
    <w:link w:val="BodyTextIndent2"/>
    <w:semiHidden/>
    <w:rsid w:val="00C20895"/>
    <w:rPr>
      <w:rFonts w:eastAsia="Times New Roman"/>
      <w:lang w:val="fr-FR" w:eastAsia="en-US"/>
    </w:rPr>
  </w:style>
  <w:style w:type="paragraph" w:styleId="BodyTextIndent3">
    <w:name w:val="Body Text Indent 3"/>
    <w:basedOn w:val="Normal"/>
    <w:link w:val="BodyTextIndent3Char"/>
    <w:semiHidden/>
    <w:unhideWhenUsed/>
    <w:rsid w:val="00C20895"/>
    <w:pPr>
      <w:spacing w:after="120"/>
      <w:ind w:left="283"/>
    </w:pPr>
    <w:rPr>
      <w:sz w:val="16"/>
      <w:szCs w:val="16"/>
    </w:rPr>
  </w:style>
  <w:style w:type="character" w:customStyle="1" w:styleId="BodyTextIndent3Char">
    <w:name w:val="Body Text Indent 3 Char"/>
    <w:basedOn w:val="DefaultParagraphFont"/>
    <w:link w:val="BodyTextIndent3"/>
    <w:semiHidden/>
    <w:rsid w:val="00C20895"/>
    <w:rPr>
      <w:rFonts w:eastAsia="Times New Roman"/>
      <w:sz w:val="16"/>
      <w:szCs w:val="16"/>
      <w:lang w:val="fr-FR" w:eastAsia="en-US"/>
    </w:rPr>
  </w:style>
  <w:style w:type="character" w:styleId="BookTitle">
    <w:name w:val="Book Title"/>
    <w:basedOn w:val="DefaultParagraphFont"/>
    <w:uiPriority w:val="33"/>
    <w:semiHidden/>
    <w:qFormat/>
    <w:rsid w:val="00C20895"/>
    <w:rPr>
      <w:b/>
      <w:bCs/>
      <w:i/>
      <w:iCs/>
      <w:spacing w:val="5"/>
      <w:lang w:val="fr-FR"/>
    </w:rPr>
  </w:style>
  <w:style w:type="paragraph" w:styleId="Caption">
    <w:name w:val="caption"/>
    <w:basedOn w:val="Normal"/>
    <w:next w:val="Normal"/>
    <w:semiHidden/>
    <w:unhideWhenUsed/>
    <w:qFormat/>
    <w:rsid w:val="00C20895"/>
    <w:pPr>
      <w:spacing w:after="200"/>
    </w:pPr>
    <w:rPr>
      <w:i/>
      <w:iCs/>
      <w:color w:val="1F497D" w:themeColor="text2"/>
      <w:sz w:val="18"/>
      <w:szCs w:val="18"/>
    </w:rPr>
  </w:style>
  <w:style w:type="paragraph" w:styleId="Closing">
    <w:name w:val="Closing"/>
    <w:basedOn w:val="Normal"/>
    <w:link w:val="ClosingChar"/>
    <w:semiHidden/>
    <w:unhideWhenUsed/>
    <w:rsid w:val="00C20895"/>
    <w:pPr>
      <w:ind w:left="4252"/>
    </w:pPr>
  </w:style>
  <w:style w:type="character" w:customStyle="1" w:styleId="ClosingChar">
    <w:name w:val="Closing Char"/>
    <w:basedOn w:val="DefaultParagraphFont"/>
    <w:link w:val="Closing"/>
    <w:semiHidden/>
    <w:rsid w:val="00C20895"/>
    <w:rPr>
      <w:rFonts w:eastAsia="Times New Roman"/>
      <w:lang w:val="fr-FR" w:eastAsia="en-US"/>
    </w:rPr>
  </w:style>
  <w:style w:type="table" w:styleId="ColorfulGrid">
    <w:name w:val="Colorful Grid"/>
    <w:basedOn w:val="TableNormal"/>
    <w:uiPriority w:val="73"/>
    <w:semiHidden/>
    <w:unhideWhenUsed/>
    <w:rsid w:val="00C20895"/>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semiHidden/>
    <w:unhideWhenUsed/>
    <w:rsid w:val="00C20895"/>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semiHidden/>
    <w:unhideWhenUsed/>
    <w:rsid w:val="00C20895"/>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semiHidden/>
    <w:unhideWhenUsed/>
    <w:rsid w:val="00C20895"/>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semiHidden/>
    <w:unhideWhenUsed/>
    <w:rsid w:val="00C20895"/>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semiHidden/>
    <w:unhideWhenUsed/>
    <w:rsid w:val="00C20895"/>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semiHidden/>
    <w:unhideWhenUsed/>
    <w:rsid w:val="00C20895"/>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List">
    <w:name w:val="Colorful List"/>
    <w:basedOn w:val="TableNormal"/>
    <w:uiPriority w:val="72"/>
    <w:semiHidden/>
    <w:unhideWhenUsed/>
    <w:rsid w:val="00C20895"/>
    <w:rPr>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1">
    <w:name w:val="Colorful List Accent 1"/>
    <w:basedOn w:val="TableNormal"/>
    <w:uiPriority w:val="72"/>
    <w:semiHidden/>
    <w:unhideWhenUsed/>
    <w:rsid w:val="00C20895"/>
    <w:rPr>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2">
    <w:name w:val="Colorful List Accent 2"/>
    <w:basedOn w:val="TableNormal"/>
    <w:uiPriority w:val="72"/>
    <w:semiHidden/>
    <w:unhideWhenUsed/>
    <w:rsid w:val="00C20895"/>
    <w:rPr>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3">
    <w:name w:val="Colorful List Accent 3"/>
    <w:basedOn w:val="TableNormal"/>
    <w:uiPriority w:val="72"/>
    <w:semiHidden/>
    <w:unhideWhenUsed/>
    <w:rsid w:val="00C20895"/>
    <w:rPr>
      <w:color w:val="000000" w:themeColor="text1"/>
    </w:rPr>
    <w:tblPr/>
    <w:tblStylePr w:type="firstRow">
      <w:rPr>
        <w:b/>
        <w:bCs/>
        <w:color w:val="FFFFFF" w:themeColor="background1"/>
      </w:rPr>
    </w:tblStylePr>
    <w:tblStylePr w:type="lastRow">
      <w:rPr>
        <w:b/>
        <w:bCs/>
        <w:color w:val="664E82" w:themeColor="accent4" w:themeShade="CC"/>
      </w:rPr>
    </w:tblStylePr>
    <w:tblStylePr w:type="firstCol">
      <w:rPr>
        <w:b/>
        <w:bCs/>
      </w:rPr>
    </w:tblStylePr>
    <w:tblStylePr w:type="lastCol">
      <w:rPr>
        <w:b/>
        <w:bCs/>
      </w:rPr>
    </w:tblStylePr>
  </w:style>
  <w:style w:type="table" w:styleId="ColorfulList-Accent4">
    <w:name w:val="Colorful List Accent 4"/>
    <w:basedOn w:val="TableNormal"/>
    <w:uiPriority w:val="72"/>
    <w:semiHidden/>
    <w:unhideWhenUsed/>
    <w:rsid w:val="00C20895"/>
    <w:rPr>
      <w:color w:val="000000" w:themeColor="text1"/>
    </w:rPr>
    <w:tblPr>
      <w:tblStyleColBandSize w:val="1"/>
    </w:tblPr>
    <w:tblStylePr w:type="firstRow">
      <w:rPr>
        <w:b/>
        <w:bCs/>
        <w:color w:val="FFFFFF" w:themeColor="background1"/>
      </w:rPr>
    </w:tblStylePr>
    <w:tblStylePr w:type="lastRow">
      <w:rPr>
        <w:b/>
        <w:bCs/>
        <w:color w:val="7E9C40" w:themeColor="accent3" w:themeShade="CC"/>
      </w:rPr>
    </w:tblStylePr>
    <w:tblStylePr w:type="firstCol">
      <w:rPr>
        <w:b/>
        <w:bCs/>
      </w:rPr>
    </w:tblStylePr>
    <w:tblStylePr w:type="lastCol">
      <w:rPr>
        <w:b/>
        <w:bCs/>
      </w:rPr>
    </w:tblStylePr>
  </w:style>
  <w:style w:type="table" w:styleId="ColorfulList-Accent5">
    <w:name w:val="Colorful List Accent 5"/>
    <w:basedOn w:val="TableNormal"/>
    <w:uiPriority w:val="72"/>
    <w:semiHidden/>
    <w:unhideWhenUsed/>
    <w:rsid w:val="00C20895"/>
    <w:rPr>
      <w:color w:val="000000" w:themeColor="text1"/>
    </w:rPr>
    <w:tblPr>
      <w:tblStyleColBandSize w:val="1"/>
    </w:tblPr>
    <w:tblStylePr w:type="firstRow">
      <w:rPr>
        <w:b/>
        <w:bCs/>
        <w:color w:val="FFFFFF" w:themeColor="background1"/>
      </w:rPr>
    </w:tblStylePr>
    <w:tblStylePr w:type="lastRow">
      <w:rPr>
        <w:b/>
        <w:bCs/>
        <w:color w:val="F2730A" w:themeColor="accent6" w:themeShade="CC"/>
      </w:rPr>
    </w:tblStylePr>
    <w:tblStylePr w:type="firstCol">
      <w:rPr>
        <w:b/>
        <w:bCs/>
      </w:rPr>
    </w:tblStylePr>
    <w:tblStylePr w:type="lastCol">
      <w:rPr>
        <w:b/>
        <w:bCs/>
      </w:rPr>
    </w:tblStylePr>
  </w:style>
  <w:style w:type="table" w:styleId="ColorfulList-Accent6">
    <w:name w:val="Colorful List Accent 6"/>
    <w:basedOn w:val="TableNormal"/>
    <w:uiPriority w:val="72"/>
    <w:semiHidden/>
    <w:unhideWhenUsed/>
    <w:rsid w:val="00C20895"/>
    <w:rPr>
      <w:color w:val="000000" w:themeColor="text1"/>
    </w:rPr>
    <w:tblPr>
      <w:tblStyleColBandSize w:val="1"/>
    </w:tblPr>
    <w:tblStylePr w:type="firstRow">
      <w:rPr>
        <w:b/>
        <w:bCs/>
        <w:color w:val="FFFFFF" w:themeColor="background1"/>
      </w:rPr>
    </w:tblStylePr>
    <w:tblStylePr w:type="lastRow">
      <w:rPr>
        <w:b/>
        <w:bCs/>
        <w:color w:val="348DA5" w:themeColor="accent5" w:themeShade="CC"/>
      </w:rPr>
    </w:tblStylePr>
    <w:tblStylePr w:type="firstCol">
      <w:rPr>
        <w:b/>
        <w:bCs/>
      </w:rPr>
    </w:tblStylePr>
    <w:tblStylePr w:type="lastCol">
      <w:rPr>
        <w:b/>
        <w:bCs/>
      </w:rPr>
    </w:tblStylePr>
  </w:style>
  <w:style w:type="table" w:styleId="ColorfulShading">
    <w:name w:val="Colorful Shading"/>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style>
  <w:style w:type="table" w:styleId="ColorfulShading-Accent4">
    <w:name w:val="Colorful Shading Accent 4"/>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20895"/>
    <w:rPr>
      <w:color w:val="FFFFFF" w:themeColor="background1"/>
    </w:rPr>
    <w:tblPr/>
    <w:tblStylePr w:type="firstRow">
      <w:rPr>
        <w:b/>
        <w:bCs/>
      </w:rPr>
    </w:tblStylePr>
  </w:style>
  <w:style w:type="table" w:styleId="DarkList-Accent1">
    <w:name w:val="Dark List Accent 1"/>
    <w:basedOn w:val="TableNormal"/>
    <w:uiPriority w:val="70"/>
    <w:semiHidden/>
    <w:unhideWhenUsed/>
    <w:rsid w:val="00C20895"/>
    <w:rPr>
      <w:color w:val="FFFFFF" w:themeColor="background1"/>
    </w:rPr>
    <w:tblPr/>
    <w:tblStylePr w:type="firstRow">
      <w:rPr>
        <w:b/>
        <w:bCs/>
      </w:rPr>
    </w:tblStylePr>
  </w:style>
  <w:style w:type="table" w:styleId="DarkList-Accent2">
    <w:name w:val="Dark List Accent 2"/>
    <w:basedOn w:val="TableNormal"/>
    <w:uiPriority w:val="70"/>
    <w:semiHidden/>
    <w:unhideWhenUsed/>
    <w:rsid w:val="00C20895"/>
    <w:rPr>
      <w:color w:val="FFFFFF" w:themeColor="background1"/>
    </w:rPr>
    <w:tblPr/>
    <w:tblStylePr w:type="firstRow">
      <w:rPr>
        <w:b/>
        <w:bCs/>
      </w:rPr>
    </w:tblStylePr>
  </w:style>
  <w:style w:type="table" w:styleId="DarkList-Accent3">
    <w:name w:val="Dark List Accent 3"/>
    <w:basedOn w:val="TableNormal"/>
    <w:uiPriority w:val="70"/>
    <w:semiHidden/>
    <w:unhideWhenUsed/>
    <w:rsid w:val="00C20895"/>
    <w:rPr>
      <w:color w:val="FFFFFF" w:themeColor="background1"/>
    </w:rPr>
    <w:tblPr/>
    <w:tblStylePr w:type="firstRow">
      <w:rPr>
        <w:b/>
        <w:bCs/>
      </w:rPr>
    </w:tblStylePr>
  </w:style>
  <w:style w:type="table" w:styleId="DarkList-Accent4">
    <w:name w:val="Dark List Accent 4"/>
    <w:basedOn w:val="TableNormal"/>
    <w:uiPriority w:val="70"/>
    <w:semiHidden/>
    <w:unhideWhenUsed/>
    <w:rsid w:val="00C20895"/>
    <w:rPr>
      <w:color w:val="FFFFFF" w:themeColor="background1"/>
    </w:rPr>
    <w:tblPr/>
    <w:tblStylePr w:type="firstRow">
      <w:rPr>
        <w:b/>
        <w:bCs/>
      </w:rPr>
    </w:tblStylePr>
  </w:style>
  <w:style w:type="table" w:styleId="DarkList-Accent5">
    <w:name w:val="Dark List Accent 5"/>
    <w:basedOn w:val="TableNormal"/>
    <w:uiPriority w:val="70"/>
    <w:semiHidden/>
    <w:unhideWhenUsed/>
    <w:rsid w:val="00C20895"/>
    <w:rPr>
      <w:color w:val="FFFFFF" w:themeColor="background1"/>
    </w:rPr>
    <w:tblPr/>
    <w:tblStylePr w:type="firstRow">
      <w:rPr>
        <w:b/>
        <w:bCs/>
      </w:rPr>
    </w:tblStylePr>
  </w:style>
  <w:style w:type="table" w:styleId="DarkList-Accent6">
    <w:name w:val="Dark List Accent 6"/>
    <w:basedOn w:val="TableNormal"/>
    <w:uiPriority w:val="70"/>
    <w:semiHidden/>
    <w:unhideWhenUsed/>
    <w:rsid w:val="00C20895"/>
    <w:rPr>
      <w:color w:val="FFFFFF" w:themeColor="background1"/>
    </w:rPr>
    <w:tblPr/>
    <w:tblStylePr w:type="firstRow">
      <w:rPr>
        <w:b/>
        <w:bCs/>
      </w:rPr>
    </w:tblStylePr>
  </w:style>
  <w:style w:type="paragraph" w:styleId="Date">
    <w:name w:val="Date"/>
    <w:basedOn w:val="Normal"/>
    <w:next w:val="Normal"/>
    <w:link w:val="DateChar"/>
    <w:semiHidden/>
    <w:unhideWhenUsed/>
    <w:rsid w:val="00C20895"/>
  </w:style>
  <w:style w:type="character" w:customStyle="1" w:styleId="DateChar">
    <w:name w:val="Date Char"/>
    <w:basedOn w:val="DefaultParagraphFont"/>
    <w:link w:val="Date"/>
    <w:semiHidden/>
    <w:rsid w:val="00C20895"/>
    <w:rPr>
      <w:rFonts w:eastAsia="Times New Roman"/>
      <w:lang w:val="fr-FR" w:eastAsia="en-US"/>
    </w:rPr>
  </w:style>
  <w:style w:type="paragraph" w:styleId="DocumentMap">
    <w:name w:val="Document Map"/>
    <w:basedOn w:val="Normal"/>
    <w:link w:val="DocumentMapChar"/>
    <w:semiHidden/>
    <w:unhideWhenUsed/>
    <w:rsid w:val="00C20895"/>
    <w:rPr>
      <w:rFonts w:ascii="Segoe UI" w:hAnsi="Segoe UI" w:cs="Segoe UI"/>
      <w:sz w:val="16"/>
      <w:szCs w:val="16"/>
    </w:rPr>
  </w:style>
  <w:style w:type="character" w:customStyle="1" w:styleId="DocumentMapChar">
    <w:name w:val="Document Map Char"/>
    <w:basedOn w:val="DefaultParagraphFont"/>
    <w:link w:val="DocumentMap"/>
    <w:semiHidden/>
    <w:rsid w:val="00C20895"/>
    <w:rPr>
      <w:rFonts w:ascii="Segoe UI" w:eastAsia="Times New Roman" w:hAnsi="Segoe UI" w:cs="Segoe UI"/>
      <w:sz w:val="16"/>
      <w:szCs w:val="16"/>
      <w:lang w:val="fr-FR" w:eastAsia="en-US"/>
    </w:rPr>
  </w:style>
  <w:style w:type="paragraph" w:styleId="E-mailSignature">
    <w:name w:val="E-mail Signature"/>
    <w:basedOn w:val="Normal"/>
    <w:link w:val="E-mailSignatureChar"/>
    <w:semiHidden/>
    <w:unhideWhenUsed/>
    <w:rsid w:val="00C20895"/>
  </w:style>
  <w:style w:type="character" w:customStyle="1" w:styleId="E-mailSignatureChar">
    <w:name w:val="E-mail Signature Char"/>
    <w:basedOn w:val="DefaultParagraphFont"/>
    <w:link w:val="E-mailSignature"/>
    <w:semiHidden/>
    <w:rsid w:val="00C20895"/>
    <w:rPr>
      <w:rFonts w:eastAsia="Times New Roman"/>
      <w:lang w:val="fr-FR" w:eastAsia="en-US"/>
    </w:rPr>
  </w:style>
  <w:style w:type="character" w:styleId="Emphasis">
    <w:name w:val="Emphasis"/>
    <w:basedOn w:val="DefaultParagraphFont"/>
    <w:semiHidden/>
    <w:qFormat/>
    <w:rsid w:val="00C20895"/>
    <w:rPr>
      <w:i/>
      <w:iCs/>
      <w:lang w:val="fr-FR"/>
    </w:rPr>
  </w:style>
  <w:style w:type="character" w:styleId="EndnoteReference">
    <w:name w:val="endnote reference"/>
    <w:basedOn w:val="DefaultParagraphFont"/>
    <w:semiHidden/>
    <w:unhideWhenUsed/>
    <w:rsid w:val="00C20895"/>
    <w:rPr>
      <w:vertAlign w:val="superscript"/>
      <w:lang w:val="fr-FR"/>
    </w:rPr>
  </w:style>
  <w:style w:type="paragraph" w:styleId="EndnoteText">
    <w:name w:val="endnote text"/>
    <w:basedOn w:val="Normal"/>
    <w:link w:val="EndnoteTextChar"/>
    <w:semiHidden/>
    <w:unhideWhenUsed/>
    <w:rsid w:val="00C20895"/>
  </w:style>
  <w:style w:type="character" w:customStyle="1" w:styleId="EndnoteTextChar">
    <w:name w:val="Endnote Text Char"/>
    <w:basedOn w:val="DefaultParagraphFont"/>
    <w:link w:val="EndnoteText"/>
    <w:semiHidden/>
    <w:rsid w:val="00C20895"/>
    <w:rPr>
      <w:rFonts w:eastAsia="Times New Roman"/>
      <w:lang w:val="fr-FR" w:eastAsia="en-US"/>
    </w:rPr>
  </w:style>
  <w:style w:type="paragraph" w:styleId="EnvelopeAddress">
    <w:name w:val="envelope address"/>
    <w:basedOn w:val="Normal"/>
    <w:semiHidden/>
    <w:unhideWhenUsed/>
    <w:rsid w:val="00C2089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20895"/>
    <w:rPr>
      <w:rFonts w:asciiTheme="majorHAnsi" w:eastAsiaTheme="majorEastAsia" w:hAnsiTheme="majorHAnsi" w:cstheme="majorBidi"/>
    </w:rPr>
  </w:style>
  <w:style w:type="paragraph" w:styleId="FootnoteText">
    <w:name w:val="footnote text"/>
    <w:basedOn w:val="Normal"/>
    <w:link w:val="FootnoteTextChar"/>
    <w:semiHidden/>
    <w:rsid w:val="008F611A"/>
    <w:pPr>
      <w:tabs>
        <w:tab w:val="left" w:pos="4082"/>
      </w:tabs>
      <w:spacing w:before="20" w:after="40"/>
      <w:ind w:left="1247"/>
    </w:pPr>
    <w:rPr>
      <w:sz w:val="18"/>
    </w:rPr>
  </w:style>
  <w:style w:type="character" w:customStyle="1" w:styleId="FootnoteTextChar">
    <w:name w:val="Footnote Text Char"/>
    <w:basedOn w:val="DefaultParagraphFont"/>
    <w:link w:val="FootnoteText"/>
    <w:semiHidden/>
    <w:rsid w:val="00C20895"/>
    <w:rPr>
      <w:rFonts w:eastAsia="Times New Roman"/>
      <w:sz w:val="18"/>
      <w:lang w:val="fr-FR" w:eastAsia="en-US"/>
    </w:rPr>
  </w:style>
  <w:style w:type="table" w:styleId="GridTable1Light">
    <w:name w:val="Grid Table 1 Light"/>
    <w:basedOn w:val="TableNormal"/>
    <w:uiPriority w:val="46"/>
    <w:rsid w:val="00C20895"/>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1">
    <w:name w:val="Grid Table 1 Light Accent 1"/>
    <w:basedOn w:val="TableNormal"/>
    <w:uiPriority w:val="46"/>
    <w:rsid w:val="00C20895"/>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2">
    <w:name w:val="Grid Table 1 Light Accent 2"/>
    <w:basedOn w:val="TableNormal"/>
    <w:uiPriority w:val="46"/>
    <w:rsid w:val="00C20895"/>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3">
    <w:name w:val="Grid Table 1 Light Accent 3"/>
    <w:basedOn w:val="TableNormal"/>
    <w:uiPriority w:val="46"/>
    <w:rsid w:val="00C20895"/>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4">
    <w:name w:val="Grid Table 1 Light Accent 4"/>
    <w:basedOn w:val="TableNormal"/>
    <w:uiPriority w:val="46"/>
    <w:rsid w:val="00C20895"/>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5">
    <w:name w:val="Grid Table 1 Light Accent 5"/>
    <w:basedOn w:val="TableNormal"/>
    <w:uiPriority w:val="46"/>
    <w:rsid w:val="00C20895"/>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6">
    <w:name w:val="Grid Table 1 Light Accent 6"/>
    <w:basedOn w:val="TableNormal"/>
    <w:uiPriority w:val="46"/>
    <w:rsid w:val="00C20895"/>
    <w:tblPr/>
    <w:tblStylePr w:type="firstRow">
      <w:rPr>
        <w:b/>
        <w:bCs/>
      </w:rPr>
    </w:tblStylePr>
    <w:tblStylePr w:type="lastRow">
      <w:rPr>
        <w:b/>
        <w:bCs/>
      </w:rPr>
    </w:tblStylePr>
    <w:tblStylePr w:type="firstCol">
      <w:rPr>
        <w:b/>
        <w:bCs/>
      </w:rPr>
    </w:tblStylePr>
    <w:tblStylePr w:type="lastCol">
      <w:rPr>
        <w:b/>
        <w:bCs/>
      </w:rPr>
    </w:tblStylePr>
  </w:style>
  <w:style w:type="table" w:styleId="GridTable2">
    <w:name w:val="Grid Table 2"/>
    <w:basedOn w:val="TableNormal"/>
    <w:uiPriority w:val="47"/>
    <w:rsid w:val="00C2089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GridTable2-Accent1">
    <w:name w:val="Grid Table 2 Accent 1"/>
    <w:basedOn w:val="TableNormal"/>
    <w:uiPriority w:val="47"/>
    <w:rsid w:val="00C2089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GridTable2-Accent2">
    <w:name w:val="Grid Table 2 Accent 2"/>
    <w:basedOn w:val="TableNormal"/>
    <w:uiPriority w:val="47"/>
    <w:rsid w:val="00C2089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GridTable2-Accent3">
    <w:name w:val="Grid Table 2 Accent 3"/>
    <w:basedOn w:val="TableNormal"/>
    <w:uiPriority w:val="47"/>
    <w:rsid w:val="00C2089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GridTable2-Accent4">
    <w:name w:val="Grid Table 2 Accent 4"/>
    <w:basedOn w:val="TableNormal"/>
    <w:uiPriority w:val="47"/>
    <w:rsid w:val="00C2089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GridTable2-Accent5">
    <w:name w:val="Grid Table 2 Accent 5"/>
    <w:basedOn w:val="TableNormal"/>
    <w:uiPriority w:val="47"/>
    <w:rsid w:val="00C2089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GridTable2-Accent6">
    <w:name w:val="Grid Table 2 Accent 6"/>
    <w:basedOn w:val="TableNormal"/>
    <w:uiPriority w:val="47"/>
    <w:rsid w:val="00C2089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GridTable3">
    <w:name w:val="Grid Table 3"/>
    <w:basedOn w:val="TableNormal"/>
    <w:uiPriority w:val="48"/>
    <w:rsid w:val="00C20895"/>
    <w:tblPr>
      <w:tblStyleRowBandSize w:val="1"/>
      <w:tblStyleColBandSize w:val="1"/>
    </w:tblPr>
    <w:tcPr>
      <w:tcBorders>
        <w:top w:val="nil"/>
        <w:left w:val="nil"/>
        <w:bottom w:val="nil"/>
        <w:right w:val="nil"/>
      </w:tcBorders>
      <w:shd w:val="clear" w:color="auto" w:fill="CCCCCC" w:themeFill="tex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20895"/>
    <w:tblPr>
      <w:tblStyleRowBandSize w:val="1"/>
      <w:tblStyleColBandSize w:val="1"/>
    </w:tblPr>
    <w:tcPr>
      <w:tcBorders>
        <w:top w:val="nil"/>
        <w:left w:val="nil"/>
        <w:bottom w:val="nil"/>
        <w:right w:val="nil"/>
      </w:tcBorders>
      <w:shd w:val="clear" w:color="auto" w:fill="DBE5F1"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20895"/>
    <w:tblPr>
      <w:tblStyleRowBandSize w:val="1"/>
      <w:tblStyleColBandSize w:val="1"/>
    </w:tblPr>
    <w:tcPr>
      <w:tcBorders>
        <w:top w:val="nil"/>
        <w:left w:val="nil"/>
        <w:bottom w:val="nil"/>
        <w:right w:val="nil"/>
      </w:tcBorders>
      <w:shd w:val="clear" w:color="auto" w:fill="F2DBDB"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20895"/>
    <w:tblPr>
      <w:tblStyleRowBandSize w:val="1"/>
      <w:tblStyleColBandSize w:val="1"/>
    </w:tblPr>
    <w:tcPr>
      <w:tcBorders>
        <w:top w:val="nil"/>
        <w:left w:val="nil"/>
        <w:bottom w:val="nil"/>
        <w:right w:val="nil"/>
      </w:tcBorders>
      <w:shd w:val="clear" w:color="auto" w:fill="EAF1DD"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20895"/>
    <w:tblPr>
      <w:tblStyleRowBandSize w:val="1"/>
      <w:tblStyleColBandSize w:val="1"/>
    </w:tblPr>
    <w:tcPr>
      <w:tcBorders>
        <w:top w:val="nil"/>
        <w:left w:val="nil"/>
        <w:bottom w:val="nil"/>
        <w:right w:val="nil"/>
      </w:tcBorders>
      <w:shd w:val="clear" w:color="auto" w:fill="E5DFEC"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20895"/>
    <w:tblPr>
      <w:tblStyleRowBandSize w:val="1"/>
      <w:tblStyleColBandSize w:val="1"/>
    </w:tblPr>
    <w:tcPr>
      <w:tcBorders>
        <w:top w:val="nil"/>
        <w:left w:val="nil"/>
        <w:bottom w:val="nil"/>
        <w:right w:val="nil"/>
      </w:tcBorders>
      <w:shd w:val="clear" w:color="auto" w:fill="DAEEF3" w:themeFill="accent5"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20895"/>
    <w:tblPr>
      <w:tblStyleRowBandSize w:val="1"/>
      <w:tblStyleColBandSize w:val="1"/>
    </w:tblPr>
    <w:tcPr>
      <w:tcBorders>
        <w:top w:val="nil"/>
        <w:left w:val="nil"/>
        <w:bottom w:val="nil"/>
        <w:right w:val="nil"/>
      </w:tcBorders>
      <w:shd w:val="clear" w:color="auto" w:fill="FDE9D9" w:themeFill="accent6"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20895"/>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C20895"/>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2">
    <w:name w:val="Grid Table 4 Accent 2"/>
    <w:basedOn w:val="TableNormal"/>
    <w:uiPriority w:val="49"/>
    <w:rsid w:val="00C20895"/>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3">
    <w:name w:val="Grid Table 4 Accent 3"/>
    <w:basedOn w:val="TableNormal"/>
    <w:uiPriority w:val="49"/>
    <w:rsid w:val="00C20895"/>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4">
    <w:name w:val="Grid Table 4 Accent 4"/>
    <w:basedOn w:val="TableNormal"/>
    <w:uiPriority w:val="49"/>
    <w:rsid w:val="00C20895"/>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5">
    <w:name w:val="Grid Table 4 Accent 5"/>
    <w:basedOn w:val="TableNormal"/>
    <w:uiPriority w:val="49"/>
    <w:rsid w:val="00C20895"/>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6">
    <w:name w:val="Grid Table 4 Accent 6"/>
    <w:basedOn w:val="TableNormal"/>
    <w:uiPriority w:val="49"/>
    <w:rsid w:val="00C20895"/>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5Dark">
    <w:name w:val="Grid Table 5 Dark"/>
    <w:basedOn w:val="TableNormal"/>
    <w:uiPriority w:val="50"/>
    <w:rsid w:val="00C20895"/>
    <w:tblPr>
      <w:tblStyleRowBandSize w:val="1"/>
      <w:tblStyleColBandSize w:val="1"/>
    </w:tblPr>
    <w:tcPr>
      <w:tcBorders>
        <w:right w:val="single" w:sz="4" w:space="0" w:color="FFFFFF" w:themeColor="background1"/>
      </w:tcBorders>
      <w:shd w:val="clear" w:color="auto" w:fill="CCCCCC" w:themeFill="tex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1">
    <w:name w:val="Grid Table 5 Dark Accent 1"/>
    <w:basedOn w:val="TableNormal"/>
    <w:uiPriority w:val="50"/>
    <w:rsid w:val="00C20895"/>
    <w:tblPr>
      <w:tblStyleRowBandSize w:val="1"/>
      <w:tblStyleColBandSize w:val="1"/>
    </w:tblPr>
    <w:tcPr>
      <w:tcBorders>
        <w:right w:val="single" w:sz="4" w:space="0" w:color="FFFFFF" w:themeColor="background1"/>
      </w:tcBorders>
      <w:shd w:val="clear" w:color="auto" w:fill="DBE5F1" w:themeFill="accen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2">
    <w:name w:val="Grid Table 5 Dark Accent 2"/>
    <w:basedOn w:val="TableNormal"/>
    <w:uiPriority w:val="50"/>
    <w:rsid w:val="00C20895"/>
    <w:tblPr>
      <w:tblStyleRowBandSize w:val="1"/>
      <w:tblStyleColBandSize w:val="1"/>
    </w:tblPr>
    <w:tcPr>
      <w:tcBorders>
        <w:right w:val="single" w:sz="4" w:space="0" w:color="FFFFFF" w:themeColor="background1"/>
      </w:tcBorders>
      <w:shd w:val="clear" w:color="auto" w:fill="F2DBDB" w:themeFill="accent2"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3">
    <w:name w:val="Grid Table 5 Dark Accent 3"/>
    <w:basedOn w:val="TableNormal"/>
    <w:uiPriority w:val="50"/>
    <w:rsid w:val="00C20895"/>
    <w:tblPr>
      <w:tblStyleRowBandSize w:val="1"/>
      <w:tblStyleColBandSize w:val="1"/>
    </w:tblPr>
    <w:tcPr>
      <w:tcBorders>
        <w:right w:val="single" w:sz="4" w:space="0" w:color="FFFFFF" w:themeColor="background1"/>
      </w:tcBorders>
      <w:shd w:val="clear" w:color="auto" w:fill="EAF1DD" w:themeFill="accent3"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4">
    <w:name w:val="Grid Table 5 Dark Accent 4"/>
    <w:basedOn w:val="TableNormal"/>
    <w:uiPriority w:val="50"/>
    <w:rsid w:val="00C20895"/>
    <w:tblPr>
      <w:tblStyleRowBandSize w:val="1"/>
      <w:tblStyleColBandSize w:val="1"/>
    </w:tblPr>
    <w:tcPr>
      <w:tcBorders>
        <w:right w:val="single" w:sz="4" w:space="0" w:color="FFFFFF" w:themeColor="background1"/>
      </w:tcBorders>
      <w:shd w:val="clear" w:color="auto" w:fill="E5DFEC" w:themeFill="accent4"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5">
    <w:name w:val="Grid Table 5 Dark Accent 5"/>
    <w:basedOn w:val="TableNormal"/>
    <w:uiPriority w:val="50"/>
    <w:rsid w:val="00C20895"/>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StylePr>
  </w:style>
  <w:style w:type="table" w:styleId="GridTable5Dark-Accent6">
    <w:name w:val="Grid Table 5 Dark Accent 6"/>
    <w:basedOn w:val="TableNormal"/>
    <w:uiPriority w:val="50"/>
    <w:rsid w:val="00C20895"/>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StylePr>
  </w:style>
  <w:style w:type="table" w:styleId="GridTable6Colorful">
    <w:name w:val="Grid Table 6 Colorful"/>
    <w:basedOn w:val="TableNormal"/>
    <w:uiPriority w:val="51"/>
    <w:rsid w:val="00C208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2089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2089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2089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2089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2089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2089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208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2089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2089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2089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2089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2089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2089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C20895"/>
    <w:rPr>
      <w:color w:val="2B579A"/>
      <w:shd w:val="clear" w:color="auto" w:fill="E1DFDD"/>
      <w:lang w:val="fr-FR"/>
    </w:rPr>
  </w:style>
  <w:style w:type="character" w:styleId="HTMLAcronym">
    <w:name w:val="HTML Acronym"/>
    <w:basedOn w:val="DefaultParagraphFont"/>
    <w:semiHidden/>
    <w:unhideWhenUsed/>
    <w:rsid w:val="00C20895"/>
    <w:rPr>
      <w:lang w:val="fr-FR"/>
    </w:rPr>
  </w:style>
  <w:style w:type="paragraph" w:styleId="HTMLAddress">
    <w:name w:val="HTML Address"/>
    <w:basedOn w:val="Normal"/>
    <w:link w:val="HTMLAddressChar"/>
    <w:semiHidden/>
    <w:unhideWhenUsed/>
    <w:rsid w:val="00C20895"/>
    <w:rPr>
      <w:i/>
      <w:iCs/>
    </w:rPr>
  </w:style>
  <w:style w:type="character" w:customStyle="1" w:styleId="HTMLAddressChar">
    <w:name w:val="HTML Address Char"/>
    <w:basedOn w:val="DefaultParagraphFont"/>
    <w:link w:val="HTMLAddress"/>
    <w:semiHidden/>
    <w:rsid w:val="00C20895"/>
    <w:rPr>
      <w:rFonts w:eastAsia="Times New Roman"/>
      <w:i/>
      <w:iCs/>
      <w:lang w:val="fr-FR" w:eastAsia="en-US"/>
    </w:rPr>
  </w:style>
  <w:style w:type="character" w:styleId="HTMLCite">
    <w:name w:val="HTML Cite"/>
    <w:basedOn w:val="DefaultParagraphFont"/>
    <w:semiHidden/>
    <w:unhideWhenUsed/>
    <w:rsid w:val="00C20895"/>
    <w:rPr>
      <w:i/>
      <w:iCs/>
      <w:lang w:val="fr-FR"/>
    </w:rPr>
  </w:style>
  <w:style w:type="character" w:styleId="HTMLCode">
    <w:name w:val="HTML Code"/>
    <w:basedOn w:val="DefaultParagraphFont"/>
    <w:semiHidden/>
    <w:unhideWhenUsed/>
    <w:rsid w:val="00C20895"/>
    <w:rPr>
      <w:rFonts w:ascii="Consolas" w:hAnsi="Consolas"/>
      <w:sz w:val="20"/>
      <w:szCs w:val="20"/>
      <w:lang w:val="fr-FR"/>
    </w:rPr>
  </w:style>
  <w:style w:type="character" w:styleId="HTMLDefinition">
    <w:name w:val="HTML Definition"/>
    <w:basedOn w:val="DefaultParagraphFont"/>
    <w:semiHidden/>
    <w:unhideWhenUsed/>
    <w:rsid w:val="00C20895"/>
    <w:rPr>
      <w:i/>
      <w:iCs/>
      <w:lang w:val="fr-FR"/>
    </w:rPr>
  </w:style>
  <w:style w:type="character" w:styleId="HTMLKeyboard">
    <w:name w:val="HTML Keyboard"/>
    <w:basedOn w:val="DefaultParagraphFont"/>
    <w:semiHidden/>
    <w:unhideWhenUsed/>
    <w:rsid w:val="00C20895"/>
    <w:rPr>
      <w:rFonts w:ascii="Consolas" w:hAnsi="Consolas"/>
      <w:sz w:val="20"/>
      <w:szCs w:val="20"/>
      <w:lang w:val="fr-FR"/>
    </w:rPr>
  </w:style>
  <w:style w:type="paragraph" w:styleId="HTMLPreformatted">
    <w:name w:val="HTML Preformatted"/>
    <w:basedOn w:val="Normal"/>
    <w:link w:val="HTMLPreformattedChar"/>
    <w:semiHidden/>
    <w:unhideWhenUsed/>
    <w:rsid w:val="00C20895"/>
    <w:rPr>
      <w:rFonts w:ascii="Consolas" w:hAnsi="Consolas"/>
    </w:rPr>
  </w:style>
  <w:style w:type="character" w:customStyle="1" w:styleId="HTMLPreformattedChar">
    <w:name w:val="HTML Preformatted Char"/>
    <w:basedOn w:val="DefaultParagraphFont"/>
    <w:link w:val="HTMLPreformatted"/>
    <w:semiHidden/>
    <w:rsid w:val="00C20895"/>
    <w:rPr>
      <w:rFonts w:ascii="Consolas" w:eastAsia="Times New Roman" w:hAnsi="Consolas"/>
      <w:lang w:val="fr-FR" w:eastAsia="en-US"/>
    </w:rPr>
  </w:style>
  <w:style w:type="character" w:styleId="HTMLSample">
    <w:name w:val="HTML Sample"/>
    <w:basedOn w:val="DefaultParagraphFont"/>
    <w:semiHidden/>
    <w:unhideWhenUsed/>
    <w:rsid w:val="00C20895"/>
    <w:rPr>
      <w:rFonts w:ascii="Consolas" w:hAnsi="Consolas"/>
      <w:sz w:val="24"/>
      <w:szCs w:val="24"/>
      <w:lang w:val="fr-FR"/>
    </w:rPr>
  </w:style>
  <w:style w:type="character" w:styleId="HTMLTypewriter">
    <w:name w:val="HTML Typewriter"/>
    <w:basedOn w:val="DefaultParagraphFont"/>
    <w:semiHidden/>
    <w:unhideWhenUsed/>
    <w:rsid w:val="00C20895"/>
    <w:rPr>
      <w:rFonts w:ascii="Consolas" w:hAnsi="Consolas"/>
      <w:sz w:val="20"/>
      <w:szCs w:val="20"/>
      <w:lang w:val="fr-FR"/>
    </w:rPr>
  </w:style>
  <w:style w:type="character" w:styleId="HTMLVariable">
    <w:name w:val="HTML Variable"/>
    <w:basedOn w:val="DefaultParagraphFont"/>
    <w:semiHidden/>
    <w:unhideWhenUsed/>
    <w:rsid w:val="00C20895"/>
    <w:rPr>
      <w:i/>
      <w:iCs/>
      <w:lang w:val="fr-FR"/>
    </w:rPr>
  </w:style>
  <w:style w:type="paragraph" w:styleId="Index1">
    <w:name w:val="index 1"/>
    <w:basedOn w:val="Normal"/>
    <w:next w:val="Normal"/>
    <w:autoRedefine/>
    <w:semiHidden/>
    <w:unhideWhenUsed/>
    <w:rsid w:val="00C20895"/>
    <w:pPr>
      <w:ind w:left="200" w:hanging="200"/>
    </w:pPr>
  </w:style>
  <w:style w:type="paragraph" w:styleId="Index2">
    <w:name w:val="index 2"/>
    <w:basedOn w:val="Normal"/>
    <w:next w:val="Normal"/>
    <w:autoRedefine/>
    <w:semiHidden/>
    <w:unhideWhenUsed/>
    <w:rsid w:val="00C20895"/>
    <w:pPr>
      <w:ind w:left="400" w:hanging="200"/>
    </w:pPr>
  </w:style>
  <w:style w:type="paragraph" w:styleId="Index3">
    <w:name w:val="index 3"/>
    <w:basedOn w:val="Normal"/>
    <w:next w:val="Normal"/>
    <w:autoRedefine/>
    <w:semiHidden/>
    <w:unhideWhenUsed/>
    <w:rsid w:val="00C20895"/>
    <w:pPr>
      <w:ind w:left="600" w:hanging="200"/>
    </w:pPr>
  </w:style>
  <w:style w:type="paragraph" w:styleId="Index4">
    <w:name w:val="index 4"/>
    <w:basedOn w:val="Normal"/>
    <w:next w:val="Normal"/>
    <w:autoRedefine/>
    <w:semiHidden/>
    <w:unhideWhenUsed/>
    <w:rsid w:val="00C20895"/>
    <w:pPr>
      <w:ind w:left="800" w:hanging="200"/>
    </w:pPr>
  </w:style>
  <w:style w:type="paragraph" w:styleId="Index5">
    <w:name w:val="index 5"/>
    <w:basedOn w:val="Normal"/>
    <w:next w:val="Normal"/>
    <w:autoRedefine/>
    <w:semiHidden/>
    <w:unhideWhenUsed/>
    <w:rsid w:val="00C20895"/>
    <w:pPr>
      <w:ind w:left="1000" w:hanging="200"/>
    </w:pPr>
  </w:style>
  <w:style w:type="paragraph" w:styleId="Index6">
    <w:name w:val="index 6"/>
    <w:basedOn w:val="Normal"/>
    <w:next w:val="Normal"/>
    <w:autoRedefine/>
    <w:semiHidden/>
    <w:unhideWhenUsed/>
    <w:rsid w:val="00C20895"/>
    <w:pPr>
      <w:ind w:left="1200" w:hanging="200"/>
    </w:pPr>
  </w:style>
  <w:style w:type="paragraph" w:styleId="Index7">
    <w:name w:val="index 7"/>
    <w:basedOn w:val="Normal"/>
    <w:next w:val="Normal"/>
    <w:autoRedefine/>
    <w:semiHidden/>
    <w:unhideWhenUsed/>
    <w:rsid w:val="00C20895"/>
    <w:pPr>
      <w:ind w:left="1400" w:hanging="200"/>
    </w:pPr>
  </w:style>
  <w:style w:type="paragraph" w:styleId="Index8">
    <w:name w:val="index 8"/>
    <w:basedOn w:val="Normal"/>
    <w:next w:val="Normal"/>
    <w:autoRedefine/>
    <w:semiHidden/>
    <w:unhideWhenUsed/>
    <w:rsid w:val="00C20895"/>
    <w:pPr>
      <w:ind w:left="1600" w:hanging="200"/>
    </w:pPr>
  </w:style>
  <w:style w:type="paragraph" w:styleId="Index9">
    <w:name w:val="index 9"/>
    <w:basedOn w:val="Normal"/>
    <w:next w:val="Normal"/>
    <w:autoRedefine/>
    <w:semiHidden/>
    <w:unhideWhenUsed/>
    <w:rsid w:val="00C20895"/>
    <w:pPr>
      <w:ind w:left="1800" w:hanging="200"/>
    </w:pPr>
  </w:style>
  <w:style w:type="paragraph" w:styleId="IndexHeading">
    <w:name w:val="index heading"/>
    <w:basedOn w:val="Normal"/>
    <w:next w:val="Index1"/>
    <w:semiHidden/>
    <w:unhideWhenUsed/>
    <w:rsid w:val="00C2089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20895"/>
    <w:rPr>
      <w:i/>
      <w:iCs/>
      <w:color w:val="4F81BD" w:themeColor="accent1"/>
      <w:lang w:val="fr-FR"/>
    </w:rPr>
  </w:style>
  <w:style w:type="paragraph" w:styleId="IntenseQuote">
    <w:name w:val="Intense Quote"/>
    <w:basedOn w:val="Normal"/>
    <w:next w:val="Normal"/>
    <w:link w:val="IntenseQuoteChar"/>
    <w:uiPriority w:val="30"/>
    <w:semiHidden/>
    <w:qFormat/>
    <w:rsid w:val="00C2089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C20895"/>
    <w:rPr>
      <w:rFonts w:eastAsia="Times New Roman"/>
      <w:i/>
      <w:iCs/>
      <w:color w:val="4F81BD" w:themeColor="accent1"/>
      <w:lang w:val="fr-FR" w:eastAsia="en-US"/>
    </w:rPr>
  </w:style>
  <w:style w:type="character" w:styleId="IntenseReference">
    <w:name w:val="Intense Reference"/>
    <w:basedOn w:val="DefaultParagraphFont"/>
    <w:uiPriority w:val="32"/>
    <w:semiHidden/>
    <w:qFormat/>
    <w:rsid w:val="00C20895"/>
    <w:rPr>
      <w:b/>
      <w:bCs/>
      <w:smallCaps/>
      <w:color w:val="4F81BD" w:themeColor="accent1"/>
      <w:spacing w:val="5"/>
      <w:lang w:val="fr-FR"/>
    </w:rPr>
  </w:style>
  <w:style w:type="table" w:styleId="LightGrid">
    <w:name w:val="Light Grid"/>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20895"/>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semiHidden/>
    <w:unhideWhenUsed/>
    <w:rsid w:val="00C20895"/>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semiHidden/>
    <w:unhideWhenUsed/>
    <w:rsid w:val="00C20895"/>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semiHidden/>
    <w:unhideWhenUsed/>
    <w:rsid w:val="00C20895"/>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semiHidden/>
    <w:unhideWhenUsed/>
    <w:rsid w:val="00C20895"/>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semiHidden/>
    <w:unhideWhenUsed/>
    <w:rsid w:val="00C20895"/>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semiHidden/>
    <w:unhideWhenUsed/>
    <w:rsid w:val="00C20895"/>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
    <w:name w:val="Light Shading"/>
    <w:basedOn w:val="TableNormal"/>
    <w:uiPriority w:val="60"/>
    <w:semiHidden/>
    <w:unhideWhenUsed/>
    <w:rsid w:val="00C20895"/>
    <w:rPr>
      <w:color w:val="000000" w:themeColor="text1" w:themeShade="BF"/>
    </w:rPr>
    <w:tblPr>
      <w:tblStyleRowBandSize w:val="1"/>
      <w:tblStyleColBandSize w:val="1"/>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20895"/>
    <w:rPr>
      <w:color w:val="365F91" w:themeColor="accent1" w:themeShade="BF"/>
    </w:rPr>
    <w:tblPr>
      <w:tblStyleRowBandSize w:val="1"/>
      <w:tblStyleColBandSize w:val="1"/>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20895"/>
    <w:rPr>
      <w:color w:val="943634" w:themeColor="accent2" w:themeShade="BF"/>
    </w:rPr>
    <w:tblPr>
      <w:tblStyleRowBandSize w:val="1"/>
      <w:tblStyleColBandSize w:val="1"/>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20895"/>
    <w:rPr>
      <w:color w:val="76923C" w:themeColor="accent3" w:themeShade="BF"/>
    </w:rPr>
    <w:tblPr>
      <w:tblStyleRowBandSize w:val="1"/>
      <w:tblStyleColBandSize w:val="1"/>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20895"/>
    <w:rPr>
      <w:color w:val="5F497A" w:themeColor="accent4" w:themeShade="BF"/>
    </w:rPr>
    <w:tblPr>
      <w:tblStyleRowBandSize w:val="1"/>
      <w:tblStyleColBandSize w:val="1"/>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20895"/>
    <w:rPr>
      <w:color w:val="31849B" w:themeColor="accent5" w:themeShade="BF"/>
    </w:rPr>
    <w:tblPr>
      <w:tblStyleRowBandSize w:val="1"/>
      <w:tblStyleColBandSize w:val="1"/>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20895"/>
    <w:rPr>
      <w:color w:val="E36C0A" w:themeColor="accent6" w:themeShade="BF"/>
    </w:rPr>
    <w:tblPr>
      <w:tblStyleRowBandSize w:val="1"/>
      <w:tblStyleColBandSize w:val="1"/>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C20895"/>
    <w:rPr>
      <w:lang w:val="fr-FR"/>
    </w:rPr>
  </w:style>
  <w:style w:type="paragraph" w:styleId="List">
    <w:name w:val="List"/>
    <w:basedOn w:val="Normal"/>
    <w:semiHidden/>
    <w:unhideWhenUsed/>
    <w:rsid w:val="00C20895"/>
    <w:pPr>
      <w:ind w:left="283" w:hanging="283"/>
      <w:contextualSpacing/>
    </w:pPr>
  </w:style>
  <w:style w:type="paragraph" w:styleId="List2">
    <w:name w:val="List 2"/>
    <w:basedOn w:val="Normal"/>
    <w:semiHidden/>
    <w:unhideWhenUsed/>
    <w:rsid w:val="00C20895"/>
    <w:pPr>
      <w:ind w:left="566" w:hanging="283"/>
      <w:contextualSpacing/>
    </w:pPr>
  </w:style>
  <w:style w:type="paragraph" w:styleId="List3">
    <w:name w:val="List 3"/>
    <w:basedOn w:val="Normal"/>
    <w:semiHidden/>
    <w:unhideWhenUsed/>
    <w:rsid w:val="00C20895"/>
    <w:pPr>
      <w:ind w:left="849" w:hanging="283"/>
      <w:contextualSpacing/>
    </w:pPr>
  </w:style>
  <w:style w:type="paragraph" w:styleId="List4">
    <w:name w:val="List 4"/>
    <w:basedOn w:val="Normal"/>
    <w:semiHidden/>
    <w:unhideWhenUsed/>
    <w:rsid w:val="00C20895"/>
    <w:pPr>
      <w:ind w:left="1132" w:hanging="283"/>
      <w:contextualSpacing/>
    </w:pPr>
  </w:style>
  <w:style w:type="paragraph" w:styleId="List5">
    <w:name w:val="List 5"/>
    <w:basedOn w:val="Normal"/>
    <w:semiHidden/>
    <w:unhideWhenUsed/>
    <w:rsid w:val="00C20895"/>
    <w:pPr>
      <w:ind w:left="1415" w:hanging="283"/>
      <w:contextualSpacing/>
    </w:pPr>
  </w:style>
  <w:style w:type="paragraph" w:styleId="ListBullet">
    <w:name w:val="List Bullet"/>
    <w:basedOn w:val="Normal"/>
    <w:semiHidden/>
    <w:rsid w:val="00C20895"/>
    <w:pPr>
      <w:numPr>
        <w:numId w:val="6"/>
      </w:numPr>
      <w:contextualSpacing/>
    </w:pPr>
  </w:style>
  <w:style w:type="paragraph" w:styleId="ListBullet2">
    <w:name w:val="List Bullet 2"/>
    <w:basedOn w:val="Normal"/>
    <w:semiHidden/>
    <w:unhideWhenUsed/>
    <w:rsid w:val="00C20895"/>
    <w:pPr>
      <w:numPr>
        <w:numId w:val="7"/>
      </w:numPr>
      <w:contextualSpacing/>
    </w:pPr>
  </w:style>
  <w:style w:type="paragraph" w:styleId="ListBullet3">
    <w:name w:val="List Bullet 3"/>
    <w:basedOn w:val="Normal"/>
    <w:semiHidden/>
    <w:unhideWhenUsed/>
    <w:rsid w:val="00C20895"/>
    <w:pPr>
      <w:numPr>
        <w:numId w:val="8"/>
      </w:numPr>
      <w:contextualSpacing/>
    </w:pPr>
  </w:style>
  <w:style w:type="paragraph" w:styleId="ListBullet4">
    <w:name w:val="List Bullet 4"/>
    <w:basedOn w:val="Normal"/>
    <w:semiHidden/>
    <w:unhideWhenUsed/>
    <w:rsid w:val="00C20895"/>
    <w:pPr>
      <w:numPr>
        <w:numId w:val="9"/>
      </w:numPr>
      <w:contextualSpacing/>
    </w:pPr>
  </w:style>
  <w:style w:type="paragraph" w:styleId="ListBullet5">
    <w:name w:val="List Bullet 5"/>
    <w:basedOn w:val="Normal"/>
    <w:semiHidden/>
    <w:unhideWhenUsed/>
    <w:rsid w:val="00C20895"/>
    <w:pPr>
      <w:numPr>
        <w:numId w:val="10"/>
      </w:numPr>
      <w:contextualSpacing/>
    </w:pPr>
  </w:style>
  <w:style w:type="paragraph" w:styleId="ListContinue">
    <w:name w:val="List Continue"/>
    <w:basedOn w:val="Normal"/>
    <w:semiHidden/>
    <w:unhideWhenUsed/>
    <w:rsid w:val="00C20895"/>
    <w:pPr>
      <w:spacing w:after="120"/>
      <w:ind w:left="283"/>
      <w:contextualSpacing/>
    </w:pPr>
  </w:style>
  <w:style w:type="paragraph" w:styleId="ListContinue2">
    <w:name w:val="List Continue 2"/>
    <w:basedOn w:val="Normal"/>
    <w:semiHidden/>
    <w:unhideWhenUsed/>
    <w:rsid w:val="00C20895"/>
    <w:pPr>
      <w:spacing w:after="120"/>
      <w:ind w:left="566"/>
      <w:contextualSpacing/>
    </w:pPr>
  </w:style>
  <w:style w:type="paragraph" w:styleId="ListContinue3">
    <w:name w:val="List Continue 3"/>
    <w:basedOn w:val="Normal"/>
    <w:semiHidden/>
    <w:rsid w:val="00C20895"/>
    <w:pPr>
      <w:spacing w:after="120"/>
      <w:ind w:left="849"/>
      <w:contextualSpacing/>
    </w:pPr>
  </w:style>
  <w:style w:type="paragraph" w:styleId="ListContinue4">
    <w:name w:val="List Continue 4"/>
    <w:basedOn w:val="Normal"/>
    <w:semiHidden/>
    <w:rsid w:val="00C20895"/>
    <w:pPr>
      <w:spacing w:after="120"/>
      <w:ind w:left="1132"/>
      <w:contextualSpacing/>
    </w:pPr>
  </w:style>
  <w:style w:type="paragraph" w:styleId="ListContinue5">
    <w:name w:val="List Continue 5"/>
    <w:basedOn w:val="Normal"/>
    <w:semiHidden/>
    <w:rsid w:val="00C20895"/>
    <w:pPr>
      <w:spacing w:after="120"/>
      <w:ind w:left="1415"/>
      <w:contextualSpacing/>
    </w:pPr>
  </w:style>
  <w:style w:type="paragraph" w:styleId="ListNumber">
    <w:name w:val="List Number"/>
    <w:basedOn w:val="Normal"/>
    <w:semiHidden/>
    <w:rsid w:val="008F611A"/>
    <w:pPr>
      <w:numPr>
        <w:numId w:val="11"/>
      </w:numPr>
      <w:contextualSpacing/>
    </w:pPr>
  </w:style>
  <w:style w:type="paragraph" w:styleId="ListNumber2">
    <w:name w:val="List Number 2"/>
    <w:basedOn w:val="Normal"/>
    <w:semiHidden/>
    <w:unhideWhenUsed/>
    <w:rsid w:val="00C20895"/>
    <w:pPr>
      <w:numPr>
        <w:numId w:val="12"/>
      </w:numPr>
      <w:contextualSpacing/>
    </w:pPr>
  </w:style>
  <w:style w:type="paragraph" w:styleId="ListNumber3">
    <w:name w:val="List Number 3"/>
    <w:basedOn w:val="Normal"/>
    <w:semiHidden/>
    <w:unhideWhenUsed/>
    <w:rsid w:val="00C20895"/>
    <w:pPr>
      <w:numPr>
        <w:numId w:val="13"/>
      </w:numPr>
      <w:contextualSpacing/>
    </w:pPr>
  </w:style>
  <w:style w:type="paragraph" w:styleId="ListNumber4">
    <w:name w:val="List Number 4"/>
    <w:basedOn w:val="Normal"/>
    <w:semiHidden/>
    <w:unhideWhenUsed/>
    <w:rsid w:val="00C20895"/>
    <w:pPr>
      <w:numPr>
        <w:numId w:val="14"/>
      </w:numPr>
      <w:contextualSpacing/>
    </w:pPr>
  </w:style>
  <w:style w:type="paragraph" w:styleId="ListNumber5">
    <w:name w:val="List Number 5"/>
    <w:basedOn w:val="Normal"/>
    <w:semiHidden/>
    <w:unhideWhenUsed/>
    <w:rsid w:val="00C20895"/>
    <w:pPr>
      <w:numPr>
        <w:numId w:val="15"/>
      </w:numPr>
      <w:contextualSpacing/>
    </w:pPr>
  </w:style>
  <w:style w:type="table" w:styleId="ListTable1Light">
    <w:name w:val="List Table 1 Light"/>
    <w:basedOn w:val="TableNormal"/>
    <w:uiPriority w:val="46"/>
    <w:rsid w:val="00C2089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2089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2089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2089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2089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2089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2089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20895"/>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rsid w:val="00C20895"/>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rsid w:val="00C20895"/>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rsid w:val="00C20895"/>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rsid w:val="00C20895"/>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rsid w:val="00C20895"/>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rsid w:val="00C20895"/>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C2089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2089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2089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2089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2089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2089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2089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208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2089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2089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2089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2089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2089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2089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2089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2089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2089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2089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2089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2089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2089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20895"/>
    <w:rPr>
      <w:color w:val="000000" w:themeColor="text1"/>
    </w:rPr>
    <w:tblPr>
      <w:tblStyleRowBandSize w:val="1"/>
      <w:tblStyleColBandSize w:val="1"/>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hemeFill="text1"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20895"/>
    <w:rPr>
      <w:color w:val="365F91" w:themeColor="accent1" w:themeShade="BF"/>
    </w:rPr>
    <w:tblPr>
      <w:tblStyleRowBandSize w:val="1"/>
      <w:tblStyleColBandSize w:val="1"/>
    </w:tblPr>
    <w:tcPr>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20895"/>
    <w:rPr>
      <w:color w:val="943634" w:themeColor="accent2" w:themeShade="BF"/>
    </w:rPr>
    <w:tblPr>
      <w:tblStyleRowBandSize w:val="1"/>
      <w:tblStyleColBandSize w:val="1"/>
    </w:tblPr>
    <w:tcPr>
      <w:tcBorders>
        <w:top w:val="single" w:sz="4" w:space="0" w:color="C0504D" w:themeColor="accent2"/>
        <w:left w:val="single" w:sz="4" w:space="0" w:color="C0504D" w:themeColor="accent2"/>
        <w:bottom w:val="single" w:sz="4" w:space="0" w:color="C0504D" w:themeColor="accent2"/>
      </w:tcBorders>
      <w:shd w:val="clear" w:color="auto" w:fill="F2DBDB" w:themeFill="accent2"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20895"/>
    <w:rPr>
      <w:color w:val="76923C" w:themeColor="accent3" w:themeShade="BF"/>
    </w:rPr>
    <w:tblPr>
      <w:tblStyleRowBandSize w:val="1"/>
      <w:tblStyleColBandSize w:val="1"/>
    </w:tblPr>
    <w:tcPr>
      <w:tcBorders>
        <w:top w:val="single" w:sz="4" w:space="0" w:color="9BBB59" w:themeColor="accent3"/>
        <w:left w:val="single" w:sz="4" w:space="0" w:color="9BBB59" w:themeColor="accent3"/>
        <w:bottom w:val="single" w:sz="4" w:space="0" w:color="9BBB59" w:themeColor="accent3"/>
      </w:tcBorders>
      <w:shd w:val="clear" w:color="auto" w:fill="EAF1DD" w:themeFill="accent3"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20895"/>
    <w:rPr>
      <w:color w:val="5F497A" w:themeColor="accent4" w:themeShade="BF"/>
    </w:rPr>
    <w:tblPr>
      <w:tblStyleRowBandSize w:val="1"/>
      <w:tblStyleColBandSize w:val="1"/>
    </w:tblPr>
    <w:tcPr>
      <w:tcBorders>
        <w:top w:val="single" w:sz="4" w:space="0" w:color="8064A2" w:themeColor="accent4"/>
        <w:left w:val="single" w:sz="4" w:space="0" w:color="8064A2" w:themeColor="accent4"/>
        <w:bottom w:val="single" w:sz="4" w:space="0" w:color="8064A2" w:themeColor="accent4"/>
      </w:tcBorders>
      <w:shd w:val="clear" w:color="auto" w:fill="E5DFEC" w:themeFill="accent4"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20895"/>
    <w:rPr>
      <w:color w:val="31849B" w:themeColor="accent5" w:themeShade="BF"/>
    </w:rPr>
    <w:tblPr>
      <w:tblStyleRowBandSize w:val="1"/>
      <w:tblStyleColBandSize w:val="1"/>
    </w:tblPr>
    <w:tcPr>
      <w:tcBorders>
        <w:top w:val="single" w:sz="4" w:space="0" w:color="4BACC6" w:themeColor="accent5"/>
        <w:left w:val="single" w:sz="4" w:space="0" w:color="4BACC6" w:themeColor="accent5"/>
        <w:bottom w:val="single" w:sz="4" w:space="0" w:color="4BACC6" w:themeColor="accent5"/>
      </w:tcBorders>
      <w:shd w:val="clear" w:color="auto" w:fill="DAEEF3" w:themeFill="accent5"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20895"/>
    <w:rPr>
      <w:color w:val="E36C0A" w:themeColor="accent6" w:themeShade="BF"/>
    </w:rPr>
    <w:tblPr>
      <w:tblStyleRowBandSize w:val="1"/>
      <w:tblStyleColBandSize w:val="1"/>
    </w:tblPr>
    <w:tcPr>
      <w:tcBorders>
        <w:top w:val="single" w:sz="4" w:space="0" w:color="F79646" w:themeColor="accent6"/>
        <w:left w:val="single" w:sz="4" w:space="0" w:color="F79646" w:themeColor="accent6"/>
        <w:bottom w:val="single" w:sz="4" w:space="0" w:color="F79646" w:themeColor="accent6"/>
      </w:tcBorders>
      <w:shd w:val="clear" w:color="auto" w:fill="FDE9D9" w:themeFill="accent6"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wCell">
      <w:tblPr/>
      <w:tcPr>
        <w:tcBorders>
          <w:right w:val="nil"/>
        </w:tcBorders>
      </w:tcPr>
    </w:tblStylePr>
  </w:style>
  <w:style w:type="paragraph" w:styleId="MacroText">
    <w:name w:val="macro"/>
    <w:link w:val="MacroTextChar"/>
    <w:semiHidden/>
    <w:rsid w:val="00C20895"/>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C20895"/>
    <w:rPr>
      <w:rFonts w:ascii="Consolas" w:eastAsia="Times New Roman" w:hAnsi="Consolas"/>
      <w:lang w:val="fr-FR" w:eastAsia="en-US"/>
    </w:rPr>
  </w:style>
  <w:style w:type="table" w:styleId="MediumGrid1">
    <w:name w:val="Medium Grid 1"/>
    <w:basedOn w:val="TableNormal"/>
    <w:uiPriority w:val="67"/>
    <w:semiHidden/>
    <w:unhideWhenUsed/>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1">
    <w:name w:val="Medium Grid 1 Accent 1"/>
    <w:basedOn w:val="TableNormal"/>
    <w:uiPriority w:val="67"/>
    <w:semiHidden/>
    <w:unhideWhenUsed/>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2">
    <w:name w:val="Medium Grid 1 Accent 2"/>
    <w:basedOn w:val="TableNormal"/>
    <w:uiPriority w:val="67"/>
    <w:semiHidden/>
    <w:unhideWhenUsed/>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3">
    <w:name w:val="Medium Grid 1 Accent 3"/>
    <w:basedOn w:val="TableNormal"/>
    <w:uiPriority w:val="67"/>
    <w:semiHidden/>
    <w:unhideWhenUsed/>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4">
    <w:name w:val="Medium Grid 1 Accent 4"/>
    <w:basedOn w:val="TableNormal"/>
    <w:uiPriority w:val="67"/>
    <w:semiHidden/>
    <w:unhideWhenUsed/>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5">
    <w:name w:val="Medium Grid 1 Accent 5"/>
    <w:basedOn w:val="TableNormal"/>
    <w:uiPriority w:val="67"/>
    <w:semiHidden/>
    <w:unhideWhenUsed/>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6">
    <w:name w:val="Medium Grid 1 Accent 6"/>
    <w:basedOn w:val="TableNormal"/>
    <w:uiPriority w:val="67"/>
    <w:semiHidden/>
    <w:unhideWhenUsed/>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MediumGrid2">
    <w:name w:val="Medium Grid 2"/>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C0C0C0" w:themeFill="text1" w:themeFillTint="3F"/>
    </w:tc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D3DFEE" w:themeFill="accent1" w:themeFillTint="3F"/>
    </w:tc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FD3D2" w:themeFill="accent2" w:themeFillTint="3F"/>
    </w:tc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6EED5" w:themeFill="accent3" w:themeFillTint="3F"/>
    </w:tc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DFD8E8" w:themeFill="accent4" w:themeFillTint="3F"/>
    </w:tc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D2EAF1" w:themeFill="accent5" w:themeFillTint="3F"/>
    </w:tc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FDE4D0" w:themeFill="accent6" w:themeFillTint="3F"/>
    </w:tc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1">
    <w:name w:val="Medium Grid 3 Accent 1"/>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2">
    <w:name w:val="Medium Grid 3 Accent 2"/>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3">
    <w:name w:val="Medium Grid 3 Accent 3"/>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4">
    <w:name w:val="Medium Grid 3 Accent 4"/>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5">
    <w:name w:val="Medium Grid 3 Accent 5"/>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6">
    <w:name w:val="Medium Grid 3 Accent 6"/>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List1">
    <w:name w:val="Medium List 1"/>
    <w:basedOn w:val="TableNormal"/>
    <w:uiPriority w:val="65"/>
    <w:semiHidden/>
    <w:unhideWhenUsed/>
    <w:rsid w:val="00C20895"/>
    <w:rPr>
      <w:color w:val="000000" w:themeColor="text1"/>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1">
    <w:name w:val="Medium List 1 Accent 1"/>
    <w:basedOn w:val="TableNormal"/>
    <w:uiPriority w:val="65"/>
    <w:semiHidden/>
    <w:unhideWhenUsed/>
    <w:rsid w:val="00C20895"/>
    <w:rPr>
      <w:color w:val="000000" w:themeColor="text1"/>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2">
    <w:name w:val="Medium List 1 Accent 2"/>
    <w:basedOn w:val="TableNormal"/>
    <w:uiPriority w:val="65"/>
    <w:semiHidden/>
    <w:unhideWhenUsed/>
    <w:rsid w:val="00C20895"/>
    <w:rPr>
      <w:color w:val="000000" w:themeColor="text1"/>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3">
    <w:name w:val="Medium List 1 Accent 3"/>
    <w:basedOn w:val="TableNormal"/>
    <w:uiPriority w:val="65"/>
    <w:semiHidden/>
    <w:unhideWhenUsed/>
    <w:rsid w:val="00C20895"/>
    <w:rPr>
      <w:color w:val="000000" w:themeColor="text1"/>
    </w:rPr>
    <w:tblPr>
      <w:tblStyleRowBandSize w:val="1"/>
      <w:tblStyleColBandSize w:val="1"/>
    </w:tblPr>
    <w:tcPr>
      <w:shd w:val="clear" w:color="auto" w:fill="E6EED5" w:themeFill="accent3"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4">
    <w:name w:val="Medium List 1 Accent 4"/>
    <w:basedOn w:val="TableNormal"/>
    <w:uiPriority w:val="65"/>
    <w:semiHidden/>
    <w:unhideWhenUsed/>
    <w:rsid w:val="00C20895"/>
    <w:rPr>
      <w:color w:val="000000" w:themeColor="text1"/>
    </w:rPr>
    <w:tblPr>
      <w:tblStyleRowBandSize w:val="1"/>
      <w:tblStyleColBandSize w:val="1"/>
    </w:tblPr>
    <w:tcPr>
      <w:shd w:val="clear" w:color="auto" w:fill="DFD8E8" w:themeFill="accent4"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5">
    <w:name w:val="Medium List 1 Accent 5"/>
    <w:basedOn w:val="TableNormal"/>
    <w:uiPriority w:val="65"/>
    <w:semiHidden/>
    <w:unhideWhenUsed/>
    <w:rsid w:val="00C20895"/>
    <w:rPr>
      <w:color w:val="000000" w:themeColor="text1"/>
    </w:rPr>
    <w:tblPr>
      <w:tblStyleRowBandSize w:val="1"/>
      <w:tblStyleColBandSize w:val="1"/>
    </w:tblPr>
    <w:tcPr>
      <w:shd w:val="clear" w:color="auto" w:fill="D2EAF1" w:themeFill="accent5"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6">
    <w:name w:val="Medium List 1 Accent 6"/>
    <w:basedOn w:val="TableNormal"/>
    <w:uiPriority w:val="65"/>
    <w:semiHidden/>
    <w:unhideWhenUsed/>
    <w:rsid w:val="00C20895"/>
    <w:rPr>
      <w:color w:val="000000" w:themeColor="text1"/>
    </w:rPr>
    <w:tblPr>
      <w:tblStyleRowBandSize w:val="1"/>
      <w:tblStyleColBandSize w:val="1"/>
    </w:tblPr>
    <w:tcPr>
      <w:shd w:val="clear" w:color="auto" w:fill="FDE4D0" w:themeFill="accent6"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2">
    <w:name w:val="Medium List 2"/>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C0C0C0" w:themeFill="text1" w:themeFillTint="3F"/>
    </w:tcPr>
    <w:tblStylePr w:type="firstRow">
      <w:rPr>
        <w:sz w:val="24"/>
        <w:szCs w:val="24"/>
      </w:rPr>
    </w:tblStylePr>
  </w:style>
  <w:style w:type="table" w:styleId="MediumList2-Accent1">
    <w:name w:val="Medium List 2 Accent 1"/>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D3DFEE" w:themeFill="accent1" w:themeFillTint="3F"/>
    </w:tcPr>
    <w:tblStylePr w:type="firstRow">
      <w:rPr>
        <w:sz w:val="24"/>
        <w:szCs w:val="24"/>
      </w:rPr>
    </w:tblStylePr>
  </w:style>
  <w:style w:type="table" w:styleId="MediumList2-Accent2">
    <w:name w:val="Medium List 2 Accent 2"/>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6EED5" w:themeFill="accent3" w:themeFillTint="3F"/>
    </w:tcPr>
    <w:tblStylePr w:type="firstRow">
      <w:rPr>
        <w:sz w:val="24"/>
        <w:szCs w:val="24"/>
      </w:rPr>
    </w:tblStylePr>
  </w:style>
  <w:style w:type="table" w:styleId="MediumList2-Accent4">
    <w:name w:val="Medium List 2 Accent 4"/>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DFD8E8" w:themeFill="accent4" w:themeFillTint="3F"/>
    </w:tcPr>
    <w:tblStylePr w:type="firstRow">
      <w:rPr>
        <w:sz w:val="24"/>
        <w:szCs w:val="24"/>
      </w:rPr>
    </w:tblStylePr>
  </w:style>
  <w:style w:type="table" w:styleId="MediumList2-Accent5">
    <w:name w:val="Medium List 2 Accent 5"/>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D2EAF1" w:themeFill="accent5" w:themeFillTint="3F"/>
    </w:tcPr>
    <w:tblStylePr w:type="firstRow">
      <w:rPr>
        <w:sz w:val="24"/>
        <w:szCs w:val="24"/>
      </w:rPr>
    </w:tblStylePr>
  </w:style>
  <w:style w:type="table" w:styleId="MediumList2-Accent6">
    <w:name w:val="Medium List 2 Accent 6"/>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FDE4D0" w:themeFill="accent6" w:themeFillTint="3F"/>
    </w:tcPr>
    <w:tblStylePr w:type="firstRow">
      <w:rPr>
        <w:sz w:val="24"/>
        <w:szCs w:val="24"/>
      </w:rPr>
    </w:tblStylePr>
  </w:style>
  <w:style w:type="table" w:styleId="MediumShading1">
    <w:name w:val="Medium Shading 1"/>
    <w:basedOn w:val="TableNormal"/>
    <w:uiPriority w:val="63"/>
    <w:semiHidden/>
    <w:unhideWhenUsed/>
    <w:rsid w:val="00C20895"/>
    <w:tblPr>
      <w:tblStyleColBandSize w:val="1"/>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63"/>
    <w:semiHidden/>
    <w:unhideWhenUsed/>
    <w:rsid w:val="00C20895"/>
    <w:tblPr>
      <w:tblStyleColBandSize w:val="1"/>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semiHidden/>
    <w:unhideWhenUsed/>
    <w:rsid w:val="00C20895"/>
    <w:tblPr>
      <w:tblStyleColBandSize w:val="1"/>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semiHidden/>
    <w:unhideWhenUsed/>
    <w:rsid w:val="00C20895"/>
    <w:tblPr>
      <w:tblStyleColBandSize w:val="1"/>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semiHidden/>
    <w:unhideWhenUsed/>
    <w:rsid w:val="00C20895"/>
    <w:tblPr>
      <w:tblStyleColBandSize w:val="1"/>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semiHidden/>
    <w:unhideWhenUsed/>
    <w:rsid w:val="00C20895"/>
    <w:tblPr>
      <w:tblStyleColBandSize w:val="1"/>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semiHidden/>
    <w:unhideWhenUsed/>
    <w:rsid w:val="00C20895"/>
    <w:tblPr>
      <w:tblStyleColBandSize w:val="1"/>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semiHidden/>
    <w:unhideWhenUsed/>
    <w:rsid w:val="00C20895"/>
    <w:tblPr>
      <w:tblStyleRowBandSize w:val="1"/>
      <w:tblStyleColBandSize w:val="1"/>
    </w:tblPr>
    <w:tcPr>
      <w:tcBorders>
        <w:top w:val="nil"/>
        <w:left w:val="nil"/>
        <w:bottom w:val="single" w:sz="18" w:space="0" w:color="auto"/>
        <w:right w:val="nil"/>
      </w:tcBorders>
      <w:shd w:val="clear" w:color="auto" w:fill="000000" w:themeFill="text1"/>
    </w:tc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20895"/>
    <w:tblPr>
      <w:tblStyleRowBandSize w:val="1"/>
      <w:tblStyleColBandSize w:val="1"/>
    </w:tblPr>
    <w:tcPr>
      <w:tcBorders>
        <w:top w:val="nil"/>
        <w:left w:val="nil"/>
        <w:bottom w:val="single" w:sz="18" w:space="0" w:color="auto"/>
        <w:right w:val="nil"/>
      </w:tcBorders>
      <w:shd w:val="clear" w:color="auto" w:fill="4F81BD" w:themeFill="accent1"/>
    </w:tc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20895"/>
    <w:tblPr>
      <w:tblStyleRowBandSize w:val="1"/>
      <w:tblStyleColBandSize w:val="1"/>
    </w:tblPr>
    <w:tcPr>
      <w:tcBorders>
        <w:top w:val="nil"/>
        <w:left w:val="nil"/>
        <w:bottom w:val="single" w:sz="18" w:space="0" w:color="auto"/>
        <w:right w:val="nil"/>
      </w:tcBorders>
      <w:shd w:val="clear" w:color="auto" w:fill="C0504D" w:themeFill="accent2"/>
    </w:tc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20895"/>
    <w:tblPr>
      <w:tblStyleRowBandSize w:val="1"/>
      <w:tblStyleColBandSize w:val="1"/>
    </w:tblPr>
    <w:tcPr>
      <w:tcBorders>
        <w:top w:val="nil"/>
        <w:left w:val="nil"/>
        <w:bottom w:val="single" w:sz="18" w:space="0" w:color="auto"/>
        <w:right w:val="nil"/>
      </w:tcBorders>
      <w:shd w:val="clear" w:color="auto" w:fill="9BBB59" w:themeFill="accent3"/>
    </w:tc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20895"/>
    <w:tblPr>
      <w:tblStyleRowBandSize w:val="1"/>
      <w:tblStyleColBandSize w:val="1"/>
    </w:tblPr>
    <w:tcPr>
      <w:tcBorders>
        <w:top w:val="nil"/>
        <w:left w:val="nil"/>
        <w:bottom w:val="single" w:sz="18" w:space="0" w:color="auto"/>
        <w:right w:val="nil"/>
      </w:tcBorders>
      <w:shd w:val="clear" w:color="auto" w:fill="8064A2" w:themeFill="accent4"/>
    </w:tc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20895"/>
    <w:tblPr>
      <w:tblStyleRowBandSize w:val="1"/>
      <w:tblStyleColBandSize w:val="1"/>
    </w:tblPr>
    <w:tcPr>
      <w:tcBorders>
        <w:top w:val="nil"/>
        <w:left w:val="nil"/>
        <w:bottom w:val="single" w:sz="18" w:space="0" w:color="auto"/>
        <w:right w:val="nil"/>
      </w:tcBorders>
      <w:shd w:val="clear" w:color="auto" w:fill="4BACC6" w:themeFill="accent5"/>
    </w:tc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20895"/>
    <w:tblPr>
      <w:tblStyleRowBandSize w:val="1"/>
      <w:tblStyleColBandSize w:val="1"/>
    </w:tblPr>
    <w:tcPr>
      <w:tcBorders>
        <w:top w:val="nil"/>
        <w:left w:val="nil"/>
        <w:bottom w:val="single" w:sz="18" w:space="0" w:color="auto"/>
        <w:right w:val="nil"/>
      </w:tcBorders>
      <w:shd w:val="clear" w:color="auto" w:fill="F79646" w:themeFill="accent6"/>
    </w:tc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C20895"/>
    <w:rPr>
      <w:color w:val="2B579A"/>
      <w:shd w:val="clear" w:color="auto" w:fill="E1DFDD"/>
      <w:lang w:val="fr-FR"/>
    </w:rPr>
  </w:style>
  <w:style w:type="paragraph" w:styleId="MessageHeader">
    <w:name w:val="Message Header"/>
    <w:basedOn w:val="Normal"/>
    <w:link w:val="MessageHeaderChar"/>
    <w:semiHidden/>
    <w:rsid w:val="00C2089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20895"/>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semiHidden/>
    <w:unhideWhenUsed/>
    <w:rsid w:val="00C20895"/>
    <w:pPr>
      <w:ind w:left="720"/>
    </w:pPr>
  </w:style>
  <w:style w:type="paragraph" w:styleId="NoteHeading">
    <w:name w:val="Note Heading"/>
    <w:basedOn w:val="Normal"/>
    <w:next w:val="Normal"/>
    <w:link w:val="NoteHeadingChar"/>
    <w:semiHidden/>
    <w:unhideWhenUsed/>
    <w:rsid w:val="00C20895"/>
  </w:style>
  <w:style w:type="character" w:customStyle="1" w:styleId="NoteHeadingChar">
    <w:name w:val="Note Heading Char"/>
    <w:basedOn w:val="DefaultParagraphFont"/>
    <w:link w:val="NoteHeading"/>
    <w:semiHidden/>
    <w:rsid w:val="00C20895"/>
    <w:rPr>
      <w:rFonts w:eastAsia="Times New Roman"/>
      <w:lang w:val="fr-FR" w:eastAsia="en-US"/>
    </w:rPr>
  </w:style>
  <w:style w:type="table" w:styleId="PlainTable1">
    <w:name w:val="Plain Table 1"/>
    <w:basedOn w:val="TableNormal"/>
    <w:uiPriority w:val="41"/>
    <w:rsid w:val="00C20895"/>
    <w:tblPr/>
    <w:tblStylePr w:type="firstRow">
      <w:rPr>
        <w:b/>
        <w:bCs/>
      </w:rPr>
    </w:tblStylePr>
    <w:tblStylePr w:type="lastRow">
      <w:rPr>
        <w:b/>
        <w:bCs/>
      </w:rPr>
    </w:tblStylePr>
    <w:tblStylePr w:type="firstCol">
      <w:rPr>
        <w:b/>
        <w:bCs/>
      </w:rPr>
    </w:tblStylePr>
    <w:tblStylePr w:type="lastCol">
      <w:rPr>
        <w:b/>
        <w:bCs/>
      </w:rPr>
    </w:tblStylePr>
  </w:style>
  <w:style w:type="table" w:styleId="PlainTable2">
    <w:name w:val="Plain Table 2"/>
    <w:basedOn w:val="TableNormal"/>
    <w:uiPriority w:val="42"/>
    <w:rsid w:val="00C20895"/>
    <w:tblPr>
      <w:tblStyleRowBandSize w:val="1"/>
      <w:tblStyleColBandSize w:val="1"/>
    </w:tblPr>
    <w:tcPr>
      <w:tcBorders>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style>
  <w:style w:type="table" w:styleId="PlainTable3">
    <w:name w:val="Plain Table 3"/>
    <w:basedOn w:val="TableNormal"/>
    <w:uiPriority w:val="43"/>
    <w:rsid w:val="00C2089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PlainTable4">
    <w:name w:val="Plain Table 4"/>
    <w:basedOn w:val="TableNormal"/>
    <w:uiPriority w:val="44"/>
    <w:rsid w:val="00C20895"/>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C20895"/>
    <w:tblPr>
      <w:tblStyleRowBandSize w:val="1"/>
      <w:tblStyleColBandSize w:val="1"/>
    </w:tblPr>
    <w:tcPr>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FFFFFF" w:themeFill="background1"/>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C20895"/>
    <w:rPr>
      <w:rFonts w:ascii="Consolas" w:hAnsi="Consolas"/>
      <w:sz w:val="21"/>
      <w:szCs w:val="21"/>
    </w:rPr>
  </w:style>
  <w:style w:type="character" w:customStyle="1" w:styleId="PlainTextChar">
    <w:name w:val="Plain Text Char"/>
    <w:basedOn w:val="DefaultParagraphFont"/>
    <w:link w:val="PlainText"/>
    <w:semiHidden/>
    <w:rsid w:val="00C20895"/>
    <w:rPr>
      <w:rFonts w:ascii="Consolas" w:eastAsia="Times New Roman" w:hAnsi="Consolas"/>
      <w:sz w:val="21"/>
      <w:szCs w:val="21"/>
      <w:lang w:val="fr-FR" w:eastAsia="en-US"/>
    </w:rPr>
  </w:style>
  <w:style w:type="paragraph" w:styleId="Quote">
    <w:name w:val="Quote"/>
    <w:basedOn w:val="Normal"/>
    <w:next w:val="Normal"/>
    <w:link w:val="QuoteChar"/>
    <w:uiPriority w:val="29"/>
    <w:semiHidden/>
    <w:qFormat/>
    <w:rsid w:val="00C208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20895"/>
    <w:rPr>
      <w:rFonts w:eastAsia="Times New Roman"/>
      <w:i/>
      <w:iCs/>
      <w:color w:val="404040" w:themeColor="text1" w:themeTint="BF"/>
      <w:lang w:val="fr-FR" w:eastAsia="en-US"/>
    </w:rPr>
  </w:style>
  <w:style w:type="paragraph" w:styleId="Salutation">
    <w:name w:val="Salutation"/>
    <w:basedOn w:val="Normal"/>
    <w:next w:val="Normal"/>
    <w:link w:val="SalutationChar"/>
    <w:semiHidden/>
    <w:unhideWhenUsed/>
    <w:rsid w:val="00C20895"/>
  </w:style>
  <w:style w:type="character" w:customStyle="1" w:styleId="SalutationChar">
    <w:name w:val="Salutation Char"/>
    <w:basedOn w:val="DefaultParagraphFont"/>
    <w:link w:val="Salutation"/>
    <w:semiHidden/>
    <w:rsid w:val="00C20895"/>
    <w:rPr>
      <w:rFonts w:eastAsia="Times New Roman"/>
      <w:lang w:val="fr-FR" w:eastAsia="en-US"/>
    </w:rPr>
  </w:style>
  <w:style w:type="paragraph" w:styleId="Signature">
    <w:name w:val="Signature"/>
    <w:basedOn w:val="Normal"/>
    <w:link w:val="SignatureChar"/>
    <w:semiHidden/>
    <w:unhideWhenUsed/>
    <w:rsid w:val="00C20895"/>
    <w:pPr>
      <w:ind w:left="4252"/>
    </w:pPr>
  </w:style>
  <w:style w:type="character" w:customStyle="1" w:styleId="SignatureChar">
    <w:name w:val="Signature Char"/>
    <w:basedOn w:val="DefaultParagraphFont"/>
    <w:link w:val="Signature"/>
    <w:semiHidden/>
    <w:rsid w:val="00C20895"/>
    <w:rPr>
      <w:rFonts w:eastAsia="Times New Roman"/>
      <w:lang w:val="fr-FR" w:eastAsia="en-US"/>
    </w:rPr>
  </w:style>
  <w:style w:type="character" w:styleId="SmartHyperlink">
    <w:name w:val="Smart Hyperlink"/>
    <w:basedOn w:val="DefaultParagraphFont"/>
    <w:uiPriority w:val="99"/>
    <w:semiHidden/>
    <w:rsid w:val="00C20895"/>
    <w:rPr>
      <w:u w:val="dotted"/>
      <w:lang w:val="fr-FR"/>
    </w:rPr>
  </w:style>
  <w:style w:type="character" w:styleId="SmartLink">
    <w:name w:val="Smart Link"/>
    <w:basedOn w:val="DefaultParagraphFont"/>
    <w:uiPriority w:val="99"/>
    <w:semiHidden/>
    <w:unhideWhenUsed/>
    <w:rsid w:val="00C20895"/>
    <w:rPr>
      <w:color w:val="0000FF"/>
      <w:u w:val="single"/>
      <w:shd w:val="clear" w:color="auto" w:fill="F3F2F1"/>
      <w:lang w:val="fr-FR"/>
    </w:rPr>
  </w:style>
  <w:style w:type="character" w:styleId="Strong">
    <w:name w:val="Strong"/>
    <w:basedOn w:val="DefaultParagraphFont"/>
    <w:semiHidden/>
    <w:qFormat/>
    <w:rsid w:val="00C20895"/>
    <w:rPr>
      <w:b/>
      <w:bCs/>
      <w:lang w:val="fr-FR"/>
    </w:rPr>
  </w:style>
  <w:style w:type="paragraph" w:styleId="Subtitle">
    <w:name w:val="Subtitle"/>
    <w:basedOn w:val="Normal"/>
    <w:next w:val="Normal"/>
    <w:link w:val="SubtitleChar"/>
    <w:semiHidden/>
    <w:qFormat/>
    <w:rsid w:val="00C208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C20895"/>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semiHidden/>
    <w:qFormat/>
    <w:rsid w:val="00C20895"/>
    <w:rPr>
      <w:i/>
      <w:iCs/>
      <w:color w:val="404040" w:themeColor="text1" w:themeTint="BF"/>
      <w:lang w:val="fr-FR"/>
    </w:rPr>
  </w:style>
  <w:style w:type="character" w:styleId="SubtleReference">
    <w:name w:val="Subtle Reference"/>
    <w:basedOn w:val="DefaultParagraphFont"/>
    <w:uiPriority w:val="31"/>
    <w:semiHidden/>
    <w:qFormat/>
    <w:rsid w:val="00C20895"/>
    <w:rPr>
      <w:smallCaps/>
      <w:color w:val="5A5A5A" w:themeColor="text1" w:themeTint="A5"/>
      <w:lang w:val="fr-FR"/>
    </w:rPr>
  </w:style>
  <w:style w:type="table" w:styleId="Table3Deffects1">
    <w:name w:val="Table 3D effects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top w:val="single" w:sz="6" w:space="0" w:color="FFFFFF"/>
        <w:bottom w:val="single" w:sz="6" w:space="0" w:color="808080"/>
        <w:right w:val="single" w:sz="6" w:space="0" w:color="808080"/>
      </w:tcBorders>
      <w:shd w:val="solid" w:color="C0C0C0" w:fill="FFFFFF"/>
    </w:tcPr>
    <w:tblStylePr w:type="firstRow">
      <w:rPr>
        <w:b/>
        <w:bCs/>
        <w:color w:val="800080"/>
      </w:r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bottom w:val="single" w:sz="6" w:space="0" w:color="FFFFFF"/>
        <w:right w:val="single" w:sz="6" w:space="0" w:color="FFFFFF"/>
      </w:tcBorders>
      <w:shd w:val="solid" w:color="C0C0C0" w:fill="FFFFFF"/>
    </w:tcPr>
    <w:tblStylePr w:type="firstRow">
      <w:rPr>
        <w:b/>
        <w:bCs/>
      </w:rPr>
    </w:tblStylePr>
    <w:tblStylePr w:type="swCell">
      <w:rPr>
        <w:b/>
        <w:bCs/>
      </w:rPr>
    </w:tblStylePr>
  </w:style>
  <w:style w:type="table" w:styleId="Table3Deffects3">
    <w:name w:val="Table 3D effects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bottom w:val="single" w:sz="6" w:space="0" w:color="000000"/>
      </w:tcBorders>
      <w:shd w:val="clear" w:color="auto" w:fill="auto"/>
    </w:tcPr>
    <w:tblStylePr w:type="firstRow">
      <w:rPr>
        <w:color w:val="FFFFFF"/>
      </w:rPr>
    </w:tblStylePr>
    <w:tblStylePr w:type="firstCol">
      <w:rPr>
        <w:b/>
        <w:bCs/>
      </w:rPr>
    </w:tblStylePr>
    <w:tblStylePr w:type="neCell">
      <w:rPr>
        <w:b/>
        <w:bCs/>
      </w:rPr>
    </w:tblStylePr>
    <w:tblStylePr w:type="swCell">
      <w:rPr>
        <w:color w:val="000080"/>
      </w:rPr>
    </w:tblStylePr>
  </w:style>
  <w:style w:type="table" w:styleId="TableClassic3">
    <w:name w:val="Table Classic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color w:val="000080"/>
    </w:rPr>
    <w:tbl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i/>
        <w:iCs/>
        <w:color w:val="FFFFFF"/>
      </w:rPr>
    </w:tblStylePr>
    <w:tblStylePr w:type="firstCol">
      <w:rPr>
        <w:b/>
        <w:bCs/>
        <w:i/>
        <w:iCs/>
      </w:rPr>
    </w:tblStylePr>
    <w:tblStylePr w:type="swCell">
      <w:rPr>
        <w:b/>
        <w:bCs/>
        <w:i w:val="0"/>
        <w:iCs w:val="0"/>
      </w:rPr>
    </w:tblStylePr>
  </w:style>
  <w:style w:type="table" w:styleId="TableColorful3">
    <w:name w:val="Table Colorful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nwCell">
      <w:rPr>
        <w:b/>
        <w:bCs/>
        <w:color w:val="FFFFFF"/>
      </w:rPr>
    </w:tblStylePr>
  </w:style>
  <w:style w:type="table" w:styleId="TableColumns1">
    <w:name w:val="Table Columns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b/>
      <w:bCs/>
    </w:rPr>
    <w:tbl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StylePr>
    <w:tblStylePr w:type="swCell">
      <w:rPr>
        <w:b/>
        <w:bCs/>
      </w:rPr>
    </w:tblStylePr>
  </w:style>
  <w:style w:type="table" w:styleId="TableColumns3">
    <w:name w:val="Table Columns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FFFFFF"/>
      </w:r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ColBandSize w:val="1"/>
    </w:tblPr>
    <w:tcPr>
      <w:tcBorders>
        <w:top w:val="single" w:sz="6" w:space="0" w:color="808080"/>
        <w:bottom w:val="single" w:sz="6" w:space="0" w:color="808080"/>
      </w:tcBorders>
      <w:shd w:val="solid" w:color="C0C0C0" w:fill="FFFFFF"/>
    </w:tcPr>
    <w:tblStylePr w:type="firstRow">
      <w:rPr>
        <w:b/>
        <w:bCs/>
        <w:i/>
        <w:iCs/>
      </w:rPr>
    </w:tblStylePr>
    <w:tblStylePr w:type="lastRow">
      <w:rPr>
        <w:b/>
        <w:bCs/>
      </w:r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table" w:styleId="TableGrid1">
    <w:name w:val="Table Grid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lastRow">
      <w:rPr>
        <w:i/>
        <w:iCs/>
      </w:rPr>
    </w:tblStylePr>
    <w:tblStylePr w:type="lastCol">
      <w:rPr>
        <w:i/>
        <w:iCs/>
      </w:rPr>
    </w:tblStylePr>
  </w:style>
  <w:style w:type="table" w:styleId="TableGrid2">
    <w:name w:val="Table Grid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lastRow">
      <w:rPr>
        <w:b/>
        <w:bCs/>
      </w:rPr>
    </w:tblStylePr>
    <w:tblStylePr w:type="lastCol">
      <w:rPr>
        <w:b/>
        <w:bCs/>
      </w:rPr>
    </w:tblStylePr>
  </w:style>
  <w:style w:type="table" w:styleId="TableGrid4">
    <w:name w:val="Table Grid 4"/>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lastRow">
      <w:rPr>
        <w:b/>
        <w:bCs/>
      </w:rPr>
    </w:tblStylePr>
    <w:tblStylePr w:type="lastCol">
      <w:rPr>
        <w:b/>
        <w:bCs/>
      </w:rPr>
    </w:tblStylePr>
  </w:style>
  <w:style w:type="table" w:styleId="TableGrid6">
    <w:name w:val="Table Grid 6"/>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top w:val="single" w:sz="6" w:space="0" w:color="000000"/>
        <w:bottom w:val="single" w:sz="6" w:space="0" w:color="000000"/>
      </w:tcBorders>
      <w:shd w:val="clear" w:color="auto" w:fill="auto"/>
    </w:tcPr>
    <w:tblStylePr w:type="firstRow">
      <w:rPr>
        <w:b/>
        <w:bCs/>
      </w:rPr>
    </w:tblStylePr>
    <w:tblStylePr w:type="lastRow">
      <w:rPr>
        <w:color w:val="auto"/>
      </w:r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b/>
      <w:bCs/>
    </w:rPr>
    <w:tblPr/>
    <w:tcPr>
      <w:tcBorders>
        <w:top w:val="single" w:sz="6" w:space="0" w:color="000000"/>
        <w:bottom w:val="single" w:sz="12" w:space="0" w:color="000000"/>
      </w:tcBorders>
      <w:shd w:val="clear" w:color="auto" w:fill="auto"/>
    </w:tcPr>
    <w:tblStylePr w:type="firstRow">
      <w:rPr>
        <w:b w:val="0"/>
        <w:bCs w:val="0"/>
      </w:rPr>
    </w:tblStylePr>
    <w:tblStylePr w:type="lastRow">
      <w:rPr>
        <w:b w:val="0"/>
        <w:bCs w:val="0"/>
      </w:r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FFFFFF"/>
      </w:rPr>
    </w:tblStylePr>
    <w:tblStylePr w:type="lastRow">
      <w:rPr>
        <w:b/>
        <w:bCs/>
        <w:color w:val="auto"/>
      </w:rPr>
    </w:tblStylePr>
    <w:tblStylePr w:type="lastCol">
      <w:rPr>
        <w:b/>
        <w:bCs/>
        <w:color w:val="auto"/>
      </w:rPr>
    </w:tblStylePr>
  </w:style>
  <w:style w:type="table" w:styleId="TableGridLight">
    <w:name w:val="Grid Table Light"/>
    <w:basedOn w:val="TableNormal"/>
    <w:uiPriority w:val="40"/>
    <w:rsid w:val="00C20895"/>
    <w:tblPr/>
  </w:style>
  <w:style w:type="table" w:styleId="TableList1">
    <w:name w:val="Table List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TableList2">
    <w:name w:val="Table List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styleId="TableList3">
    <w:name w:val="Table List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top w:val="single" w:sz="12" w:space="0" w:color="000000"/>
        <w:bottom w:val="single" w:sz="12" w:space="0" w:color="000000"/>
      </w:tcBorders>
      <w:shd w:val="clear" w:color="auto" w:fill="auto"/>
    </w:tcPr>
    <w:tblStylePr w:type="firstRow">
      <w:rPr>
        <w:b/>
        <w:bCs/>
        <w:color w:val="000080"/>
      </w:rPr>
    </w:tblStylePr>
    <w:tblStylePr w:type="swCell">
      <w:rPr>
        <w:i/>
        <w:iCs/>
        <w:color w:val="000080"/>
      </w:rPr>
    </w:tblStylePr>
  </w:style>
  <w:style w:type="table" w:styleId="TableList4">
    <w:name w:val="Table List 4"/>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FFFFFF"/>
      </w:rPr>
    </w:tblStylePr>
  </w:style>
  <w:style w:type="table" w:styleId="TableList5">
    <w:name w:val="Table List 5"/>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firstCol">
      <w:rPr>
        <w:b/>
        <w:bCs/>
      </w:rPr>
    </w:tblStylePr>
  </w:style>
  <w:style w:type="table" w:styleId="TableList6">
    <w:name w:val="Table List 6"/>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firstCol">
      <w:rPr>
        <w:b/>
        <w:bCs/>
      </w:rPr>
    </w:tblStylePr>
  </w:style>
  <w:style w:type="table" w:styleId="TableList7">
    <w:name w:val="Table List 7"/>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styleId="TableofAuthorities">
    <w:name w:val="table of authorities"/>
    <w:basedOn w:val="Normal"/>
    <w:next w:val="Normal"/>
    <w:semiHidden/>
    <w:unhideWhenUsed/>
    <w:rsid w:val="00C20895"/>
    <w:pPr>
      <w:ind w:left="200" w:hanging="200"/>
    </w:pPr>
  </w:style>
  <w:style w:type="table" w:styleId="TableProfessional">
    <w:name w:val="Table Professional"/>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auto"/>
      </w:rPr>
    </w:tblStylePr>
  </w:style>
  <w:style w:type="table" w:styleId="TableSimple1">
    <w:name w:val="Table Simple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bottom w:val="single" w:sz="6" w:space="0" w:color="008000"/>
      </w:tcBorders>
      <w:shd w:val="clear" w:color="auto" w:fill="auto"/>
    </w:tcPr>
  </w:style>
  <w:style w:type="table" w:styleId="TableSimple2">
    <w:name w:val="Table Simple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FFFFFF"/>
      </w:rPr>
    </w:tblStylePr>
  </w:style>
  <w:style w:type="table" w:styleId="TableSubtle1">
    <w:name w:val="Table Subtle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top w:val="single" w:sz="12" w:space="0" w:color="000000"/>
        <w:left w:val="single" w:sz="12" w:space="0" w:color="000000"/>
        <w:bottom w:val="single" w:sz="6" w:space="0" w:color="000000"/>
        <w:right w:val="single" w:sz="12"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neCell">
      <w:rPr>
        <w:b/>
        <w:bCs/>
      </w:rPr>
    </w:tblStylePr>
    <w:tblStylePr w:type="swCell">
      <w:rPr>
        <w:b/>
        <w:bCs/>
      </w:rPr>
    </w:tblStylePr>
  </w:style>
  <w:style w:type="table" w:styleId="TableTheme">
    <w:name w:val="Table Theme"/>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style>
  <w:style w:type="table" w:styleId="TableWeb1">
    <w:name w:val="Table Web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table" w:styleId="TableWeb2">
    <w:name w:val="Table Web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table" w:styleId="TableWeb3">
    <w:name w:val="Table Web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paragraph" w:styleId="Title">
    <w:name w:val="Title"/>
    <w:basedOn w:val="Normal"/>
    <w:next w:val="Normal"/>
    <w:link w:val="TitleChar"/>
    <w:semiHidden/>
    <w:qFormat/>
    <w:rsid w:val="00C208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C20895"/>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semiHidden/>
    <w:unhideWhenUsed/>
    <w:rsid w:val="00C2089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20895"/>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C20895"/>
  </w:style>
  <w:style w:type="character" w:customStyle="1" w:styleId="BBTitleChar">
    <w:name w:val="BB_Title Char"/>
    <w:link w:val="BBTitle"/>
    <w:rsid w:val="00C20895"/>
    <w:rPr>
      <w:b/>
      <w:sz w:val="28"/>
      <w:szCs w:val="28"/>
    </w:rPr>
  </w:style>
  <w:style w:type="paragraph" w:styleId="Revision">
    <w:name w:val="Revision"/>
    <w:hidden/>
    <w:uiPriority w:val="99"/>
    <w:semiHidden/>
    <w:rsid w:val="00C20895"/>
    <w:rPr>
      <w:rFonts w:eastAsia="Times New Roman"/>
      <w:lang w:val="en-GB" w:eastAsia="en-US"/>
    </w:rPr>
  </w:style>
  <w:style w:type="character" w:customStyle="1" w:styleId="CH2Char">
    <w:name w:val="CH2 Char"/>
    <w:link w:val="CH2"/>
    <w:locked/>
    <w:rsid w:val="003103F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zone.unep.org/meetings/informal-meeting-facilitating-implementation-montreal-protocol/presentations" TargetMode="External"/><Relationship Id="rId2" Type="http://schemas.openxmlformats.org/officeDocument/2006/relationships/hyperlink" Target="https://ozone.unep.org/system/files/documents/IM_concept-note-and-provisional-programme_final-draft_for-posting.pdf" TargetMode="External"/><Relationship Id="rId1" Type="http://schemas.openxmlformats.org/officeDocument/2006/relationships/hyperlink" Target="https://ozone.unep.org/system/files/documents/IM_concept-note-and-provisional-programme_final-draft_for-posting.pdf" TargetMode="External"/><Relationship Id="rId4" Type="http://schemas.openxmlformats.org/officeDocument/2006/relationships/hyperlink" Target="https://ozone.unep.org/meetings/informal-meeting-facilitating-implementation-montreal-protocol/present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786100a8-bbaa-48b6-aa10-6d2082f346b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C49DCCFF06D044688251B3E010FA2BB" ma:contentTypeVersion="17" ma:contentTypeDescription="Create a new document." ma:contentTypeScope="" ma:versionID="a8b78a233c82e8bd58fce03fefa5edb1">
  <xsd:schema xmlns:xsd="http://www.w3.org/2001/XMLSchema" xmlns:xs="http://www.w3.org/2001/XMLSchema" xmlns:p="http://schemas.microsoft.com/office/2006/metadata/properties" xmlns:ns2="786100a8-bbaa-48b6-aa10-6d2082f346b4" xmlns:ns3="25a4600d-fc45-4aed-ad1e-9b44b590e5cc" xmlns:ns4="985ec44e-1bab-4c0b-9df0-6ba128686fc9" targetNamespace="http://schemas.microsoft.com/office/2006/metadata/properties" ma:root="true" ma:fieldsID="7fd6797b6783b67570cc3cfd7dd3ec3e" ns2:_="" ns3:_="" ns4:_="">
    <xsd:import namespace="786100a8-bbaa-48b6-aa10-6d2082f346b4"/>
    <xsd:import namespace="25a4600d-fc45-4aed-ad1e-9b44b590e5cc"/>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100a8-bbaa-48b6-aa10-6d2082f3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a4600d-fc45-4aed-ad1e-9b44b590e5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c2a52b-b236-4f84-9b6f-fba945907974}" ma:internalName="TaxCatchAll" ma:showField="CatchAllData" ma:web="25a4600d-fc45-4aed-ad1e-9b44b590e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2DACA-6EB6-4F76-A688-787EADF6D421}">
  <ds:schemaRefs>
    <ds:schemaRef ds:uri="http://www.w3.org/XML/1998/namespace"/>
    <ds:schemaRef ds:uri="985ec44e-1bab-4c0b-9df0-6ba128686fc9"/>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25a4600d-fc45-4aed-ad1e-9b44b590e5cc"/>
    <ds:schemaRef ds:uri="786100a8-bbaa-48b6-aa10-6d2082f346b4"/>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215B1452-0035-4E2F-BD20-D2678FF17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100a8-bbaa-48b6-aa10-6d2082f346b4"/>
    <ds:schemaRef ds:uri="25a4600d-fc45-4aed-ad1e-9b44b590e5cc"/>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TotalTime>
  <Pages>52</Pages>
  <Words>38168</Words>
  <Characters>217558</Characters>
  <Application>Microsoft Office Word</Application>
  <DocSecurity>0</DocSecurity>
  <PresentationFormat/>
  <Lines>1812</Lines>
  <Paragraphs>510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255216</CharactersWithSpaces>
  <SharedDoc>false</SharedDoc>
  <HyperlinkBase/>
  <HLinks>
    <vt:vector size="24" baseType="variant">
      <vt:variant>
        <vt:i4>262231</vt:i4>
      </vt:variant>
      <vt:variant>
        <vt:i4>9</vt:i4>
      </vt:variant>
      <vt:variant>
        <vt:i4>0</vt:i4>
      </vt:variant>
      <vt:variant>
        <vt:i4>5</vt:i4>
      </vt:variant>
      <vt:variant>
        <vt:lpwstr>https://ozone.unep.org/meetings/informal-meeting-facilitating-implementation-montreal-protocol/presentations</vt:lpwstr>
      </vt:variant>
      <vt:variant>
        <vt:lpwstr/>
      </vt:variant>
      <vt:variant>
        <vt:i4>262231</vt:i4>
      </vt:variant>
      <vt:variant>
        <vt:i4>6</vt:i4>
      </vt:variant>
      <vt:variant>
        <vt:i4>0</vt:i4>
      </vt:variant>
      <vt:variant>
        <vt:i4>5</vt:i4>
      </vt:variant>
      <vt:variant>
        <vt:lpwstr>https://ozone.unep.org/meetings/informal-meeting-facilitating-implementation-montreal-protocol/presentations</vt:lpwstr>
      </vt:variant>
      <vt:variant>
        <vt:lpwstr/>
      </vt:variant>
      <vt:variant>
        <vt:i4>7602244</vt:i4>
      </vt:variant>
      <vt:variant>
        <vt:i4>3</vt:i4>
      </vt:variant>
      <vt:variant>
        <vt:i4>0</vt:i4>
      </vt:variant>
      <vt:variant>
        <vt:i4>5</vt:i4>
      </vt:variant>
      <vt:variant>
        <vt:lpwstr>https://ozone.unep.org/system/files/documents/IM_concept-note-and-provisional-programme_final-draft_for-posting.pdf</vt:lpwstr>
      </vt:variant>
      <vt:variant>
        <vt:lpwstr/>
      </vt:variant>
      <vt:variant>
        <vt:i4>7602244</vt:i4>
      </vt:variant>
      <vt:variant>
        <vt:i4>0</vt:i4>
      </vt:variant>
      <vt:variant>
        <vt:i4>0</vt:i4>
      </vt:variant>
      <vt:variant>
        <vt:i4>5</vt:i4>
      </vt:variant>
      <vt:variant>
        <vt:lpwstr>https://ozone.unep.org/system/files/documents/IM_concept-note-and-provisional-programme_final-draft_for-posting.pdf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Laguës</dc:creator>
  <cp:keywords/>
  <dc:description/>
  <cp:lastModifiedBy>Herimalala Raveloarinjato</cp:lastModifiedBy>
  <cp:revision>3</cp:revision>
  <cp:lastPrinted>2026-02-25T07:52:00Z</cp:lastPrinted>
  <dcterms:created xsi:type="dcterms:W3CDTF">2026-02-25T07:52:00Z</dcterms:created>
  <dcterms:modified xsi:type="dcterms:W3CDTF">2026-02-25T07:53:00Z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UNEP-OZL-PRO</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0x0101001C49DCCFF06D044688251B3E010FA2BB</vt:lpwstr>
  </property>
</Properties>
</file>