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835"/>
        <w:gridCol w:w="5244"/>
        <w:gridCol w:w="1417"/>
      </w:tblGrid>
      <w:tr w:rsidR="00C20895" w:rsidRPr="009B31CD" w14:paraId="58325FD5" w14:textId="77777777" w:rsidTr="00D46339">
        <w:trPr>
          <w:trHeight w:val="850"/>
        </w:trPr>
        <w:tc>
          <w:tcPr>
            <w:tcW w:w="2835" w:type="dxa"/>
          </w:tcPr>
          <w:p w14:paraId="558FBB72" w14:textId="7585AB97" w:rsidR="00C20895" w:rsidRPr="009B31CD" w:rsidRDefault="00432634" w:rsidP="00D46339">
            <w:pPr>
              <w:pStyle w:val="AUnitedNations"/>
              <w:tabs>
                <w:tab w:val="clear" w:pos="624"/>
                <w:tab w:val="clear" w:pos="1871"/>
                <w:tab w:val="clear" w:pos="2495"/>
                <w:tab w:val="clear" w:pos="3119"/>
                <w:tab w:val="clear" w:pos="3742"/>
                <w:tab w:val="clear" w:pos="4366"/>
                <w:tab w:val="clear" w:pos="4990"/>
              </w:tabs>
              <w:rPr>
                <w:rFonts w:eastAsiaTheme="minorEastAsia"/>
              </w:rPr>
            </w:pPr>
            <w:r w:rsidRPr="00A72274">
              <w:t xml:space="preserve">ОРГАНИЗАЦИЯ </w:t>
            </w:r>
            <w:r w:rsidRPr="00A72274">
              <w:br/>
              <w:t xml:space="preserve">ОБЪЕДИНЕННЫХ </w:t>
            </w:r>
            <w:r w:rsidRPr="00A72274">
              <w:br/>
              <w:t>НАЦИЙ</w:t>
            </w:r>
          </w:p>
        </w:tc>
        <w:tc>
          <w:tcPr>
            <w:tcW w:w="5244" w:type="dxa"/>
          </w:tcPr>
          <w:p w14:paraId="0616E47A" w14:textId="1FDDB6E5" w:rsidR="00C20895" w:rsidRPr="009B31CD" w:rsidRDefault="00432634" w:rsidP="00D46339">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r w:rsidRPr="00A72274">
              <w:rPr>
                <w:noProof/>
              </w:rPr>
              <w:drawing>
                <wp:anchor distT="0" distB="0" distL="114300" distR="114300" simplePos="0" relativeHeight="251660288" behindDoc="0" locked="0" layoutInCell="1" allowOverlap="1" wp14:anchorId="17BE32DB" wp14:editId="76B1AFDB">
                  <wp:simplePos x="0" y="0"/>
                  <wp:positionH relativeFrom="column">
                    <wp:posOffset>1905</wp:posOffset>
                  </wp:positionH>
                  <wp:positionV relativeFrom="paragraph">
                    <wp:posOffset>2540</wp:posOffset>
                  </wp:positionV>
                  <wp:extent cx="1269153" cy="573559"/>
                  <wp:effectExtent l="0" t="0" r="0" b="0"/>
                  <wp:wrapNone/>
                  <wp:docPr id="723484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8450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747CA8D" w14:textId="77777777" w:rsidR="00C20895" w:rsidRPr="009B31CD" w:rsidRDefault="00C20895" w:rsidP="00D46339">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1F935BB4" w14:textId="77777777" w:rsidR="006533B3" w:rsidRPr="009B31CD" w:rsidRDefault="006533B3" w:rsidP="00D46339">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Look w:val="0000" w:firstRow="0" w:lastRow="0" w:firstColumn="0" w:lastColumn="0" w:noHBand="0" w:noVBand="0"/>
      </w:tblPr>
      <w:tblGrid>
        <w:gridCol w:w="6378"/>
        <w:gridCol w:w="3118"/>
      </w:tblGrid>
      <w:tr w:rsidR="00C20895" w:rsidRPr="009B31CD" w14:paraId="0422D97E" w14:textId="77777777" w:rsidTr="00C20895">
        <w:trPr>
          <w:trHeight w:val="340"/>
        </w:trPr>
        <w:tc>
          <w:tcPr>
            <w:tcW w:w="3358" w:type="pct"/>
            <w:vAlign w:val="bottom"/>
          </w:tcPr>
          <w:p w14:paraId="7331BC63" w14:textId="77777777" w:rsidR="00C20895" w:rsidRPr="009B31CD" w:rsidRDefault="00C20895" w:rsidP="00D46339">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c>
          <w:tcPr>
            <w:tcW w:w="1642" w:type="pct"/>
            <w:noWrap/>
            <w:vAlign w:val="bottom"/>
          </w:tcPr>
          <w:p w14:paraId="5615246A" w14:textId="77777777" w:rsidR="00C20895" w:rsidRPr="009B31CD" w:rsidRDefault="00C20895" w:rsidP="00D46339">
            <w:pPr>
              <w:pStyle w:val="ASymbol"/>
              <w:tabs>
                <w:tab w:val="clear" w:pos="1871"/>
                <w:tab w:val="clear" w:pos="2495"/>
                <w:tab w:val="clear" w:pos="2920"/>
                <w:tab w:val="clear" w:pos="3119"/>
                <w:tab w:val="clear" w:pos="3742"/>
                <w:tab w:val="clear" w:pos="4366"/>
                <w:tab w:val="clear" w:pos="4990"/>
              </w:tabs>
            </w:pPr>
            <w:r w:rsidRPr="00432634">
              <w:rPr>
                <w:b/>
                <w:bCs/>
                <w:color w:val="000000"/>
                <w:sz w:val="28"/>
                <w:szCs w:val="28"/>
                <w:lang w:val="ru-RU"/>
              </w:rPr>
              <w:t>UNEP</w:t>
            </w:r>
            <w:r>
              <w:rPr>
                <w:color w:val="000000"/>
                <w:lang w:val="ru-RU"/>
              </w:rPr>
              <w:t>/OzL.Pro.37/9</w:t>
            </w:r>
            <w:bookmarkStart w:id="0" w:name="Symbol1A"/>
            <w:bookmarkStart w:id="1" w:name="Symbol1B"/>
            <w:bookmarkEnd w:id="0"/>
            <w:bookmarkEnd w:id="1"/>
          </w:p>
        </w:tc>
      </w:tr>
    </w:tbl>
    <w:p w14:paraId="47FE683A" w14:textId="77777777" w:rsidR="00C20895" w:rsidRPr="009B31CD" w:rsidRDefault="00C20895" w:rsidP="00D46339">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C20895" w:rsidRPr="009B31CD" w14:paraId="220F2467" w14:textId="77777777" w:rsidTr="00C20895">
        <w:trPr>
          <w:trHeight w:val="2098"/>
        </w:trPr>
        <w:tc>
          <w:tcPr>
            <w:tcW w:w="5386" w:type="dxa"/>
          </w:tcPr>
          <w:p w14:paraId="05F14E6B" w14:textId="1CDE95F5" w:rsidR="00C20895" w:rsidRPr="00895200" w:rsidRDefault="00432634" w:rsidP="00D46339">
            <w:pPr>
              <w:pStyle w:val="AConvName"/>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761442">
              <w:rPr>
                <w:lang w:val="ru-RU"/>
              </w:rPr>
              <w:t xml:space="preserve">Монреальский протокол </w:t>
            </w:r>
            <w:r w:rsidRPr="00761442">
              <w:rPr>
                <w:lang w:val="ru-RU"/>
              </w:rPr>
              <w:br/>
              <w:t xml:space="preserve">по веществам, разрушающим </w:t>
            </w:r>
            <w:r w:rsidRPr="00761442">
              <w:rPr>
                <w:lang w:val="ru-RU"/>
              </w:rPr>
              <w:br/>
              <w:t>озоновый слой</w:t>
            </w:r>
          </w:p>
        </w:tc>
        <w:tc>
          <w:tcPr>
            <w:tcW w:w="992" w:type="dxa"/>
          </w:tcPr>
          <w:p w14:paraId="155A0E14" w14:textId="77777777" w:rsidR="00C20895" w:rsidRPr="00895200" w:rsidRDefault="00C20895" w:rsidP="00D46339">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3118" w:type="dxa"/>
          </w:tcPr>
          <w:p w14:paraId="3ADAD960" w14:textId="77777777" w:rsidR="00C20895" w:rsidRPr="009B31CD" w:rsidRDefault="00C20895" w:rsidP="00D46339">
            <w:pPr>
              <w:pStyle w:val="AText"/>
              <w:tabs>
                <w:tab w:val="clear" w:pos="624"/>
                <w:tab w:val="clear" w:pos="1247"/>
                <w:tab w:val="clear" w:pos="1871"/>
                <w:tab w:val="clear" w:pos="2495"/>
                <w:tab w:val="clear" w:pos="3119"/>
                <w:tab w:val="clear" w:pos="3742"/>
                <w:tab w:val="clear" w:pos="4366"/>
                <w:tab w:val="clear" w:pos="4990"/>
              </w:tabs>
              <w:rPr>
                <w:rFonts w:eastAsiaTheme="minorEastAsia"/>
              </w:rPr>
            </w:pPr>
            <w:r w:rsidRPr="0016643E">
              <w:rPr>
                <w:color w:val="000000"/>
                <w:lang w:val="en-US"/>
              </w:rPr>
              <w:t>Distr.: General</w:t>
            </w:r>
          </w:p>
          <w:p w14:paraId="78D215FB" w14:textId="0F432626" w:rsidR="00C20895" w:rsidRPr="009B31CD" w:rsidRDefault="00D46339" w:rsidP="00D46339">
            <w:pPr>
              <w:pStyle w:val="AText0"/>
              <w:tabs>
                <w:tab w:val="clear" w:pos="624"/>
                <w:tab w:val="clear" w:pos="1247"/>
                <w:tab w:val="clear" w:pos="1871"/>
                <w:tab w:val="clear" w:pos="2495"/>
                <w:tab w:val="clear" w:pos="3119"/>
                <w:tab w:val="clear" w:pos="3742"/>
                <w:tab w:val="clear" w:pos="4366"/>
              </w:tabs>
              <w:rPr>
                <w:rFonts w:eastAsiaTheme="minorEastAsia"/>
              </w:rPr>
            </w:pPr>
            <w:bookmarkStart w:id="2" w:name="DistributionDate"/>
            <w:r w:rsidRPr="009B31CD">
              <w:rPr>
                <w:rFonts w:eastAsiaTheme="minorEastAsia"/>
              </w:rPr>
              <w:t>12 November 2025</w:t>
            </w:r>
            <w:bookmarkEnd w:id="2"/>
          </w:p>
          <w:p w14:paraId="2EA243C8" w14:textId="750C7B57" w:rsidR="00C20895" w:rsidRPr="009B31CD" w:rsidRDefault="00C20895" w:rsidP="00D46339">
            <w:pPr>
              <w:pStyle w:val="AText"/>
              <w:tabs>
                <w:tab w:val="clear" w:pos="624"/>
                <w:tab w:val="clear" w:pos="1247"/>
                <w:tab w:val="clear" w:pos="1871"/>
                <w:tab w:val="clear" w:pos="2495"/>
                <w:tab w:val="clear" w:pos="3119"/>
                <w:tab w:val="clear" w:pos="3742"/>
                <w:tab w:val="clear" w:pos="4366"/>
                <w:tab w:val="clear" w:pos="4990"/>
              </w:tabs>
              <w:rPr>
                <w:rFonts w:eastAsiaTheme="minorEastAsia"/>
              </w:rPr>
            </w:pPr>
            <w:bookmarkStart w:id="3" w:name="DistributionLang"/>
            <w:r w:rsidRPr="0016643E">
              <w:rPr>
                <w:color w:val="000000"/>
                <w:lang w:val="en-US"/>
              </w:rPr>
              <w:t>Russian</w:t>
            </w:r>
            <w:r w:rsidR="00432634">
              <w:rPr>
                <w:color w:val="000000"/>
                <w:lang w:val="en-US"/>
              </w:rPr>
              <w:br/>
            </w:r>
            <w:r w:rsidRPr="0016643E">
              <w:rPr>
                <w:color w:val="000000"/>
                <w:lang w:val="en-US"/>
              </w:rPr>
              <w:t>Original: English</w:t>
            </w:r>
            <w:bookmarkEnd w:id="3"/>
          </w:p>
        </w:tc>
      </w:tr>
    </w:tbl>
    <w:p w14:paraId="39F4479A" w14:textId="77777777" w:rsidR="00C20895" w:rsidRPr="009B31CD" w:rsidRDefault="00C20895" w:rsidP="00D46339">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20895" w:rsidRPr="009B31CD" w14:paraId="4006DDF1" w14:textId="77777777" w:rsidTr="00C20895">
        <w:trPr>
          <w:trHeight w:val="57"/>
        </w:trPr>
        <w:tc>
          <w:tcPr>
            <w:tcW w:w="5301" w:type="dxa"/>
          </w:tcPr>
          <w:p w14:paraId="6B6BC405" w14:textId="558ABA96" w:rsidR="00C20895" w:rsidRPr="0016643E" w:rsidRDefault="00C20895" w:rsidP="00D46339">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4" w:name="CorNot1Text"/>
            <w:r>
              <w:rPr>
                <w:bCs/>
                <w:color w:val="000000"/>
                <w:lang w:val="ru-RU"/>
              </w:rPr>
              <w:t xml:space="preserve">Тридцать седьмое Совещание Сторон </w:t>
            </w:r>
            <w:r w:rsidR="00432634" w:rsidRPr="00422FE2">
              <w:rPr>
                <w:bCs/>
                <w:color w:val="000000"/>
                <w:lang w:val="ru-RU"/>
              </w:rPr>
              <w:br/>
            </w:r>
            <w:r>
              <w:rPr>
                <w:bCs/>
                <w:color w:val="000000"/>
                <w:lang w:val="ru-RU"/>
              </w:rPr>
              <w:t xml:space="preserve">Монреальского протокола по веществам, </w:t>
            </w:r>
            <w:r w:rsidR="00432634" w:rsidRPr="00422FE2">
              <w:rPr>
                <w:bCs/>
                <w:color w:val="000000"/>
                <w:lang w:val="ru-RU"/>
              </w:rPr>
              <w:br/>
            </w:r>
            <w:r>
              <w:rPr>
                <w:bCs/>
                <w:color w:val="000000"/>
                <w:lang w:val="ru-RU"/>
              </w:rPr>
              <w:t>разрушающим озоновый слой</w:t>
            </w:r>
            <w:r>
              <w:rPr>
                <w:color w:val="000000"/>
                <w:lang w:val="ru-RU"/>
              </w:rPr>
              <w:t xml:space="preserve"> </w:t>
            </w:r>
            <w:bookmarkEnd w:id="4"/>
          </w:p>
          <w:p w14:paraId="204BF54B" w14:textId="77777777" w:rsidR="00C20895" w:rsidRPr="009B31CD" w:rsidRDefault="00C20895" w:rsidP="00D46339">
            <w:pPr>
              <w:pStyle w:val="AATitle1"/>
              <w:tabs>
                <w:tab w:val="clear" w:pos="624"/>
                <w:tab w:val="clear" w:pos="1247"/>
                <w:tab w:val="clear" w:pos="1871"/>
                <w:tab w:val="clear" w:pos="2495"/>
                <w:tab w:val="clear" w:pos="3119"/>
                <w:tab w:val="clear" w:pos="3742"/>
                <w:tab w:val="clear" w:pos="4366"/>
                <w:tab w:val="clear" w:pos="4990"/>
              </w:tabs>
              <w:rPr>
                <w:rFonts w:eastAsiaTheme="minorEastAsia"/>
              </w:rPr>
            </w:pPr>
            <w:bookmarkStart w:id="5" w:name="CorNot1VenueDate"/>
            <w:r>
              <w:rPr>
                <w:color w:val="000000"/>
                <w:lang w:val="ru-RU"/>
              </w:rPr>
              <w:t xml:space="preserve">Найроби, 3–7 ноября 2025 года </w:t>
            </w:r>
            <w:bookmarkEnd w:id="5"/>
          </w:p>
        </w:tc>
        <w:tc>
          <w:tcPr>
            <w:tcW w:w="4195" w:type="dxa"/>
          </w:tcPr>
          <w:p w14:paraId="1D0E134B" w14:textId="77777777" w:rsidR="00C20895" w:rsidRPr="009B31CD" w:rsidRDefault="00C20895" w:rsidP="00D46339">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627D3B25" w14:textId="4DBD2A9C" w:rsidR="00716B27" w:rsidRPr="0016643E" w:rsidRDefault="002D5348" w:rsidP="003B3ADF">
      <w:pPr>
        <w:pStyle w:val="BBTitle"/>
        <w:keepNext w:val="0"/>
        <w:keepLines w:val="0"/>
        <w:tabs>
          <w:tab w:val="clear" w:pos="624"/>
          <w:tab w:val="clear" w:pos="1247"/>
          <w:tab w:val="clear" w:pos="1871"/>
          <w:tab w:val="clear" w:pos="2495"/>
          <w:tab w:val="clear" w:pos="3119"/>
          <w:tab w:val="clear" w:pos="3742"/>
          <w:tab w:val="clear" w:pos="4366"/>
          <w:tab w:val="clear" w:pos="4990"/>
        </w:tabs>
        <w:rPr>
          <w:rFonts w:eastAsiaTheme="minorEastAsia"/>
          <w:bCs/>
          <w:lang w:val="ru-RU"/>
        </w:rPr>
      </w:pPr>
      <w:r>
        <w:rPr>
          <w:bCs/>
          <w:lang w:val="ru-RU"/>
        </w:rPr>
        <w:t xml:space="preserve">Доклад о работе </w:t>
      </w:r>
      <w:r w:rsidR="005F5981">
        <w:rPr>
          <w:bCs/>
          <w:lang w:val="ru-RU"/>
        </w:rPr>
        <w:t xml:space="preserve">тридцать </w:t>
      </w:r>
      <w:r>
        <w:rPr>
          <w:bCs/>
          <w:lang w:val="ru-RU"/>
        </w:rPr>
        <w:t>седьмого Совещания Сторон Монреальского протокола по веществам, разрушающим озоновый слой</w:t>
      </w:r>
    </w:p>
    <w:p w14:paraId="7952D70D" w14:textId="3F7456E8" w:rsidR="00716B27" w:rsidRPr="009B31CD" w:rsidRDefault="00716B27" w:rsidP="003B3ADF">
      <w:pPr>
        <w:pStyle w:val="CH1"/>
        <w:keepNext w:val="0"/>
        <w:keepLines w:val="0"/>
        <w:tabs>
          <w:tab w:val="clear" w:pos="851"/>
          <w:tab w:val="clear" w:pos="1247"/>
          <w:tab w:val="clear" w:pos="1871"/>
          <w:tab w:val="clear" w:pos="2495"/>
          <w:tab w:val="clear" w:pos="3119"/>
          <w:tab w:val="clear" w:pos="3742"/>
          <w:tab w:val="clear" w:pos="4366"/>
          <w:tab w:val="clear" w:pos="4990"/>
        </w:tabs>
        <w:ind w:right="567" w:firstLine="0"/>
        <w:rPr>
          <w:rFonts w:eastAsiaTheme="minorEastAsia"/>
        </w:rPr>
      </w:pPr>
      <w:r>
        <w:rPr>
          <w:lang w:val="ru-RU"/>
        </w:rPr>
        <w:tab/>
      </w:r>
      <w:r>
        <w:rPr>
          <w:bCs/>
          <w:lang w:val="ru-RU"/>
        </w:rPr>
        <w:t>Введение</w:t>
      </w:r>
    </w:p>
    <w:p w14:paraId="7A10FB0A" w14:textId="77777777" w:rsidR="00F978AD" w:rsidRPr="0016643E" w:rsidRDefault="00F978AD" w:rsidP="0039780D">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Тридцать седьмое Совещание Сторон Монреальского протокола по веществам, разрушающим озоновый слой, проходило в штаб-квартире Программы Организации Объединенных Наций по окружающей среде (ЮНЕП) в Найроби с 3 по 7 ноября 2025 года.</w:t>
      </w:r>
    </w:p>
    <w:p w14:paraId="787BAF6E" w14:textId="1F718A43" w:rsidR="00C20895" w:rsidRPr="0016643E" w:rsidRDefault="00C20895" w:rsidP="00F20ACA">
      <w:pPr>
        <w:pStyle w:val="CH1"/>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r>
        <w:rPr>
          <w:lang w:val="ru-RU"/>
        </w:rPr>
        <w:tab/>
      </w:r>
      <w:r>
        <w:rPr>
          <w:bCs/>
          <w:lang w:val="ru-RU"/>
        </w:rPr>
        <w:t>Часть первая: подготовительный сегмент (3–5 ноября 2025</w:t>
      </w:r>
      <w:r w:rsidR="00F20ACA">
        <w:rPr>
          <w:bCs/>
          <w:lang w:val="en-US"/>
        </w:rPr>
        <w:t> </w:t>
      </w:r>
      <w:r>
        <w:rPr>
          <w:bCs/>
          <w:lang w:val="ru-RU"/>
        </w:rPr>
        <w:t>года)</w:t>
      </w:r>
    </w:p>
    <w:p w14:paraId="3C061874" w14:textId="5175D423" w:rsidR="00C20895" w:rsidRPr="009B31CD" w:rsidRDefault="004928E4" w:rsidP="004928E4">
      <w:pPr>
        <w:pStyle w:val="CH1"/>
        <w:keepNext w:val="0"/>
        <w:keepLines w:val="0"/>
        <w:tabs>
          <w:tab w:val="clear" w:pos="1247"/>
          <w:tab w:val="clear" w:pos="1871"/>
          <w:tab w:val="clear" w:pos="2495"/>
          <w:tab w:val="clear" w:pos="3119"/>
          <w:tab w:val="clear" w:pos="3742"/>
          <w:tab w:val="clear" w:pos="4366"/>
          <w:tab w:val="clear" w:pos="4990"/>
        </w:tabs>
        <w:spacing w:before="0"/>
      </w:pPr>
      <w:r w:rsidRPr="00422FE2">
        <w:rPr>
          <w:bCs/>
          <w:lang w:val="ru-RU"/>
        </w:rPr>
        <w:tab/>
      </w:r>
      <w:r w:rsidR="005D30C7">
        <w:rPr>
          <w:bCs/>
          <w:lang w:val="ru-RU"/>
        </w:rPr>
        <w:t>I.</w:t>
      </w:r>
      <w:r w:rsidR="005D30C7">
        <w:rPr>
          <w:lang w:val="ru-RU"/>
        </w:rPr>
        <w:tab/>
      </w:r>
      <w:r w:rsidR="005D30C7">
        <w:rPr>
          <w:bCs/>
          <w:lang w:val="ru-RU"/>
        </w:rPr>
        <w:t>Открытие подготовительного сегмента</w:t>
      </w:r>
    </w:p>
    <w:p w14:paraId="50E4FFF8" w14:textId="77777777" w:rsidR="00F978AD" w:rsidRPr="0016643E" w:rsidRDefault="00F978AD" w:rsidP="0039780D">
      <w:pPr>
        <w:pStyle w:val="Normalnumber"/>
        <w:tabs>
          <w:tab w:val="clear" w:pos="624"/>
          <w:tab w:val="clear" w:pos="1247"/>
          <w:tab w:val="clear" w:pos="1814"/>
          <w:tab w:val="clear" w:pos="2381"/>
          <w:tab w:val="clear" w:pos="2948"/>
          <w:tab w:val="clear" w:pos="3515"/>
        </w:tabs>
        <w:ind w:left="1247"/>
        <w:rPr>
          <w:lang w:val="ru-RU"/>
        </w:rPr>
      </w:pPr>
      <w:r>
        <w:rPr>
          <w:lang w:val="ru-RU"/>
        </w:rPr>
        <w:t>Подготовительный сегмент был открыт его сопредседателями Энни Габриел (Австралия) и Шонтелл Уэллингтон (Барбадос) в 10:05 в понедельник, 3 ноября 2025 года. Со вступительным заявлением выступила Мегуми Секи, Исполнительный секретарь секретариата по озону.</w:t>
      </w:r>
    </w:p>
    <w:p w14:paraId="7C3CA129" w14:textId="77C6F784" w:rsidR="00F978AD" w:rsidRPr="0016643E" w:rsidRDefault="00F978AD" w:rsidP="004A497D">
      <w:pPr>
        <w:pStyle w:val="Normalnumber"/>
        <w:tabs>
          <w:tab w:val="clear" w:pos="624"/>
          <w:tab w:val="clear" w:pos="1247"/>
          <w:tab w:val="clear" w:pos="1814"/>
          <w:tab w:val="clear" w:pos="2381"/>
          <w:tab w:val="clear" w:pos="2948"/>
          <w:tab w:val="clear" w:pos="3515"/>
        </w:tabs>
        <w:ind w:left="1247"/>
        <w:rPr>
          <w:lang w:val="ru-RU"/>
        </w:rPr>
      </w:pPr>
      <w:r>
        <w:rPr>
          <w:lang w:val="ru-RU"/>
        </w:rPr>
        <w:t>Приветствуя участников, г-жа Секи предложила им почтить минутой молчания память Корнелиуса Рейна (Европейский союз), который скоропостижно скончался несколькими днями ранее. В связи с этим была объявлена минута молчания. Отдавая дань уважения г-ну Рейну, г</w:t>
      </w:r>
      <w:r w:rsidR="004A497D" w:rsidRPr="007976E8">
        <w:rPr>
          <w:lang w:val="ru-RU"/>
        </w:rPr>
        <w:noBreakHyphen/>
      </w:r>
      <w:r>
        <w:rPr>
          <w:lang w:val="ru-RU"/>
        </w:rPr>
        <w:t xml:space="preserve">жа Секи сказала, что он вызывал восхищение своим профессионализмом, энтузиазмом и непоколебимой приверженностью делу охраны озонового слоя и окружающей среды. Среди его заслуг – ключевая роль в процессе Монреальского протокола, в переговорах и осуществлении Кигалийской поправки к Протоколу, участие в работе Комитета по выполнению в рамках процедуры, касающейся несоблюдения Монреальского протокола; он также являлся членом руководящего комитета финансируемого Европейским союзом экспериментального проекта по региональной количественной оценке выбросов веществ, регулируемых в рамках Протокола. </w:t>
      </w:r>
    </w:p>
    <w:p w14:paraId="3CFF9A74" w14:textId="77777777" w:rsidR="00F978AD" w:rsidRPr="0016643E" w:rsidRDefault="00F978AD" w:rsidP="0039780D">
      <w:pPr>
        <w:pStyle w:val="Normalnumber"/>
        <w:tabs>
          <w:tab w:val="clear" w:pos="624"/>
          <w:tab w:val="clear" w:pos="1247"/>
          <w:tab w:val="clear" w:pos="1814"/>
          <w:tab w:val="clear" w:pos="2381"/>
          <w:tab w:val="clear" w:pos="2948"/>
          <w:tab w:val="clear" w:pos="3515"/>
        </w:tabs>
        <w:ind w:left="1247"/>
        <w:rPr>
          <w:lang w:val="ru-RU"/>
        </w:rPr>
      </w:pPr>
      <w:r>
        <w:rPr>
          <w:lang w:val="ru-RU"/>
        </w:rPr>
        <w:t xml:space="preserve">Говоря о работе текущего совещания, г-жа Секи отметила, что предстоит рассмотреть ряд ключевых вопросов, в том числе техническое задание для исследования по вопросу о пополнении Многостороннего фонда для осуществления Монреальского протокола на период 2027–2029 годов, применение регулируемых веществ в качестве исходного сырья, галон 1301 и его дальнейшее использование в авиационном секторе, а также национальные и региональные инициативы в поддержку осуществления Кигалийской поправки к Протоколу. В ходе однодневного неофициального совещания, состоявшегося накануне, участники обсудили укрепление Протокола. Она выразила надежду на то, что диалог был полезным и воплотится в конкретные действия на текущем совещании. </w:t>
      </w:r>
    </w:p>
    <w:p w14:paraId="34D53805" w14:textId="51689739" w:rsidR="00F978AD" w:rsidRPr="0016643E" w:rsidRDefault="00F978AD" w:rsidP="004A497D">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 xml:space="preserve">Она напомнила, что на сорок седьмом совещании Рабочей группы открытого состава Сторон Монреальского протокола, состоявшемся в Бангкоке в июле 2025 года, сопредседатель Консультативного комитета Общего целевого фонда для финансирования связанной с Венской конвенцией об охране озонового слоя деятельности по проведению исследований и систематических наблюдений, выступил с сообщением, а секретариат представил </w:t>
      </w:r>
      <w:r w:rsidR="00412DE6">
        <w:rPr>
          <w:lang w:val="ru-RU"/>
        </w:rPr>
        <w:t xml:space="preserve">доклад </w:t>
      </w:r>
      <w:r>
        <w:rPr>
          <w:lang w:val="ru-RU"/>
        </w:rPr>
        <w:t>о ходе осуществления мероприятий, связанных с атмосферным мониторингом регулируемых веществ. На текущем совещании будет представлена дополнительная информация о работе, проведенной для оценки пригодности потенциальных мест для мониторинга региональных выбросов регулируемых веществ и уточнения сметы расходов на создание станций мониторинга. Группа по научной оценке и Группа по техническому обзору и экономической оценке представят свои обновленные доклады о выбросах гидрофторуглерода-23 (ГФУ-23), что даст возможность продемонстрировать оперативность Протокола в реагировании на возникающие угрозы. Наука остается основой Протокола, и устранение пробелов в атмосферном мониторинге станет жизненно важным шагом в дальнейшем укреплении Протокола и Венской конвенции.</w:t>
      </w:r>
    </w:p>
    <w:p w14:paraId="72D2F686" w14:textId="77777777" w:rsidR="00F978AD" w:rsidRPr="0016643E" w:rsidRDefault="00F978AD" w:rsidP="004A497D">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Наконец, в свете преобразующегося геополитического климата, растущих вызовов многостороннему подходу, финансовой неопределенности и меняющихся приоритетов Организация Объединенных Наций, включая ЮНЕП, приняла меры по повышению эффективности и подтверждению ценности многостороннего подхода. Секретариат также предпринял шаги по экономии средств, где это возможно, но при этом работал еще усерднее и с меньшим количеством сотрудников, чтобы обеспечить эффективность Монреальского протокола – договора, который является маяком надежды и доказательством действенности глобального сотрудничества.</w:t>
      </w:r>
    </w:p>
    <w:p w14:paraId="2248634D" w14:textId="74CD8543" w:rsidR="00C20895" w:rsidRPr="009B31CD" w:rsidRDefault="004A497D" w:rsidP="004928E4">
      <w:pPr>
        <w:pStyle w:val="CH1"/>
        <w:keepNext w:val="0"/>
        <w:keepLines w:val="0"/>
        <w:tabs>
          <w:tab w:val="clear" w:pos="1247"/>
          <w:tab w:val="clear" w:pos="1871"/>
          <w:tab w:val="clear" w:pos="2495"/>
          <w:tab w:val="clear" w:pos="3119"/>
          <w:tab w:val="clear" w:pos="3742"/>
          <w:tab w:val="clear" w:pos="4366"/>
          <w:tab w:val="clear" w:pos="4990"/>
        </w:tabs>
        <w:spacing w:before="0"/>
      </w:pPr>
      <w:r w:rsidRPr="00422FE2">
        <w:rPr>
          <w:bCs/>
          <w:lang w:val="ru-RU"/>
        </w:rPr>
        <w:tab/>
      </w:r>
      <w:r w:rsidR="005D30C7">
        <w:rPr>
          <w:bCs/>
          <w:lang w:val="ru-RU"/>
        </w:rPr>
        <w:t>II.</w:t>
      </w:r>
      <w:r w:rsidR="005D30C7">
        <w:rPr>
          <w:lang w:val="ru-RU"/>
        </w:rPr>
        <w:tab/>
      </w:r>
      <w:r w:rsidR="005D30C7">
        <w:rPr>
          <w:bCs/>
          <w:lang w:val="ru-RU"/>
        </w:rPr>
        <w:t>Организационные вопросы</w:t>
      </w:r>
    </w:p>
    <w:p w14:paraId="4E1634BF" w14:textId="0B7E63CA" w:rsidR="00261D36" w:rsidRPr="009B31CD" w:rsidRDefault="004A497D" w:rsidP="004928E4">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en-US"/>
        </w:rPr>
        <w:tab/>
      </w:r>
      <w:r w:rsidR="00B90544">
        <w:rPr>
          <w:bCs/>
          <w:lang w:val="ru-RU"/>
        </w:rPr>
        <w:t>A.</w:t>
      </w:r>
      <w:r w:rsidR="00B90544">
        <w:rPr>
          <w:lang w:val="ru-RU"/>
        </w:rPr>
        <w:tab/>
      </w:r>
      <w:r w:rsidR="00B90544">
        <w:rPr>
          <w:bCs/>
          <w:lang w:val="ru-RU"/>
        </w:rPr>
        <w:t>Участники</w:t>
      </w:r>
    </w:p>
    <w:p w14:paraId="44F270EF" w14:textId="10213814" w:rsidR="002F476F" w:rsidRPr="0016643E" w:rsidRDefault="002F476F" w:rsidP="004B4687">
      <w:pPr>
        <w:pStyle w:val="Normalnumber"/>
        <w:tabs>
          <w:tab w:val="clear" w:pos="624"/>
          <w:tab w:val="clear" w:pos="1247"/>
          <w:tab w:val="clear" w:pos="1814"/>
          <w:tab w:val="clear" w:pos="2381"/>
          <w:tab w:val="clear" w:pos="2948"/>
          <w:tab w:val="clear" w:pos="3515"/>
        </w:tabs>
        <w:ind w:left="1247"/>
        <w:rPr>
          <w:lang w:val="ru-RU"/>
        </w:rPr>
      </w:pPr>
      <w:r>
        <w:rPr>
          <w:lang w:val="ru-RU"/>
        </w:rPr>
        <w:t>Были представлены следующие Стороны Монреальского протокола: Австралия, Австрия, Азербайджан, Албания, Ангола, Аргентина, Армения, Бангладеш, Барбадос, Бахрейн, Белиз, Бельгия, Бенин, Босния и Герцеговина, Ботсвана, Бразилия, Бруней-Даруссалам, Буркина-Фасо, Бурунди, Бутан, Вануату, Вьетнам, Габон, Гаити, Гамбия, Гана, Гватемала, Гвинея, Гвинея-Бисау, Германия, Государство Палестина, Гренада, Грузия, Дания, Демократическая Республика Конго, Джибути, Доминика, Доминиканская Республика, Европейский союз, Египет, Замбия, Зимбабве, Израиль, Индия, Индонезия, Иордания, Ирак, Иран (Исламская Республика), Ирландия, Италия, Йемен, Казахстан, Камбоджа, Камерун, Канада, Катар, Кения, Кипр, Китай, Колумбия, Коморские Острова, Коста-Рика, Кот-д’Ивуар, Куба, Кувейт, Кыргызстан, Лаосская Народно-Демократическая Республика, Лесото, Либерия, Ливан, Ливия, Литва, Лихтенштейн, Люксембург, Маврикий, Мавритания, Мадагаскар, Малави, Малайзия, Мали, Мальдивские Острова, Марокко, Мексика, Микронезия (Федеративные Штаты), Мозамбик, Монголия, Мьянма, Намибия, Непал, Нидерланды (Королевство), Нигер, Нигерия, Никарагуа, Новая Зеландия, Норвегия, Объединенная Республика Танзания, Объединенные Арабские Эмираты, Оман, Острова Кука, Пакистан, Папуа – Новая Гвинея, Палау, Панама, Парагвай, Перу, Польша, Португалия, Республика Корея, Российская Федерация, Руанда, Сальвадор, Самоа, Саудовская Аравия, Святой Престол, Северная Македония, Сейшельские Острова, Сенегал, Сент-Китс и Невис, Сербия, Сингапур, Сирийская Арабская Республика, Словакия, Соединенное Королевство Великобритании и Северной Ирландии, Соединенные Штаты Америки, Соломоновы Острова, Сьерра-Леоне, Таджикистан, Таиланд, Тимор-Лешти, Того, Тунис, Турция,</w:t>
      </w:r>
      <w:r w:rsidR="007976E8">
        <w:rPr>
          <w:lang w:val="ru-RU"/>
        </w:rPr>
        <w:t xml:space="preserve"> Уганда</w:t>
      </w:r>
      <w:r w:rsidR="007976E8" w:rsidRPr="00CA756A">
        <w:rPr>
          <w:lang w:val="ru-RU"/>
        </w:rPr>
        <w:t>,</w:t>
      </w:r>
      <w:r>
        <w:rPr>
          <w:lang w:val="ru-RU"/>
        </w:rPr>
        <w:t xml:space="preserve"> Уругвай, Фиджи, Филиппины, Финляндия, Франция, Центральноафриканская Республика, Чад, Черногория, Чехия, Чили, Швейцария, Швеция, Шри-Ланка, Эквадор, Эсватини, Эстония, Южная Африка, Южный Судан, Ямайка и Япония.</w:t>
      </w:r>
    </w:p>
    <w:p w14:paraId="23E349BB" w14:textId="77777777" w:rsidR="002F476F" w:rsidRPr="0016643E" w:rsidRDefault="002F476F" w:rsidP="004B4687">
      <w:pPr>
        <w:pStyle w:val="Normalnumber"/>
        <w:tabs>
          <w:tab w:val="clear" w:pos="624"/>
          <w:tab w:val="clear" w:pos="1247"/>
          <w:tab w:val="clear" w:pos="1814"/>
          <w:tab w:val="clear" w:pos="2381"/>
          <w:tab w:val="clear" w:pos="2948"/>
          <w:tab w:val="clear" w:pos="3515"/>
        </w:tabs>
        <w:ind w:left="1247"/>
        <w:rPr>
          <w:lang w:val="ru-RU"/>
        </w:rPr>
      </w:pPr>
      <w:r>
        <w:rPr>
          <w:lang w:val="ru-RU"/>
        </w:rPr>
        <w:t>Были представлены следующие органы и специализированные учреждения Организации Объединенных Наций: секретариат Многостороннего фонда для осуществления Монреальского протокола, секретариат Базельской, Роттердамской и Стокгольмской конвенций, Программа развития Организации Объединенных Наций, ЮНЕП, Организация Объединенных Наций по промышленному развитию, Всемирный банк, Всемирная таможенная организация и Всемирная Метеорологическая Организация. Были также представлены группы по оценке в рамках Монреальского протокола.</w:t>
      </w:r>
    </w:p>
    <w:p w14:paraId="61905AA8" w14:textId="52956316" w:rsidR="002F476F" w:rsidRPr="00422FE2" w:rsidRDefault="002F476F" w:rsidP="004B468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Были также представлены следующие межправительственные, неправительственные, промышленные, научные и другие органы: «Эй-газ (Австралия)»; Альянс за ответственную атмосферную политику; Ассоциация компаний, занимающихся поставкой, упаковкой, </w:t>
      </w:r>
      <w:r>
        <w:rPr>
          <w:lang w:val="ru-RU"/>
        </w:rPr>
        <w:lastRenderedPageBreak/>
        <w:t>рекуперацией и рециркуляцией охлаждающих веществ; Лаборатория по сокращению выбросов углерода; Центр экологической справедливости и развития; «Кеморз» (Бельгия); основная группа «Дети и молодежь»; Программа сотрудничества в области маркировки и стандартизации бытовых приборов (КЛАСП); «Дайкин»; «Дайкин Индастриз»; «Данфосс А/С» (Дания); Германское агентство по международному сотрудничеству; Агентство по расследованиям в области охраны окружающей среды; «Гленкоу стрэтэджиз»; «Глобал полиси ассошиэйтс»; «Гайдхаус» (Германия); Совет сотрудничества арабских государств Залива; «Айфорест»; Научно-исследовательский институт промышленной технологии; Институт энергетических и климатических стратегий; Институт управления и устойчивого развития; Международная энергетическая инициатива; Международный институт холода; «Лабтек интернeшнл»; Лига арабских государств; Университет Лейдена; Промышленная ассоциация по охране озонового слоя провинции Манитоба; Корпорация «МЕБРОМ»; «Мексикем юкей»; Совет по охране природных ресурсов; «Экорешерш»; Центр зарубежного экологического сотрудничества; Ассоциация производителей охлаждающих газов; «Рефриджерант риклейм (Австралия)»; «Рефриджерант</w:t>
      </w:r>
      <w:r w:rsidR="007976E8">
        <w:rPr>
          <w:lang w:val="ru-RU"/>
        </w:rPr>
        <w:t>с</w:t>
      </w:r>
      <w:r>
        <w:rPr>
          <w:lang w:val="ru-RU"/>
        </w:rPr>
        <w:t xml:space="preserve"> </w:t>
      </w:r>
      <w:r w:rsidR="007976E8">
        <w:rPr>
          <w:lang w:val="ru-RU"/>
        </w:rPr>
        <w:t>(Австралия)</w:t>
      </w:r>
      <w:r>
        <w:rPr>
          <w:lang w:val="ru-RU"/>
        </w:rPr>
        <w:t>»; «Ренердж рисорсез»; «Сименс энерджи»; «Силверлайнинг»; организация «Решения для нашего климата»; организация «Эс-ар-эй-дев»; «Эс-эр-эф»; инициатива «Устойчивая энергетика для всех»; «Сустана кулинг партнерс»; Комиссия по вопросам энергетики; Японская ассоциация производителей холодильного оборудования и систем кондиционирования воздуха; и «Трейдуотер». На совещании также присутствовали несколько независимых экспертов.</w:t>
      </w:r>
    </w:p>
    <w:p w14:paraId="79F2C30F" w14:textId="0AC6E705" w:rsidR="00C20895" w:rsidRPr="0016643E" w:rsidRDefault="004A497D" w:rsidP="004928E4">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tab/>
      </w:r>
      <w:r w:rsidR="00B90544">
        <w:rPr>
          <w:bCs/>
          <w:lang w:val="ru-RU"/>
        </w:rPr>
        <w:t>B.</w:t>
      </w:r>
      <w:r w:rsidR="00B90544">
        <w:rPr>
          <w:lang w:val="ru-RU"/>
        </w:rPr>
        <w:tab/>
      </w:r>
      <w:r w:rsidR="00B90544">
        <w:rPr>
          <w:bCs/>
          <w:lang w:val="ru-RU"/>
        </w:rPr>
        <w:t>Утверждение повестки дня подготовительного сегмента</w:t>
      </w:r>
    </w:p>
    <w:p w14:paraId="71320318" w14:textId="77777777" w:rsidR="00F978AD" w:rsidRPr="0016643E" w:rsidRDefault="00F978AD" w:rsidP="00D76525">
      <w:pPr>
        <w:pStyle w:val="Normalnumber"/>
        <w:tabs>
          <w:tab w:val="clear" w:pos="624"/>
          <w:tab w:val="clear" w:pos="1247"/>
          <w:tab w:val="clear" w:pos="1814"/>
          <w:tab w:val="clear" w:pos="2381"/>
          <w:tab w:val="clear" w:pos="2948"/>
          <w:tab w:val="clear" w:pos="3515"/>
        </w:tabs>
        <w:rPr>
          <w:lang w:val="ru-RU"/>
        </w:rPr>
      </w:pPr>
      <w:r>
        <w:rPr>
          <w:lang w:val="ru-RU"/>
        </w:rPr>
        <w:t xml:space="preserve">Представляя предварительную повестку дня подготовительного сегмента, изложенную в документе UNEP/OzL.Pro.37/1, сопредседатель сообщила, что 30 октября 2025 года секретариат был уведомлен о том, что Государство Палестина желает отложить рассмотрение пункта повестки дня «Отнесение Государства Палестина к числу Сторон, действующих в рамках пункта 1 статьи 5 Монреальского протокола, и доступ к поддержке от Многостороннего фонда», до тридцать восьмого Совещания Сторон. Стороны постановили отложить рассмотрение этого вопроса до тридцать восьмого Совещания Сторон. </w:t>
      </w:r>
    </w:p>
    <w:p w14:paraId="26AD9819" w14:textId="77777777" w:rsidR="00F242FF" w:rsidRPr="0016643E" w:rsidRDefault="00261D36" w:rsidP="00D76525">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Представитель Государства Палестина заявил, что, принимая во внимание обсуждения на сорок седьмом совещании Рабочей группы открытого состава Сторон Монреальского протокола, его делегация просила отложить рассмотрение этого пункта повестки дня, чтобы получить дополнительное время и провести консультации для достижения консенсуса по данному вопросу. </w:t>
      </w:r>
    </w:p>
    <w:p w14:paraId="6CB0AB9B" w14:textId="77777777" w:rsidR="00F978AD" w:rsidRPr="009B31CD" w:rsidRDefault="00F242FF" w:rsidP="00D76525">
      <w:pPr>
        <w:pStyle w:val="Normalnumber"/>
        <w:tabs>
          <w:tab w:val="clear" w:pos="624"/>
          <w:tab w:val="clear" w:pos="1247"/>
          <w:tab w:val="clear" w:pos="1814"/>
          <w:tab w:val="clear" w:pos="2381"/>
          <w:tab w:val="clear" w:pos="2948"/>
          <w:tab w:val="clear" w:pos="3515"/>
        </w:tabs>
        <w:ind w:left="1247"/>
      </w:pPr>
      <w:r>
        <w:rPr>
          <w:lang w:val="ru-RU"/>
        </w:rPr>
        <w:t>Один представитель заявил о желании подтвердить и повторить общие замечания и оговорки своей делегации, сделанные ранее по вопросам, связанным с рассматриваемым пунктом повестки дня. Другой представитель заявил о желании повторить положения, озвученные его делегацией на предыдущих совещаниях, включая сорок седьмое совещание Рабочей группы открытого состава, о том, что рассмотрение данного пункта повестки дня будет связано с обсуждением отнесения Сторон, действующих в рамках пункта 1 статьи 5 (Стороны, действующие в рамках статьи 5), в более общем плане. Один представитель подчеркнула, что обсуждения должны оставаться конструктивными и сосредоточенными на технических вопросах, что следует избегать включения более широких, политизированных вопросов и что развивающиеся страны из числа Сторон, действующих в рамках статьи 5, имеют право на финансовую и техническую помощь для содействия осуществлению Монреальского протокола.</w:t>
      </w:r>
    </w:p>
    <w:p w14:paraId="50B43FCF" w14:textId="77777777" w:rsidR="00F978AD" w:rsidRPr="0016643E" w:rsidRDefault="00F978AD" w:rsidP="00D76525">
      <w:pPr>
        <w:pStyle w:val="Normalnumber"/>
        <w:tabs>
          <w:tab w:val="clear" w:pos="624"/>
          <w:tab w:val="clear" w:pos="1247"/>
          <w:tab w:val="clear" w:pos="1814"/>
          <w:tab w:val="clear" w:pos="2381"/>
          <w:tab w:val="clear" w:pos="2948"/>
          <w:tab w:val="clear" w:pos="3515"/>
        </w:tabs>
        <w:ind w:left="1247"/>
        <w:rPr>
          <w:lang w:val="ru-RU"/>
        </w:rPr>
      </w:pPr>
      <w:r>
        <w:rPr>
          <w:lang w:val="ru-RU"/>
        </w:rPr>
        <w:t>Изложенная ниже повестка дня подготовительного сегмента была утверждена на основе предварительной повестки дня, содержащейся в документе UNEP/OzL.Pro.37/1, с внесенными в нее устными поправками:</w:t>
      </w:r>
    </w:p>
    <w:p w14:paraId="2E00D49F" w14:textId="3FB8048A" w:rsidR="00F978AD" w:rsidRPr="009B31CD"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pPr>
      <w:r>
        <w:rPr>
          <w:lang w:val="ru-RU"/>
        </w:rPr>
        <w:t>Открытие подготовительного сегмента</w:t>
      </w:r>
    </w:p>
    <w:p w14:paraId="70E9AB3B" w14:textId="77777777" w:rsidR="00F978AD" w:rsidRPr="009B31CD"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pPr>
      <w:r>
        <w:rPr>
          <w:lang w:val="ru-RU"/>
        </w:rPr>
        <w:t>Организационные вопросы:</w:t>
      </w:r>
    </w:p>
    <w:p w14:paraId="4F5ADD9C" w14:textId="77777777" w:rsidR="00F978AD" w:rsidRPr="0016643E" w:rsidRDefault="00F978AD" w:rsidP="00D76525">
      <w:pPr>
        <w:pStyle w:val="NormalNonumber"/>
        <w:numPr>
          <w:ilvl w:val="0"/>
          <w:numId w:val="17"/>
        </w:numPr>
        <w:tabs>
          <w:tab w:val="clear" w:pos="624"/>
          <w:tab w:val="clear" w:pos="1247"/>
          <w:tab w:val="clear" w:pos="1871"/>
          <w:tab w:val="clear" w:pos="2495"/>
          <w:tab w:val="clear" w:pos="3119"/>
          <w:tab w:val="clear" w:pos="3742"/>
          <w:tab w:val="clear" w:pos="4366"/>
          <w:tab w:val="clear" w:pos="4990"/>
        </w:tabs>
        <w:ind w:left="3119" w:hanging="624"/>
        <w:rPr>
          <w:lang w:val="ru-RU"/>
        </w:rPr>
      </w:pPr>
      <w:r>
        <w:rPr>
          <w:lang w:val="ru-RU"/>
        </w:rPr>
        <w:t>утверждение повестки дня подготовительного сегмента;</w:t>
      </w:r>
    </w:p>
    <w:p w14:paraId="6BF48827" w14:textId="77777777" w:rsidR="00F978AD" w:rsidRPr="009B31CD" w:rsidRDefault="00F978AD" w:rsidP="00D76525">
      <w:pPr>
        <w:pStyle w:val="NormalNonumber"/>
        <w:numPr>
          <w:ilvl w:val="0"/>
          <w:numId w:val="17"/>
        </w:numPr>
        <w:tabs>
          <w:tab w:val="clear" w:pos="624"/>
          <w:tab w:val="clear" w:pos="1247"/>
          <w:tab w:val="clear" w:pos="1871"/>
          <w:tab w:val="clear" w:pos="2495"/>
          <w:tab w:val="clear" w:pos="3119"/>
          <w:tab w:val="clear" w:pos="3742"/>
          <w:tab w:val="clear" w:pos="4366"/>
          <w:tab w:val="clear" w:pos="4990"/>
        </w:tabs>
        <w:ind w:left="3119" w:hanging="624"/>
      </w:pPr>
      <w:r>
        <w:rPr>
          <w:lang w:val="ru-RU"/>
        </w:rPr>
        <w:t>организация работы</w:t>
      </w:r>
    </w:p>
    <w:p w14:paraId="1F18423F" w14:textId="77777777" w:rsidR="00F978AD" w:rsidRPr="009B31CD"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pPr>
      <w:r>
        <w:rPr>
          <w:lang w:val="ru-RU"/>
        </w:rPr>
        <w:t>Административные вопросы:</w:t>
      </w:r>
    </w:p>
    <w:p w14:paraId="00B22AF4" w14:textId="77777777" w:rsidR="00F978AD" w:rsidRPr="00895200" w:rsidRDefault="00F978AD" w:rsidP="00D76525">
      <w:pPr>
        <w:pStyle w:val="NormalNonumber"/>
        <w:numPr>
          <w:ilvl w:val="0"/>
          <w:numId w:val="18"/>
        </w:numPr>
        <w:tabs>
          <w:tab w:val="clear" w:pos="624"/>
          <w:tab w:val="clear" w:pos="1247"/>
          <w:tab w:val="clear" w:pos="1871"/>
          <w:tab w:val="clear" w:pos="2495"/>
          <w:tab w:val="clear" w:pos="3119"/>
          <w:tab w:val="clear" w:pos="3742"/>
          <w:tab w:val="clear" w:pos="4366"/>
          <w:tab w:val="clear" w:pos="4990"/>
        </w:tabs>
        <w:ind w:left="3119" w:hanging="624"/>
        <w:rPr>
          <w:lang w:val="ru-RU"/>
        </w:rPr>
      </w:pPr>
      <w:r>
        <w:rPr>
          <w:lang w:val="ru-RU"/>
        </w:rPr>
        <w:t>бюджет Целевого фонда для Монреальского протокола и финансовые доклады;</w:t>
      </w:r>
    </w:p>
    <w:p w14:paraId="4E2691BB" w14:textId="77777777" w:rsidR="00F978AD" w:rsidRPr="0016643E" w:rsidRDefault="00F978AD" w:rsidP="00D76525">
      <w:pPr>
        <w:pStyle w:val="NormalNonumber"/>
        <w:numPr>
          <w:ilvl w:val="0"/>
          <w:numId w:val="18"/>
        </w:numPr>
        <w:tabs>
          <w:tab w:val="clear" w:pos="624"/>
          <w:tab w:val="clear" w:pos="1247"/>
          <w:tab w:val="clear" w:pos="1871"/>
          <w:tab w:val="clear" w:pos="2495"/>
          <w:tab w:val="clear" w:pos="3119"/>
          <w:tab w:val="clear" w:pos="3742"/>
          <w:tab w:val="clear" w:pos="4366"/>
          <w:tab w:val="clear" w:pos="4990"/>
        </w:tabs>
        <w:ind w:left="3119" w:hanging="624"/>
        <w:rPr>
          <w:lang w:val="ru-RU"/>
        </w:rPr>
      </w:pPr>
      <w:r>
        <w:rPr>
          <w:lang w:val="ru-RU"/>
        </w:rPr>
        <w:lastRenderedPageBreak/>
        <w:t xml:space="preserve">рассмотрение вопроса о членском составе органов Монреальского протокола на 2026 год: </w:t>
      </w:r>
    </w:p>
    <w:p w14:paraId="38B18A87" w14:textId="77777777" w:rsidR="00F978AD" w:rsidRPr="0016643E" w:rsidRDefault="00F978AD" w:rsidP="00D76525">
      <w:pPr>
        <w:pStyle w:val="NormalNonumber"/>
        <w:numPr>
          <w:ilvl w:val="1"/>
          <w:numId w:val="19"/>
        </w:numPr>
        <w:tabs>
          <w:tab w:val="clear" w:pos="624"/>
          <w:tab w:val="clear" w:pos="1247"/>
          <w:tab w:val="clear" w:pos="1871"/>
          <w:tab w:val="clear" w:pos="2495"/>
          <w:tab w:val="clear" w:pos="3119"/>
          <w:tab w:val="clear" w:pos="3742"/>
          <w:tab w:val="clear" w:pos="4366"/>
          <w:tab w:val="clear" w:pos="4990"/>
        </w:tabs>
        <w:ind w:left="3743" w:hanging="624"/>
        <w:rPr>
          <w:lang w:val="ru-RU"/>
        </w:rPr>
      </w:pPr>
      <w:r>
        <w:rPr>
          <w:lang w:val="ru-RU"/>
        </w:rPr>
        <w:t>членский состав Комитета по выполнению в рамках процедуры, касающейся несоблюдения Монреальского протокола;</w:t>
      </w:r>
    </w:p>
    <w:p w14:paraId="0E1C28F3" w14:textId="77777777" w:rsidR="00F978AD" w:rsidRPr="0016643E" w:rsidRDefault="00F978AD" w:rsidP="00D76525">
      <w:pPr>
        <w:pStyle w:val="NormalNonumber"/>
        <w:numPr>
          <w:ilvl w:val="1"/>
          <w:numId w:val="19"/>
        </w:numPr>
        <w:tabs>
          <w:tab w:val="clear" w:pos="624"/>
          <w:tab w:val="clear" w:pos="1247"/>
          <w:tab w:val="clear" w:pos="1871"/>
          <w:tab w:val="clear" w:pos="2495"/>
          <w:tab w:val="clear" w:pos="3119"/>
          <w:tab w:val="clear" w:pos="3742"/>
          <w:tab w:val="clear" w:pos="4366"/>
          <w:tab w:val="clear" w:pos="4990"/>
        </w:tabs>
        <w:ind w:left="3743" w:hanging="624"/>
        <w:rPr>
          <w:lang w:val="ru-RU"/>
        </w:rPr>
      </w:pPr>
      <w:r>
        <w:rPr>
          <w:lang w:val="ru-RU"/>
        </w:rPr>
        <w:t>членский состав Исполнительного комитета Многостороннего фонда для осуществления Монреальского протокола;</w:t>
      </w:r>
    </w:p>
    <w:p w14:paraId="695BA5D3" w14:textId="1193003F" w:rsidR="00F978AD" w:rsidRPr="0016643E" w:rsidRDefault="00F978AD" w:rsidP="00D76525">
      <w:pPr>
        <w:pStyle w:val="NormalNonumber"/>
        <w:numPr>
          <w:ilvl w:val="1"/>
          <w:numId w:val="19"/>
        </w:numPr>
        <w:tabs>
          <w:tab w:val="clear" w:pos="624"/>
          <w:tab w:val="clear" w:pos="1247"/>
          <w:tab w:val="clear" w:pos="1871"/>
          <w:tab w:val="clear" w:pos="2495"/>
          <w:tab w:val="clear" w:pos="3119"/>
          <w:tab w:val="clear" w:pos="3742"/>
          <w:tab w:val="clear" w:pos="4366"/>
          <w:tab w:val="clear" w:pos="4990"/>
        </w:tabs>
        <w:ind w:left="3743" w:hanging="624"/>
        <w:rPr>
          <w:lang w:val="ru-RU"/>
        </w:rPr>
      </w:pPr>
      <w:r>
        <w:rPr>
          <w:lang w:val="ru-RU"/>
        </w:rPr>
        <w:t>сопредседатели Рабочей группы открытого состава</w:t>
      </w:r>
    </w:p>
    <w:p w14:paraId="7BF58EA7" w14:textId="4F7D29C2"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Техническое задание для исследования по вопросу о пополнении Многостороннего фонда для осуществления Монреальского протокола на период 2027–2029 годов</w:t>
      </w:r>
    </w:p>
    <w:p w14:paraId="166E984D" w14:textId="0FB7CC26"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Выбросы гидрофторуглерода-23 (ГФУ-23) (решение XXXVI/3)</w:t>
      </w:r>
    </w:p>
    <w:p w14:paraId="2BD59093" w14:textId="191F8B06"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Усиление регионального атмосферного мониторинга веществ, регулируемых в рамках Монреальского протокола (решение XXXVI/1)</w:t>
      </w:r>
    </w:p>
    <w:p w14:paraId="3B181FA2" w14:textId="6A252803" w:rsidR="00F978AD" w:rsidRPr="0016643E" w:rsidRDefault="00F978AD" w:rsidP="0039780D">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Проведение исследований и разработка стратегий для поиска среднесрочных и долгосрочных решений проблемы значительного накопления запасов газообразных хладагентов, находящихся на завершающем этапе жизненного цикла, в странах, действующих в рамках пункта 1 статьи 5 Монреальского протокола</w:t>
      </w:r>
    </w:p>
    <w:p w14:paraId="27826797" w14:textId="2E7CFC31"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Применение регулируемых веществ в качестве исходного сырья</w:t>
      </w:r>
    </w:p>
    <w:p w14:paraId="50CCC83F" w14:textId="3ABE3073"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Галон 1301 и его продолжающееся использование в авиационной промышленности; обращение с другими регулируемыми веществами, используемыми для пожаротушения</w:t>
      </w:r>
    </w:p>
    <w:p w14:paraId="5B2B0229" w14:textId="2D557E80"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Национальные и региональные инициативы в поддержку осуществления Кигалийской поправки к Монреальскому протоколу</w:t>
      </w:r>
    </w:p>
    <w:p w14:paraId="1BFEC09B" w14:textId="77777777"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Организационные вопросы Группы по техническому обзору и экономической оценке:</w:t>
      </w:r>
    </w:p>
    <w:p w14:paraId="172FA864" w14:textId="77777777" w:rsidR="00F978AD" w:rsidRPr="0016643E" w:rsidRDefault="00F978AD" w:rsidP="00D76525">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3119" w:hanging="624"/>
        <w:rPr>
          <w:lang w:val="ru-RU"/>
        </w:rPr>
      </w:pPr>
      <w:r>
        <w:rPr>
          <w:lang w:val="ru-RU"/>
        </w:rPr>
        <w:t>варианты организации работы Группы по техническому обзору и экономической оценке и ее комитетов по техническим вариантам замены (решение XXXV/20);</w:t>
      </w:r>
    </w:p>
    <w:p w14:paraId="1A5BD301" w14:textId="43E2BC5B" w:rsidR="00F978AD" w:rsidRPr="0016643E" w:rsidRDefault="00F978AD" w:rsidP="00D76525">
      <w:pPr>
        <w:pStyle w:val="NormalNonumber"/>
        <w:numPr>
          <w:ilvl w:val="0"/>
          <w:numId w:val="20"/>
        </w:numPr>
        <w:tabs>
          <w:tab w:val="clear" w:pos="624"/>
          <w:tab w:val="clear" w:pos="1247"/>
          <w:tab w:val="clear" w:pos="1871"/>
          <w:tab w:val="clear" w:pos="2495"/>
          <w:tab w:val="clear" w:pos="3119"/>
          <w:tab w:val="clear" w:pos="3742"/>
          <w:tab w:val="clear" w:pos="4366"/>
          <w:tab w:val="clear" w:pos="4990"/>
        </w:tabs>
        <w:ind w:left="3119" w:hanging="624"/>
        <w:rPr>
          <w:lang w:val="ru-RU"/>
        </w:rPr>
      </w:pPr>
      <w:r>
        <w:rPr>
          <w:lang w:val="ru-RU"/>
        </w:rPr>
        <w:t>изменения в членском составе Группы по техническому обзору и экономической оценке</w:t>
      </w:r>
    </w:p>
    <w:p w14:paraId="4FBA9C90" w14:textId="26C3B9AF"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Дальнейшее укрепление учреждений Монреальского протокола (решение</w:t>
      </w:r>
      <w:r w:rsidR="00225992">
        <w:rPr>
          <w:lang w:val="ru-RU"/>
        </w:rPr>
        <w:t> </w:t>
      </w:r>
      <w:r>
        <w:rPr>
          <w:lang w:val="ru-RU"/>
        </w:rPr>
        <w:t>XXXVI/9)</w:t>
      </w:r>
    </w:p>
    <w:p w14:paraId="451519ED" w14:textId="2370995C"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 xml:space="preserve">Вопросы соблюдения и представления </w:t>
      </w:r>
      <w:r w:rsidR="00B53BF8">
        <w:rPr>
          <w:lang w:val="ru-RU"/>
        </w:rPr>
        <w:t>данных</w:t>
      </w:r>
      <w:r>
        <w:rPr>
          <w:lang w:val="ru-RU"/>
        </w:rPr>
        <w:t>: работа и рекомендации Комитета по выполнению</w:t>
      </w:r>
    </w:p>
    <w:p w14:paraId="55907C3A" w14:textId="351CBC0A" w:rsidR="00F978AD" w:rsidRPr="0016643E"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rPr>
          <w:lang w:val="ru-RU"/>
        </w:rPr>
      </w:pPr>
      <w:r>
        <w:rPr>
          <w:lang w:val="ru-RU"/>
        </w:rPr>
        <w:t>Положение дел с ратификацией Кигалийской поправки</w:t>
      </w:r>
    </w:p>
    <w:p w14:paraId="22FAA2D3" w14:textId="77777777" w:rsidR="00F978AD" w:rsidRPr="009B31CD" w:rsidRDefault="00F978AD" w:rsidP="00D76525">
      <w:pPr>
        <w:pStyle w:val="NormalNonumber"/>
        <w:numPr>
          <w:ilvl w:val="0"/>
          <w:numId w:val="16"/>
        </w:numPr>
        <w:tabs>
          <w:tab w:val="clear" w:pos="624"/>
          <w:tab w:val="clear" w:pos="1247"/>
          <w:tab w:val="clear" w:pos="1871"/>
          <w:tab w:val="clear" w:pos="2495"/>
          <w:tab w:val="clear" w:pos="3119"/>
          <w:tab w:val="clear" w:pos="3742"/>
          <w:tab w:val="clear" w:pos="4366"/>
          <w:tab w:val="clear" w:pos="4990"/>
        </w:tabs>
        <w:ind w:left="2495" w:hanging="624"/>
      </w:pPr>
      <w:r>
        <w:rPr>
          <w:lang w:val="ru-RU"/>
        </w:rPr>
        <w:t xml:space="preserve">Прочие вопросы. </w:t>
      </w:r>
    </w:p>
    <w:p w14:paraId="044545C2" w14:textId="77777777" w:rsidR="00F978AD" w:rsidRPr="0016643E" w:rsidRDefault="00F978AD" w:rsidP="00D76525">
      <w:pPr>
        <w:pStyle w:val="Normalnumber"/>
        <w:tabs>
          <w:tab w:val="clear" w:pos="624"/>
          <w:tab w:val="clear" w:pos="1247"/>
          <w:tab w:val="clear" w:pos="1814"/>
          <w:tab w:val="clear" w:pos="2381"/>
          <w:tab w:val="clear" w:pos="2948"/>
          <w:tab w:val="clear" w:pos="3515"/>
        </w:tabs>
        <w:ind w:left="1247"/>
        <w:rPr>
          <w:lang w:val="ru-RU"/>
        </w:rPr>
      </w:pPr>
      <w:r>
        <w:rPr>
          <w:lang w:val="ru-RU"/>
        </w:rPr>
        <w:t>В рамках пункта 15 повестки дня «Прочие вопросы» Стороны постановили рассмотреть предложение Соединенных Штатов Америки по вопросу об оптимизации графика совещаний Монреальского протокола и связанной с ним работы секретариата по озону.</w:t>
      </w:r>
    </w:p>
    <w:p w14:paraId="7091D36E" w14:textId="16C982E7" w:rsidR="00C20895" w:rsidRPr="009B31CD" w:rsidRDefault="00F719B2" w:rsidP="004928E4">
      <w:pPr>
        <w:pStyle w:val="CH2"/>
        <w:keepNext w:val="0"/>
        <w:keepLines w:val="0"/>
        <w:tabs>
          <w:tab w:val="clear" w:pos="1247"/>
          <w:tab w:val="clear" w:pos="1871"/>
          <w:tab w:val="clear" w:pos="2495"/>
          <w:tab w:val="clear" w:pos="3119"/>
          <w:tab w:val="clear" w:pos="3742"/>
          <w:tab w:val="clear" w:pos="4366"/>
          <w:tab w:val="clear" w:pos="4990"/>
        </w:tabs>
        <w:spacing w:before="0"/>
        <w:ind w:right="284"/>
      </w:pPr>
      <w:r>
        <w:rPr>
          <w:bCs/>
          <w:lang w:val="ru-RU"/>
        </w:rPr>
        <w:tab/>
      </w:r>
      <w:r w:rsidR="00847AF4">
        <w:rPr>
          <w:bCs/>
          <w:lang w:val="ru-RU"/>
        </w:rPr>
        <w:t>C.</w:t>
      </w:r>
      <w:r w:rsidR="00847AF4">
        <w:rPr>
          <w:lang w:val="ru-RU"/>
        </w:rPr>
        <w:tab/>
      </w:r>
      <w:r w:rsidR="00847AF4">
        <w:rPr>
          <w:bCs/>
          <w:lang w:val="ru-RU"/>
        </w:rPr>
        <w:t>Организация работы</w:t>
      </w:r>
    </w:p>
    <w:p w14:paraId="25690665" w14:textId="77777777" w:rsidR="00F978AD" w:rsidRPr="0016643E" w:rsidRDefault="00F978AD" w:rsidP="00F719B2">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 xml:space="preserve">Стороны постановили следовать своей обычной процедуре и по мере необходимости формировать контактные или неофициальные группы, а также избегать, насколько это возможно, проведения совещаний контактных или неофициальных групп параллельно друг с другом. </w:t>
      </w:r>
    </w:p>
    <w:p w14:paraId="492705AA" w14:textId="4BAF83C0" w:rsidR="00C20895" w:rsidRPr="00895200" w:rsidRDefault="00F719B2" w:rsidP="00F719B2">
      <w:pPr>
        <w:pStyle w:val="CH1"/>
        <w:tabs>
          <w:tab w:val="clear" w:pos="1247"/>
          <w:tab w:val="clear" w:pos="1871"/>
          <w:tab w:val="clear" w:pos="2495"/>
          <w:tab w:val="clear" w:pos="3119"/>
          <w:tab w:val="clear" w:pos="3742"/>
          <w:tab w:val="clear" w:pos="4366"/>
          <w:tab w:val="clear" w:pos="4990"/>
        </w:tabs>
        <w:spacing w:before="0"/>
        <w:rPr>
          <w:lang w:val="ru-RU"/>
        </w:rPr>
      </w:pPr>
      <w:r>
        <w:rPr>
          <w:bCs/>
          <w:lang w:val="ru-RU"/>
        </w:rPr>
        <w:lastRenderedPageBreak/>
        <w:tab/>
      </w:r>
      <w:r w:rsidR="005D30C7">
        <w:rPr>
          <w:bCs/>
          <w:lang w:val="ru-RU"/>
        </w:rPr>
        <w:t>III.</w:t>
      </w:r>
      <w:r w:rsidR="005D30C7">
        <w:rPr>
          <w:lang w:val="ru-RU"/>
        </w:rPr>
        <w:tab/>
      </w:r>
      <w:r w:rsidR="005D30C7">
        <w:rPr>
          <w:bCs/>
          <w:lang w:val="ru-RU"/>
        </w:rPr>
        <w:t>Административные вопросы</w:t>
      </w:r>
    </w:p>
    <w:p w14:paraId="791134B4" w14:textId="275E408E" w:rsidR="00C20895" w:rsidRPr="00895200" w:rsidRDefault="00F719B2" w:rsidP="00F719B2">
      <w:pPr>
        <w:pStyle w:val="CH2"/>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912622">
        <w:rPr>
          <w:bCs/>
          <w:lang w:val="ru-RU"/>
        </w:rPr>
        <w:t>A.</w:t>
      </w:r>
      <w:r w:rsidR="00912622">
        <w:rPr>
          <w:lang w:val="ru-RU"/>
        </w:rPr>
        <w:tab/>
      </w:r>
      <w:r w:rsidR="00912622">
        <w:rPr>
          <w:bCs/>
          <w:lang w:val="ru-RU"/>
        </w:rPr>
        <w:t>Бюджет Целевого фонда для Монреальского протокола и финансовые доклады</w:t>
      </w:r>
    </w:p>
    <w:p w14:paraId="241FD773" w14:textId="77777777" w:rsidR="00F978AD" w:rsidRPr="00895200" w:rsidRDefault="00F978AD" w:rsidP="0039780D">
      <w:pPr>
        <w:pStyle w:val="Normalnumber"/>
        <w:tabs>
          <w:tab w:val="clear" w:pos="624"/>
          <w:tab w:val="clear" w:pos="1247"/>
          <w:tab w:val="clear" w:pos="1814"/>
          <w:tab w:val="clear" w:pos="2381"/>
          <w:tab w:val="clear" w:pos="2948"/>
          <w:tab w:val="clear" w:pos="3515"/>
        </w:tabs>
        <w:ind w:left="1247"/>
        <w:rPr>
          <w:lang w:val="ru-RU"/>
        </w:rPr>
      </w:pPr>
      <w:r>
        <w:rPr>
          <w:lang w:val="ru-RU"/>
        </w:rPr>
        <w:t>Внося на рассмотрение этот пункт, сопредседатель обратила внимание на информацию, изложенную в пунктах 11–16 записки секретариата о вопросах для обсуждения и информации к сведению участников тридцать седьмого Совещания Сторон Монреальского протокола (UNEP/OzL.Pro.37/2); записки секретариата о предлагаемых бюджетах Целевого фонда для Монреальского протокола на 2026 и 2027 годы (UNEP/OzL.Pro.37/4) и о финансовом докладе о целевых фондах для Венской конвенции и Монреальского протокола за 2024 финансовый год (UNEP/OzL.Pro.37/5). Она также обратила внимание на записки секретариата «Утвержденный бюджет на 2026 год Целевого фонда для Монреальского протокола по веществам, разрушающим озоновый слой: фактологические бюллетени» (UNEP/OzL.Pro.37/INF/1) и «Финансовый доклад о целевых фондах для Венской конвенции об охране озонового слоя и для Монреальского протокола по веществам, разрушающим озоновый слой: обновленный ориентировочный финансовый доклад за 2025 год по состоянию на 30 сентября 2025 года» (UNEP/OzL.Pro.37/INF/2). Проект решения по этому вопросу изложен в документе UNEP/OzL.Pro.37/3 (проект решения XXXVII/[AA]). Документы UNEP/OzL.Pro.37/4, UNEP/OzL.Pro.37/5 и UNEP/OzL.Pro.37/INF/1 были опубликованы для ознакомления Сторон на портале совещаний за три месяца до текущего совещания.</w:t>
      </w:r>
    </w:p>
    <w:p w14:paraId="74992C91" w14:textId="77777777" w:rsidR="00F978AD" w:rsidRPr="00895200" w:rsidRDefault="00F978AD" w:rsidP="00F719B2">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придерживаться обычного порядка и создали комитет по бюджету для рассмотрения предлагаемого бюджета Целевого фонда для Монреальского протокола и финансовых докладов о целевых фондах для Венской конвенции и для Монреальского протокола и подготовки проекта решения для рассмотрения Сторонами. Было решено, что комитету в его работе будут содействовать Себастьян Шнац (Германия) и Райан Оой Чан Вей (Малайзия).</w:t>
      </w:r>
    </w:p>
    <w:p w14:paraId="334FB60E" w14:textId="77777777" w:rsidR="006B128A" w:rsidRPr="00895200" w:rsidRDefault="006B128A"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Впоследствии сопредседатель сообщил, что комитет по бюджету завершил свою работу и подготовил проект решения и бюджета для рассмотрения Сторонами. Стороны постановили направить этот проект решения на дальнейшее рассмотрение для возможного принятия в ходе сегмента высокого уровня. </w:t>
      </w:r>
    </w:p>
    <w:p w14:paraId="140808D6" w14:textId="75196D22" w:rsidR="00F978AD" w:rsidRPr="00895200" w:rsidRDefault="00B574CC" w:rsidP="004928E4">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F978AD">
        <w:rPr>
          <w:bCs/>
          <w:lang w:val="ru-RU"/>
        </w:rPr>
        <w:t>B.</w:t>
      </w:r>
      <w:r w:rsidR="00F978AD">
        <w:rPr>
          <w:lang w:val="ru-RU"/>
        </w:rPr>
        <w:tab/>
      </w:r>
      <w:r w:rsidR="00F978AD">
        <w:rPr>
          <w:bCs/>
          <w:lang w:val="ru-RU"/>
        </w:rPr>
        <w:t>Рассмотрение вопроса о членском составе органов Монреальского протокола на 2026 год</w:t>
      </w:r>
    </w:p>
    <w:p w14:paraId="1347B3BD" w14:textId="6B7C9860" w:rsidR="00F978AD" w:rsidRPr="00895200" w:rsidRDefault="00B574CC" w:rsidP="004928E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F978AD">
        <w:rPr>
          <w:bCs/>
          <w:lang w:val="ru-RU"/>
        </w:rPr>
        <w:t>1.</w:t>
      </w:r>
      <w:r w:rsidR="00F978AD">
        <w:rPr>
          <w:lang w:val="ru-RU"/>
        </w:rPr>
        <w:tab/>
      </w:r>
      <w:r w:rsidR="00F978AD">
        <w:rPr>
          <w:bCs/>
          <w:lang w:val="ru-RU"/>
        </w:rPr>
        <w:t>Членский состав Комитета по выполнению в рамках процедуры, касающейся несоблюдения Монреальского протокола</w:t>
      </w:r>
    </w:p>
    <w:p w14:paraId="40C723C4" w14:textId="77777777" w:rsidR="00F978AD" w:rsidRPr="00895200" w:rsidRDefault="00F978AD" w:rsidP="00B574CC">
      <w:pPr>
        <w:pStyle w:val="Normalnumber"/>
        <w:tabs>
          <w:tab w:val="clear" w:pos="624"/>
          <w:tab w:val="clear" w:pos="1247"/>
          <w:tab w:val="clear" w:pos="1814"/>
          <w:tab w:val="clear" w:pos="2381"/>
          <w:tab w:val="clear" w:pos="2948"/>
          <w:tab w:val="clear" w:pos="3515"/>
        </w:tabs>
        <w:ind w:left="1247"/>
        <w:rPr>
          <w:lang w:val="ru-RU"/>
        </w:rPr>
      </w:pPr>
      <w:r>
        <w:rPr>
          <w:lang w:val="ru-RU"/>
        </w:rPr>
        <w:t>Внося на обсуждение этот подпункт, сопредседатель заявила, что Сторонам необходимо принять решение о членском составе Комитета по выполнению на 2026 год. Информация о должностях, подлежащих заполнению, представлена в пунктах 17–20 документа UNEP/OzL.Pro.37/2, а проект решения по этому вопросу изложен в документе UNEP/OzL.Pro.37/3 (проект решения XXXVII/[BB]).</w:t>
      </w:r>
    </w:p>
    <w:p w14:paraId="32B3E255" w14:textId="71E5AB8D"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Впоследствии представитель </w:t>
      </w:r>
      <w:r w:rsidR="00895200">
        <w:rPr>
          <w:lang w:val="ru-RU"/>
        </w:rPr>
        <w:t>с</w:t>
      </w:r>
      <w:r>
        <w:rPr>
          <w:lang w:val="ru-RU"/>
        </w:rPr>
        <w:t xml:space="preserve">екретариата сообщил, что каждая из региональных групп государств Африки, государств Азии и Тихого океана, государств Латинской Америки и Карибского бассейна и государств Западной Европы и других государств представила свою кандидатуру. От государств Восточной Европы кандидатур не поступило. </w:t>
      </w:r>
      <w:r w:rsidR="008E5EE6">
        <w:rPr>
          <w:lang w:val="ru-RU"/>
        </w:rPr>
        <w:t>Сопредседатель</w:t>
      </w:r>
      <w:r>
        <w:rPr>
          <w:lang w:val="ru-RU"/>
        </w:rPr>
        <w:t xml:space="preserve"> предложила включить проект решения с перечнем четырех кандидатур в свод решений для рассмотрения и возможного принятия Сторонами в ходе сегмента высокого уровня. </w:t>
      </w:r>
      <w:bookmarkStart w:id="6" w:name="_Hlk213481036"/>
      <w:bookmarkEnd w:id="6"/>
    </w:p>
    <w:p w14:paraId="39FE9F56" w14:textId="1348585B"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bookmarkStart w:id="7" w:name="_Hlk213435435"/>
      <w:r>
        <w:rPr>
          <w:lang w:val="ru-RU"/>
        </w:rPr>
        <w:t>Представитель Чехии представил кандидатуру своей Стороны для заполнения имеюще</w:t>
      </w:r>
      <w:r w:rsidR="00895200">
        <w:rPr>
          <w:lang w:val="ru-RU"/>
        </w:rPr>
        <w:t>йся должности</w:t>
      </w:r>
      <w:r w:rsidR="0016643E" w:rsidRPr="0016643E">
        <w:rPr>
          <w:lang w:val="ru-RU"/>
        </w:rPr>
        <w:t xml:space="preserve">, </w:t>
      </w:r>
      <w:r w:rsidR="0016643E">
        <w:rPr>
          <w:lang w:val="ru-RU"/>
        </w:rPr>
        <w:t>предназначенной</w:t>
      </w:r>
      <w:r>
        <w:rPr>
          <w:lang w:val="ru-RU"/>
        </w:rPr>
        <w:t xml:space="preserve"> для государств Восточной Европы в Комитете по выполнению, отметив, что член Комитета от Чехии выполнял полномочия</w:t>
      </w:r>
      <w:r w:rsidR="007976E8">
        <w:rPr>
          <w:lang w:val="ru-RU"/>
        </w:rPr>
        <w:t xml:space="preserve"> в</w:t>
      </w:r>
      <w:r>
        <w:rPr>
          <w:lang w:val="ru-RU"/>
        </w:rPr>
        <w:t xml:space="preserve"> Комитете в течение последних двух лет и зарекомендовал себя как надежный, беспристрастный и ответственный член Комитета. </w:t>
      </w:r>
      <w:bookmarkEnd w:id="7"/>
    </w:p>
    <w:p w14:paraId="78337284" w14:textId="21CF4A04" w:rsidR="00E03642" w:rsidRPr="00895200" w:rsidRDefault="00DB2A64"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которого поддержал другой представитель, заявил о </w:t>
      </w:r>
      <w:r w:rsidR="0016643E">
        <w:rPr>
          <w:lang w:val="ru-RU"/>
        </w:rPr>
        <w:t xml:space="preserve">своем </w:t>
      </w:r>
      <w:r>
        <w:rPr>
          <w:lang w:val="ru-RU"/>
        </w:rPr>
        <w:t xml:space="preserve">возражении против этой кандидатуры. </w:t>
      </w:r>
      <w:r w:rsidR="0016643E">
        <w:rPr>
          <w:lang w:val="ru-RU"/>
        </w:rPr>
        <w:t>По их мнению</w:t>
      </w:r>
      <w:r>
        <w:rPr>
          <w:lang w:val="ru-RU"/>
        </w:rPr>
        <w:t>, поставив вопрос об исключении пяти Сторон из Центральной Азии из группы государств Восточной Европы, Чехия продемонстрировала, что она не готова представлять интересы всех членов группы. Они заявили, что Стороны не должны игнорировать установленную процедуру Монреальского протокола, согласно которой кандидат</w:t>
      </w:r>
      <w:r w:rsidR="0016643E">
        <w:rPr>
          <w:lang w:val="ru-RU"/>
        </w:rPr>
        <w:t>ы</w:t>
      </w:r>
      <w:r>
        <w:rPr>
          <w:lang w:val="ru-RU"/>
        </w:rPr>
        <w:t xml:space="preserve"> выдвигаются региональными группами, а не выдвигают сами себя.</w:t>
      </w:r>
    </w:p>
    <w:p w14:paraId="68BD2EB5" w14:textId="3B04D8D1"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 xml:space="preserve">Отвечая на вопрос, представитель </w:t>
      </w:r>
      <w:r w:rsidR="008E5EE6">
        <w:rPr>
          <w:lang w:val="ru-RU"/>
        </w:rPr>
        <w:t>секретариата</w:t>
      </w:r>
      <w:r>
        <w:rPr>
          <w:lang w:val="ru-RU"/>
        </w:rPr>
        <w:t xml:space="preserve"> подтвердил, что согласно пункту 5 процедуры, касающейся несоблюдения Монреальского протокола, члены Комитета, </w:t>
      </w:r>
      <w:r w:rsidR="0016643E">
        <w:rPr>
          <w:lang w:val="ru-RU"/>
        </w:rPr>
        <w:t xml:space="preserve">выполнявшие полномочия в течение </w:t>
      </w:r>
      <w:r>
        <w:rPr>
          <w:lang w:val="ru-RU"/>
        </w:rPr>
        <w:t xml:space="preserve">двухгодичного срока, могут быть переизбраны на следующий двухгодичный срок. </w:t>
      </w:r>
    </w:p>
    <w:p w14:paraId="3CB5C03A" w14:textId="2B83DA58"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Ввиду отсутствия консенсуса сопредседатель предложила включить проект решения с перечнем четырех кандидатур в свод решений для рассмотрения Сторонами в ходе сегмента высокого уровня. Представитель Чехии вы</w:t>
      </w:r>
      <w:r w:rsidR="0016643E">
        <w:rPr>
          <w:lang w:val="ru-RU"/>
        </w:rPr>
        <w:t>сказал</w:t>
      </w:r>
      <w:r>
        <w:rPr>
          <w:lang w:val="ru-RU"/>
        </w:rPr>
        <w:t xml:space="preserve"> возражение, отметив, что любая </w:t>
      </w:r>
      <w:r w:rsidR="008E5EE6">
        <w:rPr>
          <w:lang w:val="ru-RU"/>
        </w:rPr>
        <w:t>Сторона</w:t>
      </w:r>
      <w:r>
        <w:rPr>
          <w:lang w:val="ru-RU"/>
        </w:rPr>
        <w:t xml:space="preserve"> имеет право выдвигать кандидатуру в случае отсутствия консенсуса в соответствующей региональной группе и что его цель заключается в </w:t>
      </w:r>
      <w:r w:rsidR="0016643E">
        <w:rPr>
          <w:lang w:val="ru-RU"/>
        </w:rPr>
        <w:t>заполнении имеющейся должности</w:t>
      </w:r>
      <w:r>
        <w:rPr>
          <w:lang w:val="ru-RU"/>
        </w:rPr>
        <w:t xml:space="preserve"> в Комитете по выполнению, с тем чтобы Комитет мог продолжать свою работу. Представитель Чехии, которого поддержали другие представители, заявил, что его делегация не стремится изменить состав региональной группы и что текущее совещание не является подходящим форумом для обсуждения изменений в составе региональных групп Организации Объединенных Наций. Отвечая на вопрос, сопредседатель подтвердила, что самовыдвижение кандидатов не является нарушением правил процедуры Монреальского протокола. </w:t>
      </w:r>
    </w:p>
    <w:p w14:paraId="239C4F2F" w14:textId="279AFED2"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Многие представители поддержали кандидатуру Чехии в</w:t>
      </w:r>
      <w:r w:rsidR="0016643E">
        <w:rPr>
          <w:lang w:val="ru-RU"/>
        </w:rPr>
        <w:t xml:space="preserve"> членский</w:t>
      </w:r>
      <w:r>
        <w:rPr>
          <w:lang w:val="ru-RU"/>
        </w:rPr>
        <w:t xml:space="preserve"> состав Комитета по выполнению. Некоторые из них отметили, что процедура самовыдвижения</w:t>
      </w:r>
      <w:r w:rsidR="0016643E">
        <w:rPr>
          <w:lang w:val="ru-RU"/>
        </w:rPr>
        <w:t xml:space="preserve"> </w:t>
      </w:r>
      <w:r>
        <w:rPr>
          <w:lang w:val="ru-RU"/>
        </w:rPr>
        <w:t>уже применял</w:t>
      </w:r>
      <w:r w:rsidR="0016643E">
        <w:rPr>
          <w:lang w:val="ru-RU"/>
        </w:rPr>
        <w:t>а</w:t>
      </w:r>
      <w:r>
        <w:rPr>
          <w:lang w:val="ru-RU"/>
        </w:rPr>
        <w:t xml:space="preserve">сь на текущем совещании, когда Казахстан выдвинул свою кандидатуру на должность в Исполнительном комитете Многостороннего фонда (см. пункт 38 настоящего доклада). </w:t>
      </w:r>
    </w:p>
    <w:p w14:paraId="3E9676F2" w14:textId="30440B7C"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добавил, что обсуждение состава региональных групп не является предметом обсуждения на текущем форуме и относится к компетенции других учреждений в рамках Организации Объединенных Наций. Другой участник отметил, что не существует строгого определения состава региональных групп в Организации Объединенных Наций и что определение региональных групп остается на усмотрение каждой конвенции или протокола. Никакие правила процедуры не были нарушены. Ключевым вопросом для текущего </w:t>
      </w:r>
      <w:r w:rsidR="008E5EE6">
        <w:rPr>
          <w:lang w:val="ru-RU"/>
        </w:rPr>
        <w:t>совещания</w:t>
      </w:r>
      <w:r>
        <w:rPr>
          <w:lang w:val="ru-RU"/>
        </w:rPr>
        <w:t xml:space="preserve"> является необходимость избрать членов Комитета по выполнени</w:t>
      </w:r>
      <w:r w:rsidR="00470DEC">
        <w:rPr>
          <w:lang w:val="ru-RU"/>
        </w:rPr>
        <w:t>ю</w:t>
      </w:r>
      <w:r>
        <w:rPr>
          <w:lang w:val="ru-RU"/>
        </w:rPr>
        <w:t xml:space="preserve"> для обеспечения эффективного и действенного функционирования Монреальского протокола.</w:t>
      </w:r>
    </w:p>
    <w:p w14:paraId="2D5DF696" w14:textId="30C9997B"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Другие представители, однако, продолжали </w:t>
      </w:r>
      <w:r w:rsidR="0016643E">
        <w:rPr>
          <w:lang w:val="ru-RU"/>
        </w:rPr>
        <w:t>высказывать возражения</w:t>
      </w:r>
      <w:r w:rsidR="0016643E" w:rsidRPr="0016643E">
        <w:rPr>
          <w:lang w:val="ru-RU"/>
        </w:rPr>
        <w:t>,</w:t>
      </w:r>
      <w:r w:rsidR="0016643E">
        <w:rPr>
          <w:lang w:val="ru-RU"/>
        </w:rPr>
        <w:t xml:space="preserve"> выражая</w:t>
      </w:r>
      <w:r>
        <w:rPr>
          <w:lang w:val="ru-RU"/>
        </w:rPr>
        <w:t xml:space="preserve"> мнение о том, что самовыдвижение является нарушением установленных процедур Монреальского протокола. Один из них заявил, что группа государств Восточной Европы вообще не обсуждала кандидатуры в ходе текущего совещания. </w:t>
      </w:r>
    </w:p>
    <w:p w14:paraId="08C995B6" w14:textId="77777777"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Другой представитель, выступая от имени региональной группы, отметил, что, хотя он не имеет мнения в отношении конкретного обсуждаемого вопроса, он считает важным соблюдать принцип, согласно которому региональные группы должны согласовывать кандидатуры на основе консенсуса. В прошлом региональные группы часто сталкивались с внутренними разногласиями, но всегда находили способы их преодолеть. </w:t>
      </w:r>
    </w:p>
    <w:p w14:paraId="388129F4" w14:textId="61671DA6"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заявила, что, исходя из преобладающей поддержки, выраженной в отношении кандидатуры Чехии, название Стороны следует добавить в перечень кандидатур в проекте решения о членском составе Комитета по выполнению. Однако один представитель не согласился с этим, заявив, что решения о кандидатурах определенно должны быть согласованы в рамках региональных групп; отказ от этого является явным пренебрежением существующей практикой. Он добавил, что наблюдаемое отсутствие консенсуса возникл</w:t>
      </w:r>
      <w:r w:rsidR="0016643E">
        <w:rPr>
          <w:lang w:val="ru-RU"/>
        </w:rPr>
        <w:t>о</w:t>
      </w:r>
      <w:r>
        <w:rPr>
          <w:lang w:val="ru-RU"/>
        </w:rPr>
        <w:t xml:space="preserve"> в результате попытки исключить пять стран Центральной Азии из группы государств Восточной Европы.</w:t>
      </w:r>
    </w:p>
    <w:p w14:paraId="4E335061" w14:textId="5B4A9925"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Отметив продолжающееся отсутствие консенсуса, сопредседатель предложила Сторонам принять решение, уполномочивающее </w:t>
      </w:r>
      <w:r w:rsidR="005459A4">
        <w:rPr>
          <w:lang w:val="ru-RU"/>
        </w:rPr>
        <w:t>с</w:t>
      </w:r>
      <w:r>
        <w:rPr>
          <w:lang w:val="ru-RU"/>
        </w:rPr>
        <w:t>екретариат организовать внеочередное Совещание Сторон одновременно с сорок восьмым совещанием Рабочей группы открытого состава, с тем чтобы Стороны могли принять решение о незаполненных должностях в составе Комитета по выполнению на 2026 год до начала семьдесят шестого совещания Комитета. В предварительную повестку дня внеочередного Совещания Сторон следует включить только один пункт по существу, а именно</w:t>
      </w:r>
      <w:r w:rsidR="0016643E" w:rsidRPr="0016643E">
        <w:rPr>
          <w:lang w:val="ru-RU"/>
        </w:rPr>
        <w:t>,</w:t>
      </w:r>
      <w:r w:rsidR="0016643E">
        <w:rPr>
          <w:lang w:val="ru-RU"/>
        </w:rPr>
        <w:t xml:space="preserve"> о</w:t>
      </w:r>
      <w:r>
        <w:rPr>
          <w:lang w:val="ru-RU"/>
        </w:rPr>
        <w:t xml:space="preserve"> членск</w:t>
      </w:r>
      <w:r w:rsidR="0016643E">
        <w:rPr>
          <w:lang w:val="ru-RU"/>
        </w:rPr>
        <w:t>ом</w:t>
      </w:r>
      <w:r>
        <w:rPr>
          <w:lang w:val="ru-RU"/>
        </w:rPr>
        <w:t xml:space="preserve"> состав</w:t>
      </w:r>
      <w:r w:rsidR="0016643E">
        <w:rPr>
          <w:lang w:val="ru-RU"/>
        </w:rPr>
        <w:t>е</w:t>
      </w:r>
      <w:r>
        <w:rPr>
          <w:lang w:val="ru-RU"/>
        </w:rPr>
        <w:t xml:space="preserve"> Комитета по выполнению. В приложение к предлагаемому проекту решения в квадратных скобках для обсуждения на внеочередном Совещании Сторон следует включить проект решения о членском составе Комитета по выполнению, </w:t>
      </w:r>
      <w:r w:rsidR="0016643E">
        <w:rPr>
          <w:lang w:val="ru-RU"/>
        </w:rPr>
        <w:t>упомянув</w:t>
      </w:r>
      <w:r>
        <w:rPr>
          <w:lang w:val="ru-RU"/>
        </w:rPr>
        <w:t xml:space="preserve"> кандидатур</w:t>
      </w:r>
      <w:r w:rsidR="0016643E">
        <w:rPr>
          <w:lang w:val="ru-RU"/>
        </w:rPr>
        <w:t>у</w:t>
      </w:r>
      <w:r>
        <w:rPr>
          <w:lang w:val="ru-RU"/>
        </w:rPr>
        <w:t xml:space="preserve"> Чехии наряду с другими полученными кандидатурами, </w:t>
      </w:r>
      <w:r w:rsidR="0016643E">
        <w:rPr>
          <w:lang w:val="ru-RU"/>
        </w:rPr>
        <w:t>и отметить</w:t>
      </w:r>
      <w:r>
        <w:rPr>
          <w:lang w:val="ru-RU"/>
        </w:rPr>
        <w:t xml:space="preserve"> избрание Линды Косгей (Кения) в качестве Председателя и Матея Мрлины (Чехия) в качестве заместителя Председателя и Докладчика Комитета. </w:t>
      </w:r>
      <w:r w:rsidR="00886877">
        <w:rPr>
          <w:lang w:val="ru-RU"/>
        </w:rPr>
        <w:t>Она сказала, что</w:t>
      </w:r>
      <w:r w:rsidR="00AA5E7E">
        <w:rPr>
          <w:lang w:val="ru-RU"/>
        </w:rPr>
        <w:t>,</w:t>
      </w:r>
      <w:r w:rsidR="00886877">
        <w:rPr>
          <w:lang w:val="ru-RU"/>
        </w:rPr>
        <w:t xml:space="preserve"> п</w:t>
      </w:r>
      <w:r>
        <w:rPr>
          <w:lang w:val="ru-RU"/>
        </w:rPr>
        <w:t>о ее мнению, так</w:t>
      </w:r>
      <w:r w:rsidR="00AA5E7E">
        <w:rPr>
          <w:lang w:val="ru-RU"/>
        </w:rPr>
        <w:t xml:space="preserve">ая формулировка </w:t>
      </w:r>
      <w:r w:rsidR="00AE7F7F">
        <w:rPr>
          <w:lang w:val="ru-RU"/>
        </w:rPr>
        <w:t xml:space="preserve">проекта </w:t>
      </w:r>
      <w:r>
        <w:rPr>
          <w:lang w:val="ru-RU"/>
        </w:rPr>
        <w:t xml:space="preserve">решения представляет собой наиболее справедливый вариант дальнейших действий, особенно в свете преобладающей поддержки, выраженной в отношении кандидатуры Чехии. </w:t>
      </w:r>
      <w:bookmarkStart w:id="8" w:name="_Hlk213483456"/>
      <w:bookmarkEnd w:id="8"/>
    </w:p>
    <w:p w14:paraId="219F71CE" w14:textId="067BC551"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 xml:space="preserve">Отвечая на вопросы, представитель секретариата сказал, что в идеале состав Комитета по выполнению должен быть утвержден по крайней мере за месяц до его совещания, с тем чтобы обеспечить достаточное время для распространения документов. Однако пять членов Комитета, для которых прошла половина двухгодичного срока полномочий, уже были утверждены в качестве членов; если возникнет необходимость провести совещание Комитета, </w:t>
      </w:r>
      <w:r w:rsidR="0016643E">
        <w:rPr>
          <w:lang w:val="ru-RU"/>
        </w:rPr>
        <w:t>с</w:t>
      </w:r>
      <w:r>
        <w:rPr>
          <w:lang w:val="ru-RU"/>
        </w:rPr>
        <w:t xml:space="preserve">екретариат </w:t>
      </w:r>
      <w:r w:rsidR="0016643E">
        <w:rPr>
          <w:lang w:val="ru-RU"/>
        </w:rPr>
        <w:t xml:space="preserve">сможет организовать его </w:t>
      </w:r>
      <w:r>
        <w:rPr>
          <w:lang w:val="ru-RU"/>
        </w:rPr>
        <w:t>с участием пяти существующих членов. Хотя эти пять членов были перечислены в проекте решения о членском составе, их включение не явля</w:t>
      </w:r>
      <w:r w:rsidR="0016643E">
        <w:rPr>
          <w:lang w:val="ru-RU"/>
        </w:rPr>
        <w:t>ется</w:t>
      </w:r>
      <w:r>
        <w:rPr>
          <w:lang w:val="ru-RU"/>
        </w:rPr>
        <w:t xml:space="preserve"> строго обязательным; они были избраны в 2024 году сроком на два года и поэтому останутся членами Комитета независимо от любых решений, которые могут быть приняты на тридцать седьмом Совещании Сторон или на предлагаемом </w:t>
      </w:r>
      <w:r w:rsidR="0016643E">
        <w:rPr>
          <w:lang w:val="ru-RU"/>
        </w:rPr>
        <w:t>внеочередном</w:t>
      </w:r>
      <w:r>
        <w:rPr>
          <w:lang w:val="ru-RU"/>
        </w:rPr>
        <w:t xml:space="preserve"> Совещании Сторон.</w:t>
      </w:r>
    </w:p>
    <w:p w14:paraId="7CDDBA22" w14:textId="0A3D2E9E"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Некоторые представители согласились с предложением сопредседателя. </w:t>
      </w:r>
      <w:r w:rsidR="0016643E">
        <w:rPr>
          <w:lang w:val="ru-RU"/>
        </w:rPr>
        <w:t xml:space="preserve">Один </w:t>
      </w:r>
      <w:r>
        <w:rPr>
          <w:lang w:val="ru-RU"/>
        </w:rPr>
        <w:t xml:space="preserve">представитель высказал возражение против включения Чехии в проект решения, отметив, что в </w:t>
      </w:r>
      <w:r w:rsidR="0016643E">
        <w:rPr>
          <w:lang w:val="ru-RU"/>
        </w:rPr>
        <w:t xml:space="preserve">перечне следует оставить </w:t>
      </w:r>
      <w:r>
        <w:rPr>
          <w:lang w:val="ru-RU"/>
        </w:rPr>
        <w:t>место для кандидата от группы государств Восточной Европы, не называя конкретной Стороны. Он добавил, что сравнение, которое некоторые представители провели с самовыдвижением Казахстана в Исполнительный комитет Многостороннего фонда, несостоятельно, поскольку против кандидатуры Казахстана не было высказано никаких возражений; в случае Чехии дело явно обстояло иначе.</w:t>
      </w:r>
    </w:p>
    <w:p w14:paraId="613AA36F" w14:textId="712B0125"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отметила, что все положения проекта решения, содержащегося в приложении к проекту решения о внеочередном Совещании Сторон, остаются заключенными в скобки и поэтому открыты для обсуждения. Один представитель предложил исключить пункт, касающийся избрания Председателя и заместителя Председателя, поскольку неверно принимать решение об их избрании до того, как будет определен членский состав Комитета. Другой представитель предложил вместо этого не упоминать Чехию в перечне членов и избрание заместителя Председателя; и отметил, что в остальном проект решения является приемлемым</w:t>
      </w:r>
      <w:r w:rsidR="00883768">
        <w:rPr>
          <w:lang w:val="ru-RU"/>
        </w:rPr>
        <w:t>.</w:t>
      </w:r>
    </w:p>
    <w:p w14:paraId="219CC78C" w14:textId="19D7DB02"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В ответ первый представитель предложил вместо этого принять два решения</w:t>
      </w:r>
      <w:r w:rsidR="0016643E" w:rsidRPr="0016643E">
        <w:rPr>
          <w:lang w:val="ru-RU"/>
        </w:rPr>
        <w:t>:</w:t>
      </w:r>
      <w:r>
        <w:rPr>
          <w:lang w:val="ru-RU"/>
        </w:rPr>
        <w:t xml:space="preserve"> в первом одобрить кандидатуры членов Комитета по выполнению, предложенные региональными группами, и во втором одобрить организацию внеочередного Совещания Сторон для рассмотрения оставшейся должности. Один представитель согласился с этим предложением, однако другие представители выразили мнение о том, что полный перечень кандидатур следует оставить в скобках в одном проекте решения</w:t>
      </w:r>
      <w:r w:rsidR="00883768">
        <w:rPr>
          <w:lang w:val="ru-RU"/>
        </w:rPr>
        <w:t>.</w:t>
      </w:r>
    </w:p>
    <w:p w14:paraId="16A000C2" w14:textId="4C4A1AEB" w:rsidR="00E03642" w:rsidRPr="00895200" w:rsidRDefault="0029558C" w:rsidP="00B574C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Отметив продолжающееся отсутствие консенсуса, сопредседатель внесла на обсуждение пересмотренное предложение в отношении проекта решения, которое, по ее словам, включает только одобрение организации внеочередного </w:t>
      </w:r>
      <w:r w:rsidR="00883768">
        <w:rPr>
          <w:lang w:val="ru-RU"/>
        </w:rPr>
        <w:t xml:space="preserve">Совещания </w:t>
      </w:r>
      <w:r>
        <w:rPr>
          <w:lang w:val="ru-RU"/>
        </w:rPr>
        <w:t>Сторон с повесткой дня, изложенной в приложении к решению, и без ранее предложенного проекта решения о членском составе Комитет</w:t>
      </w:r>
      <w:r w:rsidR="0016643E">
        <w:rPr>
          <w:lang w:val="ru-RU"/>
        </w:rPr>
        <w:t>а</w:t>
      </w:r>
      <w:r>
        <w:rPr>
          <w:lang w:val="ru-RU"/>
        </w:rPr>
        <w:t xml:space="preserve"> по выполнению. Вместо этого секретариат подготовит и распространит стандартный проект решения в преддверии внеочередного совещания</w:t>
      </w:r>
      <w:r w:rsidR="0016643E" w:rsidRPr="0016643E">
        <w:rPr>
          <w:lang w:val="ru-RU"/>
        </w:rPr>
        <w:t>.</w:t>
      </w:r>
      <w:r>
        <w:rPr>
          <w:lang w:val="ru-RU"/>
        </w:rPr>
        <w:t xml:space="preserve"> Она также подтвердила, что все мнения, высказанные представителями в ходе текущей дискуссии, будут отражены в докладе о работе совещания, который будет использоваться в качестве справочного материала при проведении обсуждений на внеочередном совещании Сторон.</w:t>
      </w:r>
    </w:p>
    <w:p w14:paraId="1349BD1D" w14:textId="77777777" w:rsidR="00E03642" w:rsidRPr="00895200" w:rsidRDefault="00E03642" w:rsidP="00B574CC">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направить этот проект решения на дальнейшее рассмотрение для возможного принятия в ходе сегмента высокого уровня.</w:t>
      </w:r>
    </w:p>
    <w:p w14:paraId="0EE8C294" w14:textId="6EBBB845" w:rsidR="00F978AD" w:rsidRPr="00895200" w:rsidRDefault="0039780D" w:rsidP="004928E4">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r>
      <w:r w:rsidR="00F978AD">
        <w:rPr>
          <w:bCs/>
          <w:lang w:val="ru-RU"/>
        </w:rPr>
        <w:t>2.</w:t>
      </w:r>
      <w:r w:rsidR="00F978AD">
        <w:rPr>
          <w:lang w:val="ru-RU"/>
        </w:rPr>
        <w:tab/>
      </w:r>
      <w:r w:rsidR="00F978AD">
        <w:rPr>
          <w:bCs/>
          <w:lang w:val="ru-RU"/>
        </w:rPr>
        <w:t>Членский состав Исполнительного комитета Многостороннего фонда для осуществления Монреальского протокола</w:t>
      </w:r>
    </w:p>
    <w:p w14:paraId="127D4E5B" w14:textId="77777777" w:rsidR="00F978AD" w:rsidRPr="00895200" w:rsidRDefault="00F978AD" w:rsidP="0039780D">
      <w:pPr>
        <w:pStyle w:val="Normalnumber"/>
        <w:tabs>
          <w:tab w:val="clear" w:pos="624"/>
          <w:tab w:val="clear" w:pos="1247"/>
          <w:tab w:val="clear" w:pos="1814"/>
          <w:tab w:val="clear" w:pos="2381"/>
          <w:tab w:val="clear" w:pos="2948"/>
          <w:tab w:val="clear" w:pos="3515"/>
        </w:tabs>
        <w:ind w:left="1247"/>
        <w:rPr>
          <w:lang w:val="ru-RU"/>
        </w:rPr>
      </w:pPr>
      <w:r>
        <w:rPr>
          <w:lang w:val="ru-RU"/>
        </w:rPr>
        <w:t>Представляя этот подпункт, сопредседатель заявила, что Сторонам необходимо одобрить членский состав Исполнительного комитета Многостороннего фонда на 2026 год. Информация о должностях, подлежащих заполнению, представлена в пунктах 21–24 документа UNEP/OzL.Pro.37/2, а проект решения по этому вопросу изложен в документе UNEP/OzL.Pro.37/3 (проект решения XXXVII/[СС]).</w:t>
      </w:r>
    </w:p>
    <w:p w14:paraId="6C33C170" w14:textId="36EE2734" w:rsidR="00E03642" w:rsidRPr="00895200" w:rsidRDefault="00E03642" w:rsidP="0039780D">
      <w:pPr>
        <w:pStyle w:val="Normalnumber"/>
        <w:tabs>
          <w:tab w:val="clear" w:pos="624"/>
          <w:tab w:val="clear" w:pos="1247"/>
          <w:tab w:val="clear" w:pos="1814"/>
          <w:tab w:val="clear" w:pos="2381"/>
          <w:tab w:val="clear" w:pos="2948"/>
          <w:tab w:val="clear" w:pos="3515"/>
        </w:tabs>
        <w:ind w:left="1247"/>
        <w:rPr>
          <w:lang w:val="ru-RU"/>
        </w:rPr>
      </w:pPr>
      <w:bookmarkStart w:id="9" w:name="_Hlk213434473"/>
      <w:r>
        <w:rPr>
          <w:lang w:val="ru-RU"/>
        </w:rPr>
        <w:t>Впоследствии представитель секретариата сообщил, что поступила информация об избрании семи членов, представляющих Стороны, действующи</w:t>
      </w:r>
      <w:r w:rsidR="00015327">
        <w:rPr>
          <w:lang w:val="ru-RU"/>
        </w:rPr>
        <w:t>е</w:t>
      </w:r>
      <w:r>
        <w:rPr>
          <w:lang w:val="ru-RU"/>
        </w:rPr>
        <w:t xml:space="preserve"> в рамках статьи 5, и шести членов, представляющих Стороны, не действующие в рамках пункта 1 статьи 5 (Стороны, не действующие в рамках статьи 5). Представитель Казахстана выдвинул свою Сторону для заполнения имеющ</w:t>
      </w:r>
      <w:r w:rsidR="0016643E">
        <w:rPr>
          <w:lang w:val="ru-RU"/>
        </w:rPr>
        <w:t xml:space="preserve">ейся должности </w:t>
      </w:r>
      <w:r>
        <w:rPr>
          <w:lang w:val="ru-RU"/>
        </w:rPr>
        <w:t>для Стороны, не действующ</w:t>
      </w:r>
      <w:r w:rsidR="00015327">
        <w:rPr>
          <w:lang w:val="ru-RU"/>
        </w:rPr>
        <w:t>ей</w:t>
      </w:r>
      <w:r>
        <w:rPr>
          <w:lang w:val="ru-RU"/>
        </w:rPr>
        <w:t xml:space="preserve"> в рамках статьи 5. </w:t>
      </w:r>
    </w:p>
    <w:p w14:paraId="1890D15D" w14:textId="77777777" w:rsidR="00E03642" w:rsidRPr="00895200" w:rsidRDefault="00E03642" w:rsidP="0039780D">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направить проект решения по этому вопросу для рассмотрения и возможного принятия Сторонами в ходе сегмента высокого уровня.</w:t>
      </w:r>
      <w:bookmarkEnd w:id="9"/>
    </w:p>
    <w:p w14:paraId="06BC9104" w14:textId="0F17EAFD" w:rsidR="00F978AD" w:rsidRPr="00895200" w:rsidRDefault="0039780D" w:rsidP="0039780D">
      <w:pPr>
        <w:pStyle w:val="CH3"/>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lastRenderedPageBreak/>
        <w:tab/>
      </w:r>
      <w:r w:rsidR="00F978AD">
        <w:rPr>
          <w:bCs/>
          <w:lang w:val="ru-RU"/>
        </w:rPr>
        <w:t>3.</w:t>
      </w:r>
      <w:r w:rsidR="00F978AD">
        <w:rPr>
          <w:lang w:val="ru-RU"/>
        </w:rPr>
        <w:tab/>
      </w:r>
      <w:r w:rsidR="00F978AD">
        <w:rPr>
          <w:bCs/>
          <w:lang w:val="ru-RU"/>
        </w:rPr>
        <w:t xml:space="preserve">Сопредседатели Рабочей группы открытого состава </w:t>
      </w:r>
    </w:p>
    <w:p w14:paraId="0B13EAB9" w14:textId="77777777" w:rsidR="00F978AD" w:rsidRPr="00895200" w:rsidRDefault="00F978AD" w:rsidP="0039780D">
      <w:pPr>
        <w:pStyle w:val="Normalnumber"/>
        <w:keepNext/>
        <w:keepLines/>
        <w:tabs>
          <w:tab w:val="clear" w:pos="624"/>
          <w:tab w:val="clear" w:pos="1247"/>
          <w:tab w:val="clear" w:pos="1814"/>
          <w:tab w:val="clear" w:pos="2381"/>
          <w:tab w:val="clear" w:pos="2948"/>
          <w:tab w:val="clear" w:pos="3515"/>
        </w:tabs>
        <w:ind w:left="1247"/>
        <w:rPr>
          <w:lang w:val="ru-RU"/>
        </w:rPr>
      </w:pPr>
      <w:r>
        <w:rPr>
          <w:lang w:val="ru-RU"/>
        </w:rPr>
        <w:t>Внося на обсуждение этот подпункт, сопредседатель заявила, что Сторонам необходимо принять решение о членском составе Рабочей группы открытого состава на 2026 год. Информация о должностях, подлежащих заполнению, представлена в пунктах 25 и 26 документа UNEP/OzL.Pro.37/2, а проект решения по этому вопросу изложен в документе UNEP/OzL.Pro.37/3 (проект решения XXXVII/[DD]).</w:t>
      </w:r>
    </w:p>
    <w:p w14:paraId="16206B64" w14:textId="77777777" w:rsidR="00E03642" w:rsidRPr="00895200" w:rsidRDefault="00E03642" w:rsidP="0011345C">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Впоследствии представитель секретариата сообщил, что после получения имен и фамилий лиц, отобранных Сторонами, как действующими, так и не действующими в рамках статьи 5, проект решения по этому вопросу был включен в свод решений для рассмотрения и возможного принятия Сторонами в ходе сегмента высокого уровня. Стороны постановили направить проект решения по этому вопросу для рассмотрения и возможного принятия Сторонами в ходе сегмента высокого уровня.</w:t>
      </w:r>
    </w:p>
    <w:p w14:paraId="74C486EF" w14:textId="422607AF" w:rsidR="00C20895" w:rsidRPr="00895200" w:rsidRDefault="0011345C" w:rsidP="004928E4">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F978AD">
        <w:rPr>
          <w:bCs/>
          <w:lang w:val="ru-RU"/>
        </w:rPr>
        <w:t>IV.</w:t>
      </w:r>
      <w:r w:rsidR="00F978AD">
        <w:rPr>
          <w:lang w:val="ru-RU"/>
        </w:rPr>
        <w:tab/>
      </w:r>
      <w:r w:rsidR="00F978AD">
        <w:rPr>
          <w:bCs/>
          <w:lang w:val="ru-RU"/>
        </w:rPr>
        <w:t>Техническое задание для исследования по вопросу о пополнении Многостороннего фонда для осуществления Монреальского протокола на период 2027–2029 годов</w:t>
      </w:r>
    </w:p>
    <w:p w14:paraId="32797417"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Внося на рассмотрение этот пункт, сопредседатель напомнила, что Стороны начали обсуждение технического задания для исследования по вопросу о пополнении Многостороннего фонда на период 2027–2029 годов на сорок седьмом совещании Рабочей группы открытого состава и что Австралия, Канада, Соединенное Королевство Великобритании и Северной Ирландии и Япония представили проект решения, который наряду с техническим заданием для предыдущего исследования, изложенным в решении XXXIV/2 о пополнении Многостороннего фонда на трехгодичный период 2024–2026 годов (см. UNEP/OzL.Pro.34/9/Add.1/Rev.1), послужил основой проходивших в контактной группе обсуждений. Из-за недостатка времени контактная группа не смогла завершить свою работу; поэтому Рабочая группа постановила возобновить обсуждение на текущем совещании. Она обратила внимание на соответствующую документацию, а именно на документ UNEP/OzL.Pro.37/2 (пункты 27–32), доклад о работе сорок седьмого совещания Рабочей группы (UNEP/OzL.Pro.WG.1/47/6 (пункты 28–38)) и пересмотренный проект решения, изложенный в документе UNEP/OzL.Pro.37/3 (проект решения XXXVII/[A]).</w:t>
      </w:r>
    </w:p>
    <w:p w14:paraId="7867542B"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предложила сформировать контактную группу для обсуждения технического задания для исследования по вопросу о пополнении Многостороннего фонда на 2027–2029 годы.</w:t>
      </w:r>
    </w:p>
    <w:p w14:paraId="2F14F035"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 ходе последовавшей дискуссии несколько представителей подчеркнули основополагающее значение Многостороннего фонда в деле оказания помощи Сторонам, действующим в рамках статьи 5, в достижении ими целевых показателей соблюдения, касающихся поэтапного сокращения оборота ГФУ в соответствии с Кигалийской поправкой. Некоторые представители подчеркнули, что исследование по вопросу о пополнении должно отражать реалии осуществления и охватывать все другие ранее согласованные элементы, в том числе финансовые решения, предусмотренные решением XXVIII/2, связанным с поправкой о поэтапном сокращении оборота ГФУ, которая была принята на двадцать восьмом Совещании Сторон. Один представитель добавила, что при оценке потребностей в финансировании на период 2027–2029 годов необходимо учитывать ключевые элементы, определенные Исполнительным комитетом Фонда в его решении 96/57. </w:t>
      </w:r>
    </w:p>
    <w:p w14:paraId="514FDB06"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заявила, что пополнение на период 2027–2029 годов должно быть достаточным, справедливым и соответствовать фактическим потребностям в области осуществления. Второй представитель уточнил, что методика исследования должна быть транспарентной и регионально сбалансированной, включать реалистичные коэффициенты затрат для Сторон, действующих в рамках статьи 5, и стимулировать вносимый Сторонами вклад. Он отметил, что результаты исследования должны непосредственно повлиять на принятие своевременного и учитывающего потребности решения о пополнении и что необходимо обеспечить перспективный горизонт финансирования. Другой представитель заявил, что следует предоставлять поддержку всем развивающимся странам, не делая различий между ними. Некоторые представители призвали провести реалистичную оценку поступления денежных средств в механизмы финансирования, включая механизм возобновляемого фонда, согласованную Исполнительным комитетом. Один представитель призвал сохранить текущий уровень финансирования до 2029 года. </w:t>
      </w:r>
    </w:p>
    <w:p w14:paraId="7F9250BD"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Ряд представителей указали на конкретные трудности, с которыми сталкиваются, в частности, Стороны, действующие в рамках статьи 5, при достижении целей устойчивого поэтапного сокращения оборота ГФУ. Эти трудности включают применение легковоспламеняющихся хладагентов в холодильном оборудовании, кондиционерах и тепловых насосах; трудности с доступом к технологиям с низким потенциалом глобального потепления (ПГП) и их внедрением; отсутствие альтернатив кондиционированию воздуха в государствах, где наблюдаются высокие и растущие температуры; и необходимость стабильного, достаточного и предсказуемого финансирования.</w:t>
      </w:r>
    </w:p>
    <w:p w14:paraId="2B306184"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Отдельные представители подчеркнули конкретные аспекты, которые они считают важными, независимо от того, требуются ли они для соблюдения, и на которые, по их мнению, должно быть направлено достаточное финансирование. В число таких элементов входят энергоэффективность; комплексное регулирование жизненного цикла хладагентов, включая утилизацию, восстановление и экономически эффективное удаление; конкретные обстоятельства в странах с высокой температурой воздуха; устойчивое сокращение потребления и выбросов ГФУ, а также целевые показатели, основанные на конкретных сроках; обучение, создание потенциала, укрепление институтов и региональное сотрудничество; цифровые инструменты и инструменты с использованием искусственного интеллекта; информационно-просветительские программы, включая выездные презентации технологий и демонстрационные мероприятия; доступ к устойчивому охлаждению; цифровизация сектора обслуживания; и справедливое отношение к развивающимся странам, не имеющим выхода к морю.</w:t>
      </w:r>
    </w:p>
    <w:p w14:paraId="7A19CC5B"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Некоторые представители заявили, что в период пополнения 2027–2029 годов не следует вводить никаких новых стратегий или руководящих принципов. Один представитель подчеркнул важность предотвращения коллизии интересов в отношении целевой группы по вопросу о пополнении.</w:t>
      </w:r>
    </w:p>
    <w:p w14:paraId="4AC1C33B" w14:textId="77777777" w:rsidR="00F978AD" w:rsidRPr="00895200" w:rsidRDefault="00F978AD" w:rsidP="0011345C">
      <w:pPr>
        <w:pStyle w:val="Normalnumber"/>
        <w:tabs>
          <w:tab w:val="clear" w:pos="624"/>
          <w:tab w:val="clear" w:pos="1247"/>
          <w:tab w:val="clear" w:pos="1814"/>
          <w:tab w:val="clear" w:pos="2381"/>
          <w:tab w:val="clear" w:pos="2948"/>
          <w:tab w:val="clear" w:pos="3515"/>
        </w:tabs>
        <w:ind w:left="1247"/>
        <w:rPr>
          <w:lang w:val="ru-RU"/>
        </w:rPr>
      </w:pPr>
      <w:r>
        <w:rPr>
          <w:lang w:val="ru-RU"/>
        </w:rPr>
        <w:t>Рабочая группа постановила сформировать контактную группу и назначить ее сопредседателями Азру Рогович-Грубич (Босния и Герцеговина) и Ральфа Брискорна (Королевство Нидерландов).</w:t>
      </w:r>
    </w:p>
    <w:p w14:paraId="066B9829" w14:textId="77777777" w:rsidR="006B128A" w:rsidRPr="00895200" w:rsidRDefault="006B128A" w:rsidP="0011345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Затем сопредседатель контактной группы сообщил, что контактная группа достигла соглашения о проекте решения о техническом задании для исследования по вопросу о пополнении Многостороннего фонда для осуществления Монреальского протокола на период 2027–2029 годов, который будет представлен на рассмотрение Сторон. </w:t>
      </w:r>
    </w:p>
    <w:p w14:paraId="68B91BAF" w14:textId="77777777" w:rsidR="006B128A" w:rsidRPr="00895200" w:rsidRDefault="006B128A" w:rsidP="0011345C">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для возможного принятия в ходе сегмента высокого уровня.</w:t>
      </w:r>
    </w:p>
    <w:p w14:paraId="2067EAA8" w14:textId="4C217A6C" w:rsidR="00C20895" w:rsidRPr="00895200" w:rsidRDefault="0011345C" w:rsidP="004928E4">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D16B2C">
        <w:rPr>
          <w:bCs/>
          <w:lang w:val="ru-RU"/>
        </w:rPr>
        <w:t>V.</w:t>
      </w:r>
      <w:r w:rsidR="00D16B2C">
        <w:rPr>
          <w:lang w:val="ru-RU"/>
        </w:rPr>
        <w:tab/>
      </w:r>
      <w:r w:rsidR="00D16B2C">
        <w:rPr>
          <w:bCs/>
          <w:lang w:val="ru-RU"/>
        </w:rPr>
        <w:t>Выбросы гидрофторуглерода-23 (ГФУ-23) (решение</w:t>
      </w:r>
      <w:r>
        <w:rPr>
          <w:bCs/>
          <w:lang w:val="ru-RU"/>
        </w:rPr>
        <w:t> </w:t>
      </w:r>
      <w:r w:rsidR="00D16B2C">
        <w:rPr>
          <w:bCs/>
          <w:lang w:val="ru-RU"/>
        </w:rPr>
        <w:t>XXXVI/3)</w:t>
      </w:r>
    </w:p>
    <w:p w14:paraId="4DA1FFF4"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При рассмотрении этого подпункта Сторонам были представлены пункты 33–36 записки секретариата о вопросах для обсуждения и информации к сведению участников тридцать седьмого Совещания Сторон Монреальского протокола (UNEP/OzL.Pro.37/2), доклад Группы по научной оценке «Ответ на решение XXXVI/3: выбросы ГФУ-23», доклад Группы по техническому обзору и экономической оценке «Ответ на решение XXXVI/3: выбросы ГФУ-23» и пункты 4–18 и приложения I и II к добавлению к записке секретариата о вопросах для обсуждения и информации к сведению участников тридцать седьмого Совещания Сторон Монреальского протокола (UNEP/OzL.Pro.37/2/Add.1).</w:t>
      </w:r>
    </w:p>
    <w:p w14:paraId="5AE51412"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Внося на рассмотрение настоящий подпункт, сопредседатель напомнила, что в пункте 5 решения XXXVI/3 о выбросах ГФУ-23 Группе по научной оценке и Группе по техническому обзору и экономической оценке было поручено актуализировать их доклады о ГФУ-23 во исполнение решения XXXV/7 с учетом любой появившейся дополнительной или новой информации и представить их доклады тридцать седьмому Совещанию Сторон. Кроме того, Группе по техническому обзору и экономической оценке было поручено представить информацию о передовых методах и сопоставлении передовых методов и руководящих принципов, касающихся измерения, оценки, регистрации и проверки выбросов ГФУ-23 в виде побочных продуктов и их уничтожения.</w:t>
      </w:r>
    </w:p>
    <w:p w14:paraId="213FEDFA"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В ответ на поручения Сторон группы скоординировали свою работу по этому вопросу, и каждая подготовила собственный доклад. Краткое изложение докладов приводится в добавлении к записке секретариата и соответствующие резюме воспроизводятся в приложениях I и II к добавлению; полные тексты докладов были опубликованы на портале совещания.</w:t>
      </w:r>
    </w:p>
    <w:p w14:paraId="2C9957D4"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Люси Карпентер, сопредседатель Группы по научной оценке, и Ник Кэмпбелл, член Комитета по техническим вариантам замены медицинских видов применения и химических веществ, выступая от имени Группы по техническому обзору и экономической оценке, представили сообщения о действиях каждой группы во исполнение поручений, изложенных в решении XXXVI/3. Эти сообщения изложены в разделах A и B приложения I к настоящему докладу, соответственно.</w:t>
      </w:r>
    </w:p>
    <w:p w14:paraId="11CB28D9"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По окончании сообщений несколько представителей задали вопросы членам групп с целью прояснения некоторых затронутых вопросов.</w:t>
      </w:r>
    </w:p>
    <w:p w14:paraId="39EAD597" w14:textId="6915BBD2"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Несколько представителей задали вопрос о резком увеличении расхождения между данными о глобальных объемах выбросов, полученных с учетом атмосферных измерений, и оценками, основанными на представленных </w:t>
      </w:r>
      <w:r w:rsidR="002255D0">
        <w:rPr>
          <w:lang w:val="ru-RU"/>
        </w:rPr>
        <w:t>данных</w:t>
      </w:r>
      <w:r>
        <w:rPr>
          <w:lang w:val="ru-RU"/>
        </w:rPr>
        <w:t>, по состоянию на 2015 год. Г</w:t>
      </w:r>
      <w:r w:rsidR="00755EE6">
        <w:rPr>
          <w:lang w:val="ru-RU"/>
        </w:rPr>
        <w:noBreakHyphen/>
      </w:r>
      <w:r>
        <w:rPr>
          <w:lang w:val="ru-RU"/>
        </w:rPr>
        <w:t>н</w:t>
      </w:r>
      <w:r w:rsidR="00755EE6">
        <w:rPr>
          <w:lang w:val="ru-RU"/>
        </w:rPr>
        <w:t> </w:t>
      </w:r>
      <w:r>
        <w:rPr>
          <w:lang w:val="ru-RU"/>
        </w:rPr>
        <w:t>Кэмпбелл отметил, что за прошедший период не появилось новых отраслей промышленности, которые могли бы привести к такому увеличению расхождения, но в то же время в 2015 году прекратил действие механизм чистого развития Киотского протокола к Рамочной конвенции Организации Объединенных Наций об изменении климата. Одновременно в одном из регионов был принят регламент, который привел к резкому падению цен на кредиты за ГФУ-23. Он пояснил, что в рамках механизма чистого развития кредиты формировались за счет уничтожения ГФУ-23 и что с прекращением его действия, возможно, снизился стимул для дальнейшего уничтожения ГФУ-23. Вместе с тем один из членов группы отметил, что изменение системы кредитов не произошло одномоментно, и проекты постепенно завершались в течение нескольких лет. Другой представитель предложил создать своего рода механизм, который может заменить механизм чистого развития.</w:t>
      </w:r>
    </w:p>
    <w:p w14:paraId="0110C3A6" w14:textId="3DEFD4DD" w:rsidR="00953C56" w:rsidRPr="009B31CD" w:rsidRDefault="00953C56" w:rsidP="00755EE6">
      <w:pPr>
        <w:pStyle w:val="Normalnumber"/>
        <w:tabs>
          <w:tab w:val="clear" w:pos="624"/>
          <w:tab w:val="clear" w:pos="1247"/>
          <w:tab w:val="clear" w:pos="1814"/>
          <w:tab w:val="clear" w:pos="2381"/>
          <w:tab w:val="clear" w:pos="2948"/>
          <w:tab w:val="clear" w:pos="3515"/>
        </w:tabs>
        <w:ind w:left="1247"/>
      </w:pPr>
      <w:r>
        <w:rPr>
          <w:lang w:val="ru-RU"/>
        </w:rPr>
        <w:t xml:space="preserve">Один представитель задал вопрос о расхождениях между оценками, основанными на представленных </w:t>
      </w:r>
      <w:r w:rsidR="002255D0">
        <w:rPr>
          <w:lang w:val="ru-RU"/>
        </w:rPr>
        <w:t>данных</w:t>
      </w:r>
      <w:r>
        <w:rPr>
          <w:lang w:val="ru-RU"/>
        </w:rPr>
        <w:t>, и оценками, основанными на атмосферных измерениях, для некоторых районов Китая в период с 2011 года по настоящее время, которые отражены на рис</w:t>
      </w:r>
      <w:r w:rsidR="00342AD0">
        <w:rPr>
          <w:lang w:val="ru-RU"/>
        </w:rPr>
        <w:t>. </w:t>
      </w:r>
      <w:r>
        <w:rPr>
          <w:lang w:val="ru-RU"/>
        </w:rPr>
        <w:t xml:space="preserve">7 в сообщении Группы по научной оценке. Г-жа Карпентер пояснила, что данные оценок, основанных на атмосферных измерениях, относятся только к восточной части Китая, тогда как оценки, основанные на представленных </w:t>
      </w:r>
      <w:r w:rsidR="002255D0">
        <w:rPr>
          <w:lang w:val="ru-RU"/>
        </w:rPr>
        <w:t>данных</w:t>
      </w:r>
      <w:r>
        <w:rPr>
          <w:lang w:val="ru-RU"/>
        </w:rPr>
        <w:t>, касаются всего Китая. Оценки объемов выбросов ГФУ-23 для Китая в целом не проводились. В ответ на вопрос о местах проведения мониторинга на территории Китая и доступности соответствующих данных Стефан Райнманн, член Группы по научной оценке, подтвердил, что сбор данных в Китае проводился в течение последних 15–20 лет и что эти данные фигурировали в разных публикациях о различных газах. Китаем была подготовлена новая публикация о глобальных объемах выбросов ГФУ-23, в которой использовались данные, полученные в Китае. Постепенно поступают результаты новых измерений, выполненных в Китае.</w:t>
      </w:r>
    </w:p>
    <w:p w14:paraId="7B2E56D9" w14:textId="704B3760"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В ответ на замечание об отсутствии данных о Соединенных Штатах Америки г</w:t>
      </w:r>
      <w:r w:rsidR="00755EE6">
        <w:rPr>
          <w:lang w:val="ru-RU"/>
        </w:rPr>
        <w:noBreakHyphen/>
      </w:r>
      <w:r>
        <w:rPr>
          <w:lang w:val="ru-RU"/>
        </w:rPr>
        <w:t>жа</w:t>
      </w:r>
      <w:r w:rsidR="00755EE6">
        <w:rPr>
          <w:lang w:val="ru-RU"/>
        </w:rPr>
        <w:t> </w:t>
      </w:r>
      <w:r>
        <w:rPr>
          <w:lang w:val="ru-RU"/>
        </w:rPr>
        <w:t>Карпентер сообщила, что предварительные данные об этой стране фактически имеются, однако пока не опубликованы. После опубликования эти данные могут быть представлены в следующем сообщении Группы по научной оценке. Представитель Соединенных Штатов Америки сообщил дополнительные сведения, подтвержденные г-жой Карпентер, относительно уже опубликованных данных. Согласно предварительным неопубликованным данным, за период с 2018 по 2021 год объемы выбросов составили 0,4 килотонны в год.</w:t>
      </w:r>
    </w:p>
    <w:p w14:paraId="3BC6AEBB" w14:textId="6F7C1EC9"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вопросы других представителей о возможных будущих сценариях, связанных с ГФУ-23, а также о возможном усугублении проблемы окисления атмосферы, г</w:t>
      </w:r>
      <w:r w:rsidR="00755EE6">
        <w:rPr>
          <w:lang w:val="ru-RU"/>
        </w:rPr>
        <w:noBreakHyphen/>
      </w:r>
      <w:r>
        <w:rPr>
          <w:lang w:val="ru-RU"/>
        </w:rPr>
        <w:t>жа</w:t>
      </w:r>
      <w:r w:rsidR="00755EE6">
        <w:rPr>
          <w:lang w:val="ru-RU"/>
        </w:rPr>
        <w:t> </w:t>
      </w:r>
      <w:r>
        <w:rPr>
          <w:lang w:val="ru-RU"/>
        </w:rPr>
        <w:t>Карпентер сообщила, что в готовящиеся доклады групп, которые будут выпущены в 2026</w:t>
      </w:r>
      <w:r w:rsidR="00755EE6">
        <w:rPr>
          <w:lang w:val="ru-RU"/>
        </w:rPr>
        <w:t> </w:t>
      </w:r>
      <w:r>
        <w:rPr>
          <w:lang w:val="ru-RU"/>
        </w:rPr>
        <w:t xml:space="preserve">году, войдут как общие будущие сценарии, так и прогнозы в отношении окисления атмосферы в связи с увеличением объемов выбросов гидрофторолефинов (ГФО) в период до 2100 года. Вклад окисления </w:t>
      </w:r>
      <w:r w:rsidR="007A59EC">
        <w:rPr>
          <w:lang w:val="ru-RU"/>
        </w:rPr>
        <w:t xml:space="preserve">атмосферы </w:t>
      </w:r>
      <w:r>
        <w:rPr>
          <w:lang w:val="ru-RU"/>
        </w:rPr>
        <w:t>в объемы выбросов ГФУ-23 был чрезвычайно мал по сравнению с объемами выбросов ГФУ-23, связанных с производством ГХФУ-22. Г-н Кэмпбелл подчеркнул, что несмотря на предположение о том, что низкие уровни, которые были указаны Группой по научной оценке, будут повышаться, это повышение, как ожидается, не будет значительным и будет проходить медленно.</w:t>
      </w:r>
    </w:p>
    <w:p w14:paraId="502A1087"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Отвечая на вопрос о том, можно ли быть уверенными, что данные оценок объемов выбросов, полученные на основе атмосферных измерений, относятся к одной конкретной стране и что на них не влияет перенос выбросов ветром из других мест, г-н Райманн сообщил, что моделирование, используемое для расчета объемов выбросов, хорошо разработано, основано на метеорологических моделях и постоянно совершенствуется, что позволяет с высокой степенью уверенности говорить о достоверности этих моделей. Г-жа Карпентер подтвердила предположение одного представителя о том, что выбросы ГФУ-23 </w:t>
      </w:r>
      <w:r>
        <w:rPr>
          <w:lang w:val="ru-RU"/>
        </w:rPr>
        <w:lastRenderedPageBreak/>
        <w:t>преимущественно сосредоточены в северном полушарии. Другой представитель выразил мнение о том, что критический порог для принятия мер в отношении выбросов ГФУ-23 был достигнут.</w:t>
      </w:r>
    </w:p>
    <w:p w14:paraId="78C8E7A7" w14:textId="77777777" w:rsidR="00953C56" w:rsidRPr="009B31CD" w:rsidRDefault="00953C56" w:rsidP="00755EE6">
      <w:pPr>
        <w:pStyle w:val="Normalnumber"/>
        <w:tabs>
          <w:tab w:val="clear" w:pos="624"/>
          <w:tab w:val="clear" w:pos="1247"/>
          <w:tab w:val="clear" w:pos="1814"/>
          <w:tab w:val="clear" w:pos="2381"/>
          <w:tab w:val="clear" w:pos="2948"/>
          <w:tab w:val="clear" w:pos="3515"/>
        </w:tabs>
        <w:ind w:left="1247"/>
      </w:pPr>
      <w:r>
        <w:rPr>
          <w:lang w:val="ru-RU"/>
        </w:rPr>
        <w:t xml:space="preserve">Отвечая на вопрос о происхождении информации о выбросах ГФУ-23 до вступления в силу Кигалийской поправки, г-н Кэмпбелл сообщил, что источников было несколько. Общие расчеты было возможно сделать на основе данных о ГХФУ-22, представленных в соответствии со статьей 7. Кроме того, был использован большой объем данных, представленных в связи c механизмом чистого развития, включая точные данные о производстве ГХФУ-22 и уничтожении ГФУ-23. Также учитывались результаты различных измерений на местах. </w:t>
      </w:r>
    </w:p>
    <w:p w14:paraId="4E6BDEFD"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 о том, проводился ли мониторинг по периметру каких-либо отдельных производственных объектов, г-жа Карпентер сообщила, что в Королевстве Нидерландов Группой по научной оценке было проведено одно измерение по периметру завода по производству ГХФУ-22. Измерение было довольно сложным, трудоемким и дорогостоящим, поскольку для его проведения использовался газовый хроматограф – масс-спектрометр, и таких приборов в мире насчитывается всего около 20. Из них 15 используются для измерения глобальных объемов выбросов. Это обусловливает необходимость создания новых измерительных систем.</w:t>
      </w:r>
    </w:p>
    <w:p w14:paraId="1B566A5A" w14:textId="77777777" w:rsidR="00953C56" w:rsidRPr="009B31CD" w:rsidRDefault="00953C56" w:rsidP="00755EE6">
      <w:pPr>
        <w:pStyle w:val="Normalnumber"/>
        <w:tabs>
          <w:tab w:val="clear" w:pos="624"/>
          <w:tab w:val="clear" w:pos="1247"/>
          <w:tab w:val="clear" w:pos="1814"/>
          <w:tab w:val="clear" w:pos="2381"/>
          <w:tab w:val="clear" w:pos="2948"/>
          <w:tab w:val="clear" w:pos="3515"/>
        </w:tabs>
        <w:ind w:left="1247"/>
      </w:pPr>
      <w:r>
        <w:rPr>
          <w:lang w:val="ru-RU"/>
        </w:rPr>
        <w:t>Представитель, выступавший от имени группы стран, задал вопрос относительно возможности проведения отбора проб в колбы по периметру. Г-н Рейманн ответил, что, хотя отбор проб в колбы является возможным решением, в конечном итоге все равно потребуется газовый хроматограф. Потребуется большое количество колб, так как отбор проб в колбы необходимо проводить не реже одного раза в день. Это представляется возможным, но не является недорогостоящим решением.</w:t>
      </w:r>
    </w:p>
    <w:p w14:paraId="5D3ABB63" w14:textId="6666FC92"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Отвечая на вопрос о том, рассматривала ли Группа по техническому обзору и экономической оценке выбросы с объектов, где преднамеренно производится ГФУ-23 для продажи, г-н Кэмпбелл </w:t>
      </w:r>
      <w:r w:rsidR="007976E8">
        <w:rPr>
          <w:lang w:val="ru-RU"/>
        </w:rPr>
        <w:t>отмети</w:t>
      </w:r>
      <w:r>
        <w:rPr>
          <w:lang w:val="ru-RU"/>
        </w:rPr>
        <w:t>л, что Групп</w:t>
      </w:r>
      <w:r w:rsidR="00142E4E">
        <w:rPr>
          <w:lang w:val="ru-RU"/>
        </w:rPr>
        <w:t>а</w:t>
      </w:r>
      <w:r>
        <w:rPr>
          <w:lang w:val="ru-RU"/>
        </w:rPr>
        <w:t xml:space="preserve"> получила неофициальное сообщение о наличии по крайней мере одного, а возможно, и двух предприятий, специализирующихся на производстве ГФУ-23. Объемы производства исчисляются сотнями тонн и ориентированы на определенные рынки. Он не располагает информацией о применении на заводах технологий по снижению выбросов. Отвечая на дополнительный вопрос об экономической модели, на которой основывается производство таких небольших партий, и о том, являются ли эти производственные объекты на самом деле предприятиями смешанного производства, г</w:t>
      </w:r>
      <w:r w:rsidR="00F24B5B">
        <w:rPr>
          <w:lang w:val="ru-RU"/>
        </w:rPr>
        <w:noBreakHyphen/>
      </w:r>
      <w:r>
        <w:rPr>
          <w:lang w:val="ru-RU"/>
        </w:rPr>
        <w:t>н</w:t>
      </w:r>
      <w:r w:rsidR="00F24B5B">
        <w:rPr>
          <w:lang w:val="ru-RU"/>
        </w:rPr>
        <w:t> </w:t>
      </w:r>
      <w:r>
        <w:rPr>
          <w:lang w:val="ru-RU"/>
        </w:rPr>
        <w:t xml:space="preserve">Кэмпбелл отметил, что ему стало известно о существовании небольшой специализированной полупромышленной установки. В прошлом ряд компаний имели полупромышленные установки по производству вещества, необходимого для отрасли, что делало производство вещества экономически оправданным. </w:t>
      </w:r>
    </w:p>
    <w:p w14:paraId="3133A3C0" w14:textId="31FB083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 об образовании ГФУ-23, г-н Кэмпбелл пояснил, что информацию о производстве ГХФУ-22 представило более 90 процентов Сторон. Один представитель внес предложение доработать формат представления данных о выбросах ГФУ-23, с тем чтобы экспертные группы могли получать информацию, необходимую для устранения расхождений в данных об объемах выбросов. Г-н Кэмпбелл заявил, что он весьма удовлетворен уже полученной информацией, которая позволила Группе по техническому обзору и экономической оценке расширить понимание вопросов образования, объемов выбросов и видов использования ГФУ-23. Вместе с тем Группа желает получать больше информации о потреблении ГФУ-23 в трех основных областях применения с целью уточнения имеющихся у нее данных. Он подчеркнул, однако, что такая информация не позволит устранить расхождение в данных об объемах выбросов. Г-н Кэмпбелл также заявил, что Группа желает изучить вопрос о выбросах ГФУ-23 из литий-ионных аккумуляторных батарей.</w:t>
      </w:r>
    </w:p>
    <w:p w14:paraId="251DCDF9" w14:textId="555D2E86" w:rsidR="00953C56" w:rsidRPr="009B31CD" w:rsidRDefault="00953C56" w:rsidP="00755EE6">
      <w:pPr>
        <w:pStyle w:val="Normalnumber"/>
        <w:tabs>
          <w:tab w:val="clear" w:pos="624"/>
          <w:tab w:val="clear" w:pos="1247"/>
          <w:tab w:val="clear" w:pos="1814"/>
          <w:tab w:val="clear" w:pos="2381"/>
          <w:tab w:val="clear" w:pos="2948"/>
          <w:tab w:val="clear" w:pos="3515"/>
        </w:tabs>
        <w:ind w:left="1247"/>
      </w:pPr>
      <w:r>
        <w:rPr>
          <w:lang w:val="ru-RU"/>
        </w:rPr>
        <w:t>Представляя далее информацию о станциях мониторинга в Африке, г-н Райманн сообщил, что единственной станцией, выполняющей измерения, связанные с загрязнением атмосферы и парниковыми газами в Африке, является станция, недавно построенная в Руанде. Он надеется получить данные о гидрохлорфторуглеродах (ГХФУ) и ГФУ, которые помогут в подготовке региональных оценок, касающихся этого континента. Он также отметил, что в рамках другого проекта, финансируемого Европейским союзом, могут быть открыты новые станции по всему миру, в том числе в Африке. Отвечая на вопрос о станции в Руанде, г</w:t>
      </w:r>
      <w:r w:rsidR="00F24B5B">
        <w:rPr>
          <w:lang w:val="ru-RU"/>
        </w:rPr>
        <w:noBreakHyphen/>
      </w:r>
      <w:r>
        <w:rPr>
          <w:lang w:val="ru-RU"/>
        </w:rPr>
        <w:t>жа</w:t>
      </w:r>
      <w:r w:rsidR="00F24B5B">
        <w:rPr>
          <w:lang w:val="ru-RU"/>
        </w:rPr>
        <w:t> </w:t>
      </w:r>
      <w:r>
        <w:rPr>
          <w:lang w:val="ru-RU"/>
        </w:rPr>
        <w:t>Карпентер пояснила, что она была сооружена год назад и данные о ней имеются в сети «Расширенного эксперимента по глобальным атмосферным газам» (АГАГЕ), в рамках которой работает несколько станций. В ближайшее время эти данные будут опубликованы.</w:t>
      </w:r>
    </w:p>
    <w:p w14:paraId="03739F67" w14:textId="59AB8211"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Один представитель задал вопрос, почему Группа по техническому обзору и экономической оценке не проанализировала и не сопоставила методологии, применяемые Сторонами для оценки, регистрации и проверки выбросов ГФУ-23, и не высказала свои соображения в отношении этой информации. Его интересовало, сможет ли Группа сделать это в будущем. Г-н Кэмпбелл пояснил, что он не в состоянии сделать заключение о том, какая методология лучше, поскольку имеется множество различных методологий. Например, некоторые Стороны использовали руководящие принципы для представления сведений о хлорированных газах в соответствии с Рамочной конвенцией Организации Объединенных Наций об изменении климата, что в результате привело к представлению весьма подробных материалов. В ответ на замечание другого представителя о том, что группы не выработали рекомендаций относительно дальнейших действий в связи с выбросами ГФУ-23, г</w:t>
      </w:r>
      <w:r w:rsidR="00971410">
        <w:rPr>
          <w:lang w:val="ru-RU"/>
        </w:rPr>
        <w:noBreakHyphen/>
      </w:r>
      <w:r>
        <w:rPr>
          <w:lang w:val="ru-RU"/>
        </w:rPr>
        <w:t>жа</w:t>
      </w:r>
      <w:r w:rsidR="00971410">
        <w:rPr>
          <w:lang w:val="ru-RU"/>
        </w:rPr>
        <w:t> </w:t>
      </w:r>
      <w:r>
        <w:rPr>
          <w:lang w:val="ru-RU"/>
        </w:rPr>
        <w:t xml:space="preserve">Карпентер заявила, что группы действовали в соответствии с мандатом, закрепленным в решениях Сторон. </w:t>
      </w:r>
    </w:p>
    <w:p w14:paraId="05B6F303" w14:textId="3E49E12B"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 о воспламеняемости ГФУ-23 и его использовании в холодильном оборудовании, г-н Кэмпбелл подчеркнул, что ГФУ-23 не является воспламеняющимся газом, при этом, благодаря свойствам этого газа, преимущества его использования в холодильно</w:t>
      </w:r>
      <w:r w:rsidR="00971410">
        <w:rPr>
          <w:lang w:val="ru-RU"/>
        </w:rPr>
        <w:t>м</w:t>
      </w:r>
      <w:r>
        <w:rPr>
          <w:lang w:val="ru-RU"/>
        </w:rPr>
        <w:t xml:space="preserve"> оборудовании проявляются только при чрезвычайно низких температурах, таких как температуры, требующиеся для первых вакцин против коронавирусной инфекции (COVID-19).</w:t>
      </w:r>
    </w:p>
    <w:p w14:paraId="56955D3B"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В ходе последовавшего обсуждения несколько представителей поблагодарили группы за представленные ими доклады.</w:t>
      </w:r>
    </w:p>
    <w:p w14:paraId="3B26818B" w14:textId="2155E4C5"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Несколько представителей выразили обеспокоенность по поводу сохраняющегося разрыва между оценками выбросов ГФУ-23, основанными на атмосферных измерениях, и оценками, основанными на представленных </w:t>
      </w:r>
      <w:r w:rsidR="00BA5A9E">
        <w:rPr>
          <w:lang w:val="ru-RU"/>
        </w:rPr>
        <w:t>данных</w:t>
      </w:r>
      <w:r>
        <w:rPr>
          <w:lang w:val="ru-RU"/>
        </w:rPr>
        <w:t>. Однако некоторые представители отметили, что этот разрыв сократился, несмотря на увеличение производства ГХФУ-22.</w:t>
      </w:r>
    </w:p>
    <w:p w14:paraId="4F44748E"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выразила мнение о том, что в обновленном докладе Группы по научной оценке информация представлена более объективно, исключены потенциально вводящие в заблуждение причинно-следственные толкования и представлены более полные и сопоставимые данные о соответствующих странах и регионах. Тем не менее, по ее мнению, информация по-прежнему является весьма ограниченной и в выводах групп отсутствуют существенные изменения, и это свидетельствует о том, что Стороны сталкиваются с трудностями при оценке и представлении данных о выбросах ГФУ-23. Необходимы дальнейшие исследования для обеспечения лучшего понимания международным сообществом источников, масштабов и механизмов выбросов ГФУ-23. </w:t>
      </w:r>
    </w:p>
    <w:p w14:paraId="10385B3B" w14:textId="21F83214"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Один представитель отметил, что до тех пор, пока разрыв остается таким же значительным</w:t>
      </w:r>
      <w:r w:rsidR="007976E8">
        <w:rPr>
          <w:lang w:val="ru-RU"/>
        </w:rPr>
        <w:t>,</w:t>
      </w:r>
      <w:r>
        <w:rPr>
          <w:lang w:val="ru-RU"/>
        </w:rPr>
        <w:t xml:space="preserve"> как в настоящее время, этот вопрос должен оставаться в повестке дня совещаний Сторон. Другой представитель заявил, что Сторонам следует быть готовыми к пересмотру прошлых предположений, изучению новых исследовательских подходов и признанию того, что научные открытия требуют времени, терпения, а также спокойного и скрупулезного подхода.</w:t>
      </w:r>
    </w:p>
    <w:p w14:paraId="5D10B2A2" w14:textId="77777777"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Один представитель выразил желание лучше понять методологии, используемые Сторонами для оценки их выбросов ГФУ-23 и представления отчетности по ним. Он задал вопрос о том, может ли Группа по техническому обзору и экономической оценке объяснить в упрощенной форме, чем отличаются подходы разных Сторон, поскольку этот разрыв может быть отчасти обусловлен способом оценки выбросов.</w:t>
      </w:r>
    </w:p>
    <w:p w14:paraId="64A1E6A3" w14:textId="7D2B4CBE" w:rsidR="00953C56" w:rsidRPr="00895200" w:rsidRDefault="00953C56" w:rsidP="00755EE6">
      <w:pPr>
        <w:pStyle w:val="Normalnumber"/>
        <w:tabs>
          <w:tab w:val="clear" w:pos="624"/>
          <w:tab w:val="clear" w:pos="1247"/>
          <w:tab w:val="clear" w:pos="1814"/>
          <w:tab w:val="clear" w:pos="2381"/>
          <w:tab w:val="clear" w:pos="2948"/>
          <w:tab w:val="clear" w:pos="3515"/>
        </w:tabs>
        <w:ind w:left="1247"/>
        <w:rPr>
          <w:lang w:val="ru-RU"/>
        </w:rPr>
      </w:pPr>
      <w:r>
        <w:rPr>
          <w:lang w:val="ru-RU"/>
        </w:rPr>
        <w:t>Некоторые представители настоятельно призвали Стороны, которые еще не сделали этого, представить информацию о потреблении ГФУ-23 для использования Группой по техническому обзору и экономической оценке. Один представитель просила разъяснить, почему тоннаж, о котором сообщила одна из Сторон, увеличился в 10 раз по сравнению с предыдущим годом. Некоторые представители заявили, что для преодоления разрыва необходимо более тесное сотрудничество между глобальным Севером и глобальным Югом; важно оказывать техническую поддержку странам, не расширяя сферу действия решения</w:t>
      </w:r>
      <w:r w:rsidR="00F24B5B">
        <w:rPr>
          <w:lang w:val="ru-RU"/>
        </w:rPr>
        <w:t> </w:t>
      </w:r>
      <w:r>
        <w:rPr>
          <w:lang w:val="ru-RU"/>
        </w:rPr>
        <w:t xml:space="preserve">XXXVI/3; и необходимо учитывать конкретные условия и возможности развивающихся стран. Один представитель заявил, что необходимо более четкое определение производства. Он также заявил, что обновление данных об исходном сырье и уничтожении побочных продуктов выходит за рамки решения XXXVI/3. </w:t>
      </w:r>
    </w:p>
    <w:p w14:paraId="3219E9BC" w14:textId="4113A3C1" w:rsidR="00953C56" w:rsidRPr="009B31CD" w:rsidRDefault="00953C56" w:rsidP="00755EE6">
      <w:pPr>
        <w:pStyle w:val="Normalnumber"/>
        <w:tabs>
          <w:tab w:val="clear" w:pos="624"/>
          <w:tab w:val="clear" w:pos="1247"/>
          <w:tab w:val="clear" w:pos="1814"/>
          <w:tab w:val="clear" w:pos="2381"/>
          <w:tab w:val="clear" w:pos="2948"/>
          <w:tab w:val="clear" w:pos="3515"/>
        </w:tabs>
        <w:ind w:left="1247"/>
      </w:pPr>
      <w:r>
        <w:rPr>
          <w:lang w:val="ru-RU"/>
        </w:rPr>
        <w:t xml:space="preserve">Один представитель рассказала об активных усилиях правительства, частного сектора и научных кругов ее страны по выявлению причин выбросов ГФУ и поиску решений, включая независимую проверку на местах всех известных предприятий, на которых образуется ГФУ-23; </w:t>
      </w:r>
      <w:r>
        <w:rPr>
          <w:lang w:val="ru-RU"/>
        </w:rPr>
        <w:lastRenderedPageBreak/>
        <w:t>технические консультации с отраслевыми экспертами; разработку технических руководящих принципов для определения и представления данных о выбросах побочных продуктов ГФУ-23 на предприятиях по производству ГХФУ-22; и сотрудничество между научно</w:t>
      </w:r>
      <w:r w:rsidR="00DF1F0A">
        <w:rPr>
          <w:lang w:val="ru-RU"/>
        </w:rPr>
        <w:noBreakHyphen/>
      </w:r>
      <w:r>
        <w:rPr>
          <w:lang w:val="ru-RU"/>
        </w:rPr>
        <w:t>исследовательскими институтами, в том числе в области разработки технологий. Кроме того, один из производителей построил и ввел в эксплуатацию первое в мире промышленное предприятие по переработке ГФУ-23 в ГХФУ-22. Другой представитель выразил признательность за все усилия этой страны.</w:t>
      </w:r>
    </w:p>
    <w:p w14:paraId="3CEC007C" w14:textId="47AD4AE7" w:rsidR="006A5D23" w:rsidRPr="006A5D23" w:rsidRDefault="002D5348"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Впоследствии представитель Соединенных Штатов</w:t>
      </w:r>
      <w:r w:rsidR="00DF1F0A">
        <w:rPr>
          <w:lang w:val="ru-RU"/>
        </w:rPr>
        <w:t xml:space="preserve"> Америки</w:t>
      </w:r>
      <w:r>
        <w:rPr>
          <w:lang w:val="ru-RU"/>
        </w:rPr>
        <w:t xml:space="preserve"> предоставил дополнительную информацию относительно данных о его стране. Он повторил, что Национальное управление по исследованию океанов и атмосферы Соединенных Штатов Америки готовится обнародовать данные для исследования выбросов ГФУ-23 за период 2018</w:t>
      </w:r>
      <w:r w:rsidR="00DF1F0A">
        <w:rPr>
          <w:lang w:val="ru-RU"/>
        </w:rPr>
        <w:noBreakHyphen/>
      </w:r>
      <w:r>
        <w:rPr>
          <w:lang w:val="ru-RU"/>
        </w:rPr>
        <w:t xml:space="preserve">2021 годов. </w:t>
      </w:r>
      <w:r w:rsidR="006A5D23" w:rsidRPr="006A5D23">
        <w:rPr>
          <w:lang w:val="ru-RU"/>
        </w:rPr>
        <w:t xml:space="preserve">Данные, полученные на основе атмосферных измерений, </w:t>
      </w:r>
      <w:r w:rsidR="005459A4">
        <w:rPr>
          <w:lang w:val="ru-RU"/>
        </w:rPr>
        <w:t xml:space="preserve">составили </w:t>
      </w:r>
      <w:r w:rsidR="005459A4" w:rsidRPr="006A5D23">
        <w:rPr>
          <w:lang w:val="ru-RU"/>
        </w:rPr>
        <w:t>0,4</w:t>
      </w:r>
      <w:r w:rsidR="00DF1F0A">
        <w:rPr>
          <w:lang w:val="ru-RU"/>
        </w:rPr>
        <w:t> </w:t>
      </w:r>
      <w:r w:rsidR="005459A4" w:rsidRPr="006A5D23">
        <w:rPr>
          <w:lang w:val="ru-RU"/>
        </w:rPr>
        <w:t xml:space="preserve">килотонны </w:t>
      </w:r>
      <w:r w:rsidR="005459A4">
        <w:rPr>
          <w:lang w:val="ru-RU"/>
        </w:rPr>
        <w:t xml:space="preserve">в год </w:t>
      </w:r>
      <w:r w:rsidR="006A5D23">
        <w:rPr>
          <w:lang w:val="ru-RU"/>
        </w:rPr>
        <w:t>в отличие от заявленных</w:t>
      </w:r>
      <w:r w:rsidR="006A5D23" w:rsidRPr="006A5D23">
        <w:rPr>
          <w:lang w:val="ru-RU"/>
        </w:rPr>
        <w:t xml:space="preserve"> данны</w:t>
      </w:r>
      <w:r w:rsidR="006A5D23">
        <w:rPr>
          <w:lang w:val="ru-RU"/>
        </w:rPr>
        <w:t>х о</w:t>
      </w:r>
      <w:r w:rsidR="006A5D23" w:rsidRPr="006A5D23">
        <w:rPr>
          <w:lang w:val="ru-RU"/>
        </w:rPr>
        <w:t xml:space="preserve"> 0,31 килотонны в год,</w:t>
      </w:r>
      <w:r w:rsidR="006A5D23">
        <w:rPr>
          <w:lang w:val="ru-RU"/>
        </w:rPr>
        <w:t xml:space="preserve"> полученных</w:t>
      </w:r>
      <w:r w:rsidR="006A5D23" w:rsidRPr="006A5D23">
        <w:rPr>
          <w:lang w:val="ru-RU"/>
        </w:rPr>
        <w:t xml:space="preserve"> от конкретных производственных объектов, что находится в пределах погрешности </w:t>
      </w:r>
      <w:r w:rsidR="006A5D23">
        <w:rPr>
          <w:lang w:val="ru-RU"/>
        </w:rPr>
        <w:t>для исследований атмосферы</w:t>
      </w:r>
      <w:r w:rsidR="006A5D23" w:rsidRPr="006A5D23">
        <w:rPr>
          <w:lang w:val="ru-RU"/>
        </w:rPr>
        <w:t xml:space="preserve">. </w:t>
      </w:r>
      <w:r w:rsidR="006A5D23">
        <w:rPr>
          <w:lang w:val="ru-RU"/>
        </w:rPr>
        <w:t>В отношении</w:t>
      </w:r>
      <w:r w:rsidR="006A5D23" w:rsidRPr="006A5D23">
        <w:rPr>
          <w:lang w:val="ru-RU"/>
        </w:rPr>
        <w:t xml:space="preserve"> упом</w:t>
      </w:r>
      <w:r w:rsidR="006A5D23">
        <w:rPr>
          <w:lang w:val="ru-RU"/>
        </w:rPr>
        <w:t>янутых</w:t>
      </w:r>
      <w:r w:rsidR="006A5D23" w:rsidRPr="006A5D23">
        <w:rPr>
          <w:lang w:val="ru-RU"/>
        </w:rPr>
        <w:t xml:space="preserve"> одной делегацией </w:t>
      </w:r>
      <w:r w:rsidR="006A5D23">
        <w:rPr>
          <w:lang w:val="ru-RU"/>
        </w:rPr>
        <w:t xml:space="preserve">данных об </w:t>
      </w:r>
      <w:r w:rsidR="006A5D23" w:rsidRPr="006A5D23">
        <w:rPr>
          <w:lang w:val="ru-RU"/>
        </w:rPr>
        <w:t>0,04</w:t>
      </w:r>
      <w:r w:rsidR="00DF1F0A">
        <w:rPr>
          <w:lang w:val="ru-RU"/>
        </w:rPr>
        <w:t> </w:t>
      </w:r>
      <w:r w:rsidR="006A5D23" w:rsidRPr="006A5D23">
        <w:rPr>
          <w:lang w:val="ru-RU"/>
        </w:rPr>
        <w:t>килотонны</w:t>
      </w:r>
      <w:r w:rsidR="006A5D23">
        <w:rPr>
          <w:lang w:val="ru-RU"/>
        </w:rPr>
        <w:t xml:space="preserve"> за 2023 год</w:t>
      </w:r>
      <w:r w:rsidR="006A5D23" w:rsidRPr="006A5D23">
        <w:rPr>
          <w:lang w:val="ru-RU"/>
        </w:rPr>
        <w:t xml:space="preserve">, </w:t>
      </w:r>
      <w:r w:rsidR="005459A4">
        <w:rPr>
          <w:lang w:val="ru-RU"/>
        </w:rPr>
        <w:t>представленных</w:t>
      </w:r>
      <w:r w:rsidR="006A5D23" w:rsidRPr="006A5D23">
        <w:rPr>
          <w:lang w:val="ru-RU"/>
        </w:rPr>
        <w:t xml:space="preserve"> Соединенны</w:t>
      </w:r>
      <w:r w:rsidR="005459A4">
        <w:rPr>
          <w:lang w:val="ru-RU"/>
        </w:rPr>
        <w:t>ми</w:t>
      </w:r>
      <w:r w:rsidR="006A5D23" w:rsidRPr="006A5D23">
        <w:rPr>
          <w:lang w:val="ru-RU"/>
        </w:rPr>
        <w:t xml:space="preserve"> Штат</w:t>
      </w:r>
      <w:r w:rsidR="005459A4">
        <w:rPr>
          <w:lang w:val="ru-RU"/>
        </w:rPr>
        <w:t>ами</w:t>
      </w:r>
      <w:r w:rsidR="006A5D23" w:rsidRPr="006A5D23">
        <w:rPr>
          <w:lang w:val="ru-RU"/>
        </w:rPr>
        <w:t xml:space="preserve"> </w:t>
      </w:r>
      <w:r w:rsidR="006A5D23">
        <w:rPr>
          <w:lang w:val="ru-RU"/>
        </w:rPr>
        <w:t xml:space="preserve">Америки </w:t>
      </w:r>
      <w:r w:rsidR="005459A4">
        <w:rPr>
          <w:lang w:val="ru-RU"/>
        </w:rPr>
        <w:t>в отношении только</w:t>
      </w:r>
      <w:r w:rsidR="006A5D23" w:rsidRPr="006A5D23">
        <w:rPr>
          <w:lang w:val="ru-RU"/>
        </w:rPr>
        <w:t xml:space="preserve"> промышленны</w:t>
      </w:r>
      <w:r w:rsidR="005459A4">
        <w:rPr>
          <w:lang w:val="ru-RU"/>
        </w:rPr>
        <w:t>х</w:t>
      </w:r>
      <w:r w:rsidR="006A5D23" w:rsidRPr="006A5D23">
        <w:rPr>
          <w:lang w:val="ru-RU"/>
        </w:rPr>
        <w:t xml:space="preserve"> источник</w:t>
      </w:r>
      <w:r w:rsidR="005459A4">
        <w:rPr>
          <w:lang w:val="ru-RU"/>
        </w:rPr>
        <w:t>ов</w:t>
      </w:r>
      <w:r w:rsidR="006A5D23" w:rsidRPr="006A5D23">
        <w:rPr>
          <w:lang w:val="ru-RU"/>
        </w:rPr>
        <w:t>, представитель Соединенных Штатов</w:t>
      </w:r>
      <w:r w:rsidR="006A5D23">
        <w:rPr>
          <w:lang w:val="ru-RU"/>
        </w:rPr>
        <w:t xml:space="preserve"> Америки</w:t>
      </w:r>
      <w:r w:rsidR="006A5D23" w:rsidRPr="006A5D23">
        <w:rPr>
          <w:lang w:val="ru-RU"/>
        </w:rPr>
        <w:t xml:space="preserve"> пояснил, что существенно более низкий показатель обусловлен внутренними мерами, принятыми после периода, за который были представлены данные Национального управления </w:t>
      </w:r>
      <w:r w:rsidR="006A5D23">
        <w:rPr>
          <w:lang w:val="ru-RU"/>
        </w:rPr>
        <w:t>по исследованию океанов и атмосферы</w:t>
      </w:r>
      <w:r w:rsidR="006A5D23" w:rsidRPr="006A5D23">
        <w:rPr>
          <w:lang w:val="ru-RU"/>
        </w:rPr>
        <w:t>. Соединенные Штаты</w:t>
      </w:r>
      <w:r w:rsidR="006A5D23">
        <w:rPr>
          <w:lang w:val="ru-RU"/>
        </w:rPr>
        <w:t xml:space="preserve"> Америки</w:t>
      </w:r>
      <w:r w:rsidR="006A5D23" w:rsidRPr="006A5D23">
        <w:rPr>
          <w:lang w:val="ru-RU"/>
        </w:rPr>
        <w:t xml:space="preserve"> ратифицировали Кигалийскую поправку в октябре 2022 года и </w:t>
      </w:r>
      <w:r w:rsidR="005459A4">
        <w:rPr>
          <w:lang w:val="ru-RU"/>
        </w:rPr>
        <w:t xml:space="preserve">соблюдают ее </w:t>
      </w:r>
      <w:r w:rsidR="006A5D23" w:rsidRPr="006A5D23">
        <w:rPr>
          <w:lang w:val="ru-RU"/>
        </w:rPr>
        <w:t>в настоящее время.</w:t>
      </w:r>
    </w:p>
    <w:p w14:paraId="5DC454B0" w14:textId="1E07C767"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Один представитель напомнил, что работа </w:t>
      </w:r>
      <w:r>
        <w:rPr>
          <w:lang w:val="ru-RU"/>
        </w:rPr>
        <w:t>в отношении ГФУ</w:t>
      </w:r>
      <w:r w:rsidRPr="005459A4">
        <w:rPr>
          <w:lang w:val="ru-RU"/>
        </w:rPr>
        <w:t xml:space="preserve">‑23 продолжается в рамках Многостороннего фонда. Исполнительный комитет одобрил проекты, связанные с </w:t>
      </w:r>
      <w:r>
        <w:rPr>
          <w:lang w:val="ru-RU"/>
        </w:rPr>
        <w:t>одним объектом по производству</w:t>
      </w:r>
      <w:r w:rsidRPr="005459A4">
        <w:rPr>
          <w:lang w:val="ru-RU"/>
        </w:rPr>
        <w:t xml:space="preserve"> </w:t>
      </w:r>
      <w:r>
        <w:rPr>
          <w:lang w:val="ru-RU"/>
        </w:rPr>
        <w:t>ГХФУ</w:t>
      </w:r>
      <w:r w:rsidRPr="005459A4">
        <w:rPr>
          <w:lang w:val="ru-RU"/>
        </w:rPr>
        <w:t xml:space="preserve">‑22 в Аргентине и двумя </w:t>
      </w:r>
      <w:r>
        <w:rPr>
          <w:lang w:val="ru-RU"/>
        </w:rPr>
        <w:t>объектами</w:t>
      </w:r>
      <w:r w:rsidR="00036D28">
        <w:rPr>
          <w:lang w:val="ru-RU"/>
        </w:rPr>
        <w:t xml:space="preserve"> в</w:t>
      </w:r>
      <w:r w:rsidRPr="005459A4">
        <w:rPr>
          <w:lang w:val="ru-RU"/>
        </w:rPr>
        <w:t xml:space="preserve"> Мексике, которые успешно реализуются и обеспечивают сокращение выбросов </w:t>
      </w:r>
      <w:r>
        <w:rPr>
          <w:lang w:val="ru-RU"/>
        </w:rPr>
        <w:t>ГФУ</w:t>
      </w:r>
      <w:r w:rsidRPr="005459A4">
        <w:rPr>
          <w:lang w:val="ru-RU"/>
        </w:rPr>
        <w:t xml:space="preserve">‑23 на этих </w:t>
      </w:r>
      <w:r>
        <w:rPr>
          <w:lang w:val="ru-RU"/>
        </w:rPr>
        <w:t>трех объектах</w:t>
      </w:r>
      <w:r w:rsidRPr="005459A4">
        <w:rPr>
          <w:lang w:val="ru-RU"/>
        </w:rPr>
        <w:t>. Он выразил признательность двум странам и учреждениям-исполнителям.</w:t>
      </w:r>
    </w:p>
    <w:p w14:paraId="4FF1CCD6" w14:textId="7BF7BB06"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Один представитель присоединился к предыдущим выступавшим, подчеркнув важность решения проблемы высоких уровней выбросов и расхождения между заявленными</w:t>
      </w:r>
      <w:r>
        <w:rPr>
          <w:lang w:val="ru-RU"/>
        </w:rPr>
        <w:t xml:space="preserve"> данными о</w:t>
      </w:r>
      <w:r w:rsidRPr="005459A4">
        <w:rPr>
          <w:lang w:val="ru-RU"/>
        </w:rPr>
        <w:t xml:space="preserve"> выброса</w:t>
      </w:r>
      <w:r>
        <w:rPr>
          <w:lang w:val="ru-RU"/>
        </w:rPr>
        <w:t>х</w:t>
      </w:r>
      <w:r w:rsidRPr="005459A4">
        <w:rPr>
          <w:lang w:val="ru-RU"/>
        </w:rPr>
        <w:t xml:space="preserve"> и </w:t>
      </w:r>
      <w:r>
        <w:rPr>
          <w:lang w:val="ru-RU"/>
        </w:rPr>
        <w:t>данным</w:t>
      </w:r>
      <w:r w:rsidRPr="005459A4">
        <w:rPr>
          <w:lang w:val="ru-RU"/>
        </w:rPr>
        <w:t xml:space="preserve">и, полученными на основе обратного моделирования. По его словам, безусловно важно учитывать методологии, используемые Сторонами для оценки и представления </w:t>
      </w:r>
      <w:r>
        <w:rPr>
          <w:lang w:val="ru-RU"/>
        </w:rPr>
        <w:t>данных о</w:t>
      </w:r>
      <w:r w:rsidRPr="005459A4">
        <w:rPr>
          <w:lang w:val="ru-RU"/>
        </w:rPr>
        <w:t xml:space="preserve"> выброса</w:t>
      </w:r>
      <w:r>
        <w:rPr>
          <w:lang w:val="ru-RU"/>
        </w:rPr>
        <w:t>х</w:t>
      </w:r>
      <w:r w:rsidRPr="005459A4">
        <w:rPr>
          <w:lang w:val="ru-RU"/>
        </w:rPr>
        <w:t>, а также другие технические детали, однако Сторонам необходимо предпринимать более решительные меры, чтобы не подорвать прежние успехи Монреальского протокола, так же, как это было сделано в ответ на неожиданные выбросы хлорфторуглерода‑11 (</w:t>
      </w:r>
      <w:r>
        <w:rPr>
          <w:lang w:val="ru-RU"/>
        </w:rPr>
        <w:t>ХФУ</w:t>
      </w:r>
      <w:r w:rsidRPr="005459A4">
        <w:rPr>
          <w:lang w:val="ru-RU"/>
        </w:rPr>
        <w:t>‑11).</w:t>
      </w:r>
    </w:p>
    <w:p w14:paraId="6E41AC28" w14:textId="5FD0FF2F" w:rsidR="005459A4"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Представитель Канады внес</w:t>
      </w:r>
      <w:r>
        <w:rPr>
          <w:lang w:val="ru-RU"/>
        </w:rPr>
        <w:t xml:space="preserve"> на рассмотрение</w:t>
      </w:r>
      <w:r w:rsidRPr="005459A4">
        <w:rPr>
          <w:lang w:val="ru-RU"/>
        </w:rPr>
        <w:t xml:space="preserve"> предложение </w:t>
      </w:r>
      <w:r>
        <w:rPr>
          <w:lang w:val="ru-RU"/>
        </w:rPr>
        <w:t xml:space="preserve">о </w:t>
      </w:r>
      <w:r w:rsidRPr="005459A4">
        <w:rPr>
          <w:lang w:val="ru-RU"/>
        </w:rPr>
        <w:t>проект</w:t>
      </w:r>
      <w:r>
        <w:rPr>
          <w:lang w:val="ru-RU"/>
        </w:rPr>
        <w:t>е</w:t>
      </w:r>
      <w:r w:rsidRPr="005459A4">
        <w:rPr>
          <w:lang w:val="ru-RU"/>
        </w:rPr>
        <w:t xml:space="preserve"> решения, </w:t>
      </w:r>
      <w:r>
        <w:rPr>
          <w:lang w:val="ru-RU"/>
        </w:rPr>
        <w:t>представленное</w:t>
      </w:r>
      <w:r w:rsidRPr="005459A4">
        <w:rPr>
          <w:lang w:val="ru-RU"/>
        </w:rPr>
        <w:t xml:space="preserve"> Европейским союзом, Канадой, Норвегией и Швейцарией и изложенное в документе зала заседаний</w:t>
      </w:r>
      <w:r w:rsidR="002A697E">
        <w:rPr>
          <w:lang w:val="ru-RU"/>
        </w:rPr>
        <w:t>.</w:t>
      </w:r>
      <w:r w:rsidRPr="005459A4">
        <w:rPr>
          <w:lang w:val="ru-RU"/>
        </w:rPr>
        <w:t xml:space="preserve"> Он пояснил, что в нем содержится </w:t>
      </w:r>
      <w:r>
        <w:rPr>
          <w:lang w:val="ru-RU"/>
        </w:rPr>
        <w:t>запрос</w:t>
      </w:r>
      <w:r w:rsidRPr="005459A4">
        <w:rPr>
          <w:lang w:val="ru-RU"/>
        </w:rPr>
        <w:t xml:space="preserve"> к Группе по научной оценке и Группе по техническо</w:t>
      </w:r>
      <w:r>
        <w:rPr>
          <w:lang w:val="ru-RU"/>
        </w:rPr>
        <w:t>му обзору</w:t>
      </w:r>
      <w:r w:rsidRPr="005459A4">
        <w:rPr>
          <w:lang w:val="ru-RU"/>
        </w:rPr>
        <w:t xml:space="preserve"> и экономической оценке обновить </w:t>
      </w:r>
      <w:r>
        <w:rPr>
          <w:lang w:val="ru-RU"/>
        </w:rPr>
        <w:t>их</w:t>
      </w:r>
      <w:r w:rsidRPr="005459A4">
        <w:rPr>
          <w:lang w:val="ru-RU"/>
        </w:rPr>
        <w:t xml:space="preserve"> доклады </w:t>
      </w:r>
      <w:r>
        <w:rPr>
          <w:lang w:val="ru-RU"/>
        </w:rPr>
        <w:t>в соответствии с</w:t>
      </w:r>
      <w:r w:rsidRPr="005459A4">
        <w:rPr>
          <w:lang w:val="ru-RU"/>
        </w:rPr>
        <w:t xml:space="preserve"> решен</w:t>
      </w:r>
      <w:r>
        <w:rPr>
          <w:lang w:val="ru-RU"/>
        </w:rPr>
        <w:t>ием</w:t>
      </w:r>
      <w:r w:rsidRPr="005459A4">
        <w:rPr>
          <w:lang w:val="ru-RU"/>
        </w:rPr>
        <w:t xml:space="preserve"> </w:t>
      </w:r>
      <w:r w:rsidRPr="005459A4">
        <w:t>XXXVI</w:t>
      </w:r>
      <w:r w:rsidRPr="005459A4">
        <w:rPr>
          <w:lang w:val="ru-RU"/>
        </w:rPr>
        <w:t xml:space="preserve">/3 с учетом любой дополнительной или новой информации. По его мнению, </w:t>
      </w:r>
      <w:r>
        <w:rPr>
          <w:lang w:val="ru-RU"/>
        </w:rPr>
        <w:t xml:space="preserve">не ожидается </w:t>
      </w:r>
      <w:r w:rsidRPr="005459A4">
        <w:rPr>
          <w:lang w:val="ru-RU"/>
        </w:rPr>
        <w:t>существенны</w:t>
      </w:r>
      <w:r>
        <w:rPr>
          <w:lang w:val="ru-RU"/>
        </w:rPr>
        <w:t>х обновлений</w:t>
      </w:r>
      <w:r w:rsidRPr="005459A4">
        <w:rPr>
          <w:lang w:val="ru-RU"/>
        </w:rPr>
        <w:t>. Кроме того, Группе по техническо</w:t>
      </w:r>
      <w:r>
        <w:rPr>
          <w:lang w:val="ru-RU"/>
        </w:rPr>
        <w:t>му обзору</w:t>
      </w:r>
      <w:r w:rsidRPr="005459A4">
        <w:rPr>
          <w:lang w:val="ru-RU"/>
        </w:rPr>
        <w:t xml:space="preserve"> и экономической оценке </w:t>
      </w:r>
      <w:r>
        <w:rPr>
          <w:lang w:val="ru-RU"/>
        </w:rPr>
        <w:t>предлагается</w:t>
      </w:r>
      <w:r w:rsidRPr="005459A4">
        <w:rPr>
          <w:lang w:val="ru-RU"/>
        </w:rPr>
        <w:t xml:space="preserve"> представить описание и сопоставление методологий оценки выбросов </w:t>
      </w:r>
      <w:r>
        <w:rPr>
          <w:lang w:val="ru-RU"/>
        </w:rPr>
        <w:t>ГФУ</w:t>
      </w:r>
      <w:r w:rsidRPr="005459A4">
        <w:rPr>
          <w:lang w:val="ru-RU"/>
        </w:rPr>
        <w:t>‑23, представленных Сторонами. Он призна</w:t>
      </w:r>
      <w:r>
        <w:rPr>
          <w:lang w:val="ru-RU"/>
        </w:rPr>
        <w:t>ет</w:t>
      </w:r>
      <w:r w:rsidRPr="005459A4">
        <w:rPr>
          <w:lang w:val="ru-RU"/>
        </w:rPr>
        <w:t>, что дополнительная информация не позволит Сторонам устранить расхождения, однако авторы предложения с</w:t>
      </w:r>
      <w:r>
        <w:rPr>
          <w:lang w:val="ru-RU"/>
        </w:rPr>
        <w:t>читают</w:t>
      </w:r>
      <w:r w:rsidRPr="005459A4">
        <w:rPr>
          <w:lang w:val="ru-RU"/>
        </w:rPr>
        <w:t xml:space="preserve"> важным, чтобы Стороны понимали, </w:t>
      </w:r>
      <w:r>
        <w:rPr>
          <w:lang w:val="ru-RU"/>
        </w:rPr>
        <w:t>каким образом осуществляются оценка, представление и проверка данных о выбросах.</w:t>
      </w:r>
      <w:r w:rsidRPr="005459A4">
        <w:rPr>
          <w:lang w:val="ru-RU"/>
        </w:rPr>
        <w:t xml:space="preserve"> Цель сравнения заключа</w:t>
      </w:r>
      <w:r>
        <w:rPr>
          <w:lang w:val="ru-RU"/>
        </w:rPr>
        <w:t>ется</w:t>
      </w:r>
      <w:r w:rsidRPr="005459A4">
        <w:rPr>
          <w:lang w:val="ru-RU"/>
        </w:rPr>
        <w:t xml:space="preserve"> не в том, чтобы </w:t>
      </w:r>
      <w:r>
        <w:rPr>
          <w:lang w:val="ru-RU"/>
        </w:rPr>
        <w:t>Группа</w:t>
      </w:r>
      <w:r w:rsidRPr="005459A4">
        <w:rPr>
          <w:lang w:val="ru-RU"/>
        </w:rPr>
        <w:t xml:space="preserve"> проанализировала, какие методологии являются лучшими, </w:t>
      </w:r>
      <w:r>
        <w:rPr>
          <w:lang w:val="ru-RU"/>
        </w:rPr>
        <w:t>но в том,</w:t>
      </w:r>
      <w:r w:rsidRPr="005459A4">
        <w:rPr>
          <w:lang w:val="ru-RU"/>
        </w:rPr>
        <w:t xml:space="preserve"> чт</w:t>
      </w:r>
      <w:r>
        <w:rPr>
          <w:lang w:val="ru-RU"/>
        </w:rPr>
        <w:t xml:space="preserve">обы выявить различия </w:t>
      </w:r>
      <w:r w:rsidRPr="005459A4">
        <w:rPr>
          <w:lang w:val="ru-RU"/>
        </w:rPr>
        <w:t>между ними.</w:t>
      </w:r>
      <w:r>
        <w:rPr>
          <w:lang w:val="ru-RU"/>
        </w:rPr>
        <w:t xml:space="preserve"> Г</w:t>
      </w:r>
      <w:r w:rsidRPr="005459A4">
        <w:rPr>
          <w:lang w:val="ru-RU"/>
        </w:rPr>
        <w:t>руппе также пр</w:t>
      </w:r>
      <w:r>
        <w:rPr>
          <w:lang w:val="ru-RU"/>
        </w:rPr>
        <w:t>едлагается</w:t>
      </w:r>
      <w:r w:rsidRPr="005459A4">
        <w:rPr>
          <w:lang w:val="ru-RU"/>
        </w:rPr>
        <w:t xml:space="preserve"> описать ключевые элементы методологий, используемых в рамках механизма чистого развития согласно статье 12 Киотского протокола; предложить наилучшие методы для оценки выбросов ГФУ-23 при производстве ГХФУ-22;</w:t>
      </w:r>
      <w:r>
        <w:rPr>
          <w:lang w:val="ru-RU"/>
        </w:rPr>
        <w:t xml:space="preserve"> </w:t>
      </w:r>
      <w:r w:rsidRPr="005459A4">
        <w:rPr>
          <w:lang w:val="ru-RU"/>
        </w:rPr>
        <w:t>и предоставить информацию об уровнях ГХФУ-22, если имеются три производственных объекта</w:t>
      </w:r>
      <w:r>
        <w:rPr>
          <w:lang w:val="ru-RU"/>
        </w:rPr>
        <w:t xml:space="preserve"> или более</w:t>
      </w:r>
      <w:r w:rsidRPr="005459A4">
        <w:rPr>
          <w:lang w:val="ru-RU"/>
        </w:rPr>
        <w:t>, и об объемах производства и образовании ГФУ-23 в разбивке по странам или регионам, вместе с представленными Группой по научной оценке данными о концентрации ГФУ-23 в атмосфере над теми же странами или регионами при наличии так</w:t>
      </w:r>
      <w:r w:rsidR="007976E8">
        <w:rPr>
          <w:lang w:val="ru-RU"/>
        </w:rPr>
        <w:t>и</w:t>
      </w:r>
      <w:r w:rsidRPr="005459A4">
        <w:rPr>
          <w:lang w:val="ru-RU"/>
        </w:rPr>
        <w:t>х данных</w:t>
      </w:r>
      <w:r>
        <w:rPr>
          <w:lang w:val="ru-RU"/>
        </w:rPr>
        <w:t>;</w:t>
      </w:r>
      <w:r w:rsidRPr="005459A4">
        <w:rPr>
          <w:lang w:val="ru-RU"/>
        </w:rPr>
        <w:t xml:space="preserve"> а также показать, насколько это возможно, относительный вклад каждой страны и каждого региона в общий объем выбросов ГФУ-23, измеренных в атмосфере.</w:t>
      </w:r>
      <w:r w:rsidRPr="005459A4">
        <w:rPr>
          <w:color w:val="333333"/>
          <w:sz w:val="26"/>
          <w:szCs w:val="26"/>
          <w:shd w:val="clear" w:color="auto" w:fill="FFFFFF"/>
          <w:lang w:val="ru-RU"/>
        </w:rPr>
        <w:t xml:space="preserve"> </w:t>
      </w:r>
      <w:r w:rsidRPr="005459A4">
        <w:rPr>
          <w:lang w:val="ru-RU"/>
        </w:rPr>
        <w:t xml:space="preserve">В своем докладе Группа представила сравнение измеренных выбросов с заявленными выбросами для различных стран и регионов, однако </w:t>
      </w:r>
      <w:r>
        <w:rPr>
          <w:lang w:val="ru-RU"/>
        </w:rPr>
        <w:t>остается неясным</w:t>
      </w:r>
      <w:r w:rsidRPr="005459A4">
        <w:rPr>
          <w:lang w:val="ru-RU"/>
        </w:rPr>
        <w:t xml:space="preserve">, каковы фактические </w:t>
      </w:r>
      <w:r>
        <w:rPr>
          <w:lang w:val="ru-RU"/>
        </w:rPr>
        <w:t>уровни</w:t>
      </w:r>
      <w:r w:rsidRPr="005459A4">
        <w:rPr>
          <w:lang w:val="ru-RU"/>
        </w:rPr>
        <w:t xml:space="preserve"> производства ГХФУ-22 и побочного производства ГФУ-23 в этих регионах. В проекте решения Сторонам, имеющим </w:t>
      </w:r>
      <w:r>
        <w:rPr>
          <w:lang w:val="ru-RU"/>
        </w:rPr>
        <w:t>предприятия по производству ГХФУ</w:t>
      </w:r>
      <w:r w:rsidRPr="005459A4">
        <w:rPr>
          <w:lang w:val="ru-RU"/>
        </w:rPr>
        <w:t>‑22 и не представившим соответствующую информацию, предлага</w:t>
      </w:r>
      <w:r>
        <w:rPr>
          <w:lang w:val="ru-RU"/>
        </w:rPr>
        <w:t>ется сделать это</w:t>
      </w:r>
      <w:r w:rsidRPr="005459A4">
        <w:rPr>
          <w:lang w:val="ru-RU"/>
        </w:rPr>
        <w:t xml:space="preserve"> не позднее 31 марта 2026 года. Сторонам, </w:t>
      </w:r>
      <w:r>
        <w:rPr>
          <w:lang w:val="ru-RU"/>
        </w:rPr>
        <w:t>которые производят или генерируют ГФУ</w:t>
      </w:r>
      <w:r w:rsidRPr="005459A4">
        <w:rPr>
          <w:lang w:val="ru-RU"/>
        </w:rPr>
        <w:t>‑23, настоятельно рекоменд</w:t>
      </w:r>
      <w:r>
        <w:rPr>
          <w:lang w:val="ru-RU"/>
        </w:rPr>
        <w:t>уется</w:t>
      </w:r>
      <w:r w:rsidRPr="005459A4">
        <w:rPr>
          <w:lang w:val="ru-RU"/>
        </w:rPr>
        <w:t xml:space="preserve"> </w:t>
      </w:r>
      <w:r w:rsidRPr="005459A4">
        <w:rPr>
          <w:lang w:val="ru-RU"/>
        </w:rPr>
        <w:lastRenderedPageBreak/>
        <w:t>представлять данные о</w:t>
      </w:r>
      <w:r>
        <w:rPr>
          <w:lang w:val="ru-RU"/>
        </w:rPr>
        <w:t>б объемах</w:t>
      </w:r>
      <w:r w:rsidRPr="005459A4">
        <w:rPr>
          <w:lang w:val="ru-RU"/>
        </w:rPr>
        <w:t xml:space="preserve"> </w:t>
      </w:r>
      <w:r>
        <w:rPr>
          <w:lang w:val="ru-RU"/>
        </w:rPr>
        <w:t>ГФУ</w:t>
      </w:r>
      <w:r w:rsidRPr="005459A4">
        <w:rPr>
          <w:lang w:val="ru-RU"/>
        </w:rPr>
        <w:t xml:space="preserve">‑23, </w:t>
      </w:r>
      <w:r>
        <w:rPr>
          <w:lang w:val="ru-RU"/>
        </w:rPr>
        <w:t>которые были образованы, уловлены</w:t>
      </w:r>
      <w:r w:rsidRPr="005459A4">
        <w:rPr>
          <w:lang w:val="ru-RU"/>
        </w:rPr>
        <w:t>,</w:t>
      </w:r>
      <w:r>
        <w:rPr>
          <w:lang w:val="ru-RU"/>
        </w:rPr>
        <w:t xml:space="preserve"> использованы</w:t>
      </w:r>
      <w:r w:rsidRPr="005459A4">
        <w:rPr>
          <w:lang w:val="ru-RU"/>
        </w:rPr>
        <w:t>,</w:t>
      </w:r>
      <w:r>
        <w:rPr>
          <w:lang w:val="ru-RU"/>
        </w:rPr>
        <w:t xml:space="preserve"> уничтожены или находятся на хранении</w:t>
      </w:r>
      <w:r w:rsidRPr="005459A4">
        <w:rPr>
          <w:lang w:val="ru-RU"/>
        </w:rPr>
        <w:t xml:space="preserve">; обеспечивать эффективное уничтожение </w:t>
      </w:r>
      <w:r>
        <w:rPr>
          <w:lang w:val="ru-RU"/>
        </w:rPr>
        <w:t>ГФУ</w:t>
      </w:r>
      <w:r w:rsidRPr="005459A4">
        <w:rPr>
          <w:lang w:val="ru-RU"/>
        </w:rPr>
        <w:t xml:space="preserve">‑23, </w:t>
      </w:r>
      <w:r>
        <w:rPr>
          <w:lang w:val="ru-RU"/>
        </w:rPr>
        <w:t>иметь</w:t>
      </w:r>
      <w:r w:rsidRPr="005459A4">
        <w:rPr>
          <w:lang w:val="ru-RU"/>
        </w:rPr>
        <w:t xml:space="preserve"> надлежащи</w:t>
      </w:r>
      <w:r>
        <w:rPr>
          <w:lang w:val="ru-RU"/>
        </w:rPr>
        <w:t>е</w:t>
      </w:r>
      <w:r w:rsidRPr="005459A4">
        <w:rPr>
          <w:lang w:val="ru-RU"/>
        </w:rPr>
        <w:t xml:space="preserve"> программ</w:t>
      </w:r>
      <w:r>
        <w:rPr>
          <w:lang w:val="ru-RU"/>
        </w:rPr>
        <w:t>ы</w:t>
      </w:r>
      <w:r w:rsidRPr="005459A4">
        <w:rPr>
          <w:lang w:val="ru-RU"/>
        </w:rPr>
        <w:t xml:space="preserve"> по </w:t>
      </w:r>
      <w:r>
        <w:rPr>
          <w:lang w:val="ru-RU"/>
        </w:rPr>
        <w:t>регулированию утечек</w:t>
      </w:r>
      <w:r w:rsidRPr="005459A4">
        <w:rPr>
          <w:lang w:val="ru-RU"/>
        </w:rPr>
        <w:t xml:space="preserve"> и их устранению, а также </w:t>
      </w:r>
      <w:r>
        <w:rPr>
          <w:lang w:val="ru-RU"/>
        </w:rPr>
        <w:t>использовать эффективные</w:t>
      </w:r>
      <w:r w:rsidRPr="005459A4">
        <w:rPr>
          <w:lang w:val="ru-RU"/>
        </w:rPr>
        <w:t xml:space="preserve"> процесс</w:t>
      </w:r>
      <w:r>
        <w:rPr>
          <w:lang w:val="ru-RU"/>
        </w:rPr>
        <w:t>ы</w:t>
      </w:r>
      <w:r w:rsidRPr="005459A4">
        <w:rPr>
          <w:lang w:val="ru-RU"/>
        </w:rPr>
        <w:t xml:space="preserve"> мониторинга, </w:t>
      </w:r>
      <w:r>
        <w:rPr>
          <w:lang w:val="ru-RU"/>
        </w:rPr>
        <w:t>представления данных и проверки</w:t>
      </w:r>
      <w:r w:rsidRPr="005459A4">
        <w:rPr>
          <w:lang w:val="ru-RU"/>
        </w:rPr>
        <w:t xml:space="preserve">; и рассмотреть возможность внедрения мониторинга на конкретных производственных объектах в регионах, где были выявлены высокие уровни выбросов или где расположены крупные </w:t>
      </w:r>
      <w:r>
        <w:rPr>
          <w:lang w:val="ru-RU"/>
        </w:rPr>
        <w:t>предприятия по производству</w:t>
      </w:r>
      <w:r w:rsidRPr="005459A4">
        <w:rPr>
          <w:lang w:val="ru-RU"/>
        </w:rPr>
        <w:t xml:space="preserve"> </w:t>
      </w:r>
      <w:r>
        <w:rPr>
          <w:lang w:val="ru-RU"/>
        </w:rPr>
        <w:t>ГХФУ</w:t>
      </w:r>
      <w:r w:rsidRPr="005459A4">
        <w:rPr>
          <w:lang w:val="ru-RU"/>
        </w:rPr>
        <w:t>‑22.</w:t>
      </w:r>
    </w:p>
    <w:p w14:paraId="23809D25" w14:textId="01177674"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Представитель Норвегии, выступая </w:t>
      </w:r>
      <w:r>
        <w:rPr>
          <w:lang w:val="ru-RU"/>
        </w:rPr>
        <w:t>в качестве одного из авторов</w:t>
      </w:r>
      <w:r w:rsidRPr="005459A4">
        <w:rPr>
          <w:lang w:val="ru-RU"/>
        </w:rPr>
        <w:t xml:space="preserve"> проекта решения, отметил</w:t>
      </w:r>
      <w:r>
        <w:rPr>
          <w:lang w:val="ru-RU"/>
        </w:rPr>
        <w:t>а</w:t>
      </w:r>
      <w:r w:rsidRPr="005459A4">
        <w:rPr>
          <w:lang w:val="ru-RU"/>
        </w:rPr>
        <w:t xml:space="preserve">, что, хотя ряд </w:t>
      </w:r>
      <w:r>
        <w:rPr>
          <w:lang w:val="ru-RU"/>
        </w:rPr>
        <w:t>С</w:t>
      </w:r>
      <w:r w:rsidRPr="005459A4">
        <w:rPr>
          <w:lang w:val="ru-RU"/>
        </w:rPr>
        <w:t xml:space="preserve">торон предпринимают значительные усилия по углублению общего понимания </w:t>
      </w:r>
      <w:r>
        <w:rPr>
          <w:lang w:val="ru-RU"/>
        </w:rPr>
        <w:t>этого</w:t>
      </w:r>
      <w:r w:rsidRPr="005459A4">
        <w:rPr>
          <w:lang w:val="ru-RU"/>
        </w:rPr>
        <w:t xml:space="preserve"> вопроса и предоставляют информацию для содействия </w:t>
      </w:r>
      <w:r>
        <w:rPr>
          <w:lang w:val="ru-RU"/>
        </w:rPr>
        <w:t>работе групп по оценке</w:t>
      </w:r>
      <w:r w:rsidRPr="005459A4">
        <w:rPr>
          <w:lang w:val="ru-RU"/>
        </w:rPr>
        <w:t>, они далеки от ясного понимания основополагающих причин значительных расхождений, выявленных группами. Это вызывает серьезную обеспокоенность у ее Стороны, и крайне важно, чтобы Стороны продолжали сотрудничать в целях более полного объяснения и устранения этих расхождений.</w:t>
      </w:r>
    </w:p>
    <w:p w14:paraId="1819613F" w14:textId="5DED4C3A"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Представитель Европейского союза, </w:t>
      </w:r>
      <w:r>
        <w:rPr>
          <w:lang w:val="ru-RU"/>
        </w:rPr>
        <w:t xml:space="preserve">выступая в качестве одного </w:t>
      </w:r>
      <w:r w:rsidRPr="005459A4">
        <w:rPr>
          <w:lang w:val="ru-RU"/>
        </w:rPr>
        <w:t xml:space="preserve">из авторов проекта решения, отметил работу по совершенствованию оценок выбросов ГФУ-23, проводимую одной Стороной, включая недавно </w:t>
      </w:r>
      <w:r>
        <w:rPr>
          <w:lang w:val="ru-RU"/>
        </w:rPr>
        <w:t>проведенный</w:t>
      </w:r>
      <w:r w:rsidRPr="005459A4">
        <w:rPr>
          <w:lang w:val="ru-RU"/>
        </w:rPr>
        <w:t xml:space="preserve"> семинар</w:t>
      </w:r>
      <w:r>
        <w:rPr>
          <w:lang w:val="ru-RU"/>
        </w:rPr>
        <w:t>-практикум</w:t>
      </w:r>
      <w:r w:rsidRPr="005459A4">
        <w:rPr>
          <w:lang w:val="ru-RU"/>
        </w:rPr>
        <w:t xml:space="preserve">, в котором он принял участие, и разработку технических руководящих принципов по мониторингу, представлению данных и проверке выбросов ГФУ-23. Тем не менее, эта проблема затрагивает все Стороны и должна решаться коллективно, что и призван обеспечить </w:t>
      </w:r>
      <w:r>
        <w:rPr>
          <w:lang w:val="ru-RU"/>
        </w:rPr>
        <w:t>настоящий</w:t>
      </w:r>
      <w:r w:rsidRPr="005459A4">
        <w:rPr>
          <w:lang w:val="ru-RU"/>
        </w:rPr>
        <w:t xml:space="preserve"> проект решения. Он отметил важность изучения потенциальных источников выбросов</w:t>
      </w:r>
      <w:r>
        <w:rPr>
          <w:lang w:val="ru-RU"/>
        </w:rPr>
        <w:t>,</w:t>
      </w:r>
      <w:r w:rsidRPr="005459A4">
        <w:rPr>
          <w:lang w:val="ru-RU"/>
        </w:rPr>
        <w:t xml:space="preserve"> обеспечения использования эффективных технологий сокращения выбросов, выявления </w:t>
      </w:r>
      <w:r>
        <w:rPr>
          <w:lang w:val="ru-RU"/>
        </w:rPr>
        <w:t>передовых методов</w:t>
      </w:r>
      <w:r w:rsidRPr="005459A4">
        <w:rPr>
          <w:lang w:val="ru-RU"/>
        </w:rPr>
        <w:t xml:space="preserve">, а также обеспечения </w:t>
      </w:r>
      <w:r>
        <w:rPr>
          <w:lang w:val="ru-RU"/>
        </w:rPr>
        <w:t>транспарентности</w:t>
      </w:r>
      <w:r w:rsidRPr="005459A4">
        <w:rPr>
          <w:lang w:val="ru-RU"/>
        </w:rPr>
        <w:t xml:space="preserve"> представления данных и более эффективного </w:t>
      </w:r>
      <w:r>
        <w:rPr>
          <w:lang w:val="ru-RU"/>
        </w:rPr>
        <w:t>осуществления соблюдения</w:t>
      </w:r>
      <w:r w:rsidRPr="005459A4">
        <w:rPr>
          <w:lang w:val="ru-RU"/>
        </w:rPr>
        <w:t>.</w:t>
      </w:r>
    </w:p>
    <w:p w14:paraId="665E6750" w14:textId="405801D4" w:rsidR="005459A4"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В ходе последовавшего обсуждения многие представители согласились с серьезностью проблемы и заявили о своем желании обсудить этот вопрос и проект решения в контактной группе.</w:t>
      </w:r>
    </w:p>
    <w:p w14:paraId="4413526E" w14:textId="0F1EBB11"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Один представитель </w:t>
      </w:r>
      <w:r w:rsidR="006B130A">
        <w:rPr>
          <w:lang w:val="ru-RU"/>
        </w:rPr>
        <w:t>поставила под вопрос</w:t>
      </w:r>
      <w:r w:rsidRPr="005459A4">
        <w:rPr>
          <w:lang w:val="ru-RU"/>
        </w:rPr>
        <w:t xml:space="preserve">, стоит ли поручать группам по оценке </w:t>
      </w:r>
      <w:r w:rsidR="006B130A">
        <w:rPr>
          <w:lang w:val="ru-RU"/>
        </w:rPr>
        <w:t>обновление их</w:t>
      </w:r>
      <w:r w:rsidRPr="005459A4">
        <w:rPr>
          <w:lang w:val="ru-RU"/>
        </w:rPr>
        <w:t xml:space="preserve"> доклад</w:t>
      </w:r>
      <w:r w:rsidR="006B130A">
        <w:rPr>
          <w:lang w:val="ru-RU"/>
        </w:rPr>
        <w:t>ов</w:t>
      </w:r>
      <w:r w:rsidRPr="005459A4">
        <w:rPr>
          <w:lang w:val="ru-RU"/>
        </w:rPr>
        <w:t>, учитывая их высокую загруженность и тот факт, что, как ожидается, новая информация будет ограниченной. Она напомнила о замечании г-на Кэмпбелла о том, что он не сч</w:t>
      </w:r>
      <w:r>
        <w:rPr>
          <w:lang w:val="ru-RU"/>
        </w:rPr>
        <w:t>итает возможным сделать вывод о предпочтительности той или иной методологии</w:t>
      </w:r>
      <w:r w:rsidRPr="005459A4">
        <w:rPr>
          <w:lang w:val="ru-RU"/>
        </w:rPr>
        <w:t xml:space="preserve">. Каждая методология имеет свои преимущества и сильные стороны. </w:t>
      </w:r>
      <w:r w:rsidR="006B130A">
        <w:rPr>
          <w:lang w:val="ru-RU"/>
        </w:rPr>
        <w:t>Далее она</w:t>
      </w:r>
      <w:r w:rsidRPr="005459A4">
        <w:rPr>
          <w:lang w:val="ru-RU"/>
        </w:rPr>
        <w:t xml:space="preserve"> просила разъяснить </w:t>
      </w:r>
      <w:r>
        <w:rPr>
          <w:lang w:val="ru-RU"/>
        </w:rPr>
        <w:t>запрос</w:t>
      </w:r>
      <w:r w:rsidR="006B130A" w:rsidRPr="006B130A">
        <w:rPr>
          <w:lang w:val="ru-RU"/>
        </w:rPr>
        <w:t xml:space="preserve">, </w:t>
      </w:r>
      <w:r w:rsidR="006B130A">
        <w:rPr>
          <w:lang w:val="ru-RU"/>
        </w:rPr>
        <w:t>касающийся</w:t>
      </w:r>
      <w:r w:rsidRPr="005459A4">
        <w:rPr>
          <w:lang w:val="ru-RU"/>
        </w:rPr>
        <w:t xml:space="preserve"> Сторон, имеющих три </w:t>
      </w:r>
      <w:r>
        <w:rPr>
          <w:lang w:val="ru-RU"/>
        </w:rPr>
        <w:t xml:space="preserve">объекта </w:t>
      </w:r>
      <w:r w:rsidRPr="005459A4">
        <w:rPr>
          <w:lang w:val="ru-RU"/>
        </w:rPr>
        <w:t>по производству ГХФУ-22</w:t>
      </w:r>
      <w:r>
        <w:rPr>
          <w:lang w:val="ru-RU"/>
        </w:rPr>
        <w:t xml:space="preserve"> или более</w:t>
      </w:r>
      <w:r w:rsidRPr="005459A4">
        <w:rPr>
          <w:lang w:val="ru-RU"/>
        </w:rPr>
        <w:t>, и поставила под сомнение использование</w:t>
      </w:r>
      <w:r>
        <w:rPr>
          <w:lang w:val="ru-RU"/>
        </w:rPr>
        <w:t xml:space="preserve"> формулировки</w:t>
      </w:r>
      <w:r w:rsidRPr="005459A4">
        <w:rPr>
          <w:lang w:val="ru-RU"/>
        </w:rPr>
        <w:t xml:space="preserve"> </w:t>
      </w:r>
      <w:r>
        <w:rPr>
          <w:lang w:val="ru-RU"/>
        </w:rPr>
        <w:t>«</w:t>
      </w:r>
      <w:r w:rsidRPr="005459A4">
        <w:rPr>
          <w:lang w:val="ru-RU"/>
        </w:rPr>
        <w:t xml:space="preserve">настоятельно </w:t>
      </w:r>
      <w:r>
        <w:rPr>
          <w:lang w:val="ru-RU"/>
        </w:rPr>
        <w:t xml:space="preserve">рекомендуется» </w:t>
      </w:r>
      <w:r w:rsidRPr="005459A4">
        <w:rPr>
          <w:lang w:val="ru-RU"/>
        </w:rPr>
        <w:t xml:space="preserve">применительно к добровольным действиям. Ссылаясь на проекты в Аргентине и Мексике, она отметила, что, согласно решению </w:t>
      </w:r>
      <w:r>
        <w:t>XXVIII</w:t>
      </w:r>
      <w:r w:rsidRPr="005459A4">
        <w:rPr>
          <w:lang w:val="ru-RU"/>
        </w:rPr>
        <w:t>/2, расходы, связанные с сокращением выбросов ГФУ</w:t>
      </w:r>
      <w:r w:rsidR="00F223BC">
        <w:rPr>
          <w:lang w:val="ru-RU"/>
        </w:rPr>
        <w:noBreakHyphen/>
      </w:r>
      <w:r w:rsidRPr="005459A4">
        <w:rPr>
          <w:lang w:val="ru-RU"/>
        </w:rPr>
        <w:t>23, должны финансироваться Многосторонним фондом, однако большинство Сторон, действующих в рамках статьи 5, еще не получили финансирование. Она обратилась к Исполнительному комитету с просьбой рассмотреть вопрос о предоставлении соответствующим странам и предприятиям необходимой поддержки в кратчайшие сроки.</w:t>
      </w:r>
    </w:p>
    <w:p w14:paraId="344E1FBA" w14:textId="70FDC709"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Другой представитель отметил отсутствие срока для представления дополнительной информации </w:t>
      </w:r>
      <w:r w:rsidR="006B130A">
        <w:rPr>
          <w:lang w:val="ru-RU"/>
        </w:rPr>
        <w:t>С</w:t>
      </w:r>
      <w:r w:rsidR="006B130A" w:rsidRPr="005459A4">
        <w:rPr>
          <w:lang w:val="ru-RU"/>
        </w:rPr>
        <w:t>торонами несмотря на то, что</w:t>
      </w:r>
      <w:r w:rsidRPr="005459A4">
        <w:rPr>
          <w:lang w:val="ru-RU"/>
        </w:rPr>
        <w:t xml:space="preserve"> эта информация должна помочь группам обновить </w:t>
      </w:r>
      <w:r>
        <w:rPr>
          <w:lang w:val="ru-RU"/>
        </w:rPr>
        <w:t>их</w:t>
      </w:r>
      <w:r w:rsidRPr="005459A4">
        <w:rPr>
          <w:lang w:val="ru-RU"/>
        </w:rPr>
        <w:t xml:space="preserve"> доклады для представления на тридцать восьмом </w:t>
      </w:r>
      <w:r>
        <w:rPr>
          <w:lang w:val="ru-RU"/>
        </w:rPr>
        <w:t>С</w:t>
      </w:r>
      <w:r w:rsidRPr="005459A4">
        <w:rPr>
          <w:lang w:val="ru-RU"/>
        </w:rPr>
        <w:t>овещании Сторон.</w:t>
      </w:r>
    </w:p>
    <w:p w14:paraId="3423ED46" w14:textId="5CC71B01" w:rsidR="002D5348" w:rsidRPr="00F223BC"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Отвечая на вопрос одного представителя, </w:t>
      </w:r>
      <w:r>
        <w:rPr>
          <w:lang w:val="ru-RU"/>
        </w:rPr>
        <w:t>с</w:t>
      </w:r>
      <w:r w:rsidRPr="005459A4">
        <w:rPr>
          <w:lang w:val="ru-RU"/>
        </w:rPr>
        <w:t>опредседатель отметил</w:t>
      </w:r>
      <w:r>
        <w:rPr>
          <w:lang w:val="ru-RU"/>
        </w:rPr>
        <w:t>а</w:t>
      </w:r>
      <w:r w:rsidRPr="005459A4">
        <w:rPr>
          <w:lang w:val="ru-RU"/>
        </w:rPr>
        <w:t xml:space="preserve">, что, хотя </w:t>
      </w:r>
      <w:r>
        <w:rPr>
          <w:lang w:val="ru-RU"/>
        </w:rPr>
        <w:t>связанные с выбросами</w:t>
      </w:r>
      <w:r w:rsidRPr="005459A4">
        <w:rPr>
          <w:lang w:val="ru-RU"/>
        </w:rPr>
        <w:t xml:space="preserve"> виды применения постепенно выводятся из обращения в соответствии с Монреальским протоколом, по-прежнему имеет место значительное производство ГХФУ-22 для использования в качестве </w:t>
      </w:r>
      <w:r>
        <w:rPr>
          <w:lang w:val="ru-RU"/>
        </w:rPr>
        <w:t xml:space="preserve">исходного </w:t>
      </w:r>
      <w:r w:rsidRPr="005459A4">
        <w:rPr>
          <w:lang w:val="ru-RU"/>
        </w:rPr>
        <w:t xml:space="preserve">сырья, что приводит к образованию </w:t>
      </w:r>
      <w:r>
        <w:t xml:space="preserve">ГФУ-23 в </w:t>
      </w:r>
      <w:r w:rsidRPr="00F223BC">
        <w:rPr>
          <w:lang w:val="ru-RU"/>
        </w:rPr>
        <w:t>качестве побочного продукта.</w:t>
      </w:r>
    </w:p>
    <w:p w14:paraId="615273F0" w14:textId="6C95AAD3" w:rsidR="002D5348"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Стороны постановили сформировать контактную группу</w:t>
      </w:r>
      <w:r>
        <w:rPr>
          <w:lang w:val="ru-RU"/>
        </w:rPr>
        <w:t xml:space="preserve"> </w:t>
      </w:r>
      <w:r w:rsidRPr="005459A4">
        <w:rPr>
          <w:lang w:val="ru-RU"/>
        </w:rPr>
        <w:t>для дальнейшего обсуждения проекта решения и назначить ее сопредседателями Хайди Штокхаус (Германия) и Лесли Смит (Гренада).</w:t>
      </w:r>
    </w:p>
    <w:p w14:paraId="3336B267" w14:textId="16D36F3E" w:rsidR="006B128A" w:rsidRPr="005459A4" w:rsidRDefault="005459A4"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Впоследствии сопредседатель контактной группы сообщила, что </w:t>
      </w:r>
      <w:r>
        <w:rPr>
          <w:lang w:val="ru-RU"/>
        </w:rPr>
        <w:t xml:space="preserve">контактная </w:t>
      </w:r>
      <w:r w:rsidRPr="005459A4">
        <w:rPr>
          <w:lang w:val="ru-RU"/>
        </w:rPr>
        <w:t>группа достигла соглашения в отношении проекта решения</w:t>
      </w:r>
      <w:r>
        <w:rPr>
          <w:lang w:val="ru-RU"/>
        </w:rPr>
        <w:t xml:space="preserve"> о выбросах ГФУ-23</w:t>
      </w:r>
      <w:r w:rsidRPr="005459A4">
        <w:rPr>
          <w:lang w:val="ru-RU"/>
        </w:rPr>
        <w:t>, который будет представлен на рассмотрение Сторон</w:t>
      </w:r>
      <w:r w:rsidR="006B128A" w:rsidRPr="005459A4">
        <w:rPr>
          <w:lang w:val="ru-RU"/>
        </w:rPr>
        <w:t xml:space="preserve">. </w:t>
      </w:r>
    </w:p>
    <w:p w14:paraId="5466E8B1" w14:textId="77777777" w:rsidR="006B128A" w:rsidRPr="005459A4" w:rsidRDefault="006B128A" w:rsidP="00755EE6">
      <w:pPr>
        <w:pStyle w:val="Normalnumber"/>
        <w:tabs>
          <w:tab w:val="clear" w:pos="624"/>
          <w:tab w:val="clear" w:pos="1247"/>
          <w:tab w:val="clear" w:pos="1814"/>
          <w:tab w:val="clear" w:pos="2381"/>
          <w:tab w:val="clear" w:pos="2948"/>
          <w:tab w:val="clear" w:pos="3515"/>
        </w:tabs>
        <w:ind w:left="1247"/>
        <w:rPr>
          <w:lang w:val="ru-RU"/>
        </w:rPr>
      </w:pPr>
      <w:r w:rsidRPr="005459A4">
        <w:rPr>
          <w:lang w:val="ru-RU"/>
        </w:rPr>
        <w:t xml:space="preserve">Стороны постановили направить этот проект решения на дальнейшее рассмотрение для возможного принятия в ходе сегмента высокого уровня. </w:t>
      </w:r>
    </w:p>
    <w:p w14:paraId="0AF9AEE3" w14:textId="2F5D6E83" w:rsidR="00C20895" w:rsidRPr="00895200" w:rsidRDefault="00F223BC" w:rsidP="004928E4">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lastRenderedPageBreak/>
        <w:tab/>
      </w:r>
      <w:r w:rsidR="00943322">
        <w:rPr>
          <w:bCs/>
          <w:lang w:val="ru-RU"/>
        </w:rPr>
        <w:t>VI.</w:t>
      </w:r>
      <w:r w:rsidR="00943322">
        <w:rPr>
          <w:lang w:val="ru-RU"/>
        </w:rPr>
        <w:tab/>
      </w:r>
      <w:r w:rsidR="00943322">
        <w:rPr>
          <w:bCs/>
          <w:lang w:val="ru-RU"/>
        </w:rPr>
        <w:t>Усиление регионального атмосферного мониторинга веществ, регулируемых в рамках Монреальского протокола (решение</w:t>
      </w:r>
      <w:r>
        <w:rPr>
          <w:bCs/>
          <w:lang w:val="ru-RU"/>
        </w:rPr>
        <w:t> </w:t>
      </w:r>
      <w:r w:rsidR="00943322">
        <w:rPr>
          <w:bCs/>
          <w:lang w:val="ru-RU"/>
        </w:rPr>
        <w:t>XXXVI/1)</w:t>
      </w:r>
    </w:p>
    <w:p w14:paraId="27B6F31D" w14:textId="054D142C" w:rsidR="00953C56" w:rsidRPr="009B31CD" w:rsidRDefault="00953C56" w:rsidP="00F223BC">
      <w:pPr>
        <w:pStyle w:val="Normalnumber"/>
        <w:tabs>
          <w:tab w:val="clear" w:pos="624"/>
          <w:tab w:val="clear" w:pos="1247"/>
          <w:tab w:val="clear" w:pos="1814"/>
          <w:tab w:val="clear" w:pos="2381"/>
          <w:tab w:val="clear" w:pos="2948"/>
          <w:tab w:val="clear" w:pos="3515"/>
        </w:tabs>
        <w:ind w:left="1247"/>
      </w:pPr>
      <w:r w:rsidRPr="00FE0884">
        <w:rPr>
          <w:lang w:val="ru-RU"/>
        </w:rPr>
        <w:t>При рассмотрении этого пункта</w:t>
      </w:r>
      <w:r>
        <w:rPr>
          <w:lang w:val="ru-RU"/>
        </w:rPr>
        <w:t xml:space="preserve"> Сторонам были представлены пункты 37–43 записки секретариата о вопросах для обсуждения и информации к сведению участников тридцать седьмого Совещания Сторон Монреальского протокола (UNEP/OzL.Pro.37/2), пункты 20–60 добавления к этой записке (UNEP/OzL.Pro.37/2/Add.1), записка секретариата об обновлении сметы расходов, связанных с усилением регионального атмосферного мониторинга веществ, регулируемых Монреальским протоколом (UNEP/OzL.Pro.37/INF/6), пункты 154–164 раздела</w:t>
      </w:r>
      <w:r w:rsidR="00F223BC">
        <w:rPr>
          <w:lang w:val="ru-RU"/>
        </w:rPr>
        <w:t> </w:t>
      </w:r>
      <w:r>
        <w:rPr>
          <w:lang w:val="ru-RU"/>
        </w:rPr>
        <w:t>VI доклада о работе сорок седьмого совещания Рабочей группы открытого состава Сторон Монреальского протокола по веществам, разрушающим озоновый слой (UNEP/OzL.Pro.WG.1/47/6), и пункты 54–63 добавления к записке секретариата о вопросах для обсуждения Рабочей группой открытого состава Сторон Монреальского протокола на ее сорок седьмом совещании и информации к ее сведению (UNEP/OzL.Pro.WG.1/47/2/Add.1).</w:t>
      </w:r>
    </w:p>
    <w:p w14:paraId="30995F4D"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Внося на рассмотрение этот пункт повестки дня, сопредседатель напомнила, что в решении XXXVI/1 секретариату было предложено представить на текущем совещании доклад о ходе и любых результатах оценки пригодности потенциальных мест для мониторинга региональных выбросов регулируемых веществ для рассмотрения Сторонами, а также представить любые обновленные данные о смете расходов и вариантах долгосрочного финансирования, связанного с атмосферным мониторингом. На сорок седьмом совещании Рабочей группы открытого состава секретариат и Консультативный комитет Общего целевого фонда Венской конвенции сообщили о ходе работы в отношении оценки потенциальных мест для мониторинга. После обсуждения этого вопроса Стороны просили подготовить стратегию, подробно описывающую мероприятия, относящиеся к различным потокам финансирования, и демонстрирующую, как эти мероприятия дополняют друг друга в рамках регионального атмосферного мониторинга.</w:t>
      </w:r>
    </w:p>
    <w:p w14:paraId="06E9D68E" w14:textId="55ED65F4" w:rsidR="000B7E58" w:rsidRPr="00895200" w:rsidRDefault="4C7A5E14" w:rsidP="00F223BC">
      <w:pPr>
        <w:pStyle w:val="Normalnumber"/>
        <w:tabs>
          <w:tab w:val="clear" w:pos="624"/>
          <w:tab w:val="clear" w:pos="1247"/>
          <w:tab w:val="clear" w:pos="1814"/>
          <w:tab w:val="clear" w:pos="2381"/>
          <w:tab w:val="clear" w:pos="2948"/>
          <w:tab w:val="clear" w:pos="3515"/>
        </w:tabs>
        <w:ind w:left="1247"/>
        <w:rPr>
          <w:lang w:val="ru-RU"/>
        </w:rPr>
      </w:pPr>
      <w:r>
        <w:rPr>
          <w:lang w:val="ru-RU"/>
        </w:rPr>
        <w:t>Итоговый доклад о ходе выполнения решения XXXVI/1 был представлен А.</w:t>
      </w:r>
      <w:r w:rsidR="0065378F">
        <w:rPr>
          <w:lang w:val="ru-RU"/>
        </w:rPr>
        <w:t> </w:t>
      </w:r>
      <w:r>
        <w:rPr>
          <w:lang w:val="ru-RU"/>
        </w:rPr>
        <w:t>Р.</w:t>
      </w:r>
      <w:r w:rsidR="0065378F">
        <w:rPr>
          <w:lang w:val="ru-RU"/>
        </w:rPr>
        <w:t> </w:t>
      </w:r>
      <w:r>
        <w:rPr>
          <w:lang w:val="ru-RU"/>
        </w:rPr>
        <w:t>Равишанкарой, одним из сопредседателей Консультативного комитета, и Софией Милоной, представителем секретариата в Консультативном комитете. В сообщениях был обобщен ход работы Комитета по оценке пригодности потенциальных мест для мониторинга региональных выбросов регулируемых веществ, включая основные результаты экспериментального проекта, осуществленного на острове Бхола, и двух научных исследований, а также обновленные данные о сметных расход</w:t>
      </w:r>
      <w:r w:rsidR="0065378F">
        <w:rPr>
          <w:lang w:val="ru-RU"/>
        </w:rPr>
        <w:t>ах</w:t>
      </w:r>
      <w:r>
        <w:rPr>
          <w:lang w:val="ru-RU"/>
        </w:rPr>
        <w:t xml:space="preserve">, связанных с усилением такого мониторинга, как это изложено в документах UNEP/OzL.Pro.37/2/Add.1 и UNEP/OzL.Pro.37/INF/6. </w:t>
      </w:r>
    </w:p>
    <w:p w14:paraId="53D8C74C" w14:textId="77777777" w:rsidR="000B7E58" w:rsidRPr="00895200" w:rsidRDefault="78F904F7" w:rsidP="00F223BC">
      <w:pPr>
        <w:pStyle w:val="Normalnumber"/>
        <w:tabs>
          <w:tab w:val="clear" w:pos="624"/>
          <w:tab w:val="clear" w:pos="1247"/>
          <w:tab w:val="clear" w:pos="1814"/>
          <w:tab w:val="clear" w:pos="2381"/>
          <w:tab w:val="clear" w:pos="2948"/>
          <w:tab w:val="clear" w:pos="3515"/>
        </w:tabs>
        <w:ind w:left="1247"/>
        <w:rPr>
          <w:lang w:val="ru-RU"/>
        </w:rPr>
      </w:pPr>
      <w:r>
        <w:rPr>
          <w:lang w:val="ru-RU"/>
        </w:rPr>
        <w:t>Г-н Равишанкара представил перечень из 10 потенциальных регионов и мест для организации станций мониторинга, которые были отобраны Консультативным комитетом на его девятнадцатом совещании, состоявшемся в онлайновом режиме 2 октября 2025 года. В качестве приоритетных Комитет определил следующие пять регионов, а также места, которые были отобраны на основе информации об интенсивности выбросов, экспериментов по моделированию систем наблюдения, а также имеющейся инфраструктуры и экспертных знаний: Южная Азия (Индия и Бангладеш); Юго-Восточная Азия (Вьетнам); Южная Африка (Ботсвана и Южно-Африканская Республика); Ближний Восток (Саудовская Аравия); и Центральная и Южная Америка (Бразилия и Аргентина). Другими потенциальными регионами, которые были рассмотрены Комитетом, но пока не были определены в качестве приоритетных, являются: Северная Африка (Алжир); Северная Америка (Мексика); Северная часть Южной Америки (Эквадор); Восточная Европа (Российская Федерация); и Западная Африка (Нигерия). Сопредседатель сообщил, что Комитет также согласовал подход, состоящий в том, чтобы в течение двух лет проводить первичный отбор проб в колбы в выбранном месте для подтверждения его пригодности, прежде чем приступать к долгосрочному мониторингу.</w:t>
      </w:r>
    </w:p>
    <w:p w14:paraId="3E6293EA"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bCs/>
          <w:lang w:val="ru-RU"/>
        </w:rPr>
      </w:pPr>
      <w:r>
        <w:rPr>
          <w:lang w:val="ru-RU"/>
        </w:rPr>
        <w:t xml:space="preserve">После этого сообщения г-н Равишанкара и г-жа Милона ответили на вопросы и замечания представителей. </w:t>
      </w:r>
    </w:p>
    <w:p w14:paraId="66D141A9" w14:textId="027D057D"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Отвечая на вопрос о процессе выбора регионов, в которых могут быть размещены будущие станции мониторинга, г-н Равишанкара сказал, что приоритет был отдан тем регионам, где в настоящее время наблюдается наибольший уровень выбросов. Важным фактором является доступность инфраструктуры – чем выше ее изначальная доступность, тем ниже затраты, необходимые для запуска программы мониторинга. Например, очень полезно наличие подходящей башни. В соответствии с поэтапным подходом, который был принят для </w:t>
      </w:r>
      <w:r>
        <w:rPr>
          <w:lang w:val="ru-RU"/>
        </w:rPr>
        <w:lastRenderedPageBreak/>
        <w:t>программы, отбор проб в колбы будет проводиться в местах, изначально отобранных для сбора данных за шесть месяцев в период продолжительностью менее одного года, чтобы убедиться, что эти места обеспечивают необходимые данные. Отвечая далее на вопрос о критериях, которые были приняты во внимание при выборе регионов для размещения станций мониторинга, он сказал, что были приняты во внимание расхождения между оценками выбросов некоторых веществ, полученными методом разукрупнения и методом укрупнения, обеспокоенность по поводу которых была одной из главных движущих сил текущей программы по созданию станций мониторинга, а также были приняты во внимание потенциальные проблемы, с которыми Монреальский протокол может столкнуться в будущем. Было также принято во внимание текущее местоположение станций Глобального атмосферного мониторинга. По вопросу о том, принимался ли во внимание пороговый уровень концентраций регулируемых веществ при выборе регионов, он сказал, что это сложный вопрос, учитывая изменчивость концентраций, которая может возникать при ежедневном или еженедельном отборе проб. Он также подчеркнул важность экспериментов по моделированию систем наблюдения при определении мест для установки станций мониторинга выбросов, а также возможность повторного проведения таких экспериментов для более точного определения мест, например, в районах с различным рельефом. Отвечая на замечание о том, что в решении</w:t>
      </w:r>
      <w:r w:rsidR="000C707D">
        <w:rPr>
          <w:lang w:val="ru-RU"/>
        </w:rPr>
        <w:t> </w:t>
      </w:r>
      <w:r>
        <w:rPr>
          <w:lang w:val="ru-RU"/>
        </w:rPr>
        <w:t xml:space="preserve">XXXVI/1, которое определило мандат для текущей работы, не упоминаются уровни выбросов в качестве критерия для выбора мест, г-н Равишанкара сказал, что, хотя глобальный охват является долгосрочной целью, необходимо сделать выбор в отношении того, куда направлять средства на начальных этапах, и изучение мест с высоким уровнем выбросов открывает наибольшие возможности для сбора полезных данных. </w:t>
      </w:r>
    </w:p>
    <w:p w14:paraId="04D0DF71"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bCs/>
          <w:lang w:val="ru-RU"/>
        </w:rPr>
      </w:pPr>
      <w:r>
        <w:rPr>
          <w:lang w:val="ru-RU"/>
        </w:rPr>
        <w:t xml:space="preserve">Отвечая на вопрос о критериях, которые могут использоваться при принятии решения о выборе между высокочастотным отбором проб in situ и отбором проб в колбы, г-н Равишанкара сказал, что этот вопрос не является однозначным, поскольку можно также проводить высокочастотный отбор проб в колбы. Как правило, чем выше частота измерений, тем точнее результаты, касающиеся инверсии выбросов. Оба метода предполагают расчет интенсивности выбросов; основное различие заключается в том, что в случае с высокочастотным отбором проб на станции аналитические приборы и экспертные знания доступны на месте, в то время как для отбора проб в колбы аналитические мощности находятся в специализированных лабораториях вдали от места отбора проб. Что касается качества данных, он сказал, что для обеспечения качества данных требуется большая осторожность, поскольку от этого зависит оценка уровней выбросов. Кроме того, решающее значение имеют вопросы материально-технического обеспечения – например, в случае со станцией мониторинга на острове Бхола (Бангладеш) некоторые результаты были искажены из-за утечки в колбе. </w:t>
      </w:r>
    </w:p>
    <w:p w14:paraId="5C18ACDE" w14:textId="4282EA66"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Отвечая на вопрос о будущем финансировании программы атмосферного мониторинга после предложенного пятилетнего срока, г-н Равишанкара подчеркнул важность внутренних взносов в натуральной форме, особенно в виде квалифицированных кадров, которые могли бы проводить точные измерения и интерпретировать данные. Также </w:t>
      </w:r>
      <w:r w:rsidR="007976E8">
        <w:rPr>
          <w:lang w:val="ru-RU"/>
        </w:rPr>
        <w:t>не исключена</w:t>
      </w:r>
      <w:r>
        <w:rPr>
          <w:lang w:val="ru-RU"/>
        </w:rPr>
        <w:t xml:space="preserve"> значительная экономия – например, в ходе исследования в Бангладеш </w:t>
      </w:r>
      <w:r w:rsidR="007976E8">
        <w:rPr>
          <w:lang w:val="ru-RU"/>
        </w:rPr>
        <w:t xml:space="preserve">большой объем данных </w:t>
      </w:r>
      <w:r>
        <w:rPr>
          <w:lang w:val="ru-RU"/>
        </w:rPr>
        <w:t xml:space="preserve">стало возможно получить благодаря привлечению взносов в натуральной форме. Большинство существующих станций мониторинга финансируются национальными учреждениями, включая лаборатории и университеты. Предлагаемая программа регионального атмосферного мониторинга в рамках Монреальского протокола предполагает изменение парадигмы, когда все данные из таких источников будут приведены к единой основе с использованием одних и тех же калибровочных шкал для обеспечения глобальной сопоставимости. С точки зрения затрат, существовует вероятность снижения капитальных затрат на инфраструктуру мониторинга по мере строительства новых станций и формирования рынка узкоспециализированных приборов, размещаемых на них, что приведет к снижению цен по мере выхода на рынок большего числа поставщиков. Отвечая на вопрос о потенциальном сотрудничестве с соответствующими учреждениями в целях повышения рентабельности, эффективности и устойчивости финансирования, он сказал, что дальнейшее сотрудничество такого рода, действительно, будет приветствоваться, учитывая, что ряд стран располагает значительным техническим потенциалом в области проведения мероприятий по атмосферному мониторингу, подкрепленным современным оборудованием. Существует также потенциал для сотрудничества с неправительственными организациями. Будет полезно установить контакт со всеми соответствующими программами, чтобы предотвратить дублирование усилий и обеспечить синергию. Он подчеркнул, что одним из ключевых компонентов программы является передача знаний в обоих направлениях, поскольку местные знания имеют решающее значение для работы станций мониторинга. Имеется потенциал для инновационных форм обучения, например объединение конкретной станции с конкретной лабораторией для подготовки кадров на рабочих местах. По вопросу о том, определены ли подходящие партнеры </w:t>
      </w:r>
      <w:r>
        <w:rPr>
          <w:lang w:val="ru-RU"/>
        </w:rPr>
        <w:lastRenderedPageBreak/>
        <w:t xml:space="preserve">для 10 потенциальных мест для мониторинга, рассмотренных к настоящему моменту, он сказал, что этот процесс продолжается и ведутся обсуждения с возможными партнерами. </w:t>
      </w:r>
    </w:p>
    <w:p w14:paraId="39ACB10B"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По вопросу о потенциале сотрудничества с объектами Договора о всеобъемлющем запрещении ядерных испытаний он отметил, что существенное различие заключается в том, что Договор в основном проводит измерения на уровне поверхности, в то время как мониторинг веществ, регулируемых в рамках Монреальского протокола, осуществляется в атмосфере. При этом эксперты Договора о всеобъемлющем запрещении ядерных испытаний оказывали огромную помощь в сотрудничестве с инициативами Монреальского протокола по атмосферному мониторингу. </w:t>
      </w:r>
    </w:p>
    <w:p w14:paraId="3110B828"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Отвечая на вопрос о возможных климатических воздействиях, которые могут повлиять на станции мониторинга, расположенные в районах с экстремальными погодными явлениями, такими как ураганы, г-н Равишанкара сказал, что экстремальные погодные условия действительно могут разрушить метеорологическую станцию, и стоимость возведения башни, устойчивой к таким погодным условиям, уже принята во внимание. </w:t>
      </w:r>
    </w:p>
    <w:p w14:paraId="6975A31B"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Г-жа Милона ответила на вопросы о финансовых аспектах программы измерений. По ее словам, различные варианты создания систем отбора проб зависят от имеющегося финансирования и предпочтительного сочетания методов отбора проб. Например, ожидаемый грант Европейского союза в Общий целевой фонд для финансирования связанной с Венской конвенцией деятельности по проведению исследований и систематических наблюдений потенциально может финансировать одну станцию высокочастотного мониторинга in situ и две станции для отбора проб в колбы. Дополнительная информация о сметах расходов для различных вариантов представлена в документе UNEP/OzL.Pro.37/2/Add.1. По вопросу о том, учитывалась ли в смете расходов существующая инфраструктура, она сказала, что при построении модели были проведены консультации с экспертами по атмосферному мониторингу со всего мира, чтобы обеспечить учет региональных различий в расходах. На следующем этапе должны быть проведены исследования, чтобы выяснить, какая инфраструктура имеется вблизи выявленных мест, и определить, как использование этой инфраструктуры повлияет на смету расходов. </w:t>
      </w:r>
    </w:p>
    <w:p w14:paraId="60FF3513"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По вопросу о предлагаемом интерактивном онлайновом инструменте, который Стороны могли бы использовать для оценки расходов на создание и эксплуатацию станций в своих странах, она заявила, что это не потребует дополнительных расходов, поскольку Европейский союз согласился разрешить использовать для разработки онлайнового инструмента часть средств, оставшихся от финансируемого Европейским союзом экспериментального проекта. </w:t>
      </w:r>
    </w:p>
    <w:p w14:paraId="39A3F3D1" w14:textId="77777777" w:rsidR="00D30535"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По вопросу о широком диапазоне представленных расходов на персонал г-жа Милона сказала, что одним из факторов такого разброса является тип отбора проб; например, при отборе проб в колбы затраты на отбор проб могут быть более низкими, в то время как высокочастотный отбор проб in situ потребует более высоких затрат в связи с постоянным присутствием на станции мониторинга высококвалифицированного персонала.</w:t>
      </w:r>
    </w:p>
    <w:p w14:paraId="61CD7190" w14:textId="1AA56634"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В ходе последовавшего обсуждения все выступившие представители поблагодарили г</w:t>
      </w:r>
      <w:r w:rsidR="000C707D">
        <w:rPr>
          <w:lang w:val="ru-RU"/>
        </w:rPr>
        <w:noBreakHyphen/>
      </w:r>
      <w:r>
        <w:rPr>
          <w:lang w:val="ru-RU"/>
        </w:rPr>
        <w:t xml:space="preserve">на Равишанкару и г-жу Милону за их сообщение, секретариат и Консультативный комитет – за подготовку документа, а Европейский союз – за предоставление финансирования для экспериментального исследования. </w:t>
      </w:r>
    </w:p>
    <w:p w14:paraId="218A9CF2" w14:textId="6EBF8D3A"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Все выступавшие представители подчеркнули важность эффективного атмосферного мониторинга для дальнейшего успеха Монреальского протокола, а один из них особо отметил ценные уроки, извлеченные из экспериментального проекта на острове Бхола. Другой представитель обратил внимание на необходимость формулирования долгосрочных стратегий, определения приоритетных задач, постановки целей и обеспечения финансовых ресурсов, а также создания систем мониторинга и оценки, чтобы задавать направление общему развитию работы по мониторингу в рамках Монреальского протокола. Некоторые представители дали высокую оценку предлагаемому четырехэтапному подходу к мониторингу, изложенному в документе UNEP/OzL.Pro.37/INF/6. </w:t>
      </w:r>
    </w:p>
    <w:p w14:paraId="5DB3BE83" w14:textId="2C6A4BDD"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особо отметил роль атмосферного мониторинга в наблюдении за выбросами веществ, не регулируемых в рамках Монреальского протокола, включая очень короткоживущие вещества; за выбросами в результате видов применения, на которые распространяются исключения, таких как использование в качестве исходного сырья или для карантинной обработки и обработки перед транспортировкой; а также за выбросами из накопленных </w:t>
      </w:r>
      <w:r w:rsidR="008C6366">
        <w:rPr>
          <w:lang w:val="ru-RU"/>
        </w:rPr>
        <w:t xml:space="preserve">фондов </w:t>
      </w:r>
      <w:r>
        <w:rPr>
          <w:lang w:val="ru-RU"/>
        </w:rPr>
        <w:t>веществ, утильного оборудования и объектов, на которых ведется незаконное производств</w:t>
      </w:r>
      <w:r w:rsidR="00880270">
        <w:rPr>
          <w:lang w:val="ru-RU"/>
        </w:rPr>
        <w:t>о</w:t>
      </w:r>
      <w:r>
        <w:rPr>
          <w:lang w:val="ru-RU"/>
        </w:rPr>
        <w:t xml:space="preserve"> регулируемых веществ.</w:t>
      </w:r>
    </w:p>
    <w:p w14:paraId="53A0962F"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 xml:space="preserve">Несколько представителей подчеркнули необходимость надлежащей технической и финансовой поддержки со стороны Многостороннего фонда в виде специального и предсказуемого механизма финансирования для обеспечения долгосрочной эксплуатации и технического обслуживания. Некоторые представители выразили признательность Исполнительному комитету Многостороннего фонда за работу по организации ряда экспериментальных проектов по региональному атмосферному мониторингу регулируемых веществ в ближайшем будущем и заявили, что с энтузиазмом ожидают дальнейших обсуждений на девяносто восьмом совещании Комитета. Еще один представитель выразил признательность секретариату за подход к потокам финансирования, описанный в документе. </w:t>
      </w:r>
    </w:p>
    <w:p w14:paraId="52AE66CF"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Несколько представителей подчеркнули, что финансирование должно быть устойчивым, и призвали к дальнейшему рассмотрению этого вопроса. Один представитель выразил надежду на то, что в долгосрочной перспективе операционные расходы станций мониторинга будут покрываться принимающим учреждением или страной, или другим международным учреждением, однако отметил, что он признает необходимость в дополнительной поддержке со стороны Многостороннего фонда в некоторых случаях. </w:t>
      </w:r>
    </w:p>
    <w:p w14:paraId="07AAF5F5"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Представитель Европейского союза выразил удовлетворенность тем, что финансирование Европейским союзом успешного экспериментального проекта помогло сформировать выводы и методологические подходы для использования в будущем. В рамках программы «Горизонт Европа» Европейский союз смог предложить дополнительное финансирование, и секретариат в сотрудничестве с Консультативным комитетом уже представил соответствующее предложение. Однако этот поток финансирования станет определенным только после завершения оценки предложения и заключения контрактов. Это означает, что в краткосрочной перспективе будет ощущаться нехватка средств; он предположил, что неиспользованные средства можно перенести на 2026 год. Он отметил, что надеется на дальнейшее обсуждение этого вопроса с другими представителями, секретариатом и Консультативным комитетом, и добавил, что его делегация в настоящее время готовит предложение в отношении проекта решения, который может быть представлен позднее на совещании. </w:t>
      </w:r>
    </w:p>
    <w:p w14:paraId="44AA7AEA" w14:textId="77777777" w:rsidR="00953C56" w:rsidRPr="00895200"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Ряд других представителей выразили согласие с предложением о переносе остатка средств на 2026 год. </w:t>
      </w:r>
    </w:p>
    <w:p w14:paraId="5B3A44B7" w14:textId="77777777" w:rsidR="00953C56" w:rsidRPr="0016643E"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Несколько представителей отметили возможность налаживания партнерских отношений с научными учреждениями, которые могли бы предоставить персонал или технические знания и навыки для сбора образцов, анализа данных и распоряжения ими, а также имеющуюся инфраструктуру. Эти или другие взносы в натуральной форме помогли бы сэкономить расходы, а также способствовали бы развитию местного технического потенциала для наблюдений и исследований атмосферы. Несколько представителей предложили рассмотреть имеющиеся в их странах учреждения, которые могли бы сыграть определенную роль в этом отношении. </w:t>
      </w:r>
    </w:p>
    <w:p w14:paraId="656AF4EC" w14:textId="77777777" w:rsidR="00953C56" w:rsidRPr="0016643E"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Один представитель выразил мнение, что составление секретариатом перечня научных учреждений, ведущих работу по атмосферному мониторингу, региональных сетей и текущих проектов, было бы очень ценным. Следует стимулировать совместные проекты по мониторингу и обмен данными. Еще один представитель выразил согласие с утверждением докладчиков о том, что данные, полученные со станций мониторинга, должны находиться в открытом доступе. Один из них подчеркнул важность соблюдения национального суверенитета в отношении собранных данных. Другой участник подчеркнул необходимость получения разрешения соответствующих национальных служб атмосферного мониторинга и других соответствующих учреждений на осуществление проекта в месте расположения станции мониторинга выбросов веществ, регулируемых в рамках Монреальского протокола, согласно рекомендациям экспертов.</w:t>
      </w:r>
    </w:p>
    <w:p w14:paraId="5342F6C6" w14:textId="77777777" w:rsidR="00953C56" w:rsidRPr="0016643E"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поддержал подход Консультативного комитета к оценке потенциальных мест для станций мониторинга на основе научных и технических критериев. Другой представитель призвал создавать станции в регионах, где их в настоящее время нет, в том числе в странах с высокой температурой воздуха. Еще один представитель призвал обеспечить эффективный мониторинг во всех пяти регионах Организации Объединенных Наций в подходящих местах с учетом различий в географическом рельефе, площади территории и конкретных региональных проблем. </w:t>
      </w:r>
    </w:p>
    <w:p w14:paraId="4B01D921" w14:textId="77777777" w:rsidR="00E33215" w:rsidRPr="009B31CD" w:rsidRDefault="00E33215" w:rsidP="00F223BC">
      <w:pPr>
        <w:pStyle w:val="Normalnumber"/>
        <w:tabs>
          <w:tab w:val="clear" w:pos="624"/>
          <w:tab w:val="clear" w:pos="1247"/>
          <w:tab w:val="clear" w:pos="1814"/>
          <w:tab w:val="clear" w:pos="2381"/>
          <w:tab w:val="clear" w:pos="2948"/>
          <w:tab w:val="clear" w:pos="3515"/>
        </w:tabs>
        <w:ind w:left="1247"/>
      </w:pPr>
      <w:r>
        <w:rPr>
          <w:lang w:val="ru-RU"/>
        </w:rPr>
        <w:t xml:space="preserve">Один представитель выразил удовлетворение тем, что его страна была определена в качестве возможного места для размещения станции мониторинга, и заявил о готовности своей страны принять у себя такую станцию, тем более что она уже обладает определенным научным </w:t>
      </w:r>
      <w:r>
        <w:rPr>
          <w:lang w:val="ru-RU"/>
        </w:rPr>
        <w:lastRenderedPageBreak/>
        <w:t xml:space="preserve">потенциалом в этой области. Другой представитель предложил разместить станцию в Западной Африке. </w:t>
      </w:r>
    </w:p>
    <w:p w14:paraId="20F3A09B" w14:textId="3D1CA6DF" w:rsidR="00953C56" w:rsidRPr="0016643E"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Представитель Эквадора отметил, что в сообщении его страна была ошибочно названа расположенной в Центральной Америке, а не в Южной Америке</w:t>
      </w:r>
      <w:r w:rsidR="000930E9" w:rsidRPr="009B31CD">
        <w:rPr>
          <w:rStyle w:val="FootnoteReference"/>
          <w:lang w:val="ru-RU"/>
        </w:rPr>
        <w:footnoteReference w:id="2"/>
      </w:r>
      <w:r w:rsidR="00AB680A">
        <w:rPr>
          <w:lang w:val="ru-RU"/>
        </w:rPr>
        <w:t>.</w:t>
      </w:r>
      <w:r>
        <w:rPr>
          <w:lang w:val="ru-RU"/>
        </w:rPr>
        <w:t xml:space="preserve"> Он предложил Анды в качестве подходящего места для станции мониторинга. </w:t>
      </w:r>
    </w:p>
    <w:p w14:paraId="3D651713" w14:textId="77777777" w:rsidR="00953C56" w:rsidRPr="0016643E" w:rsidRDefault="00953C56" w:rsidP="00F223BC">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Другой представитель призвал продолжить обсуждение общего количества станций мониторинга, которые могут быть созданы с учетом имеющегося финансирования, и вопроса о том, следует ли проводить предварительную работу по определению подходящих мест. Согласившись с этим предложением, еще один представитель призвал обратить особое внимание на объекты, где есть четкое обязательство принимающей страны оказать финансовую поддержку, а также долгосрочное обязательство принимающего учреждения предоставить ресурсы для поддержки работы после пятилетнего срока действия предполагаемого нового гранта Европейского союза. </w:t>
      </w:r>
    </w:p>
    <w:p w14:paraId="6A3319A7" w14:textId="5F9F96DB" w:rsidR="002D5348" w:rsidRPr="0016643E" w:rsidRDefault="002D5348" w:rsidP="00F223BC">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представитель Европейского союза внес на рассмотрение предложение о проекте решения, изложенном в документе для зала заседаний, направленном на продолжение работы по усилению регионального атмосферного мониторинга веществ, регулируемых в рамках Монреальского протокола. В проекте решения секретариату было поручено в консультации с Консультативным комитетом Общего целевого фонда Венской конвенции продолжать оценку пригодности потенциальных мест для мониторинга выбросов регулируемых веществ, содействовать этим усилиям путем выявления инфраструктуры и существующих станций в 10 местах, определенных Консультативным комитетом, и на прилегающих территориях, а также подготовиться к следующим шагам для организации мероприятий по мониторингу в этих местах. В решении также содержатся следующие поручения: a) предусмотреть в 2026 году бюджетную статью для продолжения этой работы; b)</w:t>
      </w:r>
      <w:r w:rsidR="000C707D">
        <w:rPr>
          <w:lang w:val="ru-RU"/>
        </w:rPr>
        <w:t> </w:t>
      </w:r>
      <w:r>
        <w:rPr>
          <w:lang w:val="ru-RU"/>
        </w:rPr>
        <w:t>секретариату – представить Рабочей группе открытого состава на ее сорок восьмом совещании и тридцать восьмому Совещанию Сторон доклад о ходе работы; и c)</w:t>
      </w:r>
      <w:r w:rsidR="000C707D">
        <w:rPr>
          <w:lang w:val="ru-RU"/>
        </w:rPr>
        <w:t> </w:t>
      </w:r>
      <w:r>
        <w:rPr>
          <w:lang w:val="ru-RU"/>
        </w:rPr>
        <w:t>Исполнительному комитету Многостороннего фонда – принять во внимание определенную информацию и сметные расходы при разработке руководящих принципов и рассмотрении возможности создания механизма финансирования для поддержки экспериментальных проектов.</w:t>
      </w:r>
    </w:p>
    <w:p w14:paraId="456C0F22" w14:textId="77777777" w:rsidR="002D5348" w:rsidRPr="0016643E" w:rsidRDefault="002D5348" w:rsidP="00F223BC">
      <w:pPr>
        <w:pStyle w:val="Normalnumber"/>
        <w:tabs>
          <w:tab w:val="clear" w:pos="624"/>
          <w:tab w:val="clear" w:pos="1247"/>
          <w:tab w:val="clear" w:pos="1814"/>
          <w:tab w:val="clear" w:pos="2381"/>
          <w:tab w:val="clear" w:pos="2948"/>
          <w:tab w:val="clear" w:pos="3515"/>
        </w:tabs>
        <w:ind w:left="1247"/>
        <w:rPr>
          <w:lang w:val="ru-RU"/>
        </w:rPr>
      </w:pPr>
      <w:r>
        <w:rPr>
          <w:lang w:val="ru-RU"/>
        </w:rPr>
        <w:t>Ряд представителей поблагодарили Европейский союз за представление предложения о проекте решения и внесли ряд предложений по внесению изменений и уточнений. Один представитель предложил добавить текст, подчеркивающий важность данного вопроса для дальнейшего осуществления Монреальского протокола, а также указать Стороны, готовые согласовать создание станций мониторинга в своих странах. Другой отметил необходимость принять решение о надлежащем уровне финансирования на 2026 год. Он также высказал мнение о необходимости уточнить, относится ли упоминание 10 возможных мест только к тем, которые определил Консультативный комитет, или же существуют и другие места, заслуживающие рассмотрения. Другой представитель предложил отметить потенциальные места, где уже существует соответствующая инфраструктура.</w:t>
      </w:r>
    </w:p>
    <w:p w14:paraId="5D8D61AB" w14:textId="77777777" w:rsidR="002D5348" w:rsidRPr="0016643E" w:rsidRDefault="002D5348" w:rsidP="00F223BC">
      <w:pPr>
        <w:pStyle w:val="Normalnumber"/>
        <w:tabs>
          <w:tab w:val="clear" w:pos="624"/>
          <w:tab w:val="clear" w:pos="1247"/>
          <w:tab w:val="clear" w:pos="1814"/>
          <w:tab w:val="clear" w:pos="2381"/>
          <w:tab w:val="clear" w:pos="2948"/>
          <w:tab w:val="clear" w:pos="3515"/>
        </w:tabs>
        <w:ind w:left="1247"/>
        <w:rPr>
          <w:lang w:val="ru-RU"/>
        </w:rPr>
      </w:pPr>
      <w:bookmarkStart w:id="10" w:name="_Hlk213229573"/>
      <w:r>
        <w:rPr>
          <w:lang w:val="ru-RU"/>
        </w:rPr>
        <w:t>Стороны постановили сформировать контактную группу под совместным председательством Алена Вильмара (Бельгия) и Софи Ансельм-Ларок (Доминика) для дальнейшего обсуждения проекта решения.</w:t>
      </w:r>
    </w:p>
    <w:bookmarkEnd w:id="10"/>
    <w:p w14:paraId="13E8C08E" w14:textId="77777777" w:rsidR="006B128A" w:rsidRPr="0016643E" w:rsidRDefault="006B128A" w:rsidP="00F223BC">
      <w:pPr>
        <w:pStyle w:val="Normalnumber"/>
        <w:tabs>
          <w:tab w:val="clear" w:pos="624"/>
          <w:tab w:val="clear" w:pos="1247"/>
          <w:tab w:val="clear" w:pos="1814"/>
          <w:tab w:val="clear" w:pos="2381"/>
          <w:tab w:val="clear" w:pos="2948"/>
          <w:tab w:val="clear" w:pos="3515"/>
        </w:tabs>
        <w:ind w:left="1247"/>
        <w:rPr>
          <w:lang w:val="ru-RU"/>
        </w:rPr>
      </w:pPr>
      <w:r>
        <w:rPr>
          <w:lang w:val="ru-RU"/>
        </w:rPr>
        <w:t>Затем сопредседатель контактной группы сообщил, что контактная группа достигла соглашения о проекте решения в отношении усиления регионального атмосферного мониторинга веществ, регулируемых в рамках Монреальского протокола, который будет представлен на рассмотрение Сторон.</w:t>
      </w:r>
    </w:p>
    <w:p w14:paraId="632FBC7C" w14:textId="77777777" w:rsidR="006B128A" w:rsidRDefault="006B128A" w:rsidP="00785FEA">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для возможного принятия в ходе сегмента высокого уровня.</w:t>
      </w:r>
      <w:bookmarkStart w:id="11" w:name="_Hlk213154634"/>
      <w:bookmarkStart w:id="12" w:name="_Hlk213163587"/>
      <w:bookmarkStart w:id="13" w:name="_Hlk181266219"/>
      <w:bookmarkEnd w:id="11"/>
      <w:bookmarkEnd w:id="12"/>
      <w:bookmarkEnd w:id="13"/>
    </w:p>
    <w:p w14:paraId="3EAAFA52" w14:textId="7B8C59D0" w:rsidR="00785FEA" w:rsidRPr="00F65991" w:rsidRDefault="00785FEA" w:rsidP="00C37B15">
      <w:pPr>
        <w:pStyle w:val="CH1"/>
        <w:tabs>
          <w:tab w:val="clear" w:pos="1247"/>
          <w:tab w:val="clear" w:pos="1871"/>
          <w:tab w:val="clear" w:pos="2495"/>
          <w:tab w:val="clear" w:pos="3119"/>
          <w:tab w:val="clear" w:pos="3742"/>
          <w:tab w:val="clear" w:pos="4366"/>
          <w:tab w:val="clear" w:pos="4990"/>
        </w:tabs>
        <w:spacing w:before="0"/>
        <w:rPr>
          <w:lang w:val="ru-RU"/>
        </w:rPr>
      </w:pPr>
      <w:r>
        <w:rPr>
          <w:bCs/>
          <w:lang w:val="ru-RU"/>
        </w:rPr>
        <w:lastRenderedPageBreak/>
        <w:tab/>
        <w:t>VII.</w:t>
      </w:r>
      <w:r>
        <w:rPr>
          <w:lang w:val="ru-RU"/>
        </w:rPr>
        <w:tab/>
      </w:r>
      <w:r>
        <w:rPr>
          <w:bCs/>
          <w:lang w:val="ru-RU"/>
        </w:rPr>
        <w:t>Проведение исследований и разработка стратегий для поиска среднесрочных и долгосрочных решений проблемы значительного накопления запасов газообразных хладагентов, находящихся на завершающем этапе жизненного цикла, в странах, действующих в рамках пункта</w:t>
      </w:r>
      <w:r w:rsidR="00C37B15">
        <w:rPr>
          <w:bCs/>
          <w:lang w:val="en-US"/>
        </w:rPr>
        <w:t> </w:t>
      </w:r>
      <w:r>
        <w:rPr>
          <w:bCs/>
          <w:lang w:val="ru-RU"/>
        </w:rPr>
        <w:t>1 статьи 5 Монреальского протокола</w:t>
      </w:r>
    </w:p>
    <w:p w14:paraId="4051E24C" w14:textId="37DFF9AC" w:rsidR="00785FEA" w:rsidRPr="00785FEA" w:rsidRDefault="00785FEA" w:rsidP="00B15741">
      <w:pPr>
        <w:pStyle w:val="Normalnumber"/>
        <w:tabs>
          <w:tab w:val="clear" w:pos="624"/>
          <w:tab w:val="clear" w:pos="1247"/>
          <w:tab w:val="clear" w:pos="1814"/>
          <w:tab w:val="clear" w:pos="2381"/>
          <w:tab w:val="clear" w:pos="2948"/>
          <w:tab w:val="clear" w:pos="3515"/>
        </w:tabs>
        <w:ind w:left="1247"/>
        <w:rPr>
          <w:lang w:val="ru-RU"/>
        </w:rPr>
      </w:pPr>
      <w:r w:rsidRPr="00785FEA">
        <w:rPr>
          <w:lang w:val="ru-RU"/>
        </w:rPr>
        <w:t>В ходе рассмотрения этого пункта Сторонам были представлены пункты 44–47 записки секретариата о вопросах для обсуждения и информации для сведения тридцать седьмого Совещания Сторон Монреальского протокола (UNEP/OzL.Pro.37/2); пункты 77–90 приложения</w:t>
      </w:r>
      <w:r w:rsidR="001C572F">
        <w:rPr>
          <w:lang w:val="ru-RU"/>
        </w:rPr>
        <w:t> </w:t>
      </w:r>
      <w:r w:rsidRPr="00785FEA">
        <w:rPr>
          <w:lang w:val="ru-RU"/>
        </w:rPr>
        <w:t>I к докладу сорок седьмого совещании Рабочей группы открытого состава Сторон Монреальского протокола по веществам, разрушающим озоновый слой (UNEP/OzL.Pro.WG.1/47/6); раздел 6.9 доклада о ходе работы Группы по техническому обзору и экономической оценке, май 2025 года, том 1.</w:t>
      </w:r>
    </w:p>
    <w:p w14:paraId="20635487" w14:textId="77777777" w:rsidR="00785FEA" w:rsidRPr="00DF1A18"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напомнила, что на сорок седьмом совещании Рабочей группы открытого состава в контексте обсуждения вопроса о регулировании жизненного цикла хладагентов Куба представила проект решения, в котором выражалась озабоченность по поводу увеличения объема газообразных хладагентов, находящихся на завершающем этапе жизненного цикла, в странах, действующих в рамках статьи 5. Контактная группа, которая рассматривала проект решения, добилась значительного прогресса, однако достичь соглашения не удалось. Поэтому Рабочая группа постановила возобновить обсуждение вопроса о регулировании жизненного цикла хладагентов на тридцать седьмом Совещании Сторон на основе проекта решения, пересмотренного контактной группой. Пересмотренный проект решения изложен в документе UNEP/OzL.Pro.37/3 (проект решения XXXVII/[B]).</w:t>
      </w:r>
    </w:p>
    <w:p w14:paraId="1DAE8D7F" w14:textId="77777777" w:rsidR="00785FEA" w:rsidRPr="00F65991"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сформировать контактную группу под совместным председательством Моран Годфрин (Франция) и Серхио Мерино (Мексика) для дальнейшего обсуждения проекта решения.</w:t>
      </w:r>
    </w:p>
    <w:p w14:paraId="4C76FB6E" w14:textId="77777777" w:rsidR="00785FEA" w:rsidRPr="00F65991"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сопредседатель контактной группы сообщил, что группа достигла соглашения по проекту решения, касающегося исследования по количеству отработанных и ненужных регулируемых веществ и вариантам обращения с ними в соответствии с Монреальским протоколом, включая вещества, находящиеся на завершающем этапе жизненного цикла, для рассмотрения Сторонами.</w:t>
      </w:r>
    </w:p>
    <w:p w14:paraId="0B9890F1" w14:textId="77777777" w:rsidR="00785FEA" w:rsidRPr="00F65991" w:rsidRDefault="00785FEA" w:rsidP="00B15741">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p>
    <w:p w14:paraId="76FD2931" w14:textId="77777777" w:rsidR="00785FEA" w:rsidRPr="00F65991" w:rsidRDefault="00785FEA" w:rsidP="00785FE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t>VIII.</w:t>
      </w:r>
      <w:r>
        <w:rPr>
          <w:lang w:val="ru-RU"/>
        </w:rPr>
        <w:tab/>
      </w:r>
      <w:r>
        <w:rPr>
          <w:bCs/>
          <w:lang w:val="ru-RU"/>
        </w:rPr>
        <w:t>Применение регулируемых веществ в качестве исходного сырья</w:t>
      </w:r>
    </w:p>
    <w:p w14:paraId="69222D1E" w14:textId="77777777" w:rsidR="00785FEA" w:rsidRPr="00F65991" w:rsidRDefault="00785FEA" w:rsidP="00B15741">
      <w:pPr>
        <w:pStyle w:val="Normalnumber"/>
        <w:tabs>
          <w:tab w:val="clear" w:pos="624"/>
          <w:tab w:val="clear" w:pos="1247"/>
          <w:tab w:val="clear" w:pos="1814"/>
          <w:tab w:val="clear" w:pos="2381"/>
          <w:tab w:val="clear" w:pos="2948"/>
          <w:tab w:val="clear" w:pos="3515"/>
        </w:tabs>
        <w:rPr>
          <w:lang w:val="ru-RU"/>
        </w:rPr>
      </w:pPr>
      <w:r>
        <w:rPr>
          <w:lang w:val="ru-RU"/>
        </w:rPr>
        <w:t>При рассмотрении этого пункта Сторонам были представлены пункты 48−54 записки секретариата о вопросах для обсуждения и информации для сведения тридцать седьмого совещания Сторон Монреальского протокола (UNEP/OzL.Pro.37/2); пункты 143–148 и приложение I к докладу сорок седьмого совещания Рабочей группы открытого состава Сторон Монреальского протокола по веществам, разрушающим озоновый слой (UNEP/OzL.Pro.WG.1/47/6); пункты 52 и 53 записки секретариата о вопросах для обсуждения и информации для сведения Рабочей группы открытого состава Сторон Монреальского протокола на ее сорок седьмом совещании (UNEP/OzL.Pro.WG.1/47/2/Add.1); записка секретариата о своде информации, представленной Сторонами о методах и технологиях, используемых для сокращения выбросов регулируемых веществ, а также об их действующих национальных процедурах и механизмах, касающихся регулирования производства и применения регулируемых веществ в качестве исходного сырья (UNEP/OzL.Pro.WG.1/47/3 и UNEP/OzL.Pro.WG.1/47/3/Add.1). Проект решения по этому вопросу изложен в документе UNEP/OzL.Pro.37/3 (проект решения XXXVII/[С]).</w:t>
      </w:r>
    </w:p>
    <w:p w14:paraId="5F29BC87" w14:textId="079D97ED" w:rsidR="00785FEA" w:rsidRPr="00DF1A18"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напомнила, что на сорок седьмом совещании Рабочей группы открытого состава Европейский союз, действуя также от имени Швейцарии, представил проект решения по исходному сырью. Контактная группа, рассматривавшая проект решения, добилась значительного прогресса, однако завершить работу не удалось. Поэтому Рабочая группа постановила возобновить обсуждение вопроса о</w:t>
      </w:r>
      <w:r w:rsidR="00EC658C">
        <w:rPr>
          <w:lang w:val="ru-RU"/>
        </w:rPr>
        <w:t>б</w:t>
      </w:r>
      <w:r>
        <w:rPr>
          <w:lang w:val="ru-RU"/>
        </w:rPr>
        <w:t xml:space="preserve"> исходном сырье на тридцать седьмом Совещании Сторон на основе проекта решения, пересмотренного контактной группой. </w:t>
      </w:r>
      <w:r>
        <w:rPr>
          <w:lang w:val="ru-RU"/>
        </w:rPr>
        <w:lastRenderedPageBreak/>
        <w:t>Сопредседатель предложила Сторонам рассмотреть вопрос о создании контактной группы для дальнейшего обсуждения проекта решения.</w:t>
      </w:r>
    </w:p>
    <w:p w14:paraId="5F325EB5" w14:textId="3AD7478B" w:rsidR="00785FEA" w:rsidRPr="00F65991"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Один из представителей напомнил Сторонам, что, как было постановлено в решении</w:t>
      </w:r>
      <w:r w:rsidR="00EC658C">
        <w:rPr>
          <w:lang w:val="ru-RU"/>
        </w:rPr>
        <w:t> </w:t>
      </w:r>
      <w:r>
        <w:rPr>
          <w:lang w:val="ru-RU"/>
        </w:rPr>
        <w:t>IV/12, незначительные количества регулируемых веществ, образующихся в результате непреднамеренного или случайного производства в ходе производственного процесса, от не вступившего в реакцию исходного сырья или в результате их использования в качестве технологических агентов, которые присутствуют в химических веществах в виде следовых примесей или выделяются в процессе производства продукта либо обращения с ним, не подпадают под определение регулируемого вещества, содержащееся в пункте 4 статьи 1 Монреальского протокола. В соответствии с решением XXXV/6 Стороны уже представили информацию о передовой практике, а также о национальных процедурах и механизмах регулирования выбросов из исходн</w:t>
      </w:r>
      <w:r w:rsidR="00EC658C">
        <w:rPr>
          <w:lang w:val="ru-RU"/>
        </w:rPr>
        <w:t>о</w:t>
      </w:r>
      <w:r>
        <w:rPr>
          <w:lang w:val="ru-RU"/>
        </w:rPr>
        <w:t xml:space="preserve">го сырья. </w:t>
      </w:r>
    </w:p>
    <w:p w14:paraId="2A683387" w14:textId="6BF5B0AB" w:rsidR="00785FEA" w:rsidRPr="00DF1A18"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Другой представитель выразил согласие с этим, отметив, что, несмотря на увеличение использования регулируемых веществ в качестве исходного сырья, соответствующего увеличения выбросов отмечено не было. Любое решение должно отражать эти научно доказанные факты и быть направлено на улучшение качества данных и сотрудничества, а также на </w:t>
      </w:r>
      <w:r w:rsidR="003617E4">
        <w:rPr>
          <w:lang w:val="ru-RU"/>
        </w:rPr>
        <w:t>создание</w:t>
      </w:r>
      <w:r>
        <w:rPr>
          <w:lang w:val="ru-RU"/>
        </w:rPr>
        <w:t xml:space="preserve"> потенциала, без наложения новых обязательств на развивающиеся страны.</w:t>
      </w:r>
    </w:p>
    <w:p w14:paraId="7A8D797D" w14:textId="57F7A3FE" w:rsidR="00785FEA" w:rsidRPr="00F65991"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создать контактную группу под совместным председательством Лианы Гахраманян (Армения) и Моргэн Симпсон (Соединенное Королевство) для дальнейшего обсуждения проекта решения.</w:t>
      </w:r>
    </w:p>
    <w:p w14:paraId="207A9A23" w14:textId="77777777" w:rsidR="00785FEA" w:rsidRPr="00F65991" w:rsidRDefault="00785FEA" w:rsidP="00B15741">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в ответ на озабоченность, высказанную рядом представителей, участвовавших в работе контактной группы и взявших слово, представитель секретариата пояснила, что проведение в кулуарах консультаций контактной группы в целях достижения консенсуса или доработки предлагаемого текста проекта решения не является чем-то необычным, однако важно, чтобы любой новый, пересмотренный или удаленный текст, подготовленный по итогам этих консультаций, представлялся контактной группе. После обсуждений Стороны согласились с предложением, согласно которому текст проекта решения, обсуждавшегося в контактной группе, будет восстановлен в том виде, в котором он был представлен Сторонам Рабочей группой открытого состава, в соответствии с документом, содержащим проекты решений для рассмотрения тридцать седьмым Совещанием Сторон (UNEP/OzL.Pro.37/3 (проект решения XXXVII/[C])). Любые предлагаемые поправки могут затем вноситься в контактной группе. Один из представителей подчеркнул, что работа контактных групп должна начинаться с общего обсуждения вопроса между Сторонами, а уже затем следует переходить к рассмотрению содержания соответствующего проекта решения.</w:t>
      </w:r>
    </w:p>
    <w:p w14:paraId="1A77EF95" w14:textId="77777777" w:rsidR="00785FEA" w:rsidRPr="00F65991" w:rsidRDefault="00785FEA" w:rsidP="00E421F3">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Впоследствии сопредседатель контактной группы сообщил, что группа не смогла достичь соглашения по проекту решения о применении регулируемых веществ в качестве исходного сырья.</w:t>
      </w:r>
    </w:p>
    <w:p w14:paraId="062EE9D2" w14:textId="77777777" w:rsidR="00785FEA" w:rsidRPr="00F65991" w:rsidRDefault="00785FEA" w:rsidP="00785FE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t>IX.</w:t>
      </w:r>
      <w:r>
        <w:rPr>
          <w:lang w:val="ru-RU"/>
        </w:rPr>
        <w:tab/>
      </w:r>
      <w:r>
        <w:rPr>
          <w:bCs/>
          <w:lang w:val="ru-RU"/>
        </w:rPr>
        <w:t>Галон 1301 и его продолжающееся использование в авиационной промышленности;</w:t>
      </w:r>
      <w:r>
        <w:rPr>
          <w:lang w:val="ru-RU"/>
        </w:rPr>
        <w:t xml:space="preserve"> </w:t>
      </w:r>
      <w:r>
        <w:rPr>
          <w:bCs/>
          <w:lang w:val="ru-RU"/>
        </w:rPr>
        <w:t>обращение с другими регулируемыми веществами, используемыми для пожаротушения</w:t>
      </w:r>
    </w:p>
    <w:p w14:paraId="50CCC3BA" w14:textId="61709031" w:rsidR="00785FEA" w:rsidRPr="00F65991" w:rsidRDefault="00785FEA" w:rsidP="00E421F3">
      <w:pPr>
        <w:pStyle w:val="Normalnumber"/>
        <w:tabs>
          <w:tab w:val="clear" w:pos="624"/>
          <w:tab w:val="clear" w:pos="1247"/>
          <w:tab w:val="clear" w:pos="1814"/>
          <w:tab w:val="clear" w:pos="2381"/>
          <w:tab w:val="clear" w:pos="2948"/>
          <w:tab w:val="clear" w:pos="3515"/>
        </w:tabs>
        <w:ind w:left="1247"/>
        <w:rPr>
          <w:lang w:val="ru-RU"/>
        </w:rPr>
      </w:pPr>
      <w:r>
        <w:rPr>
          <w:lang w:val="ru-RU"/>
        </w:rPr>
        <w:t>В ходе рассмотрения этого пункта Сторонам были представлены пункты 55–60 записки секретариата о вопросах для обсуждения и информации для сведения тридцать седьмого Совещания Сторон Монреальского протокола (UNEP/OzL.Pro.37/2); пункты 116–128 приложения I к докладу сорок седьмого совещани</w:t>
      </w:r>
      <w:r w:rsidR="00194993">
        <w:rPr>
          <w:lang w:val="ru-RU"/>
        </w:rPr>
        <w:t>я</w:t>
      </w:r>
      <w:r>
        <w:rPr>
          <w:lang w:val="ru-RU"/>
        </w:rPr>
        <w:t xml:space="preserve"> Рабочей группы открытого состава Сторон Монреальского протокола по веществам, разрушающим озоновый слой (UNEP/OzL.Pro.WG.1/47/6); глава 3 доклада о ходе работы Группы по техническому обзору и экономической оценке, май 2025 года, том 1. Проект решения по этому вопросу изложен в документе UNEP/OzL.Pro.37/3 (проект решения XXXVII/[D]).</w:t>
      </w:r>
    </w:p>
    <w:p w14:paraId="5A7D9760" w14:textId="77777777" w:rsidR="00785FEA" w:rsidRPr="00DF1A18" w:rsidRDefault="00785FEA" w:rsidP="00E421F3">
      <w:pPr>
        <w:pStyle w:val="Normalnumber"/>
        <w:tabs>
          <w:tab w:val="clear" w:pos="624"/>
          <w:tab w:val="clear" w:pos="1247"/>
          <w:tab w:val="clear" w:pos="1814"/>
          <w:tab w:val="clear" w:pos="2381"/>
          <w:tab w:val="clear" w:pos="2948"/>
          <w:tab w:val="clear" w:pos="3515"/>
        </w:tabs>
        <w:ind w:left="1247"/>
        <w:rPr>
          <w:lang w:val="ru-RU"/>
        </w:rPr>
      </w:pPr>
      <w:r>
        <w:rPr>
          <w:lang w:val="ru-RU"/>
        </w:rPr>
        <w:t xml:space="preserve">Сопредседатель напомнила, что на сорок седьмом совещании Рабочей группы открытого состава Стороны обсудили вопрос о галоне 1301 на основе доклада Комитета по техническим вариантам замены для пожаротушения. Австралия, действуя также от имени Европейского союза, Канады, Новой Зеландии, Соединенного Королевства, Соединенных Штатов Америки и Швейцарии, представила предложение по использованию галона 1301 в авиационной промышленности и по другим регулируемым веществам, применяемым для целей пожаротушения. Контактная группа, которая рассматривала проект решения, добилась </w:t>
      </w:r>
      <w:r>
        <w:rPr>
          <w:lang w:val="ru-RU"/>
        </w:rPr>
        <w:lastRenderedPageBreak/>
        <w:t xml:space="preserve">значительного прогресса и исключила из текста проекта большинство квадратных скобок, однако достичь соглашения не удалось. Поэтому Рабочая группа постановила возобновить обсуждение вопроса о галоне 1301 на тридцать седьмом Совещании Сторон на основе проекта решения, пересмотренного контактной группой. </w:t>
      </w:r>
    </w:p>
    <w:p w14:paraId="1F2531CB" w14:textId="77777777" w:rsidR="00785FEA" w:rsidRPr="00F65991" w:rsidRDefault="00785FEA" w:rsidP="00E421F3">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сформировать контактную группу под совместным председательством Хуана Хосе Галеано (Аргентина) и Яны Машичковой (Чехия) для дальнейшего обсуждения проекта решения.</w:t>
      </w:r>
    </w:p>
    <w:p w14:paraId="70F3EC25" w14:textId="77777777" w:rsidR="00785FEA" w:rsidRPr="00F65991" w:rsidRDefault="00785FEA" w:rsidP="00E421F3">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сопредседатель контактной группы сообщил, что был достигнут консенсус в отношении проекта решения о галоне 1301 и его дальнейшем использовании в авиационной промышленности, а также о регулировании других регулируемых веществ, используемых для пожаротушения, для рассмотрения Сторонами.</w:t>
      </w:r>
    </w:p>
    <w:p w14:paraId="58B73882" w14:textId="77777777" w:rsidR="00785FEA" w:rsidRPr="00F65991" w:rsidRDefault="00785FEA" w:rsidP="001B1ED9">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p>
    <w:p w14:paraId="07FFB0D1" w14:textId="77777777" w:rsidR="00785FEA" w:rsidRPr="00F65991" w:rsidRDefault="00785FEA" w:rsidP="00785FE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t>X.</w:t>
      </w:r>
      <w:r>
        <w:rPr>
          <w:lang w:val="ru-RU"/>
        </w:rPr>
        <w:tab/>
      </w:r>
      <w:r>
        <w:rPr>
          <w:bCs/>
          <w:lang w:val="ru-RU"/>
        </w:rPr>
        <w:t>Национальные и региональные инициативы в поддержку осуществления Кигалийской поправки к Монреальскому протоколу</w:t>
      </w:r>
    </w:p>
    <w:p w14:paraId="772EF061" w14:textId="66B90854" w:rsidR="00785FEA" w:rsidRPr="00F65991" w:rsidRDefault="00785FEA" w:rsidP="001B1ED9">
      <w:pPr>
        <w:pStyle w:val="Normalnumber"/>
        <w:tabs>
          <w:tab w:val="clear" w:pos="624"/>
          <w:tab w:val="clear" w:pos="1247"/>
          <w:tab w:val="clear" w:pos="1814"/>
          <w:tab w:val="clear" w:pos="2381"/>
          <w:tab w:val="clear" w:pos="2948"/>
          <w:tab w:val="clear" w:pos="3515"/>
        </w:tabs>
        <w:ind w:left="1247"/>
        <w:rPr>
          <w:lang w:val="ru-RU"/>
        </w:rPr>
      </w:pPr>
      <w:r>
        <w:rPr>
          <w:lang w:val="ru-RU"/>
        </w:rPr>
        <w:t>При рассмотрении этого пункта Сторонам были представлены пункты 61−67 записки секретариата о вопросах для обсуждения и информации для сведения тридцать седьмого Совещания Сторон Монреальского протокола (UNEP/OzL.</w:t>
      </w:r>
      <w:r w:rsidR="000A5D8C" w:rsidRPr="009B31CD">
        <w:t>Pro</w:t>
      </w:r>
      <w:r>
        <w:rPr>
          <w:lang w:val="ru-RU"/>
        </w:rPr>
        <w:t>.37/2); пункты 195–206 и приложение I к докладу сорок седьмого совещания Рабочей группы открытого состава Сторон Монреальского протокола по веществам, разрушающим озоновый слой (UNEP/OzL.Pro.WG.1/47/6). Проект решения по этому вопросу изложен в документе UNEP/OzL.Pro.37/3 (проект решения XXXVII/[E]).</w:t>
      </w:r>
      <w:bookmarkStart w:id="14" w:name="_Hlk213149426"/>
      <w:bookmarkStart w:id="15" w:name="_Hlk213148777"/>
      <w:bookmarkStart w:id="16" w:name="_Hlk213149106"/>
      <w:bookmarkEnd w:id="14"/>
      <w:bookmarkEnd w:id="15"/>
      <w:bookmarkEnd w:id="16"/>
    </w:p>
    <w:p w14:paraId="5EC8AAC1" w14:textId="77777777" w:rsidR="00785FEA" w:rsidRPr="00DF1A18" w:rsidRDefault="00785FEA" w:rsidP="001B1ED9">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напомнила, что на сорок седьмом совещании Рабочей группы открытого состава был представлен проект решения о национальных и региональных инициативах в поддержку осуществления Кигалийской поправки. Контактная группа обсудила это предложение, и Рабочая группа постановила возобновить обсуждение вопроса о национальных и региональных инициативах на тридцать седьмом Совещании Сторон на основе проекта решения с изменениями, внесенными контактной группой. Сопредседатель отметила, что проект решения впоследствии был поддержан Африканской группой переговорщиков.</w:t>
      </w:r>
      <w:bookmarkStart w:id="17" w:name="_Hlk213158062"/>
      <w:bookmarkEnd w:id="17"/>
    </w:p>
    <w:p w14:paraId="534B8F25" w14:textId="77777777" w:rsidR="00785FEA" w:rsidRPr="00F65991" w:rsidRDefault="00785FEA" w:rsidP="001B1ED9">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сформировать контактную группу под совместным председательством Мариски Вутерс (Новая Зеландия) и Камиллы Ноэль (Вануату) для дальнейшего обсуждения проекта решения.</w:t>
      </w:r>
    </w:p>
    <w:p w14:paraId="14BF60E6" w14:textId="77777777" w:rsidR="00785FEA" w:rsidRPr="00F65991" w:rsidRDefault="00785FEA" w:rsidP="001B1ED9">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сопредседатель контактной группы сообщила, что группа достигла соглашения в отношении проекта решения, который будет представлен на рассмотрение Сторон.</w:t>
      </w:r>
    </w:p>
    <w:p w14:paraId="0CF524F6" w14:textId="77777777" w:rsidR="00785FEA" w:rsidRPr="00F65991" w:rsidRDefault="00785FEA" w:rsidP="001B1ED9">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p>
    <w:p w14:paraId="339796D5" w14:textId="77777777" w:rsidR="00785FEA" w:rsidRPr="00F65991" w:rsidRDefault="00785FEA" w:rsidP="00785FE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t>XI.</w:t>
      </w:r>
      <w:r>
        <w:rPr>
          <w:lang w:val="ru-RU"/>
        </w:rPr>
        <w:tab/>
      </w:r>
      <w:r>
        <w:rPr>
          <w:bCs/>
          <w:lang w:val="ru-RU"/>
        </w:rPr>
        <w:t>Организационные вопросы Группы по техническому обзору и экономической оценке</w:t>
      </w:r>
    </w:p>
    <w:p w14:paraId="59823C53" w14:textId="77777777" w:rsidR="00785FEA" w:rsidRPr="00F65991" w:rsidRDefault="00785FEA" w:rsidP="00785FEA">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t>A.</w:t>
      </w:r>
      <w:r>
        <w:rPr>
          <w:lang w:val="ru-RU"/>
        </w:rPr>
        <w:tab/>
      </w:r>
      <w:r>
        <w:rPr>
          <w:bCs/>
          <w:lang w:val="ru-RU"/>
        </w:rPr>
        <w:t>Варианты организации работы Группы по техническому обзору и экономической оценке и ее комитетов по техническим вариантам замены (решение XXXV/20)</w:t>
      </w:r>
    </w:p>
    <w:p w14:paraId="745118E9" w14:textId="3C165411" w:rsidR="00785FEA" w:rsidRPr="00C62023" w:rsidRDefault="00785FEA" w:rsidP="00E90DC0">
      <w:pPr>
        <w:pStyle w:val="Normalnumber"/>
        <w:tabs>
          <w:tab w:val="clear" w:pos="624"/>
          <w:tab w:val="clear" w:pos="1247"/>
          <w:tab w:val="clear" w:pos="1814"/>
          <w:tab w:val="clear" w:pos="2381"/>
          <w:tab w:val="clear" w:pos="2948"/>
          <w:tab w:val="clear" w:pos="3515"/>
        </w:tabs>
        <w:ind w:left="1247"/>
      </w:pPr>
      <w:r>
        <w:rPr>
          <w:lang w:val="ru-RU"/>
        </w:rPr>
        <w:t>При рассмотрении этого пункта Сторонам были представлены пункты 73–80 и приложения I и II к записке секретариата о вопросах для обсуждения и информации для сведения тридцать седьмого совещания Сторон Монреальского протокола (UNEP/OzL.Pro.37/2); пункты 99–111 доклада сорок седьмого совещания Рабочей группы открытого состава Сторон Монреальского протокола по веществам, разрушающим озоновый слой (UNEP/OzL.Pro.WG.1/47/6); круг ведения Группы по техническому обзору и экономической оценке, ее комитетов по техническим вариантам замены и временных вспомогательных органов, изложенный в приложении к решению XXIV/8 (см.</w:t>
      </w:r>
      <w:r w:rsidR="001B1ED9">
        <w:rPr>
          <w:lang w:val="ru-RU"/>
        </w:rPr>
        <w:t> </w:t>
      </w:r>
      <w:r>
        <w:rPr>
          <w:lang w:val="ru-RU"/>
        </w:rPr>
        <w:t>UNEP/Ozl.Pro.24/10).</w:t>
      </w:r>
      <w:bookmarkStart w:id="18" w:name="_Hlk213153388"/>
      <w:bookmarkStart w:id="19" w:name="_Hlk213153408"/>
      <w:bookmarkStart w:id="20" w:name="_Hlk213154839"/>
      <w:bookmarkEnd w:id="18"/>
      <w:bookmarkEnd w:id="19"/>
      <w:bookmarkEnd w:id="20"/>
    </w:p>
    <w:p w14:paraId="66359DE6" w14:textId="5C639D10"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bookmarkStart w:id="21" w:name="_Hlk213155117"/>
      <w:bookmarkStart w:id="22" w:name="_Hlk213155124"/>
      <w:r>
        <w:rPr>
          <w:lang w:val="ru-RU"/>
        </w:rPr>
        <w:lastRenderedPageBreak/>
        <w:t xml:space="preserve">Сопредседатель напомнила, что на сорок седьмом совещании Рабочей группы открытого состава неофициальная группа заинтересованных Сторон провела встречу с сопредседателями Группы по техническому обзору и экономической оценке и ее комитетов по техническим вариантам замены в кулуарах совещания для дальнейшего обсуждения вариантов организации Группы и ее комитетов по техническим вариантам замены. По итогам совещания Группа заявила, что ей требуется больше времени для предоставления дополнительной информации, запрошенной Сторонами, и Стороны также заявили, что им требуется дополнительное время для рассмотрения этого вопроса. Рабочая группа постановила возобновить обсуждение вопросов организации работы Группы и ее комитетов по техническим вариантам замены на тридцать седьмом </w:t>
      </w:r>
      <w:r w:rsidR="008670B0">
        <w:rPr>
          <w:lang w:val="ru-RU"/>
        </w:rPr>
        <w:t xml:space="preserve">Совещании </w:t>
      </w:r>
      <w:r>
        <w:rPr>
          <w:lang w:val="ru-RU"/>
        </w:rPr>
        <w:t>Сторон.</w:t>
      </w:r>
      <w:bookmarkStart w:id="23" w:name="_Hlk213153435"/>
      <w:bookmarkEnd w:id="21"/>
      <w:bookmarkEnd w:id="22"/>
      <w:bookmarkEnd w:id="23"/>
    </w:p>
    <w:p w14:paraId="31F7791E" w14:textId="253214C4"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Группа подготовила дополнительную информацию, запрошенную Сторонами в ходе неофициальных групповых обсуждений, и выразила готовность ответить на любые вопросы. Сопредседатель предложила Сторонам высказать свое мнение о том, как следует продолжить работу над этим пунктом повестки</w:t>
      </w:r>
      <w:r w:rsidR="008670B0">
        <w:rPr>
          <w:lang w:val="ru-RU"/>
        </w:rPr>
        <w:t xml:space="preserve"> дня</w:t>
      </w:r>
      <w:r>
        <w:rPr>
          <w:lang w:val="ru-RU"/>
        </w:rPr>
        <w:t>.</w:t>
      </w:r>
    </w:p>
    <w:p w14:paraId="7DEE3156"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Некоторые представители заявили, что будет полезно продолжить неофициальное обсуждение между заинтересованными Сторонами и сопредседателями Группы; сопредседатели могли бы предоставить информацию, которая помогла бы Сторонам определить путь к принятию решения, хотя остается неясным, удастся ли согласовать решение на текущем совещании. </w:t>
      </w:r>
    </w:p>
    <w:p w14:paraId="35E7AE59"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bookmarkStart w:id="24" w:name="_Hlk213156984"/>
      <w:r>
        <w:rPr>
          <w:lang w:val="ru-RU"/>
        </w:rPr>
        <w:t>Стороны постановили сформировать неофициальную группу для продолжения обсуждения этого вопроса при том понимании, что обсуждение, возможно, потребуется продолжить на сорок восьмом совещании Рабочей группы открытого состава в 2026 году.</w:t>
      </w:r>
      <w:bookmarkEnd w:id="24"/>
    </w:p>
    <w:p w14:paraId="14185AC9" w14:textId="77777777" w:rsidR="00785FEA" w:rsidRPr="00DF1A18"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Впоследствии сокоординатор неофициальной группы сообщил, что, хотя группа обсудила различные варианты, однако с учетом обязательств Группы по техническому обзору и экономической оценке и желания не прерывать ее текущую работу, включающую подготовку четырехгодичной оценки, группа сочла, что в настоящее время нецелесообразно проводить реструктуризацию Группы и ее комитетов по техническим вариантам замены. Вместе с тем была подчеркнута важность продолжения обсуждений, в частности в отношении оптимизации рабочей нагрузки, членства и финансовых ограничений, и была высказана просьба включить в доклад Группы информацию о финансовых последствиях. Наконец, Стороны пришли к широкому консенсусу в отношении того, что обсуждение этого вопроса следует продолжить на сорок восьмом совещании Рабочей группы открытого состава.</w:t>
      </w:r>
    </w:p>
    <w:p w14:paraId="055F8B51"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Стороны приняли решение включить данный пункт в повестку дня сорок восьмого совещания Рабочей группы открытого состава.</w:t>
      </w:r>
    </w:p>
    <w:p w14:paraId="3D70620A" w14:textId="77777777" w:rsidR="00785FEA" w:rsidRPr="00F65991" w:rsidRDefault="00785FEA" w:rsidP="00785FEA">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Pr>
          <w:bCs/>
          <w:lang w:val="ru-RU"/>
        </w:rPr>
        <w:tab/>
        <w:t>B.</w:t>
      </w:r>
      <w:r>
        <w:rPr>
          <w:lang w:val="ru-RU"/>
        </w:rPr>
        <w:tab/>
      </w:r>
      <w:r>
        <w:rPr>
          <w:bCs/>
          <w:lang w:val="ru-RU"/>
        </w:rPr>
        <w:t>Изменения в членском составе Группы по техническому обзору и экономической оценке</w:t>
      </w:r>
    </w:p>
    <w:p w14:paraId="1B6DFBA4" w14:textId="5E8764F9"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При рассмотрении этого пункта Сторонам были представлены пункты 73–80 и приложения I и II к записке секретариата по вопросам для обсуждения и информации для сведения тридцать седьмого </w:t>
      </w:r>
      <w:r w:rsidR="00833EB6">
        <w:rPr>
          <w:lang w:val="ru-RU"/>
        </w:rPr>
        <w:t xml:space="preserve">Совещания </w:t>
      </w:r>
      <w:r>
        <w:rPr>
          <w:lang w:val="ru-RU"/>
        </w:rPr>
        <w:t>Сторон Монреальского протокола (UNEP/OzL.Pro.37/2); пункты 61−65 добавления к записке (UNEP/OzL.Pro.37/2/Add.1); приложения 4 и 5 доклада о ходе работы Группы по техническому обзору и экономической оценке, май 2025 года, том 1; круг ведения Группы по техническому обзору и экономической оценке, ее комитетов по техническим вариантам замены и временных вспомогательных органов, изложенный в приложении к решению XXIV/8; базовая информация Группы по техническому обзору и экономической оценке и матрица необходимых знаний и опыта.</w:t>
      </w:r>
      <w:bookmarkStart w:id="25" w:name="_Hlk213154696"/>
      <w:bookmarkStart w:id="26" w:name="_Hlk213154729"/>
      <w:bookmarkStart w:id="27" w:name="_Hlk213154959"/>
      <w:bookmarkStart w:id="28" w:name="_Hlk213155160"/>
      <w:bookmarkEnd w:id="25"/>
      <w:bookmarkEnd w:id="26"/>
      <w:bookmarkEnd w:id="27"/>
      <w:bookmarkEnd w:id="28"/>
    </w:p>
    <w:p w14:paraId="655B8C88"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Сопредседатель напомнила, что на сорок седьмом совещании Рабочей группы открытого состава внимание Сторон было обращено на перечень сопредседателей и членов Группы по техническому обзору и экономической оценке и комитетов по техническим вариантам замены, срок полномочий которых истекает в конце 2025 года, как указано в докладе Группы о ходе работы за 2025 год. К настоящему времени секретариат получил четыре кандидатуры: Марты Писано на должность сопредседателя Комитета по техническим вариантам замены бромистого метила на дополнительный четырехгодичный срок; Иана Портера на должность сопредседателя Комитета по техническим вариантам замены бромистого метила на дополнительный двухгодичный срок; Хелен Тоуп на должность сопредседателя Комитета по техническим вариантам замены медицинских видов применения и химических веществ на дополнительный четырехгодичный срок; Хелен Уолтер-Терринони на должность сопредседателя Комитета по техническим вариантам замены гибких и жестких пеноматериалов на дополнительный четырехгодичный срок. Информация о кандидатах была размещена на </w:t>
      </w:r>
      <w:r>
        <w:rPr>
          <w:lang w:val="ru-RU"/>
        </w:rPr>
        <w:lastRenderedPageBreak/>
        <w:t xml:space="preserve">портале совещания. Сопредседатель попросила Стороны, заинтересованные в выдвижении кандидатур, сделать это как можно скорее и подготовить проект решения для обсуждения на текущем совещании. </w:t>
      </w:r>
      <w:bookmarkStart w:id="29" w:name="_Hlk213156132"/>
      <w:bookmarkStart w:id="30" w:name="_Hlk213155235"/>
      <w:bookmarkStart w:id="31" w:name="_Hlk213155965"/>
      <w:bookmarkEnd w:id="29"/>
      <w:bookmarkEnd w:id="30"/>
      <w:bookmarkEnd w:id="31"/>
    </w:p>
    <w:p w14:paraId="042B21F7" w14:textId="3125F31B"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Один из представителей выразил признательность Сергею Копылову за его преданность делу в качестве сопредседателя Комитета по техническим вариантам замены для пожаротушения. В выступлении этого представителя прозвучал призыв к Сторонам обеспечить включение в состав Группы и ее Комитетов по техническим вариантам замены представителей из развивающихся стран, в том числе из стран с высокой температурой воздуха, в соответствии с решением XXXI/8.</w:t>
      </w:r>
    </w:p>
    <w:p w14:paraId="05C2AB12"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создать неофициальную группу для продолжения обсуждения этого вопроса.</w:t>
      </w:r>
    </w:p>
    <w:p w14:paraId="182976B5" w14:textId="1A9C29B8"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Сопредседатель сообщила Сторонам, что неофициальная группа достигла соглашения по проекту решения по данному вопросу, который будет представлен на рассмотрение </w:t>
      </w:r>
      <w:r w:rsidR="00A97B53">
        <w:rPr>
          <w:lang w:val="ru-RU"/>
        </w:rPr>
        <w:t>Сторон</w:t>
      </w:r>
      <w:r>
        <w:rPr>
          <w:lang w:val="ru-RU"/>
        </w:rPr>
        <w:t>.</w:t>
      </w:r>
    </w:p>
    <w:p w14:paraId="09BBB4D4" w14:textId="77777777" w:rsidR="00785FEA" w:rsidRPr="00F65991" w:rsidRDefault="00785FEA" w:rsidP="00E90DC0">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p>
    <w:p w14:paraId="0114EFE7" w14:textId="77777777" w:rsidR="00785FEA" w:rsidRPr="00F65991" w:rsidRDefault="00785FEA" w:rsidP="00785FEA">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t>XII.</w:t>
      </w:r>
      <w:r>
        <w:rPr>
          <w:lang w:val="ru-RU"/>
        </w:rPr>
        <w:tab/>
      </w:r>
      <w:r>
        <w:rPr>
          <w:bCs/>
          <w:lang w:val="ru-RU"/>
        </w:rPr>
        <w:t>Дальнейшее укрепление учреждений Монреальского протокола (решение XXXVI/9)</w:t>
      </w:r>
      <w:bookmarkStart w:id="32" w:name="_Hlk156926530"/>
      <w:bookmarkEnd w:id="32"/>
    </w:p>
    <w:p w14:paraId="1B441DF4" w14:textId="61F7B8ED"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В ходе рассмотрения этого пункта Сторонам были представлены пункты 81–84 записки секретариата о вопросах для обсуждения и информации для сведения тридцать седьмого совещания Сторон Монреальского протокола (UNEP/OzL.</w:t>
      </w:r>
      <w:r w:rsidR="009D1FD9">
        <w:rPr>
          <w:lang w:val="ru-RU"/>
        </w:rPr>
        <w:t>Pro</w:t>
      </w:r>
      <w:r>
        <w:rPr>
          <w:lang w:val="ru-RU"/>
        </w:rPr>
        <w:t>.37/2); пункты 168–179 доклада сорок седьмого совещания Рабочей группы открытого состава Сторон Монреальского протокола по веществам, разрушающим озоновый слой (UNEP/OzL.Pro.WG.1/47/6); записка секретариата, озаглавленная «Концептуальная записка и предварительная программа», для неофициального совещания</w:t>
      </w:r>
      <w:r w:rsidRPr="00C62023">
        <w:rPr>
          <w:rStyle w:val="FootnoteReference"/>
          <w:lang w:val="ru-RU"/>
        </w:rPr>
        <w:footnoteReference w:id="3"/>
      </w:r>
      <w:r>
        <w:rPr>
          <w:lang w:val="ru-RU"/>
        </w:rPr>
        <w:t>.</w:t>
      </w:r>
      <w:bookmarkStart w:id="33" w:name="_Hlk213162786"/>
      <w:bookmarkEnd w:id="33"/>
    </w:p>
    <w:p w14:paraId="1F3DD37D"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Сопредседатель напомнила, что на сорок седьмом совещании Рабочей группы открытого состава заинтересованные Стороны провели совещание с секретариатом для рассмотрения тем, которые должны быть обсуждены на совещании группы, как того требует решение XXXVI/9. Это однодневное неофициальное совещание Сторон по содействию осуществлению Монреальского протокола состоялось в воскресенье, 2 ноября 2025 года. Секретариат подготовил и разместил резюме итогов совещания (UNEP/OzL.Pro.37/7), в целом основанное на ключевых тезисах, о которых координаторы секционных групп сообщили на пленарном заседании неофициального совещания Сторон. Она подчеркнула, что резюме не может в полной мере отразить все богатое содержание дискуссий, состоявшихся в ходе неофициального совещания, но выступления участников совещания доступны на веб-портале совещания</w:t>
      </w:r>
      <w:r w:rsidRPr="00C62023">
        <w:rPr>
          <w:rStyle w:val="FootnoteReference"/>
          <w:lang w:val="ru-RU"/>
        </w:rPr>
        <w:footnoteReference w:id="4"/>
      </w:r>
      <w:r>
        <w:rPr>
          <w:lang w:val="ru-RU"/>
        </w:rPr>
        <w:t xml:space="preserve">. От имени своего сопредседателя она также поблагодарила всех координаторов, докладчиков, приглашенных экспертов и участников за их ценный вклад в работу этого неофициального совещания. </w:t>
      </w:r>
    </w:p>
    <w:p w14:paraId="21E72A15" w14:textId="28DE56D3" w:rsidR="00785FEA" w:rsidRPr="00C62023" w:rsidRDefault="00785FEA" w:rsidP="00E90DC0">
      <w:pPr>
        <w:pStyle w:val="Normalnumber"/>
        <w:tabs>
          <w:tab w:val="clear" w:pos="624"/>
          <w:tab w:val="clear" w:pos="1247"/>
          <w:tab w:val="clear" w:pos="1814"/>
          <w:tab w:val="clear" w:pos="2381"/>
          <w:tab w:val="clear" w:pos="2948"/>
          <w:tab w:val="clear" w:pos="3515"/>
        </w:tabs>
        <w:ind w:left="1247"/>
      </w:pPr>
      <w:r>
        <w:rPr>
          <w:lang w:val="ru-RU"/>
        </w:rPr>
        <w:t>Позднее в ходе совещания представитель Европейского союза внес</w:t>
      </w:r>
      <w:r w:rsidR="004727CA">
        <w:rPr>
          <w:lang w:val="ru-RU"/>
        </w:rPr>
        <w:t>ла</w:t>
      </w:r>
      <w:r>
        <w:rPr>
          <w:lang w:val="ru-RU"/>
        </w:rPr>
        <w:t xml:space="preserve"> на рассмотрение проект решения, изложенный в документе зала заседаний. Она пояснила, что предложение касалось упорядочения информации, предоставляемой Сторонами в секретариат о</w:t>
      </w:r>
      <w:r w:rsidR="00091EDF">
        <w:rPr>
          <w:lang w:val="ru-RU"/>
        </w:rPr>
        <w:t>б</w:t>
      </w:r>
      <w:r>
        <w:rPr>
          <w:lang w:val="ru-RU"/>
        </w:rPr>
        <w:t xml:space="preserve"> их системах лицензирования, в целях укрепления таких систем. В нем содержится поручение секретариату подготовить к 30 сентября 2026 года шаблон для использования Сторонами при представлении информации, включая элементы системы лицензирования, которые должны быть разработаны и внедрены в соответствии со статьей 4B Монреальского протокола, а также другие элементы, являющиеся полезными для информации, и обеспечивать актуализацию этой информации в последующий период. Кроме того, в нем секретариату было поручено подготовить сводку предоставленной таким образом информации для рассмотрения Комитетом по выполнению на его семьдесят седьмом совещании и тридцать восьмым Совещанием Сторон. Наконец, в нем секретариату поручалось подготовить контрольный перечень основных элементов систем лицензирования с учетом статьи 4В Монреальского протокола и соответствующих решений </w:t>
      </w:r>
      <w:r>
        <w:rPr>
          <w:lang w:val="ru-RU"/>
        </w:rPr>
        <w:lastRenderedPageBreak/>
        <w:t>совещаний Сторон по вопросам лицензирования. Она надеется обсудить данное предложение со Сторонами.</w:t>
      </w:r>
    </w:p>
    <w:p w14:paraId="3C462449"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Один из представителей выразил озабоченность по поводу этого предложения, заявив, что неясно, каким образом оно должно помочь Сторонам в выполнении их обязательств в рамках Монреальского протокола. Сторонам следует проявлять особую осторожность при увеличении рабочей нагрузки секретариата и Сторон, которые и без того перегружены запросами о предоставлении дополнительной информации на добровольной основе. Не ясно, действительно ли это предложение поможет Сторонам укрепить свой потенциал и решить стоящие перед ними проблемы.</w:t>
      </w:r>
    </w:p>
    <w:p w14:paraId="69EACCA3" w14:textId="77777777" w:rsidR="00785FEA" w:rsidRPr="00DF1A18"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Другие представители подтвердили эту озабоченность, заявив, что необходимо более четко определить цель и содержание предлагаемого шаблона. В самом Монреальском протоколе не содержится конкретных руководящих указаний в отношении систем лицензирования. Другой представитель выразил обеспокоенность в связи с тем, что предлагаемый шаблон может не охватывать все особенности хорошо разработанной системы лицензирования.</w:t>
      </w:r>
    </w:p>
    <w:p w14:paraId="6FB96FB7"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Одним из представителей, приветствовавшим это предложение, было отмечено, что оно было выработано в ходе обсуждений на неофициальном совещании, состоявшемся в воскресенье, 2 ноября. Участники этого совещания, однако, обсудили и другие важные вопросы, в том числе незаконную торговлю, сбор данных и подготовку докладов, а также укрепление потенциала. Она выразила озабоченность тем, что если будет создана контактная группа для обсуждения предложения Европейского союза, то остальные вопросы найдут отражение лишь в итоговом документе неофициального совещания, который не имеет официального статуса и по которому не будут предприниматься дальнейшие действия. Она предложила, чтобы в случае создания контактной группы эта группа также занималась подготовкой последующих шагов в отношении других вопросов. </w:t>
      </w:r>
    </w:p>
    <w:p w14:paraId="37FFABE7" w14:textId="7CA09C35" w:rsidR="00785FEA" w:rsidRPr="00DF1A18"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Другой представитель заявила, что организация неофициального совещания соответствовала мандату, утвержденному Сторонами в решении XXXVI/9. Не обязательно, чтобы проект решения охватывал весь круг вопросов, обсуждавшихся на совещании. Приветствуя предложение Европейского союза и признавая важную роль систем лицензирования, особенно в борьбе с незаконной торговлей, она выразила озабоченность по поводу ряда моментов в связи с предложением в его </w:t>
      </w:r>
      <w:r w:rsidR="00506B77">
        <w:rPr>
          <w:lang w:val="ru-RU"/>
        </w:rPr>
        <w:t>настоящем</w:t>
      </w:r>
      <w:r>
        <w:rPr>
          <w:lang w:val="ru-RU"/>
        </w:rPr>
        <w:t xml:space="preserve"> виде. В частности, она отметила, что Сторонам должна быть предоставлена возможность внести свой вклад в разработку предлагаемого шаблона до его распространения секретариатом. Не представляется разумным ожидать, что Стороны смогут представить информацию о своих системах лицензирования с использованием незнакомого шаблона, что потенциально может повлечь за собой реорганизацию информации, уже представленной ими, до 30 сентября 2026 года. Также не ясно, что Комитет по выполнению должен делать с полученной таким образом информацией. Наконец, вызывает озабоченность ссылка в предложении на «основные элементы» систем лицензирования, поскольку Стороны не достигли соглашения относительно того, какими могут быть эти основные элементы. Нецелесообразно, чтобы секретариат представил контрольный перечень основных элементов, которые не обсуждались. Несмотря на эту критику, она, тем не менее, приветствует возможность дальнейшего обсуждения этого предложения.</w:t>
      </w:r>
    </w:p>
    <w:p w14:paraId="66729076"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Другие представители приветствовали предложение и просили предоставить возможность для его дальнейшего обсуждения в рамках контактной группы. Один из представителей согласился с предложением о том, чтобы круг ведения контактной группы был расширен с целью охвата других вопросов, обсуждавшихся на неофициальном совещании, однако с учетом ограниченного времени, отведенного для текущего совещания, предложил включить эту тему в повестку дня сорок восьмого совещания Рабочей группы открытого состава. Другой представитель отметил, что ограничение сферы применения рассматриваемого предложения системами лицензирования не исключает возможности рассмотрения других вопросов в дальнейшем. </w:t>
      </w:r>
    </w:p>
    <w:p w14:paraId="541CED03" w14:textId="77777777" w:rsidR="00785FEA" w:rsidRPr="00F65991"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сформировать неофициальную группу под руководством сокоординаторов Сандрин Бенар (Норвегия) и Джорджа Чаумбы (Зимбабве) для дальнейшего уточнения и обмена мнениями по проекту решения, а также по другим ключевым вопросам, поднятым в ходе неофициального совещания, состоявшегося 2 ноября.</w:t>
      </w:r>
    </w:p>
    <w:p w14:paraId="74BD6660" w14:textId="77777777" w:rsidR="00785FEA" w:rsidRPr="00DF1A18" w:rsidRDefault="00785FEA" w:rsidP="00E90DC0">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Впоследствии одним из сокоординаторов неофициальной группы была сообщена информация о том, что ряд Сторон выразили признательность за проведение однодневного неофициального совещания по содействию осуществлению Монреальского протокола. Ввиду </w:t>
      </w:r>
      <w:r>
        <w:rPr>
          <w:lang w:val="ru-RU"/>
        </w:rPr>
        <w:lastRenderedPageBreak/>
        <w:t>большого числа вопросов, подлежащих обсуждению, и в силу ограниченности времени неофициальная группа не смогла рассмотреть документ зала заседаний, представленный Европейским союзом. Учитывая заинтересованность Сторон в продолжении диалога по итогам неофициального совещания, было решено, что обсуждение этого вопроса следует продолжить на сорок восьмом совещании Рабочей группы открытого состава.</w:t>
      </w:r>
    </w:p>
    <w:p w14:paraId="210D6C5C" w14:textId="77777777" w:rsidR="00785FEA" w:rsidRPr="00F65991" w:rsidRDefault="00785FEA" w:rsidP="006F6A39">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приняли решение включить данный пункт в повестку дня сорок восьмого совещания Рабочей группы открытого состава.</w:t>
      </w:r>
    </w:p>
    <w:p w14:paraId="6102C488" w14:textId="77777777" w:rsidR="009C4F20" w:rsidRPr="00882261" w:rsidRDefault="009C4F20" w:rsidP="006F6A39">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882261">
        <w:rPr>
          <w:bCs/>
          <w:lang w:val="ru-RU"/>
        </w:rPr>
        <w:tab/>
        <w:t>XIII.</w:t>
      </w:r>
      <w:r w:rsidRPr="00882261">
        <w:rPr>
          <w:lang w:val="ru-RU"/>
        </w:rPr>
        <w:tab/>
      </w:r>
      <w:r w:rsidRPr="00882261">
        <w:rPr>
          <w:bCs/>
          <w:lang w:val="ru-RU"/>
        </w:rPr>
        <w:t>Вопросы соблюдения и представления данных: работа и рекомендации Комитета по выполнению</w:t>
      </w:r>
    </w:p>
    <w:p w14:paraId="423A82BA" w14:textId="77777777" w:rsidR="009C4F20" w:rsidRPr="009C4F20" w:rsidRDefault="009C4F20" w:rsidP="008172B3">
      <w:pPr>
        <w:pStyle w:val="Normalnumber"/>
        <w:tabs>
          <w:tab w:val="clear" w:pos="624"/>
          <w:tab w:val="clear" w:pos="1247"/>
          <w:tab w:val="clear" w:pos="1814"/>
          <w:tab w:val="clear" w:pos="2381"/>
          <w:tab w:val="clear" w:pos="2948"/>
          <w:tab w:val="clear" w:pos="3515"/>
        </w:tabs>
        <w:ind w:left="1247"/>
        <w:rPr>
          <w:lang w:val="ru-RU"/>
        </w:rPr>
      </w:pPr>
      <w:r w:rsidRPr="009C4F20">
        <w:rPr>
          <w:lang w:val="ru-RU"/>
        </w:rPr>
        <w:t>При рассмотрении этого пункта Сторонам были представлены пункты 85 и 86 записки секретариата о вопросах для обсуждения и информации к сведению участников тридцать седьмого Совещания Сторон Монреальского протокола (UNEP/OzL.Pro.37/2) и процедуре, касающейся несоблюдения Монреальского протокола. Проекты решений, переданные Комитетом по выполнению для рассмотрения и возможного принятия тридцать седьмым Совещанием Сторон, были изложены в документе зала заседаний.</w:t>
      </w:r>
      <w:bookmarkStart w:id="34" w:name="_Hlk213163822"/>
      <w:bookmarkEnd w:id="34"/>
    </w:p>
    <w:p w14:paraId="59B5F3EF"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Председатель Комитета по выполнению Мартейн Хильдебранд (Королевство Нидерландов) представил резюме работы Комитета на его семьдесят четвертом и семьдесят пятом совещаниях, включая обзор девяти проектов решений, утвержденных Комитетом на предмет их рассмотрения тридцать седьмым Совещанием Сторон.</w:t>
      </w:r>
    </w:p>
    <w:p w14:paraId="345BF3EA" w14:textId="3B62C0C3"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Комитет рассмотрел вопросы представления данных, связанные со статьями 7 и 9 Монреальского протокола, включая требования к отчетности в отношении ГФУ в рамках Кигалийской поправки, случаи несоблюдения, в том числе соблюдение или несоблюдение отдельными Сторонами обязательств, содержащихся в их планах действий, призванных обеспечить возвращение в режим соблюдения, запросы об изменении исходных данных о ГФУ и ГХФУ, информацию о создании систем лицензирования для ГФУ, </w:t>
      </w:r>
      <w:r w:rsidR="000310C6">
        <w:rPr>
          <w:lang w:val="ru-RU"/>
        </w:rPr>
        <w:t>направление</w:t>
      </w:r>
      <w:r w:rsidR="000310C6" w:rsidRPr="00882261">
        <w:rPr>
          <w:lang w:val="ru-RU"/>
        </w:rPr>
        <w:t xml:space="preserve"> </w:t>
      </w:r>
      <w:r w:rsidRPr="00882261">
        <w:rPr>
          <w:lang w:val="ru-RU"/>
        </w:rPr>
        <w:t xml:space="preserve">предварительных данных в рамках </w:t>
      </w:r>
      <w:r w:rsidR="000310C6">
        <w:rPr>
          <w:lang w:val="ru-RU"/>
        </w:rPr>
        <w:t>представления</w:t>
      </w:r>
      <w:r w:rsidR="000310C6" w:rsidRPr="00882261">
        <w:rPr>
          <w:lang w:val="ru-RU"/>
        </w:rPr>
        <w:t xml:space="preserve"> </w:t>
      </w:r>
      <w:r w:rsidR="000310C6">
        <w:rPr>
          <w:lang w:val="ru-RU"/>
        </w:rPr>
        <w:t>информации</w:t>
      </w:r>
      <w:r w:rsidRPr="00882261">
        <w:rPr>
          <w:lang w:val="ru-RU"/>
        </w:rPr>
        <w:t xml:space="preserve"> в соответствии со статьей 7 и системные вопросы в отношении соблюдения. Помимо этого, Комитет получил доклады секретариата Многостороннего фонда о соответствующих решениях Исполнительного комитета Фонда и о мероприятиях, осуществляемых учреждениями-исполнителями в целях содействия соблюдению Сторонами положений Протокола.</w:t>
      </w:r>
    </w:p>
    <w:p w14:paraId="46A9148D" w14:textId="3D4DC50F"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При рассмотрении статуса Сторон, охватываемых решением XXXVI/13, в отношении несоблюдения ими обязательств по представлению данных согласно статье 7, Комитет рассмотрел положение дел с соблюдением восемью Сторонами своих обязательств, и все восемь Сторон представили недостающие данные в соответствии с просьбой, содержащейся в решении. Он также рассмотрел обязательства </w:t>
      </w:r>
      <w:r w:rsidR="00C41C07" w:rsidRPr="00882261">
        <w:rPr>
          <w:lang w:val="ru-RU"/>
        </w:rPr>
        <w:t xml:space="preserve">Сторон </w:t>
      </w:r>
      <w:r w:rsidRPr="00882261">
        <w:rPr>
          <w:lang w:val="ru-RU"/>
        </w:rPr>
        <w:t xml:space="preserve">по возвращению в режим соблюдения, содержащиеся в их планах действий. Ливия выполнила все свои обязательства в соответствии с ее планом действий, и проект решения о закрытии этого вопроса был направлен на рассмотрение тридцать седьмого Совещания Сторон. Казахстан продолжал придерживаться своих обязательств, изложенных в его плане действий. </w:t>
      </w:r>
    </w:p>
    <w:p w14:paraId="5F863612"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Комитет рассмотрел вопрос о представлении предварительных данных после обсуждения этого вопроса Комитетом и тридцать шестым Совещанием Сторон. Как отмечал предыдущий Председатель Комитета в своем докладе тридцать шестому Совещанию Сторон, такая практика затрудняла работу Комитета, поскольку без окончательных данных невозможно установить, соблюдаются ли меры регулирования в соответствии с Протоколом. Сторона, представившая предварительные данные за исходные годы, может обойти процесс пересмотра исходных данных, изложенный в решении XIII/15.</w:t>
      </w:r>
    </w:p>
    <w:p w14:paraId="3AD52A01" w14:textId="14861A9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Учитывая, что понятие «предварительные данные» не было включено ни в Монреальский протокол, ни в какие-либо решения </w:t>
      </w:r>
      <w:r w:rsidR="006B6188" w:rsidRPr="00882261">
        <w:rPr>
          <w:lang w:val="ru-RU"/>
        </w:rPr>
        <w:t xml:space="preserve">совещаний </w:t>
      </w:r>
      <w:r w:rsidRPr="00882261">
        <w:rPr>
          <w:lang w:val="ru-RU"/>
        </w:rPr>
        <w:t>Сторон, Комитет согласился с тем, что секретариат прекратит рассматривать любые данные в качестве предварительных. Данные, не являющиеся исходными, могут быть исправлены в соответствии с процедурой, изложенной в пункте 3 решения VI/5. Для пересмотра исходных данных необходимо направить запрос в Комитет в соответствии с положениями решения XIII/15, согласно методологии, изложенной в решении XV/19.</w:t>
      </w:r>
    </w:p>
    <w:p w14:paraId="1EB93D8F"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Комитет также обсудил документ о системных вопросах в отношении соблюдения (UNEP/OzL.Pro/ImpCom/74/6, приложение II). Резюме обсуждений было представлено в начале неофициального совещания по содействию осуществлению Монреальского протокола и будет отражено в докладе о работе семьдесят пятого совещания Комитета.</w:t>
      </w:r>
    </w:p>
    <w:p w14:paraId="437B5E95"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lastRenderedPageBreak/>
        <w:t>Комитет направил девять проектов решений на рассмотрение тридцать седьмым Совещанием Сторон. Первый проект решения связан с представлением данных в соответствии со статьей 7 Протокола. В нем отмечается, что 194 из 198 Сторон, которые должны были представить данные за 2024 год, сделали это до 31 октября 2025 года, что 123 Стороны сделали это через систему представления данных в онлайн-режиме, и что 170 Сторон представили свои данные до 30 сентября 2025 года, как это требуется в соответствии с пунктом 3 статьи 7 Протокола.</w:t>
      </w:r>
    </w:p>
    <w:p w14:paraId="6EE8467A"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проекте решения далее с удовлетворением отмечается, что в соответствии с рекомендацией, содержащейся в решении XV/15, 74 из этих Сторон представили свои данные за 2024 год до 30 июня 2025 года и что представление данных до 30 июня каждого года значительно облегчает работу Комитета по выполнению и Исполнительного комитета Многостороннего фонда в оказании содействия Сторонам, действующим в рамках статьи 5, в соблюдении мер регулирования.</w:t>
      </w:r>
    </w:p>
    <w:p w14:paraId="5FE4BA0B" w14:textId="60964B1C"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Комитет с обеспокоенностью отметил, что четыре Стороны, а именно Армения, Исландия, Коморские Острова и Сан-Томе и Принсипи, не представили свои данные за 2024</w:t>
      </w:r>
      <w:r w:rsidR="008172B3">
        <w:rPr>
          <w:lang w:val="en-US"/>
        </w:rPr>
        <w:t> </w:t>
      </w:r>
      <w:r w:rsidRPr="00882261">
        <w:rPr>
          <w:lang w:val="ru-RU"/>
        </w:rPr>
        <w:t>год к 31 октября 2025 года, и что это переводит их в режим несоблюдения их обязательств по представлению данных в соответствии с Монреальским протоколом до тех пор, пока секретариат не получит от них недостающие данные. В проекте решения содержится настоятельный призыв ко всем этим Сторонам как можно скорее представить свои данные и просьба к Комитету рассмотреть положение дел с этими Сторонами на его семьдесят шестом совещании.</w:t>
      </w:r>
    </w:p>
    <w:p w14:paraId="64C21E6C"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проекте решения также отмечается, что отсутствие своевременного представления данных Сторонами затрудняет эффективный мониторинг и оценку соблюдения Сторонами их обязательств в соответствии с Монреальским протоколом. Этот вопрос был одним из нескольких, отмеченных в документе о системных вопросах в отношении соблюдения, который был подготовлен секретариатом и обсуждался Комитетом в ходе неофициального совещания. Такое несвоевременное представление данных создает трудности как для Комитета, так и для секретариата. Для предотвращения несвоевременного представления данных, особенно в день проведения совещания Комитета для принятия своих рекомендаций, и в ходе тридцать седьмого Совещания Сторон, а также с учетом того, что ежегодные данные должны представляться не позднее, чем через девять месяцев после окончания года, к которому относятся данные, в проекте решения о представлении данных перечислены те Стороны, которые не представили данные к определенной дате, 31 октября 2025 года, то есть за день до принятия Комитетом своих рекомендаций. В проекте решения также содержится призыв к Сторонам продолжать представлять данные по мере их поступления, предпочтительно не позднее 30 июня каждого года, как это указано в решении XV/15.</w:t>
      </w:r>
    </w:p>
    <w:p w14:paraId="0615FAB1"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Второй проект решения касался соблюдения Ливией обязательств, содержащихся в ее плане действий, призванных обеспечить возвращение в режим соблюдения, как изложено в решении XXVII/11. На своем семьдесят четвертом совещании Комитет выразил удовлетворение в связи с возвращением Ливии в режим соблюдения мер регулирования ГХФУ, а также с введением запрета на импорт оборудования для кондиционирования воздуха, содержащего ГХФУ. Комитет просил Ливию представить дополнительную информацию о холодильном оборудовании и оборудовании для кондиционирования воздуха, содержащем ГХФУ, которое уже имелось на складах, а также информацию о выполнении ею запрета на закупки. Впоследствии Ливия представила требуемую информацию, и Комитет пришел к выводу, что эта Сторона придерживается своих обязательств в рамках своего плана действий. Вследствие этого в проекте решения, препровожденном для рассмотрения тридцать седьмым Совещанием Сторон, было заявлено, что никаких дальнейших действий не требуется.</w:t>
      </w:r>
    </w:p>
    <w:p w14:paraId="143F098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Третий проект решения касался несоблюдения Монреальского протокола Корейской Народно-Демократической Республикой. Эта Сторона не соблюдала свои обязательства на 2021, 2023 и 2024 годы в отношении годового производства и потребления ГХФУ, предусмотренные в ее плане действий по возвращению в режим соблюдения, содержащемся в решении XXXII/6. Этой Стороне были вынесены предупреждения в трех решениях Совещаний Сторон в соответствии с пунктом B ориентировочного перечня мер, которые могут быть приняты Совещанием Сторон в отношении несоблюдения, в которых предусматривалось, что если эта Сторона не вернется в режим соблюдения, то Стороны рассмотрят меры в соответствии с пунктом С ориентировочного перечня мер, включая возможность обеспечения того, чтобы поставки ГХФУ были прекращены, с тем чтобы экспортирующие Стороны не способствовали дальнейшему несоблюдению.</w:t>
      </w:r>
    </w:p>
    <w:p w14:paraId="515D66D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lastRenderedPageBreak/>
        <w:t>В своих рекомендациях 68/4, 69/4, 70/2, 72/3 и 74/2 Комитет неоднократно обращался к этой Стороне с просьбой, представить разъяснение относительно расхождений в представленных данных, представить пересмотренный план действий для обеспечения возвращения в режим соблюдения и доклад об усилиях по внедрению дополнительных национальных мер политики, способствующих поэтапному выводу из обращения ГХФУ, как это предусмотрено в плане действий.</w:t>
      </w:r>
    </w:p>
    <w:p w14:paraId="073F4E67"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Хотя представитель Корейской Народно-Демократической Республики присутствовал на семьдесят четвертом совещании Комитета, эта Сторона не представила запрошенную Комитетом информацию. Вследствие этого в своей рекомендации 74/2 Комитет напомнил этой Стороне о предупреждении, содержащемся в решении XXXVI/16, и проинформировал эту Сторону о том, что, если она не представит соответствующие ответы на запросы, как того требует рекомендация, для рассмотрения Комитетом на его семьдесят пятом совещании, Комитет порекомендует Сторонам принять меры в соответствии с пунктом С ориентировочного перечня мер.</w:t>
      </w:r>
    </w:p>
    <w:p w14:paraId="22AF886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Несмотря на неоднократные напоминания секретариата, эта Сторона не представила информацию, запрошенную Комитетом. В связи с этим Комитет направил на рассмотрение тридцать седьмым Совещанием Сторон проект решения, согласно которому тридцать седьмое Совещание Сторон в целях оказания содействия Корейской Народно-Демократической Республике в возвращении в режим соблюдения мер регулирования в отношении ГХФУ, согласится приостановить, в соответствии с пунктом С ориентировочного перечня мер, которые могут быть приняты Совещанием Сторон в отношении несоблюдения Протокола, торговлю ГХФУ – веществами, которые являются предметом несоблюдения, – между Корейской Народно-Демократической Республикой и другими Сторонами Протокола, с тем чтобы такая торговля не допускалась в соответствии с Протоколом.</w:t>
      </w:r>
    </w:p>
    <w:p w14:paraId="4310C01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Кроме того, в проекте решения указывалось, что приостановка торговли ГХФУ с Корейской Народно-Демократической Республикой будет продолжаться до тех пор, пока эта Сторона не вернется в режим соблюдения мер регулирования в отношении ГХФУ в соответствии с Монреальским протоколом, как это рекомендовано Комитетом на основе данных, представленных в соответствии со статьей 7, или до тех пор, пока Совещание Сторон не примет иного решения.</w:t>
      </w:r>
    </w:p>
    <w:p w14:paraId="74A6290A"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Четвертый, пятый, шестой и седьмой проекты решений касались несоблюдения мер регулирования потребления ГФУ Замбией, Мали, Сент-Винсентом и Гренадинами и Таджикистаном. Замбия, Мали и Сент-Винсент и Гренадины представили данные по ГФУ за 2024 год, превышающие их допустимые пределы, а Таджикистан представил данные за 2023 и 2024 годы, превышающие его регулируемые уровни. Таким образом, во всех четырех проектах решений эти Стороны были объявлены не соблюдающими свои обязательства.</w:t>
      </w:r>
    </w:p>
    <w:p w14:paraId="25815A0C"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Мали уведомила секретариат о своем намерении запросить пересмотр своих исходных данных по ГФУ, однако еще не представила информацию, требуемую в соответствии с решением XV/19 для обоснования своего запроса. В связи с этим в четвертом проекте решения этой Стороне было предложено представить в секретариат для рассмотрения Комитетом на его семьдесят шестом совещании либо просьбу о пересмотре ее исходных данных по ГФУ, включая информацию, требуемую в соответствии с решением XV/19, либо план действий по возвращению в режим соблюдения.</w:t>
      </w:r>
    </w:p>
    <w:p w14:paraId="6E684A1C" w14:textId="3A3DEE8E"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bookmarkStart w:id="35" w:name="_Hlk213177082"/>
      <w:r w:rsidRPr="00882261">
        <w:rPr>
          <w:lang w:val="ru-RU"/>
        </w:rPr>
        <w:t>Сент-Винсент и Гренадины представили план действий по возвращению в режим соблюдения, который был рассмотрен Комитетом. Комитет отметил, что план действий предусматривает длительный срок возвращения в режим соблюдения, а именно не ранее 2035</w:t>
      </w:r>
      <w:r w:rsidR="008172B3">
        <w:rPr>
          <w:lang w:val="en-US"/>
        </w:rPr>
        <w:t> </w:t>
      </w:r>
      <w:r w:rsidRPr="00882261">
        <w:rPr>
          <w:lang w:val="ru-RU"/>
        </w:rPr>
        <w:t>года, а также отметил, что план выполнения Кигалийской поправки этой Стороной еще не был утвержден Исполнительным комитетом Многостороннего фонда. В пятом проекте решения содержалась просьба к Сент-Винсенту и Гренадинам представить пересмотренный план действий после утверждения Исполнительным комитетом плана выполнения Кигалийской поправки.</w:t>
      </w:r>
      <w:bookmarkEnd w:id="35"/>
    </w:p>
    <w:p w14:paraId="31F00683"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Таджикистан проинформировал секретариат о своем намерении представить план действий по возвращению в режим соблюдения, однако на момент проведения семьдесят пятого совещания Комитета план не был представлен. В шестом проекте решения Таджикистану предлагалось представить в секретариат для рассмотрения Комитетом по выполнению на его семьдесят шестом совещании план действий по возвращению в режим соблюдения.</w:t>
      </w:r>
    </w:p>
    <w:p w14:paraId="6036B09F"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lastRenderedPageBreak/>
        <w:t>В седьмом проекте решения содержится настоятельный призыв к Замбии представить разъяснение относительно расхождения в представленных ею данных по ГФУ за 2024 год, которые свидетельствовали о потреблении, превышающем пределы, разрешенные Протоколом, и, при необходимости, представить план действий по возвращению в режим соблюдения для рассмотрения Комитетом на его семьдесят шестом совещании.</w:t>
      </w:r>
    </w:p>
    <w:p w14:paraId="2D22A63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этих четырех проектах решений также предлагалось внимательно следить за ходом выполнения Сторонами своих обязательств. В проектах решений указывалось, что в той мере, в какой эти Стороны будут стремиться к осуществлению и фактически осуществлять свои меры регулирования или представлять требуемую информацию, они</w:t>
      </w:r>
      <w:r w:rsidRPr="00882261">
        <w:rPr>
          <w:b/>
          <w:bCs/>
          <w:lang w:val="ru-RU"/>
        </w:rPr>
        <w:t xml:space="preserve"> </w:t>
      </w:r>
      <w:r w:rsidRPr="00882261">
        <w:rPr>
          <w:lang w:val="ru-RU"/>
        </w:rPr>
        <w:t>должны будут и далее рассматриваться как Стороны, добросовестно выполняющие свои обязательства, и они должны и далее получать международную помощь, с тем чтобы иметь возможность выполнять свои обязательства в соответствии с пунктом А ориентировочного перечня мер, которые могут быть приняты Совещанием Сторон в отношении несоблюдения.</w:t>
      </w:r>
    </w:p>
    <w:p w14:paraId="254F7FBF" w14:textId="2AE8638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Наконец, в соответствующих случаях, в проектах решений также содержалось предупреждение для Сторон в соответствии с пунктом B ориентировочного перечня мер о том, что</w:t>
      </w:r>
      <w:r w:rsidR="009E6F1D">
        <w:rPr>
          <w:lang w:val="ru-RU"/>
        </w:rPr>
        <w:t>,</w:t>
      </w:r>
      <w:r w:rsidRPr="00882261">
        <w:rPr>
          <w:lang w:val="ru-RU"/>
        </w:rPr>
        <w:t xml:space="preserve"> если они не смогут своевременно вернуться в режим соблюдения, Совещание Сторон рассмотрит меры в соответствии с пунктом С ориентировочного перечня мер.</w:t>
      </w:r>
    </w:p>
    <w:p w14:paraId="75E48E36" w14:textId="79BE1C8D"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Восьмой проект решения касается создания систем лицензирования для ГФУ в соответствии с пунктом 2-бис статьи 4B Монреальского протокола. В проекте решения с удовлетворением отмечается, что 161 из 169 Сторон, ратифицировавших Кигалийскую поправку, создали такие системы лицензирования,</w:t>
      </w:r>
      <w:r w:rsidRPr="00882261">
        <w:rPr>
          <w:b/>
          <w:bCs/>
          <w:lang w:val="ru-RU"/>
        </w:rPr>
        <w:t xml:space="preserve"> </w:t>
      </w:r>
      <w:r w:rsidRPr="00882261">
        <w:rPr>
          <w:lang w:val="ru-RU"/>
        </w:rPr>
        <w:t xml:space="preserve">и что </w:t>
      </w:r>
      <w:r w:rsidR="009E6F1D">
        <w:rPr>
          <w:lang w:val="ru-RU"/>
        </w:rPr>
        <w:t>4</w:t>
      </w:r>
      <w:r w:rsidRPr="00882261">
        <w:rPr>
          <w:lang w:val="ru-RU"/>
        </w:rPr>
        <w:t xml:space="preserve"> Стороны, которые пока не ратифицировали Кигалийскую поправку, также сообщили о создании и функционировании таких систем лицензирования.</w:t>
      </w:r>
    </w:p>
    <w:p w14:paraId="5C30A6ED"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проекте решения содержится настоятельный призыв к Джибути, Оману и Сан-Марино представить секретариату информацию о создании и функционировании их систем лицензирования для ГФУ. В документе с обеспокоенностью отмечалось, что Сан-Марино, которое приняло Кигалийскую поправку в 2020 году, до сих пор не сообщило о создании и функционировании своей системы лицензирования, и было предложено этой Стороне направить представителя на семьдесят шестое совещание Комитета.</w:t>
      </w:r>
    </w:p>
    <w:p w14:paraId="5180AEEF" w14:textId="7E31134D"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Девятый проект решения касался запросов </w:t>
      </w:r>
      <w:r w:rsidR="007F010E">
        <w:rPr>
          <w:lang w:val="ru-RU"/>
        </w:rPr>
        <w:t>11</w:t>
      </w:r>
      <w:r w:rsidRPr="00882261">
        <w:rPr>
          <w:lang w:val="ru-RU"/>
        </w:rPr>
        <w:t xml:space="preserve"> Сторон о пересмотре их исходных данных, а именно со стороны Боснии и Герцеговины, Бразилии, Вануату, Гвинеи, Кирибати, Марокко, Маршалловых Островов, Науру, Нигерии, Ниуэ и Тувалу. В проекте решения подтверждалось, что эти Стороны представили достаточную информацию в соответствии с решением XV/19, чтобы обосновать свои запросы о пересмотре своих исходных данных по ГФУ и, в соответствующих случаях, по ГХФУ, и поэтому эти запросы были одобрены.</w:t>
      </w:r>
    </w:p>
    <w:p w14:paraId="50C3E2B0"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заключение он поблагодарил всех 10 членов Комитета за их конструктивный вклад и плодотворные дискуссии, секретариат за его усилия по подготовке и организации совещаний, а также секретариат Многостороннего фонда и учреждения-исполнители за их важную работу.</w:t>
      </w:r>
    </w:p>
    <w:p w14:paraId="05DC47F1"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Сопредседатель поблагодарила председателя Комитета по выполнению за его всеобъемлющее выступление, а членов Комитета – за их работу. </w:t>
      </w:r>
    </w:p>
    <w:p w14:paraId="6EC09F65"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ходе последовавшего обсуждения один представитель заявил, что он с нетерпением ожидает окончательного одобрения рекомендации, касающейся его Стороны, в ходе сегмента высокого уровня текущего совещания.</w:t>
      </w:r>
    </w:p>
    <w:p w14:paraId="6EAFE465"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Отвечая на вопрос одного представителя о влиянии незначительных ошибок на соблюдение, представитель секретариата пояснил, что Комитет по выполнению в прошлом обсуждал вопрос о том, являются ли незначительные ошибки или данные о минимальном превышении регулируемого уровня, вопросом, касающимся соблюдения, и принял решение, что являются.</w:t>
      </w:r>
    </w:p>
    <w:p w14:paraId="6CD9D686"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Представитель Омана проинформировал Стороны о том, что после закрытия семьдесят пятого совещания Комитета по выполнению его Сторона уведомила секретариат по озону о функционировании в его стране системы лицензирования для ГФУ.</w:t>
      </w:r>
    </w:p>
    <w:p w14:paraId="7C07B8CE"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Представитель секретариата подтвердил, что секретариат получил электронное письмо от этой Стороны после завершения совещания Комитета по выполнению. Он сказал, что, когда секретариат получает от Сторон информацию о системах лицензирования для ГФУ, он проверяет, подтверждает ли эта информация, что система лицензирования была создана и что она функционирует. Направленное Оманом электронное письмо подтвердило и то, и другое.</w:t>
      </w:r>
    </w:p>
    <w:p w14:paraId="4F49A6DA"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lastRenderedPageBreak/>
        <w:t>В связи с этим сопредседатель предложил исключить упоминание об Омане из проекта решения о положении дел с созданием систем лицензирования, который будет передан на рассмотрение в ходе сегмента высокого уровня, пояснив, что в решении не указана дата, по состоянию на которую содержащаяся в нем информация должна считаться верной.</w:t>
      </w:r>
    </w:p>
    <w:p w14:paraId="5792E850"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Некоторые представители выразили обеспокоенность в связи с предложением о том, чтобы Стороны вносили изменения в проект решения, подготовленный Комитетом по выполнению, и поинтересовались, является ли это обычной процедурой.</w:t>
      </w:r>
    </w:p>
    <w:p w14:paraId="39E72D37" w14:textId="791FD29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 xml:space="preserve">В ответ представитель </w:t>
      </w:r>
      <w:r w:rsidR="00E82217" w:rsidRPr="00882261">
        <w:rPr>
          <w:lang w:val="ru-RU"/>
        </w:rPr>
        <w:t xml:space="preserve">секретариата </w:t>
      </w:r>
      <w:r w:rsidRPr="00882261">
        <w:rPr>
          <w:lang w:val="ru-RU"/>
        </w:rPr>
        <w:t xml:space="preserve">пояснил, что в соответствии со сложившейся практикой Комитет на своем совещании соглашается пересматривать любые проекты решений и рекомендаций на основе информации, полученной после совещания Комитета, до тех пор, пока соответствующие решения не будут приняты соответствующим </w:t>
      </w:r>
      <w:r w:rsidR="00E82217" w:rsidRPr="00882261">
        <w:rPr>
          <w:lang w:val="ru-RU"/>
        </w:rPr>
        <w:t xml:space="preserve">Совещанием </w:t>
      </w:r>
      <w:r w:rsidRPr="00882261">
        <w:rPr>
          <w:lang w:val="ru-RU"/>
        </w:rPr>
        <w:t>Сторон. Хотя этот вопрос не обсуждался на семьдесят пятом совещании, сопредседатель предложил такой же подход.</w:t>
      </w:r>
    </w:p>
    <w:p w14:paraId="74BE5CE3"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Представитель Коморских Островов принес извинения за несоблюдение его Стороной своих обязательств, которое произошло случайно в результате недопонимания. Он заверил Стороны в том, что после закрытия семьдесят пятого совещания Комитета по выполнению непредставленные данные за 2024 год были направлены в секретариат и Исполнительный комитет. Он просил секретариат также рассмотреть представление его Стороны с целью исключения упоминания о Коморских Островах из соответствующего проекта решения.</w:t>
      </w:r>
    </w:p>
    <w:p w14:paraId="45FE5C5D"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ответ на это сопредседатель пояснила, что положение Коморских Островов отличается от положения Омана. Оман представил информацию о своей системе лицензирования, в то время как Коморские Острова представили свои данные за 2024 год. В проекте решения особо отмечалось, что четыре страны, в том числе Коморские Острова, не представили свои данные за 2024 год к 31 октября 2025 года.</w:t>
      </w:r>
    </w:p>
    <w:p w14:paraId="4A2A24D7"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С учетом представленной информации представители, выразившие обеспокоенность, заявили, что они согласны с исключением упоминания об Омане из проекта решения, поскольку этот случай явно носит процедурный характер и касается уведомления, а не данных, информации и оценки. Они не хотели принимать какое-либо решение, которое могло бы привести к тому, что представление какой-либо Стороны обойдет процесс рассмотрения Комитетом по выполнению.</w:t>
      </w:r>
    </w:p>
    <w:p w14:paraId="4DD429C4" w14:textId="77777777" w:rsidR="009C4F20" w:rsidRPr="00882261" w:rsidRDefault="009C4F20" w:rsidP="00294112">
      <w:pPr>
        <w:pStyle w:val="Normalnumber"/>
        <w:tabs>
          <w:tab w:val="clear" w:pos="624"/>
          <w:tab w:val="clear" w:pos="1247"/>
          <w:tab w:val="clear" w:pos="1814"/>
          <w:tab w:val="clear" w:pos="2381"/>
          <w:tab w:val="clear" w:pos="2948"/>
          <w:tab w:val="clear" w:pos="3515"/>
        </w:tabs>
        <w:spacing w:after="240"/>
        <w:ind w:left="1247"/>
        <w:rPr>
          <w:lang w:val="ru-RU"/>
        </w:rPr>
      </w:pPr>
      <w:r w:rsidRPr="00882261">
        <w:rPr>
          <w:lang w:val="ru-RU"/>
        </w:rPr>
        <w:t>Стороны постановили направить этот пакет проектов, с внесенными в него устными поправками,</w:t>
      </w:r>
      <w:r w:rsidRPr="00882261">
        <w:rPr>
          <w:b/>
          <w:bCs/>
          <w:lang w:val="ru-RU"/>
        </w:rPr>
        <w:t xml:space="preserve"> </w:t>
      </w:r>
      <w:r w:rsidRPr="00882261">
        <w:rPr>
          <w:lang w:val="ru-RU"/>
        </w:rPr>
        <w:t>на дальнейшее рассмотрение и возможное утверждение в ходе сегмента высокого уровня.</w:t>
      </w:r>
    </w:p>
    <w:p w14:paraId="5F531FFD" w14:textId="77777777" w:rsidR="009C4F20" w:rsidRPr="00882261" w:rsidRDefault="009C4F20" w:rsidP="006F6A39">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882261">
        <w:rPr>
          <w:bCs/>
          <w:lang w:val="ru-RU"/>
        </w:rPr>
        <w:tab/>
        <w:t>XIV.</w:t>
      </w:r>
      <w:r w:rsidRPr="00882261">
        <w:rPr>
          <w:lang w:val="ru-RU"/>
        </w:rPr>
        <w:tab/>
      </w:r>
      <w:r w:rsidRPr="00882261">
        <w:rPr>
          <w:bCs/>
          <w:lang w:val="ru-RU"/>
        </w:rPr>
        <w:t>Положение дел с ратификацией Кигалийской поправки</w:t>
      </w:r>
    </w:p>
    <w:p w14:paraId="12FF1A4F" w14:textId="77777777" w:rsidR="009C4F20" w:rsidRPr="00882261" w:rsidRDefault="009C4F20" w:rsidP="00317864">
      <w:pPr>
        <w:pStyle w:val="Normalnumber"/>
        <w:tabs>
          <w:tab w:val="clear" w:pos="624"/>
          <w:tab w:val="clear" w:pos="1247"/>
          <w:tab w:val="clear" w:pos="1814"/>
          <w:tab w:val="clear" w:pos="2381"/>
          <w:tab w:val="clear" w:pos="2948"/>
          <w:tab w:val="clear" w:pos="3515"/>
        </w:tabs>
        <w:rPr>
          <w:lang w:val="ru-RU"/>
        </w:rPr>
      </w:pPr>
      <w:r w:rsidRPr="00882261">
        <w:rPr>
          <w:lang w:val="ru-RU"/>
        </w:rPr>
        <w:t>При рассмотрении этого пункта Сторонам были представлены пункты 93 и 94 записки секретариата о вопросах для обсуждения и информации к сведению участников тридцать седьмого Совещания Сторон Монреальского протокола (UNEP/OzL.Pro.37/2), записка секретариата о положении дел с ратификацией, утверждением и принятием Кигалийской поправки к Протоколу (UNEP/OzL.Pro.37/INF/5) и проект решения, изложенный в документе UNEP/OzL.Pro.37/3 (проект решения XXXVII/[EE]).</w:t>
      </w:r>
    </w:p>
    <w:p w14:paraId="5FA103AB" w14:textId="4560FCB7" w:rsidR="009C4F20" w:rsidRPr="00882261" w:rsidRDefault="009C4F20" w:rsidP="00317864">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Внося на рассмотрение этот пункт, сопредседатель сообщила, что по состоянию на 31</w:t>
      </w:r>
      <w:r w:rsidR="00317864">
        <w:rPr>
          <w:lang w:val="ru-RU"/>
        </w:rPr>
        <w:t> </w:t>
      </w:r>
      <w:r w:rsidRPr="00882261">
        <w:rPr>
          <w:lang w:val="ru-RU"/>
        </w:rPr>
        <w:t>октября 2025 года Кигалийскую поправку ратифицировали в общей сложности 169 Сторон, что на 29 Сторон меньше, чем требуется для достижения цели всеобщей ратификации. Данные о числе ратификаций будут обновлены, по мере необходимости, во время рассмотрения и возможного утверждения проекта решения XXXVII/[EE] в ходе сегмента высокого уровня.</w:t>
      </w:r>
    </w:p>
    <w:p w14:paraId="3F168F16" w14:textId="77777777" w:rsidR="009C4F20" w:rsidRPr="00882261" w:rsidRDefault="009C4F20" w:rsidP="00317864">
      <w:pPr>
        <w:pStyle w:val="Normalnumber"/>
        <w:tabs>
          <w:tab w:val="clear" w:pos="624"/>
          <w:tab w:val="clear" w:pos="1247"/>
          <w:tab w:val="clear" w:pos="1814"/>
          <w:tab w:val="clear" w:pos="2381"/>
          <w:tab w:val="clear" w:pos="2948"/>
          <w:tab w:val="clear" w:pos="3515"/>
        </w:tabs>
        <w:spacing w:after="240"/>
        <w:ind w:left="1247"/>
        <w:rPr>
          <w:lang w:val="ru-RU"/>
        </w:rPr>
      </w:pPr>
      <w:r w:rsidRPr="00882261">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p>
    <w:p w14:paraId="5F7C2245" w14:textId="77777777" w:rsidR="009C4F20" w:rsidRPr="00882261" w:rsidRDefault="009C4F20" w:rsidP="006F6A39">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882261">
        <w:rPr>
          <w:bCs/>
          <w:lang w:val="ru-RU"/>
        </w:rPr>
        <w:tab/>
        <w:t>XV.</w:t>
      </w:r>
      <w:r w:rsidRPr="00882261">
        <w:rPr>
          <w:lang w:val="ru-RU"/>
        </w:rPr>
        <w:tab/>
      </w:r>
      <w:r w:rsidRPr="00882261">
        <w:rPr>
          <w:bCs/>
          <w:lang w:val="ru-RU"/>
        </w:rPr>
        <w:t>Прочие вопросы</w:t>
      </w:r>
    </w:p>
    <w:p w14:paraId="383BA4C2" w14:textId="3548A155" w:rsidR="009C4F20" w:rsidRPr="00882261" w:rsidRDefault="009C4F20" w:rsidP="00DD45E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284" w:firstLine="0"/>
        <w:rPr>
          <w:lang w:val="ru-RU"/>
        </w:rPr>
      </w:pPr>
      <w:r w:rsidRPr="00882261">
        <w:rPr>
          <w:lang w:val="ru-RU"/>
        </w:rPr>
        <w:tab/>
      </w:r>
      <w:r w:rsidRPr="00882261">
        <w:rPr>
          <w:bCs/>
          <w:lang w:val="ru-RU"/>
        </w:rPr>
        <w:t>Обеспечение устойчивости деятельности в рамках Монреальского протокола</w:t>
      </w:r>
    </w:p>
    <w:p w14:paraId="632C6B55"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Сопредседатель напомнила, что при утверждении повестки дня было решено рассмотреть предложение об оптимизации графика совещаний Монреальского протокола.</w:t>
      </w:r>
    </w:p>
    <w:p w14:paraId="3A1E994F" w14:textId="0FE53A82"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lastRenderedPageBreak/>
        <w:t>Представитель Соединенных Штатов</w:t>
      </w:r>
      <w:r w:rsidR="009E5247">
        <w:rPr>
          <w:lang w:val="ru-RU"/>
        </w:rPr>
        <w:t xml:space="preserve"> Америки</w:t>
      </w:r>
      <w:r w:rsidRPr="00882261">
        <w:rPr>
          <w:lang w:val="ru-RU"/>
        </w:rPr>
        <w:t xml:space="preserve"> внес на рассмотрение проект решения под названием «Обеспечение устойчивости деятельности в рамках Монреальского протокола», изложенный в документе зала заседаний, который был подготовлен совместно с Норвегией, пояснив, что всем многосторонним органам важно проводить периодические обзоры организации своей работы, чтобы она оставалась эффективной и действенной и имела оптимальную структуру для содействия осуществлению. Поскольку большинство Сторон Монреальского протокола приближаются к завершению процесса поэтапного вывода из обращения ГХФУ и приступили к сокращению оборота ГФУ, целесообразно провести стратегическую беседу о вероятной будущей рабочей нагрузке и о том, соответствует ли текущий график совещаний этой рабочей нагрузке. Проект решения призван сделать первый шаг к достижению этой цели и поручить секретариату подготовить доклад для рассмотрения Рабочей группой открытого состава на ее сорок восьмом совещании, в котором были бы изложены возможные варианты и соответствующие сметы расходов, связанные с изменением сроков и продолжительности совещаний органов Протокола, а также цикла принятия решений о пополнении.</w:t>
      </w:r>
    </w:p>
    <w:p w14:paraId="42EC4816"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Представитель Норвегии, страны, являющейся одним из</w:t>
      </w:r>
      <w:r w:rsidRPr="00882261">
        <w:rPr>
          <w:b/>
          <w:bCs/>
          <w:lang w:val="ru-RU"/>
        </w:rPr>
        <w:t xml:space="preserve"> </w:t>
      </w:r>
      <w:r w:rsidRPr="00882261">
        <w:rPr>
          <w:lang w:val="ru-RU"/>
        </w:rPr>
        <w:t xml:space="preserve">соавторов проекта решения, отметил, что текущая сложная финансовая ситуация вряд ли улучшится в ближайшие годы, и напомнил, что после сокращения бюджета на тридцать шестом Совещании Сторон секретариат был вынужден свернуть некоторые виды своей деятельности. Для обеспечения долгосрочной устойчивости Протокола было бы полезно начать более широкое обсуждение вопроса о том, как обеспечить эффективность деятельности с точки зрения затрат в рамках Монреальского протокола, не подрывая текущую работу и не ставя под угрозу способность этого документа решать возникающие проблемы. </w:t>
      </w:r>
    </w:p>
    <w:p w14:paraId="7D964C67"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 ходе последовавшего обсуждения ряд представителей заявили, что считают это предложение уместным, подчеркнув, что его цель заключается в сборе информации и смет расходов по возможным вариантам в качестве отправной точки для обсуждения между Сторонами; повышении эффективности без ущерба для целей и действенности Монреальского протокола; а также обеспечении эффективного выделения ресурсов и поддержке деятельности секретариата, что является залогом успеха Протокола. Несколько представителей подчеркнули, что не следует предвосхищать результаты этого предложения.</w:t>
      </w:r>
    </w:p>
    <w:p w14:paraId="09FE1883"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Некоторые представители выразили обеспокоенность по поводу сроков представления этого предложения. Один из них предостерег от внесения изменений, которые могут поставить под угрозу успешную работу этого органа; другие подчеркнули, что в ближайшее время будет положено начало крупным проектам, требующим серьезного обсуждения Сторонами. Один представитель предупредил, что это предложение может иметь последствия, выходящие за рамки достижения административной эффективности, с изменением сроков, продолжительности и структуры совещаний, а также цикла принятия решений о пополнении, что может повлиять на участие Сторон, действующих в рамках статьи 5, и на осуществление ими Монреальского протокола.</w:t>
      </w:r>
    </w:p>
    <w:p w14:paraId="73FF0E43"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Ряд представителей высказали мнение о том, что неформальные обсуждения будут иметь жизненно важное значение для лучшего понимания сферы охвата и возможных последствий этого предложения и для предоставления секретариату более четкого круга ведения, с тем чтобы он мог подготовить запрошенный доклад о возможных улучшениях деятельности. Один представитель добавил, что никакие рациональные решения о возможных изменениях в графике проведения совещаний не могут быть приняты без объективного анализа успешности предыдущих совещаний и решений; и подчеркнул, что все решения должны быть направлены на оказание помощи Сторонам в осуществлении Монреальского протокола.</w:t>
      </w:r>
    </w:p>
    <w:p w14:paraId="1AD314C8"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Стороны постановили сформировать контактную группу под совместным председательством Кармен Риверо (Аргентина) и Алессандро Перу (Италия) для дальнейшего обсуждения этого вопроса. Для обеспечения участия как можно большего числа делегаций будут предприняты согласованные усилия, чтобы избежать совпадений с графиками работы других групп.</w:t>
      </w:r>
    </w:p>
    <w:p w14:paraId="2ED0FAA0"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Впоследствии сопредседатель контактной группы сообщила, что группа достигла соглашения в отношении проекта решения об обеспечении устойчивости деятельности в рамках Монреальского протокола, который будет представлен на рассмотрение Сторон.</w:t>
      </w:r>
    </w:p>
    <w:p w14:paraId="222B87EC" w14:textId="77777777" w:rsidR="009C4F20" w:rsidRPr="00882261" w:rsidRDefault="009C4F20" w:rsidP="00294112">
      <w:pPr>
        <w:pStyle w:val="Normalnumber"/>
        <w:tabs>
          <w:tab w:val="clear" w:pos="624"/>
          <w:tab w:val="clear" w:pos="1247"/>
          <w:tab w:val="clear" w:pos="1814"/>
          <w:tab w:val="clear" w:pos="2381"/>
          <w:tab w:val="clear" w:pos="2948"/>
          <w:tab w:val="clear" w:pos="3515"/>
        </w:tabs>
        <w:ind w:left="1247"/>
        <w:rPr>
          <w:lang w:val="ru-RU"/>
        </w:rPr>
      </w:pPr>
      <w:r w:rsidRPr="00882261">
        <w:rPr>
          <w:lang w:val="ru-RU"/>
        </w:rPr>
        <w:t>Стороны постановили направить этот проект решения на дальнейшее рассмотрение и возможное утверждение в ходе сегмента высокого уровня.</w:t>
      </w:r>
      <w:r>
        <w:rPr>
          <w:lang w:val="ru-RU"/>
        </w:rPr>
        <w:t xml:space="preserve"> </w:t>
      </w:r>
    </w:p>
    <w:p w14:paraId="7306F299" w14:textId="2C8A7453" w:rsidR="000F67B0" w:rsidRPr="0021703A" w:rsidRDefault="000F67B0" w:rsidP="00E7762B">
      <w:pPr>
        <w:tabs>
          <w:tab w:val="clear" w:pos="1247"/>
          <w:tab w:val="clear" w:pos="1814"/>
          <w:tab w:val="clear" w:pos="2381"/>
          <w:tab w:val="clear" w:pos="2948"/>
          <w:tab w:val="clear" w:pos="3515"/>
        </w:tabs>
        <w:suppressAutoHyphens/>
        <w:spacing w:after="240"/>
        <w:ind w:left="1247" w:right="567"/>
        <w:rPr>
          <w:b/>
          <w:sz w:val="28"/>
          <w:szCs w:val="28"/>
          <w:lang w:val="ru-RU"/>
        </w:rPr>
      </w:pPr>
      <w:r w:rsidRPr="0021703A">
        <w:rPr>
          <w:b/>
          <w:bCs/>
          <w:sz w:val="28"/>
          <w:szCs w:val="28"/>
          <w:lang w:val="ru-RU"/>
        </w:rPr>
        <w:lastRenderedPageBreak/>
        <w:t>Часть вторая: сегмент высокого уровня (6 и 7 ноября 2025</w:t>
      </w:r>
      <w:r w:rsidR="003B3BF2">
        <w:rPr>
          <w:b/>
          <w:bCs/>
          <w:sz w:val="28"/>
          <w:szCs w:val="28"/>
          <w:lang w:val="en-US"/>
        </w:rPr>
        <w:t> </w:t>
      </w:r>
      <w:r w:rsidRPr="0021703A">
        <w:rPr>
          <w:b/>
          <w:bCs/>
          <w:sz w:val="28"/>
          <w:szCs w:val="28"/>
          <w:lang w:val="ru-RU"/>
        </w:rPr>
        <w:t>года)</w:t>
      </w:r>
    </w:p>
    <w:p w14:paraId="6C95CB58" w14:textId="77777777" w:rsidR="000F67B0" w:rsidRPr="0021703A"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8"/>
          <w:szCs w:val="28"/>
        </w:rPr>
      </w:pPr>
      <w:r w:rsidRPr="0021703A">
        <w:rPr>
          <w:b/>
          <w:bCs/>
          <w:sz w:val="28"/>
          <w:szCs w:val="28"/>
          <w:lang w:val="ru-RU"/>
        </w:rPr>
        <w:tab/>
        <w:t>I.</w:t>
      </w:r>
      <w:r w:rsidRPr="0021703A">
        <w:rPr>
          <w:sz w:val="28"/>
          <w:szCs w:val="28"/>
          <w:lang w:val="ru-RU"/>
        </w:rPr>
        <w:tab/>
      </w:r>
      <w:r w:rsidRPr="0021703A">
        <w:rPr>
          <w:b/>
          <w:bCs/>
          <w:sz w:val="28"/>
          <w:szCs w:val="28"/>
          <w:lang w:val="ru-RU"/>
        </w:rPr>
        <w:t>Открытие сегмента высокого уровня</w:t>
      </w:r>
    </w:p>
    <w:p w14:paraId="49A6E13C" w14:textId="4F657D11" w:rsidR="000F67B0" w:rsidRPr="0021703A" w:rsidRDefault="000F67B0" w:rsidP="00294112">
      <w:pPr>
        <w:numPr>
          <w:ilvl w:val="0"/>
          <w:numId w:val="21"/>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Сегмент высокого уровня был открыт в 10:05 в четверг, 6 ноября 2025 года, Ндиайе Шейхом Силлой (Сенегал), </w:t>
      </w:r>
      <w:r>
        <w:rPr>
          <w:lang w:val="ru-RU"/>
        </w:rPr>
        <w:t>з</w:t>
      </w:r>
      <w:r w:rsidRPr="006C08C3">
        <w:rPr>
          <w:lang w:val="ru-RU"/>
        </w:rPr>
        <w:t xml:space="preserve">аместителем Председателя тридцать шестого </w:t>
      </w:r>
      <w:r w:rsidR="00E7762B" w:rsidRPr="006C08C3">
        <w:rPr>
          <w:lang w:val="ru-RU"/>
        </w:rPr>
        <w:t>Совещания</w:t>
      </w:r>
      <w:r w:rsidRPr="006C08C3">
        <w:rPr>
          <w:lang w:val="ru-RU"/>
        </w:rPr>
        <w:t xml:space="preserve"> Сторон Монреальского протокола, исполняющим обязанности Председателя. Совещание началось с исполнения народной музыки.</w:t>
      </w:r>
    </w:p>
    <w:p w14:paraId="221B94CA" w14:textId="77777777" w:rsidR="000F67B0" w:rsidRPr="00E7762B"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lang w:val="ru-RU"/>
        </w:rPr>
      </w:pPr>
      <w:r w:rsidRPr="00E7762B">
        <w:rPr>
          <w:b/>
          <w:bCs/>
          <w:sz w:val="24"/>
          <w:szCs w:val="24"/>
          <w:lang w:val="ru-RU"/>
        </w:rPr>
        <w:tab/>
        <w:t>A.</w:t>
      </w:r>
      <w:r w:rsidRPr="00E7762B">
        <w:rPr>
          <w:sz w:val="24"/>
          <w:szCs w:val="24"/>
          <w:lang w:val="ru-RU"/>
        </w:rPr>
        <w:tab/>
      </w:r>
      <w:r w:rsidRPr="00E7762B">
        <w:rPr>
          <w:b/>
          <w:bCs/>
          <w:sz w:val="24"/>
          <w:szCs w:val="24"/>
          <w:lang w:val="ru-RU"/>
        </w:rPr>
        <w:t>Заявление Председателя тридцать шестого Совещания Сторон Монреальского протокола</w:t>
      </w:r>
    </w:p>
    <w:p w14:paraId="1727C2A1" w14:textId="22EF92A7" w:rsidR="000F67B0" w:rsidRPr="006C08C3" w:rsidRDefault="000F67B0" w:rsidP="00CE0056">
      <w:pPr>
        <w:pStyle w:val="Normalnumber"/>
        <w:tabs>
          <w:tab w:val="clear" w:pos="624"/>
          <w:tab w:val="clear" w:pos="1247"/>
          <w:tab w:val="clear" w:pos="1814"/>
          <w:tab w:val="clear" w:pos="2381"/>
          <w:tab w:val="clear" w:pos="2948"/>
          <w:tab w:val="clear" w:pos="3515"/>
        </w:tabs>
        <w:ind w:left="1247"/>
        <w:rPr>
          <w:lang w:val="ru-RU"/>
        </w:rPr>
      </w:pPr>
      <w:r w:rsidRPr="006C08C3">
        <w:rPr>
          <w:lang w:val="ru-RU"/>
        </w:rPr>
        <w:t xml:space="preserve">В своем выступлении г-н Силла напомнил, что на тридцать шестом Совещании Сторон Монреальского протокола было принято несколько ключевых решений о ходе осуществления Протокола, которые заложили основу для многих обсуждений, проходящих на тридцать седьмом </w:t>
      </w:r>
      <w:r w:rsidR="002D20EF" w:rsidRPr="006C08C3">
        <w:rPr>
          <w:lang w:val="ru-RU"/>
        </w:rPr>
        <w:t>Совещании</w:t>
      </w:r>
      <w:r w:rsidRPr="006C08C3">
        <w:rPr>
          <w:lang w:val="ru-RU"/>
        </w:rPr>
        <w:t>. Наиболее важным из них является решение об усилении регионального атмосферного мониторинга регулируемых веществ. Он с нетерпением ожидает следующих шагов по повышению потенциала в области мониторинга в регионах, где имеются пробелы.</w:t>
      </w:r>
    </w:p>
    <w:p w14:paraId="6B626BA2" w14:textId="22972DC2" w:rsidR="000F67B0" w:rsidRPr="006C08C3" w:rsidRDefault="000F67B0" w:rsidP="00CE0056">
      <w:pPr>
        <w:pStyle w:val="Normalnumber"/>
        <w:tabs>
          <w:tab w:val="clear" w:pos="624"/>
          <w:tab w:val="clear" w:pos="1247"/>
          <w:tab w:val="clear" w:pos="1814"/>
          <w:tab w:val="clear" w:pos="2381"/>
          <w:tab w:val="clear" w:pos="2948"/>
          <w:tab w:val="clear" w:pos="3515"/>
        </w:tabs>
        <w:ind w:left="1247"/>
        <w:rPr>
          <w:lang w:val="ru-RU"/>
        </w:rPr>
      </w:pPr>
      <w:r w:rsidRPr="006C08C3">
        <w:rPr>
          <w:lang w:val="ru-RU"/>
        </w:rPr>
        <w:t xml:space="preserve">Он отметил, что продолжающиеся дискуссии по вопросам устранения разрыва между наблюдаемыми и ожидаемыми выбросами ГФУ-23, исходных сырьевых материалов, дальнейшего укрепления институтов Монреальского протокола и реструктуризации групп по оценке, а также открытость, которую демонстрируют Стороны, показывают всему миру, почему Монреальский протокол стал самым успешным многосторонним природоохранным соглашением. Ключевую роль в обеспечении дальнейшего успеха Протокола играет Многосторонний фонд. </w:t>
      </w:r>
      <w:r>
        <w:rPr>
          <w:lang w:val="ru-RU"/>
        </w:rPr>
        <w:t xml:space="preserve">Оратор </w:t>
      </w:r>
      <w:r w:rsidRPr="006C08C3">
        <w:rPr>
          <w:lang w:val="ru-RU"/>
        </w:rPr>
        <w:t xml:space="preserve">выразил уверенность в том, что обсуждение технического задания </w:t>
      </w:r>
      <w:r w:rsidR="00E51C12">
        <w:rPr>
          <w:lang w:val="ru-RU"/>
        </w:rPr>
        <w:t>в связи с</w:t>
      </w:r>
      <w:r w:rsidRPr="006C08C3">
        <w:rPr>
          <w:lang w:val="ru-RU"/>
        </w:rPr>
        <w:t xml:space="preserve"> пополнени</w:t>
      </w:r>
      <w:r w:rsidR="00E51C12">
        <w:rPr>
          <w:lang w:val="ru-RU"/>
        </w:rPr>
        <w:t>ем</w:t>
      </w:r>
      <w:r w:rsidRPr="006C08C3">
        <w:rPr>
          <w:lang w:val="ru-RU"/>
        </w:rPr>
        <w:t xml:space="preserve"> на трех</w:t>
      </w:r>
      <w:r w:rsidR="00317983">
        <w:rPr>
          <w:lang w:val="ru-RU"/>
        </w:rPr>
        <w:t>годичный</w:t>
      </w:r>
      <w:r w:rsidRPr="006C08C3">
        <w:rPr>
          <w:lang w:val="ru-RU"/>
        </w:rPr>
        <w:t xml:space="preserve"> период 2027–2029 годов, которое в обозримом будущем будет определять усилия Сторон, действующих в </w:t>
      </w:r>
      <w:r w:rsidR="00401116">
        <w:rPr>
          <w:lang w:val="ru-RU"/>
        </w:rPr>
        <w:t xml:space="preserve">рамках </w:t>
      </w:r>
      <w:r w:rsidRPr="006C08C3">
        <w:rPr>
          <w:lang w:val="ru-RU"/>
        </w:rPr>
        <w:t>стать</w:t>
      </w:r>
      <w:r w:rsidR="00401116">
        <w:rPr>
          <w:lang w:val="ru-RU"/>
        </w:rPr>
        <w:t>и</w:t>
      </w:r>
      <w:r w:rsidRPr="006C08C3">
        <w:rPr>
          <w:lang w:val="ru-RU"/>
        </w:rPr>
        <w:t xml:space="preserve"> 5, завершится соглашением.</w:t>
      </w:r>
    </w:p>
    <w:p w14:paraId="39C81B31" w14:textId="4F5EA4BF" w:rsidR="000F67B0" w:rsidRPr="006C08C3" w:rsidRDefault="000F67B0" w:rsidP="00CE0056">
      <w:pPr>
        <w:pStyle w:val="Normalnumber"/>
        <w:tabs>
          <w:tab w:val="clear" w:pos="624"/>
          <w:tab w:val="clear" w:pos="1247"/>
          <w:tab w:val="clear" w:pos="1814"/>
          <w:tab w:val="clear" w:pos="2381"/>
          <w:tab w:val="clear" w:pos="2948"/>
          <w:tab w:val="clear" w:pos="3515"/>
        </w:tabs>
        <w:ind w:left="1247"/>
        <w:rPr>
          <w:lang w:val="ru-RU"/>
        </w:rPr>
      </w:pPr>
      <w:r w:rsidRPr="006C08C3">
        <w:rPr>
          <w:lang w:val="ru-RU"/>
        </w:rPr>
        <w:t xml:space="preserve">Он отметил, что в 2025 году исполняется </w:t>
      </w:r>
      <w:r w:rsidR="00D918BD">
        <w:rPr>
          <w:lang w:val="ru-RU"/>
        </w:rPr>
        <w:t>40</w:t>
      </w:r>
      <w:r w:rsidRPr="006C08C3">
        <w:rPr>
          <w:lang w:val="ru-RU"/>
        </w:rPr>
        <w:t xml:space="preserve"> лет со дня принятия Венской конвенции, и выразил надежду, что Стороны будут помнить наследие тех, кто заложил основу договоров по озоновому слою и на чьих плечах они стоят сегодня. Он призвал 29 Сторон, которые пока не ратифицировали Кигалийскую поправку, сделать это, чтобы к 2026 году, к десятой годовщине принятия поправки, ее ратификация стала всеобщей. </w:t>
      </w:r>
    </w:p>
    <w:p w14:paraId="4CC7EBA9" w14:textId="6CD8BA70" w:rsidR="000F67B0" w:rsidRPr="006C08C3" w:rsidRDefault="000F67B0" w:rsidP="00CE0056">
      <w:pPr>
        <w:pStyle w:val="Normalnumber"/>
        <w:tabs>
          <w:tab w:val="clear" w:pos="624"/>
          <w:tab w:val="clear" w:pos="1247"/>
          <w:tab w:val="clear" w:pos="1814"/>
          <w:tab w:val="clear" w:pos="2381"/>
          <w:tab w:val="clear" w:pos="2948"/>
          <w:tab w:val="clear" w:pos="3515"/>
        </w:tabs>
        <w:ind w:left="1247"/>
        <w:rPr>
          <w:lang w:val="ru-RU"/>
        </w:rPr>
      </w:pPr>
      <w:r w:rsidRPr="006C08C3">
        <w:rPr>
          <w:lang w:val="ru-RU"/>
        </w:rPr>
        <w:t>В заключение он поблагодарил Стороны, своих коллег по Бюро, группы по оценке, Комитет по выполнению, Исполнительный комитет Многостороннего фонда и его учреждения</w:t>
      </w:r>
      <w:r w:rsidR="00414EB1">
        <w:rPr>
          <w:lang w:val="ru-RU"/>
        </w:rPr>
        <w:noBreakHyphen/>
      </w:r>
      <w:r w:rsidRPr="006C08C3">
        <w:rPr>
          <w:lang w:val="ru-RU"/>
        </w:rPr>
        <w:t xml:space="preserve">исполнители и двусторонние учреждения, </w:t>
      </w:r>
      <w:r w:rsidR="005815E0" w:rsidRPr="006C08C3">
        <w:rPr>
          <w:lang w:val="ru-RU"/>
        </w:rPr>
        <w:t>секретариат</w:t>
      </w:r>
      <w:r w:rsidRPr="006C08C3">
        <w:rPr>
          <w:lang w:val="ru-RU"/>
        </w:rPr>
        <w:t xml:space="preserve"> по озону и секретариат Многостороннего фонда, сопредседателей подготовительного сегмента и всех остальных членов «озонового сообщества» за их вклад в выполнение общей ответственности в целях защиты озонового слоя и климата. Он заявил, что гордится тем, что участвовал в процессе, который </w:t>
      </w:r>
      <w:r>
        <w:rPr>
          <w:lang w:val="ru-RU"/>
        </w:rPr>
        <w:t xml:space="preserve">неоднократно </w:t>
      </w:r>
      <w:r w:rsidRPr="006C08C3">
        <w:rPr>
          <w:lang w:val="ru-RU"/>
        </w:rPr>
        <w:t xml:space="preserve">демонстрировал, каких результатов можно достичь для планеты благодаря преданности делу, доверию и взаимопониманию. </w:t>
      </w:r>
    </w:p>
    <w:p w14:paraId="2CA88976" w14:textId="77777777" w:rsidR="000F67B0" w:rsidRPr="00CE0056"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lang w:val="ru-RU"/>
        </w:rPr>
      </w:pPr>
      <w:r w:rsidRPr="00CE0056">
        <w:rPr>
          <w:b/>
          <w:bCs/>
          <w:sz w:val="24"/>
          <w:szCs w:val="24"/>
          <w:lang w:val="ru-RU"/>
        </w:rPr>
        <w:tab/>
        <w:t>B.</w:t>
      </w:r>
      <w:r w:rsidRPr="00CE0056">
        <w:rPr>
          <w:sz w:val="24"/>
          <w:szCs w:val="24"/>
          <w:lang w:val="ru-RU"/>
        </w:rPr>
        <w:tab/>
      </w:r>
      <w:r w:rsidRPr="00CE0056">
        <w:rPr>
          <w:b/>
          <w:bCs/>
          <w:sz w:val="24"/>
          <w:szCs w:val="24"/>
          <w:lang w:val="ru-RU"/>
        </w:rPr>
        <w:t>Заявление представителя Программы Организации Объединенных Наций по окружающей среде</w:t>
      </w:r>
    </w:p>
    <w:p w14:paraId="58AE5041" w14:textId="1A40F3F2" w:rsidR="000F67B0" w:rsidRPr="006C08C3" w:rsidRDefault="000F67B0" w:rsidP="009E59A8">
      <w:pPr>
        <w:numPr>
          <w:ilvl w:val="0"/>
          <w:numId w:val="22"/>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Шейла Аггарвал-Хан, директор Отдела промышленности и экономики Программы Организации Объединенных Наций по окружающей среде (ЮНЕП), приветствовала Стороны от имени Ингер Андерсен, Директора-исполнителя ЮНЕП, которая не смогла присутствовать на нем. В своем заявлении в форме видеообращения г-жа Андерсен отметила, что в 2025 году исполняется </w:t>
      </w:r>
      <w:r w:rsidR="00AA2470">
        <w:rPr>
          <w:lang w:val="ru-RU"/>
        </w:rPr>
        <w:t>40</w:t>
      </w:r>
      <w:r w:rsidRPr="006C08C3">
        <w:rPr>
          <w:lang w:val="ru-RU"/>
        </w:rPr>
        <w:t xml:space="preserve"> лет со дня принятия Венской конвенции, посредством которой правительства создали один из первых подлинно научно обоснованных природоохранных договоров, проложив тем самым путь для Монреальского протокола. Четыре десятилетия спустя три группы по оценке в рамках Протокола по-прежнему руководствуются научными данными, обеспечивая прочность, актуальность и надежность договоров.</w:t>
      </w:r>
    </w:p>
    <w:p w14:paraId="3249A608" w14:textId="32035FA9" w:rsidR="000F67B0" w:rsidRPr="006C08C3" w:rsidRDefault="000F67B0" w:rsidP="009E59A8">
      <w:pPr>
        <w:numPr>
          <w:ilvl w:val="0"/>
          <w:numId w:val="22"/>
        </w:numPr>
        <w:tabs>
          <w:tab w:val="clear" w:pos="624"/>
          <w:tab w:val="clear" w:pos="1247"/>
          <w:tab w:val="clear" w:pos="1814"/>
          <w:tab w:val="clear" w:pos="2381"/>
          <w:tab w:val="clear" w:pos="2948"/>
          <w:tab w:val="clear" w:pos="3515"/>
        </w:tabs>
        <w:spacing w:after="120"/>
        <w:ind w:left="1247"/>
        <w:rPr>
          <w:lang w:val="ru-RU"/>
        </w:rPr>
      </w:pPr>
      <w:r w:rsidRPr="006C08C3">
        <w:rPr>
          <w:lang w:val="ru-RU"/>
        </w:rPr>
        <w:t>Двумя годами ранее, в 2023 году, Стороны согласовали сам</w:t>
      </w:r>
      <w:r>
        <w:rPr>
          <w:lang w:val="ru-RU"/>
        </w:rPr>
        <w:t xml:space="preserve">ое </w:t>
      </w:r>
      <w:r w:rsidRPr="006C08C3">
        <w:rPr>
          <w:lang w:val="ru-RU"/>
        </w:rPr>
        <w:t>крупн</w:t>
      </w:r>
      <w:r>
        <w:rPr>
          <w:lang w:val="ru-RU"/>
        </w:rPr>
        <w:t xml:space="preserve">ое </w:t>
      </w:r>
      <w:r w:rsidRPr="006C08C3">
        <w:rPr>
          <w:lang w:val="ru-RU"/>
        </w:rPr>
        <w:t>в истории пополнени</w:t>
      </w:r>
      <w:r>
        <w:rPr>
          <w:lang w:val="ru-RU"/>
        </w:rPr>
        <w:t>е</w:t>
      </w:r>
      <w:r w:rsidRPr="006C08C3">
        <w:rPr>
          <w:lang w:val="ru-RU"/>
        </w:rPr>
        <w:t xml:space="preserve"> Многостороннего фонда</w:t>
      </w:r>
      <w:r>
        <w:rPr>
          <w:lang w:val="ru-RU"/>
        </w:rPr>
        <w:t xml:space="preserve"> на сумму </w:t>
      </w:r>
      <w:r w:rsidRPr="006C08C3">
        <w:rPr>
          <w:lang w:val="ru-RU"/>
        </w:rPr>
        <w:t>965 млн долл</w:t>
      </w:r>
      <w:r w:rsidR="00507113">
        <w:rPr>
          <w:lang w:val="ru-RU"/>
        </w:rPr>
        <w:t>.</w:t>
      </w:r>
      <w:r w:rsidRPr="006C08C3">
        <w:rPr>
          <w:lang w:val="ru-RU"/>
        </w:rPr>
        <w:t xml:space="preserve"> США на период 2024</w:t>
      </w:r>
      <w:r w:rsidR="005815E0" w:rsidRPr="007976E8">
        <w:rPr>
          <w:lang w:val="ru-RU"/>
        </w:rPr>
        <w:noBreakHyphen/>
      </w:r>
      <w:r w:rsidRPr="006C08C3">
        <w:rPr>
          <w:lang w:val="ru-RU"/>
        </w:rPr>
        <w:t>2026</w:t>
      </w:r>
      <w:r w:rsidR="005815E0">
        <w:rPr>
          <w:lang w:val="en-US"/>
        </w:rPr>
        <w:t> </w:t>
      </w:r>
      <w:r w:rsidRPr="006C08C3">
        <w:rPr>
          <w:lang w:val="ru-RU"/>
        </w:rPr>
        <w:t xml:space="preserve">годов, что подчеркнуло коллективную решимость Сторон защищать озоновый слой и климат, одновременно оказывая поддержку Сторонам, действующим в рамках статьи 5. Теперь началась работа над техническим заданием для следующего исследования по вопросу о пополнении. Признавая, что Стороны, действующие в рамках статьи 5, и Стороны, не </w:t>
      </w:r>
      <w:r w:rsidRPr="006C08C3">
        <w:rPr>
          <w:lang w:val="ru-RU"/>
        </w:rPr>
        <w:lastRenderedPageBreak/>
        <w:t xml:space="preserve">действующие в рамках статьи 5, занимают </w:t>
      </w:r>
      <w:r>
        <w:rPr>
          <w:lang w:val="ru-RU"/>
        </w:rPr>
        <w:t xml:space="preserve">разительно </w:t>
      </w:r>
      <w:r w:rsidRPr="006C08C3">
        <w:rPr>
          <w:lang w:val="ru-RU"/>
        </w:rPr>
        <w:t>не совпадающие позиции по этому вопросу, она призвала все Стороны продолжить обсуждение и прислушиваться друг к другу. Стороны Монреальского протокола всегда находили путь к консенсусу, когда это было наиболее важно, и она уверена, что это может произойти еще раз.</w:t>
      </w:r>
    </w:p>
    <w:p w14:paraId="4E734145" w14:textId="77777777" w:rsidR="000F67B0" w:rsidRPr="006C08C3" w:rsidRDefault="000F67B0" w:rsidP="009E59A8">
      <w:pPr>
        <w:numPr>
          <w:ilvl w:val="0"/>
          <w:numId w:val="22"/>
        </w:numPr>
        <w:tabs>
          <w:tab w:val="clear" w:pos="624"/>
          <w:tab w:val="clear" w:pos="1247"/>
          <w:tab w:val="clear" w:pos="1814"/>
          <w:tab w:val="clear" w:pos="2381"/>
          <w:tab w:val="clear" w:pos="2948"/>
          <w:tab w:val="clear" w:pos="3515"/>
        </w:tabs>
        <w:spacing w:after="120"/>
        <w:ind w:left="1247"/>
        <w:rPr>
          <w:lang w:val="ru-RU"/>
        </w:rPr>
      </w:pPr>
      <w:r w:rsidRPr="006C08C3">
        <w:rPr>
          <w:lang w:val="ru-RU"/>
        </w:rPr>
        <w:t>Она обратила внимание Сторон на значительный разрыв, который наблюдался между результатами атмосферных измерений, полученными методом укрупнения, и заявленными данными о выбросах ГФУ-23, очень мощного и долгоживущего парникового газа, полученными методом разукрупнения. Усиление атмосферного мониторинга является центральным элементом усилий Сторон</w:t>
      </w:r>
      <w:r>
        <w:rPr>
          <w:lang w:val="ru-RU"/>
        </w:rPr>
        <w:t xml:space="preserve">, позволяя </w:t>
      </w:r>
      <w:r w:rsidRPr="006C08C3">
        <w:rPr>
          <w:lang w:val="ru-RU"/>
        </w:rPr>
        <w:t xml:space="preserve">группам по оценке своевременно обновлять информацию. Она напомнила, что, когда в ходе атмосферного мониторинга была выявлена аналогичная аномалия в выбросах ХФУ-11, Стороны оперативно приняли меры и обеспечили продолжение процесса восстановления озонового слоя. </w:t>
      </w:r>
    </w:p>
    <w:p w14:paraId="369BCF08" w14:textId="71A48AC8" w:rsidR="000F67B0" w:rsidRPr="006C08C3" w:rsidRDefault="000F67B0" w:rsidP="009E59A8">
      <w:pPr>
        <w:numPr>
          <w:ilvl w:val="0"/>
          <w:numId w:val="22"/>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Она также подчеркнула проблему регулирования жизненного цикла хладагентов, </w:t>
      </w:r>
      <w:r>
        <w:rPr>
          <w:lang w:val="ru-RU"/>
        </w:rPr>
        <w:t xml:space="preserve">учитывая, что </w:t>
      </w:r>
      <w:r w:rsidRPr="006C08C3">
        <w:rPr>
          <w:lang w:val="ru-RU"/>
        </w:rPr>
        <w:t xml:space="preserve">Стороны, действующие в </w:t>
      </w:r>
      <w:r w:rsidR="00011401">
        <w:rPr>
          <w:lang w:val="ru-RU"/>
        </w:rPr>
        <w:t>рамках</w:t>
      </w:r>
      <w:r w:rsidRPr="006C08C3">
        <w:rPr>
          <w:lang w:val="ru-RU"/>
        </w:rPr>
        <w:t xml:space="preserve"> стать</w:t>
      </w:r>
      <w:r w:rsidR="00011401">
        <w:rPr>
          <w:lang w:val="ru-RU"/>
        </w:rPr>
        <w:t>и</w:t>
      </w:r>
      <w:r w:rsidRPr="006C08C3">
        <w:rPr>
          <w:lang w:val="ru-RU"/>
        </w:rPr>
        <w:t xml:space="preserve"> 5, выразили обеспокоенность </w:t>
      </w:r>
      <w:r w:rsidR="00CB32BF">
        <w:rPr>
          <w:lang w:val="ru-RU"/>
        </w:rPr>
        <w:t>увеличением</w:t>
      </w:r>
      <w:r w:rsidR="00CB32BF" w:rsidRPr="006C08C3">
        <w:rPr>
          <w:lang w:val="ru-RU"/>
        </w:rPr>
        <w:t xml:space="preserve"> </w:t>
      </w:r>
      <w:r w:rsidRPr="006C08C3">
        <w:rPr>
          <w:lang w:val="ru-RU"/>
        </w:rPr>
        <w:t xml:space="preserve">фондов газообразных хладагентов. Комплексное внедрение стратегий регулирования жизненного цикла хладагентов, от улучшения сервисного обслуживания и предотвращения утечек до утилизации, восстановления и уничтожения, может помочь избежать выбросов в объеме до 39 гигатонн эквивалента диоксида углерода. </w:t>
      </w:r>
      <w:bookmarkStart w:id="36" w:name="_Hlk213325131"/>
      <w:bookmarkEnd w:id="36"/>
    </w:p>
    <w:p w14:paraId="12622D04" w14:textId="77777777" w:rsidR="000F67B0" w:rsidRPr="006C08C3" w:rsidRDefault="000F67B0" w:rsidP="009E59A8">
      <w:pPr>
        <w:numPr>
          <w:ilvl w:val="0"/>
          <w:numId w:val="22"/>
        </w:numPr>
        <w:tabs>
          <w:tab w:val="clear" w:pos="624"/>
          <w:tab w:val="clear" w:pos="1247"/>
          <w:tab w:val="clear" w:pos="1814"/>
          <w:tab w:val="clear" w:pos="2381"/>
          <w:tab w:val="clear" w:pos="2948"/>
          <w:tab w:val="clear" w:pos="3515"/>
        </w:tabs>
        <w:spacing w:after="120"/>
        <w:ind w:left="1247"/>
        <w:rPr>
          <w:lang w:val="ru-RU"/>
        </w:rPr>
      </w:pPr>
      <w:r w:rsidRPr="006C08C3">
        <w:rPr>
          <w:lang w:val="ru-RU"/>
        </w:rPr>
        <w:t>В связи с приближением десятой годовщины принятия Кигалийской поправки она призвала 29 Сторон, которые пока не ратифицировали ее, воспользоваться возможностью и сделать это в кратчайшие сроки. Она предупредила, что Монреальский протокол не застрахован от последствий давления с целью сокращения расходов Организации Объединенных Наций, но выразила уверенность в том, что Стороны найдут способ обеспечить его дальнейшую эффективность и успех.</w:t>
      </w:r>
    </w:p>
    <w:p w14:paraId="5B65B464" w14:textId="77777777" w:rsidR="000F67B0" w:rsidRPr="00CE0056"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rPr>
      </w:pPr>
      <w:r w:rsidRPr="00CE0056">
        <w:rPr>
          <w:b/>
          <w:bCs/>
          <w:sz w:val="24"/>
          <w:szCs w:val="24"/>
          <w:lang w:val="ru-RU"/>
        </w:rPr>
        <w:tab/>
        <w:t>C.</w:t>
      </w:r>
      <w:r w:rsidRPr="00CE0056">
        <w:rPr>
          <w:sz w:val="24"/>
          <w:szCs w:val="24"/>
          <w:lang w:val="ru-RU"/>
        </w:rPr>
        <w:tab/>
      </w:r>
      <w:r w:rsidRPr="00CE0056">
        <w:rPr>
          <w:b/>
          <w:bCs/>
          <w:sz w:val="24"/>
          <w:szCs w:val="24"/>
          <w:lang w:val="ru-RU"/>
        </w:rPr>
        <w:t>Заявление представителя правительства Кении</w:t>
      </w:r>
    </w:p>
    <w:p w14:paraId="67C6342C"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rPr>
          <w:lang w:val="ru-RU"/>
        </w:rPr>
      </w:pPr>
      <w:r w:rsidRPr="006C08C3">
        <w:rPr>
          <w:lang w:val="ru-RU"/>
        </w:rPr>
        <w:t xml:space="preserve">Приветствуя участников в Найроби, Дебора Бараса, секретарь кабинета министров Кении по вопросам окружающей среды, изменения климата и лесного хозяйства, отметила, что Кения присоединилась к Венской конвенции и ратифицировала Монреальский протокол в ноябре 1988 года, а также ратифицировала все пять поправок к Протоколу. Она призвала Стороны, которые пока не ратифицировали все поправки, в частности Кигалийскую поправку, сделать это. </w:t>
      </w:r>
    </w:p>
    <w:p w14:paraId="39CC5FA4"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rPr>
          <w:lang w:val="ru-RU"/>
        </w:rPr>
      </w:pPr>
      <w:r w:rsidRPr="006C08C3">
        <w:rPr>
          <w:lang w:val="ru-RU"/>
        </w:rPr>
        <w:t xml:space="preserve">Она сказала, что с удовлетворением отмечает, что пункты повестки дня тридцать седьмого Совещания Сторон охватывают широкий круг вопросов, имеющих решающее значение для обеспечения дальнейшего успеха Монреальского протокола в деле восстановления озонового слоя и борьбы с изменением климата. Она уверена, что Стороны согласятся с ней в том, что сохраняется необходимость обеспечения достаточного финансирования для мероприятий в развивающихся странах, включая разработку планов выполнения Кигалийской поправки, финансирование национальных и региональных центров передового опыта в области устойчивого охлаждения, создание потенциала для </w:t>
      </w:r>
      <w:r>
        <w:rPr>
          <w:lang w:val="ru-RU"/>
        </w:rPr>
        <w:t xml:space="preserve">технических специалистов </w:t>
      </w:r>
      <w:r w:rsidRPr="006C08C3">
        <w:rPr>
          <w:lang w:val="ru-RU"/>
        </w:rPr>
        <w:t xml:space="preserve">по холодильному оборудованию и кондиционерам, а также, среди прочего, создание необходимой инфраструктуры для утилизации, рециркуляции и уничтожения. </w:t>
      </w:r>
    </w:p>
    <w:p w14:paraId="707DE061"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rPr>
          <w:lang w:val="ru-RU"/>
        </w:rPr>
      </w:pPr>
      <w:r w:rsidRPr="006C08C3">
        <w:rPr>
          <w:lang w:val="ru-RU"/>
        </w:rPr>
        <w:t xml:space="preserve">Она сообщила, что Кения в настоящее время готовит собственный план выполнения Кигалийской поправки для представления в Многосторонний фонд для осуществления Монреальского протокола, позволяющий разработать всеобъемлющую стратегию, </w:t>
      </w:r>
      <w:r>
        <w:rPr>
          <w:lang w:val="ru-RU"/>
        </w:rPr>
        <w:t xml:space="preserve">за счет </w:t>
      </w:r>
      <w:r w:rsidRPr="006C08C3">
        <w:rPr>
          <w:lang w:val="ru-RU"/>
        </w:rPr>
        <w:t xml:space="preserve">которой Кения сможет достичь своих целевых показателей по поэтапному сокращению оборота ГФУ. Ее министерство через Национальный орган по озоновому слою изучает способы сбора и транспортировки утилизованных газообразных хладагентов для безопасного удаления в странах, где имеются объекты для уничтожения. В сотрудничестве с правительством Германии орган проводит начальные переговоры с семью частными компаниями по вопросам использования или безопасного удаления </w:t>
      </w:r>
      <w:r>
        <w:rPr>
          <w:lang w:val="ru-RU"/>
        </w:rPr>
        <w:t xml:space="preserve">утилизованных </w:t>
      </w:r>
      <w:r w:rsidRPr="006C08C3">
        <w:rPr>
          <w:lang w:val="ru-RU"/>
        </w:rPr>
        <w:t>газов. Система лицензирования Кении охватывает ГФУ и смеси ГФУ и в сотрудничестве с таможенными, налоговыми и природоохранными органами способствует мониторингу импорта.</w:t>
      </w:r>
    </w:p>
    <w:p w14:paraId="2815E638" w14:textId="218E9DB6"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240"/>
        <w:ind w:left="1247"/>
        <w:rPr>
          <w:lang w:val="ru-RU"/>
        </w:rPr>
      </w:pPr>
      <w:r w:rsidRPr="006C08C3">
        <w:rPr>
          <w:lang w:val="ru-RU"/>
        </w:rPr>
        <w:t xml:space="preserve">Учитывая, что технологии охлаждения являются одним из основных факторов, способствующих глобальному потеплению, есть необходимость сосредоточить усилия на сокращении выбросов в этом секторе, повышении энергоэффективности и внедрении безопасных для климата действий по охлаждению, таких как использование природных охлаждающих агентов. Однако преобладающая часть холодильного оборудования и оборудования для кондиционирования воздуха в Кении по-прежнему основана на устаревших </w:t>
      </w:r>
      <w:r w:rsidRPr="006C08C3">
        <w:rPr>
          <w:lang w:val="ru-RU"/>
        </w:rPr>
        <w:lastRenderedPageBreak/>
        <w:t xml:space="preserve">технологиях; </w:t>
      </w:r>
      <w:r>
        <w:rPr>
          <w:lang w:val="ru-RU"/>
        </w:rPr>
        <w:t xml:space="preserve">безвредные для озонового слоя альтернативные вещества </w:t>
      </w:r>
      <w:r w:rsidRPr="006C08C3">
        <w:rPr>
          <w:lang w:val="ru-RU"/>
        </w:rPr>
        <w:t xml:space="preserve">и альтернативные вещества, не наносящие ущерба климату, труднодоступны, </w:t>
      </w:r>
      <w:r>
        <w:rPr>
          <w:lang w:val="ru-RU"/>
        </w:rPr>
        <w:t xml:space="preserve">плюс </w:t>
      </w:r>
      <w:r w:rsidRPr="006C08C3">
        <w:rPr>
          <w:lang w:val="ru-RU"/>
        </w:rPr>
        <w:t>наблюдается нехватка квалифицированных технических специалистов. Поэтому Национальный план действий по охлаждению для Кении направлен на расширение доступа к устойчивому охлаждению для всех кенийцев. При содействии международных доноров в рамках выполнения плана на данный момент организовано обучение более 200 сотрудников таможенных органов и более 1000</w:t>
      </w:r>
      <w:r w:rsidR="00467CEB">
        <w:rPr>
          <w:lang w:val="en-US"/>
        </w:rPr>
        <w:t> </w:t>
      </w:r>
      <w:r w:rsidRPr="006C08C3">
        <w:rPr>
          <w:lang w:val="ru-RU"/>
        </w:rPr>
        <w:t>технических специалистов по холодильному оборудованию и оборудованию для кондиционирования воздуха мерам регулирования и использованию углеводородов и других хладагентов природного происхождения. В заключение она призвала Стороны сохранить успех Монреальского протокола, продолжая оказывать финансовую помощь в выполнении обязательств Сторонам, действующим в рамках статьи 5.</w:t>
      </w:r>
    </w:p>
    <w:p w14:paraId="6B2DCB48" w14:textId="77777777" w:rsidR="000F67B0" w:rsidRPr="00467CEB"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8"/>
          <w:szCs w:val="28"/>
          <w:lang w:val="ru-RU"/>
        </w:rPr>
      </w:pPr>
      <w:r w:rsidRPr="00467CEB">
        <w:rPr>
          <w:b/>
          <w:bCs/>
          <w:sz w:val="28"/>
          <w:szCs w:val="28"/>
          <w:lang w:val="ru-RU"/>
        </w:rPr>
        <w:tab/>
        <w:t>II.</w:t>
      </w:r>
      <w:r w:rsidRPr="00467CEB">
        <w:rPr>
          <w:sz w:val="28"/>
          <w:szCs w:val="28"/>
          <w:lang w:val="ru-RU"/>
        </w:rPr>
        <w:tab/>
      </w:r>
      <w:r w:rsidRPr="00467CEB">
        <w:rPr>
          <w:b/>
          <w:bCs/>
          <w:sz w:val="28"/>
          <w:szCs w:val="28"/>
          <w:lang w:val="ru-RU"/>
        </w:rPr>
        <w:t>Организационные вопросы</w:t>
      </w:r>
    </w:p>
    <w:p w14:paraId="56DC7A4C" w14:textId="77777777" w:rsidR="000F67B0" w:rsidRPr="00467CEB"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lang w:val="ru-RU"/>
        </w:rPr>
      </w:pPr>
      <w:r w:rsidRPr="00467CEB">
        <w:rPr>
          <w:b/>
          <w:bCs/>
          <w:sz w:val="24"/>
          <w:szCs w:val="24"/>
          <w:lang w:val="ru-RU"/>
        </w:rPr>
        <w:tab/>
        <w:t>A.</w:t>
      </w:r>
      <w:r w:rsidRPr="00467CEB">
        <w:rPr>
          <w:sz w:val="24"/>
          <w:szCs w:val="24"/>
          <w:lang w:val="ru-RU"/>
        </w:rPr>
        <w:tab/>
      </w:r>
      <w:r w:rsidRPr="00467CEB">
        <w:rPr>
          <w:b/>
          <w:bCs/>
          <w:sz w:val="24"/>
          <w:szCs w:val="24"/>
          <w:lang w:val="ru-RU"/>
        </w:rPr>
        <w:t>Избрание должностных лиц тридцать седьмого Совещания Сторон Монреальского протокола</w:t>
      </w:r>
    </w:p>
    <w:p w14:paraId="634C9A3C" w14:textId="04820C89"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В соответствии с пунктом 1 правила 21 правил процедуры </w:t>
      </w:r>
      <w:r w:rsidR="00A5275D" w:rsidRPr="006C08C3">
        <w:rPr>
          <w:lang w:val="ru-RU"/>
        </w:rPr>
        <w:t xml:space="preserve">совещаний </w:t>
      </w:r>
      <w:r w:rsidRPr="006C08C3">
        <w:rPr>
          <w:lang w:val="ru-RU"/>
        </w:rPr>
        <w:t>Сторон Монреальского протокола следующие должностные лица были избраны путем аккламации в Бюро тридцать седьмого Совещания Сторон:</w:t>
      </w:r>
    </w:p>
    <w:p w14:paraId="0CC5EDD4" w14:textId="3E436B87" w:rsidR="000F67B0" w:rsidRPr="006C08C3" w:rsidRDefault="000F67B0" w:rsidP="00CC79B6">
      <w:pPr>
        <w:tabs>
          <w:tab w:val="clear" w:pos="1247"/>
          <w:tab w:val="clear" w:pos="1814"/>
          <w:tab w:val="clear" w:pos="2381"/>
          <w:tab w:val="clear" w:pos="2948"/>
          <w:tab w:val="clear" w:pos="3515"/>
        </w:tabs>
        <w:spacing w:after="120"/>
        <w:ind w:left="4706" w:hanging="2835"/>
        <w:rPr>
          <w:lang w:val="ru-RU"/>
        </w:rPr>
      </w:pPr>
      <w:r w:rsidRPr="006C08C3">
        <w:rPr>
          <w:lang w:val="ru-RU"/>
        </w:rPr>
        <w:t>Председатель:</w:t>
      </w:r>
      <w:r w:rsidR="00CC79B6" w:rsidRPr="00422FE2">
        <w:rPr>
          <w:lang w:val="ru-RU"/>
        </w:rPr>
        <w:tab/>
      </w:r>
      <w:r w:rsidRPr="006C08C3">
        <w:rPr>
          <w:lang w:val="ru-RU"/>
        </w:rPr>
        <w:t>Пол Крайник (Австрия) (государства Западной Европы и другие государства)</w:t>
      </w:r>
    </w:p>
    <w:p w14:paraId="1173FE0C" w14:textId="69D15460" w:rsidR="000F67B0" w:rsidRPr="006C08C3" w:rsidRDefault="000F67B0" w:rsidP="00CC79B6">
      <w:pPr>
        <w:tabs>
          <w:tab w:val="clear" w:pos="1247"/>
          <w:tab w:val="clear" w:pos="1814"/>
          <w:tab w:val="clear" w:pos="2381"/>
          <w:tab w:val="clear" w:pos="2948"/>
          <w:tab w:val="clear" w:pos="3515"/>
        </w:tabs>
        <w:spacing w:after="120"/>
        <w:ind w:left="4706" w:hanging="2835"/>
        <w:rPr>
          <w:lang w:val="ru-RU"/>
        </w:rPr>
      </w:pPr>
      <w:r w:rsidRPr="006C08C3">
        <w:rPr>
          <w:lang w:val="ru-RU"/>
        </w:rPr>
        <w:t>заместители Председателя:</w:t>
      </w:r>
      <w:r w:rsidRPr="006C08C3">
        <w:rPr>
          <w:lang w:val="ru-RU"/>
        </w:rPr>
        <w:tab/>
        <w:t>Чэнь Хайцзюнь (Китай) (государства Азии и Тихого океана)</w:t>
      </w:r>
    </w:p>
    <w:p w14:paraId="29E5D5B9" w14:textId="7D5301FF" w:rsidR="000F67B0" w:rsidRPr="006C08C3" w:rsidRDefault="00CC79B6" w:rsidP="00CC79B6">
      <w:pPr>
        <w:tabs>
          <w:tab w:val="clear" w:pos="1247"/>
          <w:tab w:val="clear" w:pos="1814"/>
          <w:tab w:val="clear" w:pos="2381"/>
          <w:tab w:val="clear" w:pos="2948"/>
          <w:tab w:val="clear" w:pos="3515"/>
        </w:tabs>
        <w:spacing w:after="120"/>
        <w:ind w:left="4706" w:hanging="2835"/>
        <w:rPr>
          <w:lang w:val="ru-RU"/>
        </w:rPr>
      </w:pPr>
      <w:r w:rsidRPr="00422FE2">
        <w:rPr>
          <w:lang w:val="ru-RU"/>
        </w:rPr>
        <w:tab/>
      </w:r>
      <w:r w:rsidR="000F67B0" w:rsidRPr="006C08C3">
        <w:rPr>
          <w:lang w:val="ru-RU"/>
        </w:rPr>
        <w:t>Обед Меринго Балойи (Южная Африка) (государства Африки)</w:t>
      </w:r>
    </w:p>
    <w:p w14:paraId="7144D8FF" w14:textId="7101F247" w:rsidR="000F67B0" w:rsidRPr="00422FE2" w:rsidRDefault="000F67B0" w:rsidP="00CC79B6">
      <w:pPr>
        <w:tabs>
          <w:tab w:val="clear" w:pos="1247"/>
          <w:tab w:val="clear" w:pos="1814"/>
          <w:tab w:val="clear" w:pos="2381"/>
          <w:tab w:val="clear" w:pos="2948"/>
          <w:tab w:val="clear" w:pos="3515"/>
        </w:tabs>
        <w:spacing w:after="120"/>
        <w:ind w:left="4706" w:hanging="2835"/>
        <w:rPr>
          <w:lang w:val="ru-RU"/>
        </w:rPr>
      </w:pPr>
      <w:r w:rsidRPr="006C08C3">
        <w:rPr>
          <w:lang w:val="ru-RU"/>
        </w:rPr>
        <w:t>Докладчик:</w:t>
      </w:r>
      <w:r w:rsidRPr="006C08C3">
        <w:rPr>
          <w:lang w:val="ru-RU"/>
        </w:rPr>
        <w:tab/>
        <w:t>Кристина Вака (Панама) (государства Латинской Америки и Карибского бассейна)</w:t>
      </w:r>
      <w:r w:rsidR="00C7293E" w:rsidRPr="00422FE2">
        <w:rPr>
          <w:lang w:val="ru-RU"/>
        </w:rPr>
        <w:t>.</w:t>
      </w:r>
    </w:p>
    <w:p w14:paraId="794590B7"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От государств </w:t>
      </w:r>
      <w:r>
        <w:rPr>
          <w:lang w:val="ru-RU"/>
        </w:rPr>
        <w:t xml:space="preserve">Восточной Европы </w:t>
      </w:r>
      <w:r w:rsidRPr="006C08C3">
        <w:rPr>
          <w:lang w:val="ru-RU"/>
        </w:rPr>
        <w:t>на пост заместителя Председателя кандидатур не поступило.</w:t>
      </w:r>
    </w:p>
    <w:p w14:paraId="7CCDB3D6"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Приступив к исполнению обязанностей Председателя, г-н Крайник поблагодарил сво</w:t>
      </w:r>
      <w:r>
        <w:rPr>
          <w:lang w:val="ru-RU"/>
        </w:rPr>
        <w:t xml:space="preserve">его </w:t>
      </w:r>
      <w:r w:rsidRPr="006C08C3">
        <w:rPr>
          <w:lang w:val="ru-RU"/>
        </w:rPr>
        <w:t>предшественник</w:t>
      </w:r>
      <w:r>
        <w:rPr>
          <w:lang w:val="ru-RU"/>
        </w:rPr>
        <w:t>а</w:t>
      </w:r>
      <w:r w:rsidRPr="006C08C3">
        <w:rPr>
          <w:lang w:val="ru-RU"/>
        </w:rPr>
        <w:t xml:space="preserve"> на посту Председателя Керрин Джеймс и г-на Силла и сказал, что для него избрание на пост Председателя Бюро во второй раз является неожиданной честью. </w:t>
      </w:r>
    </w:p>
    <w:p w14:paraId="7A792694" w14:textId="77777777" w:rsidR="000F67B0" w:rsidRPr="00C7293E"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lang w:val="ru-RU"/>
        </w:rPr>
      </w:pPr>
      <w:r w:rsidRPr="00C7293E">
        <w:rPr>
          <w:b/>
          <w:bCs/>
          <w:sz w:val="24"/>
          <w:szCs w:val="24"/>
          <w:lang w:val="ru-RU"/>
        </w:rPr>
        <w:tab/>
        <w:t>B.</w:t>
      </w:r>
      <w:r w:rsidRPr="00C7293E">
        <w:rPr>
          <w:sz w:val="24"/>
          <w:szCs w:val="24"/>
          <w:lang w:val="ru-RU"/>
        </w:rPr>
        <w:tab/>
      </w:r>
      <w:r w:rsidRPr="00C7293E">
        <w:rPr>
          <w:b/>
          <w:bCs/>
          <w:sz w:val="24"/>
          <w:szCs w:val="24"/>
          <w:lang w:val="ru-RU"/>
        </w:rPr>
        <w:t>Утверждение повестки дня сегмента высокого уровня</w:t>
      </w:r>
    </w:p>
    <w:p w14:paraId="14C9F620"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На основе предварительной повестки дня, изложенной в разделе II документа UNEP/OzL.Pro.37/1, была утверждена следующая повестка дня сегмента высокого уровня:</w:t>
      </w:r>
    </w:p>
    <w:p w14:paraId="22F3F4EE" w14:textId="77777777"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pPr>
      <w:r w:rsidRPr="006C08C3">
        <w:rPr>
          <w:lang w:val="ru-RU"/>
        </w:rPr>
        <w:t>Открытие сегмента высокого уровня:</w:t>
      </w:r>
    </w:p>
    <w:p w14:paraId="040816FF" w14:textId="77777777" w:rsidR="000F67B0" w:rsidRPr="006C08C3" w:rsidRDefault="000F67B0" w:rsidP="00C7293E">
      <w:pPr>
        <w:numPr>
          <w:ilvl w:val="0"/>
          <w:numId w:val="27"/>
        </w:numPr>
        <w:tabs>
          <w:tab w:val="clear" w:pos="1247"/>
          <w:tab w:val="clear" w:pos="1814"/>
          <w:tab w:val="clear" w:pos="2381"/>
          <w:tab w:val="clear" w:pos="2948"/>
          <w:tab w:val="clear" w:pos="3515"/>
        </w:tabs>
        <w:spacing w:after="120"/>
        <w:ind w:left="3119" w:hanging="624"/>
        <w:rPr>
          <w:lang w:val="ru-RU"/>
        </w:rPr>
      </w:pPr>
      <w:r w:rsidRPr="006C08C3">
        <w:rPr>
          <w:lang w:val="ru-RU"/>
        </w:rPr>
        <w:t>заявление Председателя тридцать шестого Совещания Сторон Монреальского протокола;</w:t>
      </w:r>
    </w:p>
    <w:p w14:paraId="4566E185" w14:textId="77777777" w:rsidR="000F67B0" w:rsidRPr="006C08C3" w:rsidRDefault="000F67B0" w:rsidP="00C7293E">
      <w:pPr>
        <w:numPr>
          <w:ilvl w:val="0"/>
          <w:numId w:val="27"/>
        </w:numPr>
        <w:tabs>
          <w:tab w:val="clear" w:pos="1247"/>
          <w:tab w:val="clear" w:pos="1814"/>
          <w:tab w:val="clear" w:pos="2381"/>
          <w:tab w:val="clear" w:pos="2948"/>
          <w:tab w:val="clear" w:pos="3515"/>
        </w:tabs>
        <w:spacing w:after="120"/>
        <w:ind w:left="3119" w:hanging="624"/>
        <w:rPr>
          <w:lang w:val="ru-RU"/>
        </w:rPr>
      </w:pPr>
      <w:r w:rsidRPr="006C08C3">
        <w:rPr>
          <w:lang w:val="ru-RU"/>
        </w:rPr>
        <w:t>заявление представителя Программы Организации Объединенных Наций по окружающей среде;</w:t>
      </w:r>
    </w:p>
    <w:p w14:paraId="16E67D97" w14:textId="639A791F" w:rsidR="000F67B0" w:rsidRPr="006C08C3" w:rsidRDefault="000F67B0" w:rsidP="00C7293E">
      <w:pPr>
        <w:numPr>
          <w:ilvl w:val="0"/>
          <w:numId w:val="27"/>
        </w:numPr>
        <w:tabs>
          <w:tab w:val="clear" w:pos="1247"/>
          <w:tab w:val="clear" w:pos="1814"/>
          <w:tab w:val="clear" w:pos="2381"/>
          <w:tab w:val="clear" w:pos="2948"/>
          <w:tab w:val="clear" w:pos="3515"/>
        </w:tabs>
        <w:spacing w:after="120"/>
        <w:ind w:left="3119" w:hanging="624"/>
      </w:pPr>
      <w:r w:rsidRPr="006C08C3">
        <w:rPr>
          <w:lang w:val="ru-RU"/>
        </w:rPr>
        <w:t>заявление представителя правительства Кении</w:t>
      </w:r>
    </w:p>
    <w:p w14:paraId="236CCE44" w14:textId="77777777"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pPr>
      <w:r w:rsidRPr="006C08C3">
        <w:rPr>
          <w:lang w:val="ru-RU"/>
        </w:rPr>
        <w:t>Организационные вопросы:</w:t>
      </w:r>
    </w:p>
    <w:p w14:paraId="2031DA53" w14:textId="77777777" w:rsidR="000F67B0" w:rsidRPr="006C08C3" w:rsidRDefault="000F67B0" w:rsidP="00C7293E">
      <w:pPr>
        <w:numPr>
          <w:ilvl w:val="0"/>
          <w:numId w:val="28"/>
        </w:numPr>
        <w:tabs>
          <w:tab w:val="clear" w:pos="1247"/>
          <w:tab w:val="clear" w:pos="1814"/>
          <w:tab w:val="clear" w:pos="2381"/>
          <w:tab w:val="clear" w:pos="2948"/>
          <w:tab w:val="clear" w:pos="3515"/>
        </w:tabs>
        <w:spacing w:after="120"/>
        <w:ind w:left="3119" w:hanging="624"/>
        <w:rPr>
          <w:lang w:val="ru-RU"/>
        </w:rPr>
      </w:pPr>
      <w:r w:rsidRPr="006C08C3">
        <w:rPr>
          <w:lang w:val="ru-RU"/>
        </w:rPr>
        <w:t>избрание должностных лиц тридцать седьмого Совещания Сторон Монреальского протокола;</w:t>
      </w:r>
    </w:p>
    <w:p w14:paraId="339170E7" w14:textId="77777777" w:rsidR="000F67B0" w:rsidRPr="006C08C3" w:rsidRDefault="000F67B0" w:rsidP="00C7293E">
      <w:pPr>
        <w:numPr>
          <w:ilvl w:val="0"/>
          <w:numId w:val="28"/>
        </w:numPr>
        <w:tabs>
          <w:tab w:val="clear" w:pos="1247"/>
          <w:tab w:val="clear" w:pos="1814"/>
          <w:tab w:val="clear" w:pos="2381"/>
          <w:tab w:val="clear" w:pos="2948"/>
          <w:tab w:val="clear" w:pos="3515"/>
        </w:tabs>
        <w:spacing w:after="120"/>
        <w:ind w:left="3119" w:hanging="624"/>
        <w:rPr>
          <w:lang w:val="ru-RU"/>
        </w:rPr>
      </w:pPr>
      <w:r w:rsidRPr="006C08C3">
        <w:rPr>
          <w:lang w:val="ru-RU"/>
        </w:rPr>
        <w:t>утверждение повестки дня сегмента высокого уровня;</w:t>
      </w:r>
    </w:p>
    <w:p w14:paraId="6DA52415" w14:textId="77777777" w:rsidR="000F67B0" w:rsidRPr="006C08C3" w:rsidRDefault="000F67B0" w:rsidP="00C7293E">
      <w:pPr>
        <w:numPr>
          <w:ilvl w:val="0"/>
          <w:numId w:val="28"/>
        </w:numPr>
        <w:tabs>
          <w:tab w:val="clear" w:pos="1247"/>
          <w:tab w:val="clear" w:pos="1814"/>
          <w:tab w:val="clear" w:pos="2381"/>
          <w:tab w:val="clear" w:pos="2948"/>
          <w:tab w:val="clear" w:pos="3515"/>
        </w:tabs>
        <w:spacing w:after="120"/>
        <w:ind w:left="3119" w:hanging="624"/>
      </w:pPr>
      <w:r w:rsidRPr="006C08C3">
        <w:rPr>
          <w:lang w:val="ru-RU"/>
        </w:rPr>
        <w:t>организация работы;</w:t>
      </w:r>
    </w:p>
    <w:p w14:paraId="7366357C" w14:textId="38258F4D" w:rsidR="000F67B0" w:rsidRPr="006C08C3" w:rsidRDefault="000F67B0" w:rsidP="00C7293E">
      <w:pPr>
        <w:numPr>
          <w:ilvl w:val="0"/>
          <w:numId w:val="28"/>
        </w:numPr>
        <w:tabs>
          <w:tab w:val="clear" w:pos="1247"/>
          <w:tab w:val="clear" w:pos="1814"/>
          <w:tab w:val="clear" w:pos="2381"/>
          <w:tab w:val="clear" w:pos="2948"/>
          <w:tab w:val="clear" w:pos="3515"/>
        </w:tabs>
        <w:spacing w:after="120"/>
        <w:ind w:left="3119" w:hanging="624"/>
      </w:pPr>
      <w:r w:rsidRPr="006C08C3">
        <w:rPr>
          <w:lang w:val="ru-RU"/>
        </w:rPr>
        <w:t>полномочия представителей</w:t>
      </w:r>
    </w:p>
    <w:p w14:paraId="331EB9A1" w14:textId="11320D9A"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Сообщения групп по оценке, посвященные их докладам о ходе работы, включая любые возникающие вопросы</w:t>
      </w:r>
    </w:p>
    <w:p w14:paraId="3CC41866" w14:textId="3B9967A1"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 xml:space="preserve">Сообщение Председателя Исполнительного комитета Многостороннего фонда для осуществления Монреальского протокола, посвященное работе </w:t>
      </w:r>
      <w:r w:rsidRPr="006C08C3">
        <w:rPr>
          <w:lang w:val="ru-RU"/>
        </w:rPr>
        <w:lastRenderedPageBreak/>
        <w:t>Исполнительного комитета, секретариата Многостороннего фонда и учреждений</w:t>
      </w:r>
      <w:r w:rsidR="00F81416">
        <w:rPr>
          <w:lang w:val="ru-RU"/>
        </w:rPr>
        <w:t> </w:t>
      </w:r>
      <w:r w:rsidRPr="006C08C3">
        <w:rPr>
          <w:lang w:val="ru-RU"/>
        </w:rPr>
        <w:t>–</w:t>
      </w:r>
      <w:r w:rsidR="00F81416">
        <w:rPr>
          <w:lang w:val="ru-RU"/>
        </w:rPr>
        <w:t> </w:t>
      </w:r>
      <w:r w:rsidRPr="006C08C3">
        <w:rPr>
          <w:lang w:val="ru-RU"/>
        </w:rPr>
        <w:t>исполнителей Фонда</w:t>
      </w:r>
    </w:p>
    <w:p w14:paraId="49E8E2C3" w14:textId="6EEFF0DE"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Заявления глав делегаций и обсуждение ключевых тем</w:t>
      </w:r>
    </w:p>
    <w:p w14:paraId="0650274A" w14:textId="05F8681E"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Доклад сопредседателей подготовительного сегмента и рассмотрение решений, рекомендованных для принятия тридцать седьмым Совещанием Сторон</w:t>
      </w:r>
    </w:p>
    <w:p w14:paraId="4BFFEA32" w14:textId="25BEF6EE"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Сроки и место проведения тридцать восьмого Совещания Сторон Монреальского протокола</w:t>
      </w:r>
    </w:p>
    <w:p w14:paraId="33C84F5D" w14:textId="2A13CC7F"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pPr>
      <w:r w:rsidRPr="006C08C3">
        <w:rPr>
          <w:lang w:val="ru-RU"/>
        </w:rPr>
        <w:t>Прочие вопросы</w:t>
      </w:r>
    </w:p>
    <w:p w14:paraId="26997C67" w14:textId="5498FB47"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Принятие решений тридцать седьмым Совещанием Сторон Монреальского протокола</w:t>
      </w:r>
    </w:p>
    <w:p w14:paraId="6946382F" w14:textId="0BECB627"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rPr>
          <w:lang w:val="ru-RU"/>
        </w:rPr>
      </w:pPr>
      <w:r w:rsidRPr="006C08C3">
        <w:rPr>
          <w:lang w:val="ru-RU"/>
        </w:rPr>
        <w:t>Принятие доклада о работе совещания</w:t>
      </w:r>
    </w:p>
    <w:p w14:paraId="45E648D4" w14:textId="77777777" w:rsidR="000F67B0" w:rsidRPr="006C08C3" w:rsidRDefault="000F67B0" w:rsidP="00C7293E">
      <w:pPr>
        <w:numPr>
          <w:ilvl w:val="0"/>
          <w:numId w:val="26"/>
        </w:numPr>
        <w:tabs>
          <w:tab w:val="clear" w:pos="1247"/>
          <w:tab w:val="clear" w:pos="1814"/>
          <w:tab w:val="clear" w:pos="2381"/>
          <w:tab w:val="clear" w:pos="2948"/>
          <w:tab w:val="clear" w:pos="3515"/>
        </w:tabs>
        <w:spacing w:after="120"/>
        <w:ind w:left="2495" w:hanging="624"/>
      </w:pPr>
      <w:r w:rsidRPr="006C08C3">
        <w:rPr>
          <w:lang w:val="ru-RU"/>
        </w:rPr>
        <w:t>Закрытие совещания.</w:t>
      </w:r>
    </w:p>
    <w:p w14:paraId="2E84BA1E"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Представители Казахстана, Кыргызстана и Таджикистана просили включить в повестку дня пункт 8 «Прочие вопросы», чтобы привлечь внимание к их глубокой озабоченности попытками исключить их три Стороны, а также Туркменистан и Узбекистан из Группы восточноевропейских государств, что, по их словам, объясняет, почему государства Восточной Европы не смогли достичь консенсуса по кандидатурам на должности заместителя Председателя Бюро, члена Комитета по выполнению и </w:t>
      </w:r>
      <w:r>
        <w:rPr>
          <w:lang w:val="ru-RU"/>
        </w:rPr>
        <w:t xml:space="preserve">для </w:t>
      </w:r>
      <w:r w:rsidRPr="006C08C3">
        <w:rPr>
          <w:lang w:val="ru-RU"/>
        </w:rPr>
        <w:t>других органов. По информации авторов предложения, центральноазиатские Стороны в течение примерно тридцати лет были членами Группы восточноевропейских государств и занимали должности в учреждениях Монреальского протокола; в настоящее время Кыргызстан является членом Исполнительного комитета Многостороннего фонда. Они также являются членами Группы восточноевропейских государств во многих других международных организациях, таких как Всемирная организация здравоохранения, Международный почтовый союз и Всемирная туристская организация. В соответствии с международным правом и обычными процедурами Монреальского протокола, каждая Сторона самостоятельно решает, к какой региональной группе присоединиться, и любые изменения статуса стран в региональных группах могут быть согласованы только на основе консенсуса. Они призвали Стороны прекратить политизацию вопроса, который является чисто процедурным, и поддерживать ценности партнерства, инклюзивности и взаимного уважения, которые лежали в основе Монреальского протокола на протяжении почти четырех десятилетий.</w:t>
      </w:r>
    </w:p>
    <w:p w14:paraId="34E4E738" w14:textId="77777777" w:rsidR="000F67B0" w:rsidRPr="006C08C3" w:rsidRDefault="000F67B0" w:rsidP="009E59A8">
      <w:pPr>
        <w:numPr>
          <w:ilvl w:val="0"/>
          <w:numId w:val="23"/>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Стороны постановили рассмотреть этот вопрос в рамках пункта 8 повестки дня «Прочие вопросы». </w:t>
      </w:r>
    </w:p>
    <w:p w14:paraId="4C870C69" w14:textId="77777777" w:rsidR="000F67B0" w:rsidRPr="002C5DA6"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rPr>
      </w:pPr>
      <w:r w:rsidRPr="002C5DA6">
        <w:rPr>
          <w:b/>
          <w:bCs/>
          <w:sz w:val="24"/>
          <w:szCs w:val="24"/>
          <w:lang w:val="ru-RU"/>
        </w:rPr>
        <w:tab/>
        <w:t>C.</w:t>
      </w:r>
      <w:r w:rsidRPr="002C5DA6">
        <w:rPr>
          <w:sz w:val="24"/>
          <w:szCs w:val="24"/>
          <w:lang w:val="ru-RU"/>
        </w:rPr>
        <w:tab/>
      </w:r>
      <w:r w:rsidRPr="002C5DA6">
        <w:rPr>
          <w:b/>
          <w:bCs/>
          <w:sz w:val="24"/>
          <w:szCs w:val="24"/>
          <w:lang w:val="ru-RU"/>
        </w:rPr>
        <w:t>Организация работы</w:t>
      </w:r>
    </w:p>
    <w:p w14:paraId="73F3F368" w14:textId="77777777" w:rsidR="000F67B0" w:rsidRPr="006C08C3" w:rsidRDefault="000F67B0" w:rsidP="009E59A8">
      <w:pPr>
        <w:keepNext/>
        <w:keepLines/>
        <w:numPr>
          <w:ilvl w:val="0"/>
          <w:numId w:val="29"/>
        </w:numPr>
        <w:tabs>
          <w:tab w:val="clear" w:pos="624"/>
          <w:tab w:val="clear" w:pos="1247"/>
          <w:tab w:val="clear" w:pos="1814"/>
          <w:tab w:val="clear" w:pos="2381"/>
          <w:tab w:val="clear" w:pos="2948"/>
          <w:tab w:val="clear" w:pos="3515"/>
        </w:tabs>
        <w:spacing w:after="120"/>
        <w:ind w:left="1247"/>
        <w:rPr>
          <w:lang w:val="ru-RU"/>
        </w:rPr>
      </w:pPr>
      <w:r w:rsidRPr="006C08C3">
        <w:rPr>
          <w:lang w:val="ru-RU"/>
        </w:rPr>
        <w:t>Стороны постановили следовать своим обычным процедурам.</w:t>
      </w:r>
    </w:p>
    <w:p w14:paraId="70CDBFC2" w14:textId="77777777" w:rsidR="000F67B0" w:rsidRPr="002C5DA6"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4"/>
          <w:szCs w:val="24"/>
        </w:rPr>
      </w:pPr>
      <w:r w:rsidRPr="002C5DA6">
        <w:rPr>
          <w:b/>
          <w:bCs/>
          <w:sz w:val="24"/>
          <w:szCs w:val="24"/>
          <w:lang w:val="ru-RU"/>
        </w:rPr>
        <w:tab/>
        <w:t>D.</w:t>
      </w:r>
      <w:r w:rsidRPr="002C5DA6">
        <w:rPr>
          <w:sz w:val="24"/>
          <w:szCs w:val="24"/>
          <w:lang w:val="ru-RU"/>
        </w:rPr>
        <w:tab/>
      </w:r>
      <w:r w:rsidRPr="002C5DA6">
        <w:rPr>
          <w:b/>
          <w:bCs/>
          <w:sz w:val="24"/>
          <w:szCs w:val="24"/>
          <w:lang w:val="ru-RU"/>
        </w:rPr>
        <w:t>Полномочия представителей</w:t>
      </w:r>
    </w:p>
    <w:p w14:paraId="204273BC" w14:textId="611ABABE" w:rsidR="000F67B0" w:rsidRPr="006C08C3" w:rsidRDefault="000F67B0" w:rsidP="009E59A8">
      <w:pPr>
        <w:numPr>
          <w:ilvl w:val="0"/>
          <w:numId w:val="31"/>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В соответствии с правилом 19 правил процедуры для </w:t>
      </w:r>
      <w:r w:rsidR="0077037B" w:rsidRPr="006C08C3">
        <w:rPr>
          <w:lang w:val="ru-RU"/>
        </w:rPr>
        <w:t xml:space="preserve">совещаний </w:t>
      </w:r>
      <w:r w:rsidRPr="006C08C3">
        <w:rPr>
          <w:lang w:val="ru-RU"/>
        </w:rPr>
        <w:t xml:space="preserve">Сторон Монреальского протокола Бюро тридцать седьмого Совещания Сторон Монреальского протокола провело </w:t>
      </w:r>
      <w:r>
        <w:rPr>
          <w:lang w:val="ru-RU"/>
        </w:rPr>
        <w:t xml:space="preserve">заседание </w:t>
      </w:r>
      <w:r w:rsidRPr="006C08C3">
        <w:rPr>
          <w:lang w:val="ru-RU"/>
        </w:rPr>
        <w:t xml:space="preserve">для изучения документов о полномочиях, поданных для представителей Сторон, и представило доклад тридцать седьмому Совещанию Сторон. В своем докладе Бюро рекомендовало одобрить полномочия представителей 97 из 154 Сторон, документы в отношении которых были представлены на совещании и признаны оформленными должным образом. Бюро отметило, что документы о полномочиях 66 из этих 97 Сторон были представлены в оригинале, а документы о полномочиях 31 Стороны были представлены в виде копий, которые были приняты при том понимании, что оригиналы будут представлены в кратчайшие сроки. Бюро также рекомендовало тридцать седьмому Совещанию Сторон предварительно одобрить участие 57 Сторон при том понимании, что они в кратчайшие сроки представят секретариату свои документы о полномочиях. Бюро настоятельно призвало все Стороны, участвующие в будущих </w:t>
      </w:r>
      <w:r w:rsidR="00EB734A" w:rsidRPr="006C08C3">
        <w:rPr>
          <w:lang w:val="ru-RU"/>
        </w:rPr>
        <w:t xml:space="preserve">совещаниях </w:t>
      </w:r>
      <w:r w:rsidRPr="006C08C3">
        <w:rPr>
          <w:lang w:val="ru-RU"/>
        </w:rPr>
        <w:t xml:space="preserve">Сторон, приложить все усилия для представления в секретариат документов о полномочиях в соответствии с правилом 18 правил процедуры. Бюро далее напомнило, что согласно правилам процедуры документы о полномочиях должны быть выданы либо главой государства или правительства, либо министром иностранных дел или, в случае региональной организации экономической интеграции, компетентным органом этой организации. </w:t>
      </w:r>
    </w:p>
    <w:p w14:paraId="305EA952" w14:textId="77777777" w:rsidR="000F67B0" w:rsidRPr="006C08C3" w:rsidRDefault="000F67B0" w:rsidP="009E59A8">
      <w:pPr>
        <w:numPr>
          <w:ilvl w:val="0"/>
          <w:numId w:val="31"/>
        </w:numPr>
        <w:tabs>
          <w:tab w:val="clear" w:pos="624"/>
          <w:tab w:val="clear" w:pos="1247"/>
          <w:tab w:val="clear" w:pos="1814"/>
          <w:tab w:val="clear" w:pos="2381"/>
          <w:tab w:val="clear" w:pos="2948"/>
          <w:tab w:val="clear" w:pos="3515"/>
        </w:tabs>
        <w:spacing w:after="240"/>
        <w:ind w:left="1247"/>
        <w:rPr>
          <w:lang w:val="ru-RU"/>
        </w:rPr>
      </w:pPr>
      <w:r w:rsidRPr="006C08C3">
        <w:rPr>
          <w:lang w:val="ru-RU"/>
        </w:rPr>
        <w:t xml:space="preserve">Стороны постановили утвердить доклад о </w:t>
      </w:r>
      <w:r>
        <w:rPr>
          <w:lang w:val="ru-RU"/>
        </w:rPr>
        <w:t xml:space="preserve">проверке </w:t>
      </w:r>
      <w:r w:rsidRPr="006C08C3">
        <w:rPr>
          <w:lang w:val="ru-RU"/>
        </w:rPr>
        <w:t>полномочи</w:t>
      </w:r>
      <w:r>
        <w:rPr>
          <w:lang w:val="ru-RU"/>
        </w:rPr>
        <w:t>й</w:t>
      </w:r>
      <w:r w:rsidRPr="006C08C3">
        <w:rPr>
          <w:lang w:val="ru-RU"/>
        </w:rPr>
        <w:t>, представленный Бюро.</w:t>
      </w:r>
    </w:p>
    <w:p w14:paraId="3A928735" w14:textId="77777777" w:rsidR="000F67B0" w:rsidRPr="00C848E2"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8"/>
          <w:szCs w:val="28"/>
          <w:lang w:val="ru-RU"/>
        </w:rPr>
      </w:pPr>
      <w:r w:rsidRPr="00C848E2">
        <w:rPr>
          <w:b/>
          <w:bCs/>
          <w:sz w:val="28"/>
          <w:szCs w:val="28"/>
          <w:lang w:val="ru-RU"/>
        </w:rPr>
        <w:lastRenderedPageBreak/>
        <w:tab/>
        <w:t>III.</w:t>
      </w:r>
      <w:r w:rsidRPr="00C848E2">
        <w:rPr>
          <w:sz w:val="28"/>
          <w:szCs w:val="28"/>
          <w:lang w:val="ru-RU"/>
        </w:rPr>
        <w:tab/>
      </w:r>
      <w:r w:rsidRPr="00C848E2">
        <w:rPr>
          <w:b/>
          <w:bCs/>
          <w:sz w:val="28"/>
          <w:szCs w:val="28"/>
          <w:lang w:val="ru-RU"/>
        </w:rPr>
        <w:t>Сообщения групп по оценке, посвященные их докладам о ходе работы, включая любые возникающие вопросы</w:t>
      </w:r>
    </w:p>
    <w:p w14:paraId="2259BC9F"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Сопредседатели Группы по научной оценке Люси Карпентер и Кен Джакс выступили с сообщением о работе Группы. </w:t>
      </w:r>
      <w:r>
        <w:rPr>
          <w:lang w:val="ru-RU"/>
        </w:rPr>
        <w:t xml:space="preserve">Краткое изложение </w:t>
      </w:r>
      <w:r w:rsidRPr="006C08C3">
        <w:rPr>
          <w:lang w:val="ru-RU"/>
        </w:rPr>
        <w:t>сообщения, подготовленное докладчиками, содержится в разделе С.1 приложения I к настоящему докладу.</w:t>
      </w:r>
    </w:p>
    <w:p w14:paraId="67A5D45C" w14:textId="5D5022A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Сопредседатель Группы по оценке экологических последствий Джанет Ф. Борнман выступила с сообщением о работе Группы. Краткое изложение этого сообщения, подготовленное</w:t>
      </w:r>
      <w:r>
        <w:rPr>
          <w:lang w:val="ru-RU"/>
        </w:rPr>
        <w:t xml:space="preserve"> </w:t>
      </w:r>
      <w:r w:rsidR="00A64779">
        <w:rPr>
          <w:lang w:val="ru-RU"/>
        </w:rPr>
        <w:t>Докладчиком</w:t>
      </w:r>
      <w:r w:rsidRPr="006C08C3">
        <w:rPr>
          <w:lang w:val="ru-RU"/>
        </w:rPr>
        <w:t>, приводится в разделе С.2 приложения I к настоящему докладу.</w:t>
      </w:r>
    </w:p>
    <w:p w14:paraId="5FD0BAE4" w14:textId="620D8010"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Сопредседатели Группы по техническому обзору и экономической оценке Марта Писано и Эшли Вудкок выступили с сообщением о работе Группы. Краткое изложение этого сообщения, подготовленное</w:t>
      </w:r>
      <w:r>
        <w:rPr>
          <w:lang w:val="ru-RU"/>
        </w:rPr>
        <w:t xml:space="preserve"> </w:t>
      </w:r>
      <w:r w:rsidR="00A64779">
        <w:rPr>
          <w:lang w:val="ru-RU"/>
        </w:rPr>
        <w:t>Докладчиком</w:t>
      </w:r>
      <w:r w:rsidRPr="006C08C3">
        <w:rPr>
          <w:lang w:val="ru-RU"/>
        </w:rPr>
        <w:t>, приводится в разделе С.3 приложения I к настоящему докладу.</w:t>
      </w:r>
    </w:p>
    <w:p w14:paraId="659EA520"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Представители поблагодарили три группы за их работу и сообщения. </w:t>
      </w:r>
    </w:p>
    <w:p w14:paraId="1231B6D6" w14:textId="2000BF5E"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Ряд представителей, в том числе один выступавший от имени группы Сторон, приветствовали различные элементы сообщений, в том числе большой объем дополнительной информации; конкретную информацию о тетрахлометане, очень короткоживущих веществах и альтернативах бромистому метилу; работ</w:t>
      </w:r>
      <w:r>
        <w:rPr>
          <w:lang w:val="ru-RU"/>
        </w:rPr>
        <w:t>у</w:t>
      </w:r>
      <w:r w:rsidRPr="006C08C3">
        <w:rPr>
          <w:lang w:val="ru-RU"/>
        </w:rPr>
        <w:t xml:space="preserve"> над сценариями воздействия на озоновый слой выбросов, образующихся в результате применения в качестве исходного сырья; тот факт, что в 2025 году убыль озона была меньше; и акцент на продукты распада регулируемых веществ, таких как пер- и полифторалкильные вещества (ПФАВ), включая трифторуксусную кислоту, и их альтернативы. </w:t>
      </w:r>
    </w:p>
    <w:p w14:paraId="183FED09"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Г-н Вудкок сказал, что цель групп заключается в предоставлении Сторонам объективной информации о ПФАВ, учитывая, что этот вопрос является спорным и существует много ложной информации. Дополнительная обновленная информация, подготовленная тремя группами, должна быть включена в доклад о ходе работы Группы по техническому обзору и экономической оценке за 2026 год. Три группы работают над достижением консенсуса по этому вопросу и будут информировать Стороны о ходе работы. Один из представителей, отметив сложности, возникающие при определении ПФАВ, спросил, как Стороны могут обеспечить, чтобы меняющаяся политика в отношении ПФАВ оставалась научно обоснованной и не препятствовала непреднамеренно переходу к более безопасным и устойчивым альтернативам. Г-жа Борнман заявила, что работа трех групп всегда будет основываться на научных данных.</w:t>
      </w:r>
    </w:p>
    <w:p w14:paraId="67753C12" w14:textId="6725D4A1"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Ссылаясь на указание в сообщении Группы по оценке экологических последствий о том, что в четырехгодичном докладе Группы об оценке будет содержаться информация об измерениях, фактических количествах </w:t>
      </w:r>
      <w:r>
        <w:rPr>
          <w:lang w:val="ru-RU"/>
        </w:rPr>
        <w:t xml:space="preserve">ПФАВ </w:t>
      </w:r>
      <w:r w:rsidRPr="006C08C3">
        <w:rPr>
          <w:lang w:val="ru-RU"/>
        </w:rPr>
        <w:t xml:space="preserve">и оценках </w:t>
      </w:r>
      <w:r>
        <w:rPr>
          <w:lang w:val="ru-RU"/>
        </w:rPr>
        <w:t xml:space="preserve">содержания </w:t>
      </w:r>
      <w:r w:rsidRPr="006C08C3">
        <w:rPr>
          <w:lang w:val="ru-RU"/>
        </w:rPr>
        <w:t>ПФАВ, имеющих отношение к Монреальскому протоколу, в проточных водах, пресноводных озерах и в океанах, од</w:t>
      </w:r>
      <w:r w:rsidR="0063400C">
        <w:rPr>
          <w:lang w:val="ru-RU"/>
        </w:rPr>
        <w:t>и</w:t>
      </w:r>
      <w:r w:rsidRPr="006C08C3">
        <w:rPr>
          <w:lang w:val="ru-RU"/>
        </w:rPr>
        <w:t xml:space="preserve">н представитель заявила, что ее Сторона также осведомлена об исследованиях, показывающих повышенную концентрацию трифторуксусной кислоты в питьевой воде, живых организмах, таких как растения, и в крови человека. В ответ г-жа Борнман пояснила, что часть информации, приведенной в сообщении, была взята из менее подробного вводного документа к четырехгодичной оценке. Она подтвердила, что в фактическом четырехгодичном докладе об оценке за 2026 год действительно будут рассмотрены концентрации трифторуксусной кислоты в организмах животных, людей, питьевой воде и </w:t>
      </w:r>
      <w:r w:rsidRPr="00C848E2">
        <w:rPr>
          <w:lang w:val="ru-RU"/>
        </w:rPr>
        <w:t>географических районах.</w:t>
      </w:r>
      <w:r w:rsidRPr="006C08C3">
        <w:rPr>
          <w:lang w:val="ru-RU"/>
        </w:rPr>
        <w:t xml:space="preserve"> Другой представитель предложил, чтобы в ходе оценки было проанализировано, сколько веществ регулярно обнаруживается в крови.</w:t>
      </w:r>
    </w:p>
    <w:p w14:paraId="178E7B86" w14:textId="5D43C472"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Представитель, выступавший от имени группы Сторон, заявил, что будущее законодательство его региона в отношении ПФАВ, находящееся в стадии разработки, будет направлено на обеспечение определенности в связи с обеспокоенностью общественности по поводу этих веществ. Кроме того, любое принятое законодательство, вероятно, будет содержать исключения в отношении основных видов применения для важных секторов, таких как авиация. Соответственно, эти Стороны по-разному толкуют неопределенность в отношении применения галонов для тушения пожаров в авиации, </w:t>
      </w:r>
      <w:r>
        <w:rPr>
          <w:lang w:val="ru-RU"/>
        </w:rPr>
        <w:t xml:space="preserve">описанного </w:t>
      </w:r>
      <w:r w:rsidRPr="006C08C3">
        <w:rPr>
          <w:lang w:val="ru-RU"/>
        </w:rPr>
        <w:t>в сообщении Группы по техническому обзору и экономической оценке. По их пониманию, мораторий на использование галона 1301 в грузовых отсеках совершенно новых конструкций самолетов, установленный на 2024 год, не был отменен, а будет установлен новый, и до тех пор остается в силе текущая дата, т.</w:t>
      </w:r>
      <w:r w:rsidR="005674E2" w:rsidRPr="00422FE2">
        <w:rPr>
          <w:lang w:val="ru-RU"/>
        </w:rPr>
        <w:t xml:space="preserve"> </w:t>
      </w:r>
      <w:r w:rsidRPr="006C08C3">
        <w:rPr>
          <w:lang w:val="ru-RU"/>
        </w:rPr>
        <w:t>е. 2024 год.</w:t>
      </w:r>
    </w:p>
    <w:p w14:paraId="50257641" w14:textId="58F61D14"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lastRenderedPageBreak/>
        <w:t xml:space="preserve">Как отметила один представитель, Группа по техническому обзору и экономической оценке заявила, что неопределенность в области регулирования ПФАВ может замедлить переход к технологиям с более низким потенциалом глобального потепления для Сторон, входящих в группу 1 и действующих в </w:t>
      </w:r>
      <w:r w:rsidR="00011401">
        <w:rPr>
          <w:lang w:val="ru-RU"/>
        </w:rPr>
        <w:t>рамках</w:t>
      </w:r>
      <w:r w:rsidR="00011401" w:rsidRPr="006C08C3">
        <w:rPr>
          <w:lang w:val="ru-RU"/>
        </w:rPr>
        <w:t xml:space="preserve"> </w:t>
      </w:r>
      <w:r w:rsidRPr="006C08C3">
        <w:rPr>
          <w:lang w:val="ru-RU"/>
        </w:rPr>
        <w:t>стать</w:t>
      </w:r>
      <w:r w:rsidR="00011401">
        <w:rPr>
          <w:lang w:val="ru-RU"/>
        </w:rPr>
        <w:t>и</w:t>
      </w:r>
      <w:r w:rsidRPr="006C08C3">
        <w:rPr>
          <w:lang w:val="ru-RU"/>
        </w:rPr>
        <w:t xml:space="preserve"> 5. Поэтому она обратилась к Группе за рекомендациями относительно того, как обеспечить дальнейший и сбалансированный прогресс в деле поэтапного сокращения оборота ГФУ, особенно при определении безопасных, экономически эффективных и экологически </w:t>
      </w:r>
      <w:r w:rsidR="00501891">
        <w:rPr>
          <w:lang w:val="ru-RU"/>
        </w:rPr>
        <w:t>обоснованных</w:t>
      </w:r>
      <w:r w:rsidR="00501891" w:rsidRPr="006C08C3">
        <w:rPr>
          <w:lang w:val="ru-RU"/>
        </w:rPr>
        <w:t xml:space="preserve"> </w:t>
      </w:r>
      <w:r w:rsidRPr="006C08C3">
        <w:rPr>
          <w:lang w:val="ru-RU"/>
        </w:rPr>
        <w:t xml:space="preserve">альтернатив. Отвечая на вопрос о содержании новой таблицы, </w:t>
      </w:r>
      <w:r>
        <w:rPr>
          <w:lang w:val="ru-RU"/>
        </w:rPr>
        <w:t xml:space="preserve">предназначенной для </w:t>
      </w:r>
      <w:r w:rsidRPr="006C08C3">
        <w:rPr>
          <w:lang w:val="ru-RU"/>
        </w:rPr>
        <w:t>оценк</w:t>
      </w:r>
      <w:r>
        <w:rPr>
          <w:lang w:val="ru-RU"/>
        </w:rPr>
        <w:t xml:space="preserve">и </w:t>
      </w:r>
      <w:r w:rsidRPr="006C08C3">
        <w:rPr>
          <w:lang w:val="ru-RU"/>
        </w:rPr>
        <w:t>информации о продуктах распада, которая готовится Группой по научной оценке совместно с двумя другими группами, г-жа Карпентер пояснила, что в ходе сообщения не было возможности показать полную таблицу. Однако она заверила Стороны, что в таблице действительно будет содержаться информация об альтернативах.</w:t>
      </w:r>
    </w:p>
    <w:p w14:paraId="48368CC1"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Отвечая на вопросы о сценариях воздействия на озоновый слой выбросов, образующихся в результате применения в качестве исходного сырья, г-жа Карпентер подтвердила, что в сценариях использовались коэффициенты выбросов, недавно пересмотренные Группой по техническому обзору и экономической оценке, которые </w:t>
      </w:r>
      <w:r>
        <w:rPr>
          <w:lang w:val="ru-RU"/>
        </w:rPr>
        <w:t>превышают</w:t>
      </w:r>
      <w:r w:rsidRPr="006C08C3">
        <w:rPr>
          <w:lang w:val="ru-RU"/>
        </w:rPr>
        <w:t xml:space="preserve"> коэффициенты, использованные в предыдущей оценке, и что с точки зрения технологий уменьшения выбросов в базовом сценарии предполагается полное соблюдение Монреальского протокола и Кигалийской поправки к Монреальскому протоколу. Напомнив, что в ходе последней оценки задержка восстановления озонового слоя была оценена примерно в пять лет, г-жа Карпентер заявила, что, хотя задержка пока не была рассчитана, можно ожидать, что она будет </w:t>
      </w:r>
      <w:r>
        <w:rPr>
          <w:lang w:val="ru-RU"/>
        </w:rPr>
        <w:t xml:space="preserve">более длительной, </w:t>
      </w:r>
      <w:r w:rsidRPr="006C08C3">
        <w:rPr>
          <w:lang w:val="ru-RU"/>
        </w:rPr>
        <w:t xml:space="preserve">учитывая более высокие коэффициенты выбросов. </w:t>
      </w:r>
    </w:p>
    <w:p w14:paraId="6FC2AC97" w14:textId="017BC42B" w:rsidR="000F67B0" w:rsidRPr="009B7AB0"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Отвечая на вопрос о роли, которую значения выбросов играют в работе групп, г</w:t>
      </w:r>
      <w:r w:rsidR="005674E2" w:rsidRPr="00422FE2">
        <w:rPr>
          <w:lang w:val="ru-RU"/>
        </w:rPr>
        <w:noBreakHyphen/>
      </w:r>
      <w:r w:rsidRPr="006C08C3">
        <w:rPr>
          <w:lang w:val="ru-RU"/>
        </w:rPr>
        <w:t>жа</w:t>
      </w:r>
      <w:r w:rsidR="005674E2">
        <w:rPr>
          <w:lang w:val="en-US"/>
        </w:rPr>
        <w:t> </w:t>
      </w:r>
      <w:r w:rsidRPr="006C08C3">
        <w:rPr>
          <w:lang w:val="ru-RU"/>
        </w:rPr>
        <w:t xml:space="preserve">Карпентер сказала, что расчет уровней выбросов позволяет группам использовать свои компьютерные модели и является движущей силой расчетов, связанных с восстановлением озонового слоя. Мониторинг выбросов позволяет группам и Сторонам отслеживать ход осуществления мер по поэтапному выводу из обращения или поэтапному сокращению оборота регулируемых веществ; выявлять возникающие вопросы; привлечь внимание к ситуациям, когда </w:t>
      </w:r>
      <w:r>
        <w:rPr>
          <w:lang w:val="ru-RU"/>
        </w:rPr>
        <w:t xml:space="preserve">в представленных </w:t>
      </w:r>
      <w:r w:rsidRPr="006C08C3">
        <w:rPr>
          <w:lang w:val="ru-RU"/>
        </w:rPr>
        <w:t xml:space="preserve">данных </w:t>
      </w:r>
      <w:r>
        <w:rPr>
          <w:lang w:val="ru-RU"/>
        </w:rPr>
        <w:t xml:space="preserve">указываются </w:t>
      </w:r>
      <w:r w:rsidRPr="006C08C3">
        <w:rPr>
          <w:lang w:val="ru-RU"/>
        </w:rPr>
        <w:t>уровни выбросов, отличающиеся от наблюдаемых в атмосфере.</w:t>
      </w:r>
    </w:p>
    <w:p w14:paraId="1A640CF3" w14:textId="1001D323"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Отвечая на вопрос о наличии альтернатив фармацевтическим пропеллентам в странах, действующих в рамках статьи 5, г-н Вудкок сказал, что 30 лет назад было очень мало компаний, производящих ингаляторы, и было возможным тщательно и внимательно регулировать процесс поэтапного вывода ХФУ из обращения. Однако в настоящее время в мире насчитывается 94 производителя ингаляторов, </w:t>
      </w:r>
      <w:r>
        <w:rPr>
          <w:lang w:val="ru-RU"/>
        </w:rPr>
        <w:t xml:space="preserve">причем </w:t>
      </w:r>
      <w:r w:rsidRPr="006C08C3">
        <w:rPr>
          <w:lang w:val="ru-RU"/>
        </w:rPr>
        <w:t>распространенность астмы и хронической обструктивной болезни легких растет. Первые компании, которые находятся в странах, не действующих в рамках статьи 5, начали переход на альтернативные источники энергии с низким потенциалом глобального потепления; некоторые выбрали ГФУ-152a, использование которого улучшит положение дел в плане глобального потепления примерно на 90 процентов. По крайней мере одна компания начала использовать гидрофторолефин (ГФО), и первый дозированный ингалятор на основе ГФО был одобрен регулирующими органами в Европе и в Соединенном Королевстве в течение последних нескольких месяцев. Он выразил мнение, что, прежде чем начать действовать, многие компании дожидаются реакции регулирующих органов. К сожалению, для Сторон, действующих в рамках статьи 5, нет каких</w:t>
      </w:r>
      <w:r w:rsidR="005674E2" w:rsidRPr="00422FE2">
        <w:rPr>
          <w:lang w:val="ru-RU"/>
        </w:rPr>
        <w:noBreakHyphen/>
      </w:r>
      <w:r w:rsidRPr="006C08C3">
        <w:rPr>
          <w:lang w:val="ru-RU"/>
        </w:rPr>
        <w:t xml:space="preserve">либо решений в ближайшей перспективе. Одна из проблем заключается в обеспечении пропеллентом, который в настоящее время поставляется в основном одной компанией из Соединенного Королевства. Однако фармацевтические пропелленты все чаще получают из Китая и Индии, и нужна дополнительная информация о том, насколько эти поставки пропеллентов надежны и могут ли фармацевтические компании перейти к ним в упорядоченном порядке. Например, ГФУ-152a является более легковоспламеняющимся пропеллентом, что требует от компаний принятия новых мер безопасности. </w:t>
      </w:r>
    </w:p>
    <w:p w14:paraId="0B5195EE"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Что касается воспламеняемости, один представитель выразил обеспокоенность по поводу использования воспламеняющихся веществ для производства аэрозолей и пеноматериалов, </w:t>
      </w:r>
      <w:r>
        <w:rPr>
          <w:lang w:val="ru-RU"/>
        </w:rPr>
        <w:t xml:space="preserve">которое </w:t>
      </w:r>
      <w:r w:rsidRPr="006C08C3">
        <w:rPr>
          <w:lang w:val="ru-RU"/>
        </w:rPr>
        <w:t>часто ведет к ошибочным представлениям. Кроме того, г-н Вудкок предложил провести двусторонние обсуждения в кулуарах совещания по вопросу о том, какой именно подсектор сектора холодильного оборудования и кондиционирования воздуха представляет наибольшую сложность с точки зрения использования природных охлаждающих агентов.</w:t>
      </w:r>
    </w:p>
    <w:p w14:paraId="53F18228"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Один представитель выразил обеспокоенность, которая, по его словам, ощущается во всем его регионе, в связи с низким уровнем прогресса в области инвестиций в альтернативы </w:t>
      </w:r>
      <w:r w:rsidRPr="006C08C3">
        <w:rPr>
          <w:lang w:val="ru-RU"/>
        </w:rPr>
        <w:lastRenderedPageBreak/>
        <w:t xml:space="preserve">ГФУ, что ограничивает или ставит под угрозу устойчивость перехода на новые технологии или значительно усложняет такой переход. </w:t>
      </w:r>
    </w:p>
    <w:p w14:paraId="731B294C"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 xml:space="preserve">Отвечая на вопрос о новом показателе «дефицит </w:t>
      </w:r>
      <w:r>
        <w:rPr>
          <w:lang w:val="ru-RU"/>
        </w:rPr>
        <w:t xml:space="preserve">озоновой </w:t>
      </w:r>
      <w:r w:rsidRPr="006C08C3">
        <w:rPr>
          <w:lang w:val="ru-RU"/>
        </w:rPr>
        <w:t>массы», г-н Джакс сказал, что он призван дать более полное представление об убыли озона. Показатель касается общего количества озона над озоновой дырой, в отличие от размеров озоновой дыры или средней минимальной убыли озона, которые не отражают полностью произошедшую убыль озона.</w:t>
      </w:r>
    </w:p>
    <w:p w14:paraId="740C309B" w14:textId="6F440085"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На вопрос о воздействии на озон природных циклов, включая солнечный цикл, г</w:t>
      </w:r>
      <w:r w:rsidR="005674E2" w:rsidRPr="00422FE2">
        <w:rPr>
          <w:lang w:val="ru-RU"/>
        </w:rPr>
        <w:noBreakHyphen/>
      </w:r>
      <w:r w:rsidRPr="006C08C3">
        <w:rPr>
          <w:lang w:val="ru-RU"/>
        </w:rPr>
        <w:t>жа</w:t>
      </w:r>
      <w:r w:rsidR="005674E2">
        <w:rPr>
          <w:lang w:val="en-US"/>
        </w:rPr>
        <w:t> </w:t>
      </w:r>
      <w:r w:rsidRPr="006C08C3">
        <w:rPr>
          <w:lang w:val="ru-RU"/>
        </w:rPr>
        <w:t>Карпентер ответила, что такое воздействие наблюдается главным образом в верхнем слое стратосферы и учитывается в моделях Группы. Доказательства того, что солнечный цикл оказывает на климат како</w:t>
      </w:r>
      <w:r>
        <w:rPr>
          <w:lang w:val="ru-RU"/>
        </w:rPr>
        <w:t>е</w:t>
      </w:r>
      <w:r w:rsidRPr="006C08C3">
        <w:rPr>
          <w:lang w:val="ru-RU"/>
        </w:rPr>
        <w:t>-либо значительное влияние, отсутствуют. Что касается восстановления озонового слоя, то, несмотря на значительную изменчивость, в целом процесс восстановления соответствует прогнозам. Эпизодическая естественная изменчивость связана не только с солнечными циклами, но и с такими явлениями, как лесные пожары и извержения вулканов.</w:t>
      </w:r>
    </w:p>
    <w:p w14:paraId="12B1AF02" w14:textId="593945A8"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Отвечая на замечание одного из представителей о том, что в докладе групп вопросу о несоответствии между атмосферными измерениями и заявленными данными о выбросах ГФУ</w:t>
      </w:r>
      <w:r w:rsidR="005674E2" w:rsidRPr="00422FE2">
        <w:rPr>
          <w:lang w:val="ru-RU"/>
        </w:rPr>
        <w:noBreakHyphen/>
      </w:r>
      <w:r w:rsidRPr="006C08C3">
        <w:rPr>
          <w:lang w:val="ru-RU"/>
        </w:rPr>
        <w:t xml:space="preserve">23 уделено мало внимания, г-жа Карпентер сказала, что Группа по научной оценке и Группа по техническому обзору и экономической оценке </w:t>
      </w:r>
      <w:r w:rsidR="00037B8C">
        <w:rPr>
          <w:lang w:val="ru-RU"/>
        </w:rPr>
        <w:t>недавно</w:t>
      </w:r>
      <w:r w:rsidRPr="006C08C3">
        <w:rPr>
          <w:lang w:val="ru-RU"/>
        </w:rPr>
        <w:t xml:space="preserve"> подготовили обновленные доклады по этому вопросу, представленные в ходе подготовительного сегмента, и поэтому </w:t>
      </w:r>
      <w:r>
        <w:rPr>
          <w:lang w:val="ru-RU"/>
        </w:rPr>
        <w:t xml:space="preserve">они </w:t>
      </w:r>
      <w:r w:rsidRPr="006C08C3">
        <w:rPr>
          <w:lang w:val="ru-RU"/>
        </w:rPr>
        <w:t xml:space="preserve">решили в меньшей степени остановиться на </w:t>
      </w:r>
      <w:r>
        <w:rPr>
          <w:lang w:val="ru-RU"/>
        </w:rPr>
        <w:t xml:space="preserve">этом вопросе </w:t>
      </w:r>
      <w:r w:rsidRPr="006C08C3">
        <w:rPr>
          <w:lang w:val="ru-RU"/>
        </w:rPr>
        <w:t xml:space="preserve">в своих сообщениях в рамках </w:t>
      </w:r>
      <w:r w:rsidR="00037B8C">
        <w:rPr>
          <w:lang w:val="ru-RU"/>
        </w:rPr>
        <w:t>рассматриваемого</w:t>
      </w:r>
      <w:r w:rsidR="00037B8C" w:rsidRPr="006C08C3">
        <w:rPr>
          <w:lang w:val="ru-RU"/>
        </w:rPr>
        <w:t xml:space="preserve"> </w:t>
      </w:r>
      <w:r w:rsidRPr="006C08C3">
        <w:rPr>
          <w:lang w:val="ru-RU"/>
        </w:rPr>
        <w:t>пункта повестки дня. Прогнозы по ГФУ-23, разумеется, будут включены в четырехгодичные доклады по оценке 2026 года. Г-н Вуд</w:t>
      </w:r>
      <w:r w:rsidR="001C39C7">
        <w:rPr>
          <w:lang w:val="ru-RU"/>
        </w:rPr>
        <w:t>к</w:t>
      </w:r>
      <w:r w:rsidRPr="006C08C3">
        <w:rPr>
          <w:lang w:val="ru-RU"/>
        </w:rPr>
        <w:t xml:space="preserve">ок согласился с тем, что вопрос о несоответствии является важным и </w:t>
      </w:r>
      <w:r w:rsidR="00D9173C">
        <w:rPr>
          <w:lang w:val="ru-RU"/>
        </w:rPr>
        <w:t>е</w:t>
      </w:r>
      <w:r w:rsidR="00F612AC">
        <w:rPr>
          <w:lang w:val="ru-RU"/>
        </w:rPr>
        <w:t>го</w:t>
      </w:r>
      <w:r w:rsidR="00D9173C">
        <w:rPr>
          <w:lang w:val="ru-RU"/>
        </w:rPr>
        <w:t xml:space="preserve"> следовало</w:t>
      </w:r>
      <w:r w:rsidRPr="006C08C3">
        <w:rPr>
          <w:lang w:val="ru-RU"/>
        </w:rPr>
        <w:t xml:space="preserve"> рассмотре</w:t>
      </w:r>
      <w:r w:rsidR="00F612AC">
        <w:rPr>
          <w:lang w:val="ru-RU"/>
        </w:rPr>
        <w:t>ть</w:t>
      </w:r>
      <w:r w:rsidRPr="006C08C3">
        <w:rPr>
          <w:lang w:val="ru-RU"/>
        </w:rPr>
        <w:t xml:space="preserve"> более подробно.</w:t>
      </w:r>
    </w:p>
    <w:p w14:paraId="4593AD94"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Один представитель предложил, чтобы в своих будущих докладах группы более четко представляли информацию о веществах, имеющих значительные природные источники.</w:t>
      </w:r>
    </w:p>
    <w:p w14:paraId="4D76D60A"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240"/>
        <w:ind w:left="1247"/>
        <w:rPr>
          <w:lang w:val="ru-RU"/>
        </w:rPr>
      </w:pPr>
      <w:r w:rsidRPr="006C08C3">
        <w:rPr>
          <w:lang w:val="ru-RU"/>
        </w:rPr>
        <w:t>Стороны приняли представленную информацию к сведению.</w:t>
      </w:r>
    </w:p>
    <w:p w14:paraId="62FE1E37" w14:textId="6579BC09" w:rsidR="000F67B0" w:rsidRPr="005674E2" w:rsidRDefault="000F67B0" w:rsidP="00E7762B">
      <w:pPr>
        <w:tabs>
          <w:tab w:val="clear" w:pos="1247"/>
          <w:tab w:val="clear" w:pos="1814"/>
          <w:tab w:val="clear" w:pos="2381"/>
          <w:tab w:val="clear" w:pos="2948"/>
          <w:tab w:val="clear" w:pos="3515"/>
          <w:tab w:val="right" w:pos="851"/>
        </w:tabs>
        <w:suppressAutoHyphens/>
        <w:spacing w:after="120"/>
        <w:ind w:left="1247" w:right="284" w:hanging="1247"/>
        <w:rPr>
          <w:b/>
          <w:sz w:val="28"/>
          <w:szCs w:val="28"/>
          <w:lang w:val="ru-RU"/>
        </w:rPr>
      </w:pPr>
      <w:r w:rsidRPr="005674E2">
        <w:rPr>
          <w:b/>
          <w:bCs/>
          <w:sz w:val="28"/>
          <w:szCs w:val="28"/>
          <w:lang w:val="ru-RU"/>
        </w:rPr>
        <w:tab/>
        <w:t>IV.</w:t>
      </w:r>
      <w:r w:rsidRPr="005674E2">
        <w:rPr>
          <w:sz w:val="28"/>
          <w:szCs w:val="28"/>
          <w:lang w:val="ru-RU"/>
        </w:rPr>
        <w:tab/>
      </w:r>
      <w:r w:rsidRPr="005674E2">
        <w:rPr>
          <w:b/>
          <w:bCs/>
          <w:sz w:val="28"/>
          <w:szCs w:val="28"/>
          <w:lang w:val="ru-RU"/>
        </w:rPr>
        <w:t>Сообщение Председателя Исполнительного комитета Многостороннего фонда для осуществления Монреальского протокола, посвященное работе Исполнительного комитета, секретариата Многостороннего фонда и учреждений</w:t>
      </w:r>
      <w:r w:rsidR="005674E2" w:rsidRPr="00422FE2">
        <w:rPr>
          <w:b/>
          <w:bCs/>
          <w:sz w:val="28"/>
          <w:szCs w:val="28"/>
          <w:lang w:val="ru-RU"/>
        </w:rPr>
        <w:noBreakHyphen/>
      </w:r>
      <w:r w:rsidRPr="005674E2">
        <w:rPr>
          <w:b/>
          <w:bCs/>
          <w:sz w:val="28"/>
          <w:szCs w:val="28"/>
          <w:lang w:val="ru-RU"/>
        </w:rPr>
        <w:t>исполнителей Фонда</w:t>
      </w:r>
    </w:p>
    <w:p w14:paraId="49DA02FD" w14:textId="76B16794"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120"/>
        <w:ind w:left="1247"/>
        <w:rPr>
          <w:lang w:val="ru-RU"/>
        </w:rPr>
      </w:pPr>
      <w:r w:rsidRPr="006C08C3">
        <w:rPr>
          <w:lang w:val="ru-RU"/>
        </w:rPr>
        <w:t>Алессандро Перу, Председатель Исполнительного комитета Многостороннего фонда для осуществления Монреальского протокола, представил доклад о работе Исполнительного комитета, секретариата Многостороннего фонда и учреждений</w:t>
      </w:r>
      <w:r w:rsidR="008915D7">
        <w:rPr>
          <w:lang w:val="ru-RU"/>
        </w:rPr>
        <w:t xml:space="preserve"> – </w:t>
      </w:r>
      <w:r w:rsidRPr="006C08C3">
        <w:rPr>
          <w:lang w:val="ru-RU"/>
        </w:rPr>
        <w:t xml:space="preserve">исполнителей Фонда за период после тридцать шестого Совещания Сторон, обобщив информацию, изложенную в документе UNEP/OzL.Pro.37/8. Его заявление приводится в приложении II к настоящему докладу. </w:t>
      </w:r>
    </w:p>
    <w:p w14:paraId="4BB18A09" w14:textId="77777777" w:rsidR="000F67B0" w:rsidRPr="006C08C3" w:rsidRDefault="000F67B0" w:rsidP="009E59A8">
      <w:pPr>
        <w:numPr>
          <w:ilvl w:val="0"/>
          <w:numId w:val="30"/>
        </w:numPr>
        <w:tabs>
          <w:tab w:val="clear" w:pos="624"/>
          <w:tab w:val="clear" w:pos="1247"/>
          <w:tab w:val="clear" w:pos="1814"/>
          <w:tab w:val="clear" w:pos="2381"/>
          <w:tab w:val="clear" w:pos="2948"/>
          <w:tab w:val="clear" w:pos="3515"/>
        </w:tabs>
        <w:spacing w:after="240"/>
        <w:ind w:left="1247"/>
        <w:rPr>
          <w:lang w:val="ru-RU"/>
        </w:rPr>
      </w:pPr>
      <w:r w:rsidRPr="006C08C3">
        <w:rPr>
          <w:lang w:val="ru-RU"/>
        </w:rPr>
        <w:t>Стороны приняли представленную информацию к сведению.</w:t>
      </w:r>
    </w:p>
    <w:p w14:paraId="3FAD77F5" w14:textId="21D6A156" w:rsidR="004572A1" w:rsidRPr="00422FE2" w:rsidRDefault="0052262F"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422FE2">
        <w:rPr>
          <w:bCs/>
          <w:lang w:val="ru-RU"/>
        </w:rPr>
        <w:tab/>
      </w:r>
      <w:r w:rsidR="004572A1">
        <w:rPr>
          <w:bCs/>
          <w:lang w:val="ru-RU"/>
        </w:rPr>
        <w:t>V.</w:t>
      </w:r>
      <w:r w:rsidR="004572A1">
        <w:rPr>
          <w:lang w:val="ru-RU"/>
        </w:rPr>
        <w:tab/>
      </w:r>
      <w:r w:rsidR="004572A1">
        <w:rPr>
          <w:bCs/>
          <w:lang w:val="ru-RU"/>
        </w:rPr>
        <w:t>Заявления глав делегаций и обсуждение ключевых тем</w:t>
      </w:r>
    </w:p>
    <w:p w14:paraId="7CDFC6AB" w14:textId="7FAAE538" w:rsidR="004572A1" w:rsidRPr="007B70A8" w:rsidRDefault="004572A1" w:rsidP="00A63EDD">
      <w:pPr>
        <w:numPr>
          <w:ilvl w:val="0"/>
          <w:numId w:val="30"/>
        </w:numPr>
        <w:tabs>
          <w:tab w:val="clear" w:pos="624"/>
          <w:tab w:val="clear" w:pos="1247"/>
          <w:tab w:val="clear" w:pos="1814"/>
          <w:tab w:val="clear" w:pos="2381"/>
          <w:tab w:val="clear" w:pos="2948"/>
          <w:tab w:val="clear" w:pos="3515"/>
        </w:tabs>
        <w:spacing w:after="120"/>
        <w:ind w:left="1247"/>
        <w:rPr>
          <w:lang w:val="ru-RU"/>
        </w:rPr>
      </w:pPr>
      <w:r w:rsidRPr="00913729">
        <w:rPr>
          <w:lang w:val="ru-RU"/>
        </w:rPr>
        <w:t xml:space="preserve">В ходе сегмента </w:t>
      </w:r>
      <w:r w:rsidRPr="007B70A8">
        <w:rPr>
          <w:lang w:val="ru-RU"/>
        </w:rPr>
        <w:t xml:space="preserve">высокого уровня с заявлениями выступили главы делегаций или их представители от следующих Сторон: </w:t>
      </w:r>
      <w:r w:rsidR="00913729" w:rsidRPr="007B70A8">
        <w:rPr>
          <w:lang w:val="ru-RU"/>
        </w:rPr>
        <w:t>Азербайджан,</w:t>
      </w:r>
      <w:r w:rsidR="007B70A8" w:rsidRPr="007B70A8">
        <w:rPr>
          <w:lang w:val="ru-RU"/>
        </w:rPr>
        <w:t xml:space="preserve"> </w:t>
      </w:r>
      <w:r w:rsidR="00913729" w:rsidRPr="007B70A8">
        <w:rPr>
          <w:lang w:val="ru-RU"/>
        </w:rPr>
        <w:t>Ангола,</w:t>
      </w:r>
      <w:r w:rsidR="007B70A8" w:rsidRPr="007B70A8">
        <w:rPr>
          <w:lang w:val="ru-RU"/>
        </w:rPr>
        <w:t xml:space="preserve"> </w:t>
      </w:r>
      <w:r w:rsidR="00913729" w:rsidRPr="007B70A8">
        <w:rPr>
          <w:lang w:val="ru-RU"/>
        </w:rPr>
        <w:t>Бангладеш,</w:t>
      </w:r>
      <w:r w:rsidR="007B70A8" w:rsidRPr="007B70A8">
        <w:rPr>
          <w:lang w:val="ru-RU"/>
        </w:rPr>
        <w:t xml:space="preserve"> </w:t>
      </w:r>
      <w:r w:rsidR="00913729" w:rsidRPr="007B70A8">
        <w:rPr>
          <w:lang w:val="ru-RU"/>
        </w:rPr>
        <w:t>Барбадос,</w:t>
      </w:r>
      <w:r w:rsidR="007B70A8" w:rsidRPr="007B70A8">
        <w:rPr>
          <w:lang w:val="ru-RU"/>
        </w:rPr>
        <w:t xml:space="preserve"> </w:t>
      </w:r>
      <w:r w:rsidR="00913729" w:rsidRPr="007B70A8">
        <w:rPr>
          <w:lang w:val="ru-RU"/>
        </w:rPr>
        <w:t>Босния и Герцеговина,</w:t>
      </w:r>
      <w:r w:rsidR="007B70A8" w:rsidRPr="007B70A8">
        <w:rPr>
          <w:lang w:val="ru-RU"/>
        </w:rPr>
        <w:t xml:space="preserve"> </w:t>
      </w:r>
      <w:r w:rsidR="00913729" w:rsidRPr="007B70A8">
        <w:rPr>
          <w:lang w:val="ru-RU"/>
        </w:rPr>
        <w:t>Бразилия,</w:t>
      </w:r>
      <w:r w:rsidR="007B70A8" w:rsidRPr="007B70A8">
        <w:rPr>
          <w:lang w:val="ru-RU"/>
        </w:rPr>
        <w:t xml:space="preserve"> </w:t>
      </w:r>
      <w:r w:rsidR="00913729" w:rsidRPr="007B70A8">
        <w:rPr>
          <w:lang w:val="ru-RU"/>
        </w:rPr>
        <w:t>Бурунди,</w:t>
      </w:r>
      <w:r w:rsidR="007B70A8" w:rsidRPr="007B70A8">
        <w:rPr>
          <w:lang w:val="ru-RU"/>
        </w:rPr>
        <w:t xml:space="preserve"> </w:t>
      </w:r>
      <w:r w:rsidR="00913729" w:rsidRPr="007B70A8">
        <w:rPr>
          <w:lang w:val="ru-RU"/>
        </w:rPr>
        <w:t>Вьетнам,</w:t>
      </w:r>
      <w:r w:rsidR="007B70A8" w:rsidRPr="007B70A8">
        <w:rPr>
          <w:lang w:val="ru-RU"/>
        </w:rPr>
        <w:t xml:space="preserve"> </w:t>
      </w:r>
      <w:r w:rsidR="00913729" w:rsidRPr="007B70A8">
        <w:rPr>
          <w:lang w:val="ru-RU"/>
        </w:rPr>
        <w:t>Гамбия,</w:t>
      </w:r>
      <w:r w:rsidR="007B70A8" w:rsidRPr="007B70A8">
        <w:rPr>
          <w:lang w:val="ru-RU"/>
        </w:rPr>
        <w:t xml:space="preserve"> </w:t>
      </w:r>
      <w:r w:rsidR="00913729" w:rsidRPr="007B70A8">
        <w:rPr>
          <w:lang w:val="ru-RU"/>
        </w:rPr>
        <w:t>Европейский союз,</w:t>
      </w:r>
      <w:r w:rsidR="007B70A8" w:rsidRPr="007B70A8">
        <w:rPr>
          <w:lang w:val="ru-RU"/>
        </w:rPr>
        <w:t xml:space="preserve"> </w:t>
      </w:r>
      <w:r w:rsidR="00913729" w:rsidRPr="007B70A8">
        <w:rPr>
          <w:lang w:val="ru-RU"/>
        </w:rPr>
        <w:t>Индия,</w:t>
      </w:r>
      <w:r w:rsidR="007B70A8" w:rsidRPr="007B70A8">
        <w:rPr>
          <w:lang w:val="ru-RU"/>
        </w:rPr>
        <w:t xml:space="preserve"> </w:t>
      </w:r>
      <w:r w:rsidR="00913729" w:rsidRPr="007B70A8">
        <w:rPr>
          <w:lang w:val="ru-RU"/>
        </w:rPr>
        <w:t>Индонезия,</w:t>
      </w:r>
      <w:r w:rsidR="007B70A8" w:rsidRPr="007B70A8">
        <w:rPr>
          <w:lang w:val="ru-RU"/>
        </w:rPr>
        <w:t xml:space="preserve"> </w:t>
      </w:r>
      <w:r w:rsidR="00913729" w:rsidRPr="007B70A8">
        <w:rPr>
          <w:lang w:val="ru-RU"/>
        </w:rPr>
        <w:t>Ирак,</w:t>
      </w:r>
      <w:r w:rsidR="007B70A8" w:rsidRPr="007B70A8">
        <w:rPr>
          <w:lang w:val="ru-RU"/>
        </w:rPr>
        <w:t xml:space="preserve"> </w:t>
      </w:r>
      <w:r w:rsidR="00913729" w:rsidRPr="007B70A8">
        <w:rPr>
          <w:lang w:val="ru-RU"/>
        </w:rPr>
        <w:t>Исламская Республика Иран,</w:t>
      </w:r>
      <w:r w:rsidR="007B70A8" w:rsidRPr="007B70A8">
        <w:rPr>
          <w:lang w:val="ru-RU"/>
        </w:rPr>
        <w:t xml:space="preserve"> </w:t>
      </w:r>
      <w:r w:rsidR="00913729" w:rsidRPr="007B70A8">
        <w:rPr>
          <w:lang w:val="ru-RU"/>
        </w:rPr>
        <w:t>Йемен.</w:t>
      </w:r>
      <w:r w:rsidR="007B70A8" w:rsidRPr="007B70A8">
        <w:rPr>
          <w:lang w:val="ru-RU"/>
        </w:rPr>
        <w:t xml:space="preserve"> </w:t>
      </w:r>
      <w:r w:rsidR="00913729" w:rsidRPr="007B70A8">
        <w:rPr>
          <w:lang w:val="ru-RU"/>
        </w:rPr>
        <w:t>Камбоджа,</w:t>
      </w:r>
      <w:r w:rsidR="007B70A8" w:rsidRPr="007B70A8">
        <w:rPr>
          <w:lang w:val="ru-RU"/>
        </w:rPr>
        <w:t xml:space="preserve"> </w:t>
      </w:r>
      <w:r w:rsidR="00913729" w:rsidRPr="007B70A8">
        <w:rPr>
          <w:lang w:val="ru-RU"/>
        </w:rPr>
        <w:t>Катар,</w:t>
      </w:r>
      <w:r w:rsidR="007B70A8" w:rsidRPr="007B70A8">
        <w:rPr>
          <w:lang w:val="ru-RU"/>
        </w:rPr>
        <w:t xml:space="preserve"> </w:t>
      </w:r>
      <w:r w:rsidR="00913729" w:rsidRPr="007B70A8">
        <w:rPr>
          <w:lang w:val="ru-RU"/>
        </w:rPr>
        <w:t>Китай,</w:t>
      </w:r>
      <w:r w:rsidR="007B70A8" w:rsidRPr="007B70A8">
        <w:rPr>
          <w:lang w:val="ru-RU"/>
        </w:rPr>
        <w:t xml:space="preserve"> </w:t>
      </w:r>
      <w:r w:rsidR="00913729" w:rsidRPr="007B70A8">
        <w:rPr>
          <w:lang w:val="ru-RU"/>
        </w:rPr>
        <w:t>Колумбия,</w:t>
      </w:r>
      <w:r w:rsidR="007B70A8" w:rsidRPr="007B70A8">
        <w:rPr>
          <w:lang w:val="ru-RU"/>
        </w:rPr>
        <w:t xml:space="preserve"> </w:t>
      </w:r>
      <w:r w:rsidR="00913729" w:rsidRPr="007B70A8">
        <w:rPr>
          <w:lang w:val="ru-RU"/>
        </w:rPr>
        <w:t>Коморские Острова,</w:t>
      </w:r>
      <w:r w:rsidR="007B70A8" w:rsidRPr="007B70A8">
        <w:rPr>
          <w:lang w:val="ru-RU"/>
        </w:rPr>
        <w:t xml:space="preserve"> </w:t>
      </w:r>
      <w:r w:rsidR="00913729" w:rsidRPr="007B70A8">
        <w:rPr>
          <w:lang w:val="ru-RU"/>
        </w:rPr>
        <w:t>Коста</w:t>
      </w:r>
      <w:r w:rsidR="00913729" w:rsidRPr="00422FE2">
        <w:rPr>
          <w:lang w:val="ru-RU"/>
        </w:rPr>
        <w:noBreakHyphen/>
      </w:r>
      <w:r w:rsidR="00913729" w:rsidRPr="007B70A8">
        <w:rPr>
          <w:lang w:val="ru-RU"/>
        </w:rPr>
        <w:t>Рика,</w:t>
      </w:r>
      <w:r w:rsidR="007B70A8" w:rsidRPr="007B70A8">
        <w:rPr>
          <w:lang w:val="ru-RU"/>
        </w:rPr>
        <w:t xml:space="preserve"> </w:t>
      </w:r>
      <w:r w:rsidR="00913729" w:rsidRPr="007B70A8">
        <w:rPr>
          <w:lang w:val="ru-RU"/>
        </w:rPr>
        <w:t>Куба,</w:t>
      </w:r>
      <w:r w:rsidR="007B70A8" w:rsidRPr="007B70A8">
        <w:rPr>
          <w:lang w:val="ru-RU"/>
        </w:rPr>
        <w:t xml:space="preserve"> </w:t>
      </w:r>
      <w:r w:rsidR="00913729" w:rsidRPr="007B70A8">
        <w:rPr>
          <w:lang w:val="ru-RU"/>
        </w:rPr>
        <w:t>Маврикий,</w:t>
      </w:r>
      <w:r w:rsidR="007B70A8" w:rsidRPr="007B70A8">
        <w:rPr>
          <w:lang w:val="ru-RU"/>
        </w:rPr>
        <w:t xml:space="preserve"> </w:t>
      </w:r>
      <w:r w:rsidR="00913729" w:rsidRPr="007B70A8">
        <w:rPr>
          <w:lang w:val="ru-RU"/>
        </w:rPr>
        <w:t>Малайзия,</w:t>
      </w:r>
      <w:r w:rsidR="007B70A8" w:rsidRPr="007B70A8">
        <w:rPr>
          <w:lang w:val="ru-RU"/>
        </w:rPr>
        <w:t xml:space="preserve"> </w:t>
      </w:r>
      <w:r w:rsidR="00913729" w:rsidRPr="007B70A8">
        <w:rPr>
          <w:lang w:val="ru-RU"/>
        </w:rPr>
        <w:t>Мальдивы,</w:t>
      </w:r>
      <w:r w:rsidR="007B70A8" w:rsidRPr="007B70A8">
        <w:rPr>
          <w:lang w:val="ru-RU"/>
        </w:rPr>
        <w:t xml:space="preserve"> </w:t>
      </w:r>
      <w:r w:rsidR="00913729" w:rsidRPr="007B70A8">
        <w:rPr>
          <w:lang w:val="ru-RU"/>
        </w:rPr>
        <w:t>Мексика,</w:t>
      </w:r>
      <w:r w:rsidR="007B70A8" w:rsidRPr="007B70A8">
        <w:rPr>
          <w:lang w:val="ru-RU"/>
        </w:rPr>
        <w:t xml:space="preserve"> </w:t>
      </w:r>
      <w:r w:rsidR="00913729" w:rsidRPr="007B70A8">
        <w:rPr>
          <w:lang w:val="ru-RU"/>
        </w:rPr>
        <w:t>Мозамбик,</w:t>
      </w:r>
      <w:r w:rsidR="007B70A8" w:rsidRPr="007B70A8">
        <w:rPr>
          <w:lang w:val="ru-RU"/>
        </w:rPr>
        <w:t xml:space="preserve"> </w:t>
      </w:r>
      <w:r w:rsidR="00913729" w:rsidRPr="007B70A8">
        <w:rPr>
          <w:lang w:val="ru-RU"/>
        </w:rPr>
        <w:t>Мьянма,</w:t>
      </w:r>
      <w:r w:rsidR="007B70A8" w:rsidRPr="007B70A8">
        <w:rPr>
          <w:lang w:val="ru-RU"/>
        </w:rPr>
        <w:t xml:space="preserve"> </w:t>
      </w:r>
      <w:r w:rsidR="00913729" w:rsidRPr="007B70A8">
        <w:rPr>
          <w:lang w:val="ru-RU"/>
        </w:rPr>
        <w:t>Нигерия,</w:t>
      </w:r>
      <w:r w:rsidR="007B70A8" w:rsidRPr="007B70A8">
        <w:rPr>
          <w:lang w:val="ru-RU"/>
        </w:rPr>
        <w:t xml:space="preserve"> </w:t>
      </w:r>
      <w:r w:rsidR="00913729" w:rsidRPr="007B70A8">
        <w:rPr>
          <w:lang w:val="ru-RU"/>
        </w:rPr>
        <w:t>Перу,</w:t>
      </w:r>
      <w:r w:rsidR="007B70A8" w:rsidRPr="007B70A8">
        <w:rPr>
          <w:lang w:val="ru-RU"/>
        </w:rPr>
        <w:t xml:space="preserve"> </w:t>
      </w:r>
      <w:r w:rsidR="00913729" w:rsidRPr="007B70A8">
        <w:rPr>
          <w:lang w:val="ru-RU"/>
        </w:rPr>
        <w:t>Саудовская Аравия,</w:t>
      </w:r>
      <w:r w:rsidR="007B70A8" w:rsidRPr="007B70A8">
        <w:rPr>
          <w:lang w:val="ru-RU"/>
        </w:rPr>
        <w:t xml:space="preserve"> </w:t>
      </w:r>
      <w:r w:rsidR="00913729" w:rsidRPr="007B70A8">
        <w:rPr>
          <w:lang w:val="ru-RU"/>
        </w:rPr>
        <w:t>Сенегал от имени Африканской группы переговорщиков по озону,</w:t>
      </w:r>
      <w:r w:rsidR="007B70A8" w:rsidRPr="007B70A8">
        <w:rPr>
          <w:lang w:val="ru-RU"/>
        </w:rPr>
        <w:t xml:space="preserve"> </w:t>
      </w:r>
      <w:r w:rsidR="00913729" w:rsidRPr="007B70A8">
        <w:rPr>
          <w:lang w:val="ru-RU"/>
        </w:rPr>
        <w:t>Тунис,</w:t>
      </w:r>
      <w:r w:rsidR="007B70A8" w:rsidRPr="007B70A8">
        <w:rPr>
          <w:lang w:val="ru-RU"/>
        </w:rPr>
        <w:t xml:space="preserve"> </w:t>
      </w:r>
      <w:r w:rsidR="00913729" w:rsidRPr="007B70A8">
        <w:rPr>
          <w:lang w:val="ru-RU"/>
        </w:rPr>
        <w:t>Турция,</w:t>
      </w:r>
      <w:r w:rsidR="007B70A8" w:rsidRPr="007B70A8">
        <w:rPr>
          <w:lang w:val="ru-RU"/>
        </w:rPr>
        <w:t xml:space="preserve"> </w:t>
      </w:r>
      <w:r w:rsidR="00913729" w:rsidRPr="007B70A8">
        <w:rPr>
          <w:lang w:val="ru-RU"/>
        </w:rPr>
        <w:t>Уганда,</w:t>
      </w:r>
      <w:r w:rsidR="007B70A8" w:rsidRPr="007B70A8">
        <w:rPr>
          <w:lang w:val="ru-RU"/>
        </w:rPr>
        <w:t xml:space="preserve"> </w:t>
      </w:r>
      <w:r w:rsidR="00913729" w:rsidRPr="007B70A8">
        <w:rPr>
          <w:lang w:val="ru-RU"/>
        </w:rPr>
        <w:t>Фиджи,</w:t>
      </w:r>
      <w:r w:rsidR="007B70A8" w:rsidRPr="007B70A8">
        <w:rPr>
          <w:lang w:val="ru-RU"/>
        </w:rPr>
        <w:t xml:space="preserve"> </w:t>
      </w:r>
      <w:r w:rsidR="00913729" w:rsidRPr="007B70A8">
        <w:rPr>
          <w:lang w:val="ru-RU"/>
        </w:rPr>
        <w:t>Филиппины,</w:t>
      </w:r>
      <w:r w:rsidR="007B70A8" w:rsidRPr="007B70A8">
        <w:rPr>
          <w:lang w:val="ru-RU"/>
        </w:rPr>
        <w:t xml:space="preserve"> </w:t>
      </w:r>
      <w:r w:rsidR="00913729" w:rsidRPr="007B70A8">
        <w:rPr>
          <w:lang w:val="ru-RU"/>
        </w:rPr>
        <w:t>Шри-Ланка</w:t>
      </w:r>
      <w:r w:rsidR="007B70A8" w:rsidRPr="007B70A8">
        <w:rPr>
          <w:lang w:val="ru-RU"/>
        </w:rPr>
        <w:t xml:space="preserve"> и </w:t>
      </w:r>
      <w:r w:rsidR="00913729" w:rsidRPr="007B70A8">
        <w:rPr>
          <w:lang w:val="ru-RU"/>
        </w:rPr>
        <w:t>Эквадор</w:t>
      </w:r>
      <w:r w:rsidR="007B70A8" w:rsidRPr="007B70A8">
        <w:rPr>
          <w:lang w:val="ru-RU"/>
        </w:rPr>
        <w:t xml:space="preserve">. </w:t>
      </w:r>
      <w:r w:rsidRPr="007B70A8">
        <w:rPr>
          <w:lang w:val="ru-RU"/>
        </w:rPr>
        <w:t>С заявлениями также выступили основная группа «Дети и молодежь» и Международный институт холода.</w:t>
      </w:r>
    </w:p>
    <w:p w14:paraId="2FD59811" w14:textId="77777777" w:rsidR="004572A1" w:rsidRPr="0052262F" w:rsidRDefault="004572A1" w:rsidP="0052262F">
      <w:pPr>
        <w:numPr>
          <w:ilvl w:val="0"/>
          <w:numId w:val="30"/>
        </w:numPr>
        <w:tabs>
          <w:tab w:val="clear" w:pos="624"/>
          <w:tab w:val="clear" w:pos="1247"/>
          <w:tab w:val="clear" w:pos="1814"/>
          <w:tab w:val="clear" w:pos="2381"/>
          <w:tab w:val="clear" w:pos="2948"/>
          <w:tab w:val="clear" w:pos="3515"/>
        </w:tabs>
        <w:spacing w:after="120"/>
        <w:ind w:left="1247"/>
        <w:rPr>
          <w:lang w:val="ru-RU"/>
        </w:rPr>
      </w:pPr>
      <w:r>
        <w:rPr>
          <w:lang w:val="ru-RU"/>
        </w:rPr>
        <w:t xml:space="preserve">Многие выступившие представители выразили признательность правительству и народу Кении за гостеприимство. Также была выражена признательность секретариату по озону и Бюро, секретариату и Исполнительному комитету Многостороннего фонда, ЮНЕП, учреждениям-исполнителям, партнерам-донорам, группам по оценке, международным организациям и другим заинтересованным сторонам за их роль в обеспечении успеха Совещания, в частности, и Монреальского протокола, в целом. </w:t>
      </w:r>
    </w:p>
    <w:p w14:paraId="30378717" w14:textId="3594A04E"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lastRenderedPageBreak/>
        <w:t>Несколько представителей указали на контекстуальную значимость Совещания, которое предоставило возможность проанализировать достигнутый прогресс, выявить нерешенные проблемы и подтвердить коллективную приверженность делу защиты озонового слоя и смягчения последствий изменения климата. Некоторые представители отметили, что в 2025</w:t>
      </w:r>
      <w:r w:rsidR="0052262F">
        <w:rPr>
          <w:lang w:val="en-US"/>
        </w:rPr>
        <w:t> </w:t>
      </w:r>
      <w:r>
        <w:rPr>
          <w:lang w:val="ru-RU"/>
        </w:rPr>
        <w:t>году исполняется 40 лет со дня принятия Венской конвенции, которая вместе с Монреальским протоколом заложила основу для последующего международного сотрудничества в области исследований, систематических наблюдений и научной оценки в целях решения проблемы истощения озонового слоя.</w:t>
      </w:r>
    </w:p>
    <w:p w14:paraId="5D4638B2" w14:textId="55420914"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Многие выступавшие отметили успехи Монреальского протокола и его Сторон в регулировании и поэтапном выводе из обращения озоноразрушающих веществ, что обеспечило огромную пользу для здоровья человека и окружающей среды. Монреальский протокол является важной вехой в многосторонней деятельности </w:t>
      </w:r>
      <w:r w:rsidR="0052262F" w:rsidRPr="00422FE2">
        <w:rPr>
          <w:lang w:val="ru-RU"/>
        </w:rPr>
        <w:t>–</w:t>
      </w:r>
      <w:r>
        <w:rPr>
          <w:lang w:val="ru-RU"/>
        </w:rPr>
        <w:t xml:space="preserve"> примером того, чего можно достичь, когда страны признают, что экологические проблемы выходят за пределы национальных границ, и объединяются во имя достижения этой общей цели. Эти успехи опираются на общее признание того, что наука и доверие к результатам научной работы являются основой эффективных действий. Одним из основных факторов, способствовавших этому достижению, служит деятельность Многостороннего фонда для осуществления Монреальского протокола, которая позволила многим странам принять необходимые меры на национальном уровне для вывода из обращения озоноразрушающих веществ</w:t>
      </w:r>
      <w:r w:rsidR="0052262F" w:rsidRPr="00422FE2">
        <w:rPr>
          <w:lang w:val="ru-RU"/>
        </w:rPr>
        <w:t>.</w:t>
      </w:r>
      <w:r>
        <w:rPr>
          <w:lang w:val="ru-RU"/>
        </w:rPr>
        <w:t xml:space="preserve"> Совсем недавно Кигалийская поправка к Монреальскому протоколу заняла свое место в качестве одного из столпов международного сотрудничества в области охраны окружающей среды. Как отметил один из представителей, истинная ценность Монреальского протокола заключается в том, что он продемонстрировал, что даже при различиях в экономических и политических реалиях страны могут достигать соглашений, разделять ответственность и выполнять свои обязательства. Ряд представителей сослались на принцип общей, но дифференцированной ответственности, который создал справедливую и эффективную правовую и институциональную основу для обеспечения соблюдения и оказания технической и финансовой поддержки.</w:t>
      </w:r>
    </w:p>
    <w:p w14:paraId="69F9FF78"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Несколько представителей вновь заявили о приверженности целям этих документов и принципам, лежащим в их основе: наука как основа для принятия решений, справедливость как движущая сила действий, сотрудничество как предпосылка успеха и основанный на консенсусе подход к достижению согласия.</w:t>
      </w:r>
    </w:p>
    <w:p w14:paraId="36CA93A2" w14:textId="45B7002E"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Несмотря на эти впечатляющие достижения, некоторые проблемы – как нынешние, так и будущие – будут и в дальнейшем проверять на прочность «озоновое сообщество». К ним относятся неопределенность в отношении доступности на рынке и стоимости альтернативных веществ и технологий; наличие средств для содействия осуществлению Монреальского протокола; недостаточное </w:t>
      </w:r>
      <w:r w:rsidR="000D2E9C">
        <w:rPr>
          <w:lang w:val="ru-RU"/>
        </w:rPr>
        <w:t xml:space="preserve">создание </w:t>
      </w:r>
      <w:r>
        <w:rPr>
          <w:lang w:val="ru-RU"/>
        </w:rPr>
        <w:t>потенциала и обучение на различных уровнях управления; недостаточна</w:t>
      </w:r>
      <w:r w:rsidR="00F83D27">
        <w:rPr>
          <w:lang w:val="ru-RU"/>
        </w:rPr>
        <w:t>я</w:t>
      </w:r>
      <w:r>
        <w:rPr>
          <w:lang w:val="ru-RU"/>
        </w:rPr>
        <w:t xml:space="preserve"> вовлеченность широкого круга заинтересованных сторон; </w:t>
      </w:r>
      <w:r w:rsidR="000D2E9C">
        <w:rPr>
          <w:lang w:val="ru-RU"/>
        </w:rPr>
        <w:t xml:space="preserve">увеличение фондов </w:t>
      </w:r>
      <w:r>
        <w:rPr>
          <w:lang w:val="ru-RU"/>
        </w:rPr>
        <w:t>отработанных озоноразрушающих веществ, требующих утилизации; а также влияние вооруженных конфликтов и сложной геополитической обстановки.</w:t>
      </w:r>
    </w:p>
    <w:p w14:paraId="148E7D0E"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Одна из серьезных проблем связана с необъяснимыми расхождениями между данными, полученные методом разукрупнения, и фактическими глобальными уровнями определенных регулируемых веществ. В этой связи, согласно данным атмосферного мониторинга, фактические выбросы ГФУ-23, являющегося побочным продуктом производства ГХФУ-22, обладающего чрезвычайно высоким потенциалом глобального потепления, значительно превышают заявленные выбросы, что представляет собой глобальную загадку, требующую неотложного решения. Такие аномалии и события указывают на настоятельную необходимость принятия мер по расширению глобального охвата атмосферного мониторинга путем создания дополнительных станций в приоритетных местах для выявления потребностей и пробелов, которые необходимо устранить, а также для проверки воздействия принятых мер на озоновый слой. Представитель Бангладеш заявил, что его страна гордится тем, что на острове Бхола расположена станция мониторинга атмосферы, которая предоставила ценные данные для улучшения глобальных наблюдений за атмосферой и укрепления научной базы, лежащей в основе стратегических решений, принимаемых в рамках Монреальского протокола.  </w:t>
      </w:r>
    </w:p>
    <w:p w14:paraId="39603556"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Другие возникающие проблемы касаются ПФАВ, производство и выбросы которых связаны с исходными сырьевыми материалами и прекурсорами, используемыми в производстве фторированных веществ, а также с продолжающимся использованием галона 1301 в авиационной промышленности. </w:t>
      </w:r>
    </w:p>
    <w:p w14:paraId="3AEB075F"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Что касается организационной структуры Монреальского протокола, то по-прежнему важно укреплять институты Протокола для обеспечения постоянного соблюдения его </w:t>
      </w:r>
      <w:r>
        <w:rPr>
          <w:lang w:val="ru-RU"/>
        </w:rPr>
        <w:lastRenderedPageBreak/>
        <w:t>положений и реагирования на быстро меняющуюся глобальную институциональную среду. Рост масштабов незаконной торговли является проблемой, требующей повышенной бдительности, что подчеркивает необходимость продолжения обмена информацией, передовой практикой и накопленным опытом между Сторонами в целях совершенствования систем лицензирования, проверки и представления данных.</w:t>
      </w:r>
    </w:p>
    <w:p w14:paraId="6586AD43"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При решении всех этих задач Монреальский протокол должен учитывать особые потребности и нужды отдельных групп уязвимых стран, включая малые островные развивающиеся государства и страны с низким и очень низким уровнем потребления.</w:t>
      </w:r>
    </w:p>
    <w:p w14:paraId="7AB1D6CD" w14:textId="64F4007D"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Важную роль в успешном осуществлении Монреальского протокола по-прежнему играют финансирование и другая помощь, особенно в связи с тем, что развивающиеся страны сталкиваются с финансовыми трудностями, технологическими ограничениями и растущим социальным давлением в плане поддержания экономического роста и интеграции. Несколько стран упомянули о необходимости дальнейшей технической и финансовой помощи, включая передачу технологий, для содействия </w:t>
      </w:r>
      <w:r w:rsidR="007D732F">
        <w:rPr>
          <w:lang w:val="ru-RU"/>
        </w:rPr>
        <w:t>организационному строительству</w:t>
      </w:r>
      <w:r>
        <w:rPr>
          <w:lang w:val="ru-RU"/>
        </w:rPr>
        <w:t xml:space="preserve">, </w:t>
      </w:r>
      <w:r w:rsidR="007D732F">
        <w:rPr>
          <w:lang w:val="ru-RU"/>
        </w:rPr>
        <w:t xml:space="preserve">созданию </w:t>
      </w:r>
      <w:r>
        <w:rPr>
          <w:lang w:val="ru-RU"/>
        </w:rPr>
        <w:t>потенциала и обучению в области техники безопасности, а также для решения возникающих проблем, таких как ПФАВ, легковоспламеняющиеся хладагенты и растущий спрос на охлаждение в центрах обработки данных. Среди других приоритетных направлений финансирования были названы энергоэффективность, учет гендерных аспектов, рациональное регулирование достигших предельного состояния веществ и цифровизация в сфере обслуживания. Была выражена озабоченность в связи с высокой стоимостью имеющихся в настоящее время альтернативных технологий, особенно в секторах систем кондиционирования воздуха и холодильного оборудования, что сказывается на национальных экономиках. Для решения этой проблемы требуется более значительная техническая и финансовая поддержка, в том числе со стороны Многостороннего фонда. Некоторые представители заявили, что такая поддержка должна оказываться справедливо и беспристрастно, без политической предвзятости.</w:t>
      </w:r>
    </w:p>
    <w:p w14:paraId="138A7328" w14:textId="69AE6C16"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Многосторонний фонд остается центральным и важнейшим механизмом, который позволяет развивающимся странам справляться со сложными проблемами и соблюдать графики </w:t>
      </w:r>
      <w:r w:rsidR="00400776">
        <w:rPr>
          <w:lang w:val="ru-RU"/>
        </w:rPr>
        <w:t xml:space="preserve">прекращения </w:t>
      </w:r>
      <w:r w:rsidR="000F5BF4">
        <w:rPr>
          <w:lang w:val="ru-RU"/>
        </w:rPr>
        <w:t>производства и потребления</w:t>
      </w:r>
      <w:r>
        <w:rPr>
          <w:lang w:val="ru-RU"/>
        </w:rPr>
        <w:t xml:space="preserve"> и </w:t>
      </w:r>
      <w:r w:rsidR="00F16E9C">
        <w:rPr>
          <w:lang w:val="ru-RU"/>
        </w:rPr>
        <w:t xml:space="preserve">поэтапного </w:t>
      </w:r>
      <w:r>
        <w:rPr>
          <w:lang w:val="ru-RU"/>
        </w:rPr>
        <w:t xml:space="preserve">сокращения </w:t>
      </w:r>
      <w:r w:rsidR="00FE0A64">
        <w:rPr>
          <w:lang w:val="ru-RU"/>
        </w:rPr>
        <w:t xml:space="preserve">оборота </w:t>
      </w:r>
      <w:r>
        <w:rPr>
          <w:lang w:val="ru-RU"/>
        </w:rPr>
        <w:t xml:space="preserve">веществ, предусмотренные Монреальским протоколом и Кигалийской поправкой, а также является платформой для инноваций, укрепления потенциала и общего прогресса. Однако, несмотря на то что Многосторонний фонд служит примером эффективного сотрудничества, его необходимо укрепить для решения проблем, стоящих перед ним на новых этапах. Для расширения масштабов деятельности и обеспечения того, чтобы ни одна страна не осталась в стороне, необходимы более гибкие, предсказуемые и устойчивые механизмы финансирования. </w:t>
      </w:r>
    </w:p>
    <w:p w14:paraId="41708299"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Поэтому обсуждения на текущем Совещании технического задания для исследования по вопросу о пополнении средств Монреальского протокола на 2027–2029 годы имеют огромное значение. Для обеспечения долгосрочной жизнеспособности Монреальского протокола крайне важно продолжать осуществлять деятельность и стратегии, направленные на соблюдение требований, связанных с поэтапным сокращением использования ГФУ, включая разработку решений с использованием природных хладагентов. Уровень пополнения должен отражать реальные проблемы, с которыми сталкиваются развивающиеся страны, в том числе страны с небольшими рынками и низким уровнем потребления, для которых потребности сектора услуг, передача технологий, техническая подготовка, проверка данных и корректировка нормативных положений являются значительным бременем. </w:t>
      </w:r>
    </w:p>
    <w:p w14:paraId="144F02D9" w14:textId="233FFD8C"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Несколько представителей рассказали о мерах, которые продолжают приниматься в их странах при содействии Многостороннего фонда и учреждений-исполнителей по обеспечению </w:t>
      </w:r>
      <w:r w:rsidR="000F5BF4" w:rsidRPr="00422FE2">
        <w:rPr>
          <w:lang w:val="ru-RU"/>
        </w:rPr>
        <w:t>прекращения производства и потребления</w:t>
      </w:r>
      <w:r w:rsidRPr="00422FE2">
        <w:rPr>
          <w:lang w:val="ru-RU"/>
        </w:rPr>
        <w:t xml:space="preserve"> </w:t>
      </w:r>
      <w:r w:rsidRPr="001602CD">
        <w:rPr>
          <w:lang w:val="ru-RU"/>
        </w:rPr>
        <w:t xml:space="preserve">озоноразрушающих </w:t>
      </w:r>
      <w:r>
        <w:rPr>
          <w:lang w:val="ru-RU"/>
        </w:rPr>
        <w:t>веществ, осуществления различных этапов их планов по регулированию поэтапного вывода из обращения ГХФУ и достижения соответствия положениям Монреальского протокола, в том числе с помощью законодательных, политических, организационных и программных мер. Был изложен широкий спектр мероприятий, включая запрет на импорт и использование кондиционеров воздуха на основе ГХФУ; укрепление институциональной и нормативной базы посредством сотрудничества с ключевыми учреждениями; программы обучения и сертификации для технических специалистов, таможенников, сотрудников правоохранительных органов и заинтересованных сторон в отраслях промышленности; проведение информационно</w:t>
      </w:r>
      <w:r w:rsidR="00377B8C" w:rsidRPr="001A1308">
        <w:rPr>
          <w:lang w:val="ru-RU"/>
        </w:rPr>
        <w:noBreakHyphen/>
      </w:r>
      <w:r>
        <w:rPr>
          <w:lang w:val="ru-RU"/>
        </w:rPr>
        <w:t xml:space="preserve">просветительских кампаний среди школьников и широкой общественности; разработка онлайн-системы лицензирования и управления квотами на импорт и экспорт регулируемых веществ; присвоение таможенных классификаций регулируемым веществам при содействии секретариата по озону и Всемирной таможенной организации; и создание </w:t>
      </w:r>
      <w:r>
        <w:rPr>
          <w:lang w:val="ru-RU"/>
        </w:rPr>
        <w:lastRenderedPageBreak/>
        <w:t xml:space="preserve">интерактивной группы с обновленными данными об использовании ГХФУ и ГФУ для повышения эффективности и </w:t>
      </w:r>
      <w:r w:rsidR="00597132">
        <w:rPr>
          <w:lang w:val="ru-RU"/>
        </w:rPr>
        <w:t>транспарентности</w:t>
      </w:r>
      <w:r>
        <w:rPr>
          <w:lang w:val="ru-RU"/>
        </w:rPr>
        <w:t xml:space="preserve"> управления.</w:t>
      </w:r>
    </w:p>
    <w:p w14:paraId="362CFB73" w14:textId="2C6D0C4D"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Что касается Кигалийской поправки, то несколько представителей заявили, что их страны уже ратифицировали эту поправку или находятся в процессе ее ратификации, признавая ее значение для будущей работы в рамках Монреальского протокола и решающую роль в глобальных усилиях по борьбе с изменением климата путем сокращения выбросов парниковых газов. Ряд</w:t>
      </w:r>
      <w:r w:rsidR="00CA742C">
        <w:rPr>
          <w:lang w:val="ru-RU"/>
        </w:rPr>
        <w:t>ом</w:t>
      </w:r>
      <w:r>
        <w:rPr>
          <w:lang w:val="ru-RU"/>
        </w:rPr>
        <w:t xml:space="preserve"> стран предпринимают</w:t>
      </w:r>
      <w:r w:rsidR="00CA742C">
        <w:rPr>
          <w:lang w:val="ru-RU"/>
        </w:rPr>
        <w:t>ся</w:t>
      </w:r>
      <w:r>
        <w:rPr>
          <w:lang w:val="ru-RU"/>
        </w:rPr>
        <w:t xml:space="preserve"> соответствующие действия </w:t>
      </w:r>
      <w:r w:rsidR="00A4135D">
        <w:rPr>
          <w:lang w:val="ru-RU"/>
        </w:rPr>
        <w:t>согласно</w:t>
      </w:r>
      <w:r>
        <w:rPr>
          <w:lang w:val="ru-RU"/>
        </w:rPr>
        <w:t xml:space="preserve"> </w:t>
      </w:r>
      <w:r w:rsidR="00422FE2">
        <w:rPr>
          <w:lang w:val="ru-RU"/>
        </w:rPr>
        <w:t>их</w:t>
      </w:r>
      <w:r>
        <w:rPr>
          <w:lang w:val="ru-RU"/>
        </w:rPr>
        <w:t xml:space="preserve"> обязательствам в рамках Кигалийской поправк</w:t>
      </w:r>
      <w:r w:rsidR="00597132">
        <w:rPr>
          <w:lang w:val="ru-RU"/>
        </w:rPr>
        <w:t>и</w:t>
      </w:r>
      <w:r>
        <w:rPr>
          <w:lang w:val="ru-RU"/>
        </w:rPr>
        <w:t>, включая сбор данных для установления базового уровня потребления ГФУ и разработку планов поэтапного сокращения ГФУ. Несколько представителей заявили, что их страны представили свои определяемые на национальном уровне вклады в рамках Парижского соглашения об изменении климата.</w:t>
      </w:r>
    </w:p>
    <w:p w14:paraId="76B74297" w14:textId="2C12F5A5"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Один представитель отметил парадокс, заключающийся в том, что глобальное потепление привело к росту спроса на системы охлаждения во всем мире, однако именно этот спрос может привести к дальнейшему усилению потепления за счет выбросов парниковых газов, таких как ГФУ. Решение двойственной задачи – удовлетворение спроса на охлаждение и выполнение обязательств по защите климата и озонового слоя – требует тонкого баланса. В этой связи од</w:t>
      </w:r>
      <w:r w:rsidR="00AD4388">
        <w:rPr>
          <w:lang w:val="ru-RU"/>
        </w:rPr>
        <w:t>и</w:t>
      </w:r>
      <w:r>
        <w:rPr>
          <w:lang w:val="ru-RU"/>
        </w:rPr>
        <w:t>н из представителей заявила, что ее страна рассматривает осуществление Кигалийской поправки как возможность для принятия сбалансированного подхода, позволяющего выполнить обязательства по Монреальскому протоколу и климату и одновременно способствующего устойчивому росту.</w:t>
      </w:r>
    </w:p>
    <w:p w14:paraId="6F82968F" w14:textId="03917282"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Несколько представителей рассказали о шагах, предпринятых их странами для решения этой двойственной проблемы, в том числе посредством стратегических, политических и законодательных мер. Такие шаги включали формирование государственно-частных партнерств; создание центров по сбору и регенерации хладагентов; содействие технологическому переходу промышленности на использование природных хладагентов и альтернативных веществ, не наносящих ущерба климату; принятие законодательства, направленного на достижение нулевых выбросов и </w:t>
      </w:r>
      <w:r w:rsidR="003F1E26">
        <w:rPr>
          <w:lang w:val="ru-RU"/>
        </w:rPr>
        <w:t>«</w:t>
      </w:r>
      <w:r>
        <w:rPr>
          <w:lang w:val="ru-RU"/>
        </w:rPr>
        <w:t>зеленое</w:t>
      </w:r>
      <w:r w:rsidR="003F1E26">
        <w:rPr>
          <w:lang w:val="ru-RU"/>
        </w:rPr>
        <w:t>»</w:t>
      </w:r>
      <w:r>
        <w:rPr>
          <w:lang w:val="ru-RU"/>
        </w:rPr>
        <w:t xml:space="preserve"> развитие; принятие мер, способствующих финансированию и осуществлению действий в области климата, включая систему торговли квотами на выбросы и систему компенсации выбросов углерода и углеродных кредитов; разработка стратегий по смягчению последствий и адаптации; и разработка плана действий в области охлаждения для устойчивого удовлетворения национальных потребностей в охлаждении. Одним из основных факторов является энергоэффективность, обеспечиваемая, в том числе, посредством сертификации и использования высокоэффективных технологий с низким потенциалом глобального потепления; осуществления программ профессиональной подготовки и создания национальной системы сертификации технических специалистов и поставщиков услуг в области холодильного оборудования и систем кондиционирования воздуха; создания центров передового опыта; внедрения или обновлени</w:t>
      </w:r>
      <w:r w:rsidR="009E4FA6">
        <w:rPr>
          <w:lang w:val="ru-RU"/>
        </w:rPr>
        <w:t>я</w:t>
      </w:r>
      <w:r>
        <w:rPr>
          <w:lang w:val="ru-RU"/>
        </w:rPr>
        <w:t xml:space="preserve"> минимальных стандартов энергоэффективности в координации с соответствующими национальными учреждениями; и создания системы маркировки электротехнических изделий, соответствующих этим стандартам.</w:t>
      </w:r>
    </w:p>
    <w:p w14:paraId="7FD6E7F4"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Однако успешному осуществлению Кигалийской поправки препятствуют несколько факторов. Вопрос охлаждения выходит за рамки базовой потребности в охлаждении; регулирование больших объемов хладагентов, срок службы которых истек, истощает ресурсы многих стран. Несколько представителей подчеркнули важность регулирования хладагентов на протяжении всего жизненного цикла, особенно в отношении хладагентов, выведенных из обращения и предназначенных для уничтожения. Один из представителей заявил, что стоящие в настоящее время задачи значительно отличаются от тех, которые решались в ходе поэтапного вывода из обращения озоноразрушающих веществ. Многие из новых альтернатив с низким потенциалом глобального потепления являются легковоспламеняющимися, токсичными или работают под высоким давлением, и с ними следует обращаться и регулировать их использование с осторожностью. Странам необходимо реализовывать долгосрочные стратегии устойчивого охлаждения, чтобы снизить зависимость от ГФУ. </w:t>
      </w:r>
    </w:p>
    <w:p w14:paraId="728D6D27" w14:textId="35B6B1FF"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Од</w:t>
      </w:r>
      <w:r w:rsidR="00483519">
        <w:rPr>
          <w:lang w:val="ru-RU"/>
        </w:rPr>
        <w:t>ин</w:t>
      </w:r>
      <w:r>
        <w:rPr>
          <w:lang w:val="ru-RU"/>
        </w:rPr>
        <w:t xml:space="preserve"> из представителей сообщила, что ее страна добилась прогресса в разработке национальных кадастров и осуществлении </w:t>
      </w:r>
      <w:r w:rsidR="00483519">
        <w:rPr>
          <w:lang w:val="ru-RU"/>
        </w:rPr>
        <w:t>экспериментальных</w:t>
      </w:r>
      <w:r>
        <w:rPr>
          <w:lang w:val="ru-RU"/>
        </w:rPr>
        <w:t xml:space="preserve"> программ по рекуперации, рециркуляции и экологически безопасной утилизации этих газов, и планирует разработать модель многооборотного регулирования хладагентов, позволяющую рекуперировать и регенерировать отработанные газы, уничтожать не подлежащие повторному использованию газы и интегрировать обученных технических специалистов в центры по рекуперации, рециркуляции и утилизации. Другой представитель упомянул о разработке национальных стандартов безопасности при обращении с легковоспламеняющимися и токсичными </w:t>
      </w:r>
      <w:r>
        <w:rPr>
          <w:lang w:val="ru-RU"/>
        </w:rPr>
        <w:lastRenderedPageBreak/>
        <w:t xml:space="preserve">хладагентами в целях содействия безопасному переходу на экологически безопасные альтернативы и подчеркнул важность поддержания целостности и качества хладагентов, имеющихся на рынке. Представитель одного наблюдателя заявила, что ее организация считает, что справедливый переход на новые холодильные технологии с обеспечением равного доступа для всех может быть осуществлен только на основе сотрудничества всех заинтересованных сторон в области холодильной техники и принятия политических решений, основанных на фактических данных и независимых и беспристрастных научных знаниях. </w:t>
      </w:r>
    </w:p>
    <w:p w14:paraId="36A17890" w14:textId="56C17D4A"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Ряд представителей заявили, что, хотя помощь, </w:t>
      </w:r>
      <w:r w:rsidR="003F1E26">
        <w:rPr>
          <w:lang w:val="ru-RU"/>
        </w:rPr>
        <w:t>предоставляемая</w:t>
      </w:r>
      <w:r>
        <w:rPr>
          <w:lang w:val="ru-RU"/>
        </w:rPr>
        <w:t xml:space="preserve"> Многосторонним фондом и учреждениями-исполнителями для осуществления мероприятий, связанных с Кигалийской поправкой, пользуется широким признанием и заслуживает высокой оценки, по</w:t>
      </w:r>
      <w:r w:rsidR="003F1E26">
        <w:rPr>
          <w:lang w:val="ru-RU"/>
        </w:rPr>
        <w:noBreakHyphen/>
      </w:r>
      <w:r>
        <w:rPr>
          <w:lang w:val="ru-RU"/>
        </w:rPr>
        <w:t xml:space="preserve">прежнему существует необходимость в усилении международной поддержки для ускорения осуществления и укрепления соблюдения. Помощь необходима в таких областях, как сбор данных, включая проведение исследований по исходным уровням ГФУ; техническая поддержка в идентификации хладагентов для предотвращения незаконной торговли хладагентами и появления подделок; инструменты и инфраструктура для регулирования хладагентов на протяжении их жизненного цикла и рационального использования хладагентов; и создание потенциала и оказание технической помощи в целях обеспечения соблюдения, подготовки технических специалистов и повышения осведомленности общественности. Страны с высокими температурами воздуха сталкиваются с особыми техническими и эксплуатационными трудностями при внедрении альтернатив, что требует международного сотрудничества и помощи в таких областях, как техническая и финансовая поддержка, создание потенциала и передача технологий, при этом обеспечивая устойчивость решений, взаимные выгоды и стабильность рынков и </w:t>
      </w:r>
      <w:r w:rsidR="00670812">
        <w:rPr>
          <w:lang w:val="ru-RU"/>
        </w:rPr>
        <w:t xml:space="preserve">производственно-сбытовых </w:t>
      </w:r>
      <w:r w:rsidR="009E3E4F">
        <w:rPr>
          <w:lang w:val="ru-RU"/>
        </w:rPr>
        <w:t>процессов</w:t>
      </w:r>
      <w:r>
        <w:rPr>
          <w:lang w:val="ru-RU"/>
        </w:rPr>
        <w:t xml:space="preserve">. </w:t>
      </w:r>
    </w:p>
    <w:p w14:paraId="6B9B0ED7" w14:textId="2AC883E0"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Представитель Африканской группы переговорщиков по озону объявил о создании этой группы, задача которой будет заключаться в том, чтобы обеспечить учет мнения Африки на </w:t>
      </w:r>
      <w:r w:rsidR="00D1271E">
        <w:rPr>
          <w:lang w:val="ru-RU"/>
        </w:rPr>
        <w:t xml:space="preserve">совещаниях </w:t>
      </w:r>
      <w:r>
        <w:rPr>
          <w:lang w:val="ru-RU"/>
        </w:rPr>
        <w:t>Сторон и усилить вклад стран Африки в осуществление и функционирование Монреальского протокола и его различных органов. Он заявил, что одним из итогов совещания африканских национальных должностных лиц по озоновому слою, состоявшегося в Дакаре 22</w:t>
      </w:r>
      <w:r w:rsidR="00810329">
        <w:rPr>
          <w:lang w:val="ru-RU"/>
        </w:rPr>
        <w:noBreakHyphen/>
      </w:r>
      <w:r>
        <w:rPr>
          <w:lang w:val="ru-RU"/>
        </w:rPr>
        <w:t xml:space="preserve">26 сентября 2025 года, стало принятие обязательства ускорить и улучшить доступ к альтернативным, безопасным для климата технологиям охлаждения и бороться с незаконным захоронением в Африке холодильного оборудования, содержащего устаревшие хладагенты. Он призвал к обеспечению большей непрерывности и надежности финансирования для оказания помощи африканским странам в решении этих задач. </w:t>
      </w:r>
    </w:p>
    <w:p w14:paraId="369548D7" w14:textId="5A7060CC"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Было выражено общее признание роли партнерских связей и сотрудничества в достижении целей охраны окружающей среды и благополучия человека, включая цели Монреальского протокола. Успех Протокола демонстрирует, как многосторонние механизмы могут приносить реальную пользу в области климата посредством передачи технологий, укрепления потенциала и справедливой поддержки. Коллективная приверженность, взаимное доверие и дальновидность позволят людям использовать возможности и эффективно решать как насущные проблемы, так и вопросы долгосрочной устойчивости планеты. Этот подход воплощают многосторонние природоохранные соглашения, которые являются одним из основных инструментов укрепления международного сотрудничества в решении глобальных экологических проблем. Несколько представителей заявили о своей приверженности региональному и международному сотрудничеству как средству обмена опытом и выработки совместных решений по защите озонового слоя, смягчению последствий изменения климата и охране здоровья окружающей среды и человечества. Од</w:t>
      </w:r>
      <w:r w:rsidR="00382DFB">
        <w:rPr>
          <w:lang w:val="ru-RU"/>
        </w:rPr>
        <w:t>и</w:t>
      </w:r>
      <w:r>
        <w:rPr>
          <w:lang w:val="ru-RU"/>
        </w:rPr>
        <w:t>н из представителей заявила, что ее страна предложила инициативу в области глобального управления, в которой особое внимание уделяется основополагающим принципам обеспечения суверенного равенства, соблюдения норм международного права, практического применения многостороннего подхода, популяризации человекоцентричного подхода и сосредоточения внимания на конкретных действиях. Такая инициатива могла бы способствовать укреплению глобального управления в области климата и окружающей среды.</w:t>
      </w:r>
    </w:p>
    <w:p w14:paraId="181827F7"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Представитель Азербайджана сообщила, что ее страна примет у себя тринадцатую сессию Всемирного форума по вопросам городов с 17 по 22 мая 2026 года и Всемирный день окружающей среды 5 июня 2026 года, и пригласила все Стороны принять участие в этих мероприятиях и внести свой вклад в их проведение. </w:t>
      </w:r>
    </w:p>
    <w:p w14:paraId="71C1E99F" w14:textId="2FBF73D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Представитель основной группы </w:t>
      </w:r>
      <w:r w:rsidR="00063891" w:rsidRPr="00422FE2">
        <w:rPr>
          <w:lang w:val="ru-RU"/>
        </w:rPr>
        <w:t>«</w:t>
      </w:r>
      <w:r>
        <w:rPr>
          <w:lang w:val="ru-RU"/>
        </w:rPr>
        <w:t>Дети и молодежь</w:t>
      </w:r>
      <w:r w:rsidR="00063891" w:rsidRPr="00422FE2">
        <w:rPr>
          <w:lang w:val="ru-RU"/>
        </w:rPr>
        <w:t>»</w:t>
      </w:r>
      <w:r>
        <w:rPr>
          <w:lang w:val="ru-RU"/>
        </w:rPr>
        <w:t xml:space="preserve"> высоко оценил усилия секретариата по обеспечению инклюзивности и вовлечению молодежи в работу, проводимую в рамках Монреальского протокола и Кигалийской поправки к нему. Миллионы молодых людей считают результаты этой работы жизненно важными для их общего будущего. Глобальный </w:t>
      </w:r>
      <w:r>
        <w:rPr>
          <w:lang w:val="ru-RU"/>
        </w:rPr>
        <w:lastRenderedPageBreak/>
        <w:t>опрос молодежи по вопросам озонового слоя и защиты климата 2025 года, проведенный на втором Молодежном форуме по защите климата в Найроби 2 ноября 2025 года, показал, что подавляющее большинство молодых людей глубоко обеспокоены изменением климата. Крайне важно использовать знания и навыки молодых людей в будущих мероприятиях, связанных с озоновым слоем и климатом.</w:t>
      </w:r>
    </w:p>
    <w:p w14:paraId="372C7020" w14:textId="64168653"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Несколько представителей рассказали о том, как их страны признают ценность сотрудничества в применении комплексного подхода к преодолению экологических проблем на национальном уровне при одновременном обеспечении экономического роста. Справедливость и равенство, включая учет гендерной проблематики и приверженность удовлетворению потребностей уязвимых групп населения и молодежи, рассматриваются как жизненно важные компоненты действий по формированию инклюзивного общества с равными возможностями для всех. Многие страны разработали долгосрочную концепцию устойчивого развития, которая закреплена в ряде национальных документов и инициатив, включая политику и стратегию в области изменения климата; стратегии развития «зеленой» экономики, способствующие переходу к чистой энергии и энергоэффективности; принятие многооборотной модели </w:t>
      </w:r>
      <w:r w:rsidR="00810329">
        <w:rPr>
          <w:lang w:val="ru-RU"/>
        </w:rPr>
        <w:t>регулирования</w:t>
      </w:r>
      <w:r>
        <w:rPr>
          <w:lang w:val="ru-RU"/>
        </w:rPr>
        <w:t xml:space="preserve"> отходов в соответствии с передовой мировой практикой; реализация национальной </w:t>
      </w:r>
      <w:r w:rsidR="000E75FF">
        <w:rPr>
          <w:lang w:val="ru-RU"/>
        </w:rPr>
        <w:t>«</w:t>
      </w:r>
      <w:r>
        <w:rPr>
          <w:lang w:val="ru-RU"/>
        </w:rPr>
        <w:t>дорожной карты</w:t>
      </w:r>
      <w:r w:rsidR="000E75FF">
        <w:rPr>
          <w:lang w:val="ru-RU"/>
        </w:rPr>
        <w:t>»</w:t>
      </w:r>
      <w:r>
        <w:rPr>
          <w:lang w:val="ru-RU"/>
        </w:rPr>
        <w:t xml:space="preserve"> по энергетическому переходу с целью использования многочисленных сопутствующих выгод, связанных с сочетанием сокращения использования ГФУ с повышением энергоэффективности; и принятие законов, кодексов и нормативных актов для подкрепления экологических программ надежной законодательной базой. Эти меры тесно увязаны с региональными и международными природоохранными соглашениями и программами. </w:t>
      </w:r>
    </w:p>
    <w:p w14:paraId="3ED63CBD" w14:textId="77777777"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Такой всеобъемлющий комплексный подход включает в себя ряд взаимосвязанных мероприятий, включая сокращение выбросов углерода и переход к низкоуглеродной экономике; эффективное регулирование и мониторинг природных ресурсов, включая воду, почву и воздух; и поддержку научных исследований в сотрудничестве с национальными научно-исследовательскими центрами в целях поощрения инноваций при решении экологических проблем.</w:t>
      </w:r>
    </w:p>
    <w:p w14:paraId="3BE4F295" w14:textId="74F88448" w:rsidR="004572A1" w:rsidRPr="00422FE2" w:rsidRDefault="004572A1" w:rsidP="00063937">
      <w:pPr>
        <w:pStyle w:val="Normalnumber"/>
        <w:tabs>
          <w:tab w:val="clear" w:pos="624"/>
          <w:tab w:val="clear" w:pos="1247"/>
          <w:tab w:val="clear" w:pos="1814"/>
          <w:tab w:val="clear" w:pos="2381"/>
          <w:tab w:val="clear" w:pos="2948"/>
          <w:tab w:val="clear" w:pos="3515"/>
        </w:tabs>
        <w:rPr>
          <w:lang w:val="ru-RU"/>
        </w:rPr>
      </w:pPr>
      <w:r>
        <w:rPr>
          <w:lang w:val="ru-RU"/>
        </w:rPr>
        <w:t xml:space="preserve">Несколько представителей высказали свои соображения о дальнейшем пути для Монреальского протокола. Многие представители вновь заявили о своей неизменной поддержке Протокола в его стремлении достичь целей охраны озонового слоя и более широких природоохранных целей, в том числе относящихся к изменению климата и глобальному потеплению. Монреальский протокол служит образцом для глобальных согласованных действий по решению экологических проблем. Его успех напоминает о том, что глобальные проблемы требуют глобальных решений, основанных на науке, руководствующихся принципами сотрудничества и подкрепленных конкретными действиями. Он воплощает дух Организации Объединенных Наций </w:t>
      </w:r>
      <w:r w:rsidR="00B7274C">
        <w:rPr>
          <w:lang w:val="ru-RU"/>
        </w:rPr>
        <w:t>–</w:t>
      </w:r>
      <w:r>
        <w:rPr>
          <w:lang w:val="ru-RU"/>
        </w:rPr>
        <w:t xml:space="preserve"> системы, основанной на доверии, солидарности и способности объединять человечество во имя достижения общих целей. </w:t>
      </w:r>
    </w:p>
    <w:p w14:paraId="593B0263" w14:textId="77777777" w:rsidR="004572A1" w:rsidRPr="00422FE2" w:rsidRDefault="004572A1" w:rsidP="00063937">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В мире, который в настоящее время испытывает напряженность из-за конфликтов, неравенства и дезинформации, чрезвычайно важно восстановить это доверие и продемонстрировать, что консенсус может преобладать над разногласиями, а наука и добрая воля по-прежнему являются объединяющими силами. Если общество продемонстрировало свою способность обратить вспять процесс разрушения озонового слоя, то оно должно быть способно достичь и других природоохранных целей, тем самым оставив после себя будущим поколениям более здоровую окружающую среду.</w:t>
      </w:r>
    </w:p>
    <w:p w14:paraId="47D77C03" w14:textId="355B501B" w:rsidR="004572A1" w:rsidRPr="00422FE2" w:rsidRDefault="00810329"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4572A1">
        <w:rPr>
          <w:bCs/>
          <w:lang w:val="ru-RU"/>
        </w:rPr>
        <w:t>VI.</w:t>
      </w:r>
      <w:r w:rsidR="004572A1">
        <w:rPr>
          <w:lang w:val="ru-RU"/>
        </w:rPr>
        <w:tab/>
      </w:r>
      <w:r w:rsidR="004572A1">
        <w:rPr>
          <w:bCs/>
          <w:lang w:val="ru-RU"/>
        </w:rPr>
        <w:t>Доклад сопредседателей подготовительного сегмента и рассмотрение решений, рекомендованных для принятия тридцать седьмым Совещанием Сторон</w:t>
      </w:r>
    </w:p>
    <w:p w14:paraId="30BD5615" w14:textId="77777777" w:rsidR="004572A1" w:rsidRPr="00422FE2" w:rsidRDefault="004572A1" w:rsidP="00063937">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 xml:space="preserve">Председатель отметил, что работа подготовительного сегмента завершилась успешно и для рассмотрения и возможного утверждения в ходе сегмента высокого уровня были одобрены проекты решений. </w:t>
      </w:r>
    </w:p>
    <w:p w14:paraId="6A9C390B" w14:textId="537C0AB5" w:rsidR="004572A1" w:rsidRPr="00422FE2" w:rsidRDefault="00810329"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4572A1">
        <w:rPr>
          <w:bCs/>
          <w:lang w:val="ru-RU"/>
        </w:rPr>
        <w:t>VII.</w:t>
      </w:r>
      <w:r w:rsidR="004572A1">
        <w:rPr>
          <w:lang w:val="ru-RU"/>
        </w:rPr>
        <w:tab/>
      </w:r>
      <w:r w:rsidR="004572A1">
        <w:rPr>
          <w:bCs/>
          <w:lang w:val="ru-RU"/>
        </w:rPr>
        <w:t>Сроки и место проведения тридцать восьмого Совещания Сторон Монреальского протокола</w:t>
      </w:r>
    </w:p>
    <w:p w14:paraId="06455DE6" w14:textId="30242BAC"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Внося на рассмотрение этот пункт повестки дня, Председатель напомнил, что тридцать восьмое Совещание Сторон Монреальского протокола было решено провести 2–6 ноября </w:t>
      </w:r>
      <w:r>
        <w:rPr>
          <w:lang w:val="ru-RU"/>
        </w:rPr>
        <w:lastRenderedPageBreak/>
        <w:t>2026</w:t>
      </w:r>
      <w:r w:rsidR="00810329">
        <w:rPr>
          <w:lang w:val="ru-RU"/>
        </w:rPr>
        <w:t> </w:t>
      </w:r>
      <w:r>
        <w:rPr>
          <w:lang w:val="ru-RU"/>
        </w:rPr>
        <w:t>года. Он предложил выступить любой Стороне, желающей предложить свои услуги в качестве принимающей стороны для проведения этого Совещания.</w:t>
      </w:r>
    </w:p>
    <w:p w14:paraId="2E30008B" w14:textId="77777777" w:rsidR="004572A1" w:rsidRPr="00C62023" w:rsidRDefault="004572A1" w:rsidP="00063937">
      <w:pPr>
        <w:pStyle w:val="Normalnumber"/>
        <w:tabs>
          <w:tab w:val="clear" w:pos="624"/>
          <w:tab w:val="clear" w:pos="1247"/>
          <w:tab w:val="clear" w:pos="1814"/>
          <w:tab w:val="clear" w:pos="2381"/>
          <w:tab w:val="clear" w:pos="2948"/>
          <w:tab w:val="clear" w:pos="3515"/>
        </w:tabs>
        <w:ind w:left="1247"/>
      </w:pPr>
      <w:r>
        <w:rPr>
          <w:lang w:val="ru-RU"/>
        </w:rPr>
        <w:t>Представитель Руанды объявила о предложении ее правительства принять у себя тридцать восьмое Совещание Сторон в Кигали в ноябре 2026 года. Тридцать восьмое Совещание будет приурочено к десятой годовщине принятия соглашения о Кигалийской поправке, которая внесла ключевой вклад в успех Монреальского протокола как наиболее эффективного международного соглашения в области климата, позволяющего избежать глобального потепления на 1,1 градуса Цельсия к 2100 году. Ее предложение сопровождалось видеопрезентацией.</w:t>
      </w:r>
    </w:p>
    <w:p w14:paraId="0291B2FC"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Стороны постановили, что тридцать восьмое Совещание Сторон Монреальского протокола состоится в Кигали 2–6 ноября 2026 года.</w:t>
      </w:r>
    </w:p>
    <w:p w14:paraId="2A8C22E6" w14:textId="77777777" w:rsidR="004572A1" w:rsidRPr="00422FE2" w:rsidRDefault="004572A1" w:rsidP="00063937">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После этого Стороны приняли решение по данному вопросу. Это решение изложено в документе UNEP/OzL.Pro.37/9/Add.1.</w:t>
      </w:r>
    </w:p>
    <w:p w14:paraId="5D23919F" w14:textId="0FE4D24D" w:rsidR="004572A1" w:rsidRPr="00422FE2" w:rsidRDefault="00810329"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4572A1">
        <w:rPr>
          <w:bCs/>
          <w:lang w:val="ru-RU"/>
        </w:rPr>
        <w:t>VIII.</w:t>
      </w:r>
      <w:r w:rsidR="004572A1">
        <w:rPr>
          <w:lang w:val="ru-RU"/>
        </w:rPr>
        <w:tab/>
      </w:r>
      <w:r w:rsidR="004572A1">
        <w:rPr>
          <w:bCs/>
          <w:lang w:val="ru-RU"/>
        </w:rPr>
        <w:t>Прочие вопросы</w:t>
      </w:r>
    </w:p>
    <w:p w14:paraId="389656DB" w14:textId="7910E719" w:rsidR="004572A1" w:rsidRPr="00422FE2" w:rsidRDefault="004572A1" w:rsidP="0081032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rPr>
          <w:lang w:val="ru-RU"/>
        </w:rPr>
      </w:pPr>
      <w:r>
        <w:rPr>
          <w:lang w:val="ru-RU"/>
        </w:rPr>
        <w:tab/>
      </w:r>
      <w:r>
        <w:rPr>
          <w:bCs/>
          <w:lang w:val="ru-RU"/>
        </w:rPr>
        <w:t>Членство в Группе восточноевропейских государств</w:t>
      </w:r>
    </w:p>
    <w:p w14:paraId="7A8EDE15"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Председатель напомнил, что при утверждении повестки дня Стороны договорились рассмотреть вопрос о членстве в Группе восточноевропейских государств.</w:t>
      </w:r>
    </w:p>
    <w:p w14:paraId="55EAB341" w14:textId="2AF51155"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Внося на обсуждение этот вопрос, представитель Кыргызстана вновь заявил, что в Группе восточноевропейских государств были предприняты попытки отстранить пять стран Центральной Азии </w:t>
      </w:r>
      <w:r w:rsidR="00810329">
        <w:rPr>
          <w:lang w:val="ru-RU"/>
        </w:rPr>
        <w:t>–</w:t>
      </w:r>
      <w:r>
        <w:rPr>
          <w:lang w:val="ru-RU"/>
        </w:rPr>
        <w:t xml:space="preserve"> Казахстан, Кыргызстан, Таджикистан, Туркменистан и Узбекистан </w:t>
      </w:r>
      <w:r w:rsidR="00810329">
        <w:rPr>
          <w:lang w:val="ru-RU"/>
        </w:rPr>
        <w:t>–</w:t>
      </w:r>
      <w:r>
        <w:rPr>
          <w:lang w:val="ru-RU"/>
        </w:rPr>
        <w:t xml:space="preserve"> от выдвижения кандидатов в члены органов Монреальского протокола на 2026 год и от выборов должностных лиц на тридцать седьмом Совещании Сторон, что повлияло на работу Протокола, проигнорировало сложившуюся практику в рамках системы Организации Объединенных Наций и привело к политизации процедурного вопроса. Он напомнил, что на тридцать пятом Совещании Сторон, на котором предпринималась аналогичная попытка, представитель секретариата пояснил, что Стороны имеют право решать, к какой региональной группе они относятся. Он отметил, что страны Центральной Азии более 30 лет являлись членами Группы восточноевропейских государств, а некоторые из них были выдвинуты и избраны на должности в органах Протокола от имени этой группы. Так, всего год назад Кыргызстан был избран в члены Исполнительного комитета Многостороннего фонда. Членство в неформальных региональных группах в рамках Протокола является суверенным правом; оно не подлежит интерпретации со стороны других стран. Он призвал Стороны и секретариат содействовать поиску решения и предложил переименовать неофициальную региональную группу, созданную в соответствии с Протоколом, в группу государств Восточной Европы, Кавказа и Центральной Азии; это предложение было поддержано другим представителем.</w:t>
      </w:r>
    </w:p>
    <w:p w14:paraId="27EBA68C"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Представитель Таджикистана, выступая в качестве одного из авторов этого предложения, подчеркнул, что принцип равного и всеобъемлющего участия всех стран в региональных группах должен оставаться одним из основных элементов процесса принятия решений в рамках Монреальского протокола. Любые предлагаемые изменения, затрагивающие интересы членов региональной группы, должны обсуждаться на основе принципа открытости и основываться на консенсусе, международном праве и устоявшейся практике совещаний Сторон. Любые усилия, ведущие к исключению или переводу стран без их согласия в другие группы, подрывали бы принципы солидарности, инклюзивности и сотрудничества, которые стали залогом успеха Протокола.</w:t>
      </w:r>
    </w:p>
    <w:p w14:paraId="16610BD9"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поддержал выступления предыдущих ораторов, подчеркнув необходимость следовать сложившейся практике и действовать в соответствии с принципом консенсуса. Он заявил, что его делегация выступает против умышленного исключения или удаления стран из региональной группы, к которой они принадлежат. Он настоятельно призвал Стороны сосредоточить внимание на существенных научно обоснованных вопросах повестки дня, избегать политизации тридцать седьмого Совещания Сторон и соблюдать принципы солидарности и сотрудничества, руководствуясь главной целью обеспечения полного осуществления Монреальского протокола. Другой представитель заявил, что его делегация глубоко обеспокоена попытками исключить пять давних членов из состава неофициальной региональной группы и дискредитировать их работу. Ситуация носит беспрецедентный характер: страны обладают суверенным правом решать, в какой неофициальной группе они будут представлены в системе Организации Объединенных Наций. </w:t>
      </w:r>
    </w:p>
    <w:p w14:paraId="24104625"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Один представитель заявил, что органы Монреальского протокола функционируют в рамках системы Организации Объединенных Наций и в соответствии с практикой, установленной Генеральной Ассамблеей. Поэтому Совещание Сторон не является подходящим форумом для обсуждения таких вопросов. Несколько других представителей поддержали его заявление. Другой представитель, согласившись с тем, что Совещание Сторон не является надлежащим форумом для принятия решения по этому вопросу, отметил, что в правиле 21 правил процедуры совещаний Сторон содержится ссылка на пять групп государств, утвержденных Генеральной Ассамблеей в резолюции 2997 (XXVII) об учрежденческих и финансовых механизмах международного сотрудничества в области окружающей среды. Другой представитель подчеркнул важность диалога и компромисса. Необходимо получить от секретариата дополнительные указания относительно дальнейших действий; на данном этапе не может быть принято никакого решения.</w:t>
      </w:r>
    </w:p>
    <w:p w14:paraId="1F5FC9C4" w14:textId="4A9BC466"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Один представитель задал вопрос о том, почему этот вопрос нельзя обсудить на </w:t>
      </w:r>
      <w:r w:rsidR="0010044D">
        <w:rPr>
          <w:lang w:val="ru-RU"/>
        </w:rPr>
        <w:t xml:space="preserve">текущем </w:t>
      </w:r>
      <w:r>
        <w:rPr>
          <w:lang w:val="ru-RU"/>
        </w:rPr>
        <w:t xml:space="preserve">форуме. Учитывая, что состав неофициальных региональных групп не изменялся с момента принятия Протокола и что пять соответствующих стран в течение трех десятилетий были членами Группы восточноевропейских государств, он хотел бы знать, почему именно сейчас предпринимаются шаги по приведению членского состава этой конкретной группы в более тесное соответствие с составом региональной группы в рамках системы Организации Объединенных Наций. Другой представитель поддержал эти высказывания, подчеркнув, что успех Протокола зависит от сотрудничества, направленного на сохранение окружающей среды в интересах </w:t>
      </w:r>
      <w:r w:rsidR="0010044D">
        <w:rPr>
          <w:lang w:val="ru-RU"/>
        </w:rPr>
        <w:t xml:space="preserve">настоящего </w:t>
      </w:r>
      <w:r>
        <w:rPr>
          <w:lang w:val="ru-RU"/>
        </w:rPr>
        <w:t>и будущих поколений. Игнорирование сложившейся практики может подорвать сотрудничество и единство между Сторонами.</w:t>
      </w:r>
    </w:p>
    <w:p w14:paraId="38CC3341" w14:textId="1BCC5816"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Представитель Казахстана, являющегося одним из авторов этого предложения, заявил, что его делегация решительно выступает против инициативы по исключению стран Центральной Азии из Группы восточноевропейских государств, считая, что она не имеет под собой никаких правовых оснований, противоречит сложившейся практике и нарушает права Сторон избирать членов руководящих и вспомогательных органов Монреальского протокола и быть избранными в их состав. Казахстан ранее избирался в состав Бюро и хотел бы выдвинуть свою кандидатуру на выборах членов Исполнительного комитета Многостороннего фонда. Он отметил, что резолюция 2997 (XXVII) Генеральной Ассамблеи устарела: она не отражает </w:t>
      </w:r>
      <w:r w:rsidR="00EC639D">
        <w:rPr>
          <w:lang w:val="ru-RU"/>
        </w:rPr>
        <w:t>настоящую</w:t>
      </w:r>
      <w:r>
        <w:rPr>
          <w:lang w:val="ru-RU"/>
        </w:rPr>
        <w:t xml:space="preserve"> политическую карту. Она была принят</w:t>
      </w:r>
      <w:r w:rsidR="00EC639D">
        <w:rPr>
          <w:lang w:val="ru-RU"/>
        </w:rPr>
        <w:t>а</w:t>
      </w:r>
      <w:r>
        <w:rPr>
          <w:lang w:val="ru-RU"/>
        </w:rPr>
        <w:t xml:space="preserve"> в 1972 году, когда пять стран Центральной Азии входили в состав Союза Советских Социалистических Республик. Кроме того, она была заменена резолюцией 67/251, в соответствии с которой Совет управляющих ЮНЕП стал Ассамблеей Организации Объединенных Наций по окружающей среде, что привело к отмене модели распределения мест, утвержденной в 1972 году, и введению всеобщего членства. После распада Союза Советских Социалистических Республик в 1991 году пять новых независимых государств продолжали участвовать в работе Группы восточноевропейских государств. Они также являются членами региональных групп восточноевропейских государств в других структурах Организации Объединенных Наций. </w:t>
      </w:r>
    </w:p>
    <w:p w14:paraId="0CD7104B" w14:textId="22F136F1"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Он добавил, что любая ссылка на правило 21 правил процедуры должна пониматься как историческая ссылка на справедливую географическую представленность, а не как юридически обязательная норма. В отсутствие имеющего обязательную юридическую силу документа о пересмотре состава региональных групп участие стран в них определяется обычной институциональной практикой. Непрерывное участие стран Центральной Азии в деятельности Группы восточноевропейских государств с момента обретения ими независимости является давним институциональным фактом, защищенным принципами законных ожиданий и приобретенных прав. Если государство на протяжении десятилетий осуществляло функции члена в рамках региональной группы без возражений со стороны других членов, оно приобретает процессуальные права, которые не могут быть изменены в одностороннем порядке или задним числом без его явного согласия или официального межправительственного решения. Необходимо соблюдать принципы суверенного равенства государств, закрепленные в статье 2 Устава Организации Объединенных Наций, и правовой определенности. Он просил секретариат подготовить документ, содержащий исчерпывающую информацию и анализ решений, резолюций и практики всех структур Организации Объединенных Наций, включая вспомогательные органы и секретариаты конвенций, касающихся распределения по региональным группам государств </w:t>
      </w:r>
      <w:r w:rsidR="00F01DB3">
        <w:rPr>
          <w:lang w:val="ru-RU"/>
        </w:rPr>
        <w:t>–</w:t>
      </w:r>
      <w:r>
        <w:rPr>
          <w:lang w:val="ru-RU"/>
        </w:rPr>
        <w:t xml:space="preserve"> членов Организации Объединенных Наций. Необходимо продолжать диалог на основе взаимного уважения и соблюдения международного права; Стороны должны продолжать сосредоточивать свои усилия на достижении общих природоохранных целей и обеспечении устойчивого будущего для всех.</w:t>
      </w:r>
    </w:p>
    <w:p w14:paraId="3198D242"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lastRenderedPageBreak/>
        <w:t xml:space="preserve">Некоторые представители заявили, что предложения о внесении изменений в состав существующих региональных групп, включая критерии членства в них, требуют более глубокой оценки и обсуждений, выходящих за рамки полномочий Совещания Сторон. </w:t>
      </w:r>
    </w:p>
    <w:p w14:paraId="4EC6EC9E" w14:textId="14233D71"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Представитель Кыргызстана, сославшись на письмо, полученное от представителя секретариата, заявил, что правила процедуры не распространяются на неофициальные региональные группы. На момент принятия резолюции 2997 (XXVII) Генеральной Ассамблеи в 1972 году все 15 республик Союза Советских Социалистических Республик входили в состав Группы восточноевропейских государств. В промежуточный период не было ни одного официального документа Организации Объединенных Наций с уточнением перечня стран, входящих в эту региональную группу</w:t>
      </w:r>
      <w:r w:rsidR="00810329">
        <w:rPr>
          <w:lang w:val="ru-RU"/>
        </w:rPr>
        <w:t>.</w:t>
      </w:r>
      <w:r>
        <w:rPr>
          <w:lang w:val="ru-RU"/>
        </w:rPr>
        <w:t xml:space="preserve"> Кроме того, региональные группы не были учреждены в качестве органов Монреальского протокола, они проводили неофициальные совещания, не существовало правил, регулирующих их состав, а принятие решений в этих группах основывалось на консенсусе. </w:t>
      </w:r>
    </w:p>
    <w:p w14:paraId="40703D8B"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 о том, могут ли Стороны выбирать, к какой региональной группе они будут относиться, представитель секретариата напомнила, что в ходе тридцать пятого Совещания Сторон были проведены неофициальные консультации по вопросу о странах Восточной Европы и Центральной Азии. В ходе этих консультаций она указала, что Сторона, являющаяся членом одной региональной группы, может присоединиться к другой региональной группе при условии, что соответствующая группа даст на это свое согласие. Однако Стороны не могут быть членами более чем одной региональной группы.</w:t>
      </w:r>
    </w:p>
    <w:p w14:paraId="2CF5D6AA" w14:textId="77777777" w:rsidR="004572A1" w:rsidRPr="00422FE2" w:rsidRDefault="004572A1" w:rsidP="00063937">
      <w:pPr>
        <w:pStyle w:val="Normalnumber"/>
        <w:tabs>
          <w:tab w:val="clear" w:pos="624"/>
          <w:tab w:val="clear" w:pos="1247"/>
          <w:tab w:val="clear" w:pos="1814"/>
          <w:tab w:val="clear" w:pos="2381"/>
          <w:tab w:val="clear" w:pos="2948"/>
          <w:tab w:val="clear" w:pos="3515"/>
        </w:tabs>
        <w:ind w:left="1247"/>
        <w:rPr>
          <w:lang w:val="ru-RU"/>
        </w:rPr>
      </w:pPr>
      <w:r>
        <w:rPr>
          <w:lang w:val="ru-RU"/>
        </w:rPr>
        <w:t>Отвечая на вопрос о выдвижении кандидатур на тридцать седьмом Совещании Сторон, Председатель пояснил, что кандидатуры могут выдвигаться в ходе подготовительного сегмента.</w:t>
      </w:r>
    </w:p>
    <w:p w14:paraId="6E38F113" w14:textId="77777777" w:rsidR="004572A1" w:rsidRPr="00C62023" w:rsidRDefault="004572A1" w:rsidP="00063937">
      <w:pPr>
        <w:pStyle w:val="Normalnumber"/>
        <w:tabs>
          <w:tab w:val="clear" w:pos="624"/>
          <w:tab w:val="clear" w:pos="1247"/>
          <w:tab w:val="clear" w:pos="1814"/>
          <w:tab w:val="clear" w:pos="2381"/>
          <w:tab w:val="clear" w:pos="2948"/>
          <w:tab w:val="clear" w:pos="3515"/>
        </w:tabs>
        <w:spacing w:after="240"/>
        <w:ind w:left="1247"/>
      </w:pPr>
      <w:r>
        <w:rPr>
          <w:lang w:val="ru-RU"/>
        </w:rPr>
        <w:t xml:space="preserve">По предложению Председателя тридцать седьмого Совещания Сторон, Стороны постановили, что заинтересованные стороны продолжат обсуждения в межсессионный период и что секретариат представит краткую справочную информацию к сорок восьмому совещанию Рабочей группы открытого состава. </w:t>
      </w:r>
    </w:p>
    <w:p w14:paraId="19856462" w14:textId="2F33192D" w:rsidR="004572A1" w:rsidRPr="00422FE2" w:rsidRDefault="00F01DB3"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4572A1">
        <w:rPr>
          <w:bCs/>
          <w:lang w:val="ru-RU"/>
        </w:rPr>
        <w:t>IX.</w:t>
      </w:r>
      <w:r w:rsidR="004572A1">
        <w:rPr>
          <w:lang w:val="ru-RU"/>
        </w:rPr>
        <w:tab/>
      </w:r>
      <w:r w:rsidR="004572A1">
        <w:rPr>
          <w:bCs/>
          <w:lang w:val="ru-RU"/>
        </w:rPr>
        <w:t>Принятие решений тридцать седьмым Совещанием Сторон Монреальского протокола</w:t>
      </w:r>
    </w:p>
    <w:p w14:paraId="2D68CE75" w14:textId="77777777" w:rsidR="004572A1" w:rsidRPr="00C62023" w:rsidRDefault="004572A1" w:rsidP="00063937">
      <w:pPr>
        <w:pStyle w:val="Normalnumber"/>
        <w:tabs>
          <w:tab w:val="clear" w:pos="624"/>
          <w:tab w:val="clear" w:pos="1247"/>
          <w:tab w:val="clear" w:pos="1814"/>
          <w:tab w:val="clear" w:pos="2381"/>
          <w:tab w:val="clear" w:pos="2948"/>
          <w:tab w:val="clear" w:pos="3515"/>
        </w:tabs>
        <w:spacing w:after="240"/>
        <w:ind w:left="1247"/>
      </w:pPr>
      <w:r>
        <w:rPr>
          <w:lang w:val="ru-RU"/>
        </w:rPr>
        <w:t>Тридцать седьмое Совещание Сторон Монреальского протокола приняло решения, одобренные в ходе подготовительного сегмента. Эти решения имеются в документе UNEP/OzL.Pro.37/9/Add.1.</w:t>
      </w:r>
    </w:p>
    <w:p w14:paraId="28C52397" w14:textId="5659AE76" w:rsidR="004572A1" w:rsidRPr="00422FE2" w:rsidRDefault="00F01DB3" w:rsidP="00837D9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Pr>
          <w:bCs/>
          <w:lang w:val="ru-RU"/>
        </w:rPr>
        <w:tab/>
      </w:r>
      <w:r w:rsidR="004572A1">
        <w:rPr>
          <w:bCs/>
          <w:lang w:val="ru-RU"/>
        </w:rPr>
        <w:t>X.</w:t>
      </w:r>
      <w:r w:rsidR="004572A1">
        <w:rPr>
          <w:lang w:val="ru-RU"/>
        </w:rPr>
        <w:tab/>
        <w:t>Принятие доклада о работе Совещания</w:t>
      </w:r>
    </w:p>
    <w:p w14:paraId="2DF31D77" w14:textId="77777777" w:rsidR="004572A1" w:rsidRPr="00422FE2" w:rsidRDefault="004572A1" w:rsidP="00063937">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Стороны приняли настоящий доклад в пятницу, 7 ноября, на основе ранее распространенного проекта доклада. Председателю было поручено завершить работу над докладом при содействии секретариата.</w:t>
      </w:r>
    </w:p>
    <w:p w14:paraId="62BE2E41" w14:textId="4986B9E9" w:rsidR="004572A1" w:rsidRPr="00C62023" w:rsidRDefault="00F01DB3" w:rsidP="00837D9B">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4572A1">
        <w:rPr>
          <w:bCs/>
          <w:lang w:val="ru-RU"/>
        </w:rPr>
        <w:t>XI.</w:t>
      </w:r>
      <w:r w:rsidR="004572A1">
        <w:rPr>
          <w:lang w:val="ru-RU"/>
        </w:rPr>
        <w:tab/>
      </w:r>
      <w:r w:rsidR="004572A1">
        <w:rPr>
          <w:bCs/>
          <w:lang w:val="ru-RU"/>
        </w:rPr>
        <w:t>Закрытие Совещания</w:t>
      </w:r>
    </w:p>
    <w:p w14:paraId="35014D27" w14:textId="77777777" w:rsidR="004572A1" w:rsidRPr="00C62023" w:rsidRDefault="004572A1" w:rsidP="004572A1">
      <w:pPr>
        <w:rPr>
          <w:sz w:val="2"/>
          <w:szCs w:val="2"/>
        </w:rPr>
      </w:pPr>
    </w:p>
    <w:p w14:paraId="0DF9AD55" w14:textId="77777777" w:rsidR="004572A1" w:rsidRPr="00422FE2" w:rsidRDefault="004572A1" w:rsidP="00063937">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После традиционного обмена любезностями Совещание было объявлено закрытым в 12:10 в субботу, 8 ноября 2025 года.</w:t>
      </w:r>
    </w:p>
    <w:p w14:paraId="3E67CE69" w14:textId="77777777" w:rsidR="000F59B8" w:rsidRPr="00422FE2" w:rsidRDefault="000F59B8" w:rsidP="00E90DC0">
      <w:pPr>
        <w:pStyle w:val="Normalnumber"/>
        <w:numPr>
          <w:ilvl w:val="0"/>
          <w:numId w:val="0"/>
        </w:numPr>
        <w:tabs>
          <w:tab w:val="clear" w:pos="1247"/>
          <w:tab w:val="clear" w:pos="1814"/>
          <w:tab w:val="clear" w:pos="2381"/>
          <w:tab w:val="clear" w:pos="2948"/>
          <w:tab w:val="clear" w:pos="3515"/>
        </w:tabs>
        <w:ind w:left="1247"/>
        <w:rPr>
          <w:lang w:val="ru-RU"/>
        </w:rPr>
      </w:pPr>
    </w:p>
    <w:p w14:paraId="0EE57596" w14:textId="77777777" w:rsidR="000F59B8" w:rsidRPr="00422FE2" w:rsidRDefault="000F59B8" w:rsidP="00E90DC0">
      <w:pPr>
        <w:pStyle w:val="Normalnumber"/>
        <w:numPr>
          <w:ilvl w:val="0"/>
          <w:numId w:val="0"/>
        </w:numPr>
        <w:tabs>
          <w:tab w:val="clear" w:pos="1247"/>
          <w:tab w:val="clear" w:pos="1814"/>
          <w:tab w:val="clear" w:pos="2381"/>
          <w:tab w:val="clear" w:pos="2948"/>
          <w:tab w:val="clear" w:pos="3515"/>
        </w:tabs>
        <w:ind w:left="1247"/>
        <w:rPr>
          <w:lang w:val="ru-RU"/>
        </w:rPr>
        <w:sectPr w:rsidR="000F59B8" w:rsidRPr="00422FE2" w:rsidSect="00C20895">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pPr>
    </w:p>
    <w:p w14:paraId="689E8721" w14:textId="77777777" w:rsidR="000F59B8" w:rsidRPr="00D151F0" w:rsidRDefault="000F59B8" w:rsidP="000F59B8">
      <w:pPr>
        <w:pStyle w:val="ZZAnxheader"/>
        <w:tabs>
          <w:tab w:val="clear" w:pos="624"/>
          <w:tab w:val="clear" w:pos="1247"/>
          <w:tab w:val="clear" w:pos="1871"/>
          <w:tab w:val="clear" w:pos="2495"/>
          <w:tab w:val="clear" w:pos="3119"/>
          <w:tab w:val="clear" w:pos="3742"/>
          <w:tab w:val="clear" w:pos="4366"/>
          <w:tab w:val="clear" w:pos="4990"/>
        </w:tabs>
        <w:spacing w:after="240"/>
        <w:rPr>
          <w:b w:val="0"/>
          <w:bCs w:val="0"/>
          <w:szCs w:val="28"/>
          <w:lang w:val="ru-RU"/>
        </w:rPr>
      </w:pPr>
      <w:r w:rsidRPr="00D151F0">
        <w:rPr>
          <w:lang w:val="ru-RU"/>
        </w:rPr>
        <w:lastRenderedPageBreak/>
        <w:t>Приложение I</w:t>
      </w:r>
    </w:p>
    <w:p w14:paraId="24B2E404" w14:textId="77777777" w:rsidR="000F59B8" w:rsidRPr="00D151F0" w:rsidRDefault="000F59B8" w:rsidP="000F59B8">
      <w:pPr>
        <w:pStyle w:val="ZZAnxtitle"/>
        <w:tabs>
          <w:tab w:val="clear" w:pos="624"/>
          <w:tab w:val="clear" w:pos="1247"/>
          <w:tab w:val="clear" w:pos="1871"/>
          <w:tab w:val="clear" w:pos="2495"/>
          <w:tab w:val="clear" w:pos="3119"/>
          <w:tab w:val="clear" w:pos="3742"/>
          <w:tab w:val="clear" w:pos="4366"/>
          <w:tab w:val="clear" w:pos="4990"/>
        </w:tabs>
        <w:spacing w:before="0"/>
        <w:rPr>
          <w:lang w:val="ru-RU"/>
        </w:rPr>
      </w:pPr>
      <w:r w:rsidRPr="00D151F0">
        <w:rPr>
          <w:lang w:val="ru-RU"/>
        </w:rPr>
        <w:t>Краткое изложение сообщений членов групп по оценке и комитетов по техническим вариантам замены</w:t>
      </w:r>
      <w:r w:rsidRPr="00C22A00">
        <w:rPr>
          <w:rStyle w:val="FootnoteReference"/>
          <w:sz w:val="28"/>
          <w:szCs w:val="28"/>
          <w:vertAlign w:val="baseline"/>
          <w:lang w:val="ru-RU"/>
        </w:rPr>
        <w:footnoteReference w:customMarkFollows="1" w:id="5"/>
        <w:t>*</w:t>
      </w:r>
    </w:p>
    <w:p w14:paraId="7DE23DEC" w14:textId="5B3060B3" w:rsidR="000F59B8" w:rsidRPr="00D151F0" w:rsidRDefault="009946B2" w:rsidP="00C22A00">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tab/>
      </w:r>
      <w:r w:rsidR="000F59B8" w:rsidRPr="00D151F0">
        <w:rPr>
          <w:bCs/>
          <w:lang w:val="ru-RU"/>
        </w:rPr>
        <w:t>A.</w:t>
      </w:r>
      <w:r w:rsidR="000F59B8" w:rsidRPr="00D151F0">
        <w:rPr>
          <w:lang w:val="ru-RU"/>
        </w:rPr>
        <w:tab/>
      </w:r>
      <w:r w:rsidR="000F59B8" w:rsidRPr="00D151F0">
        <w:rPr>
          <w:bCs/>
          <w:lang w:val="ru-RU"/>
        </w:rPr>
        <w:t>Доклад Группы по научной оценке о выполнении решения XXXVI/3</w:t>
      </w:r>
    </w:p>
    <w:p w14:paraId="6B6E8A15" w14:textId="001D6198"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В сообщении было кратко изложено содержание доклада с выделением выводов, которые были признаны представляющими наибольший интерес для Сторон. В докладе оценки выбросов гидрофторуглерода (ГФУ)-23 были рассчитаны на основе атмосферных наблюдений, проведенных в 2022 году. В данном дополнительном докладе оценки выбросов были актуализированы с учетом результатов атмосферных наблюдений в 2023 году. Основные выводы, содержащиеся в данном докладе, остаются неизменными с учетом дополнительного года измерений, рассчитанных объем</w:t>
      </w:r>
      <w:r w:rsidR="001E7BF7">
        <w:rPr>
          <w:lang w:val="ru-RU"/>
        </w:rPr>
        <w:t>ов</w:t>
      </w:r>
      <w:r w:rsidRPr="00D151F0">
        <w:rPr>
          <w:lang w:val="ru-RU"/>
        </w:rPr>
        <w:t xml:space="preserve"> выбросов и актуализированных данных о заявленных количествах и количествах, полученных на основе представленной информации, которые стали доступными за 2024 год.</w:t>
      </w:r>
    </w:p>
    <w:p w14:paraId="0AB43182" w14:textId="77777777"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В 2023 году средняя глобальная концентрация ГФУ-23 (CHF</w:t>
      </w:r>
      <w:r w:rsidRPr="00D151F0">
        <w:rPr>
          <w:vertAlign w:val="subscript"/>
          <w:lang w:val="ru-RU"/>
        </w:rPr>
        <w:t>3</w:t>
      </w:r>
      <w:r w:rsidRPr="00D151F0">
        <w:rPr>
          <w:lang w:val="ru-RU"/>
        </w:rPr>
        <w:t>) в атмосфере продолжала расти. Измеренная средняя глобальная концентрация в 2023 году составила 36,8 ± 0,9 ччт (число частей на триллион), что на 0,97 ± 0,04 ччт больше, чем концентрация 35,9 ± 0,9 ччт, измеренная в 2022 году. Это годовое увеличение было немного меньше, чем среднее изменение, наблюдавшееся в период с 2015 по 2023 год, которое составило 1,10 ± 0,13 ччт/год.</w:t>
      </w:r>
    </w:p>
    <w:p w14:paraId="3DDBEEAA" w14:textId="299FD152"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Глобальные объемы выбросов ГФУ-23 в 2023 году, рассчитанные на основе измеренных атмосферных концентраций, составили 14,2 ± 0,7 кт и остались на уровне, близком к показателю в 2022 году (14,4 ± 0,6). Небольшое изменение объемов выбросов в этот период контрастирует с более значительным ежегодным снижением в период с 2019 по 2022 год, которое составило в среднем 0,8 кт/год. Зарегистрированные объемы производства ГХФУ</w:t>
      </w:r>
      <w:r w:rsidR="009946B2" w:rsidRPr="00641A23">
        <w:rPr>
          <w:lang w:val="ru-RU"/>
        </w:rPr>
        <w:noBreakHyphen/>
      </w:r>
      <w:r w:rsidRPr="00D151F0">
        <w:rPr>
          <w:lang w:val="ru-RU"/>
        </w:rPr>
        <w:t>22 для всех видов применения, которое остается крупнейшим известным источником побочного продукта ГФУ-23, были на 1,9% ниже в 2023 году по сравнению с 2022 годом (1197</w:t>
      </w:r>
      <w:r w:rsidR="009946B2">
        <w:rPr>
          <w:lang w:val="en-US"/>
        </w:rPr>
        <w:t> </w:t>
      </w:r>
      <w:r w:rsidRPr="00D151F0">
        <w:rPr>
          <w:lang w:val="ru-RU"/>
        </w:rPr>
        <w:t xml:space="preserve">кт </w:t>
      </w:r>
      <w:r w:rsidR="001F2863" w:rsidRPr="00395846">
        <w:rPr>
          <w:lang w:val="ru-RU"/>
        </w:rPr>
        <w:t xml:space="preserve">в </w:t>
      </w:r>
      <w:r w:rsidRPr="00395846">
        <w:rPr>
          <w:lang w:val="ru-RU"/>
        </w:rPr>
        <w:t>2022</w:t>
      </w:r>
      <w:r w:rsidR="00377B8C">
        <w:rPr>
          <w:lang w:val="en-US"/>
        </w:rPr>
        <w:t> </w:t>
      </w:r>
      <w:r w:rsidRPr="00395846">
        <w:rPr>
          <w:lang w:val="ru-RU"/>
        </w:rPr>
        <w:t>году</w:t>
      </w:r>
      <w:r w:rsidRPr="00D151F0">
        <w:rPr>
          <w:lang w:val="ru-RU"/>
        </w:rPr>
        <w:t xml:space="preserve"> и 1175 кт в 2023 году).</w:t>
      </w:r>
    </w:p>
    <w:p w14:paraId="395FD091" w14:textId="597E056F"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Новые научные данные подтверждают, что ГФУ-23 образуется в реакциях окисления некоторых фторсодержащих газов, присутствующих в атмосфере. Согласно оценкам, в 2023</w:t>
      </w:r>
      <w:r w:rsidR="009946B2">
        <w:rPr>
          <w:lang w:val="en-US"/>
        </w:rPr>
        <w:t> </w:t>
      </w:r>
      <w:r w:rsidRPr="00D151F0">
        <w:rPr>
          <w:lang w:val="ru-RU"/>
        </w:rPr>
        <w:t>году на этот источник ГФУ-23 пришлось менее 0,22 кт/год. Это пересмотренное значение ниже, чем предполагалось ранее (SAP, 2024), и остается верхним пределом, означающим, что фактическое значение, скорее всего, меньше.</w:t>
      </w:r>
    </w:p>
    <w:p w14:paraId="2BD1183A" w14:textId="77777777"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Разница (разрыв) между глобальными объемами выбросов, определенными на основе атмосферных измерений, и объемами заявленных выбросов или выбросов, определенных на основе данных, представленных для целей Рамочной конвенции Организации Объединенных Наций об изменении климата (РКИКООН), а также в Многосторонний фонд для осуществления Монреальского протокола (МФ) и секретариат по озону, сохранилась в 2023 году и осталась существенной.</w:t>
      </w:r>
    </w:p>
    <w:p w14:paraId="0F9B42D6" w14:textId="77777777"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С учетом небольших изменений в период с 2022 по 2023 год в объемах выбросов, определенных на основе изменений в глобальной атмосферной концентрации и доступных заявленных данных о выбросах, разрыв в наших представлениях об объемах выбросов ГФУ-23 в 2023 году, составивший 11,4–12,8 кт/год, сходен с разрывом, определенным для 2022 года в предыдущем докладе о ГФУ-23 (SAP, 2024) и составившем 10,5–12,5 кт/год.</w:t>
      </w:r>
    </w:p>
    <w:p w14:paraId="525FD672" w14:textId="520908FF"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 xml:space="preserve">Разрыв между заявленными выбросами ГФУ-23 и выбросами, рассчитанными на основе данных об атмосферных концентрациях, не может быть устранен путем учета всех известных источников, не связанных с производством ГХФУ-22. Согласно обновленной оценке Группы по техническому обзору и экономической оценке (ГТОЭО), вышедшей в 2025 году, объемы выбросов ГФУ-23 из всех известных источников и заявленные сокращения выбросов после 2020 года составляют 1,6–3,7 кт/год, что значительно меньше, чем объемы атмосферных выбросов, которые в 2023 году составили 14,2 ± 0,7 кт/год. Если добавить к актуализированным оценкам ГТОЭО </w:t>
      </w:r>
      <w:r w:rsidR="00DF4B9B">
        <w:rPr>
          <w:lang w:val="ru-RU"/>
        </w:rPr>
        <w:t xml:space="preserve">выбросы </w:t>
      </w:r>
      <w:r w:rsidR="00DF4B9B" w:rsidRPr="00D151F0">
        <w:rPr>
          <w:lang w:val="ru-RU"/>
        </w:rPr>
        <w:t>фторсодержащих промышленных газов</w:t>
      </w:r>
      <w:r w:rsidR="00DF4B9B" w:rsidRPr="00641A23">
        <w:rPr>
          <w:lang w:val="ru-RU"/>
        </w:rPr>
        <w:t>,</w:t>
      </w:r>
      <w:r w:rsidR="00DF4B9B">
        <w:rPr>
          <w:lang w:val="ru-RU"/>
        </w:rPr>
        <w:t xml:space="preserve"> образовавшиеся</w:t>
      </w:r>
      <w:r w:rsidRPr="00D151F0">
        <w:rPr>
          <w:lang w:val="ru-RU"/>
        </w:rPr>
        <w:t xml:space="preserve"> в результате </w:t>
      </w:r>
      <w:r w:rsidR="00F76049" w:rsidRPr="00D151F0">
        <w:rPr>
          <w:lang w:val="ru-RU"/>
        </w:rPr>
        <w:t xml:space="preserve">окисления </w:t>
      </w:r>
      <w:r w:rsidRPr="00D151F0">
        <w:rPr>
          <w:lang w:val="ru-RU"/>
        </w:rPr>
        <w:t>атмосфер</w:t>
      </w:r>
      <w:r w:rsidR="00F76049">
        <w:rPr>
          <w:lang w:val="ru-RU"/>
        </w:rPr>
        <w:t>ы</w:t>
      </w:r>
      <w:r w:rsidRPr="00D151F0">
        <w:rPr>
          <w:lang w:val="ru-RU"/>
        </w:rPr>
        <w:t>, то разрыв в объемах выбросов в 2023 году составит 9,6–13,3 кт/год.</w:t>
      </w:r>
    </w:p>
    <w:p w14:paraId="41B2B0ED" w14:textId="639733F9"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lastRenderedPageBreak/>
        <w:t>Увеличение разрыва в объемах выбросов в период с 2015 по 2018 год совпадает с увеличением количества сообщений о сокращении выбросов ГФУ-23 в ограниченном числе стран, действующих в рамках статьи 5. После 2019 года разрыв в объемах выбросов сократился с максимального уровня 15 кт/год до 11–12,5 кт/год</w:t>
      </w:r>
      <w:r w:rsidR="00DF4B9B" w:rsidRPr="00641A23">
        <w:rPr>
          <w:lang w:val="ru-RU"/>
        </w:rPr>
        <w:t xml:space="preserve"> </w:t>
      </w:r>
      <w:r w:rsidRPr="00D151F0">
        <w:rPr>
          <w:lang w:val="ru-RU"/>
        </w:rPr>
        <w:t>в 2023 году; сокращения выбросов, о которых сообщали все страны за эти годы, выросли до 23 кт/год в 2023 году.</w:t>
      </w:r>
    </w:p>
    <w:p w14:paraId="7F3A41F2" w14:textId="484C2C33"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Сокращение разрыва в объемах выбросов после 2019 года совпало со снижением соотношения между объемами выбросов, определенных на основе глобальных наблюдений, к заявленным общим объемам производства ГХФУ-22 (В23/П22). Соотношение В23/П22 в 2023</w:t>
      </w:r>
      <w:r w:rsidR="008E0582">
        <w:rPr>
          <w:lang w:val="en-US"/>
        </w:rPr>
        <w:t> </w:t>
      </w:r>
      <w:r w:rsidRPr="00D151F0">
        <w:rPr>
          <w:lang w:val="ru-RU"/>
        </w:rPr>
        <w:t>году составило 1,1% и не изменилось по сравнению с 2022 годом. Сокращение разрыва в объемах выбросов и значений В23/П22 после 2019 года объясняется ростом общего сокращения выбросов ГФУ-23, оптимизацией производства ГХФУ-22 с целью дальнейшей минимизации образования ГФУ-23 в виде побочного продукта и связанных с этим выбросов, а также сокращением выбросов ГФУ-23 из неизвестных или неточно учтенных источников.</w:t>
      </w:r>
    </w:p>
    <w:p w14:paraId="7900D68C" w14:textId="78382AE6"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Наше понимание регионального вклада в глобальные объемы выбросов ГФУ-23 остается неполным. Сумма всех имеющихся оценок региональных выбросов, полученных на основе наблюдений, составила всего 6,1 ± 0,7 кт/год для ГФУ-23 в 2023 году, или 43 ± 10% от глобальных объемов выбросов в этом же году. Эти оценки включают данные о выбросах в ряде стран или в их некоторых районах, которые были актуализированы по состоянию на 2023 год на основе результатов непрерывных атмосферных измерений. Оценки объемов выбросов ГФУ</w:t>
      </w:r>
      <w:r w:rsidR="00D70C7F" w:rsidRPr="00422FE2">
        <w:rPr>
          <w:lang w:val="ru-RU"/>
        </w:rPr>
        <w:noBreakHyphen/>
      </w:r>
      <w:r w:rsidRPr="00D151F0">
        <w:rPr>
          <w:lang w:val="ru-RU"/>
        </w:rPr>
        <w:t>23 в значительном числе регионов по-прежнему не могут быть получены из-за пробелов в атмосферном мониторинге.</w:t>
      </w:r>
    </w:p>
    <w:p w14:paraId="3033BFF5" w14:textId="2456884D"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По данным непрерывных измерений, проводимых на станции Госан в Республике Корея, объемы выбросов ГФУ-23 в 2023 году по оценкам составили 5,6 ± 0,7 кт/год с территории восточной части Китая; 0,23 ± 0,02 кт/год с территории Республики Корея; 0,10</w:t>
      </w:r>
      <w:r w:rsidR="00D70C7F">
        <w:rPr>
          <w:lang w:val="en-US"/>
        </w:rPr>
        <w:t> </w:t>
      </w:r>
      <w:r w:rsidRPr="00D151F0">
        <w:rPr>
          <w:lang w:val="ru-RU"/>
        </w:rPr>
        <w:t>±</w:t>
      </w:r>
      <w:r w:rsidR="00D70C7F">
        <w:rPr>
          <w:lang w:val="en-US"/>
        </w:rPr>
        <w:t> </w:t>
      </w:r>
      <w:r w:rsidRPr="00D151F0">
        <w:rPr>
          <w:lang w:val="ru-RU"/>
        </w:rPr>
        <w:t>0,07 кт/год с территории западной части Японии; и 0,01 ± 0,01 кт/год с территории Корейской Народно-Демократической Республики.</w:t>
      </w:r>
    </w:p>
    <w:p w14:paraId="4C57E0A9" w14:textId="2457B69E"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 xml:space="preserve">Выбросы ГФУ-23 с территории восточной части Китая во все годы после 2019 года были ниже, чем пиковое значение, полученное для 2019 года, </w:t>
      </w:r>
      <w:r w:rsidR="00853FB9">
        <w:rPr>
          <w:lang w:val="ru-RU"/>
        </w:rPr>
        <w:t>–</w:t>
      </w:r>
      <w:r w:rsidRPr="00D151F0">
        <w:rPr>
          <w:lang w:val="ru-RU"/>
        </w:rPr>
        <w:t xml:space="preserve"> 8,0 ± 0</w:t>
      </w:r>
      <w:r w:rsidR="00CF58AB" w:rsidRPr="001A1308">
        <w:rPr>
          <w:lang w:val="ru-RU"/>
        </w:rPr>
        <w:t>,4</w:t>
      </w:r>
      <w:r w:rsidRPr="00D151F0">
        <w:rPr>
          <w:lang w:val="ru-RU"/>
        </w:rPr>
        <w:t xml:space="preserve"> кт/год. Выбросы с территории восточной части Китая в 2023 году были на 4,7 ± 0,7 </w:t>
      </w:r>
      <w:r w:rsidR="00DF4B9B">
        <w:rPr>
          <w:lang w:val="ru-RU"/>
        </w:rPr>
        <w:t>к</w:t>
      </w:r>
      <w:r w:rsidRPr="00D151F0">
        <w:rPr>
          <w:lang w:val="ru-RU"/>
        </w:rPr>
        <w:t>т больше, чем 0,9 кт с территории всего Китая, о которых сообщалось секретариату по озону в этом году, и на эти выбросы приходится 40 ± 10% глобального разрыва в выбросах в 2023 году. Общие объемы выбросов в Республике Корея, западной части Японии и Корейской Народно-Демократическая Республике в 2023 году были значительно меньше, чем в 2018</w:t>
      </w:r>
      <w:r w:rsidR="007A4B5E">
        <w:rPr>
          <w:lang w:val="ru-RU"/>
        </w:rPr>
        <w:t>–</w:t>
      </w:r>
      <w:r w:rsidRPr="00D151F0">
        <w:rPr>
          <w:lang w:val="ru-RU"/>
        </w:rPr>
        <w:t>2022 годах, и оставались более высокими по сравнению с данными, представленными в секретариат по озону или для целей РКИКООН в последние годы, при этом превышение было равно приблизительно 0,3 ± 0,07 кт, что составляет от 1,5 до 3% от разрыва в глобальных объемах выбросов.</w:t>
      </w:r>
    </w:p>
    <w:p w14:paraId="6252983F" w14:textId="77777777"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По результатам непрерывных атмосферных измерений, проводимых в сети станций в Европе, объемы выбросов ГФУ-23 в 2023 году оцениваются в размере 0,15 ± 0,04 кт/год по сумме данных для стран северо-западной Европы, включая Ирландию, Соединенное Королевство, Францию, Нидерланды, Бельгию, Люксембург и Германию. Эти объемы выбросов были на 0,1 ± 0,04 кт выше, чем указано в информации, представленной для целей РКИКООН в 2022 году (последний год, за который имеются данные), и на этот регион приходится от 0,7 до 1,5% разрыва в глобальных объемах выбросов.</w:t>
      </w:r>
    </w:p>
    <w:p w14:paraId="15A79576" w14:textId="77777777"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На основании данных непрерывных атмосферных измерений, проведенных на базовой станции мониторинга загрязнения воздуха «Кейп-Грим» на юге Австралии, объемы выбросов ГФУ-23 в 2023 году с территории Австралии оцениваются в 0,025 кт/год (без учета неопределенности), что на 0,03 кт/год меньше, чем объемы, о которых сообщалось для целей РКИКООН в этом же году.</w:t>
      </w:r>
    </w:p>
    <w:p w14:paraId="591D8AE9" w14:textId="615F12D5" w:rsidR="000F59B8" w:rsidRPr="00D151F0" w:rsidRDefault="000F59B8" w:rsidP="009946B2">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Объемы производства ГХФУ-22 в странах, для которых были рассчитаны региональные объемы выбросов в 2023 году, т.</w:t>
      </w:r>
      <w:r w:rsidR="004970A9">
        <w:rPr>
          <w:lang w:val="ru-RU"/>
        </w:rPr>
        <w:t xml:space="preserve"> </w:t>
      </w:r>
      <w:r w:rsidRPr="00D151F0">
        <w:rPr>
          <w:lang w:val="ru-RU"/>
        </w:rPr>
        <w:t>е. в Китае, Республике Корея, Корейской Народно</w:t>
      </w:r>
      <w:r w:rsidR="00D70C7F" w:rsidRPr="00422FE2">
        <w:rPr>
          <w:lang w:val="ru-RU"/>
        </w:rPr>
        <w:noBreakHyphen/>
      </w:r>
      <w:r w:rsidRPr="00D151F0">
        <w:rPr>
          <w:lang w:val="ru-RU"/>
        </w:rPr>
        <w:t xml:space="preserve">Демократической Республике, Японии, Европейском </w:t>
      </w:r>
      <w:r w:rsidR="004970A9" w:rsidRPr="00D151F0">
        <w:rPr>
          <w:lang w:val="ru-RU"/>
        </w:rPr>
        <w:t>союзе</w:t>
      </w:r>
      <w:r w:rsidRPr="00D151F0">
        <w:rPr>
          <w:lang w:val="ru-RU"/>
        </w:rPr>
        <w:t xml:space="preserve"> и Соединенном Королевстве, составили около 85% от зарегистрированных объемов производства ГХФУ-22 в этом году. В отношении стран (Аргентины, Индии, Мексики, Российской Федерации и Соединенных Штатов Америки), на которые приходится остальная часть объемов производства Г</w:t>
      </w:r>
      <w:r w:rsidR="00CF58AB">
        <w:rPr>
          <w:lang w:val="ru-RU"/>
        </w:rPr>
        <w:t>Х</w:t>
      </w:r>
      <w:r w:rsidRPr="00D151F0">
        <w:rPr>
          <w:lang w:val="ru-RU"/>
        </w:rPr>
        <w:t>ФУ-22, о которых сообщалось секретариату по озону в 2023 году, оценки объемов атмосферных выбросов ГФУ-23 в условиях действия Кигалийской поправки (т. е. после 2019</w:t>
      </w:r>
      <w:r w:rsidR="00CF58AB">
        <w:rPr>
          <w:lang w:val="ru-RU"/>
        </w:rPr>
        <w:t> </w:t>
      </w:r>
      <w:r w:rsidRPr="00D151F0">
        <w:rPr>
          <w:lang w:val="ru-RU"/>
        </w:rPr>
        <w:t>года) по-прежнему отсутствуют.</w:t>
      </w:r>
    </w:p>
    <w:p w14:paraId="5D66EB94" w14:textId="1BD70E47" w:rsidR="000F59B8" w:rsidRPr="00D151F0" w:rsidRDefault="00D70C7F" w:rsidP="00C22A00">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lastRenderedPageBreak/>
        <w:tab/>
      </w:r>
      <w:r w:rsidR="000F59B8" w:rsidRPr="00D151F0">
        <w:rPr>
          <w:bCs/>
          <w:lang w:val="ru-RU"/>
        </w:rPr>
        <w:t>B.</w:t>
      </w:r>
      <w:r w:rsidR="000F59B8" w:rsidRPr="00D151F0">
        <w:rPr>
          <w:lang w:val="ru-RU"/>
        </w:rPr>
        <w:tab/>
      </w:r>
      <w:r w:rsidR="000F59B8" w:rsidRPr="00D151F0">
        <w:rPr>
          <w:bCs/>
          <w:lang w:val="ru-RU"/>
        </w:rPr>
        <w:t>Доклад Группы по техническому обзору и экономической оценке о выполнении решения XXXVI/3</w:t>
      </w:r>
    </w:p>
    <w:p w14:paraId="50686BED" w14:textId="77777777" w:rsidR="000F59B8" w:rsidRPr="00D151F0" w:rsidRDefault="000F59B8" w:rsidP="00D70C7F">
      <w:pPr>
        <w:pStyle w:val="Normalnumber"/>
        <w:tabs>
          <w:tab w:val="clear" w:pos="1247"/>
          <w:tab w:val="clear" w:pos="1814"/>
          <w:tab w:val="clear" w:pos="2381"/>
          <w:tab w:val="clear" w:pos="2948"/>
          <w:tab w:val="clear" w:pos="3515"/>
        </w:tabs>
        <w:ind w:left="1247"/>
        <w:rPr>
          <w:lang w:val="ru-RU"/>
        </w:rPr>
      </w:pPr>
      <w:r w:rsidRPr="00D151F0">
        <w:rPr>
          <w:lang w:val="ru-RU"/>
        </w:rPr>
        <w:t>Такеши Эригучи, сопредседатель Комитета по техническим вариантам замены медицинских видов применения и химических веществ (КТВМХ), представил Ника Кэмпбелла, который внес на рассмотрение доклад ГТОЭО о выполнении решения XXXVI/3 о выбросах ГФУ-23.</w:t>
      </w:r>
    </w:p>
    <w:p w14:paraId="510130CC" w14:textId="2A4BDDFA" w:rsidR="000F59B8" w:rsidRPr="00D151F0" w:rsidRDefault="000F59B8" w:rsidP="00D70C7F">
      <w:pPr>
        <w:pStyle w:val="Normalnumber"/>
        <w:tabs>
          <w:tab w:val="clear" w:pos="1247"/>
          <w:tab w:val="clear" w:pos="1814"/>
          <w:tab w:val="clear" w:pos="2381"/>
          <w:tab w:val="clear" w:pos="2948"/>
          <w:tab w:val="clear" w:pos="3515"/>
        </w:tabs>
        <w:ind w:left="1247"/>
        <w:rPr>
          <w:lang w:val="ru-RU"/>
        </w:rPr>
      </w:pPr>
      <w:r w:rsidRPr="00D151F0">
        <w:rPr>
          <w:lang w:val="ru-RU"/>
        </w:rPr>
        <w:t>Г-н Кэмпбелл заявил, что перед ГТОЭО была поставлена задача обновить предыдущие доклады о выбросах ГФУ-23 и провести сравнительный анализ передовых методов измерения и проверки. Сообщение касалось только обновлений, а сравнение передовых методов было включено в полный доклад. Он отметил, что в число основных докладов, ранее подготовленных ГТОЭО, входят доклад КТВМХ (2022 год) и ответы ГТОЭО на решения</w:t>
      </w:r>
      <w:r w:rsidR="00D70C7F">
        <w:rPr>
          <w:lang w:val="en-US"/>
        </w:rPr>
        <w:t> </w:t>
      </w:r>
      <w:r w:rsidRPr="00D151F0">
        <w:rPr>
          <w:lang w:val="ru-RU"/>
        </w:rPr>
        <w:t>XXXIV/7 и XXXV/7, касающиеся выбросов ГФУ-23. КТВМХ руководил подготовкой доклада, сотрудничая с Группой по научной оценке (ГНО) для подготовки согласованных выводов, включающих обновленную информацию о выбросах в результате потребительского использования ГФУ-23 и побочных продуктов от других веществ.</w:t>
      </w:r>
    </w:p>
    <w:p w14:paraId="35B9E9D0" w14:textId="01E0FC7E" w:rsidR="000F59B8" w:rsidRPr="00D151F0" w:rsidRDefault="000F59B8" w:rsidP="00D70C7F">
      <w:pPr>
        <w:pStyle w:val="Normalnumber"/>
        <w:tabs>
          <w:tab w:val="clear" w:pos="1247"/>
          <w:tab w:val="clear" w:pos="1814"/>
          <w:tab w:val="clear" w:pos="2381"/>
          <w:tab w:val="clear" w:pos="2948"/>
          <w:tab w:val="clear" w:pos="3515"/>
        </w:tabs>
        <w:ind w:left="1247"/>
        <w:rPr>
          <w:lang w:val="ru-RU"/>
        </w:rPr>
      </w:pPr>
      <w:r w:rsidRPr="00D151F0">
        <w:rPr>
          <w:lang w:val="ru-RU"/>
        </w:rPr>
        <w:t>Для справки было отмечено, что ГФУ-23 образуется посредством различных химических процессов в ходе производства, включая избыточную реакцию и непреднамеренные побочные реакции. Данные о потреблении ГФУ-23 ограничены, поскольку ГФУ-23 производится в основном в качестве исходного сырья и имеет очень мало видов применения, связанных с выбросами. Глобальные объемы потребления ГФУ-23 в 2023 году составили от 1000 до 10 000 т, причем в период с 2021 по 2023 год они значительно увеличились, в частности, за счет применения в электронике.</w:t>
      </w:r>
    </w:p>
    <w:p w14:paraId="384B9306" w14:textId="2F431869" w:rsidR="000F59B8" w:rsidRPr="00D151F0" w:rsidRDefault="000F59B8" w:rsidP="00D70C7F">
      <w:pPr>
        <w:pStyle w:val="Normalnumber"/>
        <w:tabs>
          <w:tab w:val="clear" w:pos="1247"/>
          <w:tab w:val="clear" w:pos="1814"/>
          <w:tab w:val="clear" w:pos="2381"/>
          <w:tab w:val="clear" w:pos="2948"/>
          <w:tab w:val="clear" w:pos="3515"/>
        </w:tabs>
        <w:ind w:left="1247"/>
        <w:rPr>
          <w:lang w:val="ru-RU"/>
        </w:rPr>
      </w:pPr>
      <w:r w:rsidRPr="00D151F0">
        <w:rPr>
          <w:lang w:val="ru-RU"/>
        </w:rPr>
        <w:t>Г-н Кэмпбелл представил обновленную оценку объемов ГФУ-23, образующегося при выбросах на предприятиях по производству фторированных газов, и сообщил, что общие объемы производства ГХФУ-22 в 2023 году составляют 1 174 751 т, а объемы образования ГФУ-23 в качестве побочного продукта по оценкам составляют от 18 000 до 36 000 т. При этом не учитывалось сжигание ГФУ-23 на предприятиях. Зарегистрированные объемы выбросов ГФУ-23 при производстве фторированных газов Сторонами составили 959 т в 2023 году.</w:t>
      </w:r>
    </w:p>
    <w:p w14:paraId="46542B70" w14:textId="3B613007" w:rsidR="000F59B8" w:rsidRPr="00D151F0" w:rsidRDefault="000F59B8" w:rsidP="00D70C7F">
      <w:pPr>
        <w:pStyle w:val="Normalnumber"/>
        <w:tabs>
          <w:tab w:val="clear" w:pos="1247"/>
          <w:tab w:val="clear" w:pos="1814"/>
          <w:tab w:val="clear" w:pos="2381"/>
          <w:tab w:val="clear" w:pos="2948"/>
          <w:tab w:val="clear" w:pos="3515"/>
        </w:tabs>
        <w:ind w:left="1247"/>
      </w:pPr>
      <w:r w:rsidRPr="00D151F0">
        <w:rPr>
          <w:lang w:val="ru-RU"/>
        </w:rPr>
        <w:t>Была представлена таблица с обновленными ГТОЭО оценками объемов выбросов ГФУ</w:t>
      </w:r>
      <w:r w:rsidR="001A145A" w:rsidRPr="00422FE2">
        <w:rPr>
          <w:lang w:val="ru-RU"/>
        </w:rPr>
        <w:noBreakHyphen/>
      </w:r>
      <w:r w:rsidRPr="00D151F0">
        <w:rPr>
          <w:lang w:val="ru-RU"/>
        </w:rPr>
        <w:t>23 из известных источников: 1600–3700 т в год. Методом нисходящей оценки ГНО получила величину 14 200 ± 700 т за 2023 год.</w:t>
      </w:r>
    </w:p>
    <w:p w14:paraId="261354DC" w14:textId="77777777" w:rsidR="000F59B8" w:rsidRPr="00D151F0" w:rsidRDefault="000F59B8" w:rsidP="00D70C7F">
      <w:pPr>
        <w:pStyle w:val="Normalnumber"/>
        <w:tabs>
          <w:tab w:val="clear" w:pos="1247"/>
          <w:tab w:val="clear" w:pos="1814"/>
          <w:tab w:val="clear" w:pos="2381"/>
          <w:tab w:val="clear" w:pos="2948"/>
          <w:tab w:val="clear" w:pos="3515"/>
        </w:tabs>
        <w:ind w:left="1247"/>
        <w:rPr>
          <w:lang w:val="ru-RU"/>
        </w:rPr>
      </w:pPr>
      <w:r w:rsidRPr="00D151F0">
        <w:rPr>
          <w:lang w:val="ru-RU"/>
        </w:rPr>
        <w:t>В качестве обобщения было отмечено, что в понимании глобальных выбросов ГФУ-23 остается значительный пробел, а разрыв между заявленными и полученными на основе атмосферных данных оценками составляет от 9,6 до 13,3 кт/год. ГТОЭО считает, что она включила в показатели, полученные методом восходящей оценки, все основные известные источники ГФУ-23 и что небольшая неопределенность в этих оценках не может объяснить разрыв в объемах выбросов.</w:t>
      </w:r>
    </w:p>
    <w:p w14:paraId="4EAB4859" w14:textId="2FBC6726" w:rsidR="000F59B8" w:rsidRPr="00D151F0" w:rsidRDefault="001A145A" w:rsidP="00C22A00">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tab/>
      </w:r>
      <w:r w:rsidR="000F59B8" w:rsidRPr="00D151F0">
        <w:rPr>
          <w:bCs/>
          <w:lang w:val="ru-RU"/>
        </w:rPr>
        <w:t>C.</w:t>
      </w:r>
      <w:r w:rsidR="000F59B8" w:rsidRPr="00D151F0">
        <w:rPr>
          <w:lang w:val="ru-RU"/>
        </w:rPr>
        <w:tab/>
      </w:r>
      <w:r w:rsidR="000F59B8" w:rsidRPr="00D151F0">
        <w:rPr>
          <w:bCs/>
          <w:lang w:val="ru-RU"/>
        </w:rPr>
        <w:t>Сообщения групп по оценке о ходе их работы и возникающих вопросах для четырехгодичной оценк</w:t>
      </w:r>
      <w:r w:rsidR="00604F65">
        <w:rPr>
          <w:bCs/>
          <w:lang w:val="ru-RU"/>
        </w:rPr>
        <w:t>и</w:t>
      </w:r>
      <w:r w:rsidR="000F59B8" w:rsidRPr="00D151F0">
        <w:rPr>
          <w:bCs/>
          <w:lang w:val="ru-RU"/>
        </w:rPr>
        <w:t>, которая будет выпущена в 2026 году</w:t>
      </w:r>
    </w:p>
    <w:p w14:paraId="1C0362AA" w14:textId="30D0EAD7" w:rsidR="000F59B8" w:rsidRPr="00D151F0" w:rsidRDefault="001A145A" w:rsidP="00C22A00">
      <w:pPr>
        <w:pStyle w:val="CH3"/>
        <w:keepNext w:val="0"/>
        <w:keepLines w:val="0"/>
        <w:tabs>
          <w:tab w:val="clear" w:pos="1247"/>
          <w:tab w:val="clear" w:pos="1871"/>
          <w:tab w:val="clear" w:pos="2495"/>
          <w:tab w:val="clear" w:pos="3119"/>
          <w:tab w:val="clear" w:pos="3742"/>
          <w:tab w:val="clear" w:pos="4366"/>
          <w:tab w:val="clear" w:pos="4990"/>
        </w:tabs>
        <w:spacing w:before="0"/>
        <w:ind w:right="284"/>
      </w:pPr>
      <w:r w:rsidRPr="00422FE2">
        <w:rPr>
          <w:bCs/>
          <w:lang w:val="ru-RU"/>
        </w:rPr>
        <w:tab/>
      </w:r>
      <w:r w:rsidR="000F59B8" w:rsidRPr="00D151F0">
        <w:rPr>
          <w:bCs/>
          <w:lang w:val="ru-RU"/>
        </w:rPr>
        <w:t>1.</w:t>
      </w:r>
      <w:r w:rsidR="000F59B8" w:rsidRPr="00D151F0">
        <w:rPr>
          <w:lang w:val="ru-RU"/>
        </w:rPr>
        <w:tab/>
      </w:r>
      <w:r w:rsidR="000F59B8" w:rsidRPr="00D151F0">
        <w:rPr>
          <w:bCs/>
          <w:lang w:val="ru-RU"/>
        </w:rPr>
        <w:t>Сообщение Группы по научной оценке</w:t>
      </w:r>
    </w:p>
    <w:p w14:paraId="48ECCF8D" w14:textId="77777777" w:rsidR="000F59B8" w:rsidRPr="00D151F0" w:rsidRDefault="000F59B8" w:rsidP="001A145A">
      <w:pPr>
        <w:pStyle w:val="Normalnumber"/>
        <w:tabs>
          <w:tab w:val="clear" w:pos="1247"/>
          <w:tab w:val="clear" w:pos="1814"/>
          <w:tab w:val="clear" w:pos="2381"/>
          <w:tab w:val="clear" w:pos="2948"/>
          <w:tab w:val="clear" w:pos="3515"/>
        </w:tabs>
        <w:ind w:left="1247"/>
        <w:rPr>
          <w:lang w:val="ru-RU"/>
        </w:rPr>
      </w:pPr>
      <w:r w:rsidRPr="00D151F0">
        <w:rPr>
          <w:lang w:val="ru-RU"/>
        </w:rPr>
        <w:t>В сообщении была представлена более чем сорокалетняя история «Научной оценки истощения озонового слоя». Сторонам напомнили о техническом задании Группы по научной оценке и показали, как будет организован доклад в соответствии с этим заданием. Если оставить организацию глав такой же, как и в предыдущей оценке, это позволит эффективно выполнить техническое задание в полном объеме.</w:t>
      </w:r>
    </w:p>
    <w:p w14:paraId="3FE32C1D" w14:textId="77777777" w:rsidR="000F59B8" w:rsidRPr="00D151F0" w:rsidRDefault="000F59B8" w:rsidP="001A145A">
      <w:pPr>
        <w:pStyle w:val="Normalnumber"/>
        <w:tabs>
          <w:tab w:val="clear" w:pos="1247"/>
          <w:tab w:val="clear" w:pos="1814"/>
          <w:tab w:val="clear" w:pos="2381"/>
          <w:tab w:val="clear" w:pos="2948"/>
          <w:tab w:val="clear" w:pos="3515"/>
        </w:tabs>
        <w:ind w:left="1247"/>
        <w:rPr>
          <w:lang w:val="ru-RU"/>
        </w:rPr>
      </w:pPr>
      <w:r w:rsidRPr="00D151F0">
        <w:rPr>
          <w:lang w:val="ru-RU"/>
        </w:rPr>
        <w:t>Руководители подготовки каждой главы имеют различное гражданство и гендерную принадлежность, а также находятся на разных этапах карьерного развития. С учетом соавторов</w:t>
      </w:r>
      <w:r>
        <w:rPr>
          <w:lang w:val="ru-RU"/>
        </w:rPr>
        <w:t xml:space="preserve"> они</w:t>
      </w:r>
      <w:r w:rsidRPr="00D151F0">
        <w:rPr>
          <w:lang w:val="ru-RU"/>
        </w:rPr>
        <w:t xml:space="preserve"> представл</w:t>
      </w:r>
      <w:r>
        <w:rPr>
          <w:lang w:val="ru-RU"/>
        </w:rPr>
        <w:t>яют</w:t>
      </w:r>
      <w:r w:rsidRPr="00D151F0">
        <w:rPr>
          <w:lang w:val="ru-RU"/>
        </w:rPr>
        <w:t xml:space="preserve"> 17 стран,</w:t>
      </w:r>
      <w:r>
        <w:rPr>
          <w:lang w:val="ru-RU"/>
        </w:rPr>
        <w:t xml:space="preserve"> однако если </w:t>
      </w:r>
      <w:r w:rsidRPr="00D151F0">
        <w:rPr>
          <w:lang w:val="ru-RU"/>
        </w:rPr>
        <w:t>включить остальных участников процесса подготовки глав и рецензирования, представительство будет гораздо шире.</w:t>
      </w:r>
    </w:p>
    <w:p w14:paraId="092030DA" w14:textId="6BE6FC53" w:rsidR="000F59B8" w:rsidRPr="00D151F0" w:rsidRDefault="000F59B8" w:rsidP="001A145A">
      <w:pPr>
        <w:pStyle w:val="Normalnumber"/>
        <w:tabs>
          <w:tab w:val="clear" w:pos="1247"/>
          <w:tab w:val="clear" w:pos="1814"/>
          <w:tab w:val="clear" w:pos="2381"/>
          <w:tab w:val="clear" w:pos="2948"/>
          <w:tab w:val="clear" w:pos="3515"/>
        </w:tabs>
        <w:ind w:left="1247"/>
        <w:rPr>
          <w:lang w:val="ru-RU"/>
        </w:rPr>
      </w:pPr>
      <w:r w:rsidRPr="00D151F0">
        <w:rPr>
          <w:lang w:val="ru-RU"/>
        </w:rPr>
        <w:t xml:space="preserve">Внесенный на рассмотрение график подготовки четырехгодичного доклада демонстрирует, что оценка идет по плану и будет готова к представлению на следующем Совещании Сторон. В сообщении также </w:t>
      </w:r>
      <w:r>
        <w:rPr>
          <w:lang w:val="ru-RU"/>
        </w:rPr>
        <w:t xml:space="preserve">упоминались </w:t>
      </w:r>
      <w:r w:rsidRPr="00D151F0">
        <w:rPr>
          <w:lang w:val="ru-RU"/>
        </w:rPr>
        <w:t>прочие документы, из которых авторы берут информацию для некоторых глав.</w:t>
      </w:r>
    </w:p>
    <w:p w14:paraId="32FEC648" w14:textId="17D06FE9" w:rsidR="000F59B8" w:rsidRPr="00D151F0" w:rsidRDefault="000F59B8" w:rsidP="001A145A">
      <w:pPr>
        <w:pStyle w:val="Normalnumber"/>
        <w:tabs>
          <w:tab w:val="clear" w:pos="1247"/>
          <w:tab w:val="clear" w:pos="1814"/>
          <w:tab w:val="clear" w:pos="2381"/>
          <w:tab w:val="clear" w:pos="2948"/>
          <w:tab w:val="clear" w:pos="3515"/>
        </w:tabs>
        <w:ind w:left="1247"/>
        <w:rPr>
          <w:lang w:val="ru-RU"/>
        </w:rPr>
      </w:pPr>
      <w:r w:rsidRPr="00D151F0">
        <w:rPr>
          <w:lang w:val="ru-RU"/>
        </w:rPr>
        <w:t>Затем в сообщении был</w:t>
      </w:r>
      <w:r w:rsidR="00010544">
        <w:rPr>
          <w:lang w:val="ru-RU"/>
        </w:rPr>
        <w:t>и</w:t>
      </w:r>
      <w:r w:rsidRPr="00D151F0">
        <w:rPr>
          <w:lang w:val="ru-RU"/>
        </w:rPr>
        <w:t xml:space="preserve"> затронут</w:t>
      </w:r>
      <w:r>
        <w:rPr>
          <w:lang w:val="ru-RU"/>
        </w:rPr>
        <w:t>ы</w:t>
      </w:r>
      <w:r w:rsidRPr="00D151F0">
        <w:rPr>
          <w:lang w:val="ru-RU"/>
        </w:rPr>
        <w:t xml:space="preserve"> </w:t>
      </w:r>
      <w:r>
        <w:rPr>
          <w:lang w:val="ru-RU"/>
        </w:rPr>
        <w:t>все главы</w:t>
      </w:r>
      <w:r w:rsidRPr="00D151F0">
        <w:rPr>
          <w:lang w:val="ru-RU"/>
        </w:rPr>
        <w:t xml:space="preserve"> и были представлены один или два научных вывода из каждой главы, поскольку первые проекты глав уже существуют и имеются для обзора. В том числе говорилось об обновлении приложения, содержащего важнейшие </w:t>
      </w:r>
      <w:r w:rsidRPr="00D151F0">
        <w:rPr>
          <w:lang w:val="ru-RU"/>
        </w:rPr>
        <w:lastRenderedPageBreak/>
        <w:t>физические научные данные о молекулах многих веществ, имеющих отношение к Монреальскому протоколу. В приложение</w:t>
      </w:r>
      <w:r>
        <w:rPr>
          <w:lang w:val="ru-RU"/>
        </w:rPr>
        <w:t xml:space="preserve"> была</w:t>
      </w:r>
      <w:r w:rsidRPr="00D151F0">
        <w:rPr>
          <w:lang w:val="ru-RU"/>
        </w:rPr>
        <w:t xml:space="preserve"> добавлена таблица, представляющая фундаментальные знания о том, как газы, регулируемые в рамках Монреальского протокола и связанные с ними газы распадаются на основные стойкие кислоты (и ГФУ-23), которым Сторон</w:t>
      </w:r>
      <w:r>
        <w:rPr>
          <w:lang w:val="ru-RU"/>
        </w:rPr>
        <w:t>ы</w:t>
      </w:r>
      <w:r w:rsidRPr="00D151F0">
        <w:rPr>
          <w:lang w:val="ru-RU"/>
        </w:rPr>
        <w:t xml:space="preserve"> Протокола и общественность уделяют особое внимание. Таблица будет служить надежным справочным источником для будущей работы Группы по научной оценке, Группы по техническому обзору и экономической оценке и Группы по оценке экологических последствий.</w:t>
      </w:r>
    </w:p>
    <w:p w14:paraId="73097CA3" w14:textId="7B6532CF" w:rsidR="000F59B8" w:rsidRPr="00D151F0" w:rsidRDefault="000F59B8" w:rsidP="001A145A">
      <w:pPr>
        <w:pStyle w:val="Normalnumber"/>
        <w:tabs>
          <w:tab w:val="clear" w:pos="1247"/>
          <w:tab w:val="clear" w:pos="1814"/>
          <w:tab w:val="clear" w:pos="2381"/>
          <w:tab w:val="clear" w:pos="2948"/>
          <w:tab w:val="clear" w:pos="3515"/>
        </w:tabs>
        <w:ind w:left="1247"/>
        <w:rPr>
          <w:lang w:val="ru-RU"/>
        </w:rPr>
      </w:pPr>
      <w:r w:rsidRPr="00D151F0">
        <w:rPr>
          <w:lang w:val="ru-RU"/>
        </w:rPr>
        <w:t>Наконец, в сообщении было охарактеризовано состояние Антарктической озоновой дыры в 2025 году в сравнении с предыдущими годами. Согласно некоторым традиционным показателям, озоновая дыра имеет умеренные размеры несколько ниже средних. Более комплексный</w:t>
      </w:r>
      <w:r w:rsidR="00DF4B9B">
        <w:rPr>
          <w:lang w:val="ru-RU"/>
        </w:rPr>
        <w:t xml:space="preserve"> </w:t>
      </w:r>
      <w:r w:rsidRPr="00D151F0">
        <w:rPr>
          <w:lang w:val="ru-RU"/>
        </w:rPr>
        <w:t>показатель</w:t>
      </w:r>
      <w:r w:rsidR="00DF4B9B">
        <w:rPr>
          <w:lang w:val="ru-RU"/>
        </w:rPr>
        <w:t xml:space="preserve"> потерь</w:t>
      </w:r>
      <w:r w:rsidRPr="00D151F0">
        <w:rPr>
          <w:lang w:val="ru-RU"/>
        </w:rPr>
        <w:t xml:space="preserve"> озона демонстрирует, что в 2025 году общ</w:t>
      </w:r>
      <w:r w:rsidR="00DF4B9B">
        <w:rPr>
          <w:lang w:val="ru-RU"/>
        </w:rPr>
        <w:t>ие</w:t>
      </w:r>
      <w:r w:rsidRPr="00D151F0">
        <w:rPr>
          <w:lang w:val="ru-RU"/>
        </w:rPr>
        <w:t xml:space="preserve"> </w:t>
      </w:r>
      <w:r w:rsidR="00DF4B9B">
        <w:rPr>
          <w:lang w:val="ru-RU"/>
        </w:rPr>
        <w:t>потери</w:t>
      </w:r>
      <w:r w:rsidRPr="00D151F0">
        <w:rPr>
          <w:lang w:val="ru-RU"/>
        </w:rPr>
        <w:t xml:space="preserve"> озона </w:t>
      </w:r>
      <w:r>
        <w:rPr>
          <w:lang w:val="ru-RU"/>
        </w:rPr>
        <w:t>значительно ниже</w:t>
      </w:r>
      <w:r w:rsidRPr="00D151F0">
        <w:rPr>
          <w:lang w:val="ru-RU"/>
        </w:rPr>
        <w:t>, чем в период 1990–2010 годов. В этом году озоновая дыра рассеивается гораздо раньше, чем в прошлом, из-за повышенной атмосферной нестабильности по сравнению с предыдущими годами.</w:t>
      </w:r>
    </w:p>
    <w:p w14:paraId="4DFF7A2A" w14:textId="6C052CFE" w:rsidR="000F59B8" w:rsidRPr="00D151F0" w:rsidRDefault="00BD68B3" w:rsidP="00C22A00">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tab/>
      </w:r>
      <w:r w:rsidR="000F59B8" w:rsidRPr="00D151F0">
        <w:rPr>
          <w:bCs/>
          <w:lang w:val="ru-RU"/>
        </w:rPr>
        <w:t>2.</w:t>
      </w:r>
      <w:r w:rsidR="000F59B8" w:rsidRPr="00D151F0">
        <w:rPr>
          <w:lang w:val="ru-RU"/>
        </w:rPr>
        <w:tab/>
      </w:r>
      <w:r w:rsidR="000F59B8" w:rsidRPr="00D151F0">
        <w:rPr>
          <w:bCs/>
          <w:lang w:val="ru-RU"/>
        </w:rPr>
        <w:t>Сообщение Группы по оценке экологических последствий</w:t>
      </w:r>
    </w:p>
    <w:p w14:paraId="5CFE8E53" w14:textId="77777777" w:rsidR="000F59B8" w:rsidRPr="00D151F0" w:rsidRDefault="000F59B8" w:rsidP="00BD68B3">
      <w:pPr>
        <w:pStyle w:val="Normalnumber"/>
        <w:numPr>
          <w:ilvl w:val="0"/>
          <w:numId w:val="32"/>
        </w:numPr>
        <w:tabs>
          <w:tab w:val="clear" w:pos="1247"/>
          <w:tab w:val="clear" w:pos="1814"/>
          <w:tab w:val="clear" w:pos="2381"/>
          <w:tab w:val="clear" w:pos="2948"/>
          <w:tab w:val="clear" w:pos="3515"/>
        </w:tabs>
        <w:ind w:left="1247"/>
        <w:rPr>
          <w:lang w:val="ru-RU"/>
        </w:rPr>
      </w:pPr>
      <w:r w:rsidRPr="00D151F0">
        <w:rPr>
          <w:lang w:val="ru-RU"/>
        </w:rPr>
        <w:t xml:space="preserve">От имени Группы по оценке экологических последствий (ГОЭП) и </w:t>
      </w:r>
      <w:r>
        <w:rPr>
          <w:lang w:val="ru-RU"/>
        </w:rPr>
        <w:t xml:space="preserve">ее </w:t>
      </w:r>
      <w:r w:rsidRPr="00D151F0">
        <w:rPr>
          <w:lang w:val="ru-RU"/>
        </w:rPr>
        <w:t>сопредседателя Пола Барнса сопредседатель Джанет Борнман представила краткое описание хода работы и возникающих вопросов для четырехгодичной оценки (2026 год)</w:t>
      </w:r>
      <w:r>
        <w:rPr>
          <w:lang w:val="ru-RU"/>
        </w:rPr>
        <w:t xml:space="preserve"> в контексте </w:t>
      </w:r>
      <w:r w:rsidRPr="00D151F0">
        <w:rPr>
          <w:lang w:val="ru-RU"/>
        </w:rPr>
        <w:t>экологически</w:t>
      </w:r>
      <w:r>
        <w:rPr>
          <w:lang w:val="ru-RU"/>
        </w:rPr>
        <w:t xml:space="preserve">х </w:t>
      </w:r>
      <w:r w:rsidRPr="00D151F0">
        <w:rPr>
          <w:lang w:val="ru-RU"/>
        </w:rPr>
        <w:t>последстви</w:t>
      </w:r>
      <w:r>
        <w:rPr>
          <w:lang w:val="ru-RU"/>
        </w:rPr>
        <w:t>й</w:t>
      </w:r>
      <w:r w:rsidRPr="00D151F0">
        <w:rPr>
          <w:lang w:val="ru-RU"/>
        </w:rPr>
        <w:t xml:space="preserve"> разрушения стратосферного озона, УФ-излучения и взаимодействий с изменением климата. </w:t>
      </w:r>
    </w:p>
    <w:p w14:paraId="2CA6E3AA" w14:textId="4B885153" w:rsidR="000F59B8" w:rsidRPr="00D151F0" w:rsidRDefault="000F59B8" w:rsidP="00BD68B3">
      <w:pPr>
        <w:pStyle w:val="Normalnumber"/>
        <w:tabs>
          <w:tab w:val="clear" w:pos="1247"/>
          <w:tab w:val="clear" w:pos="1814"/>
          <w:tab w:val="clear" w:pos="2381"/>
          <w:tab w:val="clear" w:pos="2948"/>
          <w:tab w:val="clear" w:pos="3515"/>
        </w:tabs>
        <w:ind w:left="1247"/>
        <w:rPr>
          <w:lang w:val="ru-RU"/>
        </w:rPr>
      </w:pPr>
      <w:r w:rsidRPr="00D151F0">
        <w:rPr>
          <w:lang w:val="ru-RU"/>
        </w:rPr>
        <w:t xml:space="preserve">Были представлены сроки проведения четырехгодичной оценки </w:t>
      </w:r>
      <w:r w:rsidR="00DF4B9B">
        <w:rPr>
          <w:lang w:val="ru-RU"/>
        </w:rPr>
        <w:t>на</w:t>
      </w:r>
      <w:r w:rsidRPr="00D151F0">
        <w:rPr>
          <w:lang w:val="ru-RU"/>
        </w:rPr>
        <w:t xml:space="preserve"> 2025 и 2026 год</w:t>
      </w:r>
      <w:r w:rsidR="00DF4B9B">
        <w:rPr>
          <w:lang w:val="ru-RU"/>
        </w:rPr>
        <w:t>ы</w:t>
      </w:r>
      <w:r w:rsidRPr="00D151F0">
        <w:rPr>
          <w:lang w:val="ru-RU"/>
        </w:rPr>
        <w:t xml:space="preserve"> а также обзор 10 глав: </w:t>
      </w:r>
      <w:r>
        <w:rPr>
          <w:lang w:val="ru-RU"/>
        </w:rPr>
        <w:t>«</w:t>
      </w:r>
      <w:r w:rsidRPr="00D151F0">
        <w:rPr>
          <w:lang w:val="ru-RU"/>
        </w:rPr>
        <w:t>Изменения в озоновом слое и ультрафиолетовом излучении и их взаимодействие с климатической системой</w:t>
      </w:r>
      <w:r>
        <w:rPr>
          <w:lang w:val="ru-RU"/>
        </w:rPr>
        <w:t>»</w:t>
      </w:r>
      <w:r w:rsidRPr="00D151F0">
        <w:rPr>
          <w:lang w:val="ru-RU"/>
        </w:rPr>
        <w:t xml:space="preserve">, </w:t>
      </w:r>
      <w:r>
        <w:rPr>
          <w:lang w:val="ru-RU"/>
        </w:rPr>
        <w:t>«</w:t>
      </w:r>
      <w:r w:rsidRPr="00D151F0">
        <w:rPr>
          <w:lang w:val="ru-RU"/>
        </w:rPr>
        <w:t>Потенциальные последствия распыления аэрозоля в стратосфере</w:t>
      </w:r>
      <w:r>
        <w:rPr>
          <w:lang w:val="ru-RU"/>
        </w:rPr>
        <w:t>»</w:t>
      </w:r>
      <w:r w:rsidRPr="00D151F0">
        <w:rPr>
          <w:lang w:val="ru-RU"/>
        </w:rPr>
        <w:t xml:space="preserve">, </w:t>
      </w:r>
      <w:r>
        <w:rPr>
          <w:lang w:val="ru-RU"/>
        </w:rPr>
        <w:t>«</w:t>
      </w:r>
      <w:r w:rsidRPr="00D151F0">
        <w:rPr>
          <w:lang w:val="ru-RU"/>
        </w:rPr>
        <w:t>Эффекты, вызванные ультрафиолетовым излучением в тропосфере</w:t>
      </w:r>
      <w:r>
        <w:rPr>
          <w:lang w:val="ru-RU"/>
        </w:rPr>
        <w:t>»</w:t>
      </w:r>
      <w:r w:rsidRPr="00D151F0">
        <w:rPr>
          <w:lang w:val="ru-RU"/>
        </w:rPr>
        <w:t xml:space="preserve">, </w:t>
      </w:r>
      <w:r>
        <w:rPr>
          <w:lang w:val="ru-RU"/>
        </w:rPr>
        <w:t>«</w:t>
      </w:r>
      <w:r w:rsidRPr="00D151F0">
        <w:rPr>
          <w:lang w:val="ru-RU"/>
        </w:rPr>
        <w:t>Пер- и полифторалкильные вещества (ПФАВ), связанные с Монреальским протоколом: определения, значение и последствия</w:t>
      </w:r>
      <w:r>
        <w:rPr>
          <w:lang w:val="ru-RU"/>
        </w:rPr>
        <w:t>»</w:t>
      </w:r>
      <w:r w:rsidRPr="00D151F0">
        <w:rPr>
          <w:lang w:val="ru-RU"/>
        </w:rPr>
        <w:t xml:space="preserve">, </w:t>
      </w:r>
      <w:r>
        <w:rPr>
          <w:lang w:val="ru-RU"/>
        </w:rPr>
        <w:t>«</w:t>
      </w:r>
      <w:r w:rsidRPr="00D151F0">
        <w:rPr>
          <w:lang w:val="ru-RU"/>
        </w:rPr>
        <w:t>Химические свойства, поведение в окружающей среде и токсикология заменителей озоноразрушающих веществ и продуктов их распада</w:t>
      </w:r>
      <w:r>
        <w:rPr>
          <w:lang w:val="ru-RU"/>
        </w:rPr>
        <w:t>»</w:t>
      </w:r>
      <w:r w:rsidRPr="00D151F0">
        <w:rPr>
          <w:lang w:val="ru-RU"/>
        </w:rPr>
        <w:t>,</w:t>
      </w:r>
      <w:r>
        <w:rPr>
          <w:lang w:val="ru-RU"/>
        </w:rPr>
        <w:t xml:space="preserve"> «</w:t>
      </w:r>
      <w:r w:rsidRPr="00D151F0">
        <w:rPr>
          <w:lang w:val="ru-RU"/>
        </w:rPr>
        <w:t>Наземные и водные экосистемы</w:t>
      </w:r>
      <w:r>
        <w:rPr>
          <w:lang w:val="ru-RU"/>
        </w:rPr>
        <w:t>»</w:t>
      </w:r>
      <w:r w:rsidRPr="00D151F0">
        <w:rPr>
          <w:lang w:val="ru-RU"/>
        </w:rPr>
        <w:t xml:space="preserve">, </w:t>
      </w:r>
      <w:r>
        <w:rPr>
          <w:lang w:val="ru-RU"/>
        </w:rPr>
        <w:t>«</w:t>
      </w:r>
      <w:r w:rsidRPr="00D151F0">
        <w:rPr>
          <w:lang w:val="ru-RU"/>
        </w:rPr>
        <w:t>Синтетические и природные материалы в окружающей среде</w:t>
      </w:r>
      <w:r>
        <w:rPr>
          <w:lang w:val="ru-RU"/>
        </w:rPr>
        <w:t>»</w:t>
      </w:r>
      <w:r w:rsidRPr="00D151F0">
        <w:rPr>
          <w:lang w:val="ru-RU"/>
        </w:rPr>
        <w:t xml:space="preserve">, </w:t>
      </w:r>
      <w:r>
        <w:rPr>
          <w:lang w:val="ru-RU"/>
        </w:rPr>
        <w:t>«</w:t>
      </w:r>
      <w:r w:rsidRPr="00D151F0">
        <w:rPr>
          <w:lang w:val="ru-RU"/>
        </w:rPr>
        <w:t>Поведение пластмасс в окружающей среде</w:t>
      </w:r>
      <w:r>
        <w:rPr>
          <w:lang w:val="ru-RU"/>
        </w:rPr>
        <w:t>»</w:t>
      </w:r>
      <w:r w:rsidRPr="00D151F0">
        <w:rPr>
          <w:lang w:val="ru-RU"/>
        </w:rPr>
        <w:t xml:space="preserve"> и </w:t>
      </w:r>
      <w:r>
        <w:rPr>
          <w:lang w:val="ru-RU"/>
        </w:rPr>
        <w:t>«</w:t>
      </w:r>
      <w:r w:rsidRPr="00D151F0">
        <w:rPr>
          <w:lang w:val="ru-RU"/>
        </w:rPr>
        <w:t>Интерактивное влияние ультрафиолетового излучения и изменения климата на здоровье человека</w:t>
      </w:r>
      <w:r>
        <w:rPr>
          <w:lang w:val="ru-RU"/>
        </w:rPr>
        <w:t>»</w:t>
      </w:r>
      <w:r w:rsidRPr="00D151F0">
        <w:rPr>
          <w:lang w:val="ru-RU"/>
        </w:rPr>
        <w:t>.</w:t>
      </w:r>
    </w:p>
    <w:p w14:paraId="1978BE9C" w14:textId="09B14161" w:rsidR="000F59B8" w:rsidRPr="00D151F0" w:rsidRDefault="000F59B8" w:rsidP="00BD68B3">
      <w:pPr>
        <w:pStyle w:val="Normalnumber"/>
        <w:tabs>
          <w:tab w:val="clear" w:pos="1247"/>
          <w:tab w:val="clear" w:pos="1814"/>
          <w:tab w:val="clear" w:pos="2381"/>
          <w:tab w:val="clear" w:pos="2948"/>
          <w:tab w:val="clear" w:pos="3515"/>
        </w:tabs>
        <w:ind w:left="1247"/>
        <w:rPr>
          <w:lang w:val="ru-RU"/>
        </w:rPr>
      </w:pPr>
      <w:r w:rsidRPr="00D151F0">
        <w:rPr>
          <w:lang w:val="ru-RU"/>
        </w:rPr>
        <w:t xml:space="preserve">Особое внимание было уделено некоторым возникающим вопросам, к которым относятся: a) прогнозируемое увеличение </w:t>
      </w:r>
      <w:r>
        <w:rPr>
          <w:lang w:val="ru-RU"/>
        </w:rPr>
        <w:t xml:space="preserve">ультрафиолетового </w:t>
      </w:r>
      <w:r w:rsidRPr="00D151F0">
        <w:rPr>
          <w:lang w:val="ru-RU"/>
        </w:rPr>
        <w:t>излучения из-за сверхзвуковых воздушных судов, запусков ракет и закиси азота; b) потенциальные последствия распыления аэрозоля в стратосфере (РАС, например, с использованием сульфата из диоксида серы) – одного из видов климатического вмешательства, которое было предложено для временного снижения глобального потепления путем отражения радиации от поверхности Земли; и c)</w:t>
      </w:r>
      <w:r w:rsidR="001C3525">
        <w:rPr>
          <w:lang w:val="ru-RU"/>
        </w:rPr>
        <w:t> </w:t>
      </w:r>
      <w:r w:rsidRPr="00D151F0">
        <w:rPr>
          <w:lang w:val="ru-RU"/>
        </w:rPr>
        <w:t>разработка вводного текста, координируемая ГОЭП совместно с ГТОЭ</w:t>
      </w:r>
      <w:r w:rsidR="001C3525">
        <w:rPr>
          <w:lang w:val="ru-RU"/>
        </w:rPr>
        <w:t>О</w:t>
      </w:r>
      <w:r w:rsidRPr="00D151F0">
        <w:rPr>
          <w:lang w:val="ru-RU"/>
        </w:rPr>
        <w:t xml:space="preserve"> и ГНО, для устранения неверных представлений и углубления понимания пер- и полифторированных алкильных веществ (ПФАВ), имеющих отношение к Монреальскому протоколу, включая очень стойкие ТФА, перфторпропановую и перфторбутановую кислоты.</w:t>
      </w:r>
    </w:p>
    <w:p w14:paraId="483535F2" w14:textId="4B894E8B" w:rsidR="000F59B8" w:rsidRPr="00D151F0" w:rsidRDefault="00BD68B3" w:rsidP="00C22A00">
      <w:pPr>
        <w:pStyle w:val="CH3"/>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422FE2">
        <w:rPr>
          <w:bCs/>
          <w:lang w:val="ru-RU"/>
        </w:rPr>
        <w:tab/>
      </w:r>
      <w:r w:rsidR="000F59B8" w:rsidRPr="00D151F0">
        <w:rPr>
          <w:bCs/>
          <w:lang w:val="ru-RU"/>
        </w:rPr>
        <w:t>3.</w:t>
      </w:r>
      <w:r w:rsidR="000F59B8" w:rsidRPr="00D151F0">
        <w:rPr>
          <w:lang w:val="ru-RU"/>
        </w:rPr>
        <w:tab/>
      </w:r>
      <w:r w:rsidR="000F59B8" w:rsidRPr="00D151F0">
        <w:rPr>
          <w:bCs/>
          <w:lang w:val="ru-RU"/>
        </w:rPr>
        <w:t>Сообщение Группы по техническому обзору и экономической оценке</w:t>
      </w:r>
    </w:p>
    <w:p w14:paraId="3C63657F" w14:textId="5D5753E6"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Марта Пи</w:t>
      </w:r>
      <w:r w:rsidR="00DF4B9B">
        <w:rPr>
          <w:lang w:val="ru-RU"/>
        </w:rPr>
        <w:t>с</w:t>
      </w:r>
      <w:r w:rsidRPr="00D151F0">
        <w:rPr>
          <w:lang w:val="ru-RU"/>
        </w:rPr>
        <w:t xml:space="preserve">ано, сопредседатель Группы </w:t>
      </w:r>
      <w:r w:rsidR="00796DC9">
        <w:rPr>
          <w:lang w:val="ru-RU"/>
        </w:rPr>
        <w:t xml:space="preserve">по </w:t>
      </w:r>
      <w:r w:rsidRPr="00D151F0">
        <w:rPr>
          <w:lang w:val="ru-RU"/>
        </w:rPr>
        <w:t>техническому обзору и экономической оценке (ГТОЭО), внесла на рассмотрение сообщение о ходе работы и возникающих проблемах группы от имени ее сопредседателей Эшли Вудкока и Беллы Маранион, сообщив, что г</w:t>
      </w:r>
      <w:r w:rsidR="00BD68B3" w:rsidRPr="005127C1">
        <w:rPr>
          <w:lang w:val="ru-RU"/>
        </w:rPr>
        <w:noBreakHyphen/>
      </w:r>
      <w:r w:rsidRPr="00D151F0">
        <w:rPr>
          <w:lang w:val="ru-RU"/>
        </w:rPr>
        <w:t>жа</w:t>
      </w:r>
      <w:r w:rsidR="00BD68B3">
        <w:rPr>
          <w:lang w:val="en-US"/>
        </w:rPr>
        <w:t> </w:t>
      </w:r>
      <w:r w:rsidRPr="00D151F0">
        <w:rPr>
          <w:lang w:val="ru-RU"/>
        </w:rPr>
        <w:t xml:space="preserve">Маранион не смогла присутствовать на </w:t>
      </w:r>
      <w:r w:rsidR="00DF4B9B">
        <w:rPr>
          <w:lang w:val="ru-RU"/>
        </w:rPr>
        <w:t>совещании</w:t>
      </w:r>
      <w:r w:rsidRPr="00D151F0">
        <w:rPr>
          <w:lang w:val="ru-RU"/>
        </w:rPr>
        <w:t>. Затем она поблагодарила своих коллег по группе и более 150 членов Комитетов по техническим вариантам замены (КТВЗ), которые работают в рамках ГТОЭО и на добровольной основе готовят доклады, запрашиваемые Сторонами. Затем г-жа Пи</w:t>
      </w:r>
      <w:r w:rsidR="00DF4B9B">
        <w:rPr>
          <w:lang w:val="ru-RU"/>
        </w:rPr>
        <w:t>с</w:t>
      </w:r>
      <w:r w:rsidRPr="00D151F0">
        <w:rPr>
          <w:lang w:val="ru-RU"/>
        </w:rPr>
        <w:t xml:space="preserve">ано представила резюме докладов ГТОЭО, которые должны быть </w:t>
      </w:r>
      <w:r w:rsidR="00DF4B9B">
        <w:rPr>
          <w:lang w:val="ru-RU"/>
        </w:rPr>
        <w:t>подготовлены</w:t>
      </w:r>
      <w:r w:rsidR="00DF4B9B" w:rsidRPr="00D151F0">
        <w:rPr>
          <w:lang w:val="ru-RU"/>
        </w:rPr>
        <w:t xml:space="preserve"> </w:t>
      </w:r>
      <w:r w:rsidRPr="00D151F0">
        <w:rPr>
          <w:lang w:val="ru-RU"/>
        </w:rPr>
        <w:t>в 2026 и 2027 годах, особо отметив, что в 2026 году будут представлены доклады о ходе работы, доклады о пополнении Многостороннего фонда (в дополнение к которым, вероятно, потребуется представить доклад позднее в течение года) и четырехгодичные доклады об оценке, которые должны быть представлены в конце года как от КТВЗ, так и от само</w:t>
      </w:r>
      <w:r w:rsidR="00DF4B9B">
        <w:rPr>
          <w:lang w:val="ru-RU"/>
        </w:rPr>
        <w:t>й</w:t>
      </w:r>
      <w:r w:rsidRPr="00D151F0">
        <w:rPr>
          <w:lang w:val="ru-RU"/>
        </w:rPr>
        <w:t xml:space="preserve"> ГТОЭО. Она добавила, что в 2027 году, помимо обычных докладов о ходе работы, ГТОЭО необходимо будет подготовить сводный доклад совместно с другими группами, а также периодический обзор альтернатив ГФУ в соответствии с решением</w:t>
      </w:r>
      <w:r w:rsidR="00796DC9">
        <w:rPr>
          <w:lang w:val="ru-RU"/>
        </w:rPr>
        <w:t> </w:t>
      </w:r>
      <w:r w:rsidRPr="00D151F0">
        <w:rPr>
          <w:lang w:val="ru-RU"/>
        </w:rPr>
        <w:t>XXVIII/2.</w:t>
      </w:r>
    </w:p>
    <w:p w14:paraId="4C399825" w14:textId="23E066AE"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Затем г-жа Пи</w:t>
      </w:r>
      <w:r w:rsidR="00DF4B9B">
        <w:rPr>
          <w:lang w:val="en-US"/>
        </w:rPr>
        <w:t>c</w:t>
      </w:r>
      <w:r w:rsidRPr="00D151F0">
        <w:rPr>
          <w:lang w:val="ru-RU"/>
        </w:rPr>
        <w:t xml:space="preserve">ано рассказала о текущей работе, которая ведется в преддверии подготовки окончательного технического задания по результатам СС-37 для исследования по </w:t>
      </w:r>
      <w:r w:rsidRPr="00D151F0">
        <w:rPr>
          <w:lang w:val="ru-RU"/>
        </w:rPr>
        <w:lastRenderedPageBreak/>
        <w:t xml:space="preserve">вопросу о пополнении, которое Группа должна будет подготовить к </w:t>
      </w:r>
      <w:r w:rsidR="00DF4B9B">
        <w:rPr>
          <w:lang w:val="ru-RU"/>
        </w:rPr>
        <w:t>совещанию</w:t>
      </w:r>
      <w:r w:rsidR="00DF4B9B" w:rsidRPr="00D151F0">
        <w:rPr>
          <w:lang w:val="ru-RU"/>
        </w:rPr>
        <w:t xml:space="preserve"> </w:t>
      </w:r>
      <w:r w:rsidRPr="00D151F0">
        <w:rPr>
          <w:lang w:val="ru-RU"/>
        </w:rPr>
        <w:t>РГОС в следующем году. Это короткий срок, составляющий около 4 месяцев, поэтому Группа обновляет свой подход к моделированию, а также установила связ</w:t>
      </w:r>
      <w:r w:rsidR="00BD68B3">
        <w:rPr>
          <w:lang w:val="ru-RU"/>
        </w:rPr>
        <w:t>ь</w:t>
      </w:r>
      <w:r w:rsidRPr="00D151F0">
        <w:rPr>
          <w:lang w:val="ru-RU"/>
        </w:rPr>
        <w:t xml:space="preserve"> и начала работу в координации с секретариатом по озону и секретариатом Многостороннего фонд</w:t>
      </w:r>
      <w:r w:rsidR="006A7D83">
        <w:rPr>
          <w:lang w:val="ru-RU"/>
        </w:rPr>
        <w:t>а</w:t>
      </w:r>
      <w:r w:rsidRPr="00D151F0">
        <w:rPr>
          <w:lang w:val="ru-RU"/>
        </w:rPr>
        <w:t xml:space="preserve"> для получения обновленных данных до конца 2025 года.</w:t>
      </w:r>
    </w:p>
    <w:p w14:paraId="588EA991" w14:textId="15461359"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Затем она кратко изложила темы, которые будут рассмотрены в докладах об оценке за 2026 год в соответствии с решением XXXV/3, включая технический прогресс в секторах производства и потребления в деле перехода на альтернативы регулируемым веществам во всех секторах; виды применения технологических агентов и исходного сырья; выбросы регулируемых веществ; состояние фондов и запасов этих веществ; </w:t>
      </w:r>
      <w:r>
        <w:rPr>
          <w:lang w:val="ru-RU"/>
        </w:rPr>
        <w:t>трудности</w:t>
      </w:r>
      <w:r w:rsidRPr="00D151F0">
        <w:rPr>
          <w:lang w:val="ru-RU"/>
        </w:rPr>
        <w:t xml:space="preserve">, с которыми сталкиваются Стороны </w:t>
      </w:r>
      <w:r>
        <w:rPr>
          <w:lang w:val="ru-RU"/>
        </w:rPr>
        <w:t xml:space="preserve">при </w:t>
      </w:r>
      <w:r w:rsidRPr="00D151F0">
        <w:rPr>
          <w:lang w:val="ru-RU"/>
        </w:rPr>
        <w:t xml:space="preserve">сохранении уже достигнутых результатов поэтапного вывода из обращения; влияние поэтапного вывода из обращения ОРВ и поэтапного сокращения оборота ГФУ на устойчивое развитие; достижения в разработке альтернатив ГФУ с учетом энергоэффективности, безопасности и пригодности для стран с высокой температурой воздуха; информация о видах применения, для которых ГХФУ ранее не использовались; оценку того, привело ли производство ГФО к неорганизованным </w:t>
      </w:r>
      <w:r w:rsidRPr="0070544D">
        <w:rPr>
          <w:lang w:val="ru-RU"/>
        </w:rPr>
        <w:t>выбросам ГФУ</w:t>
      </w:r>
      <w:r w:rsidRPr="00D151F0">
        <w:rPr>
          <w:lang w:val="ru-RU"/>
        </w:rPr>
        <w:t>; потенциальное воздействие меняющихся мер политики и нормативных актов (например, в отношении ПФАВ) в области обращения с регулируемыми веществами, их альтернативами и продуктами распада; и информация о регулировании хладагентов с акцентом на предотвращение утечек и регулирование по достижении ими предельного состояния.</w:t>
      </w:r>
    </w:p>
    <w:p w14:paraId="740C0F9E" w14:textId="741BFDF1"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В заключение своего выступления г-жа Пи</w:t>
      </w:r>
      <w:r w:rsidR="00DF4B9B">
        <w:rPr>
          <w:lang w:val="en-US"/>
        </w:rPr>
        <w:t>c</w:t>
      </w:r>
      <w:r w:rsidRPr="00D151F0">
        <w:rPr>
          <w:lang w:val="ru-RU"/>
        </w:rPr>
        <w:t>ано отметила, что в докладе об оценке (2026</w:t>
      </w:r>
      <w:r w:rsidR="00AF71B7">
        <w:rPr>
          <w:lang w:val="ru-RU"/>
        </w:rPr>
        <w:t> </w:t>
      </w:r>
      <w:r w:rsidRPr="00D151F0">
        <w:rPr>
          <w:lang w:val="ru-RU"/>
        </w:rPr>
        <w:t>год) будут рассмотрены восемь дополнительных решений, принятых Сторонами за последние годы и касающихся лабораторных и аналитических видов применения, технологических агентов, ГФУ, не включенных в приложение F к Протоколу, наличия ГХФУ, РЖЦХ, ОКЖВ, изменений в отношении ДИ и альтернатив ГФУ у входящих в группу 2 Сторон, действующих в рамках статьи 5.</w:t>
      </w:r>
    </w:p>
    <w:p w14:paraId="0DC0087A" w14:textId="77777777"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Эшли Вудкок начал вторую часть сообщения ГТОЭО, поблагодарив комитеты по техническим вариантам замены за разрешение представить ключевые вопросы в их секторах.</w:t>
      </w:r>
    </w:p>
    <w:p w14:paraId="1B11EF56" w14:textId="72AF9ABD"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В секторе пеноматериалов был осуществлен успешный переход от использования ГХФУ и ГФУ в качестве пенообразователей. </w:t>
      </w:r>
      <w:r>
        <w:rPr>
          <w:lang w:val="ru-RU"/>
        </w:rPr>
        <w:t>Фторированные</w:t>
      </w:r>
      <w:r w:rsidRPr="00D151F0">
        <w:rPr>
          <w:lang w:val="ru-RU"/>
        </w:rPr>
        <w:t xml:space="preserve"> пенообразователи стоят дороже, поэтому многие компании перешли на нефторированные альтернативы или смеси. Но при этом </w:t>
      </w:r>
      <w:r>
        <w:rPr>
          <w:lang w:val="ru-RU"/>
        </w:rPr>
        <w:t>приходится идти на компромисс</w:t>
      </w:r>
      <w:r w:rsidRPr="00D151F0">
        <w:rPr>
          <w:lang w:val="ru-RU"/>
        </w:rPr>
        <w:t>,</w:t>
      </w:r>
      <w:r>
        <w:rPr>
          <w:lang w:val="ru-RU"/>
        </w:rPr>
        <w:t xml:space="preserve"> поскольку</w:t>
      </w:r>
      <w:r w:rsidRPr="00D151F0">
        <w:rPr>
          <w:lang w:val="ru-RU"/>
        </w:rPr>
        <w:t xml:space="preserve"> </w:t>
      </w:r>
      <w:r>
        <w:rPr>
          <w:lang w:val="ru-RU"/>
        </w:rPr>
        <w:t>фторированные</w:t>
      </w:r>
      <w:r w:rsidRPr="00D151F0">
        <w:rPr>
          <w:lang w:val="ru-RU"/>
        </w:rPr>
        <w:t xml:space="preserve"> пенообразователи могут улучшить теплоизоляционные характеристики. Поэтому пеноматериалы с меньшим количеством </w:t>
      </w:r>
      <w:r>
        <w:rPr>
          <w:lang w:val="ru-RU"/>
        </w:rPr>
        <w:t>фторированны</w:t>
      </w:r>
      <w:r w:rsidR="00337DB3">
        <w:rPr>
          <w:lang w:val="ru-RU"/>
        </w:rPr>
        <w:t>х</w:t>
      </w:r>
      <w:r w:rsidRPr="00D151F0">
        <w:rPr>
          <w:lang w:val="ru-RU"/>
        </w:rPr>
        <w:t xml:space="preserve"> пенообразователей порой могут не соответствовать стандартам</w:t>
      </w:r>
      <w:r>
        <w:rPr>
          <w:lang w:val="ru-RU"/>
        </w:rPr>
        <w:t xml:space="preserve"> теплоизоляции</w:t>
      </w:r>
      <w:r w:rsidRPr="00D151F0">
        <w:rPr>
          <w:lang w:val="ru-RU"/>
        </w:rPr>
        <w:t xml:space="preserve">. Некоторые нефторированные пенообразователи обладают более высокой горючестью и токсичностью, чем фторированные, и могут требовать иного обращения и мер предосторожности для безопасного использования. КТВЗ </w:t>
      </w:r>
      <w:r>
        <w:rPr>
          <w:lang w:val="ru-RU"/>
        </w:rPr>
        <w:t xml:space="preserve">для </w:t>
      </w:r>
      <w:r w:rsidRPr="00D151F0">
        <w:rPr>
          <w:lang w:val="ru-RU"/>
        </w:rPr>
        <w:t xml:space="preserve">пеноматериалов выразил обеспокоенность тем, что некоторые малые и средние предприятия, как сообщается, используют легковоспламеняющиеся пенообразователи без надлежащих мер предосторожности. </w:t>
      </w:r>
    </w:p>
    <w:p w14:paraId="1A1786DE" w14:textId="2A71DC58"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Затем г-н Вудкок перешел к теме пожаротушения. Неопределенность, возникшая в связи с возможным введением широких нормативных требований в отношении ПФАВ, побудила Международную организацию гражданской авиации (ИКАО) отменить мораторий 2024 года на использование галона</w:t>
      </w:r>
      <w:r w:rsidR="00337DB3">
        <w:rPr>
          <w:lang w:val="ru-RU"/>
        </w:rPr>
        <w:t xml:space="preserve"> </w:t>
      </w:r>
      <w:r w:rsidRPr="00D151F0">
        <w:rPr>
          <w:lang w:val="ru-RU"/>
        </w:rPr>
        <w:t>1301 в грузовых отсеках воздушных судов совершенно новых конструкций (резолюция A42-11). В результате гражданская авиация будет вынуждена использовать галон</w:t>
      </w:r>
      <w:r w:rsidR="000C7BF7">
        <w:rPr>
          <w:lang w:val="ru-RU"/>
        </w:rPr>
        <w:t xml:space="preserve"> </w:t>
      </w:r>
      <w:r w:rsidRPr="00D151F0">
        <w:rPr>
          <w:lang w:val="ru-RU"/>
        </w:rPr>
        <w:t>1301 еще как минимум более 50 лет, что значительно превышает все предполагаемые сроки исчерпания его запасов. КТВЗ для пожаротушения продолжает взаимодействовать с ИКАО и будет следить за ее работой над возможным представлением заявки в отношении основных видов применения (ЗОВП) для галона</w:t>
      </w:r>
      <w:r w:rsidR="00CB6A93">
        <w:rPr>
          <w:lang w:val="ru-RU"/>
        </w:rPr>
        <w:t xml:space="preserve"> </w:t>
      </w:r>
      <w:r w:rsidRPr="00D151F0">
        <w:rPr>
          <w:lang w:val="ru-RU"/>
        </w:rPr>
        <w:t>1301. Потребность в галонах для других оставшихся видов применения может сохраняться в течение более длительного срока, что повышает вероятность появления ЗОВП в будущем. Регулирование жизненного цикла по-прежнему необходимо для минимизации выбросов и сохранения запасов средств пожаротушения для будущего использования.</w:t>
      </w:r>
    </w:p>
    <w:p w14:paraId="139DB736" w14:textId="1F3A4281" w:rsidR="000F59B8" w:rsidRPr="00D151F0" w:rsidRDefault="00DF4B9B" w:rsidP="00994CDA">
      <w:pPr>
        <w:pStyle w:val="Normalnumber"/>
        <w:tabs>
          <w:tab w:val="clear" w:pos="624"/>
          <w:tab w:val="clear" w:pos="1247"/>
          <w:tab w:val="clear" w:pos="1814"/>
          <w:tab w:val="clear" w:pos="2381"/>
          <w:tab w:val="clear" w:pos="2948"/>
          <w:tab w:val="clear" w:pos="3515"/>
        </w:tabs>
        <w:ind w:left="1247"/>
        <w:rPr>
          <w:lang w:val="ru-RU"/>
        </w:rPr>
      </w:pPr>
      <w:r>
        <w:rPr>
          <w:lang w:val="ru-RU"/>
        </w:rPr>
        <w:t>Далее</w:t>
      </w:r>
      <w:r w:rsidRPr="00D151F0">
        <w:rPr>
          <w:lang w:val="ru-RU"/>
        </w:rPr>
        <w:t xml:space="preserve"> </w:t>
      </w:r>
      <w:r w:rsidR="000F59B8">
        <w:rPr>
          <w:lang w:val="ru-RU"/>
        </w:rPr>
        <w:t>г-н</w:t>
      </w:r>
      <w:r w:rsidR="000F59B8" w:rsidRPr="00D151F0">
        <w:rPr>
          <w:lang w:val="ru-RU"/>
        </w:rPr>
        <w:t xml:space="preserve"> Вудкок </w:t>
      </w:r>
      <w:r>
        <w:rPr>
          <w:lang w:val="ru-RU"/>
        </w:rPr>
        <w:t>затронул вопрос</w:t>
      </w:r>
      <w:r w:rsidR="000F59B8" w:rsidRPr="00D151F0">
        <w:rPr>
          <w:lang w:val="ru-RU"/>
        </w:rPr>
        <w:t xml:space="preserve"> бромисто</w:t>
      </w:r>
      <w:r>
        <w:rPr>
          <w:lang w:val="ru-RU"/>
        </w:rPr>
        <w:t>го</w:t>
      </w:r>
      <w:r w:rsidR="000F59B8" w:rsidRPr="00D151F0">
        <w:rPr>
          <w:lang w:val="ru-RU"/>
        </w:rPr>
        <w:t xml:space="preserve"> метил</w:t>
      </w:r>
      <w:r>
        <w:rPr>
          <w:lang w:val="ru-RU"/>
        </w:rPr>
        <w:t>а</w:t>
      </w:r>
      <w:r w:rsidR="000F59B8" w:rsidRPr="00D151F0">
        <w:rPr>
          <w:lang w:val="ru-RU"/>
        </w:rPr>
        <w:t xml:space="preserve"> (БМ). Данные за 2024 год показывают увеличение </w:t>
      </w:r>
      <w:r w:rsidR="000F59B8">
        <w:rPr>
          <w:lang w:val="ru-RU"/>
        </w:rPr>
        <w:t>объемов</w:t>
      </w:r>
      <w:r w:rsidR="000F59B8" w:rsidRPr="00D151F0">
        <w:rPr>
          <w:lang w:val="ru-RU"/>
        </w:rPr>
        <w:t xml:space="preserve">, </w:t>
      </w:r>
      <w:r w:rsidR="000F59B8">
        <w:rPr>
          <w:lang w:val="ru-RU"/>
        </w:rPr>
        <w:t>применяемых в целях КООТ</w:t>
      </w:r>
      <w:r w:rsidR="000F59B8" w:rsidRPr="00D151F0">
        <w:rPr>
          <w:lang w:val="ru-RU"/>
        </w:rPr>
        <w:t xml:space="preserve">, примерно на 2000 т или 25%. Выбросы БМ больше не сокращаются, и сохраняется значительный разрыв по отношению к естественным базовым уровням. Он заявил, что в настоящее время существуют альтернативы для оставшихся около 10 000 т БМ для КООТ, и некоторые из них используются в ключевых секторах, в том числе для обработки древесины и зерна (например, фосфин, этилформиат, </w:t>
      </w:r>
      <w:r w:rsidR="000F59B8" w:rsidRPr="00D151F0">
        <w:rPr>
          <w:lang w:val="ru-RU"/>
        </w:rPr>
        <w:lastRenderedPageBreak/>
        <w:t xml:space="preserve">этандинитрил). В частности, существуют альтернативы для большинства видов обработки перед транспортировкой (ОТ), на которые приходится около трети от объемов, используемых в целях КООТ. В докладе об оценке КТВБМ будет представлена информация об использовании БМ для обработки почвы перед посадкой, а также о влиянии снижения предельного уровня воздействия для работников (с 5 </w:t>
      </w:r>
      <w:r w:rsidR="000F59B8">
        <w:rPr>
          <w:lang w:val="ru-RU"/>
        </w:rPr>
        <w:t xml:space="preserve">ччм </w:t>
      </w:r>
      <w:r w:rsidR="000F59B8" w:rsidRPr="00D151F0">
        <w:rPr>
          <w:lang w:val="ru-RU"/>
        </w:rPr>
        <w:t xml:space="preserve">до 1 </w:t>
      </w:r>
      <w:r w:rsidR="000F59B8">
        <w:rPr>
          <w:lang w:val="ru-RU"/>
        </w:rPr>
        <w:t>ччм</w:t>
      </w:r>
      <w:r w:rsidR="000F59B8" w:rsidRPr="00D151F0">
        <w:rPr>
          <w:lang w:val="ru-RU"/>
        </w:rPr>
        <w:t>), что может сократить его использование. В качестве положительного фактора в докладе такж</w:t>
      </w:r>
      <w:r w:rsidR="000F59B8">
        <w:rPr>
          <w:lang w:val="ru-RU"/>
        </w:rPr>
        <w:t>е</w:t>
      </w:r>
      <w:r w:rsidR="000F59B8" w:rsidRPr="00D151F0">
        <w:rPr>
          <w:lang w:val="ru-RU"/>
        </w:rPr>
        <w:t xml:space="preserve"> представлен свод основных преимуществ для озонового слоя, вытекающих из полного поэтапного отказа от применения бромистого метила в объеме 62 000 т в целях, не относящихся к КООТ. </w:t>
      </w:r>
    </w:p>
    <w:p w14:paraId="248A4DD0" w14:textId="109244F1"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У КТВЗ </w:t>
      </w:r>
      <w:r>
        <w:rPr>
          <w:lang w:val="ru-RU"/>
        </w:rPr>
        <w:t xml:space="preserve">для </w:t>
      </w:r>
      <w:r w:rsidRPr="00D151F0">
        <w:rPr>
          <w:lang w:val="ru-RU"/>
        </w:rPr>
        <w:t xml:space="preserve">медицинских видов применения и химических веществ очень широкое портфолио. Его доклад об оценке будет включать данные о производстве и использовании регулируемых веществ в качестве </w:t>
      </w:r>
      <w:r>
        <w:rPr>
          <w:lang w:val="ru-RU"/>
        </w:rPr>
        <w:t xml:space="preserve">исходного </w:t>
      </w:r>
      <w:r w:rsidRPr="00D151F0">
        <w:rPr>
          <w:lang w:val="ru-RU"/>
        </w:rPr>
        <w:t>сырья, а также информацию, полученную от Сторон в соответствии с решением XXXVI/5; обновленную информацию о ГФУ-23, ТХМ, ОКЖВ, n-пропилбромиде, технологических агентах, лабораторных и аналитических видах применения, включая соответствующую информацию об альтернативах;</w:t>
      </w:r>
      <w:r>
        <w:rPr>
          <w:lang w:val="ru-RU"/>
        </w:rPr>
        <w:t xml:space="preserve"> информацию о</w:t>
      </w:r>
      <w:r w:rsidRPr="00D151F0">
        <w:rPr>
          <w:lang w:val="ru-RU"/>
        </w:rPr>
        <w:t xml:space="preserve"> ГФУ, не включенны</w:t>
      </w:r>
      <w:r>
        <w:rPr>
          <w:lang w:val="ru-RU"/>
        </w:rPr>
        <w:t>х</w:t>
      </w:r>
      <w:r w:rsidRPr="00D151F0">
        <w:rPr>
          <w:lang w:val="ru-RU"/>
        </w:rPr>
        <w:t xml:space="preserve"> в приложени</w:t>
      </w:r>
      <w:r w:rsidR="006857F3">
        <w:rPr>
          <w:lang w:val="ru-RU"/>
        </w:rPr>
        <w:t>е</w:t>
      </w:r>
      <w:r w:rsidRPr="00D151F0">
        <w:rPr>
          <w:lang w:val="ru-RU"/>
        </w:rPr>
        <w:t xml:space="preserve"> F, включая информацию об использовании продуктов, определенных ГНО. Будут представлены обновленные данные об увеличении количества регулируемых веществ, используемых для нанесения поверхностного покрытия на микросхемы при производстве полупроводников и другой электроники, а также об использовании регулируемых веществ, наличии и применении альтернатив для аэрозолей и дозированных ингаляторов под давлением (ДИПД)</w:t>
      </w:r>
      <w:r w:rsidR="00DF4B9B" w:rsidRPr="005127C1">
        <w:rPr>
          <w:lang w:val="ru-RU"/>
        </w:rPr>
        <w:t>.</w:t>
      </w:r>
      <w:r w:rsidRPr="00D151F0">
        <w:rPr>
          <w:lang w:val="ru-RU"/>
        </w:rPr>
        <w:t xml:space="preserve"> </w:t>
      </w:r>
      <w:r w:rsidR="00DF4B9B">
        <w:rPr>
          <w:lang w:val="ru-RU"/>
        </w:rPr>
        <w:t>Т</w:t>
      </w:r>
      <w:r w:rsidRPr="00D151F0">
        <w:rPr>
          <w:lang w:val="ru-RU"/>
        </w:rPr>
        <w:t>акже в него войдет любая новая информация о технологиях ликвидации.</w:t>
      </w:r>
    </w:p>
    <w:p w14:paraId="68D7EB11" w14:textId="4176D411"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Г-н Вудкок отметил, что в секторе холодильного оборудования, </w:t>
      </w:r>
      <w:r w:rsidR="00760043" w:rsidRPr="00D151F0">
        <w:rPr>
          <w:lang w:val="ru-RU"/>
        </w:rPr>
        <w:t>систем</w:t>
      </w:r>
      <w:r w:rsidRPr="00D151F0">
        <w:rPr>
          <w:lang w:val="ru-RU"/>
        </w:rPr>
        <w:t xml:space="preserve"> кондиционирования воздуха и тепловых насосов не появилось новых однокомпонентных хладагентов и сообщается об ограниченном количестве зеотропных смесей. В оценке КТВХ будет представлен доклад о продолжающемся переходе на хладагенты с более низким ПГП категорий A1, A2L/B2L и A3, хотя темпы изменений различаются в разных секторах ХОКВТН и в разных регионах. Г-н Вудкок заявил, что недостаток информации и знаний об использовании легковоспламеняющихся хладагентов, относящихся к категориям A2L и A3, по</w:t>
      </w:r>
      <w:r w:rsidR="008F2A3F">
        <w:rPr>
          <w:lang w:val="ru-RU"/>
        </w:rPr>
        <w:noBreakHyphen/>
      </w:r>
      <w:r w:rsidRPr="00D151F0">
        <w:rPr>
          <w:lang w:val="ru-RU"/>
        </w:rPr>
        <w:t xml:space="preserve">прежнему остается значительным препятствием для внедрения хладагентов с более низким ПГП, как </w:t>
      </w:r>
      <w:r w:rsidR="00DF4B9B">
        <w:rPr>
          <w:lang w:val="ru-RU"/>
        </w:rPr>
        <w:t>у Сторон</w:t>
      </w:r>
      <w:r w:rsidRPr="00D151F0">
        <w:rPr>
          <w:lang w:val="ru-RU"/>
        </w:rPr>
        <w:t xml:space="preserve">, действующих в рамках статьи 5, так и </w:t>
      </w:r>
      <w:r w:rsidR="00DF4B9B">
        <w:rPr>
          <w:lang w:val="ru-RU"/>
        </w:rPr>
        <w:t>у некоторых Сторон</w:t>
      </w:r>
      <w:r w:rsidRPr="00D151F0">
        <w:rPr>
          <w:lang w:val="ru-RU"/>
        </w:rPr>
        <w:t>, не действующих в рамках статьи 5. В докладе об оценке основное внимание будет уделено таким межсекторальным вопросам, как энергоэффективность, регулирование жизненного цикла хладагентов и рост центров обработки данных</w:t>
      </w:r>
    </w:p>
    <w:p w14:paraId="3E61E875" w14:textId="77777777"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Наконец, г-н Вудкок перешел к обсуждению ПФАВ и их потенциального влияния на Монреальский протокол. Он рассказал об интересе СМИ и общественности к </w:t>
      </w:r>
      <w:r>
        <w:rPr>
          <w:lang w:val="ru-RU"/>
        </w:rPr>
        <w:t>«</w:t>
      </w:r>
      <w:r w:rsidRPr="00D151F0">
        <w:rPr>
          <w:lang w:val="ru-RU"/>
        </w:rPr>
        <w:t>вечным химикатам</w:t>
      </w:r>
      <w:r>
        <w:rPr>
          <w:lang w:val="ru-RU"/>
        </w:rPr>
        <w:t>»</w:t>
      </w:r>
      <w:r w:rsidRPr="00D151F0">
        <w:rPr>
          <w:lang w:val="ru-RU"/>
        </w:rPr>
        <w:t xml:space="preserve">, которые стали ошибочно приравнивать к термину </w:t>
      </w:r>
      <w:r>
        <w:rPr>
          <w:lang w:val="ru-RU"/>
        </w:rPr>
        <w:t>«</w:t>
      </w:r>
      <w:r w:rsidRPr="00D151F0">
        <w:rPr>
          <w:lang w:val="ru-RU"/>
        </w:rPr>
        <w:t>ПФАВ</w:t>
      </w:r>
      <w:r>
        <w:rPr>
          <w:lang w:val="ru-RU"/>
        </w:rPr>
        <w:t>»</w:t>
      </w:r>
      <w:r w:rsidRPr="00D151F0">
        <w:rPr>
          <w:lang w:val="ru-RU"/>
        </w:rPr>
        <w:t xml:space="preserve">. Он </w:t>
      </w:r>
      <w:r>
        <w:rPr>
          <w:lang w:val="ru-RU"/>
        </w:rPr>
        <w:t>сообщил</w:t>
      </w:r>
      <w:r w:rsidRPr="00D151F0">
        <w:rPr>
          <w:lang w:val="ru-RU"/>
        </w:rPr>
        <w:t>, что существует более 15 определений ПФАВ, основанных главным образом на их химической структуре, а не на воздействии на здоровье человека и окружающую среду. Это началось с регулирования перфтороктановой кислоты (ПФОК) и перфтороктановой сульфоновой кислоты (ПФОС), которые являются стойкими биоаккумулируемыми токсинами (СБТ) и включены во все определения ПФАВ. Проблема заключается в том, что характеристики ПФОК и ПФОС как СБТ безосновательно распространяются на другие химические вещества, включая вещества, регулируемые в рамках Монреальского протокола, и их альтернативы.</w:t>
      </w:r>
    </w:p>
    <w:p w14:paraId="4D1F9EF4" w14:textId="77777777"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Г-н Вудкок заявил, что вещества, регулируемые в рамках Монреальского протокола, и их альтернативы не являются стойкими биоаккумулируемыми токсинами. Однако вещества, регулируемые в рамках Монреальского протокола, и их альтернативы в разной степени разлагаются до солей трифторуксусной кислоты (ТФК). ТФК сохраняется в поверхностных водах, и в некоторых районах ее концентрация увеличивается. ТФК обладает низкой токсичностью, и в настоящее время прогнозируется, что ее концентрация будет оставаться значительно ниже уровня, вызывающего токсикологическую озабоченность. Тем не менее, существуют также пробелы в знаниях об относительных объемах поступления ТФК в окружающую среду из других источников (например, фармацевтических препаратов, пестицидов).</w:t>
      </w:r>
    </w:p>
    <w:p w14:paraId="5121D74C" w14:textId="77777777"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Г-н Вудкок пояснил, что неопределенность, возникшая в связи с возможным введением широких нормативных требований в отношении ПФАВ, задерживает коммерческие инвестиции в процесс перехода и может сократить доступность альтернатив в некоторых областях применения. Это может замедлить поэтапное сокращение оборота ГФУ из-за медленного распространения альтернатив с более низким ПГП и даже снизить энергоэффективность в некоторых областях применения. Он также привел два примера воздействия на конкретные секторы. В секторе пожаротушения существует действительная </w:t>
      </w:r>
      <w:r w:rsidRPr="00D151F0">
        <w:rPr>
          <w:lang w:val="ru-RU"/>
        </w:rPr>
        <w:lastRenderedPageBreak/>
        <w:t>неопределенность в отношении долгосрочного использования галонов. В отношении пропеллентов для дозированных ингаляторов с низким ПГП переход уже начался, однако существует неопределенность в отношении того, какие пропелленты с низким ПГП будут доступны в долгосрочной перспективе. Он заявил, что потенциально необходимо обеспечить переход 94 фармацевтических компаний и защитить здоровье более миллиарда пациентов.</w:t>
      </w:r>
    </w:p>
    <w:p w14:paraId="1A4D6497" w14:textId="77777777" w:rsidR="000F59B8" w:rsidRPr="00D151F0" w:rsidRDefault="000F59B8" w:rsidP="00994CDA">
      <w:pPr>
        <w:pStyle w:val="Normalnumber"/>
        <w:tabs>
          <w:tab w:val="clear" w:pos="624"/>
          <w:tab w:val="clear" w:pos="1247"/>
          <w:tab w:val="clear" w:pos="1814"/>
          <w:tab w:val="clear" w:pos="2381"/>
          <w:tab w:val="clear" w:pos="2948"/>
          <w:tab w:val="clear" w:pos="3515"/>
        </w:tabs>
        <w:ind w:left="1247"/>
        <w:rPr>
          <w:lang w:val="ru-RU"/>
        </w:rPr>
      </w:pPr>
      <w:r w:rsidRPr="00D151F0">
        <w:rPr>
          <w:lang w:val="ru-RU"/>
        </w:rPr>
        <w:t xml:space="preserve">Три группы </w:t>
      </w:r>
      <w:r>
        <w:rPr>
          <w:lang w:val="ru-RU"/>
        </w:rPr>
        <w:t>координируют</w:t>
      </w:r>
      <w:r w:rsidRPr="00D151F0">
        <w:rPr>
          <w:lang w:val="ru-RU"/>
        </w:rPr>
        <w:t xml:space="preserve"> наши усилия, чтобы Стороны были полностью информированы об изменениях нормативных требований в отношении ПФАВ, которые могут повлиять на Монреальский протокол.</w:t>
      </w:r>
    </w:p>
    <w:p w14:paraId="51465B9B" w14:textId="77777777" w:rsidR="008F2A3F" w:rsidRPr="00422FE2" w:rsidRDefault="008F2A3F" w:rsidP="00AF71B7">
      <w:pPr>
        <w:pStyle w:val="Normalnumber"/>
        <w:numPr>
          <w:ilvl w:val="0"/>
          <w:numId w:val="0"/>
        </w:numPr>
        <w:tabs>
          <w:tab w:val="clear" w:pos="1247"/>
          <w:tab w:val="clear" w:pos="1814"/>
          <w:tab w:val="clear" w:pos="2381"/>
          <w:tab w:val="clear" w:pos="2948"/>
          <w:tab w:val="clear" w:pos="3515"/>
        </w:tabs>
        <w:ind w:left="1247"/>
        <w:rPr>
          <w:lang w:val="ru-RU"/>
        </w:rPr>
        <w:sectPr w:rsidR="008F2A3F" w:rsidRPr="00422FE2" w:rsidSect="000F59B8">
          <w:pgSz w:w="11907" w:h="16839" w:code="9"/>
          <w:pgMar w:top="907" w:right="992" w:bottom="1418" w:left="1418" w:header="539" w:footer="975" w:gutter="0"/>
          <w:cols w:space="539"/>
          <w:docGrid w:linePitch="360"/>
        </w:sectPr>
      </w:pPr>
    </w:p>
    <w:p w14:paraId="106CE799" w14:textId="77777777" w:rsidR="005232E9" w:rsidRPr="002D74DA" w:rsidRDefault="005232E9" w:rsidP="005232E9">
      <w:pPr>
        <w:pStyle w:val="ZZAnxheader"/>
        <w:tabs>
          <w:tab w:val="clear" w:pos="624"/>
          <w:tab w:val="clear" w:pos="1247"/>
          <w:tab w:val="clear" w:pos="1871"/>
          <w:tab w:val="clear" w:pos="2495"/>
          <w:tab w:val="clear" w:pos="3119"/>
          <w:tab w:val="clear" w:pos="3742"/>
          <w:tab w:val="clear" w:pos="4366"/>
          <w:tab w:val="clear" w:pos="4990"/>
        </w:tabs>
        <w:spacing w:after="240"/>
        <w:rPr>
          <w:lang w:val="ru-RU"/>
        </w:rPr>
      </w:pPr>
      <w:r>
        <w:rPr>
          <w:lang w:val="ru-RU"/>
        </w:rPr>
        <w:lastRenderedPageBreak/>
        <w:t>Приложение II</w:t>
      </w:r>
    </w:p>
    <w:p w14:paraId="3CFD9653" w14:textId="23DB8D4B" w:rsidR="005232E9" w:rsidRPr="002D74DA" w:rsidRDefault="005232E9" w:rsidP="005232E9">
      <w:pPr>
        <w:pStyle w:val="ZZAnxtitle"/>
        <w:tabs>
          <w:tab w:val="clear" w:pos="624"/>
          <w:tab w:val="clear" w:pos="1247"/>
          <w:tab w:val="clear" w:pos="1871"/>
          <w:tab w:val="clear" w:pos="2495"/>
          <w:tab w:val="clear" w:pos="3119"/>
          <w:tab w:val="clear" w:pos="3742"/>
          <w:tab w:val="clear" w:pos="4366"/>
          <w:tab w:val="clear" w:pos="4990"/>
        </w:tabs>
        <w:spacing w:before="0"/>
        <w:ind w:right="567"/>
        <w:rPr>
          <w:lang w:val="ru-RU"/>
        </w:rPr>
      </w:pPr>
      <w:r>
        <w:rPr>
          <w:lang w:val="ru-RU"/>
        </w:rPr>
        <w:t>Заявление Председателя Исполнительного комитета Многостороннего фонда для осуществления Монреальского протокола о работе Исполнительного комитета, секретариата Многостороннего фонда и учреждений</w:t>
      </w:r>
      <w:r w:rsidR="0004411B">
        <w:rPr>
          <w:lang w:val="ru-RU"/>
        </w:rPr>
        <w:t> – </w:t>
      </w:r>
      <w:r>
        <w:rPr>
          <w:lang w:val="ru-RU"/>
        </w:rPr>
        <w:t>исполнителей Фонда</w:t>
      </w:r>
      <w:r w:rsidRPr="005232E9">
        <w:rPr>
          <w:b w:val="0"/>
          <w:bCs w:val="0"/>
          <w:lang w:val="ru-RU"/>
        </w:rPr>
        <w:t>*</w:t>
      </w:r>
    </w:p>
    <w:p w14:paraId="677CBB67"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footnoteReference w:customMarkFollows="1" w:id="6"/>
        <w:t xml:space="preserve">Господин Председатель, уважаемые Стороны, </w:t>
      </w:r>
    </w:p>
    <w:p w14:paraId="372E42AC"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от имени Исполнительного комитета Многостороннего фонда я рад сообщить Сторонам о значительных успехах, достигнутых Исполнительным комитетом после тридцать шестого Совещания Сторон, прошедшего в 2024 году. Общую картину определяют два решения, которые стали результатом многолетних обсуждений.</w:t>
      </w:r>
    </w:p>
    <w:p w14:paraId="04C09BAD" w14:textId="77777777" w:rsidR="005232E9" w:rsidRPr="002D74DA" w:rsidRDefault="005232E9" w:rsidP="000A413B">
      <w:pPr>
        <w:pStyle w:val="NormalNonumber"/>
        <w:numPr>
          <w:ilvl w:val="0"/>
          <w:numId w:val="35"/>
        </w:numPr>
        <w:tabs>
          <w:tab w:val="clear" w:pos="624"/>
          <w:tab w:val="clear" w:pos="1247"/>
          <w:tab w:val="clear" w:pos="1871"/>
          <w:tab w:val="clear" w:pos="2495"/>
          <w:tab w:val="clear" w:pos="3119"/>
          <w:tab w:val="clear" w:pos="3742"/>
          <w:tab w:val="clear" w:pos="4366"/>
          <w:tab w:val="clear" w:pos="4990"/>
        </w:tabs>
        <w:ind w:left="2229" w:hanging="624"/>
        <w:rPr>
          <w:lang w:val="ru-RU"/>
        </w:rPr>
      </w:pPr>
      <w:r>
        <w:rPr>
          <w:lang w:val="ru-RU"/>
        </w:rPr>
        <w:t xml:space="preserve">Во-первых, реализация Кигалийской поправки путем заключения соглашения о руководящих принципах для затрат на поэтапное сокращение оборота ГФУ в странах, действующих в рамках статьи 5, касающихся приемлемых дополнительных затрат для обрабатывающей промышленности, включая уровень финансирования, а также об исходной точке для устойчивого совокупного сокращения потребления ГФУ, в ответ на ваше решение XXVIII/2 (28/2); </w:t>
      </w:r>
    </w:p>
    <w:p w14:paraId="6C20F17E" w14:textId="77777777" w:rsidR="005232E9" w:rsidRPr="002D74DA" w:rsidRDefault="005232E9" w:rsidP="000A413B">
      <w:pPr>
        <w:pStyle w:val="NormalNonumber"/>
        <w:numPr>
          <w:ilvl w:val="0"/>
          <w:numId w:val="35"/>
        </w:numPr>
        <w:tabs>
          <w:tab w:val="clear" w:pos="624"/>
          <w:tab w:val="clear" w:pos="1247"/>
          <w:tab w:val="clear" w:pos="1871"/>
          <w:tab w:val="clear" w:pos="2495"/>
          <w:tab w:val="clear" w:pos="3119"/>
          <w:tab w:val="clear" w:pos="3742"/>
          <w:tab w:val="clear" w:pos="4366"/>
          <w:tab w:val="clear" w:pos="4990"/>
        </w:tabs>
        <w:ind w:left="2229" w:hanging="624"/>
        <w:rPr>
          <w:lang w:val="ru-RU"/>
        </w:rPr>
      </w:pPr>
      <w:r>
        <w:rPr>
          <w:lang w:val="ru-RU"/>
        </w:rPr>
        <w:t xml:space="preserve">во-вторых, операционная структура для поддержания и (или) повышения энергоэффективности заменяющих технологий и оборудования в обрабатывающей промышленности при постепенном сокращении оборота ГФУ, а также уровни финансирования таких проектов, включая инновационный механизм возобновляемого финансирования для конечных пользователей. </w:t>
      </w:r>
    </w:p>
    <w:p w14:paraId="46DD7113"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В документе 37/8 содержится всеобъемлющее описание обсуждений и итогов работы Комитета за отчетный период, принятых решений по вопросам политики, утвержденных проектов, хода осуществления текущих проектов, а также вопросов планирования деятельности, финансовых и административных вопросов. Ежегодный информационный бюллетень секретариата Многостороннего фонда также представляет общий обзор достижений в 2024 году. </w:t>
      </w:r>
    </w:p>
    <w:p w14:paraId="3847BAF2"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В своем сообщении я коротко расскажу вам о нескольких решениях. </w:t>
      </w:r>
    </w:p>
    <w:p w14:paraId="32DBB5F9"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Исполнительный комитет ранее согласовал принципы и уровни финансирования приемлемых дополнительных затрат для сектора обслуживания холодильного оборудования на этапе I планов выполнения Кигалийской поправки в отношении ГФУ (ПВК). На 95-м совещании Комитет достиг соглашения о руководящих принципах для затрат в обрабатывающем секторе, а на 96-м совещании – об исходной точке для устойчивого совокупного сокращения. Упомянутые решения обеспечивают финансирование и стимулируют страны к представлению ими их планов. Этот процесс</w:t>
      </w:r>
      <w:r w:rsidRPr="002D74DA">
        <w:rPr>
          <w:lang w:val="ru-RU"/>
        </w:rPr>
        <w:t xml:space="preserve">, </w:t>
      </w:r>
      <w:r>
        <w:rPr>
          <w:lang w:val="ru-RU"/>
        </w:rPr>
        <w:t xml:space="preserve">осуществляемый во исполнение вашего решения XXVIII/2 (28/2), завершил переговоры, продолжавшиеся с 2017 года. </w:t>
      </w:r>
    </w:p>
    <w:p w14:paraId="31E0E60D" w14:textId="41950FFD"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Малы</w:t>
      </w:r>
      <w:r w:rsidR="00DF4B9B">
        <w:rPr>
          <w:lang w:val="ru-RU"/>
        </w:rPr>
        <w:t>м</w:t>
      </w:r>
      <w:r>
        <w:rPr>
          <w:lang w:val="ru-RU"/>
        </w:rPr>
        <w:t xml:space="preserve"> и </w:t>
      </w:r>
      <w:r w:rsidR="00DF4B9B">
        <w:rPr>
          <w:lang w:val="ru-RU"/>
        </w:rPr>
        <w:t xml:space="preserve">средним </w:t>
      </w:r>
      <w:r>
        <w:rPr>
          <w:lang w:val="ru-RU"/>
        </w:rPr>
        <w:t>предприятия</w:t>
      </w:r>
      <w:r w:rsidR="00DF4B9B">
        <w:rPr>
          <w:lang w:val="ru-RU"/>
        </w:rPr>
        <w:t>м</w:t>
      </w:r>
      <w:r>
        <w:rPr>
          <w:lang w:val="ru-RU"/>
        </w:rPr>
        <w:t xml:space="preserve"> (МСП) </w:t>
      </w:r>
      <w:r w:rsidR="00DF4B9B">
        <w:rPr>
          <w:lang w:val="ru-RU"/>
        </w:rPr>
        <w:t>уделяется</w:t>
      </w:r>
      <w:r>
        <w:rPr>
          <w:lang w:val="ru-RU"/>
        </w:rPr>
        <w:t xml:space="preserve"> приоритет</w:t>
      </w:r>
      <w:r w:rsidR="00DF4B9B">
        <w:rPr>
          <w:lang w:val="ru-RU"/>
        </w:rPr>
        <w:t>ное внимание</w:t>
      </w:r>
      <w:r>
        <w:rPr>
          <w:lang w:val="ru-RU"/>
        </w:rPr>
        <w:t xml:space="preserve"> в руководящих принципах. МСП в секторах пенополиуретана (ПУ) и холодильного оборудования и систем кондиционирования воздуха могут получить дополнительное финансирование для поддержки соблюдения требований. Руководящие принципы поощряют гибкий, ориентированный на страны подход, позволяя Сторонам, действующим в рамках статьи 5</w:t>
      </w:r>
      <w:r w:rsidRPr="002D74DA">
        <w:rPr>
          <w:lang w:val="ru-RU"/>
        </w:rPr>
        <w:t>,</w:t>
      </w:r>
      <w:r>
        <w:rPr>
          <w:lang w:val="ru-RU"/>
        </w:rPr>
        <w:t xml:space="preserve"> отдавать приоритет ГФУ, определять секторы, выбирать технологии и адаптировать стратегии к национальным условиям.</w:t>
      </w:r>
    </w:p>
    <w:p w14:paraId="1BE65D56" w14:textId="45F14BD4"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Комитет также одобрил шаблон соглашения между Сторонами, действующими в рамках статьи</w:t>
      </w:r>
      <w:r w:rsidR="00B11DAC">
        <w:rPr>
          <w:lang w:val="ru-RU"/>
        </w:rPr>
        <w:t> </w:t>
      </w:r>
      <w:r>
        <w:rPr>
          <w:lang w:val="ru-RU"/>
        </w:rPr>
        <w:t>5, и Комитетом в отношении этапа I ПВК и достиг согласия в отношении проверки потребления ГФУ для стран с малыми объемами потребления (МОП)</w:t>
      </w:r>
      <w:r w:rsidRPr="002D74DA">
        <w:rPr>
          <w:lang w:val="ru-RU"/>
        </w:rPr>
        <w:t>,</w:t>
      </w:r>
      <w:r>
        <w:rPr>
          <w:lang w:val="ru-RU"/>
        </w:rPr>
        <w:t xml:space="preserve"> утвердив ее этапы. Импортированные готовые смеси полиолов в секторе ПУ также могут быть включены в финансирование в рамках этапа I ПВК для полного отказа от их использования, а финансирование потребления ГФУ в местном подсекторе монтажа и сборки будет определяться в каждом конкретном случае.</w:t>
      </w:r>
    </w:p>
    <w:p w14:paraId="6F977332"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lastRenderedPageBreak/>
        <w:t>В отношении удаления Комитет уже принял несколько решений и продолжит рассматривать этот вопрос в рамках обсуждения регулирования жизненного цикла хладагентов в соответствии с решением XXXV/11 (35/11) на своем 97-м совещании.</w:t>
      </w:r>
    </w:p>
    <w:p w14:paraId="202B45E5" w14:textId="1DD795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После принятия принципиального решения об операционной структуре для повышения энергоэффективности при поэтапном сокращении оборота ГФУ, согласованного на 94</w:t>
      </w:r>
      <w:r w:rsidR="000A413B">
        <w:rPr>
          <w:lang w:val="ru-RU"/>
        </w:rPr>
        <w:noBreakHyphen/>
      </w:r>
      <w:r>
        <w:rPr>
          <w:lang w:val="ru-RU"/>
        </w:rPr>
        <w:t>м</w:t>
      </w:r>
      <w:r w:rsidR="000A413B">
        <w:rPr>
          <w:lang w:val="ru-RU"/>
        </w:rPr>
        <w:t> </w:t>
      </w:r>
      <w:r>
        <w:rPr>
          <w:lang w:val="ru-RU"/>
        </w:rPr>
        <w:t xml:space="preserve">совещании, Комитет на своем 95-м совещании утвердил инновационный механизм возобновляемого фонда с объемом финансирования в 40 млн долл. США. Этот механизм будет поддерживать два экспериментальных проекта у Сторон, действующих в рамках статьи 5, направленных на создание возобновляемых фондов для обеспечения энергоэффективности конечных пользователей. Благодаря этому механизму возврат средств от бенефициаров будет пополнять фонды, обеспечивая дополнительный цикл финансовой поддержки для других бенефициаров. Экспериментальные проекты, рассчитанные на восемь лет, в конечном итоге вернут средства обратно в Многосторонний фонд, что позволит максимально увеличить отдачу от первоначальных инвестиций. Решение о выборе этих двух экспериментальных проектов будет принято в следующем году на 98-м совещании Исполнительного комитета. </w:t>
      </w:r>
    </w:p>
    <w:p w14:paraId="37251811"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Параллельно с 95-м и 96-м совещаниями были проведены полудневные сессии, посвященные стратегическим подходам к осуществлению Кигалийской поправки и вкладу в устойчивое охлаждение в рамках Многостороннего фонда с целью выявления высокоэффективных возможностей для поддержки Фондом усилий, выходящих за рамки соблюдения Кигалийской поправки. Этот вопрос будет обсуждаться далее с использованием документа, подготовленного секретариатом Фонда к 98-му совещанию Исполнительного комитета. </w:t>
      </w:r>
    </w:p>
    <w:p w14:paraId="25190EA8" w14:textId="56ACE491"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На этом же совещании на основе документа, подготовленного секретариатом Фонда, будут дополнительно рассмотрены проблемы, связанные с производственно-сбытов</w:t>
      </w:r>
      <w:r w:rsidR="00DF4B9B">
        <w:rPr>
          <w:lang w:val="ru-RU"/>
        </w:rPr>
        <w:t>ой</w:t>
      </w:r>
      <w:r>
        <w:rPr>
          <w:lang w:val="ru-RU"/>
        </w:rPr>
        <w:t xml:space="preserve"> </w:t>
      </w:r>
      <w:r w:rsidR="00DF4B9B">
        <w:rPr>
          <w:lang w:val="ru-RU"/>
        </w:rPr>
        <w:t>деятельностью</w:t>
      </w:r>
      <w:r>
        <w:rPr>
          <w:lang w:val="ru-RU"/>
        </w:rPr>
        <w:t xml:space="preserve">, которые становятся все более очевидными при реализации проектов. </w:t>
      </w:r>
    </w:p>
    <w:p w14:paraId="4D540BA3" w14:textId="3CC3B8A1"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Комитет на своем 96-м совещании также постановил рассмотреть вопрос о создании на 98</w:t>
      </w:r>
      <w:r w:rsidR="000A413B">
        <w:rPr>
          <w:lang w:val="ru-RU"/>
        </w:rPr>
        <w:noBreakHyphen/>
      </w:r>
      <w:r>
        <w:rPr>
          <w:lang w:val="ru-RU"/>
        </w:rPr>
        <w:t>м</w:t>
      </w:r>
      <w:r w:rsidR="000A413B">
        <w:rPr>
          <w:lang w:val="ru-RU"/>
        </w:rPr>
        <w:t> </w:t>
      </w:r>
      <w:r>
        <w:rPr>
          <w:lang w:val="ru-RU"/>
        </w:rPr>
        <w:t xml:space="preserve">совещании механизма финансирования для трех экспериментальных проектов по усилению регионального атмосферного мониторинга веществ, регулируемых в рамках Монреальского протокола, и просил секретариат разработать проект руководящих принципов для подготовки и осуществления таких экспериментальных проектов. Эта тема активно обсуждалась в ходе подготовительного сегмента настоящего совещания и демонстрирует уровень координации между различными учреждениями, действующими в рамках договоров об озоновом слое. </w:t>
      </w:r>
    </w:p>
    <w:p w14:paraId="2C4F466E"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Господин Председатель, уважаемые Стороны, </w:t>
      </w:r>
    </w:p>
    <w:p w14:paraId="784DB81C" w14:textId="77777777" w:rsidR="005232E9" w:rsidRPr="00EC4BB2"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За этот отчетный период мы одобрили проекты с финансированием в объеме 136,5 млн долл. США. Наш успех зависит от практической реализации на местах и от того, смогут ли нуждающиеся в этих средствах адаптироваться с наименьшими финансовыми и социальными последствиями к природоохранным целям наших договоров. В связи с этим настало время выразить благодарность ПРООН, ЮНЕП, ЮНИДО, Всемирному банку, а также двусторонним учреждениям за их целенаправленную работу со странами. </w:t>
      </w:r>
    </w:p>
    <w:p w14:paraId="589CF551"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ПРООН оказывает техническую поддержку 47 странам в достижении связанных с ГХФУ целевых показателей в рамках Монреальского протокола и оказала поддержку 34 странам в подготовке их ПВК, 22 из которых уже представлены, а также содействует созданию потенциала Сторон, действующих в рамках статьи 5, в поддержку Кигалийской поправки. Программа получила разрешение на создание возобновляемого фонда для содействия энергоэффективности конечных пользователей в секторе туризма в Колумбии, Гане и Иордании. Ее работа также привела к увеличению числа женщин среди слушателей учебных курсов и участников совещаний, организованных под эгидой Монреальского протокола.</w:t>
      </w:r>
    </w:p>
    <w:p w14:paraId="187C1B0A" w14:textId="799C7E90"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ЮНЕП оказывает 101 стране помощь в укреплении институционального потенциала, разработке политики, определении квот и представлении данных, а также содействует соблюдению требований через региональные сети и информационно-координационные механизмы. ЮНЕП помогла 102 странам осуществить планы </w:t>
      </w:r>
      <w:r w:rsidRPr="002D74DA">
        <w:rPr>
          <w:lang w:val="ru-RU"/>
        </w:rPr>
        <w:t>регулирования поэтапного вывода из обращения</w:t>
      </w:r>
      <w:r w:rsidRPr="002D74DA">
        <w:rPr>
          <w:lang w:val="en-US"/>
        </w:rPr>
        <w:t> </w:t>
      </w:r>
      <w:r>
        <w:rPr>
          <w:lang w:val="ru-RU"/>
        </w:rPr>
        <w:t>ГХФУ (ПРПГ) и оказала поддержку 50 странам в реализации ПВК, включая продвижение энергоэффективных технологий с низким ПГП в секторе обслуживания холодильного оборудования. Особое внимание уделялось странам с МОП путем оказания специализированной помощи по техническим</w:t>
      </w:r>
      <w:r w:rsidR="00DF4B9B" w:rsidRPr="00FA4D55">
        <w:rPr>
          <w:lang w:val="ru-RU"/>
        </w:rPr>
        <w:t xml:space="preserve"> </w:t>
      </w:r>
      <w:r w:rsidR="00DF4B9B">
        <w:rPr>
          <w:lang w:val="ru-RU"/>
        </w:rPr>
        <w:t>вопросам</w:t>
      </w:r>
      <w:r>
        <w:rPr>
          <w:lang w:val="ru-RU"/>
        </w:rPr>
        <w:t xml:space="preserve"> и вопросам</w:t>
      </w:r>
      <w:r w:rsidR="00DF4B9B">
        <w:rPr>
          <w:lang w:val="ru-RU"/>
        </w:rPr>
        <w:t xml:space="preserve"> мер политики</w:t>
      </w:r>
      <w:r>
        <w:rPr>
          <w:lang w:val="ru-RU"/>
        </w:rPr>
        <w:t>. ЮНЕП оказывает помощь 63 странам в подготовке кадастров и планов для регулирования запасов утильных или невостребованных регулируемых веществ.</w:t>
      </w:r>
    </w:p>
    <w:p w14:paraId="6C2616B6" w14:textId="382A076B"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lastRenderedPageBreak/>
        <w:t>ЮНИДО осуществляет ПРПГ в 68 странах, ПВК – в 22, проекты по укреплению институционального потенциала – в 14 и проекты по уничтожению выбросов ГФУ-23 в виде побочных продуктов – в двух. В настоящее время осуществляются три инвестиционных проекта по производству ГФУ для бытовых систем кондиционирования воздуха и бытового и коммерческого холодильного оборудования. ЮНИДО продолжает оказывать поддержку странам в завершении поэтапного вывода из обращения ГХФУ и поэтапного сокращения оборота ГФУ. С помощью механизмов финансирования ЮНИДО осуществляет мероприятия по обеспечению энергоэффективности в 11 странах с МОП, экспериментальные проекты в 14</w:t>
      </w:r>
      <w:r w:rsidR="000A413B">
        <w:rPr>
          <w:lang w:val="ru-RU"/>
        </w:rPr>
        <w:t> </w:t>
      </w:r>
      <w:r>
        <w:rPr>
          <w:lang w:val="ru-RU"/>
        </w:rPr>
        <w:t xml:space="preserve">странах и подготовку кадастров для регулирования запасов утильных или невостребованных регулируемых веществ в 25 странах. </w:t>
      </w:r>
    </w:p>
    <w:p w14:paraId="0C423A48"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Всемирный банк продолжил подготовку ПВК, в которые он стремится интегрировать такие аспекты, как энергоэффективность и регулирование жизненного цикла, что соответствует его более широким обязательствам по максимизации сопутствующих климатических выгод. Это включает утверждение экспериментального проекта по повышению энергоэффективности коммерческого холодильного оборудования наряду с поэтапным сокращением оборота ГФУ. Банк помогал странам, проводя мероприятия по распространению знаний и оказывая техническую и консультативную поддержку, включая рекомендации по распределению квот. Банк продолжал оказывать поддержку странам в завершении второго этапа ПРПГ и второго этапа поэтапного отказа от производства ГХФУ в одной стране. Банк готовит проекты по поддержке конечных пользователей в Гренаде, Таиланде и Турции в рамках механизма возобновляемого фонда.</w:t>
      </w:r>
    </w:p>
    <w:p w14:paraId="63C2A0DD"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 xml:space="preserve">Господин Председатель, уважаемые Стороны, </w:t>
      </w:r>
    </w:p>
    <w:p w14:paraId="3CA22DC7" w14:textId="3F6B767A"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Деятельность Многостороннего фонда способствует преобразованию экономики и расширению прав и возможностей людей. Фонд вложил средства в передачу технологий, обучение и создание потенциала. Создаются новые возможности для деятельности, стимулы для технологических инноваций в странах по всему миру</w:t>
      </w:r>
      <w:r w:rsidRPr="002D74DA">
        <w:rPr>
          <w:lang w:val="ru-RU"/>
        </w:rPr>
        <w:t>,</w:t>
      </w:r>
      <w:r>
        <w:rPr>
          <w:lang w:val="ru-RU"/>
        </w:rPr>
        <w:t xml:space="preserve"> новые рабочие места, улучшаются условия жизни. </w:t>
      </w:r>
    </w:p>
    <w:p w14:paraId="34C30FEC" w14:textId="496F8875"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Позвольте мне выразить искреннюю признательность членам Исполнительного комитета за оказанную мне поддержку в исполнении обязанностей Председателя, секретариату Фонда, а также двусторонним учреждениям и учреждениям-исполнителям за их неустанную упорную работу и преданность нашим общим целям. Я хотел бы поблагодарить мою коллегу, г</w:t>
      </w:r>
      <w:r w:rsidR="000A413B">
        <w:rPr>
          <w:lang w:val="ru-RU"/>
        </w:rPr>
        <w:noBreakHyphen/>
      </w:r>
      <w:r>
        <w:rPr>
          <w:lang w:val="ru-RU"/>
        </w:rPr>
        <w:t>жу</w:t>
      </w:r>
      <w:r w:rsidR="000A413B">
        <w:rPr>
          <w:lang w:val="ru-RU"/>
        </w:rPr>
        <w:t> </w:t>
      </w:r>
      <w:r>
        <w:rPr>
          <w:lang w:val="ru-RU"/>
        </w:rPr>
        <w:t>Марию Антонеллу Пароди из Аргентины, которая выполняла обязанности Председателя на одном из совещаний Исполнительного комитета после последнего Совещания Сторон.</w:t>
      </w:r>
    </w:p>
    <w:p w14:paraId="3A46A867" w14:textId="77777777" w:rsidR="005232E9" w:rsidRPr="002D74DA" w:rsidRDefault="005232E9" w:rsidP="005232E9">
      <w:pPr>
        <w:pStyle w:val="NormalNonumber"/>
        <w:tabs>
          <w:tab w:val="clear" w:pos="624"/>
          <w:tab w:val="clear" w:pos="1247"/>
          <w:tab w:val="clear" w:pos="1871"/>
          <w:tab w:val="clear" w:pos="2495"/>
          <w:tab w:val="clear" w:pos="3119"/>
          <w:tab w:val="clear" w:pos="3742"/>
          <w:tab w:val="clear" w:pos="4366"/>
          <w:tab w:val="clear" w:pos="4990"/>
        </w:tabs>
        <w:rPr>
          <w:lang w:val="ru-RU"/>
        </w:rPr>
      </w:pPr>
      <w:r>
        <w:rPr>
          <w:lang w:val="ru-RU"/>
        </w:rPr>
        <w:t>Позвольте также поблагодарить Стороны за их твердую приверженность осуществлению Монреальского протокола и за руководящие указания, которые вы представляете Исполнительному комитету.</w:t>
      </w:r>
    </w:p>
    <w:p w14:paraId="43B73ED3" w14:textId="77777777" w:rsidR="005232E9" w:rsidRPr="00C62023" w:rsidRDefault="005232E9" w:rsidP="005232E9">
      <w:pPr>
        <w:pStyle w:val="NormalNonumber"/>
        <w:tabs>
          <w:tab w:val="clear" w:pos="624"/>
          <w:tab w:val="clear" w:pos="1247"/>
          <w:tab w:val="clear" w:pos="1871"/>
          <w:tab w:val="clear" w:pos="2495"/>
          <w:tab w:val="clear" w:pos="3119"/>
          <w:tab w:val="clear" w:pos="3742"/>
          <w:tab w:val="clear" w:pos="4366"/>
          <w:tab w:val="clear" w:pos="4990"/>
        </w:tabs>
      </w:pPr>
      <w:r>
        <w:rPr>
          <w:lang w:val="ru-RU"/>
        </w:rPr>
        <w:t>Благодарю вас.</w:t>
      </w:r>
    </w:p>
    <w:tbl>
      <w:tblPr>
        <w:tblStyle w:val="TableGrid"/>
        <w:tblW w:w="0" w:type="auto"/>
        <w:tblLook w:val="04A0" w:firstRow="1" w:lastRow="0" w:firstColumn="1" w:lastColumn="0" w:noHBand="0" w:noVBand="1"/>
      </w:tblPr>
      <w:tblGrid>
        <w:gridCol w:w="1897"/>
        <w:gridCol w:w="1897"/>
        <w:gridCol w:w="1897"/>
        <w:gridCol w:w="1898"/>
        <w:gridCol w:w="1898"/>
      </w:tblGrid>
      <w:tr w:rsidR="000A413B" w:rsidRPr="00C62023" w14:paraId="5D01B9D9" w14:textId="77777777" w:rsidTr="002A71E2">
        <w:tc>
          <w:tcPr>
            <w:tcW w:w="1897" w:type="dxa"/>
          </w:tcPr>
          <w:p w14:paraId="7F02006F"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spacing w:before="520"/>
            </w:pPr>
          </w:p>
        </w:tc>
        <w:tc>
          <w:tcPr>
            <w:tcW w:w="1897" w:type="dxa"/>
          </w:tcPr>
          <w:p w14:paraId="0AD7A800"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spacing w:before="520"/>
            </w:pPr>
          </w:p>
        </w:tc>
        <w:tc>
          <w:tcPr>
            <w:tcW w:w="1897" w:type="dxa"/>
            <w:tcBorders>
              <w:bottom w:val="single" w:sz="4" w:space="0" w:color="auto"/>
            </w:tcBorders>
          </w:tcPr>
          <w:p w14:paraId="0E54BD47"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spacing w:before="520"/>
            </w:pPr>
          </w:p>
        </w:tc>
        <w:tc>
          <w:tcPr>
            <w:tcW w:w="1898" w:type="dxa"/>
          </w:tcPr>
          <w:p w14:paraId="63EE05E3"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spacing w:before="520"/>
            </w:pPr>
          </w:p>
        </w:tc>
        <w:tc>
          <w:tcPr>
            <w:tcW w:w="1898" w:type="dxa"/>
          </w:tcPr>
          <w:p w14:paraId="3D64BF0A"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spacing w:before="520"/>
            </w:pPr>
          </w:p>
        </w:tc>
      </w:tr>
    </w:tbl>
    <w:p w14:paraId="2643A428" w14:textId="77777777" w:rsidR="000A413B" w:rsidRPr="00C62023" w:rsidRDefault="000A413B" w:rsidP="000A413B">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sectPr w:rsidR="000A413B" w:rsidRPr="00C62023" w:rsidSect="000F59B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284E" w14:textId="77777777" w:rsidR="0068567E" w:rsidRPr="00C20895" w:rsidRDefault="0068567E">
      <w:r w:rsidRPr="00C20895">
        <w:separator/>
      </w:r>
    </w:p>
  </w:endnote>
  <w:endnote w:type="continuationSeparator" w:id="0">
    <w:p w14:paraId="5106A905" w14:textId="77777777" w:rsidR="0068567E" w:rsidRPr="00C20895" w:rsidRDefault="0068567E">
      <w:r w:rsidRPr="00C2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534" w14:textId="77777777" w:rsidR="007A36F8" w:rsidRPr="00C20895" w:rsidRDefault="00C20895" w:rsidP="00D46339">
    <w:pPr>
      <w:pStyle w:val="Footer-pool"/>
      <w:tabs>
        <w:tab w:val="clear" w:pos="624"/>
        <w:tab w:val="clear" w:pos="1247"/>
        <w:tab w:val="clear" w:pos="1871"/>
        <w:tab w:val="clear" w:pos="2495"/>
        <w:tab w:val="clear" w:pos="3119"/>
        <w:tab w:val="clear" w:pos="3742"/>
        <w:tab w:val="clear" w:pos="4366"/>
        <w:tab w:val="clear" w:pos="4990"/>
        <w:tab w:val="clear" w:pos="8641"/>
      </w:tabs>
    </w:pPr>
    <w:r w:rsidRPr="00C20895">
      <w:rPr>
        <w:rStyle w:val="PageNumber"/>
        <w:b/>
      </w:rPr>
      <w:fldChar w:fldCharType="begin"/>
    </w:r>
    <w:r w:rsidRPr="00C20895">
      <w:rPr>
        <w:rStyle w:val="PageNumber"/>
        <w:b/>
      </w:rPr>
      <w:instrText xml:space="preserve"> PAGE </w:instrText>
    </w:r>
    <w:r w:rsidRPr="00C20895">
      <w:rPr>
        <w:rStyle w:val="PageNumber"/>
        <w:b/>
      </w:rPr>
      <w:fldChar w:fldCharType="separate"/>
    </w:r>
    <w:r w:rsidRPr="00C20895">
      <w:rPr>
        <w:rStyle w:val="PageNumber"/>
        <w:b/>
        <w:noProof/>
      </w:rPr>
      <w:t>1</w:t>
    </w:r>
    <w:r w:rsidRPr="00C20895">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3174" w14:textId="77777777" w:rsidR="007A36F8" w:rsidRPr="00B90544" w:rsidRDefault="00C20895" w:rsidP="00D46339">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AB635F">
      <w:rPr>
        <w:rStyle w:val="PageNumber"/>
        <w:b/>
      </w:rPr>
      <w:fldChar w:fldCharType="begin"/>
    </w:r>
    <w:r w:rsidRPr="00AB635F">
      <w:rPr>
        <w:rStyle w:val="PageNumber"/>
        <w:b/>
      </w:rPr>
      <w:instrText xml:space="preserve"> PAGE \* MERGEFORMAT </w:instrText>
    </w:r>
    <w:r w:rsidRPr="00AB635F">
      <w:rPr>
        <w:rStyle w:val="PageNumber"/>
        <w:b/>
      </w:rPr>
      <w:fldChar w:fldCharType="separate"/>
    </w:r>
    <w:r w:rsidRPr="00AB635F">
      <w:rPr>
        <w:rStyle w:val="PageNumber"/>
        <w:b/>
      </w:rPr>
      <w:t>1</w:t>
    </w:r>
    <w:r w:rsidRPr="00AB635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5A66" w14:textId="4BEDEC8E" w:rsidR="00C20895" w:rsidRPr="00C20895" w:rsidRDefault="00792F59" w:rsidP="00C20895">
    <w:pPr>
      <w:pStyle w:val="Footer-jobnumber"/>
    </w:pPr>
    <w:bookmarkStart w:id="37" w:name="FooterJobDate"/>
    <w:r>
      <w:rPr>
        <w:lang w:val="ru-RU"/>
      </w:rPr>
      <w:t>K2518262[R]</w:t>
    </w:r>
    <w:r>
      <w:rPr>
        <w:lang w:val="ru-RU"/>
      </w:rPr>
      <w:tab/>
    </w:r>
    <w:r w:rsidR="001A1308">
      <w:rPr>
        <w:lang w:val="ru-RU"/>
      </w:rPr>
      <w:t>25</w:t>
    </w:r>
    <w:r w:rsidR="00D46339">
      <w:rPr>
        <w:lang w:val="en-US"/>
      </w:rPr>
      <w:t>02</w:t>
    </w:r>
    <w:r>
      <w:rPr>
        <w:lang w:val="ru-RU"/>
      </w:rPr>
      <w:t>26</w:t>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9B89" w14:textId="77777777" w:rsidR="0068567E" w:rsidRPr="00C20895" w:rsidRDefault="0068567E" w:rsidP="00C62023">
      <w:pPr>
        <w:pStyle w:val="Footnote-Separator"/>
        <w:tabs>
          <w:tab w:val="clear" w:pos="1247"/>
          <w:tab w:val="clear" w:pos="1871"/>
          <w:tab w:val="clear" w:pos="2495"/>
          <w:tab w:val="clear" w:pos="3119"/>
          <w:tab w:val="clear" w:pos="3742"/>
          <w:tab w:val="clear" w:pos="4366"/>
          <w:tab w:val="clear" w:pos="4990"/>
        </w:tabs>
        <w:rPr>
          <w:szCs w:val="18"/>
        </w:rPr>
      </w:pPr>
      <w:r w:rsidRPr="00C20895">
        <w:separator/>
      </w:r>
    </w:p>
  </w:footnote>
  <w:footnote w:type="continuationSeparator" w:id="0">
    <w:p w14:paraId="365CA0CB" w14:textId="77777777" w:rsidR="0068567E" w:rsidRPr="00C20895" w:rsidRDefault="0068567E" w:rsidP="00C70B49">
      <w:pPr>
        <w:pStyle w:val="Footnote-Separator"/>
      </w:pPr>
      <w:r w:rsidRPr="00C20895">
        <w:continuationSeparator/>
      </w:r>
    </w:p>
  </w:footnote>
  <w:footnote w:type="continuationNotice" w:id="1">
    <w:p w14:paraId="55385114" w14:textId="77777777" w:rsidR="0068567E" w:rsidRPr="00C20895" w:rsidRDefault="0068567E" w:rsidP="00C70B49">
      <w:pPr>
        <w:pStyle w:val="ASpacer"/>
      </w:pPr>
    </w:p>
  </w:footnote>
  <w:footnote w:id="2">
    <w:p w14:paraId="2EC451AF" w14:textId="25518FB2" w:rsidR="000930E9" w:rsidRPr="000C707D" w:rsidRDefault="000930E9" w:rsidP="000C707D">
      <w:pPr>
        <w:pStyle w:val="FootnoteText"/>
        <w:tabs>
          <w:tab w:val="clear" w:pos="1247"/>
          <w:tab w:val="clear" w:pos="1814"/>
          <w:tab w:val="clear" w:pos="2381"/>
          <w:tab w:val="clear" w:pos="2948"/>
          <w:tab w:val="clear" w:pos="3515"/>
        </w:tabs>
        <w:spacing w:before="20" w:after="40"/>
        <w:ind w:left="1247"/>
        <w:rPr>
          <w:sz w:val="18"/>
          <w:szCs w:val="18"/>
          <w:lang w:val="ru-RU"/>
        </w:rPr>
      </w:pPr>
      <w:r w:rsidRPr="000C707D">
        <w:rPr>
          <w:rStyle w:val="FootnoteReference"/>
          <w:sz w:val="18"/>
          <w:lang w:val="ru-RU"/>
        </w:rPr>
        <w:footnoteRef/>
      </w:r>
      <w:r w:rsidRPr="000C707D">
        <w:rPr>
          <w:sz w:val="18"/>
          <w:szCs w:val="18"/>
          <w:lang w:val="ru-RU"/>
        </w:rPr>
        <w:t xml:space="preserve"> </w:t>
      </w:r>
      <w:r w:rsidR="000C707D">
        <w:rPr>
          <w:sz w:val="18"/>
          <w:szCs w:val="18"/>
          <w:lang w:val="ru-RU"/>
        </w:rPr>
        <w:tab/>
      </w:r>
      <w:r w:rsidRPr="000C707D">
        <w:rPr>
          <w:sz w:val="18"/>
          <w:szCs w:val="18"/>
          <w:lang w:val="ru-RU"/>
        </w:rPr>
        <w:t>Впоследствии исправление было внесено в слайд презентации и в пункт 93 настоящего доклада.</w:t>
      </w:r>
    </w:p>
  </w:footnote>
  <w:footnote w:id="3">
    <w:p w14:paraId="1B02C616" w14:textId="789DE4B8" w:rsidR="00785FEA" w:rsidRPr="007976E8" w:rsidRDefault="00785FEA" w:rsidP="00A11FB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11FBE">
        <w:rPr>
          <w:rStyle w:val="FootnoteReference"/>
          <w:sz w:val="18"/>
          <w:lang w:val="ru-RU"/>
        </w:rPr>
        <w:footnoteRef/>
      </w:r>
      <w:r w:rsidRPr="00A11FBE">
        <w:rPr>
          <w:szCs w:val="18"/>
          <w:lang w:val="ru-RU"/>
        </w:rPr>
        <w:t xml:space="preserve"> </w:t>
      </w:r>
      <w:r w:rsidR="00A11FBE">
        <w:rPr>
          <w:szCs w:val="18"/>
          <w:lang w:val="ru-RU"/>
        </w:rPr>
        <w:tab/>
      </w:r>
      <w:hyperlink r:id="rId1" w:history="1">
        <w:r w:rsidR="00A11FBE" w:rsidRPr="00215A20">
          <w:rPr>
            <w:rStyle w:val="Hyperlink"/>
            <w:rFonts w:eastAsia="SimSun"/>
            <w:szCs w:val="18"/>
            <w:lang w:eastAsia="zh-CN"/>
          </w:rPr>
          <w:t>https</w:t>
        </w:r>
        <w:r w:rsidR="00A11FBE" w:rsidRPr="007976E8">
          <w:rPr>
            <w:rStyle w:val="Hyperlink"/>
            <w:rFonts w:eastAsia="SimSun"/>
            <w:szCs w:val="18"/>
            <w:lang w:val="ru-RU" w:eastAsia="zh-CN"/>
          </w:rPr>
          <w:t>://</w:t>
        </w:r>
        <w:r w:rsidR="00A11FBE" w:rsidRPr="00215A20">
          <w:rPr>
            <w:rStyle w:val="Hyperlink"/>
            <w:rFonts w:eastAsia="SimSun"/>
            <w:szCs w:val="18"/>
            <w:lang w:eastAsia="zh-CN"/>
          </w:rPr>
          <w:t>ozone</w:t>
        </w:r>
        <w:r w:rsidR="00A11FBE" w:rsidRPr="007976E8">
          <w:rPr>
            <w:rStyle w:val="Hyperlink"/>
            <w:rFonts w:eastAsia="SimSun"/>
            <w:szCs w:val="18"/>
            <w:lang w:val="ru-RU" w:eastAsia="zh-CN"/>
          </w:rPr>
          <w:t>.</w:t>
        </w:r>
        <w:r w:rsidR="00A11FBE" w:rsidRPr="00215A20">
          <w:rPr>
            <w:rStyle w:val="Hyperlink"/>
            <w:rFonts w:eastAsia="SimSun"/>
            <w:szCs w:val="18"/>
            <w:lang w:eastAsia="zh-CN"/>
          </w:rPr>
          <w:t>unep</w:t>
        </w:r>
        <w:r w:rsidR="00A11FBE" w:rsidRPr="007976E8">
          <w:rPr>
            <w:rStyle w:val="Hyperlink"/>
            <w:rFonts w:eastAsia="SimSun"/>
            <w:szCs w:val="18"/>
            <w:lang w:val="ru-RU" w:eastAsia="zh-CN"/>
          </w:rPr>
          <w:t>.</w:t>
        </w:r>
        <w:r w:rsidR="00A11FBE" w:rsidRPr="00215A20">
          <w:rPr>
            <w:rStyle w:val="Hyperlink"/>
            <w:rFonts w:eastAsia="SimSun"/>
            <w:szCs w:val="18"/>
            <w:lang w:eastAsia="zh-CN"/>
          </w:rPr>
          <w:t>org</w:t>
        </w:r>
        <w:r w:rsidR="00A11FBE" w:rsidRPr="007976E8">
          <w:rPr>
            <w:rStyle w:val="Hyperlink"/>
            <w:rFonts w:eastAsia="SimSun"/>
            <w:szCs w:val="18"/>
            <w:lang w:val="ru-RU" w:eastAsia="zh-CN"/>
          </w:rPr>
          <w:t>/</w:t>
        </w:r>
        <w:r w:rsidR="00A11FBE" w:rsidRPr="00215A20">
          <w:rPr>
            <w:rStyle w:val="Hyperlink"/>
            <w:rFonts w:eastAsia="SimSun"/>
            <w:szCs w:val="18"/>
            <w:lang w:eastAsia="zh-CN"/>
          </w:rPr>
          <w:t>system</w:t>
        </w:r>
        <w:r w:rsidR="00A11FBE" w:rsidRPr="007976E8">
          <w:rPr>
            <w:rStyle w:val="Hyperlink"/>
            <w:rFonts w:eastAsia="SimSun"/>
            <w:szCs w:val="18"/>
            <w:lang w:val="ru-RU" w:eastAsia="zh-CN"/>
          </w:rPr>
          <w:t>/</w:t>
        </w:r>
        <w:r w:rsidR="00A11FBE" w:rsidRPr="00215A20">
          <w:rPr>
            <w:rStyle w:val="Hyperlink"/>
            <w:rFonts w:eastAsia="SimSun"/>
            <w:szCs w:val="18"/>
            <w:lang w:eastAsia="zh-CN"/>
          </w:rPr>
          <w:t>files</w:t>
        </w:r>
        <w:r w:rsidR="00A11FBE" w:rsidRPr="007976E8">
          <w:rPr>
            <w:rStyle w:val="Hyperlink"/>
            <w:rFonts w:eastAsia="SimSun"/>
            <w:szCs w:val="18"/>
            <w:lang w:val="ru-RU" w:eastAsia="zh-CN"/>
          </w:rPr>
          <w:t>/</w:t>
        </w:r>
        <w:r w:rsidR="00A11FBE" w:rsidRPr="00215A20">
          <w:rPr>
            <w:rStyle w:val="Hyperlink"/>
            <w:rFonts w:eastAsia="SimSun"/>
            <w:szCs w:val="18"/>
            <w:lang w:eastAsia="zh-CN"/>
          </w:rPr>
          <w:t>documents</w:t>
        </w:r>
        <w:r w:rsidR="00A11FBE" w:rsidRPr="007976E8">
          <w:rPr>
            <w:rStyle w:val="Hyperlink"/>
            <w:rFonts w:eastAsia="SimSun"/>
            <w:szCs w:val="18"/>
            <w:lang w:val="ru-RU" w:eastAsia="zh-CN"/>
          </w:rPr>
          <w:t>/</w:t>
        </w:r>
        <w:r w:rsidR="00A11FBE" w:rsidRPr="00215A20">
          <w:rPr>
            <w:rStyle w:val="Hyperlink"/>
            <w:rFonts w:eastAsia="SimSun"/>
            <w:szCs w:val="18"/>
            <w:lang w:eastAsia="zh-CN"/>
          </w:rPr>
          <w:t>IM</w:t>
        </w:r>
        <w:r w:rsidR="00A11FBE" w:rsidRPr="007976E8">
          <w:rPr>
            <w:rStyle w:val="Hyperlink"/>
            <w:rFonts w:eastAsia="SimSun"/>
            <w:szCs w:val="18"/>
            <w:lang w:val="ru-RU" w:eastAsia="zh-CN"/>
          </w:rPr>
          <w:t>_</w:t>
        </w:r>
        <w:r w:rsidR="00A11FBE" w:rsidRPr="00215A20">
          <w:rPr>
            <w:rStyle w:val="Hyperlink"/>
            <w:rFonts w:eastAsia="SimSun"/>
            <w:szCs w:val="18"/>
            <w:lang w:eastAsia="zh-CN"/>
          </w:rPr>
          <w:t>concept</w:t>
        </w:r>
        <w:r w:rsidR="00A11FBE" w:rsidRPr="007976E8">
          <w:rPr>
            <w:rStyle w:val="Hyperlink"/>
            <w:rFonts w:eastAsia="SimSun"/>
            <w:szCs w:val="18"/>
            <w:lang w:val="ru-RU" w:eastAsia="zh-CN"/>
          </w:rPr>
          <w:t>-</w:t>
        </w:r>
        <w:r w:rsidR="00A11FBE" w:rsidRPr="00215A20">
          <w:rPr>
            <w:rStyle w:val="Hyperlink"/>
            <w:rFonts w:eastAsia="SimSun"/>
            <w:szCs w:val="18"/>
            <w:lang w:eastAsia="zh-CN"/>
          </w:rPr>
          <w:t>note</w:t>
        </w:r>
        <w:r w:rsidR="00A11FBE" w:rsidRPr="007976E8">
          <w:rPr>
            <w:rStyle w:val="Hyperlink"/>
            <w:rFonts w:eastAsia="SimSun"/>
            <w:szCs w:val="18"/>
            <w:lang w:val="ru-RU" w:eastAsia="zh-CN"/>
          </w:rPr>
          <w:t>-</w:t>
        </w:r>
        <w:r w:rsidR="00A11FBE" w:rsidRPr="00215A20">
          <w:rPr>
            <w:rStyle w:val="Hyperlink"/>
            <w:rFonts w:eastAsia="SimSun"/>
            <w:szCs w:val="18"/>
            <w:lang w:eastAsia="zh-CN"/>
          </w:rPr>
          <w:t>and</w:t>
        </w:r>
        <w:r w:rsidR="00A11FBE" w:rsidRPr="007976E8">
          <w:rPr>
            <w:rStyle w:val="Hyperlink"/>
            <w:rFonts w:eastAsia="SimSun"/>
            <w:szCs w:val="18"/>
            <w:lang w:val="ru-RU" w:eastAsia="zh-CN"/>
          </w:rPr>
          <w:t>-</w:t>
        </w:r>
        <w:r w:rsidR="00A11FBE" w:rsidRPr="00215A20">
          <w:rPr>
            <w:rStyle w:val="Hyperlink"/>
            <w:rFonts w:eastAsia="SimSun"/>
            <w:szCs w:val="18"/>
            <w:lang w:eastAsia="zh-CN"/>
          </w:rPr>
          <w:t>provisional</w:t>
        </w:r>
        <w:r w:rsidR="00A11FBE" w:rsidRPr="007976E8">
          <w:rPr>
            <w:rStyle w:val="Hyperlink"/>
            <w:rFonts w:eastAsia="SimSun"/>
            <w:szCs w:val="18"/>
            <w:lang w:val="ru-RU" w:eastAsia="zh-CN"/>
          </w:rPr>
          <w:t>-</w:t>
        </w:r>
        <w:r w:rsidR="00A11FBE" w:rsidRPr="00215A20">
          <w:rPr>
            <w:rStyle w:val="Hyperlink"/>
            <w:rFonts w:eastAsia="SimSun"/>
            <w:szCs w:val="18"/>
            <w:lang w:eastAsia="zh-CN"/>
          </w:rPr>
          <w:t>programme</w:t>
        </w:r>
        <w:r w:rsidR="00A11FBE" w:rsidRPr="007976E8">
          <w:rPr>
            <w:rStyle w:val="Hyperlink"/>
            <w:rFonts w:eastAsia="SimSun"/>
            <w:szCs w:val="18"/>
            <w:lang w:val="ru-RU" w:eastAsia="zh-CN"/>
          </w:rPr>
          <w:t>_</w:t>
        </w:r>
        <w:r w:rsidR="00A11FBE" w:rsidRPr="00215A20">
          <w:rPr>
            <w:rStyle w:val="Hyperlink"/>
            <w:rFonts w:eastAsia="SimSun"/>
            <w:szCs w:val="18"/>
            <w:lang w:eastAsia="zh-CN"/>
          </w:rPr>
          <w:t>final</w:t>
        </w:r>
        <w:r w:rsidR="00A11FBE" w:rsidRPr="007976E8">
          <w:rPr>
            <w:rStyle w:val="Hyperlink"/>
            <w:rFonts w:eastAsia="SimSun"/>
            <w:szCs w:val="18"/>
            <w:lang w:val="ru-RU" w:eastAsia="zh-CN"/>
          </w:rPr>
          <w:t>-</w:t>
        </w:r>
        <w:r w:rsidR="00A11FBE" w:rsidRPr="00215A20">
          <w:rPr>
            <w:rStyle w:val="Hyperlink"/>
            <w:rFonts w:eastAsia="SimSun"/>
            <w:szCs w:val="18"/>
            <w:lang w:eastAsia="zh-CN"/>
          </w:rPr>
          <w:t>draft</w:t>
        </w:r>
        <w:r w:rsidR="00A11FBE" w:rsidRPr="007976E8">
          <w:rPr>
            <w:rStyle w:val="Hyperlink"/>
            <w:rFonts w:eastAsia="SimSun"/>
            <w:szCs w:val="18"/>
            <w:lang w:val="ru-RU" w:eastAsia="zh-CN"/>
          </w:rPr>
          <w:t>_</w:t>
        </w:r>
        <w:r w:rsidR="00A11FBE" w:rsidRPr="00215A20">
          <w:rPr>
            <w:rStyle w:val="Hyperlink"/>
            <w:rFonts w:eastAsia="SimSun"/>
            <w:szCs w:val="18"/>
            <w:lang w:eastAsia="zh-CN"/>
          </w:rPr>
          <w:t>for</w:t>
        </w:r>
        <w:r w:rsidR="00A11FBE" w:rsidRPr="007976E8">
          <w:rPr>
            <w:rStyle w:val="Hyperlink"/>
            <w:rFonts w:eastAsia="SimSun"/>
            <w:szCs w:val="18"/>
            <w:lang w:val="ru-RU" w:eastAsia="zh-CN"/>
          </w:rPr>
          <w:t>-</w:t>
        </w:r>
        <w:r w:rsidR="00A11FBE" w:rsidRPr="00215A20">
          <w:rPr>
            <w:rStyle w:val="Hyperlink"/>
            <w:rFonts w:eastAsia="SimSun"/>
            <w:szCs w:val="18"/>
            <w:lang w:eastAsia="zh-CN"/>
          </w:rPr>
          <w:t>posting</w:t>
        </w:r>
        <w:r w:rsidR="00A11FBE" w:rsidRPr="007976E8">
          <w:rPr>
            <w:rStyle w:val="Hyperlink"/>
            <w:rFonts w:eastAsia="SimSun"/>
            <w:szCs w:val="18"/>
            <w:lang w:val="ru-RU" w:eastAsia="zh-CN"/>
          </w:rPr>
          <w:t>.</w:t>
        </w:r>
        <w:r w:rsidR="00A11FBE" w:rsidRPr="00215A20">
          <w:rPr>
            <w:rStyle w:val="Hyperlink"/>
            <w:rFonts w:eastAsia="SimSun"/>
            <w:szCs w:val="18"/>
            <w:lang w:eastAsia="zh-CN"/>
          </w:rPr>
          <w:t>pdf</w:t>
        </w:r>
      </w:hyperlink>
      <w:r w:rsidRPr="007976E8">
        <w:rPr>
          <w:rFonts w:eastAsia="SimSun"/>
          <w:szCs w:val="18"/>
          <w:u w:color="094FD1"/>
          <w:lang w:val="ru-RU" w:eastAsia="zh-CN"/>
        </w:rPr>
        <w:t>.</w:t>
      </w:r>
      <w:hyperlink r:id="rId2" w:history="1"/>
    </w:p>
  </w:footnote>
  <w:footnote w:id="4">
    <w:p w14:paraId="54760A77" w14:textId="081948F1" w:rsidR="00785FEA" w:rsidRPr="00422FE2" w:rsidRDefault="00785FEA" w:rsidP="00A11FBE">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A11FBE">
        <w:rPr>
          <w:rStyle w:val="FootnoteReference"/>
          <w:sz w:val="18"/>
          <w:lang w:val="ru-RU"/>
        </w:rPr>
        <w:footnoteRef/>
      </w:r>
      <w:r w:rsidRPr="00422FE2">
        <w:rPr>
          <w:szCs w:val="18"/>
          <w:lang w:val="ru-RU"/>
        </w:rPr>
        <w:t xml:space="preserve"> </w:t>
      </w:r>
      <w:r w:rsidR="00A11FBE">
        <w:rPr>
          <w:szCs w:val="18"/>
          <w:lang w:val="ru-RU"/>
        </w:rPr>
        <w:tab/>
      </w:r>
      <w:hyperlink r:id="rId3" w:history="1">
        <w:r w:rsidR="00A11FBE" w:rsidRPr="00215A20">
          <w:rPr>
            <w:rStyle w:val="Hyperlink"/>
            <w:rFonts w:eastAsia="SimSun"/>
            <w:szCs w:val="18"/>
            <w:lang w:eastAsia="zh-CN"/>
          </w:rPr>
          <w:t>https</w:t>
        </w:r>
        <w:r w:rsidR="00A11FBE" w:rsidRPr="00422FE2">
          <w:rPr>
            <w:rStyle w:val="Hyperlink"/>
            <w:rFonts w:eastAsia="SimSun"/>
            <w:szCs w:val="18"/>
            <w:lang w:val="ru-RU" w:eastAsia="zh-CN"/>
          </w:rPr>
          <w:t>://</w:t>
        </w:r>
        <w:r w:rsidR="00A11FBE" w:rsidRPr="00215A20">
          <w:rPr>
            <w:rStyle w:val="Hyperlink"/>
            <w:rFonts w:eastAsia="SimSun"/>
            <w:szCs w:val="18"/>
            <w:lang w:eastAsia="zh-CN"/>
          </w:rPr>
          <w:t>ozone</w:t>
        </w:r>
        <w:r w:rsidR="00A11FBE" w:rsidRPr="00422FE2">
          <w:rPr>
            <w:rStyle w:val="Hyperlink"/>
            <w:rFonts w:eastAsia="SimSun"/>
            <w:szCs w:val="18"/>
            <w:lang w:val="ru-RU" w:eastAsia="zh-CN"/>
          </w:rPr>
          <w:t>.</w:t>
        </w:r>
        <w:r w:rsidR="00A11FBE" w:rsidRPr="00215A20">
          <w:rPr>
            <w:rStyle w:val="Hyperlink"/>
            <w:rFonts w:eastAsia="SimSun"/>
            <w:szCs w:val="18"/>
            <w:lang w:eastAsia="zh-CN"/>
          </w:rPr>
          <w:t>unep</w:t>
        </w:r>
        <w:r w:rsidR="00A11FBE" w:rsidRPr="00422FE2">
          <w:rPr>
            <w:rStyle w:val="Hyperlink"/>
            <w:rFonts w:eastAsia="SimSun"/>
            <w:szCs w:val="18"/>
            <w:lang w:val="ru-RU" w:eastAsia="zh-CN"/>
          </w:rPr>
          <w:t>.</w:t>
        </w:r>
        <w:r w:rsidR="00A11FBE" w:rsidRPr="00215A20">
          <w:rPr>
            <w:rStyle w:val="Hyperlink"/>
            <w:rFonts w:eastAsia="SimSun"/>
            <w:szCs w:val="18"/>
            <w:lang w:eastAsia="zh-CN"/>
          </w:rPr>
          <w:t>org</w:t>
        </w:r>
        <w:r w:rsidR="00A11FBE" w:rsidRPr="00422FE2">
          <w:rPr>
            <w:rStyle w:val="Hyperlink"/>
            <w:rFonts w:eastAsia="SimSun"/>
            <w:szCs w:val="18"/>
            <w:lang w:val="ru-RU" w:eastAsia="zh-CN"/>
          </w:rPr>
          <w:t>/</w:t>
        </w:r>
        <w:r w:rsidR="00A11FBE" w:rsidRPr="00215A20">
          <w:rPr>
            <w:rStyle w:val="Hyperlink"/>
            <w:rFonts w:eastAsia="SimSun"/>
            <w:szCs w:val="18"/>
            <w:lang w:eastAsia="zh-CN"/>
          </w:rPr>
          <w:t>meetings</w:t>
        </w:r>
        <w:r w:rsidR="00A11FBE" w:rsidRPr="00422FE2">
          <w:rPr>
            <w:rStyle w:val="Hyperlink"/>
            <w:rFonts w:eastAsia="SimSun"/>
            <w:szCs w:val="18"/>
            <w:lang w:val="ru-RU" w:eastAsia="zh-CN"/>
          </w:rPr>
          <w:t>/</w:t>
        </w:r>
        <w:r w:rsidR="00A11FBE" w:rsidRPr="00215A20">
          <w:rPr>
            <w:rStyle w:val="Hyperlink"/>
            <w:rFonts w:eastAsia="SimSun"/>
            <w:szCs w:val="18"/>
            <w:lang w:eastAsia="zh-CN"/>
          </w:rPr>
          <w:t>informal</w:t>
        </w:r>
        <w:r w:rsidR="00A11FBE" w:rsidRPr="00422FE2">
          <w:rPr>
            <w:rStyle w:val="Hyperlink"/>
            <w:rFonts w:eastAsia="SimSun"/>
            <w:szCs w:val="18"/>
            <w:lang w:val="ru-RU" w:eastAsia="zh-CN"/>
          </w:rPr>
          <w:t>-</w:t>
        </w:r>
        <w:r w:rsidR="00A11FBE" w:rsidRPr="00215A20">
          <w:rPr>
            <w:rStyle w:val="Hyperlink"/>
            <w:rFonts w:eastAsia="SimSun"/>
            <w:szCs w:val="18"/>
            <w:lang w:eastAsia="zh-CN"/>
          </w:rPr>
          <w:t>meeting</w:t>
        </w:r>
        <w:r w:rsidR="00A11FBE" w:rsidRPr="00422FE2">
          <w:rPr>
            <w:rStyle w:val="Hyperlink"/>
            <w:rFonts w:eastAsia="SimSun"/>
            <w:szCs w:val="18"/>
            <w:lang w:val="ru-RU" w:eastAsia="zh-CN"/>
          </w:rPr>
          <w:t>-</w:t>
        </w:r>
        <w:r w:rsidR="00A11FBE" w:rsidRPr="00215A20">
          <w:rPr>
            <w:rStyle w:val="Hyperlink"/>
            <w:rFonts w:eastAsia="SimSun"/>
            <w:szCs w:val="18"/>
            <w:lang w:eastAsia="zh-CN"/>
          </w:rPr>
          <w:t>facilitating</w:t>
        </w:r>
        <w:r w:rsidR="00A11FBE" w:rsidRPr="00422FE2">
          <w:rPr>
            <w:rStyle w:val="Hyperlink"/>
            <w:rFonts w:eastAsia="SimSun"/>
            <w:szCs w:val="18"/>
            <w:lang w:val="ru-RU" w:eastAsia="zh-CN"/>
          </w:rPr>
          <w:t>-</w:t>
        </w:r>
        <w:r w:rsidR="00A11FBE" w:rsidRPr="00215A20">
          <w:rPr>
            <w:rStyle w:val="Hyperlink"/>
            <w:rFonts w:eastAsia="SimSun"/>
            <w:szCs w:val="18"/>
            <w:lang w:eastAsia="zh-CN"/>
          </w:rPr>
          <w:t>implementation</w:t>
        </w:r>
        <w:r w:rsidR="00A11FBE" w:rsidRPr="00422FE2">
          <w:rPr>
            <w:rStyle w:val="Hyperlink"/>
            <w:rFonts w:eastAsia="SimSun"/>
            <w:szCs w:val="18"/>
            <w:lang w:val="ru-RU" w:eastAsia="zh-CN"/>
          </w:rPr>
          <w:t>-</w:t>
        </w:r>
        <w:r w:rsidR="00A11FBE" w:rsidRPr="00215A20">
          <w:rPr>
            <w:rStyle w:val="Hyperlink"/>
            <w:rFonts w:eastAsia="SimSun"/>
            <w:szCs w:val="18"/>
            <w:lang w:eastAsia="zh-CN"/>
          </w:rPr>
          <w:t>montreal</w:t>
        </w:r>
        <w:r w:rsidR="00A11FBE" w:rsidRPr="00422FE2">
          <w:rPr>
            <w:rStyle w:val="Hyperlink"/>
            <w:rFonts w:eastAsia="SimSun"/>
            <w:szCs w:val="18"/>
            <w:lang w:val="ru-RU" w:eastAsia="zh-CN"/>
          </w:rPr>
          <w:t>-</w:t>
        </w:r>
        <w:r w:rsidR="00A11FBE" w:rsidRPr="00215A20">
          <w:rPr>
            <w:rStyle w:val="Hyperlink"/>
            <w:rFonts w:eastAsia="SimSun"/>
            <w:szCs w:val="18"/>
            <w:lang w:eastAsia="zh-CN"/>
          </w:rPr>
          <w:t>protocol</w:t>
        </w:r>
        <w:r w:rsidR="00A11FBE" w:rsidRPr="00422FE2">
          <w:rPr>
            <w:rStyle w:val="Hyperlink"/>
            <w:rFonts w:eastAsia="SimSun"/>
            <w:szCs w:val="18"/>
            <w:lang w:val="ru-RU" w:eastAsia="zh-CN"/>
          </w:rPr>
          <w:t>/</w:t>
        </w:r>
        <w:r w:rsidR="00A11FBE" w:rsidRPr="00215A20">
          <w:rPr>
            <w:rStyle w:val="Hyperlink"/>
            <w:rFonts w:eastAsia="SimSun"/>
            <w:szCs w:val="18"/>
            <w:lang w:eastAsia="zh-CN"/>
          </w:rPr>
          <w:t>presentations</w:t>
        </w:r>
      </w:hyperlink>
      <w:r w:rsidRPr="00422FE2">
        <w:rPr>
          <w:szCs w:val="18"/>
          <w:lang w:val="ru-RU"/>
        </w:rPr>
        <w:t>.</w:t>
      </w:r>
    </w:p>
  </w:footnote>
  <w:footnote w:id="5">
    <w:p w14:paraId="1C37E875" w14:textId="5F9C58D4" w:rsidR="000F59B8" w:rsidRPr="00D151F0" w:rsidRDefault="009946B2" w:rsidP="009946B2">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422FE2">
        <w:rPr>
          <w:lang w:val="ru-RU"/>
        </w:rPr>
        <w:t>*</w:t>
      </w:r>
      <w:r w:rsidRPr="00422FE2">
        <w:rPr>
          <w:lang w:val="ru-RU"/>
        </w:rPr>
        <w:tab/>
      </w:r>
      <w:r w:rsidR="000F59B8">
        <w:rPr>
          <w:lang w:val="ru-RU"/>
        </w:rPr>
        <w:t>Краткое изложение воспроизводится в том виде, в каком оно было получено, без официального редактирования.</w:t>
      </w:r>
    </w:p>
  </w:footnote>
  <w:footnote w:id="6">
    <w:p w14:paraId="67F20276" w14:textId="33B46824" w:rsidR="005232E9" w:rsidRPr="002D74DA" w:rsidRDefault="005232E9" w:rsidP="005232E9">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Pr>
          <w:lang w:val="ru-RU"/>
        </w:rPr>
        <w:t>*</w:t>
      </w:r>
      <w:r>
        <w:rPr>
          <w:lang w:val="ru-RU"/>
        </w:rPr>
        <w:tab/>
        <w:t>Настоящее заявление воспроизводится в том виде, в котором оно было получено, без официального редактирования.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FE33" w14:textId="77777777" w:rsidR="007A36F8" w:rsidRPr="00C20895" w:rsidRDefault="00D95CFC" w:rsidP="00D46339">
    <w:pPr>
      <w:pStyle w:val="Header-pool"/>
      <w:tabs>
        <w:tab w:val="clear" w:pos="1247"/>
        <w:tab w:val="clear" w:pos="1814"/>
        <w:tab w:val="clear" w:pos="2381"/>
        <w:tab w:val="clear" w:pos="2948"/>
        <w:tab w:val="clear" w:pos="3515"/>
        <w:tab w:val="clear" w:pos="9072"/>
      </w:tabs>
    </w:pPr>
    <w:r>
      <w:rPr>
        <w:noProof/>
      </w:rPr>
      <w:t>UNEP/OzL.Pro.37/9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050E" w14:textId="77777777" w:rsidR="007A36F8" w:rsidRPr="00C20895" w:rsidRDefault="00D95CFC" w:rsidP="00D46339">
    <w:pPr>
      <w:pStyle w:val="Header-pool"/>
      <w:tabs>
        <w:tab w:val="clear" w:pos="1247"/>
        <w:tab w:val="clear" w:pos="1814"/>
        <w:tab w:val="clear" w:pos="2381"/>
        <w:tab w:val="clear" w:pos="2948"/>
        <w:tab w:val="clear" w:pos="3515"/>
        <w:tab w:val="clear" w:pos="9072"/>
      </w:tabs>
      <w:jc w:val="right"/>
    </w:pPr>
    <w:r>
      <w:rPr>
        <w:noProof/>
      </w:rPr>
      <w:t>UNEP/OzL.Pro.37/9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04F3" w14:textId="77777777" w:rsidR="00020F25" w:rsidRDefault="00020F25" w:rsidP="00020F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E92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7AC0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AE5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6ED1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6C74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8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84B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AE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C11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6EB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8E60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2D445E2"/>
    <w:multiLevelType w:val="hybridMultilevel"/>
    <w:tmpl w:val="7644A67C"/>
    <w:lvl w:ilvl="0" w:tplc="55620ADA">
      <w:start w:val="1"/>
      <w:numFmt w:val="decimal"/>
      <w:lvlText w:val="%1."/>
      <w:lvlJc w:val="left"/>
      <w:pPr>
        <w:ind w:left="1020" w:hanging="360"/>
      </w:pPr>
    </w:lvl>
    <w:lvl w:ilvl="1" w:tplc="D2605444">
      <w:start w:val="1"/>
      <w:numFmt w:val="decimal"/>
      <w:lvlText w:val="%2."/>
      <w:lvlJc w:val="left"/>
      <w:pPr>
        <w:ind w:left="1020" w:hanging="360"/>
      </w:pPr>
    </w:lvl>
    <w:lvl w:ilvl="2" w:tplc="1DCCA258">
      <w:start w:val="1"/>
      <w:numFmt w:val="decimal"/>
      <w:lvlText w:val="%3."/>
      <w:lvlJc w:val="left"/>
      <w:pPr>
        <w:ind w:left="1020" w:hanging="360"/>
      </w:pPr>
    </w:lvl>
    <w:lvl w:ilvl="3" w:tplc="93C8F70E">
      <w:start w:val="1"/>
      <w:numFmt w:val="decimal"/>
      <w:lvlText w:val="%4."/>
      <w:lvlJc w:val="left"/>
      <w:pPr>
        <w:ind w:left="1020" w:hanging="360"/>
      </w:pPr>
    </w:lvl>
    <w:lvl w:ilvl="4" w:tplc="579C8448">
      <w:start w:val="1"/>
      <w:numFmt w:val="decimal"/>
      <w:lvlText w:val="%5."/>
      <w:lvlJc w:val="left"/>
      <w:pPr>
        <w:ind w:left="1020" w:hanging="360"/>
      </w:pPr>
    </w:lvl>
    <w:lvl w:ilvl="5" w:tplc="1C02FA2A">
      <w:start w:val="1"/>
      <w:numFmt w:val="decimal"/>
      <w:lvlText w:val="%6."/>
      <w:lvlJc w:val="left"/>
      <w:pPr>
        <w:ind w:left="1020" w:hanging="360"/>
      </w:pPr>
    </w:lvl>
    <w:lvl w:ilvl="6" w:tplc="ADCCF22E">
      <w:start w:val="1"/>
      <w:numFmt w:val="decimal"/>
      <w:lvlText w:val="%7."/>
      <w:lvlJc w:val="left"/>
      <w:pPr>
        <w:ind w:left="1020" w:hanging="360"/>
      </w:pPr>
    </w:lvl>
    <w:lvl w:ilvl="7" w:tplc="7B4ECD94">
      <w:start w:val="1"/>
      <w:numFmt w:val="decimal"/>
      <w:lvlText w:val="%8."/>
      <w:lvlJc w:val="left"/>
      <w:pPr>
        <w:ind w:left="1020" w:hanging="360"/>
      </w:pPr>
    </w:lvl>
    <w:lvl w:ilvl="8" w:tplc="1A9659FC">
      <w:start w:val="1"/>
      <w:numFmt w:val="decimal"/>
      <w:lvlText w:val="%9."/>
      <w:lvlJc w:val="left"/>
      <w:pPr>
        <w:ind w:left="1020" w:hanging="360"/>
      </w:pPr>
    </w:lvl>
  </w:abstractNum>
  <w:abstractNum w:abstractNumId="14" w15:restartNumberingAfterBreak="0">
    <w:nsid w:val="2B4D743C"/>
    <w:multiLevelType w:val="hybridMultilevel"/>
    <w:tmpl w:val="3BBC2AD2"/>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07CCA"/>
    <w:multiLevelType w:val="hybridMultilevel"/>
    <w:tmpl w:val="3BBC2AD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44C60FDC"/>
    <w:multiLevelType w:val="hybridMultilevel"/>
    <w:tmpl w:val="31C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04256"/>
    <w:multiLevelType w:val="hybridMultilevel"/>
    <w:tmpl w:val="CE80A664"/>
    <w:lvl w:ilvl="0" w:tplc="FFFFFFFF">
      <w:start w:val="1"/>
      <w:numFmt w:val="lowerLetter"/>
      <w:lvlText w:val="%1)"/>
      <w:lvlJc w:val="left"/>
      <w:pPr>
        <w:ind w:left="2591" w:hanging="360"/>
      </w:pPr>
      <w:rPr>
        <w:rFonts w:hint="default"/>
      </w:rPr>
    </w:lvl>
    <w:lvl w:ilvl="1" w:tplc="B95EBFE6">
      <w:start w:val="1"/>
      <w:numFmt w:val="lowerRoman"/>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 w15:restartNumberingAfterBreak="0">
    <w:nsid w:val="45FC1D4A"/>
    <w:multiLevelType w:val="hybridMultilevel"/>
    <w:tmpl w:val="C324D48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0"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5C142790"/>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2" w15:restartNumberingAfterBreak="0">
    <w:nsid w:val="60D47054"/>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62ED7916"/>
    <w:multiLevelType w:val="hybridMultilevel"/>
    <w:tmpl w:val="42C8478E"/>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6E0054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20"/>
  </w:num>
  <w:num w:numId="2" w16cid:durableId="1242644713">
    <w:abstractNumId w:val="25"/>
  </w:num>
  <w:num w:numId="3" w16cid:durableId="1933662228">
    <w:abstractNumId w:val="15"/>
  </w:num>
  <w:num w:numId="4" w16cid:durableId="1991909117">
    <w:abstractNumId w:val="10"/>
  </w:num>
  <w:num w:numId="5" w16cid:durableId="1138956019">
    <w:abstractNumId w:val="12"/>
  </w:num>
  <w:num w:numId="6" w16cid:durableId="613561673">
    <w:abstractNumId w:val="9"/>
  </w:num>
  <w:num w:numId="7" w16cid:durableId="1851675114">
    <w:abstractNumId w:val="7"/>
  </w:num>
  <w:num w:numId="8" w16cid:durableId="131288331">
    <w:abstractNumId w:val="6"/>
  </w:num>
  <w:num w:numId="9" w16cid:durableId="2018312553">
    <w:abstractNumId w:val="5"/>
  </w:num>
  <w:num w:numId="10" w16cid:durableId="322438105">
    <w:abstractNumId w:val="4"/>
  </w:num>
  <w:num w:numId="11" w16cid:durableId="1639918952">
    <w:abstractNumId w:val="8"/>
  </w:num>
  <w:num w:numId="12" w16cid:durableId="1439835462">
    <w:abstractNumId w:val="3"/>
  </w:num>
  <w:num w:numId="13" w16cid:durableId="26951412">
    <w:abstractNumId w:val="2"/>
  </w:num>
  <w:num w:numId="14" w16cid:durableId="1818179073">
    <w:abstractNumId w:val="1"/>
  </w:num>
  <w:num w:numId="15" w16cid:durableId="2058820549">
    <w:abstractNumId w:val="0"/>
  </w:num>
  <w:num w:numId="16" w16cid:durableId="1265454513">
    <w:abstractNumId w:val="16"/>
  </w:num>
  <w:num w:numId="17" w16cid:durableId="122580054">
    <w:abstractNumId w:val="23"/>
  </w:num>
  <w:num w:numId="18" w16cid:durableId="426849348">
    <w:abstractNumId w:val="22"/>
  </w:num>
  <w:num w:numId="19" w16cid:durableId="656768204">
    <w:abstractNumId w:val="18"/>
  </w:num>
  <w:num w:numId="20" w16cid:durableId="1916282499">
    <w:abstractNumId w:val="21"/>
  </w:num>
  <w:num w:numId="21" w16cid:durableId="426847080">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2" w16cid:durableId="1843163653">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3" w16cid:durableId="1675912452">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4" w16cid:durableId="2078626907">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5" w16cid:durableId="246692315">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6" w16cid:durableId="2071419692">
    <w:abstractNumId w:val="14"/>
  </w:num>
  <w:num w:numId="27" w16cid:durableId="1487284377">
    <w:abstractNumId w:val="11"/>
  </w:num>
  <w:num w:numId="28" w16cid:durableId="1791701450">
    <w:abstractNumId w:val="24"/>
  </w:num>
  <w:num w:numId="29" w16cid:durableId="1199129186">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0" w16cid:durableId="916130373">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1" w16cid:durableId="2073115596">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2" w16cid:durableId="1339961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988718">
    <w:abstractNumId w:val="17"/>
  </w:num>
  <w:num w:numId="34" w16cid:durableId="1386106914">
    <w:abstractNumId w:val="13"/>
  </w:num>
  <w:num w:numId="35" w16cid:durableId="143157483">
    <w:abstractNumId w:val="19"/>
  </w:num>
  <w:num w:numId="36" w16cid:durableId="1073773449">
    <w:abstractNumId w:val="20"/>
  </w:num>
  <w:num w:numId="37" w16cid:durableId="1249853590">
    <w:abstractNumId w:val="20"/>
  </w:num>
  <w:num w:numId="38" w16cid:durableId="1941523306">
    <w:abstractNumId w:val="20"/>
  </w:num>
  <w:num w:numId="39" w16cid:durableId="1042050195">
    <w:abstractNumId w:val="20"/>
  </w:num>
  <w:num w:numId="40" w16cid:durableId="210269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7708677">
    <w:abstractNumId w:val="20"/>
  </w:num>
  <w:num w:numId="42" w16cid:durableId="1130897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959417">
    <w:abstractNumId w:val="20"/>
  </w:num>
  <w:num w:numId="44" w16cid:durableId="1682857841">
    <w:abstractNumId w:val="20"/>
  </w:num>
  <w:num w:numId="45" w16cid:durableId="172496905">
    <w:abstractNumId w:val="20"/>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9D"/>
    <w:rsid w:val="00000426"/>
    <w:rsid w:val="00000675"/>
    <w:rsid w:val="00001256"/>
    <w:rsid w:val="00002747"/>
    <w:rsid w:val="00002D03"/>
    <w:rsid w:val="0000455B"/>
    <w:rsid w:val="00004873"/>
    <w:rsid w:val="00004B99"/>
    <w:rsid w:val="00004D31"/>
    <w:rsid w:val="00005977"/>
    <w:rsid w:val="00006B2E"/>
    <w:rsid w:val="00006F54"/>
    <w:rsid w:val="00010544"/>
    <w:rsid w:val="000108CF"/>
    <w:rsid w:val="00010C7A"/>
    <w:rsid w:val="00011382"/>
    <w:rsid w:val="00011401"/>
    <w:rsid w:val="00011DE3"/>
    <w:rsid w:val="00012501"/>
    <w:rsid w:val="00013CC3"/>
    <w:rsid w:val="000140DE"/>
    <w:rsid w:val="0001467D"/>
    <w:rsid w:val="000149E6"/>
    <w:rsid w:val="00014F31"/>
    <w:rsid w:val="00015327"/>
    <w:rsid w:val="0001678B"/>
    <w:rsid w:val="00016AF3"/>
    <w:rsid w:val="000204F7"/>
    <w:rsid w:val="000208C8"/>
    <w:rsid w:val="00020F25"/>
    <w:rsid w:val="000212DE"/>
    <w:rsid w:val="00022951"/>
    <w:rsid w:val="00023F2D"/>
    <w:rsid w:val="000241FA"/>
    <w:rsid w:val="000247B0"/>
    <w:rsid w:val="000262AE"/>
    <w:rsid w:val="0002679A"/>
    <w:rsid w:val="0002687E"/>
    <w:rsid w:val="00026997"/>
    <w:rsid w:val="00026A5B"/>
    <w:rsid w:val="00027929"/>
    <w:rsid w:val="00030C45"/>
    <w:rsid w:val="000310C6"/>
    <w:rsid w:val="000312EE"/>
    <w:rsid w:val="00031558"/>
    <w:rsid w:val="000315D0"/>
    <w:rsid w:val="000320A8"/>
    <w:rsid w:val="00032600"/>
    <w:rsid w:val="00032FC6"/>
    <w:rsid w:val="00033215"/>
    <w:rsid w:val="00033E0B"/>
    <w:rsid w:val="00035589"/>
    <w:rsid w:val="00035EDE"/>
    <w:rsid w:val="000364C1"/>
    <w:rsid w:val="00036D28"/>
    <w:rsid w:val="00037592"/>
    <w:rsid w:val="00037629"/>
    <w:rsid w:val="00037B8C"/>
    <w:rsid w:val="00037E48"/>
    <w:rsid w:val="000405E0"/>
    <w:rsid w:val="0004061D"/>
    <w:rsid w:val="00040CC1"/>
    <w:rsid w:val="00041550"/>
    <w:rsid w:val="000424D4"/>
    <w:rsid w:val="00042818"/>
    <w:rsid w:val="00043307"/>
    <w:rsid w:val="0004411B"/>
    <w:rsid w:val="000444ED"/>
    <w:rsid w:val="0004455E"/>
    <w:rsid w:val="00044E86"/>
    <w:rsid w:val="00045F79"/>
    <w:rsid w:val="000468BD"/>
    <w:rsid w:val="00046B91"/>
    <w:rsid w:val="00047F1C"/>
    <w:rsid w:val="000509B4"/>
    <w:rsid w:val="00052DB1"/>
    <w:rsid w:val="00052EA7"/>
    <w:rsid w:val="0005351A"/>
    <w:rsid w:val="000546EA"/>
    <w:rsid w:val="000557CE"/>
    <w:rsid w:val="00055CAF"/>
    <w:rsid w:val="00055E7E"/>
    <w:rsid w:val="000568E2"/>
    <w:rsid w:val="00056B2C"/>
    <w:rsid w:val="0005729A"/>
    <w:rsid w:val="0006035B"/>
    <w:rsid w:val="00061419"/>
    <w:rsid w:val="0006195F"/>
    <w:rsid w:val="00061B7B"/>
    <w:rsid w:val="000628AE"/>
    <w:rsid w:val="0006362A"/>
    <w:rsid w:val="00063891"/>
    <w:rsid w:val="00063937"/>
    <w:rsid w:val="00063A52"/>
    <w:rsid w:val="000640C6"/>
    <w:rsid w:val="00064C78"/>
    <w:rsid w:val="00065492"/>
    <w:rsid w:val="00065652"/>
    <w:rsid w:val="000660F2"/>
    <w:rsid w:val="000705B5"/>
    <w:rsid w:val="00070C6B"/>
    <w:rsid w:val="0007145A"/>
    <w:rsid w:val="0007166E"/>
    <w:rsid w:val="00071886"/>
    <w:rsid w:val="00071BDF"/>
    <w:rsid w:val="0007215B"/>
    <w:rsid w:val="000742BC"/>
    <w:rsid w:val="000763EA"/>
    <w:rsid w:val="00076FC1"/>
    <w:rsid w:val="000770D3"/>
    <w:rsid w:val="00080351"/>
    <w:rsid w:val="0008041D"/>
    <w:rsid w:val="000812A2"/>
    <w:rsid w:val="00082A0C"/>
    <w:rsid w:val="00082DCD"/>
    <w:rsid w:val="00083504"/>
    <w:rsid w:val="00083CF5"/>
    <w:rsid w:val="00084E09"/>
    <w:rsid w:val="0008710B"/>
    <w:rsid w:val="00087A8F"/>
    <w:rsid w:val="000910EE"/>
    <w:rsid w:val="00091EDF"/>
    <w:rsid w:val="00091F48"/>
    <w:rsid w:val="000930E9"/>
    <w:rsid w:val="0009371E"/>
    <w:rsid w:val="00094E27"/>
    <w:rsid w:val="00094E8F"/>
    <w:rsid w:val="00095C4A"/>
    <w:rsid w:val="000961F4"/>
    <w:rsid w:val="0009640C"/>
    <w:rsid w:val="000967F1"/>
    <w:rsid w:val="000969B3"/>
    <w:rsid w:val="00097348"/>
    <w:rsid w:val="00097D40"/>
    <w:rsid w:val="000A02D7"/>
    <w:rsid w:val="000A193D"/>
    <w:rsid w:val="000A2295"/>
    <w:rsid w:val="000A2C2E"/>
    <w:rsid w:val="000A3C5F"/>
    <w:rsid w:val="000A413B"/>
    <w:rsid w:val="000A5380"/>
    <w:rsid w:val="000A5D8C"/>
    <w:rsid w:val="000A6699"/>
    <w:rsid w:val="000A69AA"/>
    <w:rsid w:val="000B21D5"/>
    <w:rsid w:val="000B22A2"/>
    <w:rsid w:val="000B2D48"/>
    <w:rsid w:val="000B312F"/>
    <w:rsid w:val="000B553E"/>
    <w:rsid w:val="000B5F7F"/>
    <w:rsid w:val="000B7CD1"/>
    <w:rsid w:val="000B7E58"/>
    <w:rsid w:val="000C0CBF"/>
    <w:rsid w:val="000C1C79"/>
    <w:rsid w:val="000C2A52"/>
    <w:rsid w:val="000C2A55"/>
    <w:rsid w:val="000C46A9"/>
    <w:rsid w:val="000C54EC"/>
    <w:rsid w:val="000C5EF1"/>
    <w:rsid w:val="000C6259"/>
    <w:rsid w:val="000C646B"/>
    <w:rsid w:val="000C6658"/>
    <w:rsid w:val="000C6E55"/>
    <w:rsid w:val="000C707D"/>
    <w:rsid w:val="000C7BF7"/>
    <w:rsid w:val="000D0070"/>
    <w:rsid w:val="000D1413"/>
    <w:rsid w:val="000D2194"/>
    <w:rsid w:val="000D2C61"/>
    <w:rsid w:val="000D2E9C"/>
    <w:rsid w:val="000D3022"/>
    <w:rsid w:val="000D33C0"/>
    <w:rsid w:val="000D3521"/>
    <w:rsid w:val="000D4790"/>
    <w:rsid w:val="000D5103"/>
    <w:rsid w:val="000D5816"/>
    <w:rsid w:val="000D5884"/>
    <w:rsid w:val="000D62C0"/>
    <w:rsid w:val="000D62EF"/>
    <w:rsid w:val="000D6941"/>
    <w:rsid w:val="000D6B8C"/>
    <w:rsid w:val="000D6CB9"/>
    <w:rsid w:val="000D71B6"/>
    <w:rsid w:val="000E0405"/>
    <w:rsid w:val="000E0501"/>
    <w:rsid w:val="000E0FE7"/>
    <w:rsid w:val="000E10EC"/>
    <w:rsid w:val="000E22AB"/>
    <w:rsid w:val="000E278E"/>
    <w:rsid w:val="000E2CA2"/>
    <w:rsid w:val="000E329D"/>
    <w:rsid w:val="000E35C2"/>
    <w:rsid w:val="000E38FF"/>
    <w:rsid w:val="000E3912"/>
    <w:rsid w:val="000E6418"/>
    <w:rsid w:val="000E669A"/>
    <w:rsid w:val="000E75FF"/>
    <w:rsid w:val="000E7F76"/>
    <w:rsid w:val="000F00B2"/>
    <w:rsid w:val="000F0227"/>
    <w:rsid w:val="000F027B"/>
    <w:rsid w:val="000F105A"/>
    <w:rsid w:val="000F18F1"/>
    <w:rsid w:val="000F2CBE"/>
    <w:rsid w:val="000F3C89"/>
    <w:rsid w:val="000F59B8"/>
    <w:rsid w:val="000F5BF4"/>
    <w:rsid w:val="000F67B0"/>
    <w:rsid w:val="000F6CFF"/>
    <w:rsid w:val="000F7939"/>
    <w:rsid w:val="0010044D"/>
    <w:rsid w:val="0010218D"/>
    <w:rsid w:val="001022EB"/>
    <w:rsid w:val="00102DE5"/>
    <w:rsid w:val="001031DA"/>
    <w:rsid w:val="00103E0F"/>
    <w:rsid w:val="0010479A"/>
    <w:rsid w:val="00106988"/>
    <w:rsid w:val="00110E17"/>
    <w:rsid w:val="00111C41"/>
    <w:rsid w:val="00113390"/>
    <w:rsid w:val="0011345C"/>
    <w:rsid w:val="00114E5E"/>
    <w:rsid w:val="00114F7B"/>
    <w:rsid w:val="001151A6"/>
    <w:rsid w:val="00115F73"/>
    <w:rsid w:val="00116BB4"/>
    <w:rsid w:val="0011736B"/>
    <w:rsid w:val="001202E3"/>
    <w:rsid w:val="00120625"/>
    <w:rsid w:val="001225FC"/>
    <w:rsid w:val="001226EB"/>
    <w:rsid w:val="00123277"/>
    <w:rsid w:val="00123699"/>
    <w:rsid w:val="00124ACB"/>
    <w:rsid w:val="00124AF4"/>
    <w:rsid w:val="00124B1E"/>
    <w:rsid w:val="0012555D"/>
    <w:rsid w:val="00125D64"/>
    <w:rsid w:val="00125FFD"/>
    <w:rsid w:val="00126E6A"/>
    <w:rsid w:val="00127A62"/>
    <w:rsid w:val="00127CAF"/>
    <w:rsid w:val="00127FE8"/>
    <w:rsid w:val="0013029D"/>
    <w:rsid w:val="0013059D"/>
    <w:rsid w:val="001311E8"/>
    <w:rsid w:val="00131B1F"/>
    <w:rsid w:val="00134781"/>
    <w:rsid w:val="00134B18"/>
    <w:rsid w:val="00134C0B"/>
    <w:rsid w:val="001356C0"/>
    <w:rsid w:val="001357A6"/>
    <w:rsid w:val="00137C67"/>
    <w:rsid w:val="0014083A"/>
    <w:rsid w:val="001410CF"/>
    <w:rsid w:val="00141A55"/>
    <w:rsid w:val="00141AD7"/>
    <w:rsid w:val="00141F2F"/>
    <w:rsid w:val="00142E4E"/>
    <w:rsid w:val="001446A3"/>
    <w:rsid w:val="00144766"/>
    <w:rsid w:val="0014569B"/>
    <w:rsid w:val="00145FCF"/>
    <w:rsid w:val="001461FC"/>
    <w:rsid w:val="0014705B"/>
    <w:rsid w:val="00150826"/>
    <w:rsid w:val="00150AAF"/>
    <w:rsid w:val="00150E5C"/>
    <w:rsid w:val="00150E6B"/>
    <w:rsid w:val="001511DA"/>
    <w:rsid w:val="00152C8E"/>
    <w:rsid w:val="00152DBD"/>
    <w:rsid w:val="001530FE"/>
    <w:rsid w:val="001536FB"/>
    <w:rsid w:val="00154149"/>
    <w:rsid w:val="00154394"/>
    <w:rsid w:val="00154BAB"/>
    <w:rsid w:val="00154E14"/>
    <w:rsid w:val="00154F42"/>
    <w:rsid w:val="00155395"/>
    <w:rsid w:val="0015660D"/>
    <w:rsid w:val="0015742B"/>
    <w:rsid w:val="001602CD"/>
    <w:rsid w:val="001608E6"/>
    <w:rsid w:val="0016254B"/>
    <w:rsid w:val="0016437D"/>
    <w:rsid w:val="0016643E"/>
    <w:rsid w:val="00171793"/>
    <w:rsid w:val="00172E6C"/>
    <w:rsid w:val="00173159"/>
    <w:rsid w:val="001738EB"/>
    <w:rsid w:val="00173D27"/>
    <w:rsid w:val="0017416D"/>
    <w:rsid w:val="00174739"/>
    <w:rsid w:val="00175AEB"/>
    <w:rsid w:val="0017648E"/>
    <w:rsid w:val="00176DA3"/>
    <w:rsid w:val="00177F39"/>
    <w:rsid w:val="001810E8"/>
    <w:rsid w:val="0018127C"/>
    <w:rsid w:val="001813CF"/>
    <w:rsid w:val="0018143B"/>
    <w:rsid w:val="00181B76"/>
    <w:rsid w:val="00181EC8"/>
    <w:rsid w:val="00181FC0"/>
    <w:rsid w:val="00183959"/>
    <w:rsid w:val="00183A5C"/>
    <w:rsid w:val="0018423E"/>
    <w:rsid w:val="00184349"/>
    <w:rsid w:val="00184CF3"/>
    <w:rsid w:val="00185539"/>
    <w:rsid w:val="00187160"/>
    <w:rsid w:val="00187CEF"/>
    <w:rsid w:val="0019161E"/>
    <w:rsid w:val="00192536"/>
    <w:rsid w:val="00193334"/>
    <w:rsid w:val="00194993"/>
    <w:rsid w:val="001950A3"/>
    <w:rsid w:val="00195F33"/>
    <w:rsid w:val="00195FFA"/>
    <w:rsid w:val="001979D4"/>
    <w:rsid w:val="00197C63"/>
    <w:rsid w:val="001A1308"/>
    <w:rsid w:val="001A145A"/>
    <w:rsid w:val="001A2358"/>
    <w:rsid w:val="001A2CA8"/>
    <w:rsid w:val="001A2F22"/>
    <w:rsid w:val="001A5508"/>
    <w:rsid w:val="001A5EE1"/>
    <w:rsid w:val="001A6BC9"/>
    <w:rsid w:val="001A7891"/>
    <w:rsid w:val="001A7B83"/>
    <w:rsid w:val="001A7FF9"/>
    <w:rsid w:val="001B0C3D"/>
    <w:rsid w:val="001B1617"/>
    <w:rsid w:val="001B1ED9"/>
    <w:rsid w:val="001B504B"/>
    <w:rsid w:val="001B621B"/>
    <w:rsid w:val="001C07D8"/>
    <w:rsid w:val="001C0EFA"/>
    <w:rsid w:val="001C1951"/>
    <w:rsid w:val="001C2987"/>
    <w:rsid w:val="001C29FC"/>
    <w:rsid w:val="001C2CCB"/>
    <w:rsid w:val="001C3525"/>
    <w:rsid w:val="001C39C7"/>
    <w:rsid w:val="001C406A"/>
    <w:rsid w:val="001C572F"/>
    <w:rsid w:val="001C5CAD"/>
    <w:rsid w:val="001C629E"/>
    <w:rsid w:val="001C6514"/>
    <w:rsid w:val="001C68CE"/>
    <w:rsid w:val="001C766B"/>
    <w:rsid w:val="001C7738"/>
    <w:rsid w:val="001C7776"/>
    <w:rsid w:val="001C799D"/>
    <w:rsid w:val="001D079B"/>
    <w:rsid w:val="001D23B7"/>
    <w:rsid w:val="001D3874"/>
    <w:rsid w:val="001D4925"/>
    <w:rsid w:val="001D5344"/>
    <w:rsid w:val="001D731A"/>
    <w:rsid w:val="001D7E75"/>
    <w:rsid w:val="001E0C0C"/>
    <w:rsid w:val="001E1D1A"/>
    <w:rsid w:val="001E22D1"/>
    <w:rsid w:val="001E2C9E"/>
    <w:rsid w:val="001E4104"/>
    <w:rsid w:val="001E49E4"/>
    <w:rsid w:val="001E4FF3"/>
    <w:rsid w:val="001E56D2"/>
    <w:rsid w:val="001E7BF7"/>
    <w:rsid w:val="001E7C02"/>
    <w:rsid w:val="001E7D56"/>
    <w:rsid w:val="001F061C"/>
    <w:rsid w:val="001F0B37"/>
    <w:rsid w:val="001F116F"/>
    <w:rsid w:val="001F2863"/>
    <w:rsid w:val="001F2A97"/>
    <w:rsid w:val="001F4B6B"/>
    <w:rsid w:val="001F62BD"/>
    <w:rsid w:val="001F62EA"/>
    <w:rsid w:val="001F75DE"/>
    <w:rsid w:val="0020015B"/>
    <w:rsid w:val="0020059C"/>
    <w:rsid w:val="00200BCF"/>
    <w:rsid w:val="00200D58"/>
    <w:rsid w:val="002013BE"/>
    <w:rsid w:val="002045DC"/>
    <w:rsid w:val="002063A4"/>
    <w:rsid w:val="00206F97"/>
    <w:rsid w:val="00207026"/>
    <w:rsid w:val="00207D2F"/>
    <w:rsid w:val="00210AE1"/>
    <w:rsid w:val="00210E88"/>
    <w:rsid w:val="0021145B"/>
    <w:rsid w:val="00211D7F"/>
    <w:rsid w:val="00211EF4"/>
    <w:rsid w:val="00214277"/>
    <w:rsid w:val="002156C2"/>
    <w:rsid w:val="00215C4D"/>
    <w:rsid w:val="00215FE4"/>
    <w:rsid w:val="00216290"/>
    <w:rsid w:val="00216F4F"/>
    <w:rsid w:val="00220C45"/>
    <w:rsid w:val="0022137F"/>
    <w:rsid w:val="00223642"/>
    <w:rsid w:val="0022387C"/>
    <w:rsid w:val="002255D0"/>
    <w:rsid w:val="00225841"/>
    <w:rsid w:val="00225992"/>
    <w:rsid w:val="0022624D"/>
    <w:rsid w:val="00226756"/>
    <w:rsid w:val="0022730F"/>
    <w:rsid w:val="0022762D"/>
    <w:rsid w:val="00227AAC"/>
    <w:rsid w:val="00232303"/>
    <w:rsid w:val="00232E05"/>
    <w:rsid w:val="00234806"/>
    <w:rsid w:val="00235115"/>
    <w:rsid w:val="00235439"/>
    <w:rsid w:val="00235BBE"/>
    <w:rsid w:val="00235EF2"/>
    <w:rsid w:val="00236BDC"/>
    <w:rsid w:val="00237893"/>
    <w:rsid w:val="002378D6"/>
    <w:rsid w:val="00240251"/>
    <w:rsid w:val="002408C6"/>
    <w:rsid w:val="00240DA4"/>
    <w:rsid w:val="002420B1"/>
    <w:rsid w:val="00242835"/>
    <w:rsid w:val="00242C80"/>
    <w:rsid w:val="00242D2C"/>
    <w:rsid w:val="00243D36"/>
    <w:rsid w:val="00244AB1"/>
    <w:rsid w:val="00247113"/>
    <w:rsid w:val="00247707"/>
    <w:rsid w:val="0025192A"/>
    <w:rsid w:val="00251E6A"/>
    <w:rsid w:val="00252EA8"/>
    <w:rsid w:val="00252F5F"/>
    <w:rsid w:val="0025328B"/>
    <w:rsid w:val="00253F22"/>
    <w:rsid w:val="002550C8"/>
    <w:rsid w:val="00255155"/>
    <w:rsid w:val="00260ADA"/>
    <w:rsid w:val="00260EE3"/>
    <w:rsid w:val="00261D36"/>
    <w:rsid w:val="0026298F"/>
    <w:rsid w:val="00263171"/>
    <w:rsid w:val="00263BA5"/>
    <w:rsid w:val="0026456C"/>
    <w:rsid w:val="0026698F"/>
    <w:rsid w:val="002669A7"/>
    <w:rsid w:val="0026739B"/>
    <w:rsid w:val="002679FE"/>
    <w:rsid w:val="00267CA6"/>
    <w:rsid w:val="00270640"/>
    <w:rsid w:val="002715DD"/>
    <w:rsid w:val="00271E10"/>
    <w:rsid w:val="00272951"/>
    <w:rsid w:val="00272BA1"/>
    <w:rsid w:val="00274FF3"/>
    <w:rsid w:val="00275E78"/>
    <w:rsid w:val="0027661F"/>
    <w:rsid w:val="00277919"/>
    <w:rsid w:val="002819DF"/>
    <w:rsid w:val="00281D47"/>
    <w:rsid w:val="0028205F"/>
    <w:rsid w:val="002834D2"/>
    <w:rsid w:val="00285433"/>
    <w:rsid w:val="00286740"/>
    <w:rsid w:val="00286DB2"/>
    <w:rsid w:val="00287B42"/>
    <w:rsid w:val="0029031B"/>
    <w:rsid w:val="002906AB"/>
    <w:rsid w:val="00291582"/>
    <w:rsid w:val="00291B1D"/>
    <w:rsid w:val="0029230D"/>
    <w:rsid w:val="00292932"/>
    <w:rsid w:val="002929D8"/>
    <w:rsid w:val="002935C2"/>
    <w:rsid w:val="00294112"/>
    <w:rsid w:val="00294CF1"/>
    <w:rsid w:val="002952C2"/>
    <w:rsid w:val="00295392"/>
    <w:rsid w:val="0029558C"/>
    <w:rsid w:val="002978F0"/>
    <w:rsid w:val="00297F2B"/>
    <w:rsid w:val="002A0020"/>
    <w:rsid w:val="002A02A3"/>
    <w:rsid w:val="002A034E"/>
    <w:rsid w:val="002A0B98"/>
    <w:rsid w:val="002A237D"/>
    <w:rsid w:val="002A23EA"/>
    <w:rsid w:val="002A2818"/>
    <w:rsid w:val="002A2F76"/>
    <w:rsid w:val="002A3B41"/>
    <w:rsid w:val="002A49C8"/>
    <w:rsid w:val="002A4C53"/>
    <w:rsid w:val="002A5E6B"/>
    <w:rsid w:val="002A6663"/>
    <w:rsid w:val="002A68F2"/>
    <w:rsid w:val="002A697E"/>
    <w:rsid w:val="002A777B"/>
    <w:rsid w:val="002B001C"/>
    <w:rsid w:val="002B0672"/>
    <w:rsid w:val="002B1B4C"/>
    <w:rsid w:val="002B247F"/>
    <w:rsid w:val="002B3701"/>
    <w:rsid w:val="002B3784"/>
    <w:rsid w:val="002B5E10"/>
    <w:rsid w:val="002B71DF"/>
    <w:rsid w:val="002B7B37"/>
    <w:rsid w:val="002B7E53"/>
    <w:rsid w:val="002C0125"/>
    <w:rsid w:val="002C145D"/>
    <w:rsid w:val="002C14A5"/>
    <w:rsid w:val="002C1DAB"/>
    <w:rsid w:val="002C271B"/>
    <w:rsid w:val="002C291D"/>
    <w:rsid w:val="002C2C3E"/>
    <w:rsid w:val="002C30D7"/>
    <w:rsid w:val="002C3F8A"/>
    <w:rsid w:val="002C489F"/>
    <w:rsid w:val="002C4986"/>
    <w:rsid w:val="002C4D3B"/>
    <w:rsid w:val="002C533E"/>
    <w:rsid w:val="002C5525"/>
    <w:rsid w:val="002C5DA6"/>
    <w:rsid w:val="002C614B"/>
    <w:rsid w:val="002C6F5E"/>
    <w:rsid w:val="002D0218"/>
    <w:rsid w:val="002D027F"/>
    <w:rsid w:val="002D20EF"/>
    <w:rsid w:val="002D28E0"/>
    <w:rsid w:val="002D5348"/>
    <w:rsid w:val="002D6585"/>
    <w:rsid w:val="002D701F"/>
    <w:rsid w:val="002D76B9"/>
    <w:rsid w:val="002D7A85"/>
    <w:rsid w:val="002D7B60"/>
    <w:rsid w:val="002E04C6"/>
    <w:rsid w:val="002E19D4"/>
    <w:rsid w:val="002E245D"/>
    <w:rsid w:val="002E26D4"/>
    <w:rsid w:val="002E6014"/>
    <w:rsid w:val="002E6D3D"/>
    <w:rsid w:val="002E7EC9"/>
    <w:rsid w:val="002F0293"/>
    <w:rsid w:val="002F0362"/>
    <w:rsid w:val="002F2290"/>
    <w:rsid w:val="002F394B"/>
    <w:rsid w:val="002F3BBF"/>
    <w:rsid w:val="002F4761"/>
    <w:rsid w:val="002F476F"/>
    <w:rsid w:val="002F53AD"/>
    <w:rsid w:val="002F5477"/>
    <w:rsid w:val="002F56C8"/>
    <w:rsid w:val="002F5C79"/>
    <w:rsid w:val="002F6213"/>
    <w:rsid w:val="002F6903"/>
    <w:rsid w:val="002F75FF"/>
    <w:rsid w:val="003005B4"/>
    <w:rsid w:val="003019E2"/>
    <w:rsid w:val="0030262B"/>
    <w:rsid w:val="00302D3E"/>
    <w:rsid w:val="00302DD0"/>
    <w:rsid w:val="003032A0"/>
    <w:rsid w:val="003037B5"/>
    <w:rsid w:val="00303AC3"/>
    <w:rsid w:val="003041A7"/>
    <w:rsid w:val="003056CD"/>
    <w:rsid w:val="003064EE"/>
    <w:rsid w:val="00306EB3"/>
    <w:rsid w:val="00310B00"/>
    <w:rsid w:val="00312C6E"/>
    <w:rsid w:val="0031413F"/>
    <w:rsid w:val="003148BB"/>
    <w:rsid w:val="00314D83"/>
    <w:rsid w:val="003158E1"/>
    <w:rsid w:val="00316016"/>
    <w:rsid w:val="00316255"/>
    <w:rsid w:val="003174E3"/>
    <w:rsid w:val="00317864"/>
    <w:rsid w:val="00317976"/>
    <w:rsid w:val="00317983"/>
    <w:rsid w:val="00317E16"/>
    <w:rsid w:val="003208C2"/>
    <w:rsid w:val="00321B81"/>
    <w:rsid w:val="0032344A"/>
    <w:rsid w:val="00323583"/>
    <w:rsid w:val="00323885"/>
    <w:rsid w:val="00324F00"/>
    <w:rsid w:val="00324FCF"/>
    <w:rsid w:val="00325234"/>
    <w:rsid w:val="00325B91"/>
    <w:rsid w:val="00326E39"/>
    <w:rsid w:val="00327165"/>
    <w:rsid w:val="003271CC"/>
    <w:rsid w:val="003275B8"/>
    <w:rsid w:val="0032775A"/>
    <w:rsid w:val="00327AB2"/>
    <w:rsid w:val="00327B92"/>
    <w:rsid w:val="00331475"/>
    <w:rsid w:val="003326CD"/>
    <w:rsid w:val="003326F9"/>
    <w:rsid w:val="00332A19"/>
    <w:rsid w:val="00332B53"/>
    <w:rsid w:val="00333EDA"/>
    <w:rsid w:val="00334097"/>
    <w:rsid w:val="0033468C"/>
    <w:rsid w:val="0033474B"/>
    <w:rsid w:val="0033520B"/>
    <w:rsid w:val="00335C9A"/>
    <w:rsid w:val="00337D0C"/>
    <w:rsid w:val="00337DB3"/>
    <w:rsid w:val="00340091"/>
    <w:rsid w:val="00340453"/>
    <w:rsid w:val="00341634"/>
    <w:rsid w:val="00341E1D"/>
    <w:rsid w:val="00342AD0"/>
    <w:rsid w:val="00343222"/>
    <w:rsid w:val="0034417E"/>
    <w:rsid w:val="00345378"/>
    <w:rsid w:val="00346E13"/>
    <w:rsid w:val="00347520"/>
    <w:rsid w:val="00347B1D"/>
    <w:rsid w:val="00350149"/>
    <w:rsid w:val="00350A71"/>
    <w:rsid w:val="00351A93"/>
    <w:rsid w:val="00352205"/>
    <w:rsid w:val="00353F6D"/>
    <w:rsid w:val="0035435A"/>
    <w:rsid w:val="00355EA9"/>
    <w:rsid w:val="00356255"/>
    <w:rsid w:val="00357200"/>
    <w:rsid w:val="003578DE"/>
    <w:rsid w:val="00357BCE"/>
    <w:rsid w:val="00360A18"/>
    <w:rsid w:val="00360AFB"/>
    <w:rsid w:val="00360C66"/>
    <w:rsid w:val="00360FED"/>
    <w:rsid w:val="003617E4"/>
    <w:rsid w:val="00362B7B"/>
    <w:rsid w:val="00362DAC"/>
    <w:rsid w:val="00363042"/>
    <w:rsid w:val="00365066"/>
    <w:rsid w:val="00365509"/>
    <w:rsid w:val="00365882"/>
    <w:rsid w:val="00365CA7"/>
    <w:rsid w:val="00365CF3"/>
    <w:rsid w:val="00365F6B"/>
    <w:rsid w:val="00366DD4"/>
    <w:rsid w:val="00367E43"/>
    <w:rsid w:val="0037054A"/>
    <w:rsid w:val="00370BF9"/>
    <w:rsid w:val="0037117C"/>
    <w:rsid w:val="003711A7"/>
    <w:rsid w:val="00371217"/>
    <w:rsid w:val="00371340"/>
    <w:rsid w:val="0037368A"/>
    <w:rsid w:val="00374808"/>
    <w:rsid w:val="003759E2"/>
    <w:rsid w:val="00375AA9"/>
    <w:rsid w:val="00377B8C"/>
    <w:rsid w:val="00380209"/>
    <w:rsid w:val="003804A0"/>
    <w:rsid w:val="00381196"/>
    <w:rsid w:val="00382DFB"/>
    <w:rsid w:val="00382E70"/>
    <w:rsid w:val="003834E0"/>
    <w:rsid w:val="0038407A"/>
    <w:rsid w:val="00384BDD"/>
    <w:rsid w:val="00385445"/>
    <w:rsid w:val="0038588D"/>
    <w:rsid w:val="00386348"/>
    <w:rsid w:val="003863CC"/>
    <w:rsid w:val="00386999"/>
    <w:rsid w:val="00387517"/>
    <w:rsid w:val="00387D7E"/>
    <w:rsid w:val="00390145"/>
    <w:rsid w:val="0039152B"/>
    <w:rsid w:val="00392D2D"/>
    <w:rsid w:val="0039357D"/>
    <w:rsid w:val="00394379"/>
    <w:rsid w:val="00395665"/>
    <w:rsid w:val="00395846"/>
    <w:rsid w:val="00395CD8"/>
    <w:rsid w:val="00396257"/>
    <w:rsid w:val="00396603"/>
    <w:rsid w:val="00396D69"/>
    <w:rsid w:val="0039780D"/>
    <w:rsid w:val="00397A98"/>
    <w:rsid w:val="00397EB8"/>
    <w:rsid w:val="003A07AB"/>
    <w:rsid w:val="003A086E"/>
    <w:rsid w:val="003A261D"/>
    <w:rsid w:val="003A2EAB"/>
    <w:rsid w:val="003A37B8"/>
    <w:rsid w:val="003A4FD0"/>
    <w:rsid w:val="003A5022"/>
    <w:rsid w:val="003A5858"/>
    <w:rsid w:val="003A592F"/>
    <w:rsid w:val="003A644A"/>
    <w:rsid w:val="003A69D1"/>
    <w:rsid w:val="003A755C"/>
    <w:rsid w:val="003A7705"/>
    <w:rsid w:val="003B03A4"/>
    <w:rsid w:val="003B048F"/>
    <w:rsid w:val="003B0589"/>
    <w:rsid w:val="003B0F8D"/>
    <w:rsid w:val="003B1545"/>
    <w:rsid w:val="003B229D"/>
    <w:rsid w:val="003B2311"/>
    <w:rsid w:val="003B33BD"/>
    <w:rsid w:val="003B3582"/>
    <w:rsid w:val="003B3ADF"/>
    <w:rsid w:val="003B3BF2"/>
    <w:rsid w:val="003B4461"/>
    <w:rsid w:val="003B46D9"/>
    <w:rsid w:val="003B529D"/>
    <w:rsid w:val="003B5519"/>
    <w:rsid w:val="003B5545"/>
    <w:rsid w:val="003C0335"/>
    <w:rsid w:val="003C035E"/>
    <w:rsid w:val="003C07A5"/>
    <w:rsid w:val="003C0DF8"/>
    <w:rsid w:val="003C1BA9"/>
    <w:rsid w:val="003C29D4"/>
    <w:rsid w:val="003C3267"/>
    <w:rsid w:val="003C3423"/>
    <w:rsid w:val="003C409D"/>
    <w:rsid w:val="003C463B"/>
    <w:rsid w:val="003C5BA6"/>
    <w:rsid w:val="003C7008"/>
    <w:rsid w:val="003C76EC"/>
    <w:rsid w:val="003D14F9"/>
    <w:rsid w:val="003D223B"/>
    <w:rsid w:val="003D406A"/>
    <w:rsid w:val="003D7A8E"/>
    <w:rsid w:val="003D7C1C"/>
    <w:rsid w:val="003E0CE3"/>
    <w:rsid w:val="003E14E8"/>
    <w:rsid w:val="003E1EF2"/>
    <w:rsid w:val="003E304A"/>
    <w:rsid w:val="003E35E7"/>
    <w:rsid w:val="003E361D"/>
    <w:rsid w:val="003E4C3C"/>
    <w:rsid w:val="003E51CE"/>
    <w:rsid w:val="003E545F"/>
    <w:rsid w:val="003E76B5"/>
    <w:rsid w:val="003F00B1"/>
    <w:rsid w:val="003F0E85"/>
    <w:rsid w:val="003F1E26"/>
    <w:rsid w:val="003F1E46"/>
    <w:rsid w:val="003F2530"/>
    <w:rsid w:val="003F2837"/>
    <w:rsid w:val="003F3D6A"/>
    <w:rsid w:val="003F54D9"/>
    <w:rsid w:val="003F58E3"/>
    <w:rsid w:val="003F5D3A"/>
    <w:rsid w:val="003F6DB6"/>
    <w:rsid w:val="003F752B"/>
    <w:rsid w:val="00400776"/>
    <w:rsid w:val="004007DA"/>
    <w:rsid w:val="00401116"/>
    <w:rsid w:val="00401C72"/>
    <w:rsid w:val="00401E9D"/>
    <w:rsid w:val="004022D7"/>
    <w:rsid w:val="004027C4"/>
    <w:rsid w:val="00402B47"/>
    <w:rsid w:val="0040457E"/>
    <w:rsid w:val="00404CB5"/>
    <w:rsid w:val="00405251"/>
    <w:rsid w:val="00405E52"/>
    <w:rsid w:val="004067A7"/>
    <w:rsid w:val="004069FD"/>
    <w:rsid w:val="00410C55"/>
    <w:rsid w:val="00410E10"/>
    <w:rsid w:val="00411A15"/>
    <w:rsid w:val="0041254A"/>
    <w:rsid w:val="00412971"/>
    <w:rsid w:val="00412DE6"/>
    <w:rsid w:val="00412F89"/>
    <w:rsid w:val="00413492"/>
    <w:rsid w:val="00414EB1"/>
    <w:rsid w:val="00415FBB"/>
    <w:rsid w:val="0041604D"/>
    <w:rsid w:val="00416834"/>
    <w:rsid w:val="00416854"/>
    <w:rsid w:val="00416B29"/>
    <w:rsid w:val="00417121"/>
    <w:rsid w:val="00417175"/>
    <w:rsid w:val="00417579"/>
    <w:rsid w:val="00417725"/>
    <w:rsid w:val="0041779A"/>
    <w:rsid w:val="00417B99"/>
    <w:rsid w:val="004201B2"/>
    <w:rsid w:val="004201DC"/>
    <w:rsid w:val="00421CC4"/>
    <w:rsid w:val="00422249"/>
    <w:rsid w:val="00422FE2"/>
    <w:rsid w:val="00423934"/>
    <w:rsid w:val="004243EA"/>
    <w:rsid w:val="004265E1"/>
    <w:rsid w:val="00426A80"/>
    <w:rsid w:val="0042704F"/>
    <w:rsid w:val="004302EE"/>
    <w:rsid w:val="0043257C"/>
    <w:rsid w:val="00432634"/>
    <w:rsid w:val="00433EE2"/>
    <w:rsid w:val="0043413F"/>
    <w:rsid w:val="00434D06"/>
    <w:rsid w:val="00434D70"/>
    <w:rsid w:val="00435BDA"/>
    <w:rsid w:val="00437386"/>
    <w:rsid w:val="004373A3"/>
    <w:rsid w:val="004379B3"/>
    <w:rsid w:val="00437F26"/>
    <w:rsid w:val="00440588"/>
    <w:rsid w:val="00441A74"/>
    <w:rsid w:val="00442D83"/>
    <w:rsid w:val="00443875"/>
    <w:rsid w:val="0044405F"/>
    <w:rsid w:val="00444097"/>
    <w:rsid w:val="004445DA"/>
    <w:rsid w:val="00445487"/>
    <w:rsid w:val="00447089"/>
    <w:rsid w:val="00447689"/>
    <w:rsid w:val="00451078"/>
    <w:rsid w:val="0045123C"/>
    <w:rsid w:val="0045228A"/>
    <w:rsid w:val="00454769"/>
    <w:rsid w:val="00454932"/>
    <w:rsid w:val="00454E6B"/>
    <w:rsid w:val="004550FA"/>
    <w:rsid w:val="004560D2"/>
    <w:rsid w:val="00456D58"/>
    <w:rsid w:val="004572A1"/>
    <w:rsid w:val="004572F2"/>
    <w:rsid w:val="004578CC"/>
    <w:rsid w:val="00457AD4"/>
    <w:rsid w:val="00460FB0"/>
    <w:rsid w:val="00461F3F"/>
    <w:rsid w:val="00462751"/>
    <w:rsid w:val="004635F1"/>
    <w:rsid w:val="00463D73"/>
    <w:rsid w:val="004659FA"/>
    <w:rsid w:val="004660EF"/>
    <w:rsid w:val="0046640F"/>
    <w:rsid w:val="00466991"/>
    <w:rsid w:val="00467CEB"/>
    <w:rsid w:val="0047064C"/>
    <w:rsid w:val="00470DEC"/>
    <w:rsid w:val="00471E0C"/>
    <w:rsid w:val="00471F94"/>
    <w:rsid w:val="00472274"/>
    <w:rsid w:val="004722A9"/>
    <w:rsid w:val="004727CA"/>
    <w:rsid w:val="00472F6B"/>
    <w:rsid w:val="004739F1"/>
    <w:rsid w:val="00473E24"/>
    <w:rsid w:val="00473FC7"/>
    <w:rsid w:val="00474B15"/>
    <w:rsid w:val="00474D90"/>
    <w:rsid w:val="004754AA"/>
    <w:rsid w:val="00477AFF"/>
    <w:rsid w:val="0048036C"/>
    <w:rsid w:val="00480A9E"/>
    <w:rsid w:val="00480D2A"/>
    <w:rsid w:val="00480E7D"/>
    <w:rsid w:val="00481823"/>
    <w:rsid w:val="00481F0B"/>
    <w:rsid w:val="00482A96"/>
    <w:rsid w:val="00482D10"/>
    <w:rsid w:val="00483519"/>
    <w:rsid w:val="004851DF"/>
    <w:rsid w:val="00485959"/>
    <w:rsid w:val="00485FA4"/>
    <w:rsid w:val="004866C9"/>
    <w:rsid w:val="0048690E"/>
    <w:rsid w:val="00486FAE"/>
    <w:rsid w:val="00486FDB"/>
    <w:rsid w:val="00490804"/>
    <w:rsid w:val="00490EA9"/>
    <w:rsid w:val="004911CC"/>
    <w:rsid w:val="00491C1C"/>
    <w:rsid w:val="004928E4"/>
    <w:rsid w:val="00494B37"/>
    <w:rsid w:val="00494DA5"/>
    <w:rsid w:val="00494F62"/>
    <w:rsid w:val="004952BC"/>
    <w:rsid w:val="00495BFE"/>
    <w:rsid w:val="004970A9"/>
    <w:rsid w:val="00497B5F"/>
    <w:rsid w:val="00497E1D"/>
    <w:rsid w:val="004A0657"/>
    <w:rsid w:val="004A10FE"/>
    <w:rsid w:val="004A1426"/>
    <w:rsid w:val="004A195F"/>
    <w:rsid w:val="004A1C5F"/>
    <w:rsid w:val="004A3DC5"/>
    <w:rsid w:val="004A42E1"/>
    <w:rsid w:val="004A443C"/>
    <w:rsid w:val="004A4526"/>
    <w:rsid w:val="004A497D"/>
    <w:rsid w:val="004A574A"/>
    <w:rsid w:val="004A5B52"/>
    <w:rsid w:val="004A5DC4"/>
    <w:rsid w:val="004A6355"/>
    <w:rsid w:val="004A7360"/>
    <w:rsid w:val="004B0A49"/>
    <w:rsid w:val="004B162C"/>
    <w:rsid w:val="004B2386"/>
    <w:rsid w:val="004B2CA5"/>
    <w:rsid w:val="004B3E3D"/>
    <w:rsid w:val="004B4407"/>
    <w:rsid w:val="004B4687"/>
    <w:rsid w:val="004B5013"/>
    <w:rsid w:val="004B54D9"/>
    <w:rsid w:val="004B5675"/>
    <w:rsid w:val="004B571D"/>
    <w:rsid w:val="004B5DB2"/>
    <w:rsid w:val="004B6C39"/>
    <w:rsid w:val="004B72C8"/>
    <w:rsid w:val="004C0C83"/>
    <w:rsid w:val="004C106D"/>
    <w:rsid w:val="004C2484"/>
    <w:rsid w:val="004C3BBE"/>
    <w:rsid w:val="004C3DBE"/>
    <w:rsid w:val="004C4FCD"/>
    <w:rsid w:val="004C5C96"/>
    <w:rsid w:val="004C63BE"/>
    <w:rsid w:val="004C70C5"/>
    <w:rsid w:val="004D06A4"/>
    <w:rsid w:val="004D1C33"/>
    <w:rsid w:val="004D2888"/>
    <w:rsid w:val="004D2D16"/>
    <w:rsid w:val="004D60EA"/>
    <w:rsid w:val="004D61AB"/>
    <w:rsid w:val="004D670C"/>
    <w:rsid w:val="004E05A1"/>
    <w:rsid w:val="004E170C"/>
    <w:rsid w:val="004E1A70"/>
    <w:rsid w:val="004E1D30"/>
    <w:rsid w:val="004E22D1"/>
    <w:rsid w:val="004E59D4"/>
    <w:rsid w:val="004E5AE5"/>
    <w:rsid w:val="004E71B4"/>
    <w:rsid w:val="004E79AC"/>
    <w:rsid w:val="004F020B"/>
    <w:rsid w:val="004F0A90"/>
    <w:rsid w:val="004F0B36"/>
    <w:rsid w:val="004F1A81"/>
    <w:rsid w:val="004F2107"/>
    <w:rsid w:val="004F2AD4"/>
    <w:rsid w:val="004F3763"/>
    <w:rsid w:val="004F4259"/>
    <w:rsid w:val="004F44D2"/>
    <w:rsid w:val="004F7B45"/>
    <w:rsid w:val="0050072A"/>
    <w:rsid w:val="00501891"/>
    <w:rsid w:val="00501BFC"/>
    <w:rsid w:val="00503E6F"/>
    <w:rsid w:val="005051B7"/>
    <w:rsid w:val="00505929"/>
    <w:rsid w:val="00506AE1"/>
    <w:rsid w:val="00506B77"/>
    <w:rsid w:val="00506BBB"/>
    <w:rsid w:val="00507113"/>
    <w:rsid w:val="00507F29"/>
    <w:rsid w:val="0051046E"/>
    <w:rsid w:val="005104E0"/>
    <w:rsid w:val="005109FC"/>
    <w:rsid w:val="0051174A"/>
    <w:rsid w:val="00511F0E"/>
    <w:rsid w:val="00511F62"/>
    <w:rsid w:val="0051228C"/>
    <w:rsid w:val="005127C1"/>
    <w:rsid w:val="00512E36"/>
    <w:rsid w:val="00513B0E"/>
    <w:rsid w:val="00513DBF"/>
    <w:rsid w:val="005149DF"/>
    <w:rsid w:val="00514B5E"/>
    <w:rsid w:val="00514F9F"/>
    <w:rsid w:val="005151AE"/>
    <w:rsid w:val="005165F6"/>
    <w:rsid w:val="00517A89"/>
    <w:rsid w:val="00517D50"/>
    <w:rsid w:val="00517D5A"/>
    <w:rsid w:val="00517D63"/>
    <w:rsid w:val="00517DDC"/>
    <w:rsid w:val="005202BD"/>
    <w:rsid w:val="005218D9"/>
    <w:rsid w:val="0052262F"/>
    <w:rsid w:val="00522CBF"/>
    <w:rsid w:val="005230F8"/>
    <w:rsid w:val="005232E9"/>
    <w:rsid w:val="0052386E"/>
    <w:rsid w:val="00523B45"/>
    <w:rsid w:val="00523C4A"/>
    <w:rsid w:val="00524F3E"/>
    <w:rsid w:val="00525DB1"/>
    <w:rsid w:val="005265BE"/>
    <w:rsid w:val="00527D11"/>
    <w:rsid w:val="005305FD"/>
    <w:rsid w:val="005317EC"/>
    <w:rsid w:val="00531A0F"/>
    <w:rsid w:val="00532E47"/>
    <w:rsid w:val="00533220"/>
    <w:rsid w:val="005353C9"/>
    <w:rsid w:val="0053584B"/>
    <w:rsid w:val="00536186"/>
    <w:rsid w:val="00536826"/>
    <w:rsid w:val="00536AED"/>
    <w:rsid w:val="00540A48"/>
    <w:rsid w:val="005431CD"/>
    <w:rsid w:val="0054343A"/>
    <w:rsid w:val="00544CBB"/>
    <w:rsid w:val="005451AA"/>
    <w:rsid w:val="0054592A"/>
    <w:rsid w:val="005459A4"/>
    <w:rsid w:val="00545D0C"/>
    <w:rsid w:val="00546DF1"/>
    <w:rsid w:val="00546E07"/>
    <w:rsid w:val="0054707D"/>
    <w:rsid w:val="00547C5B"/>
    <w:rsid w:val="00550295"/>
    <w:rsid w:val="00550518"/>
    <w:rsid w:val="0055097B"/>
    <w:rsid w:val="00551931"/>
    <w:rsid w:val="00551DB8"/>
    <w:rsid w:val="00552CD6"/>
    <w:rsid w:val="00553523"/>
    <w:rsid w:val="005537E7"/>
    <w:rsid w:val="00553853"/>
    <w:rsid w:val="00553CB8"/>
    <w:rsid w:val="00556A87"/>
    <w:rsid w:val="00556B73"/>
    <w:rsid w:val="00557C07"/>
    <w:rsid w:val="00557F74"/>
    <w:rsid w:val="005615AF"/>
    <w:rsid w:val="00561CCB"/>
    <w:rsid w:val="00561FD1"/>
    <w:rsid w:val="0056229F"/>
    <w:rsid w:val="005630D6"/>
    <w:rsid w:val="005635CB"/>
    <w:rsid w:val="00563DC9"/>
    <w:rsid w:val="00564D05"/>
    <w:rsid w:val="00566CE6"/>
    <w:rsid w:val="00566DA9"/>
    <w:rsid w:val="005674E2"/>
    <w:rsid w:val="0057205D"/>
    <w:rsid w:val="0057315F"/>
    <w:rsid w:val="00573983"/>
    <w:rsid w:val="00573AA7"/>
    <w:rsid w:val="00573FF2"/>
    <w:rsid w:val="00574159"/>
    <w:rsid w:val="005747EB"/>
    <w:rsid w:val="00574C92"/>
    <w:rsid w:val="005755CA"/>
    <w:rsid w:val="00575DF1"/>
    <w:rsid w:val="00576104"/>
    <w:rsid w:val="00576BB3"/>
    <w:rsid w:val="00580B89"/>
    <w:rsid w:val="00580CB5"/>
    <w:rsid w:val="005815E0"/>
    <w:rsid w:val="005834E8"/>
    <w:rsid w:val="0058371F"/>
    <w:rsid w:val="00586B2E"/>
    <w:rsid w:val="005900C7"/>
    <w:rsid w:val="0059044B"/>
    <w:rsid w:val="00590B52"/>
    <w:rsid w:val="00592557"/>
    <w:rsid w:val="005927F6"/>
    <w:rsid w:val="0059305F"/>
    <w:rsid w:val="005940BC"/>
    <w:rsid w:val="00594BA0"/>
    <w:rsid w:val="005963F4"/>
    <w:rsid w:val="00596864"/>
    <w:rsid w:val="00597132"/>
    <w:rsid w:val="005972B3"/>
    <w:rsid w:val="005A1552"/>
    <w:rsid w:val="005A46E4"/>
    <w:rsid w:val="005A4718"/>
    <w:rsid w:val="005A4F3D"/>
    <w:rsid w:val="005A50E0"/>
    <w:rsid w:val="005A5A2D"/>
    <w:rsid w:val="005A7ADE"/>
    <w:rsid w:val="005A7BFC"/>
    <w:rsid w:val="005B178E"/>
    <w:rsid w:val="005B4237"/>
    <w:rsid w:val="005B603C"/>
    <w:rsid w:val="005B6A1F"/>
    <w:rsid w:val="005C2BAD"/>
    <w:rsid w:val="005C3CC3"/>
    <w:rsid w:val="005C44E9"/>
    <w:rsid w:val="005C4B17"/>
    <w:rsid w:val="005C4C50"/>
    <w:rsid w:val="005C66C2"/>
    <w:rsid w:val="005C67C8"/>
    <w:rsid w:val="005C7A77"/>
    <w:rsid w:val="005D0249"/>
    <w:rsid w:val="005D10B8"/>
    <w:rsid w:val="005D1D89"/>
    <w:rsid w:val="005D2535"/>
    <w:rsid w:val="005D30C7"/>
    <w:rsid w:val="005D317B"/>
    <w:rsid w:val="005D331B"/>
    <w:rsid w:val="005D5072"/>
    <w:rsid w:val="005D6E8C"/>
    <w:rsid w:val="005E1F46"/>
    <w:rsid w:val="005E44C0"/>
    <w:rsid w:val="005E467C"/>
    <w:rsid w:val="005E4899"/>
    <w:rsid w:val="005E5123"/>
    <w:rsid w:val="005E5190"/>
    <w:rsid w:val="005E5373"/>
    <w:rsid w:val="005E5EBB"/>
    <w:rsid w:val="005E7D67"/>
    <w:rsid w:val="005F100C"/>
    <w:rsid w:val="005F1428"/>
    <w:rsid w:val="005F1D4E"/>
    <w:rsid w:val="005F231A"/>
    <w:rsid w:val="005F2969"/>
    <w:rsid w:val="005F356A"/>
    <w:rsid w:val="005F40FC"/>
    <w:rsid w:val="005F5140"/>
    <w:rsid w:val="005F5981"/>
    <w:rsid w:val="005F5A2E"/>
    <w:rsid w:val="005F65F8"/>
    <w:rsid w:val="005F68DA"/>
    <w:rsid w:val="005F70C9"/>
    <w:rsid w:val="005F7368"/>
    <w:rsid w:val="005F75E6"/>
    <w:rsid w:val="005F7F15"/>
    <w:rsid w:val="006014DD"/>
    <w:rsid w:val="00602EC8"/>
    <w:rsid w:val="006035EA"/>
    <w:rsid w:val="0060398D"/>
    <w:rsid w:val="00603EF9"/>
    <w:rsid w:val="00604F65"/>
    <w:rsid w:val="0060503A"/>
    <w:rsid w:val="0060503C"/>
    <w:rsid w:val="00606053"/>
    <w:rsid w:val="0060728B"/>
    <w:rsid w:val="006075E0"/>
    <w:rsid w:val="0060773B"/>
    <w:rsid w:val="00607D94"/>
    <w:rsid w:val="00610B0B"/>
    <w:rsid w:val="00610B87"/>
    <w:rsid w:val="0061109B"/>
    <w:rsid w:val="00611695"/>
    <w:rsid w:val="00611E24"/>
    <w:rsid w:val="00612977"/>
    <w:rsid w:val="006137C0"/>
    <w:rsid w:val="006157B5"/>
    <w:rsid w:val="00616AA6"/>
    <w:rsid w:val="006215C9"/>
    <w:rsid w:val="00621887"/>
    <w:rsid w:val="00621C87"/>
    <w:rsid w:val="00622DAA"/>
    <w:rsid w:val="006233EA"/>
    <w:rsid w:val="00623A21"/>
    <w:rsid w:val="00623F52"/>
    <w:rsid w:val="00624549"/>
    <w:rsid w:val="00625409"/>
    <w:rsid w:val="00625F87"/>
    <w:rsid w:val="0062674C"/>
    <w:rsid w:val="00626FC6"/>
    <w:rsid w:val="00627D12"/>
    <w:rsid w:val="00627EDC"/>
    <w:rsid w:val="006303B4"/>
    <w:rsid w:val="0063131B"/>
    <w:rsid w:val="006313E8"/>
    <w:rsid w:val="00633CEB"/>
    <w:rsid w:val="00633D3D"/>
    <w:rsid w:val="00633F3A"/>
    <w:rsid w:val="0063400C"/>
    <w:rsid w:val="00634D14"/>
    <w:rsid w:val="00634E39"/>
    <w:rsid w:val="00635C72"/>
    <w:rsid w:val="00635D5E"/>
    <w:rsid w:val="006362C2"/>
    <w:rsid w:val="00636F3C"/>
    <w:rsid w:val="006376AC"/>
    <w:rsid w:val="00637742"/>
    <w:rsid w:val="00637C40"/>
    <w:rsid w:val="00640306"/>
    <w:rsid w:val="0064041F"/>
    <w:rsid w:val="0064062B"/>
    <w:rsid w:val="00641703"/>
    <w:rsid w:val="00641A23"/>
    <w:rsid w:val="00641A53"/>
    <w:rsid w:val="00642719"/>
    <w:rsid w:val="006431A6"/>
    <w:rsid w:val="00643AA7"/>
    <w:rsid w:val="006447E0"/>
    <w:rsid w:val="00644924"/>
    <w:rsid w:val="006459F6"/>
    <w:rsid w:val="00647AB8"/>
    <w:rsid w:val="00650079"/>
    <w:rsid w:val="006501AD"/>
    <w:rsid w:val="00650279"/>
    <w:rsid w:val="006507FD"/>
    <w:rsid w:val="00651443"/>
    <w:rsid w:val="00651BFA"/>
    <w:rsid w:val="00652A73"/>
    <w:rsid w:val="006533B3"/>
    <w:rsid w:val="0065378F"/>
    <w:rsid w:val="00654FE2"/>
    <w:rsid w:val="00655C6C"/>
    <w:rsid w:val="00656068"/>
    <w:rsid w:val="0065688A"/>
    <w:rsid w:val="006578CE"/>
    <w:rsid w:val="0066150C"/>
    <w:rsid w:val="0066183C"/>
    <w:rsid w:val="00662973"/>
    <w:rsid w:val="006637DE"/>
    <w:rsid w:val="0066389D"/>
    <w:rsid w:val="00663A80"/>
    <w:rsid w:val="00663CC1"/>
    <w:rsid w:val="00665A4B"/>
    <w:rsid w:val="00666421"/>
    <w:rsid w:val="00666A65"/>
    <w:rsid w:val="00670683"/>
    <w:rsid w:val="0067071F"/>
    <w:rsid w:val="00670812"/>
    <w:rsid w:val="00670DDA"/>
    <w:rsid w:val="006720A1"/>
    <w:rsid w:val="0067211A"/>
    <w:rsid w:val="00672950"/>
    <w:rsid w:val="006731FE"/>
    <w:rsid w:val="00674E9E"/>
    <w:rsid w:val="00675861"/>
    <w:rsid w:val="00676092"/>
    <w:rsid w:val="00676C51"/>
    <w:rsid w:val="00677B4E"/>
    <w:rsid w:val="00680806"/>
    <w:rsid w:val="006826C5"/>
    <w:rsid w:val="0068273D"/>
    <w:rsid w:val="00682A7C"/>
    <w:rsid w:val="00683335"/>
    <w:rsid w:val="00683837"/>
    <w:rsid w:val="0068567E"/>
    <w:rsid w:val="006857F3"/>
    <w:rsid w:val="00686432"/>
    <w:rsid w:val="00687603"/>
    <w:rsid w:val="006910A1"/>
    <w:rsid w:val="0069296A"/>
    <w:rsid w:val="00692E2A"/>
    <w:rsid w:val="00692E39"/>
    <w:rsid w:val="0069340F"/>
    <w:rsid w:val="006937A3"/>
    <w:rsid w:val="00694523"/>
    <w:rsid w:val="00694DFC"/>
    <w:rsid w:val="0069541F"/>
    <w:rsid w:val="00696087"/>
    <w:rsid w:val="0069660E"/>
    <w:rsid w:val="006A0D5E"/>
    <w:rsid w:val="006A1201"/>
    <w:rsid w:val="006A14ED"/>
    <w:rsid w:val="006A2D2E"/>
    <w:rsid w:val="006A2F1B"/>
    <w:rsid w:val="006A3860"/>
    <w:rsid w:val="006A445A"/>
    <w:rsid w:val="006A477B"/>
    <w:rsid w:val="006A48FE"/>
    <w:rsid w:val="006A57B8"/>
    <w:rsid w:val="006A5D23"/>
    <w:rsid w:val="006A6798"/>
    <w:rsid w:val="006A76F2"/>
    <w:rsid w:val="006A7D83"/>
    <w:rsid w:val="006B03E7"/>
    <w:rsid w:val="006B128A"/>
    <w:rsid w:val="006B130A"/>
    <w:rsid w:val="006B2001"/>
    <w:rsid w:val="006B27E3"/>
    <w:rsid w:val="006B2DDD"/>
    <w:rsid w:val="006B35E1"/>
    <w:rsid w:val="006B6188"/>
    <w:rsid w:val="006B6C54"/>
    <w:rsid w:val="006B75D5"/>
    <w:rsid w:val="006B75FB"/>
    <w:rsid w:val="006C2948"/>
    <w:rsid w:val="006C2A92"/>
    <w:rsid w:val="006C3DDA"/>
    <w:rsid w:val="006C44E3"/>
    <w:rsid w:val="006C5764"/>
    <w:rsid w:val="006C5EE2"/>
    <w:rsid w:val="006C706B"/>
    <w:rsid w:val="006C7521"/>
    <w:rsid w:val="006C76E2"/>
    <w:rsid w:val="006D0465"/>
    <w:rsid w:val="006D0BAE"/>
    <w:rsid w:val="006D16FF"/>
    <w:rsid w:val="006D1C31"/>
    <w:rsid w:val="006D3277"/>
    <w:rsid w:val="006D3F5F"/>
    <w:rsid w:val="006D4CA0"/>
    <w:rsid w:val="006D5F44"/>
    <w:rsid w:val="006D68C5"/>
    <w:rsid w:val="006D6B04"/>
    <w:rsid w:val="006D6F6B"/>
    <w:rsid w:val="006D7EFB"/>
    <w:rsid w:val="006E1109"/>
    <w:rsid w:val="006E21F0"/>
    <w:rsid w:val="006E3142"/>
    <w:rsid w:val="006E3B6E"/>
    <w:rsid w:val="006E47B3"/>
    <w:rsid w:val="006E62E4"/>
    <w:rsid w:val="006E6672"/>
    <w:rsid w:val="006E6722"/>
    <w:rsid w:val="006F0F2A"/>
    <w:rsid w:val="006F10F1"/>
    <w:rsid w:val="006F1542"/>
    <w:rsid w:val="006F29CA"/>
    <w:rsid w:val="006F2BB9"/>
    <w:rsid w:val="006F37AA"/>
    <w:rsid w:val="006F3F50"/>
    <w:rsid w:val="006F4787"/>
    <w:rsid w:val="006F501F"/>
    <w:rsid w:val="006F5580"/>
    <w:rsid w:val="006F574D"/>
    <w:rsid w:val="006F6A39"/>
    <w:rsid w:val="00700119"/>
    <w:rsid w:val="00701075"/>
    <w:rsid w:val="0070123A"/>
    <w:rsid w:val="00701970"/>
    <w:rsid w:val="00702515"/>
    <w:rsid w:val="007027B9"/>
    <w:rsid w:val="007029F6"/>
    <w:rsid w:val="00702F24"/>
    <w:rsid w:val="00703005"/>
    <w:rsid w:val="00704A51"/>
    <w:rsid w:val="0070544D"/>
    <w:rsid w:val="007068BC"/>
    <w:rsid w:val="00706937"/>
    <w:rsid w:val="007078C4"/>
    <w:rsid w:val="00707FAB"/>
    <w:rsid w:val="00710ADE"/>
    <w:rsid w:val="00711223"/>
    <w:rsid w:val="007117E9"/>
    <w:rsid w:val="00711E6F"/>
    <w:rsid w:val="007129A9"/>
    <w:rsid w:val="00713D8F"/>
    <w:rsid w:val="0071485F"/>
    <w:rsid w:val="0071516E"/>
    <w:rsid w:val="0071530D"/>
    <w:rsid w:val="00715E88"/>
    <w:rsid w:val="00715F5D"/>
    <w:rsid w:val="00716B27"/>
    <w:rsid w:val="00717E48"/>
    <w:rsid w:val="00717F73"/>
    <w:rsid w:val="00720E48"/>
    <w:rsid w:val="00721BD6"/>
    <w:rsid w:val="007226CE"/>
    <w:rsid w:val="00722D76"/>
    <w:rsid w:val="00723B4D"/>
    <w:rsid w:val="0072508B"/>
    <w:rsid w:val="0072523F"/>
    <w:rsid w:val="00727193"/>
    <w:rsid w:val="007271E3"/>
    <w:rsid w:val="00727888"/>
    <w:rsid w:val="00727D76"/>
    <w:rsid w:val="0073003E"/>
    <w:rsid w:val="007306FD"/>
    <w:rsid w:val="00730B6F"/>
    <w:rsid w:val="0073220D"/>
    <w:rsid w:val="00732257"/>
    <w:rsid w:val="0073255E"/>
    <w:rsid w:val="00734837"/>
    <w:rsid w:val="00734CAA"/>
    <w:rsid w:val="007360FB"/>
    <w:rsid w:val="00736583"/>
    <w:rsid w:val="00736671"/>
    <w:rsid w:val="00736E0F"/>
    <w:rsid w:val="00737E73"/>
    <w:rsid w:val="007416DA"/>
    <w:rsid w:val="00741964"/>
    <w:rsid w:val="0074204E"/>
    <w:rsid w:val="00742207"/>
    <w:rsid w:val="00742F74"/>
    <w:rsid w:val="00743593"/>
    <w:rsid w:val="00743820"/>
    <w:rsid w:val="00743E63"/>
    <w:rsid w:val="007450CE"/>
    <w:rsid w:val="007455DB"/>
    <w:rsid w:val="007457BE"/>
    <w:rsid w:val="00745BEB"/>
    <w:rsid w:val="00745C59"/>
    <w:rsid w:val="00746D09"/>
    <w:rsid w:val="0074782E"/>
    <w:rsid w:val="00751215"/>
    <w:rsid w:val="0075473A"/>
    <w:rsid w:val="00754C0E"/>
    <w:rsid w:val="00755106"/>
    <w:rsid w:val="007552EF"/>
    <w:rsid w:val="0075533C"/>
    <w:rsid w:val="007558F2"/>
    <w:rsid w:val="00755EE6"/>
    <w:rsid w:val="00757581"/>
    <w:rsid w:val="00757BF0"/>
    <w:rsid w:val="00760043"/>
    <w:rsid w:val="00760C64"/>
    <w:rsid w:val="00760C78"/>
    <w:rsid w:val="00760D98"/>
    <w:rsid w:val="007611A0"/>
    <w:rsid w:val="007640EA"/>
    <w:rsid w:val="007647A9"/>
    <w:rsid w:val="007651DB"/>
    <w:rsid w:val="00765569"/>
    <w:rsid w:val="007658A0"/>
    <w:rsid w:val="00765EEF"/>
    <w:rsid w:val="007666AD"/>
    <w:rsid w:val="007666C4"/>
    <w:rsid w:val="00767330"/>
    <w:rsid w:val="00767447"/>
    <w:rsid w:val="00767C6B"/>
    <w:rsid w:val="0077027F"/>
    <w:rsid w:val="0077037B"/>
    <w:rsid w:val="00771290"/>
    <w:rsid w:val="00771992"/>
    <w:rsid w:val="00772146"/>
    <w:rsid w:val="00774564"/>
    <w:rsid w:val="00775983"/>
    <w:rsid w:val="00775DAE"/>
    <w:rsid w:val="007771CA"/>
    <w:rsid w:val="007834D7"/>
    <w:rsid w:val="00783907"/>
    <w:rsid w:val="007839E2"/>
    <w:rsid w:val="007848CC"/>
    <w:rsid w:val="00784A52"/>
    <w:rsid w:val="00785278"/>
    <w:rsid w:val="00785AEB"/>
    <w:rsid w:val="00785FEA"/>
    <w:rsid w:val="00786208"/>
    <w:rsid w:val="00786306"/>
    <w:rsid w:val="0078670F"/>
    <w:rsid w:val="007904A5"/>
    <w:rsid w:val="00790B43"/>
    <w:rsid w:val="00790B93"/>
    <w:rsid w:val="007913D3"/>
    <w:rsid w:val="0079255E"/>
    <w:rsid w:val="00792F59"/>
    <w:rsid w:val="00795113"/>
    <w:rsid w:val="007954CA"/>
    <w:rsid w:val="00796D3F"/>
    <w:rsid w:val="00796DC9"/>
    <w:rsid w:val="007976E8"/>
    <w:rsid w:val="007A00D2"/>
    <w:rsid w:val="007A12C7"/>
    <w:rsid w:val="007A1683"/>
    <w:rsid w:val="007A19C8"/>
    <w:rsid w:val="007A3276"/>
    <w:rsid w:val="007A36F8"/>
    <w:rsid w:val="007A3899"/>
    <w:rsid w:val="007A3F71"/>
    <w:rsid w:val="007A43C9"/>
    <w:rsid w:val="007A4534"/>
    <w:rsid w:val="007A4B5E"/>
    <w:rsid w:val="007A59EC"/>
    <w:rsid w:val="007A5C12"/>
    <w:rsid w:val="007A7CB0"/>
    <w:rsid w:val="007B0536"/>
    <w:rsid w:val="007B059E"/>
    <w:rsid w:val="007B16C7"/>
    <w:rsid w:val="007B5217"/>
    <w:rsid w:val="007B5CCB"/>
    <w:rsid w:val="007B60BD"/>
    <w:rsid w:val="007B68A3"/>
    <w:rsid w:val="007B70A8"/>
    <w:rsid w:val="007C0309"/>
    <w:rsid w:val="007C2541"/>
    <w:rsid w:val="007C2FF9"/>
    <w:rsid w:val="007C389C"/>
    <w:rsid w:val="007C4343"/>
    <w:rsid w:val="007C4676"/>
    <w:rsid w:val="007C5B45"/>
    <w:rsid w:val="007C6450"/>
    <w:rsid w:val="007C747D"/>
    <w:rsid w:val="007C7CD3"/>
    <w:rsid w:val="007D03E4"/>
    <w:rsid w:val="007D15A3"/>
    <w:rsid w:val="007D2F71"/>
    <w:rsid w:val="007D4DC7"/>
    <w:rsid w:val="007D66A8"/>
    <w:rsid w:val="007D68E7"/>
    <w:rsid w:val="007D732F"/>
    <w:rsid w:val="007D74DC"/>
    <w:rsid w:val="007D773D"/>
    <w:rsid w:val="007E003F"/>
    <w:rsid w:val="007E0ED0"/>
    <w:rsid w:val="007E2419"/>
    <w:rsid w:val="007E2863"/>
    <w:rsid w:val="007E420D"/>
    <w:rsid w:val="007E4C29"/>
    <w:rsid w:val="007E50D5"/>
    <w:rsid w:val="007E5425"/>
    <w:rsid w:val="007E561B"/>
    <w:rsid w:val="007E700A"/>
    <w:rsid w:val="007E751D"/>
    <w:rsid w:val="007F010E"/>
    <w:rsid w:val="007F0607"/>
    <w:rsid w:val="007F0725"/>
    <w:rsid w:val="007F1488"/>
    <w:rsid w:val="007F1BA6"/>
    <w:rsid w:val="007F1F94"/>
    <w:rsid w:val="007F259C"/>
    <w:rsid w:val="007F2859"/>
    <w:rsid w:val="007F37C7"/>
    <w:rsid w:val="007F3DED"/>
    <w:rsid w:val="007F6E99"/>
    <w:rsid w:val="007F777B"/>
    <w:rsid w:val="007F7A41"/>
    <w:rsid w:val="0080061B"/>
    <w:rsid w:val="00802E72"/>
    <w:rsid w:val="00804FB6"/>
    <w:rsid w:val="00805310"/>
    <w:rsid w:val="00805F1D"/>
    <w:rsid w:val="00806D53"/>
    <w:rsid w:val="00807F89"/>
    <w:rsid w:val="00810329"/>
    <w:rsid w:val="00810751"/>
    <w:rsid w:val="00810B76"/>
    <w:rsid w:val="0081283D"/>
    <w:rsid w:val="00813148"/>
    <w:rsid w:val="00813ECD"/>
    <w:rsid w:val="00814A90"/>
    <w:rsid w:val="00815E6C"/>
    <w:rsid w:val="008164F2"/>
    <w:rsid w:val="008168B1"/>
    <w:rsid w:val="00816AD4"/>
    <w:rsid w:val="00816C61"/>
    <w:rsid w:val="008172B3"/>
    <w:rsid w:val="00821395"/>
    <w:rsid w:val="00821853"/>
    <w:rsid w:val="00821E77"/>
    <w:rsid w:val="00822B70"/>
    <w:rsid w:val="00822FED"/>
    <w:rsid w:val="0082313F"/>
    <w:rsid w:val="008237DF"/>
    <w:rsid w:val="00825D7E"/>
    <w:rsid w:val="008265E7"/>
    <w:rsid w:val="00827214"/>
    <w:rsid w:val="00827B19"/>
    <w:rsid w:val="00827FFD"/>
    <w:rsid w:val="008309A2"/>
    <w:rsid w:val="00830E26"/>
    <w:rsid w:val="00831A6D"/>
    <w:rsid w:val="00831AED"/>
    <w:rsid w:val="00832459"/>
    <w:rsid w:val="00833EB6"/>
    <w:rsid w:val="00835A5F"/>
    <w:rsid w:val="00836B2E"/>
    <w:rsid w:val="00836D75"/>
    <w:rsid w:val="00837269"/>
    <w:rsid w:val="00837774"/>
    <w:rsid w:val="00837D9B"/>
    <w:rsid w:val="008422F8"/>
    <w:rsid w:val="00843576"/>
    <w:rsid w:val="00843B64"/>
    <w:rsid w:val="00844475"/>
    <w:rsid w:val="008444AC"/>
    <w:rsid w:val="00846CC7"/>
    <w:rsid w:val="008470BD"/>
    <w:rsid w:val="008478FC"/>
    <w:rsid w:val="00847AF4"/>
    <w:rsid w:val="00847FEA"/>
    <w:rsid w:val="00850655"/>
    <w:rsid w:val="00851177"/>
    <w:rsid w:val="00852F1A"/>
    <w:rsid w:val="00852F21"/>
    <w:rsid w:val="00853FB9"/>
    <w:rsid w:val="008559F6"/>
    <w:rsid w:val="00855AD3"/>
    <w:rsid w:val="00856CDF"/>
    <w:rsid w:val="008572F8"/>
    <w:rsid w:val="0086020D"/>
    <w:rsid w:val="008609BC"/>
    <w:rsid w:val="00862D13"/>
    <w:rsid w:val="008638F8"/>
    <w:rsid w:val="00864384"/>
    <w:rsid w:val="00866761"/>
    <w:rsid w:val="008670B0"/>
    <w:rsid w:val="00867BFF"/>
    <w:rsid w:val="00870906"/>
    <w:rsid w:val="00870B0D"/>
    <w:rsid w:val="00872254"/>
    <w:rsid w:val="00873C20"/>
    <w:rsid w:val="008741F3"/>
    <w:rsid w:val="0087537B"/>
    <w:rsid w:val="00875A6A"/>
    <w:rsid w:val="00877A0F"/>
    <w:rsid w:val="00877E3E"/>
    <w:rsid w:val="00877E8B"/>
    <w:rsid w:val="00880270"/>
    <w:rsid w:val="00880958"/>
    <w:rsid w:val="00882A34"/>
    <w:rsid w:val="00882B75"/>
    <w:rsid w:val="0088340B"/>
    <w:rsid w:val="00883768"/>
    <w:rsid w:val="00883931"/>
    <w:rsid w:val="00884351"/>
    <w:rsid w:val="0088480A"/>
    <w:rsid w:val="00885FB5"/>
    <w:rsid w:val="00886877"/>
    <w:rsid w:val="00886E25"/>
    <w:rsid w:val="0088757A"/>
    <w:rsid w:val="0089009C"/>
    <w:rsid w:val="00890259"/>
    <w:rsid w:val="008915D7"/>
    <w:rsid w:val="00892332"/>
    <w:rsid w:val="008931A8"/>
    <w:rsid w:val="00893E4F"/>
    <w:rsid w:val="008943BB"/>
    <w:rsid w:val="0089483E"/>
    <w:rsid w:val="00895200"/>
    <w:rsid w:val="008957DD"/>
    <w:rsid w:val="00896DFE"/>
    <w:rsid w:val="00896F54"/>
    <w:rsid w:val="0089755F"/>
    <w:rsid w:val="00897D98"/>
    <w:rsid w:val="008A10C2"/>
    <w:rsid w:val="008A2149"/>
    <w:rsid w:val="008A26B4"/>
    <w:rsid w:val="008A5C09"/>
    <w:rsid w:val="008A6894"/>
    <w:rsid w:val="008A6DF2"/>
    <w:rsid w:val="008A6F76"/>
    <w:rsid w:val="008A7493"/>
    <w:rsid w:val="008A7807"/>
    <w:rsid w:val="008B0D6B"/>
    <w:rsid w:val="008B2205"/>
    <w:rsid w:val="008B236B"/>
    <w:rsid w:val="008B25FD"/>
    <w:rsid w:val="008B2B8C"/>
    <w:rsid w:val="008B3832"/>
    <w:rsid w:val="008B396B"/>
    <w:rsid w:val="008B3D51"/>
    <w:rsid w:val="008B4CC9"/>
    <w:rsid w:val="008B54DF"/>
    <w:rsid w:val="008B5B07"/>
    <w:rsid w:val="008C012A"/>
    <w:rsid w:val="008C09DE"/>
    <w:rsid w:val="008C0B48"/>
    <w:rsid w:val="008C13F0"/>
    <w:rsid w:val="008C1B8B"/>
    <w:rsid w:val="008C1FDD"/>
    <w:rsid w:val="008C24C2"/>
    <w:rsid w:val="008C2CA0"/>
    <w:rsid w:val="008C3908"/>
    <w:rsid w:val="008C4E9B"/>
    <w:rsid w:val="008C6366"/>
    <w:rsid w:val="008C6D8B"/>
    <w:rsid w:val="008C7B71"/>
    <w:rsid w:val="008D0B5F"/>
    <w:rsid w:val="008D24A7"/>
    <w:rsid w:val="008D2908"/>
    <w:rsid w:val="008D2C2F"/>
    <w:rsid w:val="008D2F5B"/>
    <w:rsid w:val="008D3700"/>
    <w:rsid w:val="008D3AE0"/>
    <w:rsid w:val="008D5D76"/>
    <w:rsid w:val="008D609F"/>
    <w:rsid w:val="008D6153"/>
    <w:rsid w:val="008D7548"/>
    <w:rsid w:val="008D7C99"/>
    <w:rsid w:val="008D7DA3"/>
    <w:rsid w:val="008E0582"/>
    <w:rsid w:val="008E0AC8"/>
    <w:rsid w:val="008E0FCB"/>
    <w:rsid w:val="008E2675"/>
    <w:rsid w:val="008E368A"/>
    <w:rsid w:val="008E3F60"/>
    <w:rsid w:val="008E58BC"/>
    <w:rsid w:val="008E5C93"/>
    <w:rsid w:val="008E5EE6"/>
    <w:rsid w:val="008E674F"/>
    <w:rsid w:val="008E6FF4"/>
    <w:rsid w:val="008E78C2"/>
    <w:rsid w:val="008F0B02"/>
    <w:rsid w:val="008F2A3F"/>
    <w:rsid w:val="008F3A26"/>
    <w:rsid w:val="008F473F"/>
    <w:rsid w:val="008F5013"/>
    <w:rsid w:val="008F665B"/>
    <w:rsid w:val="008F68AA"/>
    <w:rsid w:val="00900250"/>
    <w:rsid w:val="009034E2"/>
    <w:rsid w:val="00903F0E"/>
    <w:rsid w:val="00907107"/>
    <w:rsid w:val="0090765B"/>
    <w:rsid w:val="00907D78"/>
    <w:rsid w:val="00911285"/>
    <w:rsid w:val="009124BF"/>
    <w:rsid w:val="00912622"/>
    <w:rsid w:val="00913729"/>
    <w:rsid w:val="00914F83"/>
    <w:rsid w:val="00916DCE"/>
    <w:rsid w:val="00916FA7"/>
    <w:rsid w:val="00917B1B"/>
    <w:rsid w:val="009200CE"/>
    <w:rsid w:val="00920B76"/>
    <w:rsid w:val="00920BB9"/>
    <w:rsid w:val="0092178C"/>
    <w:rsid w:val="009221AB"/>
    <w:rsid w:val="009226BF"/>
    <w:rsid w:val="00922AD4"/>
    <w:rsid w:val="00923E06"/>
    <w:rsid w:val="0092422F"/>
    <w:rsid w:val="0092493F"/>
    <w:rsid w:val="00924EE9"/>
    <w:rsid w:val="00925858"/>
    <w:rsid w:val="0092723B"/>
    <w:rsid w:val="009300C9"/>
    <w:rsid w:val="009305DF"/>
    <w:rsid w:val="00930B88"/>
    <w:rsid w:val="0093155C"/>
    <w:rsid w:val="0093213B"/>
    <w:rsid w:val="0093299A"/>
    <w:rsid w:val="00933FE3"/>
    <w:rsid w:val="00934AA7"/>
    <w:rsid w:val="00934CF0"/>
    <w:rsid w:val="00934DD1"/>
    <w:rsid w:val="009354F7"/>
    <w:rsid w:val="00936570"/>
    <w:rsid w:val="00936E95"/>
    <w:rsid w:val="009378DC"/>
    <w:rsid w:val="00940DCC"/>
    <w:rsid w:val="0094115A"/>
    <w:rsid w:val="009412BB"/>
    <w:rsid w:val="009415D8"/>
    <w:rsid w:val="0094179A"/>
    <w:rsid w:val="00942D67"/>
    <w:rsid w:val="00943322"/>
    <w:rsid w:val="00943F13"/>
    <w:rsid w:val="00943FFD"/>
    <w:rsid w:val="00944109"/>
    <w:rsid w:val="0094459E"/>
    <w:rsid w:val="00944DBC"/>
    <w:rsid w:val="0094516F"/>
    <w:rsid w:val="00945864"/>
    <w:rsid w:val="009479FA"/>
    <w:rsid w:val="009505AD"/>
    <w:rsid w:val="00950977"/>
    <w:rsid w:val="00951A7B"/>
    <w:rsid w:val="00951BF0"/>
    <w:rsid w:val="00953593"/>
    <w:rsid w:val="00953C56"/>
    <w:rsid w:val="009564A6"/>
    <w:rsid w:val="00956545"/>
    <w:rsid w:val="00956AC7"/>
    <w:rsid w:val="00957228"/>
    <w:rsid w:val="009578F6"/>
    <w:rsid w:val="00957AF5"/>
    <w:rsid w:val="00957AFF"/>
    <w:rsid w:val="00957F43"/>
    <w:rsid w:val="009613F1"/>
    <w:rsid w:val="009617A0"/>
    <w:rsid w:val="00961A33"/>
    <w:rsid w:val="00962131"/>
    <w:rsid w:val="00962864"/>
    <w:rsid w:val="009628B9"/>
    <w:rsid w:val="0096426A"/>
    <w:rsid w:val="0096516A"/>
    <w:rsid w:val="00965A93"/>
    <w:rsid w:val="00967621"/>
    <w:rsid w:val="00967E6A"/>
    <w:rsid w:val="00971410"/>
    <w:rsid w:val="00971756"/>
    <w:rsid w:val="00971E51"/>
    <w:rsid w:val="00971ECD"/>
    <w:rsid w:val="00975057"/>
    <w:rsid w:val="0097529B"/>
    <w:rsid w:val="00975527"/>
    <w:rsid w:val="00975548"/>
    <w:rsid w:val="009755D6"/>
    <w:rsid w:val="009763D7"/>
    <w:rsid w:val="00977441"/>
    <w:rsid w:val="00980282"/>
    <w:rsid w:val="00980434"/>
    <w:rsid w:val="0098049A"/>
    <w:rsid w:val="00980797"/>
    <w:rsid w:val="009807C2"/>
    <w:rsid w:val="00980BA0"/>
    <w:rsid w:val="00981EC4"/>
    <w:rsid w:val="00982B4D"/>
    <w:rsid w:val="00982D08"/>
    <w:rsid w:val="0098449B"/>
    <w:rsid w:val="00984ADD"/>
    <w:rsid w:val="00984C35"/>
    <w:rsid w:val="0098735F"/>
    <w:rsid w:val="00987D0A"/>
    <w:rsid w:val="00990D45"/>
    <w:rsid w:val="009935AC"/>
    <w:rsid w:val="009946B2"/>
    <w:rsid w:val="00994CDA"/>
    <w:rsid w:val="00995805"/>
    <w:rsid w:val="0099581B"/>
    <w:rsid w:val="0099675A"/>
    <w:rsid w:val="009A005E"/>
    <w:rsid w:val="009A09B2"/>
    <w:rsid w:val="009A0DBF"/>
    <w:rsid w:val="009A1B54"/>
    <w:rsid w:val="009A30F9"/>
    <w:rsid w:val="009A3279"/>
    <w:rsid w:val="009A3775"/>
    <w:rsid w:val="009A3A80"/>
    <w:rsid w:val="009A5B36"/>
    <w:rsid w:val="009A5D2B"/>
    <w:rsid w:val="009A6054"/>
    <w:rsid w:val="009B02DD"/>
    <w:rsid w:val="009B18D4"/>
    <w:rsid w:val="009B2DAE"/>
    <w:rsid w:val="009B31BC"/>
    <w:rsid w:val="009B31CD"/>
    <w:rsid w:val="009B3690"/>
    <w:rsid w:val="009B4A0F"/>
    <w:rsid w:val="009B5644"/>
    <w:rsid w:val="009B5908"/>
    <w:rsid w:val="009B5A94"/>
    <w:rsid w:val="009B729C"/>
    <w:rsid w:val="009C0031"/>
    <w:rsid w:val="009C0FEC"/>
    <w:rsid w:val="009C11D2"/>
    <w:rsid w:val="009C1356"/>
    <w:rsid w:val="009C13A4"/>
    <w:rsid w:val="009C1BA5"/>
    <w:rsid w:val="009C1E01"/>
    <w:rsid w:val="009C3525"/>
    <w:rsid w:val="009C45D1"/>
    <w:rsid w:val="009C4F20"/>
    <w:rsid w:val="009C54DC"/>
    <w:rsid w:val="009C6C70"/>
    <w:rsid w:val="009C6C7D"/>
    <w:rsid w:val="009D0605"/>
    <w:rsid w:val="009D0922"/>
    <w:rsid w:val="009D0B63"/>
    <w:rsid w:val="009D19FE"/>
    <w:rsid w:val="009D1FD9"/>
    <w:rsid w:val="009D20A4"/>
    <w:rsid w:val="009D242D"/>
    <w:rsid w:val="009D3B60"/>
    <w:rsid w:val="009D50C2"/>
    <w:rsid w:val="009D7FBB"/>
    <w:rsid w:val="009E116E"/>
    <w:rsid w:val="009E189C"/>
    <w:rsid w:val="009E1900"/>
    <w:rsid w:val="009E1A50"/>
    <w:rsid w:val="009E1B5E"/>
    <w:rsid w:val="009E28BA"/>
    <w:rsid w:val="009E307E"/>
    <w:rsid w:val="009E343D"/>
    <w:rsid w:val="009E37D9"/>
    <w:rsid w:val="009E3E4F"/>
    <w:rsid w:val="009E4638"/>
    <w:rsid w:val="009E47E3"/>
    <w:rsid w:val="009E4FA6"/>
    <w:rsid w:val="009E5247"/>
    <w:rsid w:val="009E59A8"/>
    <w:rsid w:val="009E5C61"/>
    <w:rsid w:val="009E6F1D"/>
    <w:rsid w:val="009E75DE"/>
    <w:rsid w:val="009E7D39"/>
    <w:rsid w:val="009F0341"/>
    <w:rsid w:val="009F1233"/>
    <w:rsid w:val="009F1D90"/>
    <w:rsid w:val="009F46AF"/>
    <w:rsid w:val="009F5AF1"/>
    <w:rsid w:val="009F656F"/>
    <w:rsid w:val="009F76AB"/>
    <w:rsid w:val="009F7BA2"/>
    <w:rsid w:val="009F7D84"/>
    <w:rsid w:val="009F7DE4"/>
    <w:rsid w:val="00A014B0"/>
    <w:rsid w:val="00A02071"/>
    <w:rsid w:val="00A02974"/>
    <w:rsid w:val="00A02AA8"/>
    <w:rsid w:val="00A03A4A"/>
    <w:rsid w:val="00A03DB3"/>
    <w:rsid w:val="00A0444D"/>
    <w:rsid w:val="00A04AF3"/>
    <w:rsid w:val="00A06579"/>
    <w:rsid w:val="00A06F8E"/>
    <w:rsid w:val="00A07870"/>
    <w:rsid w:val="00A07F19"/>
    <w:rsid w:val="00A109C0"/>
    <w:rsid w:val="00A10E59"/>
    <w:rsid w:val="00A11FBE"/>
    <w:rsid w:val="00A12EB9"/>
    <w:rsid w:val="00A130F7"/>
    <w:rsid w:val="00A1348D"/>
    <w:rsid w:val="00A142D1"/>
    <w:rsid w:val="00A1489E"/>
    <w:rsid w:val="00A15E17"/>
    <w:rsid w:val="00A16819"/>
    <w:rsid w:val="00A17B1B"/>
    <w:rsid w:val="00A203C9"/>
    <w:rsid w:val="00A20CDD"/>
    <w:rsid w:val="00A216D1"/>
    <w:rsid w:val="00A218F5"/>
    <w:rsid w:val="00A21951"/>
    <w:rsid w:val="00A22DC4"/>
    <w:rsid w:val="00A232EE"/>
    <w:rsid w:val="00A23311"/>
    <w:rsid w:val="00A23481"/>
    <w:rsid w:val="00A23674"/>
    <w:rsid w:val="00A2470A"/>
    <w:rsid w:val="00A24899"/>
    <w:rsid w:val="00A25ED4"/>
    <w:rsid w:val="00A30117"/>
    <w:rsid w:val="00A31496"/>
    <w:rsid w:val="00A321C0"/>
    <w:rsid w:val="00A32F89"/>
    <w:rsid w:val="00A40322"/>
    <w:rsid w:val="00A4135D"/>
    <w:rsid w:val="00A4175F"/>
    <w:rsid w:val="00A4348A"/>
    <w:rsid w:val="00A44202"/>
    <w:rsid w:val="00A44411"/>
    <w:rsid w:val="00A448A9"/>
    <w:rsid w:val="00A44F1A"/>
    <w:rsid w:val="00A45036"/>
    <w:rsid w:val="00A469FA"/>
    <w:rsid w:val="00A475F1"/>
    <w:rsid w:val="00A50E94"/>
    <w:rsid w:val="00A51397"/>
    <w:rsid w:val="00A52500"/>
    <w:rsid w:val="00A5272B"/>
    <w:rsid w:val="00A5275D"/>
    <w:rsid w:val="00A52DFF"/>
    <w:rsid w:val="00A52FEF"/>
    <w:rsid w:val="00A537F0"/>
    <w:rsid w:val="00A539A1"/>
    <w:rsid w:val="00A53C97"/>
    <w:rsid w:val="00A545C7"/>
    <w:rsid w:val="00A5553A"/>
    <w:rsid w:val="00A55B01"/>
    <w:rsid w:val="00A56B5B"/>
    <w:rsid w:val="00A56B9E"/>
    <w:rsid w:val="00A56C8A"/>
    <w:rsid w:val="00A570A4"/>
    <w:rsid w:val="00A57B18"/>
    <w:rsid w:val="00A57B24"/>
    <w:rsid w:val="00A60367"/>
    <w:rsid w:val="00A603FF"/>
    <w:rsid w:val="00A60FF8"/>
    <w:rsid w:val="00A63E87"/>
    <w:rsid w:val="00A64779"/>
    <w:rsid w:val="00A657DD"/>
    <w:rsid w:val="00A666A6"/>
    <w:rsid w:val="00A6727B"/>
    <w:rsid w:val="00A675FD"/>
    <w:rsid w:val="00A678FA"/>
    <w:rsid w:val="00A71574"/>
    <w:rsid w:val="00A715A4"/>
    <w:rsid w:val="00A72437"/>
    <w:rsid w:val="00A738B2"/>
    <w:rsid w:val="00A73E1A"/>
    <w:rsid w:val="00A74B71"/>
    <w:rsid w:val="00A766A3"/>
    <w:rsid w:val="00A767CA"/>
    <w:rsid w:val="00A80611"/>
    <w:rsid w:val="00A827B6"/>
    <w:rsid w:val="00A83B26"/>
    <w:rsid w:val="00A84502"/>
    <w:rsid w:val="00A84B15"/>
    <w:rsid w:val="00A85F60"/>
    <w:rsid w:val="00A86B21"/>
    <w:rsid w:val="00A87016"/>
    <w:rsid w:val="00A91449"/>
    <w:rsid w:val="00A91527"/>
    <w:rsid w:val="00A91A3C"/>
    <w:rsid w:val="00A91BA0"/>
    <w:rsid w:val="00A91EB6"/>
    <w:rsid w:val="00A9491D"/>
    <w:rsid w:val="00A9502C"/>
    <w:rsid w:val="00A95DD1"/>
    <w:rsid w:val="00A96B2A"/>
    <w:rsid w:val="00A97B53"/>
    <w:rsid w:val="00AA094F"/>
    <w:rsid w:val="00AA0DE9"/>
    <w:rsid w:val="00AA1D0B"/>
    <w:rsid w:val="00AA201B"/>
    <w:rsid w:val="00AA2470"/>
    <w:rsid w:val="00AA39B9"/>
    <w:rsid w:val="00AA4414"/>
    <w:rsid w:val="00AA52D2"/>
    <w:rsid w:val="00AA5E7E"/>
    <w:rsid w:val="00AA6C16"/>
    <w:rsid w:val="00AA6D52"/>
    <w:rsid w:val="00AB1BC9"/>
    <w:rsid w:val="00AB1F69"/>
    <w:rsid w:val="00AB2FD9"/>
    <w:rsid w:val="00AB405C"/>
    <w:rsid w:val="00AB5340"/>
    <w:rsid w:val="00AB62F2"/>
    <w:rsid w:val="00AB635F"/>
    <w:rsid w:val="00AB680A"/>
    <w:rsid w:val="00AB6944"/>
    <w:rsid w:val="00AC010E"/>
    <w:rsid w:val="00AC01CC"/>
    <w:rsid w:val="00AC0450"/>
    <w:rsid w:val="00AC0D23"/>
    <w:rsid w:val="00AC16B8"/>
    <w:rsid w:val="00AC3698"/>
    <w:rsid w:val="00AC45D8"/>
    <w:rsid w:val="00AC52C4"/>
    <w:rsid w:val="00AC548D"/>
    <w:rsid w:val="00AC59C1"/>
    <w:rsid w:val="00AC6B24"/>
    <w:rsid w:val="00AC7864"/>
    <w:rsid w:val="00AC7C96"/>
    <w:rsid w:val="00AD1CFB"/>
    <w:rsid w:val="00AD1DF7"/>
    <w:rsid w:val="00AD27F9"/>
    <w:rsid w:val="00AD2A0F"/>
    <w:rsid w:val="00AD38ED"/>
    <w:rsid w:val="00AD4260"/>
    <w:rsid w:val="00AD4388"/>
    <w:rsid w:val="00AD4F18"/>
    <w:rsid w:val="00AD5052"/>
    <w:rsid w:val="00AE1325"/>
    <w:rsid w:val="00AE214F"/>
    <w:rsid w:val="00AE237D"/>
    <w:rsid w:val="00AE2912"/>
    <w:rsid w:val="00AE2A3D"/>
    <w:rsid w:val="00AE361F"/>
    <w:rsid w:val="00AE47F0"/>
    <w:rsid w:val="00AE502A"/>
    <w:rsid w:val="00AE510C"/>
    <w:rsid w:val="00AE57E0"/>
    <w:rsid w:val="00AE5A6C"/>
    <w:rsid w:val="00AE688F"/>
    <w:rsid w:val="00AE6EC3"/>
    <w:rsid w:val="00AE7F7F"/>
    <w:rsid w:val="00AF0150"/>
    <w:rsid w:val="00AF0D7D"/>
    <w:rsid w:val="00AF0DF7"/>
    <w:rsid w:val="00AF1CC6"/>
    <w:rsid w:val="00AF2939"/>
    <w:rsid w:val="00AF40C8"/>
    <w:rsid w:val="00AF48AB"/>
    <w:rsid w:val="00AF5242"/>
    <w:rsid w:val="00AF69E2"/>
    <w:rsid w:val="00AF6B62"/>
    <w:rsid w:val="00AF7199"/>
    <w:rsid w:val="00AF71B7"/>
    <w:rsid w:val="00AF72D3"/>
    <w:rsid w:val="00AF7C07"/>
    <w:rsid w:val="00B0017E"/>
    <w:rsid w:val="00B011A6"/>
    <w:rsid w:val="00B0305E"/>
    <w:rsid w:val="00B032AC"/>
    <w:rsid w:val="00B050B4"/>
    <w:rsid w:val="00B054A4"/>
    <w:rsid w:val="00B056D6"/>
    <w:rsid w:val="00B05C94"/>
    <w:rsid w:val="00B107E5"/>
    <w:rsid w:val="00B10B71"/>
    <w:rsid w:val="00B11DAC"/>
    <w:rsid w:val="00B14841"/>
    <w:rsid w:val="00B1530C"/>
    <w:rsid w:val="00B15741"/>
    <w:rsid w:val="00B1605A"/>
    <w:rsid w:val="00B20CC6"/>
    <w:rsid w:val="00B20E83"/>
    <w:rsid w:val="00B215B4"/>
    <w:rsid w:val="00B215D4"/>
    <w:rsid w:val="00B219C5"/>
    <w:rsid w:val="00B22005"/>
    <w:rsid w:val="00B22C93"/>
    <w:rsid w:val="00B22CA6"/>
    <w:rsid w:val="00B23A53"/>
    <w:rsid w:val="00B23B27"/>
    <w:rsid w:val="00B243A7"/>
    <w:rsid w:val="00B25135"/>
    <w:rsid w:val="00B257BD"/>
    <w:rsid w:val="00B25F9E"/>
    <w:rsid w:val="00B26F7C"/>
    <w:rsid w:val="00B27589"/>
    <w:rsid w:val="00B30F1C"/>
    <w:rsid w:val="00B312EC"/>
    <w:rsid w:val="00B32599"/>
    <w:rsid w:val="00B33676"/>
    <w:rsid w:val="00B33D11"/>
    <w:rsid w:val="00B37177"/>
    <w:rsid w:val="00B373F5"/>
    <w:rsid w:val="00B3761F"/>
    <w:rsid w:val="00B376F2"/>
    <w:rsid w:val="00B37723"/>
    <w:rsid w:val="00B37BDA"/>
    <w:rsid w:val="00B37EF9"/>
    <w:rsid w:val="00B405B7"/>
    <w:rsid w:val="00B40C78"/>
    <w:rsid w:val="00B4103A"/>
    <w:rsid w:val="00B42044"/>
    <w:rsid w:val="00B424FE"/>
    <w:rsid w:val="00B42CE4"/>
    <w:rsid w:val="00B43223"/>
    <w:rsid w:val="00B4434A"/>
    <w:rsid w:val="00B45E6D"/>
    <w:rsid w:val="00B4724B"/>
    <w:rsid w:val="00B504B3"/>
    <w:rsid w:val="00B505F2"/>
    <w:rsid w:val="00B51CE4"/>
    <w:rsid w:val="00B520BC"/>
    <w:rsid w:val="00B52222"/>
    <w:rsid w:val="00B522EC"/>
    <w:rsid w:val="00B523A2"/>
    <w:rsid w:val="00B523E8"/>
    <w:rsid w:val="00B52601"/>
    <w:rsid w:val="00B5293B"/>
    <w:rsid w:val="00B52BAB"/>
    <w:rsid w:val="00B53BC2"/>
    <w:rsid w:val="00B53BF8"/>
    <w:rsid w:val="00B54FE7"/>
    <w:rsid w:val="00B55BE2"/>
    <w:rsid w:val="00B56949"/>
    <w:rsid w:val="00B574CC"/>
    <w:rsid w:val="00B57C47"/>
    <w:rsid w:val="00B6051F"/>
    <w:rsid w:val="00B63EA2"/>
    <w:rsid w:val="00B6401C"/>
    <w:rsid w:val="00B6489D"/>
    <w:rsid w:val="00B64C19"/>
    <w:rsid w:val="00B64D8C"/>
    <w:rsid w:val="00B66461"/>
    <w:rsid w:val="00B66901"/>
    <w:rsid w:val="00B709FB"/>
    <w:rsid w:val="00B70A27"/>
    <w:rsid w:val="00B70F65"/>
    <w:rsid w:val="00B71E6D"/>
    <w:rsid w:val="00B72070"/>
    <w:rsid w:val="00B722D3"/>
    <w:rsid w:val="00B7274C"/>
    <w:rsid w:val="00B73AE6"/>
    <w:rsid w:val="00B7517C"/>
    <w:rsid w:val="00B756FF"/>
    <w:rsid w:val="00B75782"/>
    <w:rsid w:val="00B7658E"/>
    <w:rsid w:val="00B779E1"/>
    <w:rsid w:val="00B81067"/>
    <w:rsid w:val="00B81CDC"/>
    <w:rsid w:val="00B81D05"/>
    <w:rsid w:val="00B82F35"/>
    <w:rsid w:val="00B8370A"/>
    <w:rsid w:val="00B83B85"/>
    <w:rsid w:val="00B85028"/>
    <w:rsid w:val="00B859A3"/>
    <w:rsid w:val="00B8633A"/>
    <w:rsid w:val="00B900DC"/>
    <w:rsid w:val="00B90544"/>
    <w:rsid w:val="00B90CB6"/>
    <w:rsid w:val="00B91EE1"/>
    <w:rsid w:val="00B9275A"/>
    <w:rsid w:val="00B96298"/>
    <w:rsid w:val="00B96B09"/>
    <w:rsid w:val="00BA0090"/>
    <w:rsid w:val="00BA070E"/>
    <w:rsid w:val="00BA0826"/>
    <w:rsid w:val="00BA1235"/>
    <w:rsid w:val="00BA1A67"/>
    <w:rsid w:val="00BA32E1"/>
    <w:rsid w:val="00BA42F2"/>
    <w:rsid w:val="00BA4698"/>
    <w:rsid w:val="00BA48F0"/>
    <w:rsid w:val="00BA53E5"/>
    <w:rsid w:val="00BA5A9E"/>
    <w:rsid w:val="00BA63BC"/>
    <w:rsid w:val="00BA6BB6"/>
    <w:rsid w:val="00BA7D46"/>
    <w:rsid w:val="00BB071B"/>
    <w:rsid w:val="00BB184A"/>
    <w:rsid w:val="00BB1903"/>
    <w:rsid w:val="00BB3A91"/>
    <w:rsid w:val="00BB49DE"/>
    <w:rsid w:val="00BB4C68"/>
    <w:rsid w:val="00BB4D0D"/>
    <w:rsid w:val="00BB5E51"/>
    <w:rsid w:val="00BC07FE"/>
    <w:rsid w:val="00BC0897"/>
    <w:rsid w:val="00BC0BF1"/>
    <w:rsid w:val="00BC190D"/>
    <w:rsid w:val="00BC22EC"/>
    <w:rsid w:val="00BC3AC1"/>
    <w:rsid w:val="00BC4B4E"/>
    <w:rsid w:val="00BC560A"/>
    <w:rsid w:val="00BD0163"/>
    <w:rsid w:val="00BD157D"/>
    <w:rsid w:val="00BD159E"/>
    <w:rsid w:val="00BD2910"/>
    <w:rsid w:val="00BD29B4"/>
    <w:rsid w:val="00BD2D73"/>
    <w:rsid w:val="00BD3741"/>
    <w:rsid w:val="00BD440F"/>
    <w:rsid w:val="00BD44EF"/>
    <w:rsid w:val="00BD4A66"/>
    <w:rsid w:val="00BD4B0E"/>
    <w:rsid w:val="00BD4EE2"/>
    <w:rsid w:val="00BD67D4"/>
    <w:rsid w:val="00BD68B3"/>
    <w:rsid w:val="00BD7404"/>
    <w:rsid w:val="00BE0118"/>
    <w:rsid w:val="00BE0160"/>
    <w:rsid w:val="00BE184E"/>
    <w:rsid w:val="00BE1EA8"/>
    <w:rsid w:val="00BE2319"/>
    <w:rsid w:val="00BE260D"/>
    <w:rsid w:val="00BE2E4C"/>
    <w:rsid w:val="00BE472A"/>
    <w:rsid w:val="00BE525F"/>
    <w:rsid w:val="00BE5A96"/>
    <w:rsid w:val="00BE5B5F"/>
    <w:rsid w:val="00BE5CF4"/>
    <w:rsid w:val="00BE5D27"/>
    <w:rsid w:val="00BE6DD0"/>
    <w:rsid w:val="00BE7655"/>
    <w:rsid w:val="00BE7B76"/>
    <w:rsid w:val="00BF0196"/>
    <w:rsid w:val="00BF0277"/>
    <w:rsid w:val="00BF16B6"/>
    <w:rsid w:val="00BF1919"/>
    <w:rsid w:val="00BF1CA1"/>
    <w:rsid w:val="00BF1DB4"/>
    <w:rsid w:val="00BF30DE"/>
    <w:rsid w:val="00BF3372"/>
    <w:rsid w:val="00BF3CAF"/>
    <w:rsid w:val="00BF5452"/>
    <w:rsid w:val="00BF702E"/>
    <w:rsid w:val="00BF721F"/>
    <w:rsid w:val="00BF7594"/>
    <w:rsid w:val="00BF7DDC"/>
    <w:rsid w:val="00C006DD"/>
    <w:rsid w:val="00C02555"/>
    <w:rsid w:val="00C03537"/>
    <w:rsid w:val="00C040A5"/>
    <w:rsid w:val="00C054F1"/>
    <w:rsid w:val="00C07430"/>
    <w:rsid w:val="00C07907"/>
    <w:rsid w:val="00C10628"/>
    <w:rsid w:val="00C117EF"/>
    <w:rsid w:val="00C136E7"/>
    <w:rsid w:val="00C13F9E"/>
    <w:rsid w:val="00C1400A"/>
    <w:rsid w:val="00C152AF"/>
    <w:rsid w:val="00C16EF0"/>
    <w:rsid w:val="00C20895"/>
    <w:rsid w:val="00C209B5"/>
    <w:rsid w:val="00C2131D"/>
    <w:rsid w:val="00C22A00"/>
    <w:rsid w:val="00C24719"/>
    <w:rsid w:val="00C25A3C"/>
    <w:rsid w:val="00C26F55"/>
    <w:rsid w:val="00C30C63"/>
    <w:rsid w:val="00C314A6"/>
    <w:rsid w:val="00C3184E"/>
    <w:rsid w:val="00C32B37"/>
    <w:rsid w:val="00C33ADF"/>
    <w:rsid w:val="00C3472D"/>
    <w:rsid w:val="00C36B8B"/>
    <w:rsid w:val="00C37B15"/>
    <w:rsid w:val="00C41508"/>
    <w:rsid w:val="00C41C07"/>
    <w:rsid w:val="00C43491"/>
    <w:rsid w:val="00C43575"/>
    <w:rsid w:val="00C44546"/>
    <w:rsid w:val="00C44602"/>
    <w:rsid w:val="00C44C27"/>
    <w:rsid w:val="00C45A04"/>
    <w:rsid w:val="00C46184"/>
    <w:rsid w:val="00C46D4F"/>
    <w:rsid w:val="00C470E6"/>
    <w:rsid w:val="00C475F8"/>
    <w:rsid w:val="00C47DBF"/>
    <w:rsid w:val="00C506E2"/>
    <w:rsid w:val="00C52989"/>
    <w:rsid w:val="00C53666"/>
    <w:rsid w:val="00C55035"/>
    <w:rsid w:val="00C552FF"/>
    <w:rsid w:val="00C558DA"/>
    <w:rsid w:val="00C55AF3"/>
    <w:rsid w:val="00C57780"/>
    <w:rsid w:val="00C57F04"/>
    <w:rsid w:val="00C60713"/>
    <w:rsid w:val="00C609BD"/>
    <w:rsid w:val="00C60CBE"/>
    <w:rsid w:val="00C62023"/>
    <w:rsid w:val="00C6287E"/>
    <w:rsid w:val="00C63C0A"/>
    <w:rsid w:val="00C642CD"/>
    <w:rsid w:val="00C6547F"/>
    <w:rsid w:val="00C659D0"/>
    <w:rsid w:val="00C65F75"/>
    <w:rsid w:val="00C70AAC"/>
    <w:rsid w:val="00C70B49"/>
    <w:rsid w:val="00C712F7"/>
    <w:rsid w:val="00C7293E"/>
    <w:rsid w:val="00C740DD"/>
    <w:rsid w:val="00C74D45"/>
    <w:rsid w:val="00C75C7C"/>
    <w:rsid w:val="00C765AA"/>
    <w:rsid w:val="00C766FB"/>
    <w:rsid w:val="00C77303"/>
    <w:rsid w:val="00C7775A"/>
    <w:rsid w:val="00C809BA"/>
    <w:rsid w:val="00C80B3A"/>
    <w:rsid w:val="00C80CE9"/>
    <w:rsid w:val="00C81951"/>
    <w:rsid w:val="00C81998"/>
    <w:rsid w:val="00C82104"/>
    <w:rsid w:val="00C83A8F"/>
    <w:rsid w:val="00C8428D"/>
    <w:rsid w:val="00C84377"/>
    <w:rsid w:val="00C84759"/>
    <w:rsid w:val="00C848E2"/>
    <w:rsid w:val="00C8750D"/>
    <w:rsid w:val="00C87E17"/>
    <w:rsid w:val="00C87E23"/>
    <w:rsid w:val="00C90B20"/>
    <w:rsid w:val="00C90B8A"/>
    <w:rsid w:val="00C90D80"/>
    <w:rsid w:val="00C90DD9"/>
    <w:rsid w:val="00C917D9"/>
    <w:rsid w:val="00C91AF5"/>
    <w:rsid w:val="00C91D4C"/>
    <w:rsid w:val="00C91D8E"/>
    <w:rsid w:val="00C923B7"/>
    <w:rsid w:val="00C93F6F"/>
    <w:rsid w:val="00C94090"/>
    <w:rsid w:val="00C97150"/>
    <w:rsid w:val="00C973AB"/>
    <w:rsid w:val="00C9750C"/>
    <w:rsid w:val="00C97578"/>
    <w:rsid w:val="00C976B7"/>
    <w:rsid w:val="00CA03CA"/>
    <w:rsid w:val="00CA1783"/>
    <w:rsid w:val="00CA2254"/>
    <w:rsid w:val="00CA2C09"/>
    <w:rsid w:val="00CA3150"/>
    <w:rsid w:val="00CA31EF"/>
    <w:rsid w:val="00CA55B1"/>
    <w:rsid w:val="00CA57CB"/>
    <w:rsid w:val="00CA6C7F"/>
    <w:rsid w:val="00CA7330"/>
    <w:rsid w:val="00CA742C"/>
    <w:rsid w:val="00CA756A"/>
    <w:rsid w:val="00CA78AF"/>
    <w:rsid w:val="00CA7BB2"/>
    <w:rsid w:val="00CB1AAA"/>
    <w:rsid w:val="00CB2FDF"/>
    <w:rsid w:val="00CB32BF"/>
    <w:rsid w:val="00CB40BF"/>
    <w:rsid w:val="00CB5FD4"/>
    <w:rsid w:val="00CB5FE4"/>
    <w:rsid w:val="00CB6A93"/>
    <w:rsid w:val="00CB6F8C"/>
    <w:rsid w:val="00CB7485"/>
    <w:rsid w:val="00CB7617"/>
    <w:rsid w:val="00CB7E8C"/>
    <w:rsid w:val="00CC0260"/>
    <w:rsid w:val="00CC0B5E"/>
    <w:rsid w:val="00CC10A6"/>
    <w:rsid w:val="00CC1E3B"/>
    <w:rsid w:val="00CC1E4D"/>
    <w:rsid w:val="00CC1F68"/>
    <w:rsid w:val="00CC2C14"/>
    <w:rsid w:val="00CC3904"/>
    <w:rsid w:val="00CC4025"/>
    <w:rsid w:val="00CC4E38"/>
    <w:rsid w:val="00CC6C3C"/>
    <w:rsid w:val="00CC798A"/>
    <w:rsid w:val="00CC79B6"/>
    <w:rsid w:val="00CD5EB8"/>
    <w:rsid w:val="00CD6AC7"/>
    <w:rsid w:val="00CD7044"/>
    <w:rsid w:val="00CE0056"/>
    <w:rsid w:val="00CE08B9"/>
    <w:rsid w:val="00CE0A97"/>
    <w:rsid w:val="00CE2A5C"/>
    <w:rsid w:val="00CE2E36"/>
    <w:rsid w:val="00CE31A9"/>
    <w:rsid w:val="00CE3528"/>
    <w:rsid w:val="00CE36FC"/>
    <w:rsid w:val="00CE4885"/>
    <w:rsid w:val="00CE49D7"/>
    <w:rsid w:val="00CE524C"/>
    <w:rsid w:val="00CE57CC"/>
    <w:rsid w:val="00CE6422"/>
    <w:rsid w:val="00CE72DC"/>
    <w:rsid w:val="00CE7570"/>
    <w:rsid w:val="00CE7AD8"/>
    <w:rsid w:val="00CE7CFD"/>
    <w:rsid w:val="00CF0545"/>
    <w:rsid w:val="00CF08AC"/>
    <w:rsid w:val="00CF1219"/>
    <w:rsid w:val="00CF141F"/>
    <w:rsid w:val="00CF1AE0"/>
    <w:rsid w:val="00CF2BBD"/>
    <w:rsid w:val="00CF2D45"/>
    <w:rsid w:val="00CF3302"/>
    <w:rsid w:val="00CF4777"/>
    <w:rsid w:val="00CF4CB2"/>
    <w:rsid w:val="00CF58AB"/>
    <w:rsid w:val="00CF5AF8"/>
    <w:rsid w:val="00CF6C33"/>
    <w:rsid w:val="00CF6DF3"/>
    <w:rsid w:val="00CF7B01"/>
    <w:rsid w:val="00D01AB0"/>
    <w:rsid w:val="00D01B41"/>
    <w:rsid w:val="00D02517"/>
    <w:rsid w:val="00D02CB2"/>
    <w:rsid w:val="00D03BA5"/>
    <w:rsid w:val="00D04861"/>
    <w:rsid w:val="00D054CE"/>
    <w:rsid w:val="00D067BB"/>
    <w:rsid w:val="00D06883"/>
    <w:rsid w:val="00D068CA"/>
    <w:rsid w:val="00D070CC"/>
    <w:rsid w:val="00D103E7"/>
    <w:rsid w:val="00D1063E"/>
    <w:rsid w:val="00D11B42"/>
    <w:rsid w:val="00D123A3"/>
    <w:rsid w:val="00D1271E"/>
    <w:rsid w:val="00D1352A"/>
    <w:rsid w:val="00D13EDE"/>
    <w:rsid w:val="00D1438D"/>
    <w:rsid w:val="00D15415"/>
    <w:rsid w:val="00D15A88"/>
    <w:rsid w:val="00D169AF"/>
    <w:rsid w:val="00D16B2C"/>
    <w:rsid w:val="00D20076"/>
    <w:rsid w:val="00D2011A"/>
    <w:rsid w:val="00D21358"/>
    <w:rsid w:val="00D21434"/>
    <w:rsid w:val="00D2415A"/>
    <w:rsid w:val="00D25249"/>
    <w:rsid w:val="00D255A7"/>
    <w:rsid w:val="00D25AAC"/>
    <w:rsid w:val="00D271D9"/>
    <w:rsid w:val="00D27A70"/>
    <w:rsid w:val="00D30535"/>
    <w:rsid w:val="00D31DC5"/>
    <w:rsid w:val="00D34E8B"/>
    <w:rsid w:val="00D41015"/>
    <w:rsid w:val="00D41BDD"/>
    <w:rsid w:val="00D44172"/>
    <w:rsid w:val="00D4453B"/>
    <w:rsid w:val="00D45241"/>
    <w:rsid w:val="00D45FE6"/>
    <w:rsid w:val="00D46339"/>
    <w:rsid w:val="00D476E0"/>
    <w:rsid w:val="00D4796C"/>
    <w:rsid w:val="00D500BF"/>
    <w:rsid w:val="00D50197"/>
    <w:rsid w:val="00D50E0A"/>
    <w:rsid w:val="00D5105A"/>
    <w:rsid w:val="00D510EE"/>
    <w:rsid w:val="00D526D8"/>
    <w:rsid w:val="00D57C0A"/>
    <w:rsid w:val="00D57E5F"/>
    <w:rsid w:val="00D60DCF"/>
    <w:rsid w:val="00D61D53"/>
    <w:rsid w:val="00D62CCD"/>
    <w:rsid w:val="00D63748"/>
    <w:rsid w:val="00D63B8C"/>
    <w:rsid w:val="00D63C37"/>
    <w:rsid w:val="00D64299"/>
    <w:rsid w:val="00D64C4A"/>
    <w:rsid w:val="00D64F55"/>
    <w:rsid w:val="00D669B9"/>
    <w:rsid w:val="00D673EB"/>
    <w:rsid w:val="00D70C7F"/>
    <w:rsid w:val="00D712FD"/>
    <w:rsid w:val="00D71DB1"/>
    <w:rsid w:val="00D72CB6"/>
    <w:rsid w:val="00D739CC"/>
    <w:rsid w:val="00D74773"/>
    <w:rsid w:val="00D749D0"/>
    <w:rsid w:val="00D74F82"/>
    <w:rsid w:val="00D759E3"/>
    <w:rsid w:val="00D76525"/>
    <w:rsid w:val="00D7657A"/>
    <w:rsid w:val="00D76EF2"/>
    <w:rsid w:val="00D77140"/>
    <w:rsid w:val="00D800C7"/>
    <w:rsid w:val="00D8093D"/>
    <w:rsid w:val="00D8108C"/>
    <w:rsid w:val="00D835B9"/>
    <w:rsid w:val="00D8412F"/>
    <w:rsid w:val="00D842AE"/>
    <w:rsid w:val="00D8577B"/>
    <w:rsid w:val="00D85C44"/>
    <w:rsid w:val="00D8677E"/>
    <w:rsid w:val="00D86E3E"/>
    <w:rsid w:val="00D86F9E"/>
    <w:rsid w:val="00D903EC"/>
    <w:rsid w:val="00D904ED"/>
    <w:rsid w:val="00D914F0"/>
    <w:rsid w:val="00D9173C"/>
    <w:rsid w:val="00D918BD"/>
    <w:rsid w:val="00D91930"/>
    <w:rsid w:val="00D91F2B"/>
    <w:rsid w:val="00D9211C"/>
    <w:rsid w:val="00D92DE0"/>
    <w:rsid w:val="00D92FEF"/>
    <w:rsid w:val="00D930A3"/>
    <w:rsid w:val="00D93120"/>
    <w:rsid w:val="00D93472"/>
    <w:rsid w:val="00D93692"/>
    <w:rsid w:val="00D93A0F"/>
    <w:rsid w:val="00D94E90"/>
    <w:rsid w:val="00D95293"/>
    <w:rsid w:val="00D95CFC"/>
    <w:rsid w:val="00D96147"/>
    <w:rsid w:val="00D96B49"/>
    <w:rsid w:val="00DA1BCA"/>
    <w:rsid w:val="00DA236E"/>
    <w:rsid w:val="00DA265D"/>
    <w:rsid w:val="00DA272C"/>
    <w:rsid w:val="00DA32F8"/>
    <w:rsid w:val="00DA3D87"/>
    <w:rsid w:val="00DA3FFA"/>
    <w:rsid w:val="00DA48F9"/>
    <w:rsid w:val="00DA7191"/>
    <w:rsid w:val="00DA7299"/>
    <w:rsid w:val="00DB0ABF"/>
    <w:rsid w:val="00DB0C71"/>
    <w:rsid w:val="00DB10DA"/>
    <w:rsid w:val="00DB186D"/>
    <w:rsid w:val="00DB2A64"/>
    <w:rsid w:val="00DB2C2C"/>
    <w:rsid w:val="00DB3683"/>
    <w:rsid w:val="00DB36B7"/>
    <w:rsid w:val="00DB3E23"/>
    <w:rsid w:val="00DB4DA0"/>
    <w:rsid w:val="00DB518A"/>
    <w:rsid w:val="00DB5660"/>
    <w:rsid w:val="00DB6A33"/>
    <w:rsid w:val="00DB7795"/>
    <w:rsid w:val="00DC0D48"/>
    <w:rsid w:val="00DC1D1C"/>
    <w:rsid w:val="00DC31E6"/>
    <w:rsid w:val="00DC37E9"/>
    <w:rsid w:val="00DC38F4"/>
    <w:rsid w:val="00DC399F"/>
    <w:rsid w:val="00DC3B79"/>
    <w:rsid w:val="00DC3CEF"/>
    <w:rsid w:val="00DC4246"/>
    <w:rsid w:val="00DC46FF"/>
    <w:rsid w:val="00DC5254"/>
    <w:rsid w:val="00DC6B17"/>
    <w:rsid w:val="00DC7589"/>
    <w:rsid w:val="00DD03A9"/>
    <w:rsid w:val="00DD0F92"/>
    <w:rsid w:val="00DD1A4F"/>
    <w:rsid w:val="00DD3107"/>
    <w:rsid w:val="00DD3708"/>
    <w:rsid w:val="00DD45ED"/>
    <w:rsid w:val="00DD5EFF"/>
    <w:rsid w:val="00DD7804"/>
    <w:rsid w:val="00DD7C2C"/>
    <w:rsid w:val="00DE0B90"/>
    <w:rsid w:val="00DE2C58"/>
    <w:rsid w:val="00DE4457"/>
    <w:rsid w:val="00DE6E55"/>
    <w:rsid w:val="00DE734D"/>
    <w:rsid w:val="00DE7999"/>
    <w:rsid w:val="00DE7D0E"/>
    <w:rsid w:val="00DF01D6"/>
    <w:rsid w:val="00DF14BB"/>
    <w:rsid w:val="00DF1745"/>
    <w:rsid w:val="00DF1F0A"/>
    <w:rsid w:val="00DF242A"/>
    <w:rsid w:val="00DF3F3D"/>
    <w:rsid w:val="00DF4B9B"/>
    <w:rsid w:val="00DF5355"/>
    <w:rsid w:val="00DF5660"/>
    <w:rsid w:val="00DF57AC"/>
    <w:rsid w:val="00DF7E29"/>
    <w:rsid w:val="00E001F6"/>
    <w:rsid w:val="00E002FC"/>
    <w:rsid w:val="00E0154C"/>
    <w:rsid w:val="00E01C9A"/>
    <w:rsid w:val="00E01D2E"/>
    <w:rsid w:val="00E01ED7"/>
    <w:rsid w:val="00E02D30"/>
    <w:rsid w:val="00E03642"/>
    <w:rsid w:val="00E03F95"/>
    <w:rsid w:val="00E04FD6"/>
    <w:rsid w:val="00E055C6"/>
    <w:rsid w:val="00E0574F"/>
    <w:rsid w:val="00E05822"/>
    <w:rsid w:val="00E06797"/>
    <w:rsid w:val="00E06B5D"/>
    <w:rsid w:val="00E10B12"/>
    <w:rsid w:val="00E122BC"/>
    <w:rsid w:val="00E1265B"/>
    <w:rsid w:val="00E13464"/>
    <w:rsid w:val="00E13B48"/>
    <w:rsid w:val="00E13CBE"/>
    <w:rsid w:val="00E1404F"/>
    <w:rsid w:val="00E142DA"/>
    <w:rsid w:val="00E14F55"/>
    <w:rsid w:val="00E17926"/>
    <w:rsid w:val="00E17CFA"/>
    <w:rsid w:val="00E20CF6"/>
    <w:rsid w:val="00E212EF"/>
    <w:rsid w:val="00E21C83"/>
    <w:rsid w:val="00E2216E"/>
    <w:rsid w:val="00E2424C"/>
    <w:rsid w:val="00E24ADA"/>
    <w:rsid w:val="00E24EF3"/>
    <w:rsid w:val="00E256F6"/>
    <w:rsid w:val="00E25DDA"/>
    <w:rsid w:val="00E3057C"/>
    <w:rsid w:val="00E30E49"/>
    <w:rsid w:val="00E32F59"/>
    <w:rsid w:val="00E33027"/>
    <w:rsid w:val="00E33215"/>
    <w:rsid w:val="00E36B8C"/>
    <w:rsid w:val="00E37164"/>
    <w:rsid w:val="00E37F15"/>
    <w:rsid w:val="00E4193A"/>
    <w:rsid w:val="00E41CEF"/>
    <w:rsid w:val="00E421F3"/>
    <w:rsid w:val="00E425A5"/>
    <w:rsid w:val="00E42A57"/>
    <w:rsid w:val="00E439CC"/>
    <w:rsid w:val="00E43ACE"/>
    <w:rsid w:val="00E440CD"/>
    <w:rsid w:val="00E45573"/>
    <w:rsid w:val="00E4618A"/>
    <w:rsid w:val="00E46412"/>
    <w:rsid w:val="00E46D9A"/>
    <w:rsid w:val="00E509D1"/>
    <w:rsid w:val="00E51C12"/>
    <w:rsid w:val="00E524F3"/>
    <w:rsid w:val="00E52F91"/>
    <w:rsid w:val="00E53175"/>
    <w:rsid w:val="00E5445B"/>
    <w:rsid w:val="00E5468D"/>
    <w:rsid w:val="00E54B68"/>
    <w:rsid w:val="00E54B71"/>
    <w:rsid w:val="00E56069"/>
    <w:rsid w:val="00E565FF"/>
    <w:rsid w:val="00E57EDB"/>
    <w:rsid w:val="00E57F0B"/>
    <w:rsid w:val="00E600D6"/>
    <w:rsid w:val="00E636D7"/>
    <w:rsid w:val="00E63C75"/>
    <w:rsid w:val="00E64691"/>
    <w:rsid w:val="00E65388"/>
    <w:rsid w:val="00E66DF7"/>
    <w:rsid w:val="00E67833"/>
    <w:rsid w:val="00E678D4"/>
    <w:rsid w:val="00E70A25"/>
    <w:rsid w:val="00E72618"/>
    <w:rsid w:val="00E73357"/>
    <w:rsid w:val="00E7373D"/>
    <w:rsid w:val="00E74102"/>
    <w:rsid w:val="00E7443A"/>
    <w:rsid w:val="00E7455B"/>
    <w:rsid w:val="00E74ACB"/>
    <w:rsid w:val="00E74BC6"/>
    <w:rsid w:val="00E7762B"/>
    <w:rsid w:val="00E77853"/>
    <w:rsid w:val="00E80CAE"/>
    <w:rsid w:val="00E81C12"/>
    <w:rsid w:val="00E82217"/>
    <w:rsid w:val="00E82320"/>
    <w:rsid w:val="00E8453F"/>
    <w:rsid w:val="00E8479F"/>
    <w:rsid w:val="00E84D54"/>
    <w:rsid w:val="00E85B7D"/>
    <w:rsid w:val="00E86DFB"/>
    <w:rsid w:val="00E87253"/>
    <w:rsid w:val="00E8726D"/>
    <w:rsid w:val="00E90DC0"/>
    <w:rsid w:val="00E9121B"/>
    <w:rsid w:val="00E91714"/>
    <w:rsid w:val="00E93F63"/>
    <w:rsid w:val="00E9433F"/>
    <w:rsid w:val="00E94B48"/>
    <w:rsid w:val="00E96374"/>
    <w:rsid w:val="00E963FB"/>
    <w:rsid w:val="00E96526"/>
    <w:rsid w:val="00E96614"/>
    <w:rsid w:val="00EA0140"/>
    <w:rsid w:val="00EA0945"/>
    <w:rsid w:val="00EA0A7C"/>
    <w:rsid w:val="00EA0AE2"/>
    <w:rsid w:val="00EA1787"/>
    <w:rsid w:val="00EA2513"/>
    <w:rsid w:val="00EA292F"/>
    <w:rsid w:val="00EA39E5"/>
    <w:rsid w:val="00EA465F"/>
    <w:rsid w:val="00EA4F22"/>
    <w:rsid w:val="00EA4FB3"/>
    <w:rsid w:val="00EA4FE6"/>
    <w:rsid w:val="00EA6695"/>
    <w:rsid w:val="00EA7EB0"/>
    <w:rsid w:val="00EB0471"/>
    <w:rsid w:val="00EB1203"/>
    <w:rsid w:val="00EB3106"/>
    <w:rsid w:val="00EB3E8D"/>
    <w:rsid w:val="00EB4F1F"/>
    <w:rsid w:val="00EB5204"/>
    <w:rsid w:val="00EB5561"/>
    <w:rsid w:val="00EB5688"/>
    <w:rsid w:val="00EB5E78"/>
    <w:rsid w:val="00EB673D"/>
    <w:rsid w:val="00EB6839"/>
    <w:rsid w:val="00EB6FA5"/>
    <w:rsid w:val="00EB7284"/>
    <w:rsid w:val="00EB734A"/>
    <w:rsid w:val="00EB7FB2"/>
    <w:rsid w:val="00EC0A50"/>
    <w:rsid w:val="00EC3DBE"/>
    <w:rsid w:val="00EC5A46"/>
    <w:rsid w:val="00EC605D"/>
    <w:rsid w:val="00EC639D"/>
    <w:rsid w:val="00EC63E2"/>
    <w:rsid w:val="00EC658C"/>
    <w:rsid w:val="00EC6A20"/>
    <w:rsid w:val="00EC732E"/>
    <w:rsid w:val="00ED0087"/>
    <w:rsid w:val="00ED0173"/>
    <w:rsid w:val="00ED0451"/>
    <w:rsid w:val="00ED1F3E"/>
    <w:rsid w:val="00ED4C04"/>
    <w:rsid w:val="00ED56EA"/>
    <w:rsid w:val="00ED6864"/>
    <w:rsid w:val="00EE1476"/>
    <w:rsid w:val="00EE1BA8"/>
    <w:rsid w:val="00EE1E98"/>
    <w:rsid w:val="00EE3277"/>
    <w:rsid w:val="00EE397B"/>
    <w:rsid w:val="00EE4483"/>
    <w:rsid w:val="00EE4593"/>
    <w:rsid w:val="00EE5261"/>
    <w:rsid w:val="00EE5D64"/>
    <w:rsid w:val="00EE6641"/>
    <w:rsid w:val="00EE68DC"/>
    <w:rsid w:val="00EE74AF"/>
    <w:rsid w:val="00EF0E0E"/>
    <w:rsid w:val="00EF1021"/>
    <w:rsid w:val="00EF162E"/>
    <w:rsid w:val="00EF1DFC"/>
    <w:rsid w:val="00EF22B3"/>
    <w:rsid w:val="00EF3399"/>
    <w:rsid w:val="00EF36F3"/>
    <w:rsid w:val="00EF39E8"/>
    <w:rsid w:val="00EF3D05"/>
    <w:rsid w:val="00EF4120"/>
    <w:rsid w:val="00EF469A"/>
    <w:rsid w:val="00EF5239"/>
    <w:rsid w:val="00EF5DC7"/>
    <w:rsid w:val="00EF6394"/>
    <w:rsid w:val="00EF64EA"/>
    <w:rsid w:val="00EF76C2"/>
    <w:rsid w:val="00F00378"/>
    <w:rsid w:val="00F011E7"/>
    <w:rsid w:val="00F01DB3"/>
    <w:rsid w:val="00F02C75"/>
    <w:rsid w:val="00F03012"/>
    <w:rsid w:val="00F03B69"/>
    <w:rsid w:val="00F072D9"/>
    <w:rsid w:val="00F0762E"/>
    <w:rsid w:val="00F07A50"/>
    <w:rsid w:val="00F07A87"/>
    <w:rsid w:val="00F10529"/>
    <w:rsid w:val="00F10792"/>
    <w:rsid w:val="00F10A04"/>
    <w:rsid w:val="00F111B0"/>
    <w:rsid w:val="00F113DA"/>
    <w:rsid w:val="00F11509"/>
    <w:rsid w:val="00F11D74"/>
    <w:rsid w:val="00F13BE1"/>
    <w:rsid w:val="00F13F51"/>
    <w:rsid w:val="00F1437E"/>
    <w:rsid w:val="00F14AFF"/>
    <w:rsid w:val="00F162ED"/>
    <w:rsid w:val="00F16E9C"/>
    <w:rsid w:val="00F17BCD"/>
    <w:rsid w:val="00F207CD"/>
    <w:rsid w:val="00F20ACA"/>
    <w:rsid w:val="00F20FDA"/>
    <w:rsid w:val="00F21F34"/>
    <w:rsid w:val="00F22222"/>
    <w:rsid w:val="00F223BC"/>
    <w:rsid w:val="00F2241A"/>
    <w:rsid w:val="00F224C8"/>
    <w:rsid w:val="00F23184"/>
    <w:rsid w:val="00F242FF"/>
    <w:rsid w:val="00F24B5B"/>
    <w:rsid w:val="00F24E6D"/>
    <w:rsid w:val="00F2522C"/>
    <w:rsid w:val="00F25575"/>
    <w:rsid w:val="00F25F15"/>
    <w:rsid w:val="00F269F3"/>
    <w:rsid w:val="00F27B4D"/>
    <w:rsid w:val="00F27C3B"/>
    <w:rsid w:val="00F319FC"/>
    <w:rsid w:val="00F323B5"/>
    <w:rsid w:val="00F331CB"/>
    <w:rsid w:val="00F338EE"/>
    <w:rsid w:val="00F3484E"/>
    <w:rsid w:val="00F34FEE"/>
    <w:rsid w:val="00F365FE"/>
    <w:rsid w:val="00F36A01"/>
    <w:rsid w:val="00F372C1"/>
    <w:rsid w:val="00F37DC8"/>
    <w:rsid w:val="00F42AD8"/>
    <w:rsid w:val="00F43837"/>
    <w:rsid w:val="00F439B3"/>
    <w:rsid w:val="00F43AA9"/>
    <w:rsid w:val="00F43BED"/>
    <w:rsid w:val="00F45AA8"/>
    <w:rsid w:val="00F5021A"/>
    <w:rsid w:val="00F502DD"/>
    <w:rsid w:val="00F507DC"/>
    <w:rsid w:val="00F50DBE"/>
    <w:rsid w:val="00F511D5"/>
    <w:rsid w:val="00F516C2"/>
    <w:rsid w:val="00F52A1B"/>
    <w:rsid w:val="00F550CF"/>
    <w:rsid w:val="00F55D69"/>
    <w:rsid w:val="00F5624F"/>
    <w:rsid w:val="00F5657E"/>
    <w:rsid w:val="00F572B5"/>
    <w:rsid w:val="00F5771E"/>
    <w:rsid w:val="00F57732"/>
    <w:rsid w:val="00F57DD9"/>
    <w:rsid w:val="00F612AC"/>
    <w:rsid w:val="00F62C92"/>
    <w:rsid w:val="00F638FC"/>
    <w:rsid w:val="00F63F7F"/>
    <w:rsid w:val="00F65053"/>
    <w:rsid w:val="00F650C3"/>
    <w:rsid w:val="00F6514A"/>
    <w:rsid w:val="00F65227"/>
    <w:rsid w:val="00F65987"/>
    <w:rsid w:val="00F65D85"/>
    <w:rsid w:val="00F66F99"/>
    <w:rsid w:val="00F67720"/>
    <w:rsid w:val="00F70157"/>
    <w:rsid w:val="00F7076D"/>
    <w:rsid w:val="00F71204"/>
    <w:rsid w:val="00F71429"/>
    <w:rsid w:val="00F719B2"/>
    <w:rsid w:val="00F7203C"/>
    <w:rsid w:val="00F722F8"/>
    <w:rsid w:val="00F72FC9"/>
    <w:rsid w:val="00F745EF"/>
    <w:rsid w:val="00F74966"/>
    <w:rsid w:val="00F74C7B"/>
    <w:rsid w:val="00F75453"/>
    <w:rsid w:val="00F76049"/>
    <w:rsid w:val="00F772DB"/>
    <w:rsid w:val="00F77ACD"/>
    <w:rsid w:val="00F8091E"/>
    <w:rsid w:val="00F81416"/>
    <w:rsid w:val="00F8166F"/>
    <w:rsid w:val="00F838FF"/>
    <w:rsid w:val="00F83CC7"/>
    <w:rsid w:val="00F83D27"/>
    <w:rsid w:val="00F85DAA"/>
    <w:rsid w:val="00F8615C"/>
    <w:rsid w:val="00F87484"/>
    <w:rsid w:val="00F87DCB"/>
    <w:rsid w:val="00F87DDD"/>
    <w:rsid w:val="00F9005F"/>
    <w:rsid w:val="00F90E62"/>
    <w:rsid w:val="00F90FE9"/>
    <w:rsid w:val="00F9164F"/>
    <w:rsid w:val="00F92427"/>
    <w:rsid w:val="00F928B2"/>
    <w:rsid w:val="00F928D1"/>
    <w:rsid w:val="00F9570C"/>
    <w:rsid w:val="00F969E5"/>
    <w:rsid w:val="00F978AD"/>
    <w:rsid w:val="00F97AEE"/>
    <w:rsid w:val="00F97E54"/>
    <w:rsid w:val="00FA060A"/>
    <w:rsid w:val="00FA1C95"/>
    <w:rsid w:val="00FA1D8F"/>
    <w:rsid w:val="00FA28D4"/>
    <w:rsid w:val="00FA2FA9"/>
    <w:rsid w:val="00FA32F8"/>
    <w:rsid w:val="00FA44AD"/>
    <w:rsid w:val="00FA4D55"/>
    <w:rsid w:val="00FA51F6"/>
    <w:rsid w:val="00FA6BB0"/>
    <w:rsid w:val="00FA6D7D"/>
    <w:rsid w:val="00FB09DE"/>
    <w:rsid w:val="00FB0D76"/>
    <w:rsid w:val="00FB1215"/>
    <w:rsid w:val="00FB17C4"/>
    <w:rsid w:val="00FB1DFB"/>
    <w:rsid w:val="00FB1F1F"/>
    <w:rsid w:val="00FB474E"/>
    <w:rsid w:val="00FB4CEE"/>
    <w:rsid w:val="00FB60B8"/>
    <w:rsid w:val="00FC10F0"/>
    <w:rsid w:val="00FC31CD"/>
    <w:rsid w:val="00FC3703"/>
    <w:rsid w:val="00FC583A"/>
    <w:rsid w:val="00FC5949"/>
    <w:rsid w:val="00FC6EF8"/>
    <w:rsid w:val="00FC743A"/>
    <w:rsid w:val="00FC78BD"/>
    <w:rsid w:val="00FC7BD7"/>
    <w:rsid w:val="00FD0448"/>
    <w:rsid w:val="00FD0515"/>
    <w:rsid w:val="00FD17AB"/>
    <w:rsid w:val="00FD1925"/>
    <w:rsid w:val="00FD2C6F"/>
    <w:rsid w:val="00FD2C74"/>
    <w:rsid w:val="00FD2D77"/>
    <w:rsid w:val="00FD2D8C"/>
    <w:rsid w:val="00FD3244"/>
    <w:rsid w:val="00FD5425"/>
    <w:rsid w:val="00FD5860"/>
    <w:rsid w:val="00FD6965"/>
    <w:rsid w:val="00FD6F0E"/>
    <w:rsid w:val="00FE028A"/>
    <w:rsid w:val="00FE0884"/>
    <w:rsid w:val="00FE0A64"/>
    <w:rsid w:val="00FE1DEE"/>
    <w:rsid w:val="00FE352D"/>
    <w:rsid w:val="00FE40EB"/>
    <w:rsid w:val="00FE4D02"/>
    <w:rsid w:val="00FE4E18"/>
    <w:rsid w:val="00FE51C9"/>
    <w:rsid w:val="00FE59F0"/>
    <w:rsid w:val="00FE7B2F"/>
    <w:rsid w:val="00FE7D62"/>
    <w:rsid w:val="00FE7EC3"/>
    <w:rsid w:val="00FF1440"/>
    <w:rsid w:val="00FF2450"/>
    <w:rsid w:val="00FF2852"/>
    <w:rsid w:val="00FF2913"/>
    <w:rsid w:val="00FF3819"/>
    <w:rsid w:val="00FF49F9"/>
    <w:rsid w:val="00FF6A20"/>
    <w:rsid w:val="00FF769A"/>
    <w:rsid w:val="015869DE"/>
    <w:rsid w:val="03A1DD5D"/>
    <w:rsid w:val="0401CB22"/>
    <w:rsid w:val="06058E06"/>
    <w:rsid w:val="060BAF3F"/>
    <w:rsid w:val="06F23E64"/>
    <w:rsid w:val="073F424A"/>
    <w:rsid w:val="081260C2"/>
    <w:rsid w:val="0827F6E3"/>
    <w:rsid w:val="091965EA"/>
    <w:rsid w:val="09445564"/>
    <w:rsid w:val="0BB9434C"/>
    <w:rsid w:val="0BD128FF"/>
    <w:rsid w:val="0C6D860B"/>
    <w:rsid w:val="0EE34029"/>
    <w:rsid w:val="0F41AB5B"/>
    <w:rsid w:val="104B351A"/>
    <w:rsid w:val="114197EF"/>
    <w:rsid w:val="1199CB1F"/>
    <w:rsid w:val="1240EA15"/>
    <w:rsid w:val="12E64F67"/>
    <w:rsid w:val="144F80C7"/>
    <w:rsid w:val="145A31E8"/>
    <w:rsid w:val="15ABAEB2"/>
    <w:rsid w:val="15E7C282"/>
    <w:rsid w:val="1689791B"/>
    <w:rsid w:val="16C485F8"/>
    <w:rsid w:val="16E85D80"/>
    <w:rsid w:val="179173CA"/>
    <w:rsid w:val="19779C2B"/>
    <w:rsid w:val="1AF7BDC2"/>
    <w:rsid w:val="1B9F6AC5"/>
    <w:rsid w:val="1C821C8C"/>
    <w:rsid w:val="1C8369A0"/>
    <w:rsid w:val="20ADA813"/>
    <w:rsid w:val="24A28B40"/>
    <w:rsid w:val="24B8395F"/>
    <w:rsid w:val="25DCF25B"/>
    <w:rsid w:val="26BA32C6"/>
    <w:rsid w:val="27729950"/>
    <w:rsid w:val="2820DA95"/>
    <w:rsid w:val="296835A9"/>
    <w:rsid w:val="2BEBCCF8"/>
    <w:rsid w:val="2C1D7B6B"/>
    <w:rsid w:val="2E700C8B"/>
    <w:rsid w:val="343E84C7"/>
    <w:rsid w:val="350A15E2"/>
    <w:rsid w:val="36507DAB"/>
    <w:rsid w:val="373670E1"/>
    <w:rsid w:val="3C8E45EF"/>
    <w:rsid w:val="3D2D336B"/>
    <w:rsid w:val="3F37C10E"/>
    <w:rsid w:val="3F3C58BB"/>
    <w:rsid w:val="401AEDE6"/>
    <w:rsid w:val="448CACB6"/>
    <w:rsid w:val="44C77D35"/>
    <w:rsid w:val="46594E8A"/>
    <w:rsid w:val="46F5F918"/>
    <w:rsid w:val="472F32FB"/>
    <w:rsid w:val="4848FD6D"/>
    <w:rsid w:val="4A3A9240"/>
    <w:rsid w:val="4BC15D31"/>
    <w:rsid w:val="4C7A5E14"/>
    <w:rsid w:val="4D8ED785"/>
    <w:rsid w:val="4E41388D"/>
    <w:rsid w:val="5009352D"/>
    <w:rsid w:val="512082DA"/>
    <w:rsid w:val="519C33CB"/>
    <w:rsid w:val="523C89C2"/>
    <w:rsid w:val="54F39CDF"/>
    <w:rsid w:val="55A92D08"/>
    <w:rsid w:val="55D940A6"/>
    <w:rsid w:val="5685ADC0"/>
    <w:rsid w:val="5D586A32"/>
    <w:rsid w:val="5D82D5AC"/>
    <w:rsid w:val="5FEBDCA1"/>
    <w:rsid w:val="61F7A379"/>
    <w:rsid w:val="62EAD097"/>
    <w:rsid w:val="6406EE9A"/>
    <w:rsid w:val="64CCB928"/>
    <w:rsid w:val="6564E061"/>
    <w:rsid w:val="6B72B3D7"/>
    <w:rsid w:val="6B8B3446"/>
    <w:rsid w:val="6B9F3BD4"/>
    <w:rsid w:val="6BB329AB"/>
    <w:rsid w:val="6CE4A49D"/>
    <w:rsid w:val="6D1662B6"/>
    <w:rsid w:val="6FC28A9B"/>
    <w:rsid w:val="70296DA9"/>
    <w:rsid w:val="78354E6C"/>
    <w:rsid w:val="7839B22F"/>
    <w:rsid w:val="7880C782"/>
    <w:rsid w:val="789F6229"/>
    <w:rsid w:val="78F904F7"/>
    <w:rsid w:val="79854EFB"/>
    <w:rsid w:val="7A1FBB93"/>
    <w:rsid w:val="7C16C273"/>
    <w:rsid w:val="7D84B361"/>
    <w:rsid w:val="7F1A3B8C"/>
    <w:rsid w:val="7F750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3C9B0"/>
  <w15:chartTrackingRefBased/>
  <w15:docId w15:val="{FC77A0AE-E49C-4B5F-BF4A-9F835480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539A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C2089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2089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2089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2089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2089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2089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2089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2089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2089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20895"/>
    <w:rPr>
      <w:rFonts w:ascii="Times New Roman" w:hAnsi="Times New Roman"/>
      <w:b/>
      <w:sz w:val="18"/>
      <w:lang w:val="en-GB"/>
    </w:rPr>
  </w:style>
  <w:style w:type="table" w:customStyle="1" w:styleId="Tabledocright">
    <w:name w:val="Table_doc_right"/>
    <w:basedOn w:val="TableNormal"/>
    <w:rsid w:val="00C20895"/>
    <w:pPr>
      <w:spacing w:before="40" w:after="40"/>
    </w:pPr>
    <w:rPr>
      <w:sz w:val="18"/>
      <w:szCs w:val="18"/>
    </w:rPr>
    <w:tblPr/>
  </w:style>
  <w:style w:type="paragraph" w:styleId="TOC6">
    <w:name w:val="toc 6"/>
    <w:basedOn w:val="Normal"/>
    <w:next w:val="Normal"/>
    <w:semiHidden/>
    <w:rsid w:val="00C20895"/>
    <w:pPr>
      <w:ind w:left="1000"/>
    </w:pPr>
    <w:rPr>
      <w:sz w:val="18"/>
      <w:szCs w:val="18"/>
    </w:rPr>
  </w:style>
  <w:style w:type="paragraph" w:styleId="TOC7">
    <w:name w:val="toc 7"/>
    <w:basedOn w:val="Normal"/>
    <w:next w:val="Normal"/>
    <w:autoRedefine/>
    <w:semiHidden/>
    <w:rsid w:val="00C20895"/>
    <w:pPr>
      <w:ind w:left="1200"/>
    </w:pPr>
    <w:rPr>
      <w:sz w:val="18"/>
      <w:szCs w:val="18"/>
    </w:rPr>
  </w:style>
  <w:style w:type="paragraph" w:styleId="TOC8">
    <w:name w:val="toc 8"/>
    <w:basedOn w:val="Normal"/>
    <w:next w:val="Normal"/>
    <w:autoRedefine/>
    <w:semiHidden/>
    <w:rsid w:val="00C20895"/>
    <w:pPr>
      <w:ind w:left="1400"/>
    </w:pPr>
    <w:rPr>
      <w:sz w:val="18"/>
      <w:szCs w:val="18"/>
    </w:rPr>
  </w:style>
  <w:style w:type="paragraph" w:styleId="TOC9">
    <w:name w:val="toc 9"/>
    <w:basedOn w:val="Normal"/>
    <w:next w:val="Normal"/>
    <w:autoRedefine/>
    <w:semiHidden/>
    <w:rsid w:val="00C20895"/>
    <w:pPr>
      <w:ind w:left="1600"/>
    </w:pPr>
    <w:rPr>
      <w:sz w:val="18"/>
      <w:szCs w:val="18"/>
    </w:rPr>
  </w:style>
  <w:style w:type="paragraph" w:customStyle="1" w:styleId="Titlefigure">
    <w:name w:val="Title_figure"/>
    <w:basedOn w:val="Titletable"/>
    <w:next w:val="NormalNonumber"/>
    <w:rsid w:val="00C20895"/>
    <w:pPr>
      <w:tabs>
        <w:tab w:val="clear" w:pos="4990"/>
      </w:tabs>
    </w:pPr>
    <w:rPr>
      <w:bCs w:val="0"/>
    </w:rPr>
  </w:style>
  <w:style w:type="paragraph" w:styleId="TableofFigures">
    <w:name w:val="table of figures"/>
    <w:basedOn w:val="Normal"/>
    <w:next w:val="Normal"/>
    <w:autoRedefine/>
    <w:semiHidden/>
    <w:rsid w:val="00C20895"/>
    <w:pPr>
      <w:ind w:left="1814" w:hanging="567"/>
    </w:pPr>
  </w:style>
  <w:style w:type="paragraph" w:customStyle="1" w:styleId="CH1">
    <w:name w:val="CH1"/>
    <w:basedOn w:val="Normal-pool"/>
    <w:next w:val="CH2"/>
    <w:qFormat/>
    <w:rsid w:val="00C208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208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208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20895"/>
    <w:rPr>
      <w:rFonts w:ascii="Arial" w:hAnsi="Arial"/>
      <w:sz w:val="16"/>
    </w:rPr>
    <w:tblPr/>
  </w:style>
  <w:style w:type="paragraph" w:customStyle="1" w:styleId="CH5">
    <w:name w:val="CH5"/>
    <w:basedOn w:val="Normal-pool"/>
    <w:next w:val="Normalnumber"/>
    <w:unhideWhenUsed/>
    <w:rsid w:val="00C208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20895"/>
    <w:pPr>
      <w:tabs>
        <w:tab w:val="left" w:pos="4321"/>
        <w:tab w:val="right" w:pos="8641"/>
      </w:tabs>
      <w:spacing w:before="60"/>
    </w:pPr>
    <w:rPr>
      <w:b/>
      <w:sz w:val="18"/>
    </w:rPr>
  </w:style>
  <w:style w:type="paragraph" w:customStyle="1" w:styleId="Footer-pool">
    <w:name w:val="Footer-pool"/>
    <w:basedOn w:val="Normal-pool"/>
    <w:next w:val="Normal-pool"/>
    <w:rsid w:val="00C20895"/>
    <w:pPr>
      <w:tabs>
        <w:tab w:val="right" w:pos="8641"/>
      </w:tabs>
      <w:spacing w:after="120"/>
    </w:pPr>
    <w:rPr>
      <w:b/>
      <w:sz w:val="18"/>
    </w:rPr>
  </w:style>
  <w:style w:type="paragraph" w:customStyle="1" w:styleId="Header-pool">
    <w:name w:val="Header-pool"/>
    <w:basedOn w:val="Normal"/>
    <w:next w:val="Normal"/>
    <w:rsid w:val="00C20895"/>
    <w:pPr>
      <w:pBdr>
        <w:bottom w:val="single" w:sz="4" w:space="1" w:color="auto"/>
      </w:pBdr>
      <w:tabs>
        <w:tab w:val="right" w:pos="9072"/>
      </w:tabs>
    </w:pPr>
    <w:rPr>
      <w:b/>
      <w:sz w:val="18"/>
    </w:rPr>
  </w:style>
  <w:style w:type="character" w:styleId="FootnoteReference">
    <w:name w:val="footnote reference"/>
    <w:aliases w:val="Footnote text,16 Point,Superscript 6 Point,Footnote Text1,Footnote Text2,number,Footnote reference number,Footnote symbol,note TESI,-E Fußnotenzeichen,SUPERS,stylish,ftref,Footnote Reference Superscript,-E Fuﬂnotenzeichen,fr,Ref,註腳內容"/>
    <w:uiPriority w:val="99"/>
    <w:unhideWhenUsed/>
    <w:qFormat/>
    <w:rsid w:val="00C20895"/>
    <w:rPr>
      <w:rFonts w:ascii="Times New Roman" w:hAnsi="Times New Roman"/>
      <w:color w:val="auto"/>
      <w:sz w:val="20"/>
      <w:szCs w:val="18"/>
      <w:vertAlign w:val="superscript"/>
      <w:lang w:val="en-GB"/>
    </w:rPr>
  </w:style>
  <w:style w:type="table" w:customStyle="1" w:styleId="AATable">
    <w:name w:val="AA_Table"/>
    <w:basedOn w:val="TableNormal"/>
    <w:semiHidden/>
    <w:rsid w:val="00C2089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20895"/>
    <w:pPr>
      <w:keepNext/>
      <w:keepLines/>
      <w:suppressAutoHyphens/>
    </w:pPr>
    <w:rPr>
      <w:b/>
    </w:rPr>
  </w:style>
  <w:style w:type="paragraph" w:customStyle="1" w:styleId="AATitle2">
    <w:name w:val="AA_Title2"/>
    <w:basedOn w:val="AATitle"/>
    <w:rsid w:val="00C20895"/>
    <w:pPr>
      <w:keepNext w:val="0"/>
      <w:keepLines w:val="0"/>
      <w:tabs>
        <w:tab w:val="clear" w:pos="4990"/>
      </w:tabs>
      <w:spacing w:before="120" w:after="120"/>
    </w:pPr>
  </w:style>
  <w:style w:type="paragraph" w:customStyle="1" w:styleId="BBTitle">
    <w:name w:val="BB_Title"/>
    <w:basedOn w:val="Normal-pool"/>
    <w:link w:val="BBTitleChar"/>
    <w:qFormat/>
    <w:rsid w:val="00C2089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2089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20895"/>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20895"/>
    <w:rPr>
      <w:color w:val="0000FF"/>
      <w:u w:val="none"/>
      <w:lang w:val="en-GB"/>
    </w:rPr>
  </w:style>
  <w:style w:type="numbering" w:customStyle="1" w:styleId="Normallist">
    <w:name w:val="Normal_list"/>
    <w:basedOn w:val="NoList"/>
    <w:rsid w:val="00C20895"/>
    <w:pPr>
      <w:numPr>
        <w:numId w:val="1"/>
      </w:numPr>
    </w:pPr>
  </w:style>
  <w:style w:type="paragraph" w:customStyle="1" w:styleId="NormalNonumber">
    <w:name w:val="Normal_No_number"/>
    <w:basedOn w:val="Normal-pool"/>
    <w:qFormat/>
    <w:rsid w:val="00C20895"/>
    <w:pPr>
      <w:spacing w:after="120"/>
      <w:ind w:left="1247"/>
    </w:pPr>
  </w:style>
  <w:style w:type="paragraph" w:customStyle="1" w:styleId="Normalnumber">
    <w:name w:val="Normal_number"/>
    <w:basedOn w:val="Normal"/>
    <w:link w:val="NormalnumberChar"/>
    <w:qFormat/>
    <w:rsid w:val="00C20895"/>
    <w:pPr>
      <w:numPr>
        <w:numId w:val="1"/>
      </w:numPr>
      <w:spacing w:after="120"/>
    </w:pPr>
  </w:style>
  <w:style w:type="paragraph" w:customStyle="1" w:styleId="Titletable">
    <w:name w:val="Title_table"/>
    <w:basedOn w:val="Normal-pool"/>
    <w:next w:val="NormalNonumber"/>
    <w:rsid w:val="00C20895"/>
    <w:pPr>
      <w:keepNext/>
      <w:keepLines/>
      <w:suppressAutoHyphens/>
      <w:spacing w:after="60"/>
      <w:ind w:left="1247"/>
    </w:pPr>
    <w:rPr>
      <w:b/>
      <w:bCs/>
    </w:rPr>
  </w:style>
  <w:style w:type="paragraph" w:styleId="TOC1">
    <w:name w:val="toc 1"/>
    <w:basedOn w:val="Normal"/>
    <w:next w:val="Normal"/>
    <w:autoRedefine/>
    <w:uiPriority w:val="39"/>
    <w:unhideWhenUsed/>
    <w:rsid w:val="00C20895"/>
    <w:pPr>
      <w:tabs>
        <w:tab w:val="right" w:leader="dot" w:pos="9486"/>
      </w:tabs>
      <w:spacing w:before="240"/>
      <w:ind w:left="1984" w:hanging="737"/>
    </w:pPr>
    <w:rPr>
      <w:bCs/>
    </w:rPr>
  </w:style>
  <w:style w:type="paragraph" w:styleId="TOC2">
    <w:name w:val="toc 2"/>
    <w:basedOn w:val="Normal"/>
    <w:next w:val="Normal"/>
    <w:uiPriority w:val="39"/>
    <w:unhideWhenUsed/>
    <w:rsid w:val="00C20895"/>
    <w:pPr>
      <w:tabs>
        <w:tab w:val="right" w:leader="dot" w:pos="9486"/>
      </w:tabs>
      <w:spacing w:before="60"/>
      <w:ind w:left="2608" w:hanging="737"/>
    </w:pPr>
  </w:style>
  <w:style w:type="paragraph" w:styleId="TOC3">
    <w:name w:val="toc 3"/>
    <w:basedOn w:val="Normal"/>
    <w:next w:val="Normal"/>
    <w:uiPriority w:val="39"/>
    <w:unhideWhenUsed/>
    <w:rsid w:val="00C20895"/>
    <w:pPr>
      <w:tabs>
        <w:tab w:val="right" w:leader="dot" w:pos="9486"/>
      </w:tabs>
      <w:ind w:left="3232" w:hanging="737"/>
    </w:pPr>
    <w:rPr>
      <w:iCs/>
    </w:rPr>
  </w:style>
  <w:style w:type="paragraph" w:styleId="TOC4">
    <w:name w:val="toc 4"/>
    <w:basedOn w:val="Normal"/>
    <w:next w:val="Normal"/>
    <w:uiPriority w:val="39"/>
    <w:unhideWhenUsed/>
    <w:rsid w:val="00C20895"/>
    <w:pPr>
      <w:tabs>
        <w:tab w:val="left" w:pos="1000"/>
        <w:tab w:val="right" w:leader="dot" w:pos="9486"/>
      </w:tabs>
      <w:ind w:left="3856" w:hanging="737"/>
    </w:pPr>
    <w:rPr>
      <w:szCs w:val="18"/>
    </w:rPr>
  </w:style>
  <w:style w:type="paragraph" w:styleId="TOC5">
    <w:name w:val="toc 5"/>
    <w:basedOn w:val="Normal"/>
    <w:next w:val="Normal"/>
    <w:uiPriority w:val="39"/>
    <w:rsid w:val="00C20895"/>
    <w:pPr>
      <w:tabs>
        <w:tab w:val="right" w:leader="dot" w:pos="9486"/>
      </w:tabs>
      <w:ind w:left="4479" w:hanging="737"/>
    </w:pPr>
    <w:rPr>
      <w:sz w:val="18"/>
      <w:szCs w:val="18"/>
    </w:rPr>
  </w:style>
  <w:style w:type="paragraph" w:customStyle="1" w:styleId="ZZAnxheader">
    <w:name w:val="ZZ_Anx_header"/>
    <w:basedOn w:val="Normal-pool"/>
    <w:rsid w:val="00C20895"/>
    <w:rPr>
      <w:b/>
      <w:bCs/>
      <w:sz w:val="28"/>
      <w:szCs w:val="22"/>
    </w:rPr>
  </w:style>
  <w:style w:type="paragraph" w:customStyle="1" w:styleId="ZZAnxtitle">
    <w:name w:val="ZZ_Anx_title"/>
    <w:basedOn w:val="Normal-pool"/>
    <w:rsid w:val="00C20895"/>
    <w:pPr>
      <w:spacing w:before="360" w:after="120"/>
      <w:ind w:left="1247"/>
    </w:pPr>
    <w:rPr>
      <w:b/>
      <w:bCs/>
      <w:sz w:val="28"/>
      <w:szCs w:val="26"/>
    </w:rPr>
  </w:style>
  <w:style w:type="paragraph" w:styleId="NormalWeb">
    <w:name w:val="Normal (Web)"/>
    <w:basedOn w:val="Normal"/>
    <w:uiPriority w:val="99"/>
    <w:semiHidden/>
    <w:unhideWhenUsed/>
    <w:rsid w:val="00C208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20895"/>
    <w:pPr>
      <w:spacing w:before="40" w:after="40"/>
    </w:pPr>
    <w:rPr>
      <w:sz w:val="18"/>
    </w:rPr>
  </w:style>
  <w:style w:type="paragraph" w:customStyle="1" w:styleId="Footnote-Text">
    <w:name w:val="Footnote-Text"/>
    <w:basedOn w:val="Normal-pool"/>
    <w:rsid w:val="00C20895"/>
    <w:pPr>
      <w:spacing w:before="20" w:after="40"/>
      <w:ind w:left="1247"/>
    </w:pPr>
    <w:rPr>
      <w:sz w:val="18"/>
    </w:rPr>
  </w:style>
  <w:style w:type="paragraph" w:customStyle="1" w:styleId="AConvName">
    <w:name w:val="A_ConvName"/>
    <w:basedOn w:val="Normal-pool"/>
    <w:next w:val="Normal-pool"/>
    <w:rsid w:val="00C20895"/>
    <w:pPr>
      <w:spacing w:before="120" w:after="240"/>
    </w:pPr>
    <w:rPr>
      <w:rFonts w:ascii="Arial" w:hAnsi="Arial"/>
      <w:b/>
      <w:sz w:val="28"/>
    </w:rPr>
  </w:style>
  <w:style w:type="paragraph" w:customStyle="1" w:styleId="ASymbol">
    <w:name w:val="A_Symbol"/>
    <w:basedOn w:val="Normal-pool"/>
    <w:rsid w:val="00C20895"/>
    <w:pPr>
      <w:tabs>
        <w:tab w:val="clear" w:pos="624"/>
        <w:tab w:val="clear" w:pos="1247"/>
        <w:tab w:val="right" w:pos="2920"/>
      </w:tabs>
    </w:pPr>
    <w:rPr>
      <w:rFonts w:eastAsia="SimSun"/>
    </w:rPr>
  </w:style>
  <w:style w:type="paragraph" w:customStyle="1" w:styleId="AText">
    <w:name w:val="A_Text"/>
    <w:basedOn w:val="Normal-pool"/>
    <w:rsid w:val="00C20895"/>
    <w:pPr>
      <w:spacing w:before="120"/>
    </w:pPr>
  </w:style>
  <w:style w:type="paragraph" w:customStyle="1" w:styleId="ATwoLetters">
    <w:name w:val="A_TwoLetters"/>
    <w:basedOn w:val="Normal-pool"/>
    <w:next w:val="Normal-pool"/>
    <w:rsid w:val="00C2089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2089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20895"/>
    <w:rPr>
      <w:rFonts w:ascii="Tahoma" w:hAnsi="Tahoma" w:cs="Tahoma"/>
      <w:sz w:val="16"/>
      <w:szCs w:val="16"/>
    </w:rPr>
  </w:style>
  <w:style w:type="character" w:customStyle="1" w:styleId="BalloonTextChar">
    <w:name w:val="Balloon Text Char"/>
    <w:basedOn w:val="DefaultParagraphFont"/>
    <w:link w:val="BalloonText"/>
    <w:rsid w:val="00C20895"/>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qFormat/>
    <w:rsid w:val="00C20895"/>
    <w:rPr>
      <w:sz w:val="16"/>
      <w:szCs w:val="16"/>
      <w:lang w:val="en-GB"/>
    </w:rPr>
  </w:style>
  <w:style w:type="paragraph" w:styleId="CommentText">
    <w:name w:val="annotation text"/>
    <w:basedOn w:val="Normal"/>
    <w:link w:val="CommentTextChar"/>
    <w:uiPriority w:val="99"/>
    <w:unhideWhenUsed/>
    <w:qFormat/>
    <w:rsid w:val="00C20895"/>
  </w:style>
  <w:style w:type="character" w:customStyle="1" w:styleId="CommentTextChar">
    <w:name w:val="Comment Text Char"/>
    <w:basedOn w:val="DefaultParagraphFont"/>
    <w:link w:val="CommentText"/>
    <w:uiPriority w:val="99"/>
    <w:qFormat/>
    <w:rsid w:val="00C20895"/>
    <w:rPr>
      <w:rFonts w:eastAsia="Times New Roman"/>
      <w:lang w:val="en-GB" w:eastAsia="en-US"/>
    </w:rPr>
  </w:style>
  <w:style w:type="paragraph" w:styleId="CommentSubject">
    <w:name w:val="annotation subject"/>
    <w:basedOn w:val="CommentText"/>
    <w:next w:val="CommentText"/>
    <w:link w:val="CommentSubjectChar"/>
    <w:semiHidden/>
    <w:unhideWhenUsed/>
    <w:rsid w:val="00C20895"/>
    <w:rPr>
      <w:b/>
      <w:bCs/>
    </w:rPr>
  </w:style>
  <w:style w:type="character" w:customStyle="1" w:styleId="CommentSubjectChar">
    <w:name w:val="Comment Subject Char"/>
    <w:basedOn w:val="CommentTextChar"/>
    <w:link w:val="CommentSubject"/>
    <w:semiHidden/>
    <w:rsid w:val="00C20895"/>
    <w:rPr>
      <w:rFonts w:eastAsia="Times New Roman"/>
      <w:b/>
      <w:bCs/>
      <w:lang w:val="en-GB" w:eastAsia="en-US"/>
    </w:rPr>
  </w:style>
  <w:style w:type="character" w:styleId="FollowedHyperlink">
    <w:name w:val="FollowedHyperlink"/>
    <w:uiPriority w:val="99"/>
    <w:semiHidden/>
    <w:rsid w:val="00C20895"/>
    <w:rPr>
      <w:color w:val="0000FF"/>
      <w:u w:val="none"/>
      <w:lang w:val="en-GB"/>
    </w:rPr>
  </w:style>
  <w:style w:type="character" w:customStyle="1" w:styleId="FooterChar">
    <w:name w:val="Footer Char"/>
    <w:basedOn w:val="DefaultParagraphFont"/>
    <w:link w:val="CH4"/>
    <w:rsid w:val="00C20895"/>
    <w:rPr>
      <w:rFonts w:eastAsia="Times New Roman"/>
      <w:b/>
      <w:lang w:val="en-GB" w:eastAsia="en-US"/>
    </w:rPr>
  </w:style>
  <w:style w:type="character" w:customStyle="1" w:styleId="HeaderChar">
    <w:name w:val="Header Char"/>
    <w:basedOn w:val="DefaultParagraphFont"/>
    <w:link w:val="Header"/>
    <w:semiHidden/>
    <w:rsid w:val="00C20895"/>
    <w:rPr>
      <w:rFonts w:eastAsia="Times New Roman"/>
      <w:b/>
      <w:sz w:val="18"/>
      <w:lang w:val="en-GB" w:eastAsia="en-US"/>
    </w:rPr>
  </w:style>
  <w:style w:type="character" w:customStyle="1" w:styleId="Heading1Char">
    <w:name w:val="Heading 1 Char"/>
    <w:basedOn w:val="DefaultParagraphFont"/>
    <w:link w:val="Heading1"/>
    <w:rsid w:val="00C20895"/>
    <w:rPr>
      <w:rFonts w:eastAsia="Times New Roman"/>
      <w:b/>
      <w:sz w:val="28"/>
      <w:szCs w:val="28"/>
      <w:lang w:val="en-GB" w:eastAsia="en-US"/>
    </w:rPr>
  </w:style>
  <w:style w:type="character" w:customStyle="1" w:styleId="Heading2Char">
    <w:name w:val="Heading 2 Char"/>
    <w:basedOn w:val="DefaultParagraphFont"/>
    <w:link w:val="Heading2"/>
    <w:rsid w:val="00C20895"/>
    <w:rPr>
      <w:rFonts w:eastAsia="Times New Roman"/>
      <w:b/>
      <w:sz w:val="24"/>
      <w:szCs w:val="24"/>
      <w:lang w:val="en-GB" w:eastAsia="en-US"/>
    </w:rPr>
  </w:style>
  <w:style w:type="character" w:customStyle="1" w:styleId="Heading3Char">
    <w:name w:val="Heading 3 Char"/>
    <w:basedOn w:val="DefaultParagraphFont"/>
    <w:link w:val="Heading3"/>
    <w:rsid w:val="00C20895"/>
    <w:rPr>
      <w:rFonts w:eastAsia="Times New Roman"/>
      <w:b/>
      <w:lang w:val="en-GB" w:eastAsia="en-US"/>
    </w:rPr>
  </w:style>
  <w:style w:type="character" w:customStyle="1" w:styleId="Heading4Char">
    <w:name w:val="Heading 4 Char"/>
    <w:basedOn w:val="DefaultParagraphFont"/>
    <w:link w:val="Heading4"/>
    <w:rsid w:val="00C20895"/>
    <w:rPr>
      <w:rFonts w:eastAsia="Times New Roman"/>
      <w:b/>
      <w:lang w:val="en-GB" w:eastAsia="en-US"/>
    </w:rPr>
  </w:style>
  <w:style w:type="character" w:customStyle="1" w:styleId="Heading5Char">
    <w:name w:val="Heading 5 Char"/>
    <w:basedOn w:val="DefaultParagraphFont"/>
    <w:link w:val="Heading5"/>
    <w:rsid w:val="00C20895"/>
    <w:rPr>
      <w:rFonts w:eastAsia="Times New Roman"/>
      <w:b/>
      <w:lang w:val="en-GB" w:eastAsia="en-US"/>
    </w:rPr>
  </w:style>
  <w:style w:type="character" w:customStyle="1" w:styleId="Heading6Char">
    <w:name w:val="Heading 6 Char"/>
    <w:basedOn w:val="DefaultParagraphFont"/>
    <w:link w:val="Heading6"/>
    <w:semiHidden/>
    <w:rsid w:val="00C20895"/>
    <w:rPr>
      <w:rFonts w:eastAsia="Times New Roman"/>
      <w:bCs/>
      <w:sz w:val="24"/>
      <w:lang w:val="en-GB" w:eastAsia="en-US"/>
    </w:rPr>
  </w:style>
  <w:style w:type="character" w:customStyle="1" w:styleId="Heading7Char">
    <w:name w:val="Heading 7 Char"/>
    <w:basedOn w:val="DefaultParagraphFont"/>
    <w:link w:val="Heading7"/>
    <w:semiHidden/>
    <w:rsid w:val="00C20895"/>
    <w:rPr>
      <w:rFonts w:eastAsia="Times New Roman"/>
      <w:b/>
      <w:snapToGrid w:val="0"/>
      <w:u w:val="single"/>
      <w:lang w:val="en-GB" w:eastAsia="en-US"/>
    </w:rPr>
  </w:style>
  <w:style w:type="character" w:customStyle="1" w:styleId="Heading8Char">
    <w:name w:val="Heading 8 Char"/>
    <w:basedOn w:val="DefaultParagraphFont"/>
    <w:link w:val="Heading8"/>
    <w:semiHidden/>
    <w:rsid w:val="00C20895"/>
    <w:rPr>
      <w:rFonts w:eastAsia="Times New Roman"/>
      <w:b/>
      <w:snapToGrid w:val="0"/>
      <w:u w:val="single"/>
      <w:lang w:val="en-GB" w:eastAsia="en-US"/>
    </w:rPr>
  </w:style>
  <w:style w:type="character" w:customStyle="1" w:styleId="Heading9Char">
    <w:name w:val="Heading 9 Char"/>
    <w:basedOn w:val="DefaultParagraphFont"/>
    <w:link w:val="Heading9"/>
    <w:semiHidden/>
    <w:rsid w:val="00C20895"/>
    <w:rPr>
      <w:rFonts w:eastAsia="Times New Roman"/>
      <w:snapToGrid w:val="0"/>
      <w:u w:val="single"/>
      <w:lang w:val="en-GB" w:eastAsia="en-US"/>
    </w:rPr>
  </w:style>
  <w:style w:type="paragraph" w:styleId="ListParagraph">
    <w:name w:val="List Paragraph"/>
    <w:aliases w:val="(i) Indent 2,List Paragraph (numbered (a)) Char,List Paragraph Char Char Char,List Paragraph (numbered (a)),Use Case List Paragraph,List Paragraph2,Numbered List Paragraph,Main numbered paragraph,Bullet paras,ANNEX"/>
    <w:basedOn w:val="Normal"/>
    <w:link w:val="ListParagraphChar"/>
    <w:uiPriority w:val="34"/>
    <w:qFormat/>
    <w:rsid w:val="00C20895"/>
    <w:pPr>
      <w:ind w:left="720"/>
      <w:contextualSpacing/>
    </w:pPr>
  </w:style>
  <w:style w:type="paragraph" w:styleId="NoSpacing">
    <w:name w:val="No Spacing"/>
    <w:uiPriority w:val="1"/>
    <w:semiHidden/>
    <w:qFormat/>
    <w:rsid w:val="00C2089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20895"/>
    <w:rPr>
      <w:rFonts w:eastAsia="Times New Roman"/>
      <w:lang w:val="en-GB" w:eastAsia="en-US"/>
    </w:rPr>
  </w:style>
  <w:style w:type="character" w:styleId="PlaceholderText">
    <w:name w:val="Placeholder Text"/>
    <w:basedOn w:val="DefaultParagraphFont"/>
    <w:uiPriority w:val="99"/>
    <w:semiHidden/>
    <w:rsid w:val="00C20895"/>
    <w:rPr>
      <w:color w:val="808080"/>
      <w:lang w:val="en-GB"/>
    </w:rPr>
  </w:style>
  <w:style w:type="table" w:styleId="TableGrid">
    <w:name w:val="Table Grid"/>
    <w:basedOn w:val="TableNormal"/>
    <w:rsid w:val="00C20895"/>
    <w:tblPr/>
  </w:style>
  <w:style w:type="paragraph" w:customStyle="1" w:styleId="ALogo">
    <w:name w:val="A_Logo"/>
    <w:basedOn w:val="Normal-pool"/>
    <w:link w:val="ALogoChar"/>
    <w:rsid w:val="00C20895"/>
    <w:pPr>
      <w:spacing w:before="120" w:after="240"/>
    </w:pPr>
  </w:style>
  <w:style w:type="character" w:customStyle="1" w:styleId="ALogoChar">
    <w:name w:val="A_Logo Char"/>
    <w:basedOn w:val="DefaultParagraphFont"/>
    <w:link w:val="ALogo"/>
    <w:rsid w:val="00C20895"/>
    <w:rPr>
      <w:rFonts w:eastAsia="Times New Roman"/>
      <w:lang w:val="en-GB" w:eastAsia="en-US"/>
    </w:rPr>
  </w:style>
  <w:style w:type="paragraph" w:customStyle="1" w:styleId="ASpacer">
    <w:name w:val="A_Spacer"/>
    <w:basedOn w:val="Normal-pool"/>
    <w:link w:val="ASpacerChar"/>
    <w:rsid w:val="00C20895"/>
    <w:rPr>
      <w:sz w:val="2"/>
    </w:rPr>
  </w:style>
  <w:style w:type="character" w:customStyle="1" w:styleId="ASpacerChar">
    <w:name w:val="A_Spacer Char"/>
    <w:basedOn w:val="DefaultParagraphFont"/>
    <w:link w:val="ASpacer"/>
    <w:rsid w:val="00C20895"/>
    <w:rPr>
      <w:rFonts w:eastAsia="Times New Roman"/>
      <w:sz w:val="2"/>
      <w:lang w:val="en-GB" w:eastAsia="en-US"/>
    </w:rPr>
  </w:style>
  <w:style w:type="paragraph" w:customStyle="1" w:styleId="AATitle1">
    <w:name w:val="AA_Title1"/>
    <w:basedOn w:val="Normal-pool"/>
    <w:rsid w:val="00C20895"/>
  </w:style>
  <w:style w:type="character" w:styleId="UnresolvedMention">
    <w:name w:val="Unresolved Mention"/>
    <w:basedOn w:val="DefaultParagraphFont"/>
    <w:uiPriority w:val="99"/>
    <w:semiHidden/>
    <w:rsid w:val="00C20895"/>
    <w:rPr>
      <w:color w:val="605E5C"/>
      <w:shd w:val="clear" w:color="auto" w:fill="E1DFDD"/>
      <w:lang w:val="en-GB"/>
    </w:rPr>
  </w:style>
  <w:style w:type="paragraph" w:customStyle="1" w:styleId="ANormal">
    <w:name w:val="A_Normal"/>
    <w:basedOn w:val="Normal-pool"/>
    <w:rsid w:val="00C20895"/>
  </w:style>
  <w:style w:type="paragraph" w:customStyle="1" w:styleId="AText0">
    <w:name w:val="A_Text0"/>
    <w:basedOn w:val="AText"/>
    <w:next w:val="AText"/>
    <w:rsid w:val="00C20895"/>
    <w:pPr>
      <w:tabs>
        <w:tab w:val="clear" w:pos="4990"/>
      </w:tabs>
      <w:spacing w:before="0" w:after="120"/>
    </w:pPr>
  </w:style>
  <w:style w:type="paragraph" w:styleId="Footer">
    <w:name w:val="footer"/>
    <w:basedOn w:val="Normal"/>
    <w:link w:val="FooterChar1"/>
    <w:unhideWhenUsed/>
    <w:rsid w:val="00C20895"/>
    <w:pPr>
      <w:tabs>
        <w:tab w:val="clear" w:pos="1247"/>
        <w:tab w:val="right" w:pos="8641"/>
      </w:tabs>
    </w:pPr>
    <w:rPr>
      <w:b/>
      <w:sz w:val="18"/>
    </w:rPr>
  </w:style>
  <w:style w:type="character" w:customStyle="1" w:styleId="FooterChar1">
    <w:name w:val="Footer Char1"/>
    <w:basedOn w:val="DefaultParagraphFont"/>
    <w:link w:val="Footer"/>
    <w:rsid w:val="00C20895"/>
    <w:rPr>
      <w:rFonts w:eastAsia="Times New Roman"/>
      <w:b/>
      <w:sz w:val="18"/>
      <w:lang w:val="en-GB" w:eastAsia="en-US"/>
    </w:rPr>
  </w:style>
  <w:style w:type="paragraph" w:customStyle="1" w:styleId="Normal-pool">
    <w:name w:val="Normal-pool"/>
    <w:link w:val="Normal-poolChar"/>
    <w:qFormat/>
    <w:rsid w:val="00C2089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208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20895"/>
    <w:pPr>
      <w:spacing w:before="60"/>
      <w:ind w:left="624"/>
    </w:pPr>
    <w:rPr>
      <w:rFonts w:eastAsiaTheme="minorEastAsia"/>
      <w:sz w:val="18"/>
    </w:rPr>
  </w:style>
  <w:style w:type="paragraph" w:styleId="Bibliography">
    <w:name w:val="Bibliography"/>
    <w:basedOn w:val="Normal"/>
    <w:next w:val="Normal"/>
    <w:uiPriority w:val="37"/>
    <w:semiHidden/>
    <w:rsid w:val="00C20895"/>
  </w:style>
  <w:style w:type="paragraph" w:styleId="BlockText">
    <w:name w:val="Block Text"/>
    <w:basedOn w:val="Normal"/>
    <w:semiHidden/>
    <w:unhideWhenUsed/>
    <w:rsid w:val="00C208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20895"/>
    <w:pPr>
      <w:spacing w:after="120"/>
    </w:pPr>
  </w:style>
  <w:style w:type="character" w:customStyle="1" w:styleId="BodyTextChar">
    <w:name w:val="Body Text Char"/>
    <w:basedOn w:val="DefaultParagraphFont"/>
    <w:link w:val="BodyText"/>
    <w:semiHidden/>
    <w:rsid w:val="00C20895"/>
    <w:rPr>
      <w:rFonts w:eastAsia="Times New Roman"/>
      <w:lang w:val="en-GB" w:eastAsia="en-US"/>
    </w:rPr>
  </w:style>
  <w:style w:type="paragraph" w:styleId="BodyText2">
    <w:name w:val="Body Text 2"/>
    <w:basedOn w:val="Normal"/>
    <w:link w:val="BodyText2Char"/>
    <w:semiHidden/>
    <w:unhideWhenUsed/>
    <w:rsid w:val="00C20895"/>
    <w:pPr>
      <w:spacing w:after="120" w:line="480" w:lineRule="auto"/>
    </w:pPr>
  </w:style>
  <w:style w:type="character" w:customStyle="1" w:styleId="BodyText2Char">
    <w:name w:val="Body Text 2 Char"/>
    <w:basedOn w:val="DefaultParagraphFont"/>
    <w:link w:val="BodyText2"/>
    <w:semiHidden/>
    <w:rsid w:val="00C20895"/>
    <w:rPr>
      <w:rFonts w:eastAsia="Times New Roman"/>
      <w:lang w:val="en-GB" w:eastAsia="en-US"/>
    </w:rPr>
  </w:style>
  <w:style w:type="paragraph" w:styleId="BodyText3">
    <w:name w:val="Body Text 3"/>
    <w:basedOn w:val="Normal"/>
    <w:link w:val="BodyText3Char"/>
    <w:semiHidden/>
    <w:unhideWhenUsed/>
    <w:rsid w:val="00C20895"/>
    <w:pPr>
      <w:spacing w:after="120"/>
    </w:pPr>
    <w:rPr>
      <w:sz w:val="16"/>
      <w:szCs w:val="16"/>
    </w:rPr>
  </w:style>
  <w:style w:type="character" w:customStyle="1" w:styleId="BodyText3Char">
    <w:name w:val="Body Text 3 Char"/>
    <w:basedOn w:val="DefaultParagraphFont"/>
    <w:link w:val="BodyText3"/>
    <w:semiHidden/>
    <w:rsid w:val="00C2089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20895"/>
    <w:pPr>
      <w:spacing w:after="0"/>
      <w:ind w:firstLine="360"/>
    </w:pPr>
  </w:style>
  <w:style w:type="character" w:customStyle="1" w:styleId="BodyTextFirstIndentChar">
    <w:name w:val="Body Text First Indent Char"/>
    <w:basedOn w:val="BodyTextChar"/>
    <w:link w:val="BodyTextFirstIndent"/>
    <w:semiHidden/>
    <w:rsid w:val="00C20895"/>
    <w:rPr>
      <w:rFonts w:eastAsia="Times New Roman"/>
      <w:lang w:val="en-GB" w:eastAsia="en-US"/>
    </w:rPr>
  </w:style>
  <w:style w:type="paragraph" w:styleId="BodyTextIndent">
    <w:name w:val="Body Text Indent"/>
    <w:basedOn w:val="Normal"/>
    <w:link w:val="BodyTextIndentChar"/>
    <w:semiHidden/>
    <w:unhideWhenUsed/>
    <w:rsid w:val="00C20895"/>
    <w:pPr>
      <w:spacing w:after="120"/>
      <w:ind w:left="283"/>
    </w:pPr>
  </w:style>
  <w:style w:type="character" w:customStyle="1" w:styleId="BodyTextIndentChar">
    <w:name w:val="Body Text Indent Char"/>
    <w:basedOn w:val="DefaultParagraphFont"/>
    <w:link w:val="BodyTextIndent"/>
    <w:semiHidden/>
    <w:rsid w:val="00C20895"/>
    <w:rPr>
      <w:rFonts w:eastAsia="Times New Roman"/>
      <w:lang w:val="en-GB" w:eastAsia="en-US"/>
    </w:rPr>
  </w:style>
  <w:style w:type="paragraph" w:styleId="BodyTextFirstIndent2">
    <w:name w:val="Body Text First Indent 2"/>
    <w:basedOn w:val="BodyTextIndent"/>
    <w:link w:val="BodyTextFirstIndent2Char"/>
    <w:semiHidden/>
    <w:unhideWhenUsed/>
    <w:rsid w:val="00C20895"/>
    <w:pPr>
      <w:spacing w:after="0"/>
      <w:ind w:left="360" w:firstLine="360"/>
    </w:pPr>
  </w:style>
  <w:style w:type="character" w:customStyle="1" w:styleId="BodyTextFirstIndent2Char">
    <w:name w:val="Body Text First Indent 2 Char"/>
    <w:basedOn w:val="BodyTextIndentChar"/>
    <w:link w:val="BodyTextFirstIndent2"/>
    <w:semiHidden/>
    <w:rsid w:val="00C20895"/>
    <w:rPr>
      <w:rFonts w:eastAsia="Times New Roman"/>
      <w:lang w:val="en-GB" w:eastAsia="en-US"/>
    </w:rPr>
  </w:style>
  <w:style w:type="paragraph" w:styleId="BodyTextIndent2">
    <w:name w:val="Body Text Indent 2"/>
    <w:basedOn w:val="Normal"/>
    <w:link w:val="BodyTextIndent2Char"/>
    <w:semiHidden/>
    <w:unhideWhenUsed/>
    <w:rsid w:val="00C20895"/>
    <w:pPr>
      <w:spacing w:after="120" w:line="480" w:lineRule="auto"/>
      <w:ind w:left="283"/>
    </w:pPr>
  </w:style>
  <w:style w:type="character" w:customStyle="1" w:styleId="BodyTextIndent2Char">
    <w:name w:val="Body Text Indent 2 Char"/>
    <w:basedOn w:val="DefaultParagraphFont"/>
    <w:link w:val="BodyTextIndent2"/>
    <w:semiHidden/>
    <w:rsid w:val="00C20895"/>
    <w:rPr>
      <w:rFonts w:eastAsia="Times New Roman"/>
      <w:lang w:val="en-GB" w:eastAsia="en-US"/>
    </w:rPr>
  </w:style>
  <w:style w:type="paragraph" w:styleId="BodyTextIndent3">
    <w:name w:val="Body Text Indent 3"/>
    <w:basedOn w:val="Normal"/>
    <w:link w:val="BodyTextIndent3Char"/>
    <w:semiHidden/>
    <w:unhideWhenUsed/>
    <w:rsid w:val="00C20895"/>
    <w:pPr>
      <w:spacing w:after="120"/>
      <w:ind w:left="283"/>
    </w:pPr>
    <w:rPr>
      <w:sz w:val="16"/>
      <w:szCs w:val="16"/>
    </w:rPr>
  </w:style>
  <w:style w:type="character" w:customStyle="1" w:styleId="BodyTextIndent3Char">
    <w:name w:val="Body Text Indent 3 Char"/>
    <w:basedOn w:val="DefaultParagraphFont"/>
    <w:link w:val="BodyTextIndent3"/>
    <w:semiHidden/>
    <w:rsid w:val="00C20895"/>
    <w:rPr>
      <w:rFonts w:eastAsia="Times New Roman"/>
      <w:sz w:val="16"/>
      <w:szCs w:val="16"/>
      <w:lang w:val="en-GB" w:eastAsia="en-US"/>
    </w:rPr>
  </w:style>
  <w:style w:type="character" w:styleId="BookTitle">
    <w:name w:val="Book Title"/>
    <w:basedOn w:val="DefaultParagraphFont"/>
    <w:uiPriority w:val="33"/>
    <w:semiHidden/>
    <w:qFormat/>
    <w:rsid w:val="00C20895"/>
    <w:rPr>
      <w:b/>
      <w:bCs/>
      <w:i/>
      <w:iCs/>
      <w:spacing w:val="5"/>
      <w:lang w:val="en-GB"/>
    </w:rPr>
  </w:style>
  <w:style w:type="paragraph" w:styleId="Caption">
    <w:name w:val="caption"/>
    <w:basedOn w:val="Normal"/>
    <w:next w:val="Normal"/>
    <w:semiHidden/>
    <w:unhideWhenUsed/>
    <w:qFormat/>
    <w:rsid w:val="00C20895"/>
    <w:pPr>
      <w:spacing w:after="200"/>
    </w:pPr>
    <w:rPr>
      <w:i/>
      <w:iCs/>
      <w:color w:val="1F497D" w:themeColor="text2"/>
      <w:sz w:val="18"/>
      <w:szCs w:val="18"/>
    </w:rPr>
  </w:style>
  <w:style w:type="paragraph" w:styleId="Closing">
    <w:name w:val="Closing"/>
    <w:basedOn w:val="Normal"/>
    <w:link w:val="ClosingChar"/>
    <w:semiHidden/>
    <w:unhideWhenUsed/>
    <w:rsid w:val="00C20895"/>
    <w:pPr>
      <w:ind w:left="4252"/>
    </w:pPr>
  </w:style>
  <w:style w:type="character" w:customStyle="1" w:styleId="ClosingChar">
    <w:name w:val="Closing Char"/>
    <w:basedOn w:val="DefaultParagraphFont"/>
    <w:link w:val="Closing"/>
    <w:semiHidden/>
    <w:rsid w:val="00C20895"/>
    <w:rPr>
      <w:rFonts w:eastAsia="Times New Roman"/>
      <w:lang w:val="en-GB" w:eastAsia="en-US"/>
    </w:rPr>
  </w:style>
  <w:style w:type="table" w:styleId="ColorfulGrid">
    <w:name w:val="Colorful Grid"/>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semiHidden/>
    <w:unhideWhenUsed/>
    <w:rsid w:val="00C20895"/>
  </w:style>
  <w:style w:type="character" w:customStyle="1" w:styleId="DateChar">
    <w:name w:val="Date Char"/>
    <w:basedOn w:val="DefaultParagraphFont"/>
    <w:link w:val="Date"/>
    <w:semiHidden/>
    <w:rsid w:val="00C20895"/>
    <w:rPr>
      <w:rFonts w:eastAsia="Times New Roman"/>
      <w:lang w:val="en-GB" w:eastAsia="en-US"/>
    </w:rPr>
  </w:style>
  <w:style w:type="paragraph" w:styleId="DocumentMap">
    <w:name w:val="Document Map"/>
    <w:basedOn w:val="Normal"/>
    <w:link w:val="DocumentMapChar"/>
    <w:semiHidden/>
    <w:unhideWhenUsed/>
    <w:rsid w:val="00C20895"/>
    <w:rPr>
      <w:rFonts w:ascii="Segoe UI" w:hAnsi="Segoe UI" w:cs="Segoe UI"/>
      <w:sz w:val="16"/>
      <w:szCs w:val="16"/>
    </w:rPr>
  </w:style>
  <w:style w:type="character" w:customStyle="1" w:styleId="DocumentMapChar">
    <w:name w:val="Document Map Char"/>
    <w:basedOn w:val="DefaultParagraphFont"/>
    <w:link w:val="DocumentMap"/>
    <w:semiHidden/>
    <w:rsid w:val="00C2089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20895"/>
  </w:style>
  <w:style w:type="character" w:customStyle="1" w:styleId="E-mailSignatureChar">
    <w:name w:val="E-mail Signature Char"/>
    <w:basedOn w:val="DefaultParagraphFont"/>
    <w:link w:val="E-mailSignature"/>
    <w:semiHidden/>
    <w:rsid w:val="00C20895"/>
    <w:rPr>
      <w:rFonts w:eastAsia="Times New Roman"/>
      <w:lang w:val="en-GB" w:eastAsia="en-US"/>
    </w:rPr>
  </w:style>
  <w:style w:type="character" w:styleId="Emphasis">
    <w:name w:val="Emphasis"/>
    <w:basedOn w:val="DefaultParagraphFont"/>
    <w:semiHidden/>
    <w:qFormat/>
    <w:rsid w:val="00C20895"/>
    <w:rPr>
      <w:i/>
      <w:iCs/>
      <w:lang w:val="en-GB"/>
    </w:rPr>
  </w:style>
  <w:style w:type="character" w:styleId="EndnoteReference">
    <w:name w:val="endnote reference"/>
    <w:basedOn w:val="DefaultParagraphFont"/>
    <w:semiHidden/>
    <w:unhideWhenUsed/>
    <w:rsid w:val="00C20895"/>
    <w:rPr>
      <w:vertAlign w:val="superscript"/>
      <w:lang w:val="en-GB"/>
    </w:rPr>
  </w:style>
  <w:style w:type="paragraph" w:styleId="EndnoteText">
    <w:name w:val="endnote text"/>
    <w:basedOn w:val="Normal"/>
    <w:link w:val="EndnoteTextChar"/>
    <w:semiHidden/>
    <w:unhideWhenUsed/>
    <w:rsid w:val="00C20895"/>
  </w:style>
  <w:style w:type="character" w:customStyle="1" w:styleId="EndnoteTextChar">
    <w:name w:val="Endnote Text Char"/>
    <w:basedOn w:val="DefaultParagraphFont"/>
    <w:link w:val="EndnoteText"/>
    <w:semiHidden/>
    <w:rsid w:val="00C20895"/>
    <w:rPr>
      <w:rFonts w:eastAsia="Times New Roman"/>
      <w:lang w:val="en-GB" w:eastAsia="en-US"/>
    </w:rPr>
  </w:style>
  <w:style w:type="paragraph" w:styleId="EnvelopeAddress">
    <w:name w:val="envelope address"/>
    <w:basedOn w:val="Normal"/>
    <w:semiHidden/>
    <w:unhideWhenUsed/>
    <w:rsid w:val="00C208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0895"/>
    <w:rPr>
      <w:rFonts w:asciiTheme="majorHAnsi" w:eastAsiaTheme="majorEastAsia" w:hAnsiTheme="majorHAnsi" w:cstheme="majorBidi"/>
    </w:rPr>
  </w:style>
  <w:style w:type="paragraph" w:styleId="FootnoteText">
    <w:name w:val="footnote text"/>
    <w:basedOn w:val="Normal"/>
    <w:link w:val="FootnoteTextChar"/>
    <w:semiHidden/>
    <w:unhideWhenUsed/>
    <w:rsid w:val="00C20895"/>
  </w:style>
  <w:style w:type="character" w:customStyle="1" w:styleId="FootnoteTextChar">
    <w:name w:val="Footnote Text Char"/>
    <w:basedOn w:val="DefaultParagraphFont"/>
    <w:link w:val="FootnoteText"/>
    <w:semiHidden/>
    <w:rsid w:val="00C20895"/>
    <w:rPr>
      <w:rFonts w:eastAsia="Times New Roman"/>
      <w:lang w:val="en-GB" w:eastAsia="en-US"/>
    </w:rPr>
  </w:style>
  <w:style w:type="table" w:styleId="GridTable1Light">
    <w:name w:val="Grid Table 1 Light"/>
    <w:basedOn w:val="TableNormal"/>
    <w:uiPriority w:val="46"/>
    <w:rsid w:val="00C2089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C2089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C2089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C2089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C2089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C2089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C2089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2089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C2089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C2089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C2089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C2089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C2089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C2089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C20895"/>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895"/>
    <w:tblPr>
      <w:tblStyleRowBandSize w:val="1"/>
      <w:tblStyleColBandSize w:val="1"/>
    </w:tblPr>
    <w:tcPr>
      <w:tcBorders>
        <w:top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895"/>
    <w:tblPr>
      <w:tblStyleRowBandSize w:val="1"/>
      <w:tblStyleColBandSize w:val="1"/>
    </w:tblPr>
    <w:tcPr>
      <w:tcBorders>
        <w:top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895"/>
    <w:tblPr>
      <w:tblStyleRowBandSize w:val="1"/>
      <w:tblStyleColBandSize w:val="1"/>
    </w:tblPr>
    <w:tcPr>
      <w:tcBorders>
        <w:top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895"/>
    <w:tblPr>
      <w:tblStyleRowBandSize w:val="1"/>
      <w:tblStyleColBandSize w:val="1"/>
    </w:tblPr>
    <w:tcPr>
      <w:tcBorders>
        <w:top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895"/>
    <w:tblPr>
      <w:tblStyleRowBandSize w:val="1"/>
      <w:tblStyleColBandSize w:val="1"/>
    </w:tblPr>
    <w:tcPr>
      <w:tcBorders>
        <w:top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895"/>
    <w:tblPr>
      <w:tblStyleRowBandSize w:val="1"/>
      <w:tblStyleColBandSize w:val="1"/>
    </w:tblPr>
    <w:tcPr>
      <w:tcBorders>
        <w:top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89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C2089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C2089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C2089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C2089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C2089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C2089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C2089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rsid w:val="00C2089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20895"/>
    <w:rPr>
      <w:color w:val="2B579A"/>
      <w:shd w:val="clear" w:color="auto" w:fill="E1DFDD"/>
      <w:lang w:val="en-GB"/>
    </w:rPr>
  </w:style>
  <w:style w:type="character" w:styleId="HTMLAcronym">
    <w:name w:val="HTML Acronym"/>
    <w:basedOn w:val="DefaultParagraphFont"/>
    <w:semiHidden/>
    <w:unhideWhenUsed/>
    <w:rsid w:val="00C20895"/>
    <w:rPr>
      <w:lang w:val="en-GB"/>
    </w:rPr>
  </w:style>
  <w:style w:type="paragraph" w:styleId="HTMLAddress">
    <w:name w:val="HTML Address"/>
    <w:basedOn w:val="Normal"/>
    <w:link w:val="HTMLAddressChar"/>
    <w:semiHidden/>
    <w:unhideWhenUsed/>
    <w:rsid w:val="00C20895"/>
    <w:rPr>
      <w:i/>
      <w:iCs/>
    </w:rPr>
  </w:style>
  <w:style w:type="character" w:customStyle="1" w:styleId="HTMLAddressChar">
    <w:name w:val="HTML Address Char"/>
    <w:basedOn w:val="DefaultParagraphFont"/>
    <w:link w:val="HTMLAddress"/>
    <w:semiHidden/>
    <w:rsid w:val="00C20895"/>
    <w:rPr>
      <w:rFonts w:eastAsia="Times New Roman"/>
      <w:i/>
      <w:iCs/>
      <w:lang w:val="en-GB" w:eastAsia="en-US"/>
    </w:rPr>
  </w:style>
  <w:style w:type="character" w:styleId="HTMLCite">
    <w:name w:val="HTML Cite"/>
    <w:basedOn w:val="DefaultParagraphFont"/>
    <w:semiHidden/>
    <w:unhideWhenUsed/>
    <w:rsid w:val="00C20895"/>
    <w:rPr>
      <w:i/>
      <w:iCs/>
      <w:lang w:val="en-GB"/>
    </w:rPr>
  </w:style>
  <w:style w:type="character" w:styleId="HTMLCode">
    <w:name w:val="HTML Code"/>
    <w:basedOn w:val="DefaultParagraphFont"/>
    <w:semiHidden/>
    <w:unhideWhenUsed/>
    <w:rsid w:val="00C20895"/>
    <w:rPr>
      <w:rFonts w:ascii="Consolas" w:hAnsi="Consolas"/>
      <w:sz w:val="20"/>
      <w:szCs w:val="20"/>
      <w:lang w:val="en-GB"/>
    </w:rPr>
  </w:style>
  <w:style w:type="character" w:styleId="HTMLDefinition">
    <w:name w:val="HTML Definition"/>
    <w:basedOn w:val="DefaultParagraphFont"/>
    <w:semiHidden/>
    <w:unhideWhenUsed/>
    <w:rsid w:val="00C20895"/>
    <w:rPr>
      <w:i/>
      <w:iCs/>
      <w:lang w:val="en-GB"/>
    </w:rPr>
  </w:style>
  <w:style w:type="character" w:styleId="HTMLKeyboard">
    <w:name w:val="HTML Keyboard"/>
    <w:basedOn w:val="DefaultParagraphFont"/>
    <w:semiHidden/>
    <w:unhideWhenUsed/>
    <w:rsid w:val="00C20895"/>
    <w:rPr>
      <w:rFonts w:ascii="Consolas" w:hAnsi="Consolas"/>
      <w:sz w:val="20"/>
      <w:szCs w:val="20"/>
      <w:lang w:val="en-GB"/>
    </w:rPr>
  </w:style>
  <w:style w:type="paragraph" w:styleId="HTMLPreformatted">
    <w:name w:val="HTML Preformatted"/>
    <w:basedOn w:val="Normal"/>
    <w:link w:val="HTMLPreformattedChar"/>
    <w:semiHidden/>
    <w:unhideWhenUsed/>
    <w:rsid w:val="00C20895"/>
    <w:rPr>
      <w:rFonts w:ascii="Consolas" w:hAnsi="Consolas"/>
    </w:rPr>
  </w:style>
  <w:style w:type="character" w:customStyle="1" w:styleId="HTMLPreformattedChar">
    <w:name w:val="HTML Preformatted Char"/>
    <w:basedOn w:val="DefaultParagraphFont"/>
    <w:link w:val="HTMLPreformatted"/>
    <w:semiHidden/>
    <w:rsid w:val="00C20895"/>
    <w:rPr>
      <w:rFonts w:ascii="Consolas" w:eastAsia="Times New Roman" w:hAnsi="Consolas"/>
      <w:lang w:val="en-GB" w:eastAsia="en-US"/>
    </w:rPr>
  </w:style>
  <w:style w:type="character" w:styleId="HTMLSample">
    <w:name w:val="HTML Sample"/>
    <w:basedOn w:val="DefaultParagraphFont"/>
    <w:semiHidden/>
    <w:unhideWhenUsed/>
    <w:rsid w:val="00C20895"/>
    <w:rPr>
      <w:rFonts w:ascii="Consolas" w:hAnsi="Consolas"/>
      <w:sz w:val="24"/>
      <w:szCs w:val="24"/>
      <w:lang w:val="en-GB"/>
    </w:rPr>
  </w:style>
  <w:style w:type="character" w:styleId="HTMLTypewriter">
    <w:name w:val="HTML Typewriter"/>
    <w:basedOn w:val="DefaultParagraphFont"/>
    <w:semiHidden/>
    <w:unhideWhenUsed/>
    <w:rsid w:val="00C20895"/>
    <w:rPr>
      <w:rFonts w:ascii="Consolas" w:hAnsi="Consolas"/>
      <w:sz w:val="20"/>
      <w:szCs w:val="20"/>
      <w:lang w:val="en-GB"/>
    </w:rPr>
  </w:style>
  <w:style w:type="character" w:styleId="HTMLVariable">
    <w:name w:val="HTML Variable"/>
    <w:basedOn w:val="DefaultParagraphFont"/>
    <w:semiHidden/>
    <w:unhideWhenUsed/>
    <w:rsid w:val="00C20895"/>
    <w:rPr>
      <w:i/>
      <w:iCs/>
      <w:lang w:val="en-GB"/>
    </w:rPr>
  </w:style>
  <w:style w:type="paragraph" w:styleId="Index1">
    <w:name w:val="index 1"/>
    <w:basedOn w:val="Normal"/>
    <w:next w:val="Normal"/>
    <w:autoRedefine/>
    <w:semiHidden/>
    <w:unhideWhenUsed/>
    <w:rsid w:val="00C20895"/>
    <w:pPr>
      <w:tabs>
        <w:tab w:val="clear" w:pos="1247"/>
      </w:tabs>
      <w:ind w:left="200" w:hanging="200"/>
    </w:pPr>
  </w:style>
  <w:style w:type="paragraph" w:styleId="Index2">
    <w:name w:val="index 2"/>
    <w:basedOn w:val="Normal"/>
    <w:next w:val="Normal"/>
    <w:autoRedefine/>
    <w:semiHidden/>
    <w:unhideWhenUsed/>
    <w:rsid w:val="00C20895"/>
    <w:pPr>
      <w:tabs>
        <w:tab w:val="clear" w:pos="1247"/>
      </w:tabs>
      <w:ind w:left="400" w:hanging="200"/>
    </w:pPr>
  </w:style>
  <w:style w:type="paragraph" w:styleId="Index3">
    <w:name w:val="index 3"/>
    <w:basedOn w:val="Normal"/>
    <w:next w:val="Normal"/>
    <w:autoRedefine/>
    <w:semiHidden/>
    <w:unhideWhenUsed/>
    <w:rsid w:val="00C20895"/>
    <w:pPr>
      <w:tabs>
        <w:tab w:val="clear" w:pos="1247"/>
      </w:tabs>
      <w:ind w:left="600" w:hanging="200"/>
    </w:pPr>
  </w:style>
  <w:style w:type="paragraph" w:styleId="Index4">
    <w:name w:val="index 4"/>
    <w:basedOn w:val="Normal"/>
    <w:next w:val="Normal"/>
    <w:autoRedefine/>
    <w:semiHidden/>
    <w:unhideWhenUsed/>
    <w:rsid w:val="00C20895"/>
    <w:pPr>
      <w:tabs>
        <w:tab w:val="clear" w:pos="1247"/>
      </w:tabs>
      <w:ind w:left="800" w:hanging="200"/>
    </w:pPr>
  </w:style>
  <w:style w:type="paragraph" w:styleId="Index5">
    <w:name w:val="index 5"/>
    <w:basedOn w:val="Normal"/>
    <w:next w:val="Normal"/>
    <w:autoRedefine/>
    <w:semiHidden/>
    <w:unhideWhenUsed/>
    <w:rsid w:val="00C20895"/>
    <w:pPr>
      <w:tabs>
        <w:tab w:val="clear" w:pos="1247"/>
      </w:tabs>
      <w:ind w:left="1000" w:hanging="200"/>
    </w:pPr>
  </w:style>
  <w:style w:type="paragraph" w:styleId="Index6">
    <w:name w:val="index 6"/>
    <w:basedOn w:val="Normal"/>
    <w:next w:val="Normal"/>
    <w:autoRedefine/>
    <w:semiHidden/>
    <w:unhideWhenUsed/>
    <w:rsid w:val="00C20895"/>
    <w:pPr>
      <w:tabs>
        <w:tab w:val="clear" w:pos="1247"/>
      </w:tabs>
      <w:ind w:left="1200" w:hanging="200"/>
    </w:pPr>
  </w:style>
  <w:style w:type="paragraph" w:styleId="Index7">
    <w:name w:val="index 7"/>
    <w:basedOn w:val="Normal"/>
    <w:next w:val="Normal"/>
    <w:autoRedefine/>
    <w:semiHidden/>
    <w:unhideWhenUsed/>
    <w:rsid w:val="00C20895"/>
    <w:pPr>
      <w:tabs>
        <w:tab w:val="clear" w:pos="1247"/>
      </w:tabs>
      <w:ind w:left="1400" w:hanging="200"/>
    </w:pPr>
  </w:style>
  <w:style w:type="paragraph" w:styleId="Index8">
    <w:name w:val="index 8"/>
    <w:basedOn w:val="Normal"/>
    <w:next w:val="Normal"/>
    <w:autoRedefine/>
    <w:semiHidden/>
    <w:unhideWhenUsed/>
    <w:rsid w:val="00C20895"/>
    <w:pPr>
      <w:tabs>
        <w:tab w:val="clear" w:pos="1247"/>
      </w:tabs>
      <w:ind w:left="1600" w:hanging="200"/>
    </w:pPr>
  </w:style>
  <w:style w:type="paragraph" w:styleId="Index9">
    <w:name w:val="index 9"/>
    <w:basedOn w:val="Normal"/>
    <w:next w:val="Normal"/>
    <w:autoRedefine/>
    <w:semiHidden/>
    <w:unhideWhenUsed/>
    <w:rsid w:val="00C20895"/>
    <w:pPr>
      <w:tabs>
        <w:tab w:val="clear" w:pos="1247"/>
      </w:tabs>
      <w:ind w:left="1800" w:hanging="200"/>
    </w:pPr>
  </w:style>
  <w:style w:type="paragraph" w:styleId="IndexHeading">
    <w:name w:val="index heading"/>
    <w:basedOn w:val="Normal"/>
    <w:next w:val="Index1"/>
    <w:semiHidden/>
    <w:unhideWhenUsed/>
    <w:rsid w:val="00C208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20895"/>
    <w:rPr>
      <w:i/>
      <w:iCs/>
      <w:color w:val="4F81BD" w:themeColor="accent1"/>
      <w:lang w:val="en-GB"/>
    </w:rPr>
  </w:style>
  <w:style w:type="paragraph" w:styleId="IntenseQuote">
    <w:name w:val="Intense Quote"/>
    <w:basedOn w:val="Normal"/>
    <w:next w:val="Normal"/>
    <w:link w:val="IntenseQuoteChar"/>
    <w:uiPriority w:val="30"/>
    <w:semiHidden/>
    <w:qFormat/>
    <w:rsid w:val="00C20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2089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20895"/>
    <w:rPr>
      <w:b/>
      <w:bCs/>
      <w:smallCaps/>
      <w:color w:val="4F81BD" w:themeColor="accent1"/>
      <w:spacing w:val="5"/>
      <w:lang w:val="en-GB"/>
    </w:rPr>
  </w:style>
  <w:style w:type="table" w:styleId="LightGrid">
    <w:name w:val="Light Grid"/>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89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C2089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C2089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C2089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C2089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C2089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C2089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C2089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89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89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89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89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89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89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20895"/>
    <w:rPr>
      <w:lang w:val="en-GB"/>
    </w:rPr>
  </w:style>
  <w:style w:type="paragraph" w:styleId="List">
    <w:name w:val="List"/>
    <w:basedOn w:val="Normal"/>
    <w:semiHidden/>
    <w:unhideWhenUsed/>
    <w:rsid w:val="00C20895"/>
    <w:pPr>
      <w:ind w:left="283" w:hanging="283"/>
      <w:contextualSpacing/>
    </w:pPr>
  </w:style>
  <w:style w:type="paragraph" w:styleId="List2">
    <w:name w:val="List 2"/>
    <w:basedOn w:val="Normal"/>
    <w:semiHidden/>
    <w:unhideWhenUsed/>
    <w:rsid w:val="00C20895"/>
    <w:pPr>
      <w:ind w:left="566" w:hanging="283"/>
      <w:contextualSpacing/>
    </w:pPr>
  </w:style>
  <w:style w:type="paragraph" w:styleId="List3">
    <w:name w:val="List 3"/>
    <w:basedOn w:val="Normal"/>
    <w:semiHidden/>
    <w:unhideWhenUsed/>
    <w:rsid w:val="00C20895"/>
    <w:pPr>
      <w:ind w:left="849" w:hanging="283"/>
      <w:contextualSpacing/>
    </w:pPr>
  </w:style>
  <w:style w:type="paragraph" w:styleId="List4">
    <w:name w:val="List 4"/>
    <w:basedOn w:val="Normal"/>
    <w:semiHidden/>
    <w:unhideWhenUsed/>
    <w:rsid w:val="00C20895"/>
    <w:pPr>
      <w:ind w:left="1132" w:hanging="283"/>
      <w:contextualSpacing/>
    </w:pPr>
  </w:style>
  <w:style w:type="paragraph" w:styleId="List5">
    <w:name w:val="List 5"/>
    <w:basedOn w:val="Normal"/>
    <w:semiHidden/>
    <w:unhideWhenUsed/>
    <w:rsid w:val="00C20895"/>
    <w:pPr>
      <w:ind w:left="1415" w:hanging="283"/>
      <w:contextualSpacing/>
    </w:pPr>
  </w:style>
  <w:style w:type="paragraph" w:styleId="ListBullet">
    <w:name w:val="List Bullet"/>
    <w:basedOn w:val="Normal"/>
    <w:semiHidden/>
    <w:rsid w:val="00C20895"/>
    <w:pPr>
      <w:numPr>
        <w:numId w:val="6"/>
      </w:numPr>
      <w:contextualSpacing/>
    </w:pPr>
  </w:style>
  <w:style w:type="paragraph" w:styleId="ListBullet2">
    <w:name w:val="List Bullet 2"/>
    <w:basedOn w:val="Normal"/>
    <w:semiHidden/>
    <w:unhideWhenUsed/>
    <w:rsid w:val="00C20895"/>
    <w:pPr>
      <w:numPr>
        <w:numId w:val="7"/>
      </w:numPr>
      <w:contextualSpacing/>
    </w:pPr>
  </w:style>
  <w:style w:type="paragraph" w:styleId="ListBullet3">
    <w:name w:val="List Bullet 3"/>
    <w:basedOn w:val="Normal"/>
    <w:semiHidden/>
    <w:unhideWhenUsed/>
    <w:rsid w:val="00C20895"/>
    <w:pPr>
      <w:numPr>
        <w:numId w:val="8"/>
      </w:numPr>
      <w:contextualSpacing/>
    </w:pPr>
  </w:style>
  <w:style w:type="paragraph" w:styleId="ListBullet4">
    <w:name w:val="List Bullet 4"/>
    <w:basedOn w:val="Normal"/>
    <w:semiHidden/>
    <w:unhideWhenUsed/>
    <w:rsid w:val="00C20895"/>
    <w:pPr>
      <w:numPr>
        <w:numId w:val="9"/>
      </w:numPr>
      <w:contextualSpacing/>
    </w:pPr>
  </w:style>
  <w:style w:type="paragraph" w:styleId="ListBullet5">
    <w:name w:val="List Bullet 5"/>
    <w:basedOn w:val="Normal"/>
    <w:semiHidden/>
    <w:unhideWhenUsed/>
    <w:rsid w:val="00C20895"/>
    <w:pPr>
      <w:numPr>
        <w:numId w:val="10"/>
      </w:numPr>
      <w:contextualSpacing/>
    </w:pPr>
  </w:style>
  <w:style w:type="paragraph" w:styleId="ListContinue">
    <w:name w:val="List Continue"/>
    <w:basedOn w:val="Normal"/>
    <w:semiHidden/>
    <w:unhideWhenUsed/>
    <w:rsid w:val="00C20895"/>
    <w:pPr>
      <w:spacing w:after="120"/>
      <w:ind w:left="283"/>
      <w:contextualSpacing/>
    </w:pPr>
  </w:style>
  <w:style w:type="paragraph" w:styleId="ListContinue2">
    <w:name w:val="List Continue 2"/>
    <w:basedOn w:val="Normal"/>
    <w:semiHidden/>
    <w:unhideWhenUsed/>
    <w:rsid w:val="00C20895"/>
    <w:pPr>
      <w:spacing w:after="120"/>
      <w:ind w:left="566"/>
      <w:contextualSpacing/>
    </w:pPr>
  </w:style>
  <w:style w:type="paragraph" w:styleId="ListContinue3">
    <w:name w:val="List Continue 3"/>
    <w:basedOn w:val="Normal"/>
    <w:semiHidden/>
    <w:rsid w:val="00C20895"/>
    <w:pPr>
      <w:spacing w:after="120"/>
      <w:ind w:left="849"/>
      <w:contextualSpacing/>
    </w:pPr>
  </w:style>
  <w:style w:type="paragraph" w:styleId="ListContinue4">
    <w:name w:val="List Continue 4"/>
    <w:basedOn w:val="Normal"/>
    <w:semiHidden/>
    <w:rsid w:val="00C20895"/>
    <w:pPr>
      <w:spacing w:after="120"/>
      <w:ind w:left="1132"/>
      <w:contextualSpacing/>
    </w:pPr>
  </w:style>
  <w:style w:type="paragraph" w:styleId="ListContinue5">
    <w:name w:val="List Continue 5"/>
    <w:basedOn w:val="Normal"/>
    <w:semiHidden/>
    <w:rsid w:val="00C20895"/>
    <w:pPr>
      <w:spacing w:after="120"/>
      <w:ind w:left="1415"/>
      <w:contextualSpacing/>
    </w:pPr>
  </w:style>
  <w:style w:type="paragraph" w:styleId="ListNumber">
    <w:name w:val="List Number"/>
    <w:basedOn w:val="Normal"/>
    <w:semiHidden/>
    <w:rsid w:val="00C20895"/>
    <w:pPr>
      <w:numPr>
        <w:numId w:val="11"/>
      </w:numPr>
      <w:contextualSpacing/>
    </w:pPr>
  </w:style>
  <w:style w:type="paragraph" w:styleId="ListNumber2">
    <w:name w:val="List Number 2"/>
    <w:basedOn w:val="Normal"/>
    <w:semiHidden/>
    <w:unhideWhenUsed/>
    <w:rsid w:val="00C20895"/>
    <w:pPr>
      <w:numPr>
        <w:numId w:val="12"/>
      </w:numPr>
      <w:contextualSpacing/>
    </w:pPr>
  </w:style>
  <w:style w:type="paragraph" w:styleId="ListNumber3">
    <w:name w:val="List Number 3"/>
    <w:basedOn w:val="Normal"/>
    <w:semiHidden/>
    <w:unhideWhenUsed/>
    <w:rsid w:val="00C20895"/>
    <w:pPr>
      <w:numPr>
        <w:numId w:val="13"/>
      </w:numPr>
      <w:contextualSpacing/>
    </w:pPr>
  </w:style>
  <w:style w:type="paragraph" w:styleId="ListNumber4">
    <w:name w:val="List Number 4"/>
    <w:basedOn w:val="Normal"/>
    <w:semiHidden/>
    <w:unhideWhenUsed/>
    <w:rsid w:val="00C20895"/>
    <w:pPr>
      <w:numPr>
        <w:numId w:val="14"/>
      </w:numPr>
      <w:contextualSpacing/>
    </w:pPr>
  </w:style>
  <w:style w:type="paragraph" w:styleId="ListNumber5">
    <w:name w:val="List Number 5"/>
    <w:basedOn w:val="Normal"/>
    <w:semiHidden/>
    <w:unhideWhenUsed/>
    <w:rsid w:val="00C20895"/>
    <w:pPr>
      <w:numPr>
        <w:numId w:val="15"/>
      </w:numPr>
      <w:contextualSpacing/>
    </w:pPr>
  </w:style>
  <w:style w:type="table" w:styleId="ListTable1Light">
    <w:name w:val="List Table 1 Light"/>
    <w:basedOn w:val="TableNormal"/>
    <w:uiPriority w:val="46"/>
    <w:rsid w:val="00C208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8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8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8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8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8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8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C208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8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8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8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8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8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8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8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8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8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8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8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8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8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8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8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8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8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8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8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8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89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89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89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89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89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89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89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208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20895"/>
    <w:rPr>
      <w:rFonts w:ascii="Consolas" w:eastAsia="Times New Roman" w:hAnsi="Consolas"/>
      <w:lang w:val="en-GB" w:eastAsia="en-US"/>
    </w:rPr>
  </w:style>
  <w:style w:type="table" w:styleId="MediumGrid1">
    <w:name w:val="Medium Grid 1"/>
    <w:basedOn w:val="TableNormal"/>
    <w:uiPriority w:val="67"/>
    <w:semiHidden/>
    <w:unhideWhenUsed/>
    <w:rsid w:val="00C2089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rsid w:val="00C2089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rsid w:val="00C2089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rsid w:val="00C2089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rsid w:val="00C2089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rsid w:val="00C2089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rsid w:val="00C2089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sid w:val="00C2089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C2089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C2089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C20895"/>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C20895"/>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C20895"/>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C20895"/>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895"/>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C20895"/>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C20895"/>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C20895"/>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C20895"/>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C20895"/>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C20895"/>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20895"/>
    <w:rPr>
      <w:color w:val="2B579A"/>
      <w:shd w:val="clear" w:color="auto" w:fill="E1DFDD"/>
      <w:lang w:val="en-GB"/>
    </w:rPr>
  </w:style>
  <w:style w:type="paragraph" w:styleId="MessageHeader">
    <w:name w:val="Message Header"/>
    <w:basedOn w:val="Normal"/>
    <w:link w:val="MessageHeaderChar"/>
    <w:semiHidden/>
    <w:rsid w:val="00C208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089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20895"/>
    <w:pPr>
      <w:ind w:left="720"/>
    </w:pPr>
  </w:style>
  <w:style w:type="paragraph" w:styleId="NoteHeading">
    <w:name w:val="Note Heading"/>
    <w:basedOn w:val="Normal"/>
    <w:next w:val="Normal"/>
    <w:link w:val="NoteHeadingChar"/>
    <w:semiHidden/>
    <w:unhideWhenUsed/>
    <w:rsid w:val="00C20895"/>
  </w:style>
  <w:style w:type="character" w:customStyle="1" w:styleId="NoteHeadingChar">
    <w:name w:val="Note Heading Char"/>
    <w:basedOn w:val="DefaultParagraphFont"/>
    <w:link w:val="NoteHeading"/>
    <w:semiHidden/>
    <w:rsid w:val="00C20895"/>
    <w:rPr>
      <w:rFonts w:eastAsia="Times New Roman"/>
      <w:lang w:val="en-GB" w:eastAsia="en-US"/>
    </w:rPr>
  </w:style>
  <w:style w:type="table" w:styleId="PlainTable1">
    <w:name w:val="Plain Table 1"/>
    <w:basedOn w:val="TableNormal"/>
    <w:uiPriority w:val="41"/>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C2089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rsid w:val="00C20895"/>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C2089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20895"/>
    <w:rPr>
      <w:rFonts w:ascii="Consolas" w:hAnsi="Consolas"/>
      <w:sz w:val="21"/>
      <w:szCs w:val="21"/>
    </w:rPr>
  </w:style>
  <w:style w:type="character" w:customStyle="1" w:styleId="PlainTextChar">
    <w:name w:val="Plain Text Char"/>
    <w:basedOn w:val="DefaultParagraphFont"/>
    <w:link w:val="PlainText"/>
    <w:semiHidden/>
    <w:rsid w:val="00C2089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20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2089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20895"/>
  </w:style>
  <w:style w:type="character" w:customStyle="1" w:styleId="SalutationChar">
    <w:name w:val="Salutation Char"/>
    <w:basedOn w:val="DefaultParagraphFont"/>
    <w:link w:val="Salutation"/>
    <w:semiHidden/>
    <w:rsid w:val="00C20895"/>
    <w:rPr>
      <w:rFonts w:eastAsia="Times New Roman"/>
      <w:lang w:val="en-GB" w:eastAsia="en-US"/>
    </w:rPr>
  </w:style>
  <w:style w:type="paragraph" w:styleId="Signature">
    <w:name w:val="Signature"/>
    <w:basedOn w:val="Normal"/>
    <w:link w:val="SignatureChar"/>
    <w:semiHidden/>
    <w:unhideWhenUsed/>
    <w:rsid w:val="00C20895"/>
    <w:pPr>
      <w:ind w:left="4252"/>
    </w:pPr>
  </w:style>
  <w:style w:type="character" w:customStyle="1" w:styleId="SignatureChar">
    <w:name w:val="Signature Char"/>
    <w:basedOn w:val="DefaultParagraphFont"/>
    <w:link w:val="Signature"/>
    <w:semiHidden/>
    <w:rsid w:val="00C20895"/>
    <w:rPr>
      <w:rFonts w:eastAsia="Times New Roman"/>
      <w:lang w:val="en-GB" w:eastAsia="en-US"/>
    </w:rPr>
  </w:style>
  <w:style w:type="character" w:styleId="SmartHyperlink">
    <w:name w:val="Smart Hyperlink"/>
    <w:basedOn w:val="DefaultParagraphFont"/>
    <w:uiPriority w:val="99"/>
    <w:semiHidden/>
    <w:rsid w:val="00C20895"/>
    <w:rPr>
      <w:u w:val="dotted"/>
      <w:lang w:val="en-GB"/>
    </w:rPr>
  </w:style>
  <w:style w:type="character" w:styleId="SmartLink">
    <w:name w:val="Smart Link"/>
    <w:basedOn w:val="DefaultParagraphFont"/>
    <w:uiPriority w:val="99"/>
    <w:semiHidden/>
    <w:unhideWhenUsed/>
    <w:rsid w:val="00C20895"/>
    <w:rPr>
      <w:color w:val="0000FF"/>
      <w:u w:val="single"/>
      <w:shd w:val="clear" w:color="auto" w:fill="F3F2F1"/>
      <w:lang w:val="en-GB"/>
    </w:rPr>
  </w:style>
  <w:style w:type="character" w:styleId="Strong">
    <w:name w:val="Strong"/>
    <w:basedOn w:val="DefaultParagraphFont"/>
    <w:semiHidden/>
    <w:qFormat/>
    <w:rsid w:val="00C20895"/>
    <w:rPr>
      <w:b/>
      <w:bCs/>
      <w:lang w:val="en-GB"/>
    </w:rPr>
  </w:style>
  <w:style w:type="paragraph" w:styleId="Subtitle">
    <w:name w:val="Subtitle"/>
    <w:basedOn w:val="Normal"/>
    <w:next w:val="Normal"/>
    <w:link w:val="SubtitleChar"/>
    <w:semiHidden/>
    <w:qFormat/>
    <w:rsid w:val="00C20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2089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20895"/>
    <w:rPr>
      <w:i/>
      <w:iCs/>
      <w:color w:val="404040" w:themeColor="text1" w:themeTint="BF"/>
      <w:lang w:val="en-GB"/>
    </w:rPr>
  </w:style>
  <w:style w:type="character" w:styleId="SubtleReference">
    <w:name w:val="Subtle Reference"/>
    <w:basedOn w:val="DefaultParagraphFont"/>
    <w:uiPriority w:val="31"/>
    <w:semiHidden/>
    <w:qFormat/>
    <w:rsid w:val="00C20895"/>
    <w:rPr>
      <w:smallCaps/>
      <w:color w:val="5A5A5A" w:themeColor="text1" w:themeTint="A5"/>
      <w:lang w:val="en-GB"/>
    </w:rPr>
  </w:style>
  <w:style w:type="table" w:styleId="Table3Deffects1">
    <w:name w:val="Table 3D effect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styleId="TableColumns1">
    <w:name w:val="Table Column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Grid1">
    <w:name w:val="Table Grid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styleId="TableGrid2">
    <w:name w:val="Table Grid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6">
    <w:name w:val="Table Grid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C20895"/>
    <w:tblPr/>
  </w:style>
  <w:style w:type="table" w:styleId="TableList1">
    <w:name w:val="Table List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styleId="TableList5">
    <w:name w:val="Table List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styleId="TableList6">
    <w:name w:val="Table List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semiHidden/>
    <w:unhideWhenUsed/>
    <w:rsid w:val="00C20895"/>
    <w:pPr>
      <w:tabs>
        <w:tab w:val="clear" w:pos="1247"/>
      </w:tabs>
      <w:ind w:left="200" w:hanging="200"/>
    </w:pPr>
  </w:style>
  <w:style w:type="table" w:styleId="TableProfessional">
    <w:name w:val="Table Professional"/>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styleId="TableSimple1">
    <w:name w:val="Table Simp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styleId="TableSubtle1">
    <w:name w:val="Table Subt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style>
  <w:style w:type="table" w:styleId="TableWeb1">
    <w:name w:val="Table Web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2">
    <w:name w:val="Table Web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3">
    <w:name w:val="Table Web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styleId="Title">
    <w:name w:val="Title"/>
    <w:basedOn w:val="Normal"/>
    <w:next w:val="Normal"/>
    <w:link w:val="TitleChar"/>
    <w:semiHidden/>
    <w:qFormat/>
    <w:rsid w:val="00C20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208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208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208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20895"/>
    <w:rPr>
      <w:rFonts w:eastAsia="Times New Roman"/>
      <w:lang w:val="en-GB" w:eastAsia="en-US"/>
    </w:rPr>
  </w:style>
  <w:style w:type="character" w:customStyle="1" w:styleId="BBTitleChar">
    <w:name w:val="BB_Title Char"/>
    <w:link w:val="BBTitle"/>
    <w:rsid w:val="00C20895"/>
    <w:rPr>
      <w:rFonts w:eastAsia="Times New Roman"/>
      <w:b/>
      <w:sz w:val="28"/>
      <w:szCs w:val="28"/>
      <w:lang w:val="en-GB" w:eastAsia="en-US"/>
    </w:rPr>
  </w:style>
  <w:style w:type="paragraph" w:styleId="Revision">
    <w:name w:val="Revision"/>
    <w:hidden/>
    <w:uiPriority w:val="99"/>
    <w:semiHidden/>
    <w:rsid w:val="00C20895"/>
    <w:rPr>
      <w:rFonts w:eastAsia="Times New Roman"/>
      <w:lang w:val="en-GB" w:eastAsia="en-US"/>
    </w:rPr>
  </w:style>
  <w:style w:type="character" w:customStyle="1" w:styleId="CH2Char">
    <w:name w:val="CH2 Char"/>
    <w:link w:val="CH2"/>
    <w:locked/>
    <w:rsid w:val="00706937"/>
    <w:rPr>
      <w:rFonts w:eastAsia="Times New Roman"/>
      <w:b/>
      <w:sz w:val="24"/>
      <w:szCs w:val="24"/>
      <w:lang w:val="en-GB" w:eastAsia="en-US"/>
    </w:rPr>
  </w:style>
  <w:style w:type="character" w:customStyle="1" w:styleId="ListParagraphChar">
    <w:name w:val="List Paragraph Char"/>
    <w:aliases w:val="(i) Indent 2 Char,List Paragraph (numbered (a)) Char Char,List Paragraph Char Char Char Char,List Paragraph (numbered (a)) Char1,Use Case List Paragraph Char,List Paragraph2 Char,Numbered List Paragraph Char,Bullet paras Char"/>
    <w:basedOn w:val="DefaultParagraphFont"/>
    <w:link w:val="ListParagraph"/>
    <w:uiPriority w:val="34"/>
    <w:rsid w:val="0068760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informal-meeting-facilitating-implementation-montreal-protocol/presentations" TargetMode="External"/><Relationship Id="rId2" Type="http://schemas.openxmlformats.org/officeDocument/2006/relationships/hyperlink" Target="https://ozone.unep.org/system/files/documents/IM_concept-note-and-provisional-programme_final-draft_for-posting.pdf" TargetMode="External"/><Relationship Id="rId1" Type="http://schemas.openxmlformats.org/officeDocument/2006/relationships/hyperlink" Target="https://ozone.unep.org/system/files/documents/IM_concept-note-and-provisional-programme_final-draft_for-post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6A22DF2BF4E741B20FC849E833E823" ma:contentTypeVersion="15" ma:contentTypeDescription="Create a new document." ma:contentTypeScope="" ma:versionID="92591a7c7d4fb69f4fb82b8a180381a3">
  <xsd:schema xmlns:xsd="http://www.w3.org/2001/XMLSchema" xmlns:xs="http://www.w3.org/2001/XMLSchema" xmlns:p="http://schemas.microsoft.com/office/2006/metadata/properties" xmlns:ns2="2c71c120-b919-4552-8179-5cc8209ae34e" xmlns:ns3="985ec44e-1bab-4c0b-9df0-6ba128686fc9" xmlns:ns4="baf121fa-59df-4465-972a-a50e3f5ceefd" targetNamespace="http://schemas.microsoft.com/office/2006/metadata/properties" ma:root="true" ma:fieldsID="7042e2bc1670451d12045c49e2b5b4c8" ns2:_="" ns3:_="" ns4:_="">
    <xsd:import namespace="2c71c120-b919-4552-8179-5cc8209ae34e"/>
    <xsd:import namespace="985ec44e-1bab-4c0b-9df0-6ba128686fc9"/>
    <xsd:import namespace="baf121fa-59df-4465-972a-a50e3f5ce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1c120-b919-4552-8179-5cc8209ae3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f9ab90-c0aa-406c-b8f7-024cd4f5950d}" ma:internalName="TaxCatchAll" ma:showField="CatchAllData" ma:web="baf121fa-59df-4465-972a-a50e3f5c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121fa-59df-4465-972a-a50e3f5cee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c71c120-b919-4552-8179-5cc8209ae3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6EABCCE0-1542-4029-BED5-D120EB3B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1c120-b919-4552-8179-5cc8209ae34e"/>
    <ds:schemaRef ds:uri="985ec44e-1bab-4c0b-9df0-6ba128686fc9"/>
    <ds:schemaRef ds:uri="baf121fa-59df-4465-972a-a50e3f5ce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2c71c120-b919-4552-8179-5cc8209ae34e"/>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TotalTime>
  <Pages>56</Pages>
  <Words>34464</Words>
  <Characters>196449</Characters>
  <Application>Microsoft Office Word</Application>
  <DocSecurity>0</DocSecurity>
  <PresentationFormat/>
  <Lines>1637</Lines>
  <Paragraphs>460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Natalia Tcomaia</cp:lastModifiedBy>
  <cp:revision>2</cp:revision>
  <cp:lastPrinted>2026-01-20T08:10:00Z</cp:lastPrinted>
  <dcterms:created xsi:type="dcterms:W3CDTF">2026-02-25T07:09:00Z</dcterms:created>
  <dcterms:modified xsi:type="dcterms:W3CDTF">2026-02-25T07:09:00Z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Office_x0020_of_x0020_Origin">
    <vt:lpwstr/>
  </property>
  <property fmtid="{D5CDD505-2E9C-101B-9397-08002B2CF9AE}" pid="12" name="lcf76f155ced4ddcb4097134ff3c332f">
    <vt:lpwstr/>
  </property>
  <property fmtid="{D5CDD505-2E9C-101B-9397-08002B2CF9AE}" pid="13" name="Office of Origin">
    <vt:lpwstr/>
  </property>
  <property fmtid="{D5CDD505-2E9C-101B-9397-08002B2CF9AE}" pid="14" name="ContentTypeId">
    <vt:lpwstr>0x010100A06A22DF2BF4E741B20FC849E833E823</vt:lpwstr>
  </property>
  <property fmtid="{D5CDD505-2E9C-101B-9397-08002B2CF9AE}" pid="15" name="TranslatedWith">
    <vt:lpwstr>Mercury</vt:lpwstr>
  </property>
  <property fmtid="{D5CDD505-2E9C-101B-9397-08002B2CF9AE}" pid="16" name="GeneratedBy">
    <vt:lpwstr>taira.mamedova@un.org</vt:lpwstr>
  </property>
  <property fmtid="{D5CDD505-2E9C-101B-9397-08002B2CF9AE}" pid="17" name="GeneratedDate">
    <vt:lpwstr>02/04/2026 09:44:36</vt:lpwstr>
  </property>
  <property fmtid="{D5CDD505-2E9C-101B-9397-08002B2CF9AE}" pid="18" name="OriginalDocID">
    <vt:lpwstr>a1a36ff2-5996-4424-84ec-0d043c0d4332</vt:lpwstr>
  </property>
</Properties>
</file>