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A97BFB" w:rsidRPr="00DD0373" w14:paraId="6C701D88" w14:textId="77777777" w:rsidTr="00E65394">
        <w:trPr>
          <w:trHeight w:val="850"/>
        </w:trPr>
        <w:tc>
          <w:tcPr>
            <w:tcW w:w="1701" w:type="dxa"/>
          </w:tcPr>
          <w:p w14:paraId="1FD75E92" w14:textId="0575CD4E" w:rsidR="00A97BFB" w:rsidRPr="00DD0373" w:rsidRDefault="00A97BFB" w:rsidP="00E65394">
            <w:pPr>
              <w:pStyle w:val="AUnitedNations"/>
              <w:rPr>
                <w:lang w:val="es-ES_tradnl"/>
              </w:rPr>
            </w:pPr>
            <w:r w:rsidRPr="00DD0373">
              <w:rPr>
                <w:lang w:val="es-ES_tradnl"/>
              </w:rPr>
              <w:t xml:space="preserve">NACIONES </w:t>
            </w:r>
            <w:r w:rsidRPr="00DD0373">
              <w:rPr>
                <w:lang w:val="es-ES_tradnl"/>
              </w:rPr>
              <w:br/>
              <w:t>UNIDAS</w:t>
            </w:r>
          </w:p>
        </w:tc>
        <w:tc>
          <w:tcPr>
            <w:tcW w:w="6378" w:type="dxa"/>
          </w:tcPr>
          <w:p w14:paraId="2453C4C8" w14:textId="77777777" w:rsidR="00A97BFB" w:rsidRPr="00DD0373" w:rsidRDefault="00A97BFB" w:rsidP="00E65394">
            <w:pPr>
              <w:pStyle w:val="Normal-pool"/>
              <w:rPr>
                <w:lang w:val="es-ES_tradnl"/>
              </w:rPr>
            </w:pPr>
            <w:r w:rsidRPr="00DD0373">
              <w:rPr>
                <w:noProof/>
                <w:lang w:val="es-ES_tradnl" w:eastAsia="en-GB"/>
                <w14:ligatures w14:val="standardContextual"/>
              </w:rPr>
              <w:drawing>
                <wp:anchor distT="0" distB="0" distL="114300" distR="114300" simplePos="0" relativeHeight="251660288" behindDoc="0" locked="0" layoutInCell="1" allowOverlap="1" wp14:anchorId="018E2889" wp14:editId="45B5D36E">
                  <wp:simplePos x="0" y="0"/>
                  <wp:positionH relativeFrom="column">
                    <wp:posOffset>2077</wp:posOffset>
                  </wp:positionH>
                  <wp:positionV relativeFrom="paragraph">
                    <wp:posOffset>704</wp:posOffset>
                  </wp:positionV>
                  <wp:extent cx="1305763" cy="573559"/>
                  <wp:effectExtent l="0" t="0" r="8890" b="0"/>
                  <wp:wrapNone/>
                  <wp:docPr id="43733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33884" name=""/>
                          <pic:cNvPicPr/>
                        </pic:nvPicPr>
                        <pic:blipFill>
                          <a:blip r:embed="rId12">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3CB0F9E8" w14:textId="77777777" w:rsidR="00A97BFB" w:rsidRPr="00DD0373" w:rsidRDefault="00A97BFB" w:rsidP="00E65394">
            <w:pPr>
              <w:pStyle w:val="Normal-pool"/>
              <w:rPr>
                <w:lang w:val="es-ES_tradnl"/>
              </w:rPr>
            </w:pPr>
          </w:p>
        </w:tc>
      </w:tr>
    </w:tbl>
    <w:p w14:paraId="2429EBF6" w14:textId="77777777" w:rsidR="00A97BFB" w:rsidRPr="00DD0373" w:rsidRDefault="00A97BFB" w:rsidP="00A97BFB">
      <w:pPr>
        <w:pStyle w:val="ASpacer"/>
        <w:rPr>
          <w:lang w:val="es-ES_tradnl"/>
        </w:rPr>
      </w:pPr>
    </w:p>
    <w:tbl>
      <w:tblPr>
        <w:tblW w:w="9496" w:type="dxa"/>
        <w:tblLook w:val="0000" w:firstRow="0" w:lastRow="0" w:firstColumn="0" w:lastColumn="0" w:noHBand="0" w:noVBand="0"/>
      </w:tblPr>
      <w:tblGrid>
        <w:gridCol w:w="6378"/>
        <w:gridCol w:w="3118"/>
      </w:tblGrid>
      <w:tr w:rsidR="00A97BFB" w:rsidRPr="00DD0373" w14:paraId="2280BE31" w14:textId="77777777" w:rsidTr="00E65394">
        <w:trPr>
          <w:trHeight w:val="340"/>
        </w:trPr>
        <w:tc>
          <w:tcPr>
            <w:tcW w:w="3358" w:type="pct"/>
            <w:vAlign w:val="bottom"/>
          </w:tcPr>
          <w:p w14:paraId="774DF216" w14:textId="77777777" w:rsidR="00A97BFB" w:rsidRPr="00DD0373" w:rsidRDefault="00A97BFB" w:rsidP="00E65394">
            <w:pPr>
              <w:pStyle w:val="Normal-pool"/>
              <w:rPr>
                <w:lang w:val="es-ES_tradnl"/>
              </w:rPr>
            </w:pPr>
          </w:p>
        </w:tc>
        <w:tc>
          <w:tcPr>
            <w:tcW w:w="1642" w:type="pct"/>
            <w:noWrap/>
            <w:vAlign w:val="bottom"/>
          </w:tcPr>
          <w:p w14:paraId="044D3F44" w14:textId="635B47C2" w:rsidR="00A97BFB" w:rsidRPr="00DD0373" w:rsidRDefault="00A97BFB" w:rsidP="00E65394">
            <w:pPr>
              <w:pStyle w:val="ASymbol"/>
              <w:rPr>
                <w:lang w:val="es-ES_tradnl"/>
              </w:rPr>
            </w:pPr>
            <w:r w:rsidRPr="00DD0373">
              <w:rPr>
                <w:b/>
                <w:sz w:val="28"/>
                <w:lang w:val="es-ES_tradnl"/>
              </w:rPr>
              <w:t>UNEP</w:t>
            </w:r>
            <w:r w:rsidRPr="00DD0373">
              <w:rPr>
                <w:lang w:val="es-ES_tradnl"/>
              </w:rPr>
              <w:t>/OzL.Pro.37/9</w:t>
            </w:r>
          </w:p>
        </w:tc>
      </w:tr>
    </w:tbl>
    <w:p w14:paraId="400D10E7" w14:textId="77777777" w:rsidR="00A97BFB" w:rsidRPr="00DD0373" w:rsidRDefault="00A97BFB" w:rsidP="00A97BFB">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A97BFB" w:rsidRPr="00DD0373" w14:paraId="319EA769" w14:textId="77777777" w:rsidTr="00E65394">
        <w:trPr>
          <w:trHeight w:val="2098"/>
        </w:trPr>
        <w:tc>
          <w:tcPr>
            <w:tcW w:w="5386" w:type="dxa"/>
          </w:tcPr>
          <w:p w14:paraId="504E431C" w14:textId="77777777" w:rsidR="00A97BFB" w:rsidRPr="00DD0373" w:rsidRDefault="00A97BFB" w:rsidP="00E65394">
            <w:pPr>
              <w:pStyle w:val="AConvName"/>
              <w:rPr>
                <w:lang w:val="es-ES_tradnl"/>
              </w:rPr>
            </w:pPr>
            <w:r w:rsidRPr="00DD0373">
              <w:rPr>
                <w:lang w:val="es-ES_tradnl"/>
              </w:rPr>
              <w:t xml:space="preserve">Protocolo de Montreal relativo </w:t>
            </w:r>
            <w:r w:rsidRPr="00DD0373">
              <w:rPr>
                <w:lang w:val="es-ES_tradnl"/>
              </w:rPr>
              <w:br/>
              <w:t xml:space="preserve">a las Sustancias que Agotan </w:t>
            </w:r>
            <w:r w:rsidRPr="00DD0373">
              <w:rPr>
                <w:lang w:val="es-ES_tradnl"/>
              </w:rPr>
              <w:br/>
              <w:t>la Capa de Ozono</w:t>
            </w:r>
          </w:p>
        </w:tc>
        <w:tc>
          <w:tcPr>
            <w:tcW w:w="992" w:type="dxa"/>
          </w:tcPr>
          <w:p w14:paraId="6571772A" w14:textId="77777777" w:rsidR="00A97BFB" w:rsidRPr="00DD0373" w:rsidRDefault="00A97BFB" w:rsidP="00E65394">
            <w:pPr>
              <w:pStyle w:val="Normal-pool"/>
              <w:rPr>
                <w:lang w:val="es-ES_tradnl"/>
              </w:rPr>
            </w:pPr>
          </w:p>
        </w:tc>
        <w:tc>
          <w:tcPr>
            <w:tcW w:w="3118" w:type="dxa"/>
          </w:tcPr>
          <w:p w14:paraId="32084649" w14:textId="77777777" w:rsidR="00A97BFB" w:rsidRPr="00DD0373" w:rsidRDefault="00A97BFB" w:rsidP="00A97BFB">
            <w:pPr>
              <w:pStyle w:val="AText"/>
              <w:rPr>
                <w:rFonts w:eastAsiaTheme="minorEastAsia"/>
                <w:lang w:val="es-ES_tradnl"/>
              </w:rPr>
            </w:pPr>
            <w:proofErr w:type="spellStart"/>
            <w:r w:rsidRPr="00DD0373">
              <w:rPr>
                <w:color w:val="000000"/>
                <w:lang w:val="es-ES_tradnl"/>
              </w:rPr>
              <w:t>Distr</w:t>
            </w:r>
            <w:proofErr w:type="spellEnd"/>
            <w:r w:rsidRPr="00DD0373">
              <w:rPr>
                <w:color w:val="000000"/>
                <w:lang w:val="es-ES_tradnl"/>
              </w:rPr>
              <w:t>. general</w:t>
            </w:r>
          </w:p>
          <w:p w14:paraId="027D23AF" w14:textId="77777777" w:rsidR="00A97BFB" w:rsidRPr="00DD0373" w:rsidRDefault="00A97BFB" w:rsidP="00A97BFB">
            <w:pPr>
              <w:pStyle w:val="AText0"/>
              <w:rPr>
                <w:rFonts w:eastAsiaTheme="minorEastAsia"/>
                <w:lang w:val="es-ES_tradnl"/>
              </w:rPr>
            </w:pPr>
            <w:r w:rsidRPr="00DD0373">
              <w:rPr>
                <w:color w:val="000000"/>
                <w:lang w:val="es-ES_tradnl"/>
              </w:rPr>
              <w:t xml:space="preserve">12 de noviembre de 2025 </w:t>
            </w:r>
          </w:p>
          <w:p w14:paraId="1D67C935" w14:textId="15CE96CA" w:rsidR="00A97BFB" w:rsidRPr="00DD0373" w:rsidRDefault="00A97BFB" w:rsidP="00A97BFB">
            <w:pPr>
              <w:pStyle w:val="AText"/>
              <w:rPr>
                <w:lang w:val="es-ES_tradnl"/>
              </w:rPr>
            </w:pPr>
            <w:r w:rsidRPr="00DD0373">
              <w:rPr>
                <w:color w:val="000000"/>
                <w:lang w:val="es-ES_tradnl"/>
              </w:rPr>
              <w:t xml:space="preserve">Español </w:t>
            </w:r>
            <w:r w:rsidRPr="00DD0373">
              <w:rPr>
                <w:color w:val="000000"/>
                <w:lang w:val="es-ES_tradnl"/>
              </w:rPr>
              <w:br/>
              <w:t>Original: inglés</w:t>
            </w:r>
          </w:p>
        </w:tc>
      </w:tr>
    </w:tbl>
    <w:p w14:paraId="2E892F01" w14:textId="77777777" w:rsidR="00A97BFB" w:rsidRPr="00DD0373" w:rsidRDefault="00A97BFB" w:rsidP="00A97BFB">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A97BFB" w:rsidRPr="00C17707" w14:paraId="6B7EFBC8" w14:textId="77777777" w:rsidTr="00E65394">
        <w:trPr>
          <w:trHeight w:val="57"/>
        </w:trPr>
        <w:tc>
          <w:tcPr>
            <w:tcW w:w="5301" w:type="dxa"/>
          </w:tcPr>
          <w:p w14:paraId="5FDCF441" w14:textId="0C6E16F7" w:rsidR="00A97BFB" w:rsidRPr="00DD0373" w:rsidRDefault="00A97BFB" w:rsidP="00E65394">
            <w:pPr>
              <w:pStyle w:val="AATitle"/>
              <w:rPr>
                <w:lang w:val="es-ES_tradnl"/>
              </w:rPr>
            </w:pPr>
            <w:r w:rsidRPr="00DD0373">
              <w:rPr>
                <w:lang w:val="es-ES_tradnl"/>
              </w:rPr>
              <w:t xml:space="preserve">37ª Reunión de las </w:t>
            </w:r>
            <w:r w:rsidR="00C17707">
              <w:rPr>
                <w:lang w:val="es-ES_tradnl"/>
              </w:rPr>
              <w:t>Partes</w:t>
            </w:r>
            <w:r w:rsidRPr="00DD0373">
              <w:rPr>
                <w:lang w:val="es-ES_tradnl"/>
              </w:rPr>
              <w:t xml:space="preserve"> en el Protocolo </w:t>
            </w:r>
            <w:r w:rsidRPr="00DD0373">
              <w:rPr>
                <w:lang w:val="es-ES_tradnl"/>
              </w:rPr>
              <w:br/>
              <w:t xml:space="preserve">de Montreal relativo a las Sustancias que Agotan </w:t>
            </w:r>
            <w:r w:rsidRPr="00DD0373">
              <w:rPr>
                <w:lang w:val="es-ES_tradnl"/>
              </w:rPr>
              <w:br/>
              <w:t xml:space="preserve">la Capa de Ozono </w:t>
            </w:r>
          </w:p>
          <w:p w14:paraId="5E3DD7DF" w14:textId="41C69C43" w:rsidR="00A97BFB" w:rsidRPr="00DD0373" w:rsidRDefault="00A97BFB" w:rsidP="00A97BFB">
            <w:pPr>
              <w:pStyle w:val="AATitle1"/>
              <w:rPr>
                <w:lang w:val="es-ES_tradnl"/>
              </w:rPr>
            </w:pPr>
            <w:r w:rsidRPr="00DD0373">
              <w:rPr>
                <w:lang w:val="es-ES_tradnl"/>
              </w:rPr>
              <w:t xml:space="preserve">Nairobi, 3 a 7 de noviembre de 2025 </w:t>
            </w:r>
          </w:p>
        </w:tc>
        <w:tc>
          <w:tcPr>
            <w:tcW w:w="4195" w:type="dxa"/>
          </w:tcPr>
          <w:p w14:paraId="058F74C2" w14:textId="77777777" w:rsidR="00A97BFB" w:rsidRPr="00DD0373" w:rsidRDefault="00A97BFB" w:rsidP="00E65394">
            <w:pPr>
              <w:pStyle w:val="Normal-pool"/>
              <w:rPr>
                <w:lang w:val="es-ES_tradnl"/>
              </w:rPr>
            </w:pPr>
          </w:p>
        </w:tc>
      </w:tr>
    </w:tbl>
    <w:p w14:paraId="5378BA4B" w14:textId="4E12D9E9" w:rsidR="00716B27" w:rsidRPr="00DD0373" w:rsidRDefault="002D5348" w:rsidP="00716B27">
      <w:pPr>
        <w:pStyle w:val="BBTitle"/>
        <w:rPr>
          <w:rFonts w:eastAsiaTheme="minorEastAsia"/>
          <w:bCs/>
          <w:lang w:val="es-ES_tradnl"/>
        </w:rPr>
      </w:pPr>
      <w:r w:rsidRPr="00DD0373">
        <w:rPr>
          <w:bCs/>
          <w:lang w:val="es-ES_tradnl"/>
        </w:rPr>
        <w:t xml:space="preserve">Informe de la 37ª Reunión de las </w:t>
      </w:r>
      <w:r w:rsidR="00C17707">
        <w:rPr>
          <w:bCs/>
          <w:lang w:val="es-ES_tradnl"/>
        </w:rPr>
        <w:t>Partes</w:t>
      </w:r>
      <w:r w:rsidRPr="00DD0373">
        <w:rPr>
          <w:bCs/>
          <w:lang w:val="es-ES_tradnl"/>
        </w:rPr>
        <w:t xml:space="preserve"> en el Protocolo de Montreal relativo a las Sustancias que Agotan la Capa de Ozono</w:t>
      </w:r>
    </w:p>
    <w:p w14:paraId="598FAC88" w14:textId="77777777" w:rsidR="00716B27" w:rsidRPr="00DD0373" w:rsidRDefault="00716B27" w:rsidP="00716B27">
      <w:pPr>
        <w:pStyle w:val="CH1"/>
        <w:rPr>
          <w:rFonts w:eastAsiaTheme="minorEastAsia"/>
          <w:lang w:val="es-ES_tradnl"/>
        </w:rPr>
      </w:pPr>
      <w:r w:rsidRPr="00DD0373">
        <w:rPr>
          <w:lang w:val="es-ES_tradnl"/>
        </w:rPr>
        <w:tab/>
      </w:r>
      <w:r w:rsidRPr="00DD0373">
        <w:rPr>
          <w:lang w:val="es-ES_tradnl"/>
        </w:rPr>
        <w:tab/>
      </w:r>
      <w:r w:rsidRPr="00DD0373">
        <w:rPr>
          <w:bCs/>
          <w:lang w:val="es-ES_tradnl"/>
        </w:rPr>
        <w:t>Introducción</w:t>
      </w:r>
    </w:p>
    <w:p w14:paraId="3D7CD4B6" w14:textId="3202EB2B" w:rsidR="00F978AD" w:rsidRPr="00DD0373" w:rsidRDefault="00F978AD"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La 37ª Reunión de las </w:t>
      </w:r>
      <w:r w:rsidR="00C17707">
        <w:rPr>
          <w:lang w:val="es-ES_tradnl"/>
        </w:rPr>
        <w:t>Partes</w:t>
      </w:r>
      <w:r w:rsidRPr="00DD0373">
        <w:rPr>
          <w:lang w:val="es-ES_tradnl"/>
        </w:rPr>
        <w:t xml:space="preserve"> en el Protocolo de Montreal relativo a las Sustancias que Agotan la Capa de Ozono se celebró en la sede del Programa de las Naciones Unidas para el Medio Ambiente (PNUMA), en Nairobi, del 3 al 7 de noviembre de 2025.</w:t>
      </w:r>
    </w:p>
    <w:p w14:paraId="1A6D9F74" w14:textId="3729FD9C" w:rsidR="00C20895" w:rsidRPr="00DD0373" w:rsidRDefault="00C20895" w:rsidP="005D30C7">
      <w:pPr>
        <w:pStyle w:val="CH1"/>
        <w:keepNext w:val="0"/>
        <w:keepLines w:val="0"/>
        <w:spacing w:before="180"/>
        <w:rPr>
          <w:lang w:val="es-ES_tradnl"/>
        </w:rPr>
      </w:pPr>
      <w:r w:rsidRPr="00DD0373">
        <w:rPr>
          <w:lang w:val="es-ES_tradnl"/>
        </w:rPr>
        <w:tab/>
      </w:r>
      <w:r w:rsidRPr="00DD0373">
        <w:rPr>
          <w:lang w:val="es-ES_tradnl"/>
        </w:rPr>
        <w:tab/>
      </w:r>
      <w:r w:rsidRPr="00DD0373">
        <w:rPr>
          <w:bCs/>
          <w:lang w:val="es-ES_tradnl"/>
        </w:rPr>
        <w:t>Primera parte: serie de sesiones preparatorias (3 a 5 de noviembre de 2025)</w:t>
      </w:r>
    </w:p>
    <w:p w14:paraId="7A8AD850" w14:textId="6773F317" w:rsidR="00C20895" w:rsidRPr="00DD0373" w:rsidRDefault="002E7CA9" w:rsidP="005D30C7">
      <w:pPr>
        <w:pStyle w:val="CH1"/>
        <w:keepNext w:val="0"/>
        <w:keepLines w:val="0"/>
        <w:rPr>
          <w:lang w:val="es-ES_tradnl"/>
        </w:rPr>
      </w:pPr>
      <w:r w:rsidRPr="00DD0373">
        <w:rPr>
          <w:bCs/>
          <w:lang w:val="es-ES_tradnl"/>
        </w:rPr>
        <w:tab/>
      </w:r>
      <w:r w:rsidR="005D30C7" w:rsidRPr="00DD0373">
        <w:rPr>
          <w:bCs/>
          <w:lang w:val="es-ES_tradnl"/>
        </w:rPr>
        <w:t>I.</w:t>
      </w:r>
      <w:r w:rsidR="005D30C7" w:rsidRPr="00DD0373">
        <w:rPr>
          <w:lang w:val="es-ES_tradnl"/>
        </w:rPr>
        <w:tab/>
      </w:r>
      <w:r w:rsidR="005D30C7" w:rsidRPr="00DD0373">
        <w:rPr>
          <w:bCs/>
          <w:lang w:val="es-ES_tradnl"/>
        </w:rPr>
        <w:t>Apertura de la serie de sesiones preparatorias</w:t>
      </w:r>
    </w:p>
    <w:p w14:paraId="43A1D32A" w14:textId="7A5DED1E" w:rsidR="00F978AD" w:rsidRPr="00DD0373" w:rsidRDefault="00F978AD"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La serie de sesiones preparatorias fue inaugurada por sus Copresidentas, Annie Gabriel (Australia) y Shontelle Wellington (Barbados), a las 10.05 horas del lunes 3 de noviembre de 2025. Megumi Seki, </w:t>
      </w:r>
      <w:proofErr w:type="gramStart"/>
      <w:r w:rsidRPr="00DD0373">
        <w:rPr>
          <w:lang w:val="es-ES_tradnl"/>
        </w:rPr>
        <w:t>Secretaria Ejecutiva</w:t>
      </w:r>
      <w:proofErr w:type="gramEnd"/>
      <w:r w:rsidRPr="00DD0373">
        <w:rPr>
          <w:lang w:val="es-ES_tradnl"/>
        </w:rPr>
        <w:t xml:space="preserve"> de la Secretaría del Ozono, pronunció una declaración introductoria.</w:t>
      </w:r>
    </w:p>
    <w:p w14:paraId="322ECBCC" w14:textId="1223E9B3" w:rsidR="00F978AD" w:rsidRPr="00DD0373" w:rsidRDefault="00F978AD"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Al dar la bienvenida a los participantes, la Sra. Seki les invitó a guardar un minuto de silencio en memoria de Cornelius Rhein (Unión Europea), fallecido inesperadamente unos días antes. En consecuencia, se guardó un minuto de silencio. Al rendir homenaje al Sr. Rhein, la Sra. Seki dijo que se le había admirado por su profesionalidad, su entusiasmo y su compromiso inquebrantable con la protección de la capa de ozono y del medio ambiente. Entre sus esfuerzos, el Sr. Rhein había desempeñado un papel clave en el proceso del Protocolo de Montreal y en las negociaciones y la aplicación de la Enmienda de Kigali al Protocolo de Montreal, había participado en el Comité de Aplicación establecido con arreglo al Procedimiento relativo al Incumplimiento del Protocolo de Montreal y había sido miembro del comité directivo del proyecto piloto financiado por la Unión Europea sobre la cuantificación regional de las emisiones de sustancias controladas en virtud del Protocolo.</w:t>
      </w:r>
    </w:p>
    <w:p w14:paraId="484D2D45" w14:textId="505506F1" w:rsidR="00F978AD" w:rsidRPr="00DD0373" w:rsidRDefault="00F978AD"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En cuanto a los trabajos de la reunión en curso, la Sra. Seki dijo que se iban a abordar varias cuestiones clave, entre ellas el mandato del estudio relativo a la reposición del Fondo Multilateral para</w:t>
      </w:r>
      <w:r w:rsidR="00A97BFB" w:rsidRPr="00DD0373">
        <w:rPr>
          <w:lang w:val="es-ES_tradnl"/>
        </w:rPr>
        <w:t> </w:t>
      </w:r>
      <w:r w:rsidRPr="00DD0373">
        <w:rPr>
          <w:lang w:val="es-ES_tradnl"/>
        </w:rPr>
        <w:t>la Aplicación del Protocolo de Montreal para 2027–2029, los usos como materia prima de las</w:t>
      </w:r>
      <w:r w:rsidR="00A97BFB" w:rsidRPr="00DD0373">
        <w:rPr>
          <w:lang w:val="es-ES_tradnl"/>
        </w:rPr>
        <w:t> </w:t>
      </w:r>
      <w:r w:rsidRPr="00DD0373">
        <w:rPr>
          <w:lang w:val="es-ES_tradnl"/>
        </w:rPr>
        <w:t xml:space="preserve">sustancias controladas, el halón 1301 y su uso continuado en la industria de la aviación, y las iniciativas nacionales y regionales para </w:t>
      </w:r>
      <w:r w:rsidR="00454016" w:rsidRPr="00DD0373">
        <w:rPr>
          <w:lang w:val="es-ES_tradnl"/>
        </w:rPr>
        <w:t>apoyar</w:t>
      </w:r>
      <w:r w:rsidRPr="00DD0373">
        <w:rPr>
          <w:lang w:val="es-ES_tradnl"/>
        </w:rPr>
        <w:t xml:space="preserve"> la aplicación de la Enmienda de Kigali al Protocolo. Durante la reunión oficiosa de un día, celebrada la víspera, los participantes habían debatido cómo reforzar el Protocolo. La oradora expresó su esperanza de que el diálogo hubiese sido útil y se tradujese en medidas concretas en la reunión en curso.</w:t>
      </w:r>
    </w:p>
    <w:p w14:paraId="53CE99F0" w14:textId="0AAB34FB" w:rsidR="00F978AD" w:rsidRPr="00DD0373" w:rsidRDefault="00F978AD"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lastRenderedPageBreak/>
        <w:t>La oradora recordó que, en la 47ª reunión del Grupo de Trabajo de composición abierta de las</w:t>
      </w:r>
      <w:r w:rsidR="00A97BFB" w:rsidRPr="00DD0373">
        <w:rPr>
          <w:lang w:val="es-ES_tradnl"/>
        </w:rPr>
        <w:t> </w:t>
      </w:r>
      <w:r w:rsidR="00C17707">
        <w:rPr>
          <w:lang w:val="es-ES_tradnl"/>
        </w:rPr>
        <w:t>Partes</w:t>
      </w:r>
      <w:r w:rsidRPr="00DD0373">
        <w:rPr>
          <w:lang w:val="es-ES_tradnl"/>
        </w:rPr>
        <w:t xml:space="preserve"> en el Protocolo de Montreal, celebrada en Bangkok en julio de 2025, la Copresidencia del</w:t>
      </w:r>
      <w:r w:rsidR="00A97BFB" w:rsidRPr="00DD0373">
        <w:rPr>
          <w:lang w:val="es-ES_tradnl"/>
        </w:rPr>
        <w:t> </w:t>
      </w:r>
      <w:r w:rsidRPr="00DD0373">
        <w:rPr>
          <w:lang w:val="es-ES_tradnl"/>
        </w:rPr>
        <w:t xml:space="preserve">Comité </w:t>
      </w:r>
      <w:r w:rsidR="00377C6C" w:rsidRPr="00DD0373">
        <w:rPr>
          <w:lang w:val="es-ES_tradnl"/>
        </w:rPr>
        <w:t>Asesor</w:t>
      </w:r>
      <w:r w:rsidRPr="00DD0373">
        <w:rPr>
          <w:lang w:val="es-ES_tradnl"/>
        </w:rPr>
        <w:t xml:space="preserve"> del fondo fiduciario general para financiar las actividades de investigación y observaciones sistemáticas de interés para el Convenio de Viena para la Protección de la Capa de Ozono había realizado una presentación sobre la vigilancia atmosférica de sustancias controladas y la</w:t>
      </w:r>
      <w:r w:rsidR="00A97BFB" w:rsidRPr="00DD0373">
        <w:rPr>
          <w:lang w:val="es-ES_tradnl"/>
        </w:rPr>
        <w:t> </w:t>
      </w:r>
      <w:r w:rsidRPr="00DD0373">
        <w:rPr>
          <w:lang w:val="es-ES_tradnl"/>
        </w:rPr>
        <w:t>Secretaría había informado sobre los avances en la ejecución de actividades relacionadas con esta vigilancia. En la reunión en curso se facilitarían más datos actualizados sobre los trabajos realizados para evaluar la idoneidad de los posibles emplazamientos para la vigilancia de las emisiones regionales de sustancias controladas y afinar las estimaciones de los gastos del establecimiento de estaciones de vigilancia. El Grupo de Evaluación Científica y el Grupo de Evaluación Tecnológica y</w:t>
      </w:r>
      <w:r w:rsidR="00A97BFB" w:rsidRPr="00DD0373">
        <w:rPr>
          <w:lang w:val="es-ES_tradnl"/>
        </w:rPr>
        <w:t> </w:t>
      </w:r>
      <w:r w:rsidRPr="00DD0373">
        <w:rPr>
          <w:lang w:val="es-ES_tradnl"/>
        </w:rPr>
        <w:t>Económica presentarían sus informes actualizados sobre las emisiones de hidrofluorocarbono</w:t>
      </w:r>
      <w:r w:rsidR="00AC7191" w:rsidRPr="00DD0373">
        <w:rPr>
          <w:lang w:val="es-ES_tradnl"/>
        </w:rPr>
        <w:noBreakHyphen/>
      </w:r>
      <w:r w:rsidRPr="00DD0373">
        <w:rPr>
          <w:lang w:val="es-ES_tradnl"/>
        </w:rPr>
        <w:t>23 (HFC</w:t>
      </w:r>
      <w:r w:rsidR="00AC7191" w:rsidRPr="00DD0373">
        <w:rPr>
          <w:lang w:val="es-ES_tradnl"/>
        </w:rPr>
        <w:noBreakHyphen/>
      </w:r>
      <w:r w:rsidRPr="00DD0373">
        <w:rPr>
          <w:lang w:val="es-ES_tradnl"/>
        </w:rPr>
        <w:t>23), lo que brindaría la oportunidad de demostrar la agilidad del Protocolo para responder a las</w:t>
      </w:r>
      <w:r w:rsidR="00A97BFB" w:rsidRPr="00DD0373">
        <w:rPr>
          <w:lang w:val="es-ES_tradnl"/>
        </w:rPr>
        <w:t> </w:t>
      </w:r>
      <w:r w:rsidRPr="00DD0373">
        <w:rPr>
          <w:lang w:val="es-ES_tradnl"/>
        </w:rPr>
        <w:t>nuevas amenazas. La ciencia seguía siendo la columna vertebral del Protocolo, y subsanar las diferencias en la vigilancia atmosférica representaría un paso vital para seguir reforzando el Protocolo</w:t>
      </w:r>
      <w:r w:rsidR="00A97BFB" w:rsidRPr="00DD0373">
        <w:rPr>
          <w:lang w:val="es-ES_tradnl"/>
        </w:rPr>
        <w:t> </w:t>
      </w:r>
      <w:r w:rsidRPr="00DD0373">
        <w:rPr>
          <w:lang w:val="es-ES_tradnl"/>
        </w:rPr>
        <w:t>y el Convenio de Viena.</w:t>
      </w:r>
    </w:p>
    <w:p w14:paraId="37F47F47" w14:textId="08F0B346" w:rsidR="00F978AD" w:rsidRPr="00DD0373" w:rsidRDefault="00F978AD"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Por último, a la luz del cambiante clima geopolítico, los crecientes desafíos al multilateralismo, la incertidumbre financiera y el cambio de prioridades, las Naciones Unidas, incluido</w:t>
      </w:r>
      <w:r w:rsidR="00EC4C86" w:rsidRPr="00DD0373">
        <w:rPr>
          <w:lang w:val="es-ES_tradnl"/>
        </w:rPr>
        <w:t> </w:t>
      </w:r>
      <w:r w:rsidRPr="00DD0373">
        <w:rPr>
          <w:lang w:val="es-ES_tradnl"/>
        </w:rPr>
        <w:t>el PNUMA, habían adoptado medidas para mejorar la eficiencia y reafirmar el valor del multilateralismo. Asimismo, la Secretaría había adoptado medidas para ahorrar fondos siempre que había sido posible, al tiempo que había trabajado aún más y con menos personal a fin de velar por la eficacia del Protocolo de Montreal, un tratado que se erigía en faro de esperanza y prueba de que la cooperación mundial funcionaba.</w:t>
      </w:r>
    </w:p>
    <w:p w14:paraId="098D9F85" w14:textId="66419763" w:rsidR="00C20895" w:rsidRPr="00DD0373" w:rsidRDefault="002E7CA9" w:rsidP="00F2522C">
      <w:pPr>
        <w:pStyle w:val="CH1"/>
        <w:rPr>
          <w:lang w:val="es-ES_tradnl"/>
        </w:rPr>
      </w:pPr>
      <w:r w:rsidRPr="00DD0373">
        <w:rPr>
          <w:bCs/>
          <w:lang w:val="es-ES_tradnl"/>
        </w:rPr>
        <w:tab/>
      </w:r>
      <w:r w:rsidR="005D30C7" w:rsidRPr="00DD0373">
        <w:rPr>
          <w:bCs/>
          <w:lang w:val="es-ES_tradnl"/>
        </w:rPr>
        <w:t>II.</w:t>
      </w:r>
      <w:r w:rsidR="005D30C7" w:rsidRPr="00DD0373">
        <w:rPr>
          <w:lang w:val="es-ES_tradnl"/>
        </w:rPr>
        <w:tab/>
      </w:r>
      <w:r w:rsidR="005D30C7" w:rsidRPr="00DD0373">
        <w:rPr>
          <w:bCs/>
          <w:lang w:val="es-ES_tradnl"/>
        </w:rPr>
        <w:t>Cuestiones de organización</w:t>
      </w:r>
    </w:p>
    <w:p w14:paraId="7AE77B43" w14:textId="7D59AF97" w:rsidR="00261D36" w:rsidRPr="00DD0373" w:rsidRDefault="002E7CA9" w:rsidP="00F2522C">
      <w:pPr>
        <w:pStyle w:val="CH2"/>
        <w:rPr>
          <w:lang w:val="es-ES_tradnl"/>
        </w:rPr>
      </w:pPr>
      <w:r w:rsidRPr="00DD0373">
        <w:rPr>
          <w:bCs/>
          <w:lang w:val="es-ES_tradnl"/>
        </w:rPr>
        <w:tab/>
      </w:r>
      <w:r w:rsidR="00B90544" w:rsidRPr="00DD0373">
        <w:rPr>
          <w:bCs/>
          <w:lang w:val="es-ES_tradnl"/>
        </w:rPr>
        <w:t>A.</w:t>
      </w:r>
      <w:r w:rsidR="00B90544" w:rsidRPr="00DD0373">
        <w:rPr>
          <w:lang w:val="es-ES_tradnl"/>
        </w:rPr>
        <w:tab/>
      </w:r>
      <w:r w:rsidR="00B90544" w:rsidRPr="00DD0373">
        <w:rPr>
          <w:bCs/>
          <w:lang w:val="es-ES_tradnl"/>
        </w:rPr>
        <w:t>Asistencia</w:t>
      </w:r>
    </w:p>
    <w:p w14:paraId="1B19742A" w14:textId="057090D4" w:rsidR="002F476F" w:rsidRPr="00DD0373" w:rsidRDefault="002F476F" w:rsidP="002F476F">
      <w:pPr>
        <w:pStyle w:val="Normalnumber"/>
        <w:rPr>
          <w:lang w:val="es-ES_tradnl"/>
        </w:rPr>
      </w:pPr>
      <w:r w:rsidRPr="00DD0373">
        <w:rPr>
          <w:lang w:val="es-ES_tradnl"/>
        </w:rPr>
        <w:t xml:space="preserve">Estuvieron representadas las </w:t>
      </w:r>
      <w:r w:rsidR="00C17707">
        <w:rPr>
          <w:lang w:val="es-ES_tradnl"/>
        </w:rPr>
        <w:t>Partes</w:t>
      </w:r>
      <w:r w:rsidRPr="00DD0373">
        <w:rPr>
          <w:lang w:val="es-ES_tradnl"/>
        </w:rPr>
        <w:t xml:space="preserve"> en el Protocolo de Montreal que se indican a continuación: Albania, Alemania, Angola, Arabia Saudita, Argentina, Armenia, Australia, Austria, Azerbaiyán, </w:t>
      </w:r>
      <w:proofErr w:type="spellStart"/>
      <w:r w:rsidRPr="00DD0373">
        <w:rPr>
          <w:lang w:val="es-ES_tradnl"/>
        </w:rPr>
        <w:t>Bahrein</w:t>
      </w:r>
      <w:proofErr w:type="spellEnd"/>
      <w:r w:rsidRPr="00DD0373">
        <w:rPr>
          <w:lang w:val="es-ES_tradnl"/>
        </w:rPr>
        <w:t xml:space="preserve">, Bangladesh, Barbados, Bélgica, Belice, Benin, </w:t>
      </w:r>
      <w:proofErr w:type="spellStart"/>
      <w:r w:rsidRPr="00DD0373">
        <w:rPr>
          <w:lang w:val="es-ES_tradnl"/>
        </w:rPr>
        <w:t>Bhután</w:t>
      </w:r>
      <w:proofErr w:type="spellEnd"/>
      <w:r w:rsidRPr="00DD0373">
        <w:rPr>
          <w:lang w:val="es-ES_tradnl"/>
        </w:rPr>
        <w:t xml:space="preserve">, Bosnia y Herzegovina, </w:t>
      </w:r>
      <w:proofErr w:type="spellStart"/>
      <w:r w:rsidRPr="00DD0373">
        <w:rPr>
          <w:lang w:val="es-ES_tradnl"/>
        </w:rPr>
        <w:t>Botswana</w:t>
      </w:r>
      <w:proofErr w:type="spellEnd"/>
      <w:r w:rsidRPr="00DD0373">
        <w:rPr>
          <w:lang w:val="es-ES_tradnl"/>
        </w:rPr>
        <w:t xml:space="preserve">, Brasil, </w:t>
      </w:r>
      <w:proofErr w:type="spellStart"/>
      <w:r w:rsidRPr="00DD0373">
        <w:rPr>
          <w:lang w:val="es-ES_tradnl"/>
        </w:rPr>
        <w:t>Brunei</w:t>
      </w:r>
      <w:proofErr w:type="spellEnd"/>
      <w:r w:rsidRPr="00DD0373">
        <w:rPr>
          <w:lang w:val="es-ES_tradnl"/>
        </w:rPr>
        <w:t xml:space="preserve"> Darussalam, Burkina Faso, Burundi, Camboya, Camerún, Canadá, Colombia, Comoras, Costa Rica, </w:t>
      </w:r>
      <w:proofErr w:type="spellStart"/>
      <w:r w:rsidRPr="00DD0373">
        <w:rPr>
          <w:lang w:val="es-ES_tradnl"/>
        </w:rPr>
        <w:t>Côte</w:t>
      </w:r>
      <w:proofErr w:type="spellEnd"/>
      <w:r w:rsidRPr="00DD0373">
        <w:rPr>
          <w:lang w:val="es-ES_tradnl"/>
        </w:rPr>
        <w:t xml:space="preserve"> </w:t>
      </w:r>
      <w:proofErr w:type="spellStart"/>
      <w:r w:rsidRPr="00DD0373">
        <w:rPr>
          <w:lang w:val="es-ES_tradnl"/>
        </w:rPr>
        <w:t>d’Ivoire</w:t>
      </w:r>
      <w:proofErr w:type="spellEnd"/>
      <w:r w:rsidRPr="00DD0373">
        <w:rPr>
          <w:lang w:val="es-ES_tradnl"/>
        </w:rPr>
        <w:t xml:space="preserve">, Cuba, Chad, Chequia, Chile, China, Chipre, Dinamarca, </w:t>
      </w:r>
      <w:proofErr w:type="spellStart"/>
      <w:r w:rsidRPr="00DD0373">
        <w:rPr>
          <w:lang w:val="es-ES_tradnl"/>
        </w:rPr>
        <w:t>Djibouti</w:t>
      </w:r>
      <w:proofErr w:type="spellEnd"/>
      <w:r w:rsidRPr="00DD0373">
        <w:rPr>
          <w:lang w:val="es-ES_tradnl"/>
        </w:rPr>
        <w:t>, Dominica, Ecuador, Egipto, El Salvador, Emiratos Árabes Unidos, Eslovaquia, Estado de Palestina,</w:t>
      </w:r>
      <w:r w:rsidR="0051369B" w:rsidRPr="00DD0373">
        <w:rPr>
          <w:lang w:val="es-ES_tradnl"/>
        </w:rPr>
        <w:t> </w:t>
      </w:r>
      <w:r w:rsidRPr="00DD0373">
        <w:rPr>
          <w:lang w:val="es-ES_tradnl"/>
        </w:rPr>
        <w:t xml:space="preserve">Estados Unidos de América, Estonia, </w:t>
      </w:r>
      <w:proofErr w:type="spellStart"/>
      <w:r w:rsidRPr="00DD0373">
        <w:rPr>
          <w:lang w:val="es-ES_tradnl"/>
        </w:rPr>
        <w:t>Eswatini</w:t>
      </w:r>
      <w:proofErr w:type="spellEnd"/>
      <w:r w:rsidRPr="00DD0373">
        <w:rPr>
          <w:lang w:val="es-ES_tradnl"/>
        </w:rPr>
        <w:t xml:space="preserve">, Federación de Rusia, </w:t>
      </w:r>
      <w:proofErr w:type="spellStart"/>
      <w:r w:rsidRPr="00DD0373">
        <w:rPr>
          <w:lang w:val="es-ES_tradnl"/>
        </w:rPr>
        <w:t>Fiji</w:t>
      </w:r>
      <w:proofErr w:type="spellEnd"/>
      <w:r w:rsidRPr="00DD0373">
        <w:rPr>
          <w:lang w:val="es-ES_tradnl"/>
        </w:rPr>
        <w:t>, Filipinas, Finlandia, Francia, Gabón, Gambia, Georgia, Ghana, Granada, Guatemala, Guinea, Guinea</w:t>
      </w:r>
      <w:r w:rsidR="008173D8" w:rsidRPr="00DD0373">
        <w:rPr>
          <w:lang w:val="es-ES_tradnl"/>
        </w:rPr>
        <w:noBreakHyphen/>
      </w:r>
      <w:r w:rsidRPr="00DD0373">
        <w:rPr>
          <w:lang w:val="es-ES_tradnl"/>
        </w:rPr>
        <w:t xml:space="preserve">Bissau, Haití, India, Indonesia, Irán (República Islámica del), Iraq, Irlanda, Islas Cook, Islas Salomón, Israel, Italia, Jamaica, Japón, Jordania, Kazajstán, Kenya, Kirguistán, Kuwait, </w:t>
      </w:r>
      <w:proofErr w:type="spellStart"/>
      <w:r w:rsidRPr="00DD0373">
        <w:rPr>
          <w:lang w:val="es-ES_tradnl"/>
        </w:rPr>
        <w:t>Lesotho</w:t>
      </w:r>
      <w:proofErr w:type="spellEnd"/>
      <w:r w:rsidRPr="00DD0373">
        <w:rPr>
          <w:lang w:val="es-ES_tradnl"/>
        </w:rPr>
        <w:t>, Líbano, Liberia, Libia, Liechtenstein, Lituania, Luxemburgo, Macedonia del Norte, Madagascar, Malasia, Malawi, Maldivas, Malí, Marruecos, Mauricio, Mauritania, México, Micronesia (Estados Federados de), Mongolia, Montenegro, Mozambique, Myanmar, Namibia, Nepal, Nicaragua, Níger, Nigeria, Noruega, Nueva</w:t>
      </w:r>
      <w:r w:rsidR="0051369B" w:rsidRPr="00DD0373">
        <w:rPr>
          <w:lang w:val="es-ES_tradnl"/>
        </w:rPr>
        <w:t> </w:t>
      </w:r>
      <w:r w:rsidRPr="00DD0373">
        <w:rPr>
          <w:lang w:val="es-ES_tradnl"/>
        </w:rPr>
        <w:t xml:space="preserve">Zelandia, Omán, Países Bajos (Reino de los), Pakistán, Palau, Panamá, </w:t>
      </w:r>
      <w:proofErr w:type="spellStart"/>
      <w:r w:rsidRPr="00DD0373">
        <w:rPr>
          <w:lang w:val="es-ES_tradnl"/>
        </w:rPr>
        <w:t>Papua</w:t>
      </w:r>
      <w:proofErr w:type="spellEnd"/>
      <w:r w:rsidRPr="00DD0373">
        <w:rPr>
          <w:lang w:val="es-ES_tradnl"/>
        </w:rPr>
        <w:t xml:space="preserve"> Nueva Guinea, Paraguay, Perú, Polonia, Portugal, Qatar, Reino Unido de Gran Bretaña e Irlanda del Norte, República Árabe Siria, República Centroafricana, República de Corea, República Democrática del Congo, República Democrática Popular Lao, República Dominicana, República Unida de </w:t>
      </w:r>
      <w:proofErr w:type="spellStart"/>
      <w:r w:rsidRPr="00DD0373">
        <w:rPr>
          <w:lang w:val="es-ES_tradnl"/>
        </w:rPr>
        <w:t>Tanzanía</w:t>
      </w:r>
      <w:proofErr w:type="spellEnd"/>
      <w:r w:rsidRPr="00DD0373">
        <w:rPr>
          <w:lang w:val="es-ES_tradnl"/>
        </w:rPr>
        <w:t>, Rwanda, Saint Kitts y Nevis, Samoa, Santa Sede, Senegal, Serbia, Seychelles, Sierra Leona, Singapur, Sri</w:t>
      </w:r>
      <w:r w:rsidR="0051369B" w:rsidRPr="00DD0373">
        <w:rPr>
          <w:lang w:val="es-ES_tradnl"/>
        </w:rPr>
        <w:t> </w:t>
      </w:r>
      <w:r w:rsidRPr="00DD0373">
        <w:rPr>
          <w:lang w:val="es-ES_tradnl"/>
        </w:rPr>
        <w:t xml:space="preserve">Lanka, Sudáfrica, Sudán del Sur, Suecia, Suiza, Tailandia, Tayikistán, Timor-Leste, Togo, Túnez, </w:t>
      </w:r>
      <w:proofErr w:type="spellStart"/>
      <w:r w:rsidRPr="00DD0373">
        <w:rPr>
          <w:lang w:val="es-ES_tradnl"/>
        </w:rPr>
        <w:t>Türkiye</w:t>
      </w:r>
      <w:proofErr w:type="spellEnd"/>
      <w:r w:rsidRPr="00DD0373">
        <w:rPr>
          <w:lang w:val="es-ES_tradnl"/>
        </w:rPr>
        <w:t>, Uganda, Uruguay, Vanuatu, Viet Nam, Yemen, Zambia, Zimbabwe y Unión Europea.</w:t>
      </w:r>
    </w:p>
    <w:p w14:paraId="3A8A36E4" w14:textId="49D6CBAD" w:rsidR="002F476F" w:rsidRPr="00DD0373" w:rsidRDefault="002F476F" w:rsidP="002F476F">
      <w:pPr>
        <w:pStyle w:val="Normalnumber"/>
        <w:rPr>
          <w:lang w:val="es-ES_tradnl"/>
        </w:rPr>
      </w:pPr>
      <w:r w:rsidRPr="00DD0373">
        <w:rPr>
          <w:lang w:val="es-ES_tradnl"/>
        </w:rPr>
        <w:t>Estuvieron representados los organismos especializados y los órganos de las Naciones Unidas siguientes: Banco Mundial, Organización de las Naciones Unidas para el Desarrollo Industrial, Organización Meteorológica Mundial, Organización Mundial de Aduanas, PNUMA, Programa de las Naciones Unidas para el Desarrollo, Secretaría de los Convenios de Basilea, Estocolmo y Rotterdam y Secretaría del Fondo Multilateral para la Aplicación del Protocolo de Montreal. También estuvieron representados los grupos de evaluación del Protocolo de Montreal.</w:t>
      </w:r>
    </w:p>
    <w:p w14:paraId="6368952E" w14:textId="4B6B33C7" w:rsidR="002F476F" w:rsidRPr="00DD0373" w:rsidRDefault="002F476F" w:rsidP="002F476F">
      <w:pPr>
        <w:pStyle w:val="Normalnumber"/>
        <w:rPr>
          <w:lang w:val="es-ES_tradnl"/>
        </w:rPr>
      </w:pPr>
      <w:r w:rsidRPr="00DD0373">
        <w:rPr>
          <w:lang w:val="es-ES_tradnl"/>
        </w:rPr>
        <w:t xml:space="preserve">Estuvieron asimismo representadas las siguientes organizaciones intergubernamentales, no gubernamentales, industriales, académicas y otras entidades: A-Gas (Australia) </w:t>
      </w:r>
      <w:proofErr w:type="spellStart"/>
      <w:r w:rsidRPr="00DD0373">
        <w:rPr>
          <w:lang w:val="es-ES_tradnl"/>
        </w:rPr>
        <w:t>Pty</w:t>
      </w:r>
      <w:proofErr w:type="spellEnd"/>
      <w:r w:rsidRPr="00DD0373">
        <w:rPr>
          <w:lang w:val="es-ES_tradnl"/>
        </w:rPr>
        <w:t xml:space="preserve"> </w:t>
      </w:r>
      <w:proofErr w:type="spellStart"/>
      <w:r w:rsidRPr="00DD0373">
        <w:rPr>
          <w:lang w:val="es-ES_tradnl"/>
        </w:rPr>
        <w:t>Limited</w:t>
      </w:r>
      <w:proofErr w:type="spellEnd"/>
      <w:r w:rsidRPr="00DD0373">
        <w:rPr>
          <w:lang w:val="es-ES_tradnl"/>
        </w:rPr>
        <w:t xml:space="preserve">; Alliance for </w:t>
      </w:r>
      <w:proofErr w:type="spellStart"/>
      <w:r w:rsidRPr="00DD0373">
        <w:rPr>
          <w:lang w:val="es-ES_tradnl"/>
        </w:rPr>
        <w:t>Responsible</w:t>
      </w:r>
      <w:proofErr w:type="spellEnd"/>
      <w:r w:rsidRPr="00DD0373">
        <w:rPr>
          <w:lang w:val="es-ES_tradnl"/>
        </w:rPr>
        <w:t xml:space="preserve"> </w:t>
      </w:r>
      <w:proofErr w:type="spellStart"/>
      <w:r w:rsidRPr="00DD0373">
        <w:rPr>
          <w:lang w:val="es-ES_tradnl"/>
        </w:rPr>
        <w:t>Atmospheric</w:t>
      </w:r>
      <w:proofErr w:type="spellEnd"/>
      <w:r w:rsidRPr="00DD0373">
        <w:rPr>
          <w:lang w:val="es-ES_tradnl"/>
        </w:rPr>
        <w:t xml:space="preserve"> Policy; </w:t>
      </w:r>
      <w:proofErr w:type="spellStart"/>
      <w:r w:rsidRPr="00DD0373">
        <w:rPr>
          <w:lang w:val="es-ES_tradnl"/>
        </w:rPr>
        <w:t>Association</w:t>
      </w:r>
      <w:proofErr w:type="spellEnd"/>
      <w:r w:rsidRPr="00DD0373">
        <w:rPr>
          <w:lang w:val="es-ES_tradnl"/>
        </w:rPr>
        <w:t xml:space="preserve"> des </w:t>
      </w:r>
      <w:proofErr w:type="spellStart"/>
      <w:r w:rsidRPr="00DD0373">
        <w:rPr>
          <w:lang w:val="es-ES_tradnl"/>
        </w:rPr>
        <w:t>Distributeurs</w:t>
      </w:r>
      <w:proofErr w:type="spellEnd"/>
      <w:r w:rsidRPr="00DD0373">
        <w:rPr>
          <w:lang w:val="es-ES_tradnl"/>
        </w:rPr>
        <w:t xml:space="preserve">, </w:t>
      </w:r>
      <w:proofErr w:type="spellStart"/>
      <w:r w:rsidRPr="00DD0373">
        <w:rPr>
          <w:lang w:val="es-ES_tradnl"/>
        </w:rPr>
        <w:t>Conditionneurs</w:t>
      </w:r>
      <w:proofErr w:type="spellEnd"/>
      <w:r w:rsidRPr="00DD0373">
        <w:rPr>
          <w:lang w:val="es-ES_tradnl"/>
        </w:rPr>
        <w:t xml:space="preserve">, </w:t>
      </w:r>
      <w:proofErr w:type="spellStart"/>
      <w:r w:rsidRPr="00DD0373">
        <w:rPr>
          <w:lang w:val="es-ES_tradnl"/>
        </w:rPr>
        <w:t>Récupérateurs</w:t>
      </w:r>
      <w:proofErr w:type="spellEnd"/>
      <w:r w:rsidRPr="00DD0373">
        <w:rPr>
          <w:lang w:val="es-ES_tradnl"/>
        </w:rPr>
        <w:t xml:space="preserve"> and </w:t>
      </w:r>
      <w:proofErr w:type="spellStart"/>
      <w:r w:rsidRPr="00DD0373">
        <w:rPr>
          <w:lang w:val="es-ES_tradnl"/>
        </w:rPr>
        <w:t>Retraiteurs</w:t>
      </w:r>
      <w:proofErr w:type="spellEnd"/>
      <w:r w:rsidRPr="00DD0373">
        <w:rPr>
          <w:lang w:val="es-ES_tradnl"/>
        </w:rPr>
        <w:t xml:space="preserve"> de </w:t>
      </w:r>
      <w:proofErr w:type="spellStart"/>
      <w:r w:rsidRPr="00DD0373">
        <w:rPr>
          <w:lang w:val="es-ES_tradnl"/>
        </w:rPr>
        <w:t>Réfrigérants</w:t>
      </w:r>
      <w:proofErr w:type="spellEnd"/>
      <w:r w:rsidRPr="00DD0373">
        <w:rPr>
          <w:lang w:val="es-ES_tradnl"/>
        </w:rPr>
        <w:t xml:space="preserve">; Carbon </w:t>
      </w:r>
      <w:proofErr w:type="spellStart"/>
      <w:r w:rsidRPr="00DD0373">
        <w:rPr>
          <w:lang w:val="es-ES_tradnl"/>
        </w:rPr>
        <w:t>Containment</w:t>
      </w:r>
      <w:proofErr w:type="spellEnd"/>
      <w:r w:rsidRPr="00DD0373">
        <w:rPr>
          <w:lang w:val="es-ES_tradnl"/>
        </w:rPr>
        <w:t xml:space="preserve"> Lab; Centre for Environment Justice and </w:t>
      </w:r>
      <w:proofErr w:type="spellStart"/>
      <w:r w:rsidRPr="00DD0373">
        <w:rPr>
          <w:lang w:val="es-ES_tradnl"/>
        </w:rPr>
        <w:t>Development</w:t>
      </w:r>
      <w:proofErr w:type="spellEnd"/>
      <w:r w:rsidRPr="00DD0373">
        <w:rPr>
          <w:lang w:val="es-ES_tradnl"/>
        </w:rPr>
        <w:t xml:space="preserve">; </w:t>
      </w:r>
      <w:proofErr w:type="spellStart"/>
      <w:r w:rsidRPr="00DD0373">
        <w:rPr>
          <w:lang w:val="es-ES_tradnl"/>
        </w:rPr>
        <w:t>Chemours</w:t>
      </w:r>
      <w:proofErr w:type="spellEnd"/>
      <w:r w:rsidRPr="00DD0373">
        <w:rPr>
          <w:lang w:val="es-ES_tradnl"/>
        </w:rPr>
        <w:t xml:space="preserve"> </w:t>
      </w:r>
      <w:proofErr w:type="spellStart"/>
      <w:r w:rsidRPr="00DD0373">
        <w:rPr>
          <w:lang w:val="es-ES_tradnl"/>
        </w:rPr>
        <w:t>Belgium</w:t>
      </w:r>
      <w:proofErr w:type="spellEnd"/>
      <w:r w:rsidRPr="00DD0373">
        <w:rPr>
          <w:lang w:val="es-ES_tradnl"/>
        </w:rPr>
        <w:t xml:space="preserve"> BVBA; Grupo Principal de la Infancia y la Juventud; </w:t>
      </w:r>
      <w:proofErr w:type="spellStart"/>
      <w:r w:rsidRPr="00DD0373">
        <w:rPr>
          <w:lang w:val="es-ES_tradnl"/>
        </w:rPr>
        <w:t>Collaborative</w:t>
      </w:r>
      <w:proofErr w:type="spellEnd"/>
      <w:r w:rsidRPr="00DD0373">
        <w:rPr>
          <w:lang w:val="es-ES_tradnl"/>
        </w:rPr>
        <w:t xml:space="preserve"> </w:t>
      </w:r>
      <w:proofErr w:type="spellStart"/>
      <w:r w:rsidRPr="00DD0373">
        <w:rPr>
          <w:lang w:val="es-ES_tradnl"/>
        </w:rPr>
        <w:t>Labeling</w:t>
      </w:r>
      <w:proofErr w:type="spellEnd"/>
      <w:r w:rsidRPr="00DD0373">
        <w:rPr>
          <w:lang w:val="es-ES_tradnl"/>
        </w:rPr>
        <w:t xml:space="preserve"> and </w:t>
      </w:r>
      <w:proofErr w:type="spellStart"/>
      <w:r w:rsidRPr="00DD0373">
        <w:rPr>
          <w:lang w:val="es-ES_tradnl"/>
        </w:rPr>
        <w:t>Appliance</w:t>
      </w:r>
      <w:proofErr w:type="spellEnd"/>
      <w:r w:rsidRPr="00DD0373">
        <w:rPr>
          <w:lang w:val="es-ES_tradnl"/>
        </w:rPr>
        <w:t xml:space="preserve"> </w:t>
      </w:r>
      <w:proofErr w:type="spellStart"/>
      <w:r w:rsidRPr="00DD0373">
        <w:rPr>
          <w:lang w:val="es-ES_tradnl"/>
        </w:rPr>
        <w:t>Standards</w:t>
      </w:r>
      <w:proofErr w:type="spellEnd"/>
      <w:r w:rsidRPr="00DD0373">
        <w:rPr>
          <w:lang w:val="es-ES_tradnl"/>
        </w:rPr>
        <w:t xml:space="preserve"> </w:t>
      </w:r>
      <w:proofErr w:type="spellStart"/>
      <w:r w:rsidRPr="00DD0373">
        <w:rPr>
          <w:lang w:val="es-ES_tradnl"/>
        </w:rPr>
        <w:t>Program</w:t>
      </w:r>
      <w:proofErr w:type="spellEnd"/>
      <w:r w:rsidRPr="00DD0373">
        <w:rPr>
          <w:lang w:val="es-ES_tradnl"/>
        </w:rPr>
        <w:t xml:space="preserve"> (CLASP); Daikin; Daikin Industries </w:t>
      </w:r>
      <w:proofErr w:type="spellStart"/>
      <w:r w:rsidRPr="00DD0373">
        <w:rPr>
          <w:lang w:val="es-ES_tradnl"/>
        </w:rPr>
        <w:t>Limited</w:t>
      </w:r>
      <w:proofErr w:type="spellEnd"/>
      <w:r w:rsidRPr="00DD0373">
        <w:rPr>
          <w:lang w:val="es-ES_tradnl"/>
        </w:rPr>
        <w:t xml:space="preserve">; Danfoss A/S (Dinamarca); Deutsche </w:t>
      </w:r>
      <w:proofErr w:type="spellStart"/>
      <w:r w:rsidRPr="00DD0373">
        <w:rPr>
          <w:lang w:val="es-ES_tradnl"/>
        </w:rPr>
        <w:t>Gesellschaft</w:t>
      </w:r>
      <w:proofErr w:type="spellEnd"/>
      <w:r w:rsidRPr="00DD0373">
        <w:rPr>
          <w:lang w:val="es-ES_tradnl"/>
        </w:rPr>
        <w:t xml:space="preserve"> </w:t>
      </w:r>
      <w:proofErr w:type="spellStart"/>
      <w:r w:rsidRPr="00DD0373">
        <w:rPr>
          <w:lang w:val="es-ES_tradnl"/>
        </w:rPr>
        <w:t>für</w:t>
      </w:r>
      <w:proofErr w:type="spellEnd"/>
      <w:r w:rsidRPr="00DD0373">
        <w:rPr>
          <w:lang w:val="es-ES_tradnl"/>
        </w:rPr>
        <w:t xml:space="preserve"> </w:t>
      </w:r>
      <w:proofErr w:type="spellStart"/>
      <w:r w:rsidRPr="00DD0373">
        <w:rPr>
          <w:lang w:val="es-ES_tradnl"/>
        </w:rPr>
        <w:t>Internationale</w:t>
      </w:r>
      <w:proofErr w:type="spellEnd"/>
      <w:r w:rsidRPr="00DD0373">
        <w:rPr>
          <w:lang w:val="es-ES_tradnl"/>
        </w:rPr>
        <w:t xml:space="preserve"> </w:t>
      </w:r>
      <w:proofErr w:type="spellStart"/>
      <w:r w:rsidRPr="00DD0373">
        <w:rPr>
          <w:lang w:val="es-ES_tradnl"/>
        </w:rPr>
        <w:t>Zusammenarbeit</w:t>
      </w:r>
      <w:proofErr w:type="spellEnd"/>
      <w:r w:rsidRPr="00DD0373">
        <w:rPr>
          <w:lang w:val="es-ES_tradnl"/>
        </w:rPr>
        <w:t xml:space="preserve"> </w:t>
      </w:r>
      <w:proofErr w:type="spellStart"/>
      <w:r w:rsidRPr="00DD0373">
        <w:rPr>
          <w:lang w:val="es-ES_tradnl"/>
        </w:rPr>
        <w:t>GmbH</w:t>
      </w:r>
      <w:proofErr w:type="spellEnd"/>
      <w:r w:rsidRPr="00DD0373">
        <w:rPr>
          <w:lang w:val="es-ES_tradnl"/>
        </w:rPr>
        <w:t xml:space="preserve">; </w:t>
      </w:r>
      <w:proofErr w:type="spellStart"/>
      <w:r w:rsidRPr="00DD0373">
        <w:rPr>
          <w:lang w:val="es-ES_tradnl"/>
        </w:rPr>
        <w:t>Environmental</w:t>
      </w:r>
      <w:proofErr w:type="spellEnd"/>
      <w:r w:rsidRPr="00DD0373">
        <w:rPr>
          <w:lang w:val="es-ES_tradnl"/>
        </w:rPr>
        <w:t xml:space="preserve"> </w:t>
      </w:r>
      <w:proofErr w:type="spellStart"/>
      <w:r w:rsidRPr="00DD0373">
        <w:rPr>
          <w:lang w:val="es-ES_tradnl"/>
        </w:rPr>
        <w:t>Investigation</w:t>
      </w:r>
      <w:proofErr w:type="spellEnd"/>
      <w:r w:rsidRPr="00DD0373">
        <w:rPr>
          <w:lang w:val="es-ES_tradnl"/>
        </w:rPr>
        <w:t xml:space="preserve"> Agency; Glencoe </w:t>
      </w:r>
      <w:proofErr w:type="spellStart"/>
      <w:r w:rsidRPr="00DD0373">
        <w:rPr>
          <w:lang w:val="es-ES_tradnl"/>
        </w:rPr>
        <w:t>Strategies</w:t>
      </w:r>
      <w:proofErr w:type="spellEnd"/>
      <w:r w:rsidRPr="00DD0373">
        <w:rPr>
          <w:lang w:val="es-ES_tradnl"/>
        </w:rPr>
        <w:t xml:space="preserve">, LLC; Global Policy </w:t>
      </w:r>
      <w:proofErr w:type="spellStart"/>
      <w:r w:rsidRPr="00DD0373">
        <w:rPr>
          <w:lang w:val="es-ES_tradnl"/>
        </w:rPr>
        <w:t>Associates</w:t>
      </w:r>
      <w:proofErr w:type="spellEnd"/>
      <w:r w:rsidRPr="00DD0373">
        <w:rPr>
          <w:lang w:val="es-ES_tradnl"/>
        </w:rPr>
        <w:t xml:space="preserve">; </w:t>
      </w:r>
      <w:proofErr w:type="spellStart"/>
      <w:r w:rsidRPr="00DD0373">
        <w:rPr>
          <w:lang w:val="es-ES_tradnl"/>
        </w:rPr>
        <w:t>Guidehouse</w:t>
      </w:r>
      <w:proofErr w:type="spellEnd"/>
      <w:r w:rsidRPr="00DD0373">
        <w:rPr>
          <w:lang w:val="es-ES_tradnl"/>
        </w:rPr>
        <w:t xml:space="preserve"> Germany </w:t>
      </w:r>
      <w:proofErr w:type="spellStart"/>
      <w:r w:rsidRPr="00DD0373">
        <w:rPr>
          <w:lang w:val="es-ES_tradnl"/>
        </w:rPr>
        <w:lastRenderedPageBreak/>
        <w:t>GmbH</w:t>
      </w:r>
      <w:proofErr w:type="spellEnd"/>
      <w:r w:rsidRPr="00DD0373">
        <w:rPr>
          <w:lang w:val="es-ES_tradnl"/>
        </w:rPr>
        <w:t xml:space="preserve">; Consejo de Cooperación de los Estados Árabes del Golfo; </w:t>
      </w:r>
      <w:proofErr w:type="spellStart"/>
      <w:r w:rsidRPr="00DD0373">
        <w:rPr>
          <w:lang w:val="es-ES_tradnl"/>
        </w:rPr>
        <w:t>iFOREST</w:t>
      </w:r>
      <w:proofErr w:type="spellEnd"/>
      <w:r w:rsidRPr="00DD0373">
        <w:rPr>
          <w:lang w:val="es-ES_tradnl"/>
        </w:rPr>
        <w:t xml:space="preserve">; Industrial </w:t>
      </w:r>
      <w:proofErr w:type="spellStart"/>
      <w:r w:rsidRPr="00DD0373">
        <w:rPr>
          <w:lang w:val="es-ES_tradnl"/>
        </w:rPr>
        <w:t>Technology</w:t>
      </w:r>
      <w:proofErr w:type="spellEnd"/>
      <w:r w:rsidRPr="00DD0373">
        <w:rPr>
          <w:lang w:val="es-ES_tradnl"/>
        </w:rPr>
        <w:t xml:space="preserve"> </w:t>
      </w:r>
      <w:proofErr w:type="spellStart"/>
      <w:r w:rsidRPr="00DD0373">
        <w:rPr>
          <w:lang w:val="es-ES_tradnl"/>
        </w:rPr>
        <w:t>Research</w:t>
      </w:r>
      <w:proofErr w:type="spellEnd"/>
      <w:r w:rsidRPr="00DD0373">
        <w:rPr>
          <w:lang w:val="es-ES_tradnl"/>
        </w:rPr>
        <w:t xml:space="preserve"> </w:t>
      </w:r>
      <w:proofErr w:type="spellStart"/>
      <w:r w:rsidRPr="00DD0373">
        <w:rPr>
          <w:lang w:val="es-ES_tradnl"/>
        </w:rPr>
        <w:t>Institute</w:t>
      </w:r>
      <w:proofErr w:type="spellEnd"/>
      <w:r w:rsidRPr="00DD0373">
        <w:rPr>
          <w:lang w:val="es-ES_tradnl"/>
        </w:rPr>
        <w:t xml:space="preserve">; </w:t>
      </w:r>
      <w:proofErr w:type="spellStart"/>
      <w:r w:rsidRPr="00DD0373">
        <w:rPr>
          <w:lang w:val="es-ES_tradnl"/>
        </w:rPr>
        <w:t>Institute</w:t>
      </w:r>
      <w:proofErr w:type="spellEnd"/>
      <w:r w:rsidRPr="00DD0373">
        <w:rPr>
          <w:lang w:val="es-ES_tradnl"/>
        </w:rPr>
        <w:t xml:space="preserve"> for Energy and Climate </w:t>
      </w:r>
      <w:proofErr w:type="spellStart"/>
      <w:r w:rsidRPr="00DD0373">
        <w:rPr>
          <w:lang w:val="es-ES_tradnl"/>
        </w:rPr>
        <w:t>Strategies</w:t>
      </w:r>
      <w:proofErr w:type="spellEnd"/>
      <w:r w:rsidRPr="00DD0373">
        <w:rPr>
          <w:lang w:val="es-ES_tradnl"/>
        </w:rPr>
        <w:t xml:space="preserve">; Instituto para la Gobernanza y el Desarrollo Sostenible; International Energy </w:t>
      </w:r>
      <w:proofErr w:type="spellStart"/>
      <w:r w:rsidRPr="00DD0373">
        <w:rPr>
          <w:lang w:val="es-ES_tradnl"/>
        </w:rPr>
        <w:t>Initiative</w:t>
      </w:r>
      <w:proofErr w:type="spellEnd"/>
      <w:r w:rsidRPr="00DD0373">
        <w:rPr>
          <w:lang w:val="es-ES_tradnl"/>
        </w:rPr>
        <w:t xml:space="preserve">; Instituto Internacional del Frío; </w:t>
      </w:r>
      <w:proofErr w:type="spellStart"/>
      <w:r w:rsidRPr="00DD0373">
        <w:rPr>
          <w:lang w:val="es-ES_tradnl"/>
        </w:rPr>
        <w:t>Labtech</w:t>
      </w:r>
      <w:proofErr w:type="spellEnd"/>
      <w:r w:rsidRPr="00DD0373">
        <w:rPr>
          <w:lang w:val="es-ES_tradnl"/>
        </w:rPr>
        <w:t xml:space="preserve"> International </w:t>
      </w:r>
      <w:proofErr w:type="spellStart"/>
      <w:r w:rsidRPr="00DD0373">
        <w:rPr>
          <w:lang w:val="es-ES_tradnl"/>
        </w:rPr>
        <w:t>Limited</w:t>
      </w:r>
      <w:proofErr w:type="spellEnd"/>
      <w:r w:rsidRPr="00DD0373">
        <w:rPr>
          <w:lang w:val="es-ES_tradnl"/>
        </w:rPr>
        <w:t xml:space="preserve">; Liga de los Estados Árabes; Universidad de Leiden; Manitoba Ozone </w:t>
      </w:r>
      <w:proofErr w:type="spellStart"/>
      <w:r w:rsidRPr="00DD0373">
        <w:rPr>
          <w:lang w:val="es-ES_tradnl"/>
        </w:rPr>
        <w:t>Protection</w:t>
      </w:r>
      <w:proofErr w:type="spellEnd"/>
      <w:r w:rsidRPr="00DD0373">
        <w:rPr>
          <w:lang w:val="es-ES_tradnl"/>
        </w:rPr>
        <w:t xml:space="preserve"> </w:t>
      </w:r>
      <w:proofErr w:type="spellStart"/>
      <w:r w:rsidRPr="00DD0373">
        <w:rPr>
          <w:lang w:val="es-ES_tradnl"/>
        </w:rPr>
        <w:t>Industry</w:t>
      </w:r>
      <w:proofErr w:type="spellEnd"/>
      <w:r w:rsidRPr="00DD0373">
        <w:rPr>
          <w:lang w:val="es-ES_tradnl"/>
        </w:rPr>
        <w:t xml:space="preserve"> </w:t>
      </w:r>
      <w:proofErr w:type="spellStart"/>
      <w:r w:rsidRPr="00DD0373">
        <w:rPr>
          <w:lang w:val="es-ES_tradnl"/>
        </w:rPr>
        <w:t>Association</w:t>
      </w:r>
      <w:proofErr w:type="spellEnd"/>
      <w:r w:rsidRPr="00DD0373">
        <w:rPr>
          <w:lang w:val="es-ES_tradnl"/>
        </w:rPr>
        <w:t xml:space="preserve">; MEBROM </w:t>
      </w:r>
      <w:proofErr w:type="spellStart"/>
      <w:r w:rsidRPr="00DD0373">
        <w:rPr>
          <w:lang w:val="es-ES_tradnl"/>
        </w:rPr>
        <w:t>Corporation</w:t>
      </w:r>
      <w:proofErr w:type="spellEnd"/>
      <w:r w:rsidRPr="00DD0373">
        <w:rPr>
          <w:lang w:val="es-ES_tradnl"/>
        </w:rPr>
        <w:t xml:space="preserve">; Mexichem UK </w:t>
      </w:r>
      <w:proofErr w:type="spellStart"/>
      <w:r w:rsidRPr="00DD0373">
        <w:rPr>
          <w:lang w:val="es-ES_tradnl"/>
        </w:rPr>
        <w:t>Limited</w:t>
      </w:r>
      <w:proofErr w:type="spellEnd"/>
      <w:r w:rsidRPr="00DD0373">
        <w:rPr>
          <w:lang w:val="es-ES_tradnl"/>
        </w:rPr>
        <w:t xml:space="preserve">; Natural </w:t>
      </w:r>
      <w:proofErr w:type="spellStart"/>
      <w:r w:rsidRPr="00DD0373">
        <w:rPr>
          <w:lang w:val="es-ES_tradnl"/>
        </w:rPr>
        <w:t>Resources</w:t>
      </w:r>
      <w:proofErr w:type="spellEnd"/>
      <w:r w:rsidRPr="00DD0373">
        <w:rPr>
          <w:lang w:val="es-ES_tradnl"/>
        </w:rPr>
        <w:t xml:space="preserve"> Defense Council; </w:t>
      </w:r>
      <w:proofErr w:type="spellStart"/>
      <w:r w:rsidRPr="00DD0373">
        <w:rPr>
          <w:lang w:val="es-ES_tradnl"/>
        </w:rPr>
        <w:t>Ökorecherche</w:t>
      </w:r>
      <w:proofErr w:type="spellEnd"/>
      <w:r w:rsidRPr="00DD0373">
        <w:rPr>
          <w:lang w:val="es-ES_tradnl"/>
        </w:rPr>
        <w:t xml:space="preserve">; </w:t>
      </w:r>
      <w:proofErr w:type="spellStart"/>
      <w:r w:rsidRPr="00DD0373">
        <w:rPr>
          <w:lang w:val="es-ES_tradnl"/>
        </w:rPr>
        <w:t>Overseas</w:t>
      </w:r>
      <w:proofErr w:type="spellEnd"/>
      <w:r w:rsidRPr="00DD0373">
        <w:rPr>
          <w:lang w:val="es-ES_tradnl"/>
        </w:rPr>
        <w:t xml:space="preserve"> </w:t>
      </w:r>
      <w:proofErr w:type="spellStart"/>
      <w:r w:rsidRPr="00DD0373">
        <w:rPr>
          <w:lang w:val="es-ES_tradnl"/>
        </w:rPr>
        <w:t>Environmental</w:t>
      </w:r>
      <w:proofErr w:type="spellEnd"/>
      <w:r w:rsidRPr="00DD0373">
        <w:rPr>
          <w:lang w:val="es-ES_tradnl"/>
        </w:rPr>
        <w:t xml:space="preserve"> </w:t>
      </w:r>
      <w:proofErr w:type="spellStart"/>
      <w:r w:rsidRPr="00DD0373">
        <w:rPr>
          <w:lang w:val="es-ES_tradnl"/>
        </w:rPr>
        <w:t>Cooperation</w:t>
      </w:r>
      <w:proofErr w:type="spellEnd"/>
      <w:r w:rsidRPr="00DD0373">
        <w:rPr>
          <w:lang w:val="es-ES_tradnl"/>
        </w:rPr>
        <w:t xml:space="preserve"> Center; </w:t>
      </w:r>
      <w:proofErr w:type="spellStart"/>
      <w:r w:rsidRPr="00DD0373">
        <w:rPr>
          <w:lang w:val="es-ES_tradnl"/>
        </w:rPr>
        <w:t>Refrigerant</w:t>
      </w:r>
      <w:proofErr w:type="spellEnd"/>
      <w:r w:rsidRPr="00DD0373">
        <w:rPr>
          <w:lang w:val="es-ES_tradnl"/>
        </w:rPr>
        <w:t xml:space="preserve"> Gas </w:t>
      </w:r>
      <w:proofErr w:type="spellStart"/>
      <w:r w:rsidRPr="00DD0373">
        <w:rPr>
          <w:lang w:val="es-ES_tradnl"/>
        </w:rPr>
        <w:t>Manufacturers</w:t>
      </w:r>
      <w:proofErr w:type="spellEnd"/>
      <w:r w:rsidRPr="00DD0373">
        <w:rPr>
          <w:lang w:val="es-ES_tradnl"/>
        </w:rPr>
        <w:t xml:space="preserve"> </w:t>
      </w:r>
      <w:proofErr w:type="spellStart"/>
      <w:r w:rsidRPr="00DD0373">
        <w:rPr>
          <w:lang w:val="es-ES_tradnl"/>
        </w:rPr>
        <w:t>Association</w:t>
      </w:r>
      <w:proofErr w:type="spellEnd"/>
      <w:r w:rsidRPr="00DD0373">
        <w:rPr>
          <w:lang w:val="es-ES_tradnl"/>
        </w:rPr>
        <w:t xml:space="preserve">; </w:t>
      </w:r>
      <w:proofErr w:type="spellStart"/>
      <w:r w:rsidRPr="00DD0373">
        <w:rPr>
          <w:lang w:val="es-ES_tradnl"/>
        </w:rPr>
        <w:t>Refrigerant</w:t>
      </w:r>
      <w:proofErr w:type="spellEnd"/>
      <w:r w:rsidRPr="00DD0373">
        <w:rPr>
          <w:lang w:val="es-ES_tradnl"/>
        </w:rPr>
        <w:t xml:space="preserve"> </w:t>
      </w:r>
      <w:proofErr w:type="spellStart"/>
      <w:r w:rsidRPr="00DD0373">
        <w:rPr>
          <w:lang w:val="es-ES_tradnl"/>
        </w:rPr>
        <w:t>Reclaim</w:t>
      </w:r>
      <w:proofErr w:type="spellEnd"/>
      <w:r w:rsidRPr="00DD0373">
        <w:rPr>
          <w:lang w:val="es-ES_tradnl"/>
        </w:rPr>
        <w:t xml:space="preserve"> Australia; </w:t>
      </w:r>
      <w:proofErr w:type="spellStart"/>
      <w:r w:rsidRPr="00DD0373">
        <w:rPr>
          <w:lang w:val="es-ES_tradnl"/>
        </w:rPr>
        <w:t>Refrigerants</w:t>
      </w:r>
      <w:proofErr w:type="spellEnd"/>
      <w:r w:rsidRPr="00DD0373">
        <w:rPr>
          <w:lang w:val="es-ES_tradnl"/>
        </w:rPr>
        <w:t xml:space="preserve"> Australia; </w:t>
      </w:r>
      <w:proofErr w:type="spellStart"/>
      <w:r w:rsidRPr="00DD0373">
        <w:rPr>
          <w:lang w:val="es-ES_tradnl"/>
        </w:rPr>
        <w:t>Renerge</w:t>
      </w:r>
      <w:proofErr w:type="spellEnd"/>
      <w:r w:rsidRPr="00DD0373">
        <w:rPr>
          <w:lang w:val="es-ES_tradnl"/>
        </w:rPr>
        <w:t xml:space="preserve"> </w:t>
      </w:r>
      <w:proofErr w:type="spellStart"/>
      <w:r w:rsidRPr="00DD0373">
        <w:rPr>
          <w:lang w:val="es-ES_tradnl"/>
        </w:rPr>
        <w:t>Resources</w:t>
      </w:r>
      <w:proofErr w:type="spellEnd"/>
      <w:r w:rsidRPr="00DD0373">
        <w:rPr>
          <w:lang w:val="es-ES_tradnl"/>
        </w:rPr>
        <w:t xml:space="preserve"> </w:t>
      </w:r>
      <w:proofErr w:type="spellStart"/>
      <w:r w:rsidRPr="00DD0373">
        <w:rPr>
          <w:lang w:val="es-ES_tradnl"/>
        </w:rPr>
        <w:t>Limited</w:t>
      </w:r>
      <w:proofErr w:type="spellEnd"/>
      <w:r w:rsidRPr="00DD0373">
        <w:rPr>
          <w:lang w:val="es-ES_tradnl"/>
        </w:rPr>
        <w:t xml:space="preserve">; Siemens Energy; </w:t>
      </w:r>
      <w:proofErr w:type="spellStart"/>
      <w:r w:rsidRPr="00DD0373">
        <w:rPr>
          <w:lang w:val="es-ES_tradnl"/>
        </w:rPr>
        <w:t>SilverLining</w:t>
      </w:r>
      <w:proofErr w:type="spellEnd"/>
      <w:r w:rsidRPr="00DD0373">
        <w:rPr>
          <w:lang w:val="es-ES_tradnl"/>
        </w:rPr>
        <w:t xml:space="preserve">; </w:t>
      </w:r>
      <w:proofErr w:type="spellStart"/>
      <w:r w:rsidRPr="00DD0373">
        <w:rPr>
          <w:lang w:val="es-ES_tradnl"/>
        </w:rPr>
        <w:t>Solutions</w:t>
      </w:r>
      <w:proofErr w:type="spellEnd"/>
      <w:r w:rsidRPr="00DD0373">
        <w:rPr>
          <w:lang w:val="es-ES_tradnl"/>
        </w:rPr>
        <w:t xml:space="preserve"> for </w:t>
      </w:r>
      <w:proofErr w:type="spellStart"/>
      <w:r w:rsidRPr="00DD0373">
        <w:rPr>
          <w:lang w:val="es-ES_tradnl"/>
        </w:rPr>
        <w:t>Our</w:t>
      </w:r>
      <w:proofErr w:type="spellEnd"/>
      <w:r w:rsidRPr="00DD0373">
        <w:rPr>
          <w:lang w:val="es-ES_tradnl"/>
        </w:rPr>
        <w:t xml:space="preserve"> Climate; </w:t>
      </w:r>
      <w:proofErr w:type="spellStart"/>
      <w:r w:rsidRPr="00DD0373">
        <w:rPr>
          <w:lang w:val="es-ES_tradnl"/>
        </w:rPr>
        <w:t>SRADev</w:t>
      </w:r>
      <w:proofErr w:type="spellEnd"/>
      <w:r w:rsidRPr="00DD0373">
        <w:rPr>
          <w:lang w:val="es-ES_tradnl"/>
        </w:rPr>
        <w:t xml:space="preserve">; SRF Ltd.; </w:t>
      </w:r>
      <w:proofErr w:type="spellStart"/>
      <w:r w:rsidRPr="00DD0373">
        <w:rPr>
          <w:lang w:val="es-ES_tradnl"/>
        </w:rPr>
        <w:t>Sustainable</w:t>
      </w:r>
      <w:proofErr w:type="spellEnd"/>
      <w:r w:rsidRPr="00DD0373">
        <w:rPr>
          <w:lang w:val="es-ES_tradnl"/>
        </w:rPr>
        <w:t xml:space="preserve"> Energy for</w:t>
      </w:r>
      <w:r w:rsidR="00283B3F" w:rsidRPr="00DD0373">
        <w:rPr>
          <w:lang w:val="es-ES_tradnl"/>
        </w:rPr>
        <w:t> </w:t>
      </w:r>
      <w:proofErr w:type="spellStart"/>
      <w:r w:rsidRPr="00DD0373">
        <w:rPr>
          <w:lang w:val="es-ES_tradnl"/>
        </w:rPr>
        <w:t>All</w:t>
      </w:r>
      <w:proofErr w:type="spellEnd"/>
      <w:r w:rsidRPr="00DD0373">
        <w:rPr>
          <w:lang w:val="es-ES_tradnl"/>
        </w:rPr>
        <w:t xml:space="preserve">; </w:t>
      </w:r>
      <w:proofErr w:type="spellStart"/>
      <w:r w:rsidRPr="00DD0373">
        <w:rPr>
          <w:lang w:val="es-ES_tradnl"/>
        </w:rPr>
        <w:t>Sustana</w:t>
      </w:r>
      <w:proofErr w:type="spellEnd"/>
      <w:r w:rsidRPr="00DD0373">
        <w:rPr>
          <w:lang w:val="es-ES_tradnl"/>
        </w:rPr>
        <w:t xml:space="preserve"> Cooling </w:t>
      </w:r>
      <w:proofErr w:type="spellStart"/>
      <w:r w:rsidRPr="00DD0373">
        <w:rPr>
          <w:lang w:val="es-ES_tradnl"/>
        </w:rPr>
        <w:t>Partners</w:t>
      </w:r>
      <w:proofErr w:type="spellEnd"/>
      <w:r w:rsidRPr="00DD0373">
        <w:rPr>
          <w:lang w:val="es-ES_tradnl"/>
        </w:rPr>
        <w:t xml:space="preserve">; The Energy </w:t>
      </w:r>
      <w:proofErr w:type="spellStart"/>
      <w:r w:rsidRPr="00DD0373">
        <w:rPr>
          <w:lang w:val="es-ES_tradnl"/>
        </w:rPr>
        <w:t>Commission</w:t>
      </w:r>
      <w:proofErr w:type="spellEnd"/>
      <w:r w:rsidRPr="00DD0373">
        <w:rPr>
          <w:lang w:val="es-ES_tradnl"/>
        </w:rPr>
        <w:t xml:space="preserve">; The Japan </w:t>
      </w:r>
      <w:proofErr w:type="spellStart"/>
      <w:r w:rsidRPr="00DD0373">
        <w:rPr>
          <w:lang w:val="es-ES_tradnl"/>
        </w:rPr>
        <w:t>Refrigeration</w:t>
      </w:r>
      <w:proofErr w:type="spellEnd"/>
      <w:r w:rsidRPr="00DD0373">
        <w:rPr>
          <w:lang w:val="es-ES_tradnl"/>
        </w:rPr>
        <w:t xml:space="preserve"> and Air </w:t>
      </w:r>
      <w:proofErr w:type="spellStart"/>
      <w:r w:rsidRPr="00DD0373">
        <w:rPr>
          <w:lang w:val="es-ES_tradnl"/>
        </w:rPr>
        <w:t>Conditioning</w:t>
      </w:r>
      <w:proofErr w:type="spellEnd"/>
      <w:r w:rsidRPr="00DD0373">
        <w:rPr>
          <w:lang w:val="es-ES_tradnl"/>
        </w:rPr>
        <w:t xml:space="preserve"> </w:t>
      </w:r>
      <w:proofErr w:type="spellStart"/>
      <w:r w:rsidRPr="00DD0373">
        <w:rPr>
          <w:lang w:val="es-ES_tradnl"/>
        </w:rPr>
        <w:t>Industry</w:t>
      </w:r>
      <w:proofErr w:type="spellEnd"/>
      <w:r w:rsidRPr="00DD0373">
        <w:rPr>
          <w:lang w:val="es-ES_tradnl"/>
        </w:rPr>
        <w:t xml:space="preserve"> </w:t>
      </w:r>
      <w:proofErr w:type="spellStart"/>
      <w:r w:rsidRPr="00DD0373">
        <w:rPr>
          <w:lang w:val="es-ES_tradnl"/>
        </w:rPr>
        <w:t>Association</w:t>
      </w:r>
      <w:proofErr w:type="spellEnd"/>
      <w:r w:rsidRPr="00DD0373">
        <w:rPr>
          <w:lang w:val="es-ES_tradnl"/>
        </w:rPr>
        <w:t xml:space="preserve">, y </w:t>
      </w:r>
      <w:proofErr w:type="spellStart"/>
      <w:r w:rsidRPr="00DD0373">
        <w:rPr>
          <w:lang w:val="es-ES_tradnl"/>
        </w:rPr>
        <w:t>Tradewater</w:t>
      </w:r>
      <w:proofErr w:type="spellEnd"/>
      <w:r w:rsidRPr="00DD0373">
        <w:rPr>
          <w:lang w:val="es-ES_tradnl"/>
        </w:rPr>
        <w:t>. También asistieron a la reunión algunos expertos independientes.</w:t>
      </w:r>
    </w:p>
    <w:p w14:paraId="192D659E" w14:textId="74B23302" w:rsidR="00C20895" w:rsidRPr="00DD0373" w:rsidRDefault="002E7CA9" w:rsidP="00AB635F">
      <w:pPr>
        <w:pStyle w:val="CH2"/>
        <w:rPr>
          <w:lang w:val="es-ES_tradnl"/>
        </w:rPr>
      </w:pPr>
      <w:r w:rsidRPr="00DD0373">
        <w:rPr>
          <w:bCs/>
          <w:lang w:val="es-ES_tradnl"/>
        </w:rPr>
        <w:tab/>
      </w:r>
      <w:r w:rsidR="00B90544" w:rsidRPr="00DD0373">
        <w:rPr>
          <w:bCs/>
          <w:lang w:val="es-ES_tradnl"/>
        </w:rPr>
        <w:t>B.</w:t>
      </w:r>
      <w:r w:rsidR="00B90544" w:rsidRPr="00DD0373">
        <w:rPr>
          <w:lang w:val="es-ES_tradnl"/>
        </w:rPr>
        <w:tab/>
      </w:r>
      <w:r w:rsidR="00B90544" w:rsidRPr="00DD0373">
        <w:rPr>
          <w:bCs/>
          <w:lang w:val="es-ES_tradnl"/>
        </w:rPr>
        <w:t>Aprobación del programa de la serie de sesiones preparatorias</w:t>
      </w:r>
    </w:p>
    <w:p w14:paraId="6AC8DBED" w14:textId="27541EF6" w:rsidR="00F978AD" w:rsidRPr="00DD0373" w:rsidRDefault="00F978AD" w:rsidP="002F476F">
      <w:pPr>
        <w:pStyle w:val="Normalnumber"/>
        <w:rPr>
          <w:lang w:val="es-ES_tradnl"/>
        </w:rPr>
      </w:pPr>
      <w:r w:rsidRPr="00DD0373">
        <w:rPr>
          <w:lang w:val="es-ES_tradnl"/>
        </w:rPr>
        <w:t xml:space="preserve">Al presentar el programa provisional de la serie de sesiones preparatorias que figuraba en el documento UNEP/OzL.Pro.37/1, la Copresidenta informó de que, el 30 de octubre de 2025, se había notificado a la Secretaría que el Estado de Palestina deseaba aplazar el examen del tema del programa titulado “Clasificación del Estado de Palestina como Parte que opera al amparo del párrafo 1 del artículo 5 del Protocolo de Montreal y acceso a la ayuda del Fondo Multilateral” hasta la 38ª Reunión de las </w:t>
      </w:r>
      <w:r w:rsidR="00C17707">
        <w:rPr>
          <w:lang w:val="es-ES_tradnl"/>
        </w:rPr>
        <w:t>Partes</w:t>
      </w:r>
      <w:r w:rsidRPr="00DD0373">
        <w:rPr>
          <w:lang w:val="es-ES_tradnl"/>
        </w:rPr>
        <w:t xml:space="preserve">. Por consiguiente, las </w:t>
      </w:r>
      <w:r w:rsidR="00C17707">
        <w:rPr>
          <w:lang w:val="es-ES_tradnl"/>
        </w:rPr>
        <w:t>Partes</w:t>
      </w:r>
      <w:r w:rsidRPr="00DD0373">
        <w:rPr>
          <w:lang w:val="es-ES_tradnl"/>
        </w:rPr>
        <w:t xml:space="preserve"> convinieron en aplazar el examen del tema hasta la 38ª Reunión de las </w:t>
      </w:r>
      <w:r w:rsidR="00C17707">
        <w:rPr>
          <w:lang w:val="es-ES_tradnl"/>
        </w:rPr>
        <w:t>Partes</w:t>
      </w:r>
      <w:r w:rsidRPr="00DD0373">
        <w:rPr>
          <w:lang w:val="es-ES_tradnl"/>
        </w:rPr>
        <w:t>.</w:t>
      </w:r>
    </w:p>
    <w:p w14:paraId="40F83695" w14:textId="35EDE090" w:rsidR="00F242FF" w:rsidRPr="00DD0373" w:rsidRDefault="00261D36"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El representante del Estado de Palestina dijo que, habida cuenta de los debates de la 47ª reunión del Grupo de Trabajo de composición abierta de las </w:t>
      </w:r>
      <w:r w:rsidR="00C17707">
        <w:rPr>
          <w:lang w:val="es-ES_tradnl"/>
        </w:rPr>
        <w:t>Partes</w:t>
      </w:r>
      <w:r w:rsidRPr="00DD0373">
        <w:rPr>
          <w:lang w:val="es-ES_tradnl"/>
        </w:rPr>
        <w:t xml:space="preserve"> en el Protocolo de Montreal, su delegación había solicitado el aplazamiento del tema del programa a fin de disponer de más tiempo y celebrar consultas para lograr un consenso sobre la cuestión.</w:t>
      </w:r>
    </w:p>
    <w:p w14:paraId="36AA14A6" w14:textId="0FC97E7D" w:rsidR="00F978AD" w:rsidRPr="00DD0373" w:rsidRDefault="00F242FF"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Un representante dijo que deseaba mantener y reiterar las observaciones generales y las reservas formuladas anteriormente por su delegación sobre cuestiones relacionadas con el tema del programa en cuestión. Otro representante dijo que deseaba reiterar los puntos planteados por su delegación en reuniones anteriores, incluida la 47ª reunión del Grupo de Trabajo de composición abierta, en el sentido de que el examen del tema del programa implicaría un debate sobre la clasificación de las </w:t>
      </w:r>
      <w:r w:rsidR="00C17707">
        <w:rPr>
          <w:lang w:val="es-ES_tradnl"/>
        </w:rPr>
        <w:t>Partes</w:t>
      </w:r>
      <w:r w:rsidRPr="00DD0373">
        <w:rPr>
          <w:lang w:val="es-ES_tradnl"/>
        </w:rPr>
        <w:t xml:space="preserve"> que operan al amparo del párrafo 1 del artículo 5 (</w:t>
      </w:r>
      <w:r w:rsidR="00C17707">
        <w:rPr>
          <w:lang w:val="es-ES_tradnl"/>
        </w:rPr>
        <w:t>Partes</w:t>
      </w:r>
      <w:r w:rsidRPr="00DD0373">
        <w:rPr>
          <w:lang w:val="es-ES_tradnl"/>
        </w:rPr>
        <w:t xml:space="preserve"> que operan al amparo del artículo 5) de forma más general. Una representante destacó que los debates debían seguir</w:t>
      </w:r>
      <w:r w:rsidR="00A97BFB" w:rsidRPr="00DD0373">
        <w:rPr>
          <w:lang w:val="es-ES_tradnl"/>
        </w:rPr>
        <w:t> </w:t>
      </w:r>
      <w:r w:rsidRPr="00DD0373">
        <w:rPr>
          <w:lang w:val="es-ES_tradnl"/>
        </w:rPr>
        <w:t xml:space="preserve">siendo constructivos y centrarse en cuestiones técnicas, que debía evitarse la introducción de cuestiones más amplias y politizadas y que las </w:t>
      </w:r>
      <w:r w:rsidR="00C17707">
        <w:rPr>
          <w:lang w:val="es-ES_tradnl"/>
        </w:rPr>
        <w:t>Partes</w:t>
      </w:r>
      <w:r w:rsidRPr="00DD0373">
        <w:rPr>
          <w:lang w:val="es-ES_tradnl"/>
        </w:rPr>
        <w:t xml:space="preserve"> que son países en desarrollo y operan al amparo del artículo 5 tenían derecho a recibir asistencia financiera y técnica para apoyar la aplicación del Protocolo de Montreal.</w:t>
      </w:r>
    </w:p>
    <w:p w14:paraId="7A06DF3B" w14:textId="6A8AAD50" w:rsidR="00F978AD" w:rsidRPr="00DD0373" w:rsidRDefault="00F978AD"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El programa de la serie de sesiones preparatorias que figura a continuación se aprobó a partir del programa provisional reproducido en el documento UNEP/OzL.Pro.37/1, en su forma modificada oralmente:</w:t>
      </w:r>
    </w:p>
    <w:p w14:paraId="74AED1A4" w14:textId="77777777" w:rsidR="00F978AD" w:rsidRPr="00DD0373" w:rsidRDefault="00F978AD" w:rsidP="00F978AD">
      <w:pPr>
        <w:pStyle w:val="NormalNonumber"/>
        <w:numPr>
          <w:ilvl w:val="0"/>
          <w:numId w:val="16"/>
        </w:numPr>
        <w:tabs>
          <w:tab w:val="clear" w:pos="1247"/>
          <w:tab w:val="clear" w:pos="1871"/>
          <w:tab w:val="clear" w:pos="2495"/>
          <w:tab w:val="clear" w:pos="3119"/>
          <w:tab w:val="clear" w:pos="3742"/>
          <w:tab w:val="clear" w:pos="4366"/>
          <w:tab w:val="clear" w:pos="4990"/>
        </w:tabs>
        <w:spacing w:after="116"/>
        <w:ind w:left="2495" w:hanging="624"/>
        <w:rPr>
          <w:lang w:val="es-ES_tradnl"/>
        </w:rPr>
      </w:pPr>
      <w:r w:rsidRPr="00DD0373">
        <w:rPr>
          <w:lang w:val="es-ES_tradnl"/>
        </w:rPr>
        <w:t>Apertura de la serie de sesiones preparatorias.</w:t>
      </w:r>
    </w:p>
    <w:p w14:paraId="71AD807A" w14:textId="77777777" w:rsidR="00F978AD" w:rsidRPr="00DD0373" w:rsidRDefault="00F978AD" w:rsidP="00F978AD">
      <w:pPr>
        <w:pStyle w:val="NormalNonumber"/>
        <w:numPr>
          <w:ilvl w:val="0"/>
          <w:numId w:val="16"/>
        </w:numPr>
        <w:tabs>
          <w:tab w:val="clear" w:pos="1247"/>
          <w:tab w:val="clear" w:pos="1871"/>
          <w:tab w:val="clear" w:pos="2495"/>
          <w:tab w:val="clear" w:pos="3119"/>
          <w:tab w:val="clear" w:pos="3742"/>
          <w:tab w:val="clear" w:pos="4366"/>
          <w:tab w:val="clear" w:pos="4990"/>
        </w:tabs>
        <w:spacing w:after="116"/>
        <w:ind w:left="2495" w:hanging="624"/>
        <w:rPr>
          <w:lang w:val="es-ES_tradnl"/>
        </w:rPr>
      </w:pPr>
      <w:r w:rsidRPr="00DD0373">
        <w:rPr>
          <w:lang w:val="es-ES_tradnl"/>
        </w:rPr>
        <w:t>Cuestiones de organización:</w:t>
      </w:r>
    </w:p>
    <w:p w14:paraId="2826CAEC" w14:textId="77777777" w:rsidR="00F978AD" w:rsidRPr="00DD0373" w:rsidRDefault="00F978AD" w:rsidP="00AB635F">
      <w:pPr>
        <w:pStyle w:val="NormalNonumber"/>
        <w:numPr>
          <w:ilvl w:val="0"/>
          <w:numId w:val="17"/>
        </w:numPr>
        <w:tabs>
          <w:tab w:val="clear" w:pos="624"/>
          <w:tab w:val="clear" w:pos="1247"/>
          <w:tab w:val="clear" w:pos="1871"/>
          <w:tab w:val="clear" w:pos="2495"/>
          <w:tab w:val="clear" w:pos="3119"/>
          <w:tab w:val="clear" w:pos="3742"/>
          <w:tab w:val="clear" w:pos="4366"/>
          <w:tab w:val="clear" w:pos="4990"/>
        </w:tabs>
        <w:spacing w:after="116"/>
        <w:ind w:left="3119" w:hanging="624"/>
        <w:rPr>
          <w:lang w:val="es-ES_tradnl"/>
        </w:rPr>
      </w:pPr>
      <w:r w:rsidRPr="00DD0373">
        <w:rPr>
          <w:lang w:val="es-ES_tradnl"/>
        </w:rPr>
        <w:t>Aprobación del programa de la serie de sesiones preparatorias;</w:t>
      </w:r>
    </w:p>
    <w:p w14:paraId="73438A49" w14:textId="77777777" w:rsidR="00F978AD" w:rsidRPr="00DD0373" w:rsidRDefault="00F978AD" w:rsidP="00AB635F">
      <w:pPr>
        <w:pStyle w:val="NormalNonumber"/>
        <w:numPr>
          <w:ilvl w:val="0"/>
          <w:numId w:val="17"/>
        </w:numPr>
        <w:tabs>
          <w:tab w:val="clear" w:pos="624"/>
          <w:tab w:val="clear" w:pos="1247"/>
          <w:tab w:val="clear" w:pos="1871"/>
          <w:tab w:val="clear" w:pos="2495"/>
          <w:tab w:val="clear" w:pos="3119"/>
          <w:tab w:val="clear" w:pos="3742"/>
          <w:tab w:val="clear" w:pos="4366"/>
          <w:tab w:val="clear" w:pos="4990"/>
        </w:tabs>
        <w:spacing w:after="116"/>
        <w:ind w:left="3119" w:hanging="624"/>
        <w:rPr>
          <w:lang w:val="es-ES_tradnl"/>
        </w:rPr>
      </w:pPr>
      <w:r w:rsidRPr="00DD0373">
        <w:rPr>
          <w:lang w:val="es-ES_tradnl"/>
        </w:rPr>
        <w:t>Organización de los trabajos.</w:t>
      </w:r>
    </w:p>
    <w:p w14:paraId="011D0876" w14:textId="77777777" w:rsidR="00F978AD" w:rsidRPr="00DD0373" w:rsidRDefault="00F978AD" w:rsidP="00F978AD">
      <w:pPr>
        <w:pStyle w:val="NormalNonumber"/>
        <w:numPr>
          <w:ilvl w:val="0"/>
          <w:numId w:val="16"/>
        </w:numPr>
        <w:tabs>
          <w:tab w:val="clear" w:pos="1247"/>
          <w:tab w:val="clear" w:pos="1871"/>
          <w:tab w:val="clear" w:pos="2495"/>
          <w:tab w:val="clear" w:pos="3119"/>
          <w:tab w:val="clear" w:pos="3742"/>
          <w:tab w:val="clear" w:pos="4366"/>
          <w:tab w:val="clear" w:pos="4990"/>
        </w:tabs>
        <w:spacing w:after="116"/>
        <w:ind w:left="2495" w:hanging="624"/>
        <w:rPr>
          <w:lang w:val="es-ES_tradnl"/>
        </w:rPr>
      </w:pPr>
      <w:r w:rsidRPr="00DD0373">
        <w:rPr>
          <w:lang w:val="es-ES_tradnl"/>
        </w:rPr>
        <w:t>Cuestiones administrativas:</w:t>
      </w:r>
    </w:p>
    <w:p w14:paraId="51DA46BF" w14:textId="77777777" w:rsidR="00F978AD" w:rsidRPr="00DD0373" w:rsidRDefault="00F978AD" w:rsidP="00AB635F">
      <w:pPr>
        <w:pStyle w:val="NormalNonumber"/>
        <w:numPr>
          <w:ilvl w:val="0"/>
          <w:numId w:val="18"/>
        </w:numPr>
        <w:tabs>
          <w:tab w:val="clear" w:pos="624"/>
          <w:tab w:val="clear" w:pos="1247"/>
          <w:tab w:val="clear" w:pos="1871"/>
          <w:tab w:val="clear" w:pos="2495"/>
          <w:tab w:val="clear" w:pos="3119"/>
          <w:tab w:val="clear" w:pos="3742"/>
          <w:tab w:val="clear" w:pos="4366"/>
          <w:tab w:val="clear" w:pos="4990"/>
        </w:tabs>
        <w:spacing w:after="116"/>
        <w:ind w:left="3119" w:hanging="624"/>
        <w:rPr>
          <w:lang w:val="es-ES_tradnl"/>
        </w:rPr>
      </w:pPr>
      <w:r w:rsidRPr="00DD0373">
        <w:rPr>
          <w:lang w:val="es-ES_tradnl"/>
        </w:rPr>
        <w:t>Presupuesto del fondo fiduciario para el Protocolo de Montreal e informes financieros;</w:t>
      </w:r>
    </w:p>
    <w:p w14:paraId="3DD8E9DA" w14:textId="120044B8" w:rsidR="00F978AD" w:rsidRPr="00DD0373" w:rsidRDefault="00F978AD" w:rsidP="00AB635F">
      <w:pPr>
        <w:pStyle w:val="NormalNonumber"/>
        <w:numPr>
          <w:ilvl w:val="0"/>
          <w:numId w:val="18"/>
        </w:numPr>
        <w:tabs>
          <w:tab w:val="clear" w:pos="624"/>
          <w:tab w:val="clear" w:pos="1247"/>
          <w:tab w:val="clear" w:pos="1871"/>
          <w:tab w:val="clear" w:pos="2495"/>
          <w:tab w:val="clear" w:pos="3119"/>
          <w:tab w:val="clear" w:pos="3742"/>
          <w:tab w:val="clear" w:pos="4366"/>
          <w:tab w:val="clear" w:pos="4990"/>
        </w:tabs>
        <w:spacing w:after="116"/>
        <w:ind w:left="3119" w:hanging="624"/>
        <w:rPr>
          <w:spacing w:val="-4"/>
          <w:lang w:val="es-ES_tradnl"/>
        </w:rPr>
      </w:pPr>
      <w:r w:rsidRPr="00DD0373">
        <w:rPr>
          <w:spacing w:val="-4"/>
          <w:lang w:val="es-ES_tradnl"/>
        </w:rPr>
        <w:t>Examen de la composición de los órganos del Protocolo de Montreal para 2026:</w:t>
      </w:r>
    </w:p>
    <w:p w14:paraId="459014AE" w14:textId="77777777" w:rsidR="00F978AD" w:rsidRPr="00DD0373" w:rsidRDefault="00F978AD" w:rsidP="00AB635F">
      <w:pPr>
        <w:pStyle w:val="NormalNonumber"/>
        <w:numPr>
          <w:ilvl w:val="1"/>
          <w:numId w:val="19"/>
        </w:numPr>
        <w:tabs>
          <w:tab w:val="clear" w:pos="1247"/>
          <w:tab w:val="clear" w:pos="1871"/>
          <w:tab w:val="clear" w:pos="2495"/>
          <w:tab w:val="clear" w:pos="3119"/>
          <w:tab w:val="clear" w:pos="3742"/>
          <w:tab w:val="clear" w:pos="4366"/>
          <w:tab w:val="clear" w:pos="4990"/>
        </w:tabs>
        <w:spacing w:after="116"/>
        <w:ind w:left="3743" w:hanging="624"/>
        <w:rPr>
          <w:lang w:val="es-ES_tradnl"/>
        </w:rPr>
      </w:pPr>
      <w:r w:rsidRPr="00DD0373">
        <w:rPr>
          <w:lang w:val="es-ES_tradnl"/>
        </w:rPr>
        <w:t>Composición del Comité de Aplicación establecido con arreglo al Procedimiento relativo al Incumplimiento del Protocolo de Montreal;</w:t>
      </w:r>
    </w:p>
    <w:p w14:paraId="437631CD" w14:textId="77777777" w:rsidR="00F978AD" w:rsidRPr="00DD0373" w:rsidRDefault="00F978AD" w:rsidP="00AB635F">
      <w:pPr>
        <w:pStyle w:val="NormalNonumber"/>
        <w:numPr>
          <w:ilvl w:val="1"/>
          <w:numId w:val="19"/>
        </w:numPr>
        <w:tabs>
          <w:tab w:val="clear" w:pos="1247"/>
          <w:tab w:val="clear" w:pos="1871"/>
          <w:tab w:val="clear" w:pos="2495"/>
          <w:tab w:val="clear" w:pos="3119"/>
          <w:tab w:val="clear" w:pos="3742"/>
          <w:tab w:val="clear" w:pos="4366"/>
          <w:tab w:val="clear" w:pos="4990"/>
        </w:tabs>
        <w:spacing w:after="116"/>
        <w:ind w:left="3743" w:hanging="624"/>
        <w:rPr>
          <w:lang w:val="es-ES_tradnl"/>
        </w:rPr>
      </w:pPr>
      <w:r w:rsidRPr="00DD0373">
        <w:rPr>
          <w:lang w:val="es-ES_tradnl"/>
        </w:rPr>
        <w:t>Miembros del Comité Ejecutivo del Fondo Multilateral para la Aplicación del Protocolo de Montreal;</w:t>
      </w:r>
    </w:p>
    <w:p w14:paraId="2861501A" w14:textId="77777777" w:rsidR="00F978AD" w:rsidRPr="00DD0373" w:rsidRDefault="00F978AD" w:rsidP="00AB635F">
      <w:pPr>
        <w:pStyle w:val="NormalNonumber"/>
        <w:numPr>
          <w:ilvl w:val="1"/>
          <w:numId w:val="19"/>
        </w:numPr>
        <w:tabs>
          <w:tab w:val="clear" w:pos="1247"/>
          <w:tab w:val="clear" w:pos="1871"/>
          <w:tab w:val="clear" w:pos="2495"/>
          <w:tab w:val="clear" w:pos="3119"/>
          <w:tab w:val="clear" w:pos="3742"/>
          <w:tab w:val="clear" w:pos="4366"/>
          <w:tab w:val="clear" w:pos="4990"/>
        </w:tabs>
        <w:spacing w:after="116"/>
        <w:ind w:left="3743" w:hanging="624"/>
        <w:rPr>
          <w:lang w:val="es-ES_tradnl"/>
        </w:rPr>
      </w:pPr>
      <w:r w:rsidRPr="00DD0373">
        <w:rPr>
          <w:lang w:val="es-ES_tradnl"/>
        </w:rPr>
        <w:t>Copresidencia del Grupo de Trabajo de composición abierta.</w:t>
      </w:r>
    </w:p>
    <w:p w14:paraId="384ACBFD" w14:textId="5518D2FA" w:rsidR="00F978AD" w:rsidRPr="00DD0373" w:rsidRDefault="00F978AD" w:rsidP="00F978AD">
      <w:pPr>
        <w:pStyle w:val="NormalNonumber"/>
        <w:numPr>
          <w:ilvl w:val="0"/>
          <w:numId w:val="16"/>
        </w:numPr>
        <w:tabs>
          <w:tab w:val="clear" w:pos="1247"/>
          <w:tab w:val="clear" w:pos="1871"/>
          <w:tab w:val="clear" w:pos="2495"/>
          <w:tab w:val="clear" w:pos="3119"/>
          <w:tab w:val="clear" w:pos="3742"/>
          <w:tab w:val="clear" w:pos="4366"/>
          <w:tab w:val="clear" w:pos="4990"/>
        </w:tabs>
        <w:spacing w:after="116"/>
        <w:ind w:left="2495" w:hanging="624"/>
        <w:rPr>
          <w:lang w:val="es-ES_tradnl"/>
        </w:rPr>
      </w:pPr>
      <w:r w:rsidRPr="00DD0373">
        <w:rPr>
          <w:lang w:val="es-ES_tradnl"/>
        </w:rPr>
        <w:t>Mandato del estudio relativo a la reposición del Fondo Multilateral para la Aplicación del Protocolo de Montreal para 2027</w:t>
      </w:r>
      <w:r w:rsidR="0051369B" w:rsidRPr="00DD0373">
        <w:rPr>
          <w:lang w:val="es-ES_tradnl"/>
        </w:rPr>
        <w:t>-</w:t>
      </w:r>
      <w:r w:rsidRPr="00DD0373">
        <w:rPr>
          <w:lang w:val="es-ES_tradnl"/>
        </w:rPr>
        <w:t>2029.</w:t>
      </w:r>
    </w:p>
    <w:p w14:paraId="28807AE2" w14:textId="77777777" w:rsidR="00F978AD" w:rsidRPr="00DD0373" w:rsidRDefault="00F978AD" w:rsidP="00F978AD">
      <w:pPr>
        <w:pStyle w:val="NormalNonumber"/>
        <w:numPr>
          <w:ilvl w:val="0"/>
          <w:numId w:val="16"/>
        </w:numPr>
        <w:tabs>
          <w:tab w:val="clear" w:pos="1247"/>
          <w:tab w:val="clear" w:pos="1871"/>
          <w:tab w:val="clear" w:pos="2495"/>
          <w:tab w:val="clear" w:pos="3119"/>
          <w:tab w:val="clear" w:pos="3742"/>
          <w:tab w:val="clear" w:pos="4366"/>
          <w:tab w:val="clear" w:pos="4990"/>
        </w:tabs>
        <w:spacing w:after="116"/>
        <w:ind w:left="2495" w:hanging="624"/>
        <w:rPr>
          <w:lang w:val="es-ES_tradnl"/>
        </w:rPr>
      </w:pPr>
      <w:r w:rsidRPr="00DD0373">
        <w:rPr>
          <w:lang w:val="es-ES_tradnl"/>
        </w:rPr>
        <w:t>Emisiones de hidrofluorocarbono</w:t>
      </w:r>
      <w:r w:rsidRPr="00DD0373">
        <w:rPr>
          <w:lang w:val="es-ES_tradnl"/>
        </w:rPr>
        <w:noBreakHyphen/>
        <w:t>23 (HFC</w:t>
      </w:r>
      <w:r w:rsidRPr="00DD0373">
        <w:rPr>
          <w:lang w:val="es-ES_tradnl"/>
        </w:rPr>
        <w:noBreakHyphen/>
        <w:t>23) (decisión XXXVI/3).</w:t>
      </w:r>
    </w:p>
    <w:p w14:paraId="63F6FF00" w14:textId="77777777" w:rsidR="00F978AD" w:rsidRPr="00DD0373" w:rsidRDefault="00F978AD" w:rsidP="00F978AD">
      <w:pPr>
        <w:pStyle w:val="NormalNonumber"/>
        <w:numPr>
          <w:ilvl w:val="0"/>
          <w:numId w:val="16"/>
        </w:numPr>
        <w:tabs>
          <w:tab w:val="clear" w:pos="1247"/>
          <w:tab w:val="clear" w:pos="1871"/>
          <w:tab w:val="clear" w:pos="2495"/>
          <w:tab w:val="clear" w:pos="3119"/>
          <w:tab w:val="clear" w:pos="3742"/>
          <w:tab w:val="clear" w:pos="4366"/>
          <w:tab w:val="clear" w:pos="4990"/>
        </w:tabs>
        <w:spacing w:after="116"/>
        <w:ind w:left="2495" w:hanging="624"/>
        <w:rPr>
          <w:lang w:val="es-ES_tradnl"/>
        </w:rPr>
      </w:pPr>
      <w:r w:rsidRPr="00DD0373">
        <w:rPr>
          <w:lang w:val="es-ES_tradnl"/>
        </w:rPr>
        <w:lastRenderedPageBreak/>
        <w:t>Mejora de la vigilancia atmosférica regional de sustancias controladas por el Protocolo de Montreal (decisión XXXVI/1).</w:t>
      </w:r>
    </w:p>
    <w:p w14:paraId="15A1871B" w14:textId="489DC058" w:rsidR="00F978AD" w:rsidRPr="00DD0373" w:rsidRDefault="00F978AD" w:rsidP="00F978AD">
      <w:pPr>
        <w:pStyle w:val="NormalNonumber"/>
        <w:numPr>
          <w:ilvl w:val="0"/>
          <w:numId w:val="16"/>
        </w:numPr>
        <w:tabs>
          <w:tab w:val="clear" w:pos="1247"/>
          <w:tab w:val="clear" w:pos="1871"/>
          <w:tab w:val="clear" w:pos="2495"/>
          <w:tab w:val="clear" w:pos="3119"/>
          <w:tab w:val="clear" w:pos="3742"/>
          <w:tab w:val="clear" w:pos="4366"/>
          <w:tab w:val="clear" w:pos="4990"/>
        </w:tabs>
        <w:spacing w:after="116"/>
        <w:ind w:left="2495" w:hanging="624"/>
        <w:rPr>
          <w:lang w:val="es-ES_tradnl"/>
        </w:rPr>
      </w:pPr>
      <w:r w:rsidRPr="00DD0373">
        <w:rPr>
          <w:lang w:val="es-ES_tradnl"/>
        </w:rPr>
        <w:t>Elaboración de estudios y estrategias para encontrar soluciones a medio y largo plazo a</w:t>
      </w:r>
      <w:r w:rsidR="00A94CC4" w:rsidRPr="00DD0373">
        <w:rPr>
          <w:lang w:val="es-ES_tradnl"/>
        </w:rPr>
        <w:t> </w:t>
      </w:r>
      <w:r w:rsidRPr="00DD0373">
        <w:rPr>
          <w:lang w:val="es-ES_tradnl"/>
        </w:rPr>
        <w:t xml:space="preserve">la gran acumulación de inventarios de gases refrigerantes que culminan su ciclo de vida en las </w:t>
      </w:r>
      <w:r w:rsidR="00C17707">
        <w:rPr>
          <w:lang w:val="es-ES_tradnl"/>
        </w:rPr>
        <w:t>Partes</w:t>
      </w:r>
      <w:r w:rsidRPr="00DD0373">
        <w:rPr>
          <w:lang w:val="es-ES_tradnl"/>
        </w:rPr>
        <w:t xml:space="preserve"> que operan al amparo del párrafo 1 del artículo 5 del Protocolo de</w:t>
      </w:r>
      <w:r w:rsidR="00A94CC4" w:rsidRPr="00DD0373">
        <w:rPr>
          <w:lang w:val="es-ES_tradnl"/>
        </w:rPr>
        <w:t> </w:t>
      </w:r>
      <w:r w:rsidRPr="00DD0373">
        <w:rPr>
          <w:lang w:val="es-ES_tradnl"/>
        </w:rPr>
        <w:t>Montreal.</w:t>
      </w:r>
    </w:p>
    <w:p w14:paraId="70C8E40F" w14:textId="77777777" w:rsidR="00F978AD" w:rsidRPr="00DD0373" w:rsidRDefault="00F978AD" w:rsidP="00F978AD">
      <w:pPr>
        <w:pStyle w:val="NormalNonumber"/>
        <w:numPr>
          <w:ilvl w:val="0"/>
          <w:numId w:val="16"/>
        </w:numPr>
        <w:tabs>
          <w:tab w:val="clear" w:pos="1247"/>
          <w:tab w:val="clear" w:pos="1871"/>
          <w:tab w:val="clear" w:pos="2495"/>
          <w:tab w:val="clear" w:pos="3119"/>
          <w:tab w:val="clear" w:pos="3742"/>
          <w:tab w:val="clear" w:pos="4366"/>
          <w:tab w:val="clear" w:pos="4990"/>
        </w:tabs>
        <w:spacing w:after="116"/>
        <w:ind w:left="2495" w:hanging="624"/>
        <w:rPr>
          <w:lang w:val="es-ES_tradnl"/>
        </w:rPr>
      </w:pPr>
      <w:r w:rsidRPr="00DD0373">
        <w:rPr>
          <w:lang w:val="es-ES_tradnl"/>
        </w:rPr>
        <w:t>Usos de sustancias controladas como materia prima.</w:t>
      </w:r>
    </w:p>
    <w:p w14:paraId="65E1F7B4" w14:textId="1BC99159" w:rsidR="00F978AD" w:rsidRPr="00DD0373" w:rsidRDefault="00F978AD" w:rsidP="00F978AD">
      <w:pPr>
        <w:pStyle w:val="NormalNonumber"/>
        <w:numPr>
          <w:ilvl w:val="0"/>
          <w:numId w:val="16"/>
        </w:numPr>
        <w:tabs>
          <w:tab w:val="clear" w:pos="1247"/>
          <w:tab w:val="clear" w:pos="1871"/>
          <w:tab w:val="clear" w:pos="2495"/>
          <w:tab w:val="clear" w:pos="3119"/>
          <w:tab w:val="clear" w:pos="3742"/>
          <w:tab w:val="clear" w:pos="4366"/>
          <w:tab w:val="clear" w:pos="4990"/>
        </w:tabs>
        <w:spacing w:after="116"/>
        <w:ind w:left="2495" w:hanging="624"/>
        <w:rPr>
          <w:lang w:val="es-ES_tradnl"/>
        </w:rPr>
      </w:pPr>
      <w:r w:rsidRPr="00DD0373">
        <w:rPr>
          <w:lang w:val="es-ES_tradnl"/>
        </w:rPr>
        <w:t>Halón 1301 y su uso continuado en la industria de la aviación; gestión de otras sustancias controladas utilizadas para la supresión de incendios.</w:t>
      </w:r>
    </w:p>
    <w:p w14:paraId="28E88FBB" w14:textId="77777777" w:rsidR="00F978AD" w:rsidRPr="00DD0373" w:rsidRDefault="00F978AD" w:rsidP="00F978AD">
      <w:pPr>
        <w:pStyle w:val="NormalNonumber"/>
        <w:numPr>
          <w:ilvl w:val="0"/>
          <w:numId w:val="16"/>
        </w:numPr>
        <w:tabs>
          <w:tab w:val="clear" w:pos="1247"/>
          <w:tab w:val="clear" w:pos="1871"/>
          <w:tab w:val="clear" w:pos="2495"/>
          <w:tab w:val="clear" w:pos="3119"/>
          <w:tab w:val="clear" w:pos="3742"/>
          <w:tab w:val="clear" w:pos="4366"/>
          <w:tab w:val="clear" w:pos="4990"/>
        </w:tabs>
        <w:spacing w:after="116"/>
        <w:ind w:left="2495" w:hanging="624"/>
        <w:rPr>
          <w:lang w:val="es-ES_tradnl"/>
        </w:rPr>
      </w:pPr>
      <w:r w:rsidRPr="00DD0373">
        <w:rPr>
          <w:lang w:val="es-ES_tradnl"/>
        </w:rPr>
        <w:t>Iniciativas nacionales y regionales para apoyar la aplicación de la Enmienda de Kigali al Protocolo de Montreal.</w:t>
      </w:r>
    </w:p>
    <w:p w14:paraId="7CDEBC84" w14:textId="77777777" w:rsidR="00F978AD" w:rsidRPr="00DD0373" w:rsidRDefault="00F978AD" w:rsidP="00C62023">
      <w:pPr>
        <w:pStyle w:val="NormalNonumber"/>
        <w:keepNext/>
        <w:keepLines/>
        <w:numPr>
          <w:ilvl w:val="0"/>
          <w:numId w:val="16"/>
        </w:numPr>
        <w:tabs>
          <w:tab w:val="clear" w:pos="1247"/>
          <w:tab w:val="clear" w:pos="1871"/>
          <w:tab w:val="clear" w:pos="2495"/>
          <w:tab w:val="clear" w:pos="3119"/>
          <w:tab w:val="clear" w:pos="3742"/>
          <w:tab w:val="clear" w:pos="4366"/>
          <w:tab w:val="clear" w:pos="4990"/>
        </w:tabs>
        <w:spacing w:after="116"/>
        <w:ind w:left="2495" w:hanging="624"/>
        <w:rPr>
          <w:lang w:val="es-ES_tradnl"/>
        </w:rPr>
      </w:pPr>
      <w:r w:rsidRPr="00DD0373">
        <w:rPr>
          <w:lang w:val="es-ES_tradnl"/>
        </w:rPr>
        <w:t>Cuestiones de organización del Grupo de Evaluación Tecnológica y Económica:</w:t>
      </w:r>
    </w:p>
    <w:p w14:paraId="07F30E04" w14:textId="77777777" w:rsidR="00F978AD" w:rsidRPr="00DD0373" w:rsidRDefault="00F978AD" w:rsidP="00C62023">
      <w:pPr>
        <w:pStyle w:val="NormalNonumber"/>
        <w:keepNext/>
        <w:keepLines/>
        <w:numPr>
          <w:ilvl w:val="0"/>
          <w:numId w:val="20"/>
        </w:numPr>
        <w:tabs>
          <w:tab w:val="clear" w:pos="624"/>
          <w:tab w:val="clear" w:pos="1247"/>
          <w:tab w:val="clear" w:pos="1871"/>
          <w:tab w:val="clear" w:pos="2495"/>
          <w:tab w:val="clear" w:pos="3119"/>
          <w:tab w:val="clear" w:pos="3742"/>
          <w:tab w:val="clear" w:pos="4366"/>
          <w:tab w:val="clear" w:pos="4990"/>
        </w:tabs>
        <w:spacing w:after="116"/>
        <w:ind w:left="3119" w:hanging="624"/>
        <w:rPr>
          <w:lang w:val="es-ES_tradnl"/>
        </w:rPr>
      </w:pPr>
      <w:r w:rsidRPr="00DD0373">
        <w:rPr>
          <w:lang w:val="es-ES_tradnl"/>
        </w:rPr>
        <w:t>Opciones para la organización del Grupo de Evaluación Tecnológica y Económica y sus comités de opciones técnicas (decisión XXXV/20);</w:t>
      </w:r>
    </w:p>
    <w:p w14:paraId="126D5EE3" w14:textId="77777777" w:rsidR="00F978AD" w:rsidRPr="00DD0373" w:rsidRDefault="00F978AD" w:rsidP="00C62023">
      <w:pPr>
        <w:pStyle w:val="NormalNonumber"/>
        <w:keepNext/>
        <w:keepLines/>
        <w:numPr>
          <w:ilvl w:val="0"/>
          <w:numId w:val="20"/>
        </w:numPr>
        <w:tabs>
          <w:tab w:val="clear" w:pos="624"/>
          <w:tab w:val="clear" w:pos="1247"/>
          <w:tab w:val="clear" w:pos="1871"/>
          <w:tab w:val="clear" w:pos="2495"/>
          <w:tab w:val="clear" w:pos="3119"/>
          <w:tab w:val="clear" w:pos="3742"/>
          <w:tab w:val="clear" w:pos="4366"/>
          <w:tab w:val="clear" w:pos="4990"/>
        </w:tabs>
        <w:spacing w:after="116"/>
        <w:ind w:left="3119" w:hanging="624"/>
        <w:rPr>
          <w:lang w:val="es-ES_tradnl"/>
        </w:rPr>
      </w:pPr>
      <w:r w:rsidRPr="00DD0373">
        <w:rPr>
          <w:lang w:val="es-ES_tradnl"/>
        </w:rPr>
        <w:t>Cambios en la composición del Grupo de Evaluación Tecnológica y Económica.</w:t>
      </w:r>
    </w:p>
    <w:p w14:paraId="08DDDD1F" w14:textId="48335EE8" w:rsidR="00F978AD" w:rsidRPr="00DD0373" w:rsidRDefault="00F978AD" w:rsidP="00F978AD">
      <w:pPr>
        <w:pStyle w:val="NormalNonumber"/>
        <w:numPr>
          <w:ilvl w:val="0"/>
          <w:numId w:val="16"/>
        </w:numPr>
        <w:tabs>
          <w:tab w:val="clear" w:pos="1247"/>
          <w:tab w:val="clear" w:pos="1871"/>
          <w:tab w:val="clear" w:pos="2495"/>
          <w:tab w:val="clear" w:pos="3119"/>
          <w:tab w:val="clear" w:pos="3742"/>
          <w:tab w:val="clear" w:pos="4366"/>
          <w:tab w:val="clear" w:pos="4990"/>
        </w:tabs>
        <w:spacing w:after="116"/>
        <w:ind w:left="2495" w:hanging="624"/>
        <w:rPr>
          <w:lang w:val="es-ES_tradnl"/>
        </w:rPr>
      </w:pPr>
      <w:r w:rsidRPr="00DD0373">
        <w:rPr>
          <w:lang w:val="es-ES_tradnl"/>
        </w:rPr>
        <w:t>Mayor fortalecimiento de las instituciones del Protocolo de Montreal (decisión</w:t>
      </w:r>
      <w:r w:rsidR="00283B3F" w:rsidRPr="00DD0373">
        <w:rPr>
          <w:lang w:val="es-ES_tradnl"/>
        </w:rPr>
        <w:t> </w:t>
      </w:r>
      <w:r w:rsidRPr="00DD0373">
        <w:rPr>
          <w:lang w:val="es-ES_tradnl"/>
        </w:rPr>
        <w:t>XXXVI/9).</w:t>
      </w:r>
    </w:p>
    <w:p w14:paraId="427899A5" w14:textId="4C16A4BA" w:rsidR="00F978AD" w:rsidRPr="00DD0373" w:rsidRDefault="00F978AD" w:rsidP="00F978AD">
      <w:pPr>
        <w:pStyle w:val="NormalNonumber"/>
        <w:numPr>
          <w:ilvl w:val="0"/>
          <w:numId w:val="16"/>
        </w:numPr>
        <w:tabs>
          <w:tab w:val="clear" w:pos="1247"/>
          <w:tab w:val="clear" w:pos="1871"/>
          <w:tab w:val="clear" w:pos="2495"/>
          <w:tab w:val="clear" w:pos="3119"/>
          <w:tab w:val="clear" w:pos="3742"/>
          <w:tab w:val="clear" w:pos="4366"/>
          <w:tab w:val="clear" w:pos="4990"/>
        </w:tabs>
        <w:spacing w:after="116"/>
        <w:ind w:left="2495" w:hanging="624"/>
        <w:rPr>
          <w:lang w:val="es-ES_tradnl"/>
        </w:rPr>
      </w:pPr>
      <w:r w:rsidRPr="00DD0373">
        <w:rPr>
          <w:lang w:val="es-ES_tradnl"/>
        </w:rPr>
        <w:t>Cuestiones relacionadas con el cumplimiento y la presentación de datos: labor del</w:t>
      </w:r>
      <w:r w:rsidR="00283B3F" w:rsidRPr="00DD0373">
        <w:rPr>
          <w:lang w:val="es-ES_tradnl"/>
        </w:rPr>
        <w:t> </w:t>
      </w:r>
      <w:r w:rsidRPr="00DD0373">
        <w:rPr>
          <w:lang w:val="es-ES_tradnl"/>
        </w:rPr>
        <w:t>Comité de Aplicación establecido con arreglo al Procedimiento relativo al Incumplimiento del Protocolo de Montreal y decisiones recomendadas por este.</w:t>
      </w:r>
    </w:p>
    <w:p w14:paraId="27AB2F4D" w14:textId="77777777" w:rsidR="00F978AD" w:rsidRPr="00DD0373" w:rsidRDefault="00F978AD" w:rsidP="00F978AD">
      <w:pPr>
        <w:pStyle w:val="NormalNonumber"/>
        <w:numPr>
          <w:ilvl w:val="0"/>
          <w:numId w:val="16"/>
        </w:numPr>
        <w:tabs>
          <w:tab w:val="clear" w:pos="1247"/>
          <w:tab w:val="clear" w:pos="1871"/>
          <w:tab w:val="clear" w:pos="2495"/>
          <w:tab w:val="clear" w:pos="3119"/>
          <w:tab w:val="clear" w:pos="3742"/>
          <w:tab w:val="clear" w:pos="4366"/>
          <w:tab w:val="clear" w:pos="4990"/>
        </w:tabs>
        <w:spacing w:after="116"/>
        <w:ind w:left="2495" w:hanging="624"/>
        <w:rPr>
          <w:lang w:val="es-ES_tradnl"/>
        </w:rPr>
      </w:pPr>
      <w:r w:rsidRPr="00DD0373">
        <w:rPr>
          <w:lang w:val="es-ES_tradnl"/>
        </w:rPr>
        <w:t>Estado de la ratificación de la Enmienda de Kigali.</w:t>
      </w:r>
    </w:p>
    <w:p w14:paraId="6D426713" w14:textId="15207804" w:rsidR="00F978AD" w:rsidRPr="00DD0373" w:rsidRDefault="00F978AD" w:rsidP="00F978AD">
      <w:pPr>
        <w:pStyle w:val="NormalNonumber"/>
        <w:numPr>
          <w:ilvl w:val="0"/>
          <w:numId w:val="16"/>
        </w:numPr>
        <w:tabs>
          <w:tab w:val="clear" w:pos="1247"/>
          <w:tab w:val="clear" w:pos="1871"/>
          <w:tab w:val="clear" w:pos="2495"/>
          <w:tab w:val="clear" w:pos="3119"/>
          <w:tab w:val="clear" w:pos="3742"/>
          <w:tab w:val="clear" w:pos="4366"/>
          <w:tab w:val="clear" w:pos="4990"/>
        </w:tabs>
        <w:spacing w:after="116"/>
        <w:ind w:left="2495" w:hanging="624"/>
        <w:rPr>
          <w:lang w:val="es-ES_tradnl"/>
        </w:rPr>
      </w:pPr>
      <w:r w:rsidRPr="00DD0373">
        <w:rPr>
          <w:lang w:val="es-ES_tradnl"/>
        </w:rPr>
        <w:t>Otros asuntos.</w:t>
      </w:r>
    </w:p>
    <w:p w14:paraId="27793665" w14:textId="0C67924E" w:rsidR="00F978AD" w:rsidRPr="00DD0373" w:rsidRDefault="00F978AD"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En el tema 15 del programa, “Otros asuntos”, las </w:t>
      </w:r>
      <w:r w:rsidR="00C17707">
        <w:rPr>
          <w:lang w:val="es-ES_tradnl"/>
        </w:rPr>
        <w:t>Partes</w:t>
      </w:r>
      <w:r w:rsidRPr="00DD0373">
        <w:rPr>
          <w:lang w:val="es-ES_tradnl"/>
        </w:rPr>
        <w:t xml:space="preserve"> acordaron examinar una propuesta de los Estados Unidos de América sobre la cuestión de la optimización del calendario de reuniones del Protocolo de Montreal y la labor asociada de la Secretaría del Ozono.</w:t>
      </w:r>
    </w:p>
    <w:p w14:paraId="7DA02FFE" w14:textId="735BB701" w:rsidR="00C20895" w:rsidRPr="00DD0373" w:rsidRDefault="002E7CA9" w:rsidP="00F2522C">
      <w:pPr>
        <w:pStyle w:val="CH2"/>
        <w:rPr>
          <w:lang w:val="es-ES_tradnl"/>
        </w:rPr>
      </w:pPr>
      <w:r w:rsidRPr="00DD0373">
        <w:rPr>
          <w:bCs/>
          <w:lang w:val="es-ES_tradnl"/>
        </w:rPr>
        <w:tab/>
      </w:r>
      <w:r w:rsidR="00847AF4" w:rsidRPr="00DD0373">
        <w:rPr>
          <w:bCs/>
          <w:lang w:val="es-ES_tradnl"/>
        </w:rPr>
        <w:t>C.</w:t>
      </w:r>
      <w:r w:rsidR="00847AF4" w:rsidRPr="00DD0373">
        <w:rPr>
          <w:lang w:val="es-ES_tradnl"/>
        </w:rPr>
        <w:tab/>
      </w:r>
      <w:r w:rsidR="00847AF4" w:rsidRPr="00DD0373">
        <w:rPr>
          <w:bCs/>
          <w:lang w:val="es-ES_tradnl"/>
        </w:rPr>
        <w:t>Organización de los trabajos</w:t>
      </w:r>
    </w:p>
    <w:p w14:paraId="4A6F5919" w14:textId="340F13A6" w:rsidR="00F978AD" w:rsidRPr="00DD0373" w:rsidRDefault="00F978AD"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Las </w:t>
      </w:r>
      <w:r w:rsidR="00C17707">
        <w:rPr>
          <w:lang w:val="es-ES_tradnl"/>
        </w:rPr>
        <w:t>Partes</w:t>
      </w:r>
      <w:r w:rsidRPr="00DD0373">
        <w:rPr>
          <w:lang w:val="es-ES_tradnl"/>
        </w:rPr>
        <w:t xml:space="preserve"> acordaron seguir su procedimiento habitual y establecer grupos de contacto u oficiosos según fuese necesario y evitar, en la medida de lo posible, la celebración de reuniones de</w:t>
      </w:r>
      <w:r w:rsidR="00A94CC4" w:rsidRPr="00DD0373">
        <w:rPr>
          <w:lang w:val="es-ES_tradnl"/>
        </w:rPr>
        <w:t> </w:t>
      </w:r>
      <w:r w:rsidRPr="00DD0373">
        <w:rPr>
          <w:lang w:val="es-ES_tradnl"/>
        </w:rPr>
        <w:t xml:space="preserve">grupos de contacto u </w:t>
      </w:r>
      <w:proofErr w:type="gramStart"/>
      <w:r w:rsidRPr="00DD0373">
        <w:rPr>
          <w:lang w:val="es-ES_tradnl"/>
        </w:rPr>
        <w:t>oficiosos paralelas</w:t>
      </w:r>
      <w:proofErr w:type="gramEnd"/>
      <w:r w:rsidRPr="00DD0373">
        <w:rPr>
          <w:lang w:val="es-ES_tradnl"/>
        </w:rPr>
        <w:t xml:space="preserve"> entre sí.</w:t>
      </w:r>
    </w:p>
    <w:p w14:paraId="055E1C10" w14:textId="20889521" w:rsidR="00C20895" w:rsidRPr="00DD0373" w:rsidRDefault="002E7CA9" w:rsidP="00F2522C">
      <w:pPr>
        <w:pStyle w:val="CH1"/>
        <w:rPr>
          <w:lang w:val="es-ES_tradnl"/>
        </w:rPr>
      </w:pPr>
      <w:r w:rsidRPr="00DD0373">
        <w:rPr>
          <w:bCs/>
          <w:lang w:val="es-ES_tradnl"/>
        </w:rPr>
        <w:tab/>
      </w:r>
      <w:r w:rsidR="005D30C7" w:rsidRPr="00DD0373">
        <w:rPr>
          <w:bCs/>
          <w:lang w:val="es-ES_tradnl"/>
        </w:rPr>
        <w:t>III.</w:t>
      </w:r>
      <w:r w:rsidR="005D30C7" w:rsidRPr="00DD0373">
        <w:rPr>
          <w:lang w:val="es-ES_tradnl"/>
        </w:rPr>
        <w:tab/>
      </w:r>
      <w:r w:rsidR="005D30C7" w:rsidRPr="00DD0373">
        <w:rPr>
          <w:bCs/>
          <w:lang w:val="es-ES_tradnl"/>
        </w:rPr>
        <w:t>Cuestiones administrativas</w:t>
      </w:r>
    </w:p>
    <w:p w14:paraId="06673DCD" w14:textId="32CDDEE4" w:rsidR="00C20895" w:rsidRPr="00DD0373" w:rsidRDefault="002E7CA9" w:rsidP="00F2522C">
      <w:pPr>
        <w:pStyle w:val="CH2"/>
        <w:rPr>
          <w:lang w:val="es-ES_tradnl"/>
        </w:rPr>
      </w:pPr>
      <w:r w:rsidRPr="00DD0373">
        <w:rPr>
          <w:bCs/>
          <w:lang w:val="es-ES_tradnl"/>
        </w:rPr>
        <w:tab/>
      </w:r>
      <w:r w:rsidR="00912622" w:rsidRPr="00DD0373">
        <w:rPr>
          <w:bCs/>
          <w:lang w:val="es-ES_tradnl"/>
        </w:rPr>
        <w:t>A.</w:t>
      </w:r>
      <w:r w:rsidR="00912622" w:rsidRPr="00DD0373">
        <w:rPr>
          <w:lang w:val="es-ES_tradnl"/>
        </w:rPr>
        <w:tab/>
      </w:r>
      <w:r w:rsidR="00912622" w:rsidRPr="00DD0373">
        <w:rPr>
          <w:bCs/>
          <w:lang w:val="es-ES_tradnl"/>
        </w:rPr>
        <w:t>Presupuesto del fondo fiduciario para el Protocolo de Montreal e informes financieros</w:t>
      </w:r>
    </w:p>
    <w:p w14:paraId="5F0213D7" w14:textId="68F03919" w:rsidR="00F978AD" w:rsidRPr="00DD0373" w:rsidRDefault="00F978AD"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Al presentar el tema, la Copresidenta señaló a la atención de los presentes la información que figuraba en los párrafos 11 a 16 de la nota de la Secretaría sobre cuestiones que se examinarían en la</w:t>
      </w:r>
      <w:r w:rsidR="002F74B6" w:rsidRPr="00DD0373">
        <w:rPr>
          <w:lang w:val="es-ES_tradnl"/>
        </w:rPr>
        <w:t> </w:t>
      </w:r>
      <w:r w:rsidRPr="00DD0373">
        <w:rPr>
          <w:lang w:val="es-ES_tradnl"/>
        </w:rPr>
        <w:t xml:space="preserve">37ª Reunión de las </w:t>
      </w:r>
      <w:r w:rsidR="00C17707">
        <w:rPr>
          <w:lang w:val="es-ES_tradnl"/>
        </w:rPr>
        <w:t>Partes</w:t>
      </w:r>
      <w:r w:rsidRPr="00DD0373">
        <w:rPr>
          <w:lang w:val="es-ES_tradnl"/>
        </w:rPr>
        <w:t xml:space="preserve"> en el Protocolo de Montreal e información que se señalaba a su atención (UNEP/OzL.Pro.37/2); las notas de la Secretaría sobre los proyectos de presupuesto para 2026 y 2027 del fondo fiduciario para el Protocolo de Montreal (UNEP/OzL.Pro.37/4) y sobre el informe financiero</w:t>
      </w:r>
      <w:r w:rsidR="00E65394" w:rsidRPr="00DD0373">
        <w:rPr>
          <w:lang w:val="es-ES_tradnl"/>
        </w:rPr>
        <w:t> </w:t>
      </w:r>
      <w:r w:rsidRPr="00DD0373">
        <w:rPr>
          <w:lang w:val="es-ES_tradnl"/>
        </w:rPr>
        <w:t>de los fondos fiduciarios para el Convenio de Viena y el Protocolo de Montreal correspondiente al ejercicio económico de 2024 (UNEP/OzL.Pro.37/5). La oradora también señaló a</w:t>
      </w:r>
      <w:r w:rsidR="00E65394" w:rsidRPr="00DD0373">
        <w:rPr>
          <w:lang w:val="es-ES_tradnl"/>
        </w:rPr>
        <w:t> </w:t>
      </w:r>
      <w:r w:rsidRPr="00DD0373">
        <w:rPr>
          <w:lang w:val="es-ES_tradnl"/>
        </w:rPr>
        <w:t>la</w:t>
      </w:r>
      <w:r w:rsidR="00E65394" w:rsidRPr="00DD0373">
        <w:rPr>
          <w:lang w:val="es-ES_tradnl"/>
        </w:rPr>
        <w:t> </w:t>
      </w:r>
      <w:r w:rsidRPr="00DD0373">
        <w:rPr>
          <w:lang w:val="es-ES_tradnl"/>
        </w:rPr>
        <w:t>atención de los presentes las notas de la Secretaría tituladas “</w:t>
      </w:r>
      <w:proofErr w:type="spellStart"/>
      <w:r w:rsidRPr="00DD0373">
        <w:rPr>
          <w:lang w:val="es-ES_tradnl"/>
        </w:rPr>
        <w:t>Approved</w:t>
      </w:r>
      <w:proofErr w:type="spellEnd"/>
      <w:r w:rsidRPr="00DD0373">
        <w:rPr>
          <w:lang w:val="es-ES_tradnl"/>
        </w:rPr>
        <w:t xml:space="preserve"> </w:t>
      </w:r>
      <w:proofErr w:type="spellStart"/>
      <w:r w:rsidRPr="00DD0373">
        <w:rPr>
          <w:lang w:val="es-ES_tradnl"/>
        </w:rPr>
        <w:t>budget</w:t>
      </w:r>
      <w:proofErr w:type="spellEnd"/>
      <w:r w:rsidRPr="00DD0373">
        <w:rPr>
          <w:lang w:val="es-ES_tradnl"/>
        </w:rPr>
        <w:t xml:space="preserve"> for 2026 of the Trust</w:t>
      </w:r>
      <w:r w:rsidR="00E65394" w:rsidRPr="00DD0373">
        <w:rPr>
          <w:lang w:val="es-ES_tradnl"/>
        </w:rPr>
        <w:t> </w:t>
      </w:r>
      <w:r w:rsidRPr="00DD0373">
        <w:rPr>
          <w:lang w:val="es-ES_tradnl"/>
        </w:rPr>
        <w:t xml:space="preserve">Fund for the Montreal </w:t>
      </w:r>
      <w:proofErr w:type="spellStart"/>
      <w:r w:rsidRPr="00DD0373">
        <w:rPr>
          <w:lang w:val="es-ES_tradnl"/>
        </w:rPr>
        <w:t>Protocol</w:t>
      </w:r>
      <w:proofErr w:type="spellEnd"/>
      <w:r w:rsidRPr="00DD0373">
        <w:rPr>
          <w:lang w:val="es-ES_tradnl"/>
        </w:rPr>
        <w:t xml:space="preserve"> </w:t>
      </w:r>
      <w:proofErr w:type="spellStart"/>
      <w:r w:rsidRPr="00DD0373">
        <w:rPr>
          <w:lang w:val="es-ES_tradnl"/>
        </w:rPr>
        <w:t>on</w:t>
      </w:r>
      <w:proofErr w:type="spellEnd"/>
      <w:r w:rsidRPr="00DD0373">
        <w:rPr>
          <w:lang w:val="es-ES_tradnl"/>
        </w:rPr>
        <w:t xml:space="preserve"> </w:t>
      </w:r>
      <w:proofErr w:type="spellStart"/>
      <w:r w:rsidRPr="00DD0373">
        <w:rPr>
          <w:lang w:val="es-ES_tradnl"/>
        </w:rPr>
        <w:t>Substances</w:t>
      </w:r>
      <w:proofErr w:type="spellEnd"/>
      <w:r w:rsidRPr="00DD0373">
        <w:rPr>
          <w:lang w:val="es-ES_tradnl"/>
        </w:rPr>
        <w:t xml:space="preserve"> </w:t>
      </w:r>
      <w:proofErr w:type="spellStart"/>
      <w:r w:rsidRPr="00DD0373">
        <w:rPr>
          <w:lang w:val="es-ES_tradnl"/>
        </w:rPr>
        <w:t>that</w:t>
      </w:r>
      <w:proofErr w:type="spellEnd"/>
      <w:r w:rsidRPr="00DD0373">
        <w:rPr>
          <w:lang w:val="es-ES_tradnl"/>
        </w:rPr>
        <w:t xml:space="preserve"> </w:t>
      </w:r>
      <w:proofErr w:type="spellStart"/>
      <w:r w:rsidRPr="00DD0373">
        <w:rPr>
          <w:lang w:val="es-ES_tradnl"/>
        </w:rPr>
        <w:t>Deplete</w:t>
      </w:r>
      <w:proofErr w:type="spellEnd"/>
      <w:r w:rsidRPr="00DD0373">
        <w:rPr>
          <w:lang w:val="es-ES_tradnl"/>
        </w:rPr>
        <w:t xml:space="preserve"> the Ozone Layer: </w:t>
      </w:r>
      <w:proofErr w:type="spellStart"/>
      <w:r w:rsidRPr="00DD0373">
        <w:rPr>
          <w:lang w:val="es-ES_tradnl"/>
        </w:rPr>
        <w:t>fact</w:t>
      </w:r>
      <w:proofErr w:type="spellEnd"/>
      <w:r w:rsidRPr="00DD0373">
        <w:rPr>
          <w:lang w:val="es-ES_tradnl"/>
        </w:rPr>
        <w:t xml:space="preserve"> </w:t>
      </w:r>
      <w:proofErr w:type="spellStart"/>
      <w:r w:rsidRPr="00DD0373">
        <w:rPr>
          <w:lang w:val="es-ES_tradnl"/>
        </w:rPr>
        <w:t>sheets</w:t>
      </w:r>
      <w:proofErr w:type="spellEnd"/>
      <w:r w:rsidRPr="00DD0373">
        <w:rPr>
          <w:lang w:val="es-ES_tradnl"/>
        </w:rPr>
        <w:t>” (UNEP/OzL.Pro.37/INF/1) y “</w:t>
      </w:r>
      <w:proofErr w:type="spellStart"/>
      <w:r w:rsidRPr="00DD0373">
        <w:rPr>
          <w:lang w:val="es-ES_tradnl"/>
        </w:rPr>
        <w:t>Financial</w:t>
      </w:r>
      <w:proofErr w:type="spellEnd"/>
      <w:r w:rsidRPr="00DD0373">
        <w:rPr>
          <w:lang w:val="es-ES_tradnl"/>
        </w:rPr>
        <w:t xml:space="preserve"> </w:t>
      </w:r>
      <w:proofErr w:type="spellStart"/>
      <w:r w:rsidRPr="00DD0373">
        <w:rPr>
          <w:lang w:val="es-ES_tradnl"/>
        </w:rPr>
        <w:t>report</w:t>
      </w:r>
      <w:proofErr w:type="spellEnd"/>
      <w:r w:rsidRPr="00DD0373">
        <w:rPr>
          <w:lang w:val="es-ES_tradnl"/>
        </w:rPr>
        <w:t xml:space="preserve"> for the trust </w:t>
      </w:r>
      <w:proofErr w:type="spellStart"/>
      <w:r w:rsidRPr="00DD0373">
        <w:rPr>
          <w:lang w:val="es-ES_tradnl"/>
        </w:rPr>
        <w:t>funds</w:t>
      </w:r>
      <w:proofErr w:type="spellEnd"/>
      <w:r w:rsidRPr="00DD0373">
        <w:rPr>
          <w:lang w:val="es-ES_tradnl"/>
        </w:rPr>
        <w:t xml:space="preserve"> for the Vienna </w:t>
      </w:r>
      <w:proofErr w:type="spellStart"/>
      <w:r w:rsidRPr="00DD0373">
        <w:rPr>
          <w:lang w:val="es-ES_tradnl"/>
        </w:rPr>
        <w:t>Convention</w:t>
      </w:r>
      <w:proofErr w:type="spellEnd"/>
      <w:r w:rsidRPr="00DD0373">
        <w:rPr>
          <w:lang w:val="es-ES_tradnl"/>
        </w:rPr>
        <w:t xml:space="preserve"> for the </w:t>
      </w:r>
      <w:proofErr w:type="spellStart"/>
      <w:r w:rsidRPr="00DD0373">
        <w:rPr>
          <w:lang w:val="es-ES_tradnl"/>
        </w:rPr>
        <w:t>Protection</w:t>
      </w:r>
      <w:proofErr w:type="spellEnd"/>
      <w:r w:rsidRPr="00DD0373">
        <w:rPr>
          <w:lang w:val="es-ES_tradnl"/>
        </w:rPr>
        <w:t xml:space="preserve"> of the Ozone Layer and for the Montreal </w:t>
      </w:r>
      <w:proofErr w:type="spellStart"/>
      <w:r w:rsidRPr="00DD0373">
        <w:rPr>
          <w:lang w:val="es-ES_tradnl"/>
        </w:rPr>
        <w:t>Protocol</w:t>
      </w:r>
      <w:proofErr w:type="spellEnd"/>
      <w:r w:rsidRPr="00DD0373">
        <w:rPr>
          <w:lang w:val="es-ES_tradnl"/>
        </w:rPr>
        <w:t xml:space="preserve"> </w:t>
      </w:r>
      <w:proofErr w:type="spellStart"/>
      <w:r w:rsidRPr="00DD0373">
        <w:rPr>
          <w:lang w:val="es-ES_tradnl"/>
        </w:rPr>
        <w:t>on</w:t>
      </w:r>
      <w:proofErr w:type="spellEnd"/>
      <w:r w:rsidRPr="00DD0373">
        <w:rPr>
          <w:lang w:val="es-ES_tradnl"/>
        </w:rPr>
        <w:t xml:space="preserve"> </w:t>
      </w:r>
      <w:proofErr w:type="spellStart"/>
      <w:r w:rsidRPr="00DD0373">
        <w:rPr>
          <w:lang w:val="es-ES_tradnl"/>
        </w:rPr>
        <w:t>Substances</w:t>
      </w:r>
      <w:proofErr w:type="spellEnd"/>
      <w:r w:rsidRPr="00DD0373">
        <w:rPr>
          <w:lang w:val="es-ES_tradnl"/>
        </w:rPr>
        <w:t xml:space="preserve"> </w:t>
      </w:r>
      <w:proofErr w:type="spellStart"/>
      <w:r w:rsidRPr="00DD0373">
        <w:rPr>
          <w:lang w:val="es-ES_tradnl"/>
        </w:rPr>
        <w:t>that</w:t>
      </w:r>
      <w:proofErr w:type="spellEnd"/>
      <w:r w:rsidRPr="00DD0373">
        <w:rPr>
          <w:lang w:val="es-ES_tradnl"/>
        </w:rPr>
        <w:t xml:space="preserve"> </w:t>
      </w:r>
      <w:proofErr w:type="spellStart"/>
      <w:r w:rsidRPr="00DD0373">
        <w:rPr>
          <w:lang w:val="es-ES_tradnl"/>
        </w:rPr>
        <w:t>Deplete</w:t>
      </w:r>
      <w:proofErr w:type="spellEnd"/>
      <w:r w:rsidRPr="00DD0373">
        <w:rPr>
          <w:lang w:val="es-ES_tradnl"/>
        </w:rPr>
        <w:t xml:space="preserve"> the Ozone Layer and for the Montreal </w:t>
      </w:r>
      <w:proofErr w:type="spellStart"/>
      <w:r w:rsidRPr="00DD0373">
        <w:rPr>
          <w:lang w:val="es-ES_tradnl"/>
        </w:rPr>
        <w:t>Protocol</w:t>
      </w:r>
      <w:proofErr w:type="spellEnd"/>
      <w:r w:rsidRPr="00DD0373">
        <w:rPr>
          <w:lang w:val="es-ES_tradnl"/>
        </w:rPr>
        <w:t xml:space="preserve"> </w:t>
      </w:r>
      <w:proofErr w:type="spellStart"/>
      <w:r w:rsidRPr="00DD0373">
        <w:rPr>
          <w:lang w:val="es-ES_tradnl"/>
        </w:rPr>
        <w:t>on</w:t>
      </w:r>
      <w:proofErr w:type="spellEnd"/>
      <w:r w:rsidRPr="00DD0373">
        <w:rPr>
          <w:lang w:val="es-ES_tradnl"/>
        </w:rPr>
        <w:t xml:space="preserve"> </w:t>
      </w:r>
      <w:proofErr w:type="spellStart"/>
      <w:r w:rsidRPr="00DD0373">
        <w:rPr>
          <w:lang w:val="es-ES_tradnl"/>
        </w:rPr>
        <w:t>Substances</w:t>
      </w:r>
      <w:proofErr w:type="spellEnd"/>
      <w:r w:rsidRPr="00DD0373">
        <w:rPr>
          <w:lang w:val="es-ES_tradnl"/>
        </w:rPr>
        <w:t xml:space="preserve"> </w:t>
      </w:r>
      <w:proofErr w:type="spellStart"/>
      <w:r w:rsidRPr="00DD0373">
        <w:rPr>
          <w:lang w:val="es-ES_tradnl"/>
        </w:rPr>
        <w:t>that</w:t>
      </w:r>
      <w:proofErr w:type="spellEnd"/>
      <w:r w:rsidRPr="00DD0373">
        <w:rPr>
          <w:lang w:val="es-ES_tradnl"/>
        </w:rPr>
        <w:t xml:space="preserve"> </w:t>
      </w:r>
      <w:proofErr w:type="spellStart"/>
      <w:r w:rsidRPr="00DD0373">
        <w:rPr>
          <w:lang w:val="es-ES_tradnl"/>
        </w:rPr>
        <w:t>Deplete</w:t>
      </w:r>
      <w:proofErr w:type="spellEnd"/>
      <w:r w:rsidRPr="00DD0373">
        <w:rPr>
          <w:lang w:val="es-ES_tradnl"/>
        </w:rPr>
        <w:t xml:space="preserve"> the Ozone Layer: </w:t>
      </w:r>
      <w:proofErr w:type="spellStart"/>
      <w:r w:rsidRPr="00DD0373">
        <w:rPr>
          <w:lang w:val="es-ES_tradnl"/>
        </w:rPr>
        <w:t>updated</w:t>
      </w:r>
      <w:proofErr w:type="spellEnd"/>
      <w:r w:rsidRPr="00DD0373">
        <w:rPr>
          <w:lang w:val="es-ES_tradnl"/>
        </w:rPr>
        <w:t xml:space="preserve"> indicative </w:t>
      </w:r>
      <w:proofErr w:type="spellStart"/>
      <w:r w:rsidRPr="00DD0373">
        <w:rPr>
          <w:lang w:val="es-ES_tradnl"/>
        </w:rPr>
        <w:t>financial</w:t>
      </w:r>
      <w:proofErr w:type="spellEnd"/>
      <w:r w:rsidRPr="00DD0373">
        <w:rPr>
          <w:lang w:val="es-ES_tradnl"/>
        </w:rPr>
        <w:t xml:space="preserve"> </w:t>
      </w:r>
      <w:proofErr w:type="spellStart"/>
      <w:r w:rsidRPr="00DD0373">
        <w:rPr>
          <w:lang w:val="es-ES_tradnl"/>
        </w:rPr>
        <w:t>report</w:t>
      </w:r>
      <w:proofErr w:type="spellEnd"/>
      <w:r w:rsidRPr="00DD0373">
        <w:rPr>
          <w:lang w:val="es-ES_tradnl"/>
        </w:rPr>
        <w:t xml:space="preserve"> for 2025 as at 30 September 2025” (UNEP/OzL.Pro.37/INF/2). En el documento UNEP/OzL.Pro.37/3 se recogía un proyecto de decisión sobre la cuestión (proyecto de decisión</w:t>
      </w:r>
      <w:r w:rsidR="00313969" w:rsidRPr="00DD0373">
        <w:rPr>
          <w:lang w:val="es-ES_tradnl"/>
        </w:rPr>
        <w:t> </w:t>
      </w:r>
      <w:r w:rsidRPr="00DD0373">
        <w:rPr>
          <w:lang w:val="es-ES_tradnl"/>
        </w:rPr>
        <w:t>XXXVII/[AA]). Los documentos UNEP/OzL.Pro.37/4, UNEP/OzL.Pro.37/5 y UNEP/OzL.Pro.37/INF/1 se habían publicado en el portal de la reunión tres meses antes de la</w:t>
      </w:r>
      <w:r w:rsidR="00E65394" w:rsidRPr="00DD0373">
        <w:rPr>
          <w:lang w:val="es-ES_tradnl"/>
        </w:rPr>
        <w:t> </w:t>
      </w:r>
      <w:r w:rsidRPr="00DD0373">
        <w:rPr>
          <w:lang w:val="es-ES_tradnl"/>
        </w:rPr>
        <w:t>reunión</w:t>
      </w:r>
      <w:r w:rsidR="00E65394" w:rsidRPr="00DD0373">
        <w:rPr>
          <w:lang w:val="es-ES_tradnl"/>
        </w:rPr>
        <w:t> </w:t>
      </w:r>
      <w:r w:rsidRPr="00DD0373">
        <w:rPr>
          <w:lang w:val="es-ES_tradnl"/>
        </w:rPr>
        <w:t xml:space="preserve">en curso para que las </w:t>
      </w:r>
      <w:r w:rsidR="00C17707">
        <w:rPr>
          <w:lang w:val="es-ES_tradnl"/>
        </w:rPr>
        <w:t>Partes</w:t>
      </w:r>
      <w:r w:rsidRPr="00DD0373">
        <w:rPr>
          <w:lang w:val="es-ES_tradnl"/>
        </w:rPr>
        <w:t xml:space="preserve"> los examinasen.</w:t>
      </w:r>
    </w:p>
    <w:p w14:paraId="6DC01ACF" w14:textId="5396C698" w:rsidR="00F978AD" w:rsidRPr="00DD0373" w:rsidRDefault="00F978AD"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lastRenderedPageBreak/>
        <w:t xml:space="preserve">Las </w:t>
      </w:r>
      <w:r w:rsidR="00C17707">
        <w:rPr>
          <w:lang w:val="es-ES_tradnl"/>
        </w:rPr>
        <w:t>Partes</w:t>
      </w:r>
      <w:r w:rsidRPr="00DD0373">
        <w:rPr>
          <w:lang w:val="es-ES_tradnl"/>
        </w:rPr>
        <w:t xml:space="preserve"> convinieron en seguir su práctica habitual y establecieron un comité presupuestario que</w:t>
      </w:r>
      <w:r w:rsidR="0049454F" w:rsidRPr="00DD0373">
        <w:rPr>
          <w:lang w:val="es-ES_tradnl"/>
        </w:rPr>
        <w:t xml:space="preserve"> </w:t>
      </w:r>
      <w:r w:rsidRPr="00DD0373">
        <w:rPr>
          <w:lang w:val="es-ES_tradnl"/>
        </w:rPr>
        <w:t xml:space="preserve">examinase el proyecto de presupuesto del fondo fiduciario para el Protocolo de Montreal y los informes financieros de los fondos fiduciarios para el Convenio de Viena y el Protocolo de Montreal, y </w:t>
      </w:r>
      <w:r w:rsidR="0049454F" w:rsidRPr="00DD0373">
        <w:rPr>
          <w:lang w:val="es-ES_tradnl"/>
        </w:rPr>
        <w:t xml:space="preserve">que </w:t>
      </w:r>
      <w:r w:rsidRPr="00DD0373">
        <w:rPr>
          <w:lang w:val="es-ES_tradnl"/>
        </w:rPr>
        <w:t xml:space="preserve">elaborase un proyecto de decisión con vistas a su examen por las </w:t>
      </w:r>
      <w:r w:rsidR="00C17707">
        <w:rPr>
          <w:lang w:val="es-ES_tradnl"/>
        </w:rPr>
        <w:t>Partes</w:t>
      </w:r>
      <w:r w:rsidRPr="00DD0373">
        <w:rPr>
          <w:lang w:val="es-ES_tradnl"/>
        </w:rPr>
        <w:t xml:space="preserve">. Se decidió que </w:t>
      </w:r>
      <w:proofErr w:type="spellStart"/>
      <w:r w:rsidRPr="00DD0373">
        <w:rPr>
          <w:lang w:val="es-ES_tradnl"/>
        </w:rPr>
        <w:t>Sebastian</w:t>
      </w:r>
      <w:proofErr w:type="spellEnd"/>
      <w:r w:rsidRPr="00DD0373">
        <w:rPr>
          <w:lang w:val="es-ES_tradnl"/>
        </w:rPr>
        <w:t xml:space="preserve"> Schnatz (Alemania) y Ryan Ooi Chean </w:t>
      </w:r>
      <w:proofErr w:type="spellStart"/>
      <w:r w:rsidRPr="00DD0373">
        <w:rPr>
          <w:lang w:val="es-ES_tradnl"/>
        </w:rPr>
        <w:t>Weai</w:t>
      </w:r>
      <w:proofErr w:type="spellEnd"/>
      <w:r w:rsidRPr="00DD0373">
        <w:rPr>
          <w:lang w:val="es-ES_tradnl"/>
        </w:rPr>
        <w:t xml:space="preserve"> (Malasia) facilitasen la labor de ese comité.</w:t>
      </w:r>
    </w:p>
    <w:p w14:paraId="669E3C8F" w14:textId="0E472365" w:rsidR="006B128A" w:rsidRPr="00DD0373" w:rsidRDefault="006B128A">
      <w:pPr>
        <w:pStyle w:val="Normalnumber"/>
        <w:rPr>
          <w:lang w:val="es-ES_tradnl"/>
        </w:rPr>
      </w:pPr>
      <w:r w:rsidRPr="00DD0373">
        <w:rPr>
          <w:lang w:val="es-ES_tradnl"/>
        </w:rPr>
        <w:t xml:space="preserve">Posteriormente, el </w:t>
      </w:r>
      <w:proofErr w:type="spellStart"/>
      <w:r w:rsidRPr="00DD0373">
        <w:rPr>
          <w:lang w:val="es-ES_tradnl"/>
        </w:rPr>
        <w:t>Cofacilitador</w:t>
      </w:r>
      <w:proofErr w:type="spellEnd"/>
      <w:r w:rsidRPr="00DD0373">
        <w:rPr>
          <w:lang w:val="es-ES_tradnl"/>
        </w:rPr>
        <w:t xml:space="preserve"> informó de que el comité presupuestario había completado su labor y había elaborado un proyecto de decisión y de presupuesto para someterlo al examen de las </w:t>
      </w:r>
      <w:r w:rsidR="00C17707">
        <w:rPr>
          <w:lang w:val="es-ES_tradnl"/>
        </w:rPr>
        <w:t>Partes</w:t>
      </w:r>
      <w:r w:rsidRPr="00DD0373">
        <w:rPr>
          <w:lang w:val="es-ES_tradnl"/>
        </w:rPr>
        <w:t xml:space="preserve">. Las </w:t>
      </w:r>
      <w:r w:rsidR="00C17707">
        <w:rPr>
          <w:lang w:val="es-ES_tradnl"/>
        </w:rPr>
        <w:t>Partes</w:t>
      </w:r>
      <w:r w:rsidRPr="00DD0373">
        <w:rPr>
          <w:lang w:val="es-ES_tradnl"/>
        </w:rPr>
        <w:t xml:space="preserve"> acordaron remitir el proyecto de decisión para su posterior examen y posible adopción durante la serie de sesiones de alto nivel.</w:t>
      </w:r>
    </w:p>
    <w:p w14:paraId="673AA39C" w14:textId="1EECAABF" w:rsidR="00F978AD" w:rsidRPr="00DD0373" w:rsidRDefault="002E7CA9" w:rsidP="00F978AD">
      <w:pPr>
        <w:pStyle w:val="CH2"/>
        <w:keepNext w:val="0"/>
        <w:keepLines w:val="0"/>
        <w:rPr>
          <w:lang w:val="es-ES_tradnl"/>
        </w:rPr>
      </w:pPr>
      <w:r w:rsidRPr="00DD0373">
        <w:rPr>
          <w:bCs/>
          <w:lang w:val="es-ES_tradnl"/>
        </w:rPr>
        <w:tab/>
      </w:r>
      <w:r w:rsidR="00F978AD" w:rsidRPr="00DD0373">
        <w:rPr>
          <w:bCs/>
          <w:lang w:val="es-ES_tradnl"/>
        </w:rPr>
        <w:t>B.</w:t>
      </w:r>
      <w:r w:rsidR="00F978AD" w:rsidRPr="00DD0373">
        <w:rPr>
          <w:lang w:val="es-ES_tradnl"/>
        </w:rPr>
        <w:tab/>
      </w:r>
      <w:r w:rsidR="00F978AD" w:rsidRPr="00DD0373">
        <w:rPr>
          <w:rFonts w:ascii="Times New Roman Bold" w:hAnsi="Times New Roman Bold"/>
          <w:bCs/>
          <w:spacing w:val="-6"/>
          <w:lang w:val="es-ES_tradnl"/>
        </w:rPr>
        <w:t>Examen de la composición de los órganos del Protocolo de Montreal para 2026</w:t>
      </w:r>
    </w:p>
    <w:p w14:paraId="4FA383CB" w14:textId="785F13A9" w:rsidR="00F978AD" w:rsidRPr="00DD0373" w:rsidRDefault="002E7CA9" w:rsidP="00F978AD">
      <w:pPr>
        <w:pStyle w:val="CH3"/>
        <w:keepNext w:val="0"/>
        <w:keepLines w:val="0"/>
        <w:rPr>
          <w:lang w:val="es-ES_tradnl"/>
        </w:rPr>
      </w:pPr>
      <w:r w:rsidRPr="00DD0373">
        <w:rPr>
          <w:bCs/>
          <w:lang w:val="es-ES_tradnl"/>
        </w:rPr>
        <w:tab/>
      </w:r>
      <w:r w:rsidR="00F978AD" w:rsidRPr="00DD0373">
        <w:rPr>
          <w:bCs/>
          <w:lang w:val="es-ES_tradnl"/>
        </w:rPr>
        <w:t>1.</w:t>
      </w:r>
      <w:r w:rsidR="00F978AD" w:rsidRPr="00DD0373">
        <w:rPr>
          <w:lang w:val="es-ES_tradnl"/>
        </w:rPr>
        <w:tab/>
      </w:r>
      <w:r w:rsidR="00F978AD" w:rsidRPr="00DD0373">
        <w:rPr>
          <w:bCs/>
          <w:lang w:val="es-ES_tradnl"/>
        </w:rPr>
        <w:t>Composición del Comité de Aplicación establecido con arreglo al Procedimiento relativo al Incumplimiento del Protocolo de Montreal</w:t>
      </w:r>
    </w:p>
    <w:p w14:paraId="4F03E0B5" w14:textId="6F602860" w:rsidR="00F978AD" w:rsidRPr="00DD0373" w:rsidRDefault="00F978AD"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Al presentar el subtema, la Copresidenta dijo que las </w:t>
      </w:r>
      <w:r w:rsidR="00C17707">
        <w:rPr>
          <w:lang w:val="es-ES_tradnl"/>
        </w:rPr>
        <w:t>Partes</w:t>
      </w:r>
      <w:r w:rsidRPr="00DD0373">
        <w:rPr>
          <w:lang w:val="es-ES_tradnl"/>
        </w:rPr>
        <w:t xml:space="preserve"> debían decidir la composición del</w:t>
      </w:r>
      <w:r w:rsidR="00E65394" w:rsidRPr="00DD0373">
        <w:rPr>
          <w:lang w:val="es-ES_tradnl"/>
        </w:rPr>
        <w:t> </w:t>
      </w:r>
      <w:r w:rsidRPr="00DD0373">
        <w:rPr>
          <w:lang w:val="es-ES_tradnl"/>
        </w:rPr>
        <w:t>Comité de Aplicación para 2026. En los párrafos 17 a 20 del documento UNEP/OzL.Pro.37/2 se presentaba información sobre los puestos que debían cubrirse y en el documento UNEP/OzL.Pro.37/3 se exponía un proyecto de decisión al respecto (proyecto de decisión XXXVII/[BB]).</w:t>
      </w:r>
    </w:p>
    <w:p w14:paraId="4427D706" w14:textId="498BD4BE" w:rsidR="00E03642" w:rsidRPr="00DD0373" w:rsidRDefault="00E03642" w:rsidP="002C30D7">
      <w:pPr>
        <w:pStyle w:val="Normalnumber"/>
        <w:rPr>
          <w:lang w:val="es-ES_tradnl"/>
        </w:rPr>
      </w:pPr>
      <w:r w:rsidRPr="00DD0373">
        <w:rPr>
          <w:lang w:val="es-ES_tradnl"/>
        </w:rPr>
        <w:t xml:space="preserve">Posteriormente, el representante de la Secretaría informó de que cada uno de los grupos regionales de los Estados de África, los Estados de Asia y el Pacífico, los Estados de América Latina y el Caribe y los Estados de Europa Occidental y otros Estados habían presentado sus candidaturas. No se había recibido ninguna candidatura de los Estados de Europa Oriental. La Copresidenta propuso que </w:t>
      </w:r>
      <w:r w:rsidR="0022355B" w:rsidRPr="00DD0373">
        <w:rPr>
          <w:lang w:val="es-ES_tradnl"/>
        </w:rPr>
        <w:t xml:space="preserve">en la recopilación de decisiones </w:t>
      </w:r>
      <w:r w:rsidRPr="00DD0373">
        <w:rPr>
          <w:lang w:val="es-ES_tradnl"/>
        </w:rPr>
        <w:t xml:space="preserve">se incluyese un proyecto de decisión en que se enumerasen las cuatro candidaturas para que las </w:t>
      </w:r>
      <w:r w:rsidR="00C17707">
        <w:rPr>
          <w:lang w:val="es-ES_tradnl"/>
        </w:rPr>
        <w:t>Partes</w:t>
      </w:r>
      <w:r w:rsidRPr="00DD0373">
        <w:rPr>
          <w:lang w:val="es-ES_tradnl"/>
        </w:rPr>
        <w:t xml:space="preserve"> lo examinasen y, en su caso, lo aprobasen durante la serie de sesiones de alto nivel.</w:t>
      </w:r>
      <w:bookmarkStart w:id="0" w:name="_Hlk213481036"/>
      <w:bookmarkEnd w:id="0"/>
    </w:p>
    <w:p w14:paraId="4770ED3A" w14:textId="32F22B85" w:rsidR="00E03642" w:rsidRPr="00DD0373" w:rsidRDefault="00E03642" w:rsidP="00E03642">
      <w:pPr>
        <w:pStyle w:val="Normalnumber"/>
        <w:rPr>
          <w:lang w:val="es-ES_tradnl"/>
        </w:rPr>
      </w:pPr>
      <w:bookmarkStart w:id="1" w:name="_Hlk213435435"/>
      <w:r w:rsidRPr="00DD0373">
        <w:rPr>
          <w:lang w:val="es-ES_tradnl"/>
        </w:rPr>
        <w:t>La representante de Chequia presentó la candidatura de su Parte para el puesto restante de los</w:t>
      </w:r>
      <w:r w:rsidR="00E65394" w:rsidRPr="00DD0373">
        <w:rPr>
          <w:lang w:val="es-ES_tradnl"/>
        </w:rPr>
        <w:t> </w:t>
      </w:r>
      <w:r w:rsidRPr="00DD0373">
        <w:rPr>
          <w:lang w:val="es-ES_tradnl"/>
        </w:rPr>
        <w:t>Estados de Europa Oriental en el Comité de Aplicación y señaló que el miembro del Comité procedente de Chequia había formado parte del Comité durante los dos últimos años y había demostrado ser un miembro fiable, imparcial y responsable del Comité.</w:t>
      </w:r>
      <w:bookmarkEnd w:id="1"/>
    </w:p>
    <w:p w14:paraId="5249A110" w14:textId="7C23E475" w:rsidR="00E03642" w:rsidRPr="00DD0373" w:rsidRDefault="00DB2A64" w:rsidP="00E03642">
      <w:pPr>
        <w:pStyle w:val="Normalnumber"/>
        <w:rPr>
          <w:lang w:val="es-ES_tradnl"/>
        </w:rPr>
      </w:pPr>
      <w:r w:rsidRPr="00DD0373">
        <w:rPr>
          <w:lang w:val="es-ES_tradnl"/>
        </w:rPr>
        <w:t xml:space="preserve">Un representante, al que secundó otro representante, expresó su objeción a la nominación. Estos representantes expresaron la opinión de que, al intentar excluir a las cinco </w:t>
      </w:r>
      <w:r w:rsidR="00C17707">
        <w:rPr>
          <w:lang w:val="es-ES_tradnl"/>
        </w:rPr>
        <w:t>Partes</w:t>
      </w:r>
      <w:r w:rsidRPr="00DD0373">
        <w:rPr>
          <w:lang w:val="es-ES_tradnl"/>
        </w:rPr>
        <w:t xml:space="preserve"> de Asia Central del Grupo de Europa Oriental, Chequia había demostrado que no estaba preparada para representar los intereses de todos los miembros del Grupo. Los oradores afirmaron que las </w:t>
      </w:r>
      <w:r w:rsidR="00C17707">
        <w:rPr>
          <w:lang w:val="es-ES_tradnl"/>
        </w:rPr>
        <w:t>Partes</w:t>
      </w:r>
      <w:r w:rsidRPr="00DD0373">
        <w:rPr>
          <w:lang w:val="es-ES_tradnl"/>
        </w:rPr>
        <w:t xml:space="preserve"> no debían pasar por alto el procedimiento establecido del Protocolo de Montreal, según el cual las designaciones de candidatos debían proceder de los grupos regionales, no de los propios candidatos.</w:t>
      </w:r>
    </w:p>
    <w:p w14:paraId="490C8BF8" w14:textId="4E2A7795" w:rsidR="00E03642" w:rsidRPr="00DD0373" w:rsidRDefault="00E03642" w:rsidP="00E03642">
      <w:pPr>
        <w:pStyle w:val="Normalnumber"/>
        <w:rPr>
          <w:lang w:val="es-ES_tradnl"/>
        </w:rPr>
      </w:pPr>
      <w:r w:rsidRPr="00DD0373">
        <w:rPr>
          <w:lang w:val="es-ES_tradnl"/>
        </w:rPr>
        <w:t>En respuesta a una pregunta, el representante de la Secretaría confirmó que, según lo dispuesto en el párrafo 5 del procedimiento de incumplimiento del Protocolo de Montreal, los miembros del Comité que hubiesen prestado servicio durante un mandato de 2 años podían ser reelegidos para un nuevo mandato de 2 años.</w:t>
      </w:r>
    </w:p>
    <w:p w14:paraId="01628F86" w14:textId="0FAC8C31" w:rsidR="00E03642" w:rsidRPr="00DD0373" w:rsidRDefault="00E03642" w:rsidP="00E03642">
      <w:pPr>
        <w:pStyle w:val="Normalnumber"/>
        <w:rPr>
          <w:lang w:val="es-ES_tradnl"/>
        </w:rPr>
      </w:pPr>
      <w:r w:rsidRPr="00DD0373">
        <w:rPr>
          <w:lang w:val="es-ES_tradnl"/>
        </w:rPr>
        <w:t xml:space="preserve">Dada la falta de consenso, la Copresidenta propuso que </w:t>
      </w:r>
      <w:r w:rsidR="00FD39D5" w:rsidRPr="00DD0373">
        <w:rPr>
          <w:lang w:val="es-ES_tradnl"/>
        </w:rPr>
        <w:t xml:space="preserve">en la recopilación de decisiones </w:t>
      </w:r>
      <w:r w:rsidRPr="00DD0373">
        <w:rPr>
          <w:lang w:val="es-ES_tradnl"/>
        </w:rPr>
        <w:t xml:space="preserve">se incluyese un proyecto de decisión en que se enumerasen las cuatro candidaturas para que las </w:t>
      </w:r>
      <w:r w:rsidR="00C17707">
        <w:rPr>
          <w:lang w:val="es-ES_tradnl"/>
        </w:rPr>
        <w:t>Partes</w:t>
      </w:r>
      <w:r w:rsidRPr="00DD0373">
        <w:rPr>
          <w:lang w:val="es-ES_tradnl"/>
        </w:rPr>
        <w:t xml:space="preserve"> lo examinasen durante la serie de sesiones de alto nivel. La representante de Chequia se opuso, señalando que cualquier Parte tenía derecho a presentar una candidatura en ausencia de consenso dentro del grupo regional pertinente y que su objetivo era cubrir la vacante restante en el Comité de Aplicación y permitir con ello que este continuase con su labor. La representante de Chequia, con el apoyo de otros representantes, dijo que su delegación no pretendía cambiar la composición del grupo regional y que la reunión en curso no era el foro adecuado para debatir cambios en la composición de los grupos regionales de las Naciones Unidas. En respuesta a una pregunta, la Copresidenta confirmó que la autocandidatura no constituía una infracción del Reglamento del Protocolo de Montreal.</w:t>
      </w:r>
    </w:p>
    <w:p w14:paraId="3D28C6C5" w14:textId="2CE7ADD1" w:rsidR="00E03642" w:rsidRPr="00DD0373" w:rsidRDefault="00E03642" w:rsidP="00E03642">
      <w:pPr>
        <w:pStyle w:val="Normalnumber"/>
        <w:rPr>
          <w:lang w:val="es-ES_tradnl"/>
        </w:rPr>
      </w:pPr>
      <w:r w:rsidRPr="00DD0373">
        <w:rPr>
          <w:lang w:val="es-ES_tradnl"/>
        </w:rPr>
        <w:t>Numerosos representantes expresaron su apoyo a la candidatura de Chequia al Comité de Aplicación. Algunos de esos representantes señalaron que ya se había seguido un procedimiento de autocandidatura en la reunión en curso, cuando Kazajstán se había nominado a sí mismo para ocupar un puesto en el Comité Ejecutivo del Fondo Multilateral (véase el párrafo 38 del presente informe).</w:t>
      </w:r>
    </w:p>
    <w:p w14:paraId="605E4B28" w14:textId="09CDA5BF" w:rsidR="00E03642" w:rsidRPr="00DD0373" w:rsidRDefault="00E03642" w:rsidP="00E03642">
      <w:pPr>
        <w:pStyle w:val="Normalnumber"/>
        <w:rPr>
          <w:lang w:val="es-ES_tradnl"/>
        </w:rPr>
      </w:pPr>
      <w:r w:rsidRPr="00DD0373">
        <w:rPr>
          <w:lang w:val="es-ES_tradnl"/>
        </w:rPr>
        <w:t>Una representante añadió que los debates sobre la composición de los grupos regionales no</w:t>
      </w:r>
      <w:r w:rsidR="00E65394" w:rsidRPr="00DD0373">
        <w:rPr>
          <w:lang w:val="es-ES_tradnl"/>
        </w:rPr>
        <w:t> </w:t>
      </w:r>
      <w:r w:rsidRPr="00DD0373">
        <w:rPr>
          <w:lang w:val="es-ES_tradnl"/>
        </w:rPr>
        <w:t>eran asuntos que debiesen tratarse en ese foro, sino más bien en otras instituciones de las Naciones</w:t>
      </w:r>
      <w:r w:rsidR="00E65394" w:rsidRPr="00DD0373">
        <w:rPr>
          <w:lang w:val="es-ES_tradnl"/>
        </w:rPr>
        <w:t> </w:t>
      </w:r>
      <w:r w:rsidRPr="00DD0373">
        <w:rPr>
          <w:lang w:val="es-ES_tradnl"/>
        </w:rPr>
        <w:t xml:space="preserve">Unidas. Otro representante observó que no existía una definición estricta de la composición de los grupos regionales en las Naciones Unidas, y que correspondía a cada convenio o protocolo determinar sus agrupaciones regionales. No se infringió ningún reglamento. La cuestión clave que se </w:t>
      </w:r>
      <w:r w:rsidRPr="00DD0373">
        <w:rPr>
          <w:lang w:val="es-ES_tradnl"/>
        </w:rPr>
        <w:lastRenderedPageBreak/>
        <w:t>debatía en la reunión en curso era la necesidad de elegir a los miembros del Comité de Aplicación para</w:t>
      </w:r>
      <w:r w:rsidR="00E65394" w:rsidRPr="00DD0373">
        <w:rPr>
          <w:lang w:val="es-ES_tradnl"/>
        </w:rPr>
        <w:t> </w:t>
      </w:r>
      <w:r w:rsidRPr="00DD0373">
        <w:rPr>
          <w:lang w:val="es-ES_tradnl"/>
        </w:rPr>
        <w:t>garantizar el funcionamiento eficiente y eficaz del Protocolo de Montreal.</w:t>
      </w:r>
    </w:p>
    <w:p w14:paraId="1C762FCD" w14:textId="3D61D2E9" w:rsidR="00E03642" w:rsidRPr="00DD0373" w:rsidRDefault="00E03642" w:rsidP="00E03642">
      <w:pPr>
        <w:pStyle w:val="Normalnumber"/>
        <w:rPr>
          <w:lang w:val="es-ES_tradnl"/>
        </w:rPr>
      </w:pPr>
      <w:r w:rsidRPr="00DD0373">
        <w:rPr>
          <w:lang w:val="es-ES_tradnl"/>
        </w:rPr>
        <w:t>No obstante, otros representantes mantuvieron su oposición, expresando la opinión de que la</w:t>
      </w:r>
      <w:r w:rsidR="00E65394" w:rsidRPr="00DD0373">
        <w:rPr>
          <w:lang w:val="es-ES_tradnl"/>
        </w:rPr>
        <w:t> </w:t>
      </w:r>
      <w:r w:rsidRPr="00DD0373">
        <w:rPr>
          <w:lang w:val="es-ES_tradnl"/>
        </w:rPr>
        <w:t>autocandidatura constituía una violación de los procedimientos establecidos del Protocolo de Montreal. Un representante afirmó que el Grupo de Europa Oriental nunca había debatido las candidaturas durante la reunión en curso.</w:t>
      </w:r>
    </w:p>
    <w:p w14:paraId="7D147F05" w14:textId="2C5AC659" w:rsidR="00E03642" w:rsidRPr="00DD0373" w:rsidRDefault="00E03642" w:rsidP="00E03642">
      <w:pPr>
        <w:pStyle w:val="Normalnumber"/>
        <w:rPr>
          <w:lang w:val="es-ES_tradnl"/>
        </w:rPr>
      </w:pPr>
      <w:r w:rsidRPr="00DD0373">
        <w:rPr>
          <w:lang w:val="es-ES_tradnl"/>
        </w:rPr>
        <w:t>Otro representante, que habló en nombre de un grupo regional, apuntó que, si bien no tenía ninguna opinión sobre la cuestión específica que estaba debatiéndose, consideraba importante mantener el principio de que los grupos regionales debían acordar las candidaturas por consenso. Los</w:t>
      </w:r>
      <w:r w:rsidR="00E65394" w:rsidRPr="00DD0373">
        <w:rPr>
          <w:lang w:val="es-ES_tradnl"/>
        </w:rPr>
        <w:t> </w:t>
      </w:r>
      <w:r w:rsidRPr="00DD0373">
        <w:rPr>
          <w:lang w:val="es-ES_tradnl"/>
        </w:rPr>
        <w:t>grupos regionales habían experimentado a menudo desacuerdos internos en el pasado, pero siempre habían encontrado la manera de superarlos.</w:t>
      </w:r>
    </w:p>
    <w:p w14:paraId="1659E1D3" w14:textId="75320517" w:rsidR="00E03642" w:rsidRPr="00DD0373" w:rsidRDefault="00E03642" w:rsidP="00E03642">
      <w:pPr>
        <w:pStyle w:val="Normalnumber"/>
        <w:rPr>
          <w:lang w:val="es-ES_tradnl"/>
        </w:rPr>
      </w:pPr>
      <w:r w:rsidRPr="00DD0373">
        <w:rPr>
          <w:lang w:val="es-ES_tradnl"/>
        </w:rPr>
        <w:t>La Copresidenta dijo que, basándose en el apoyo abrumador expresado a la candidatura de Chequia, debería añadirse el nombre de la Parte a la lista de candidaturas en el proyecto de decisión sobre la composición del Comité de Aplicación. No obstante, un representante no estuvo de acuerdo y dijo que era evidente que las decisiones sobre las candidaturas debían acordarse dentro de los grupos regionales; hacer lo contrario supondría un desprecio osado de la práctica existente. El orador añadió que la situación existente de falta de consenso se debía al intento de excluir a los cinco países de Asia Central del Grupo de Europa Oriental.</w:t>
      </w:r>
    </w:p>
    <w:p w14:paraId="11390AA3" w14:textId="0D11E5D3" w:rsidR="00E03642" w:rsidRPr="00DD0373" w:rsidRDefault="00E03642" w:rsidP="00E03642">
      <w:pPr>
        <w:pStyle w:val="Normalnumber"/>
        <w:rPr>
          <w:lang w:val="es-ES_tradnl"/>
        </w:rPr>
      </w:pPr>
      <w:r w:rsidRPr="00DD0373">
        <w:rPr>
          <w:lang w:val="es-ES_tradnl"/>
        </w:rPr>
        <w:t xml:space="preserve">Observando la continua falta de consenso, la Copresidenta propuso que las </w:t>
      </w:r>
      <w:r w:rsidR="00C17707">
        <w:rPr>
          <w:lang w:val="es-ES_tradnl"/>
        </w:rPr>
        <w:t>Partes</w:t>
      </w:r>
      <w:r w:rsidRPr="00DD0373">
        <w:rPr>
          <w:lang w:val="es-ES_tradnl"/>
        </w:rPr>
        <w:t xml:space="preserve"> adoptasen una decisión por la que se autorizase a la Secretaría a organizar una Reunión de las </w:t>
      </w:r>
      <w:r w:rsidR="00C17707">
        <w:rPr>
          <w:lang w:val="es-ES_tradnl"/>
        </w:rPr>
        <w:t>Partes</w:t>
      </w:r>
      <w:r w:rsidRPr="00DD0373">
        <w:rPr>
          <w:lang w:val="es-ES_tradnl"/>
        </w:rPr>
        <w:t xml:space="preserve"> extraordinaria inmediatamente después de la 48ª reunión del Grupo de Trabajo de composición abierta, a fin de que las </w:t>
      </w:r>
      <w:r w:rsidR="00C17707">
        <w:rPr>
          <w:lang w:val="es-ES_tradnl"/>
        </w:rPr>
        <w:t>Partes</w:t>
      </w:r>
      <w:r w:rsidRPr="00DD0373">
        <w:rPr>
          <w:lang w:val="es-ES_tradnl"/>
        </w:rPr>
        <w:t xml:space="preserve"> pudiesen adoptar una decisión sobre la composición pendiente del Comité de Aplicación para 2026, antes de la 76ª reunión del Comité. El programa provisional de la Reunión de las </w:t>
      </w:r>
      <w:r w:rsidR="00C17707">
        <w:rPr>
          <w:lang w:val="es-ES_tradnl"/>
        </w:rPr>
        <w:t>Partes</w:t>
      </w:r>
      <w:r w:rsidRPr="00DD0373">
        <w:rPr>
          <w:lang w:val="es-ES_tradnl"/>
        </w:rPr>
        <w:t xml:space="preserve"> extraordinaria incluiría un solo tema sustantivo, a saber, la composición del Comité de Aplicación. El anexo al proyecto de decisión propuesto incluiría, entre corchetes y con vistas a que se debatiese en la Reunión de las </w:t>
      </w:r>
      <w:r w:rsidR="00C17707">
        <w:rPr>
          <w:lang w:val="es-ES_tradnl"/>
        </w:rPr>
        <w:t>Partes</w:t>
      </w:r>
      <w:r w:rsidRPr="00DD0373">
        <w:rPr>
          <w:lang w:val="es-ES_tradnl"/>
        </w:rPr>
        <w:t xml:space="preserve"> extraordinaria, un proyecto de decisión sobre la</w:t>
      </w:r>
      <w:r w:rsidR="00E65394" w:rsidRPr="00DD0373">
        <w:rPr>
          <w:lang w:val="es-ES_tradnl"/>
        </w:rPr>
        <w:t> </w:t>
      </w:r>
      <w:r w:rsidRPr="00DD0373">
        <w:rPr>
          <w:lang w:val="es-ES_tradnl"/>
        </w:rPr>
        <w:t xml:space="preserve">composición del Comité de Aplicación, que incluiría a Chequia junto con las demás candidaturas recibidas, y en que se haría notar la selección de Linda Kosgei (Kenya) como </w:t>
      </w:r>
      <w:proofErr w:type="gramStart"/>
      <w:r w:rsidRPr="00DD0373">
        <w:rPr>
          <w:lang w:val="es-ES_tradnl"/>
        </w:rPr>
        <w:t>Presidenta</w:t>
      </w:r>
      <w:proofErr w:type="gramEnd"/>
      <w:r w:rsidRPr="00DD0373">
        <w:rPr>
          <w:lang w:val="es-ES_tradnl"/>
        </w:rPr>
        <w:t xml:space="preserve"> y Matej Mrlina (Chequia) como </w:t>
      </w:r>
      <w:proofErr w:type="gramStart"/>
      <w:r w:rsidRPr="00DD0373">
        <w:rPr>
          <w:lang w:val="es-ES_tradnl"/>
        </w:rPr>
        <w:t>Vicepresidente</w:t>
      </w:r>
      <w:proofErr w:type="gramEnd"/>
      <w:r w:rsidRPr="00DD0373">
        <w:rPr>
          <w:lang w:val="es-ES_tradnl"/>
        </w:rPr>
        <w:t xml:space="preserve"> y Relator del Comité. La oradora afirmó que, en su opinión, </w:t>
      </w:r>
      <w:r w:rsidR="00930B03" w:rsidRPr="00DD0373">
        <w:rPr>
          <w:lang w:val="es-ES_tradnl"/>
        </w:rPr>
        <w:t>formular de esa manera el proyecto de decisión</w:t>
      </w:r>
      <w:r w:rsidRPr="00DD0373">
        <w:rPr>
          <w:lang w:val="es-ES_tradnl"/>
        </w:rPr>
        <w:t xml:space="preserve"> representaba la forma más equitativa de avanzar, especialmente a la luz del abrumador apoyo expresado a la candidatura de Chequia.</w:t>
      </w:r>
      <w:bookmarkStart w:id="2" w:name="_Hlk213483456"/>
      <w:bookmarkEnd w:id="2"/>
    </w:p>
    <w:p w14:paraId="5459BE6B" w14:textId="7B517DBA" w:rsidR="00E03642" w:rsidRPr="00DD0373" w:rsidRDefault="00E03642" w:rsidP="00E03642">
      <w:pPr>
        <w:pStyle w:val="Normalnumber"/>
        <w:rPr>
          <w:lang w:val="es-ES_tradnl"/>
        </w:rPr>
      </w:pPr>
      <w:r w:rsidRPr="00DD0373">
        <w:rPr>
          <w:lang w:val="es-ES_tradnl"/>
        </w:rPr>
        <w:t>En respuesta a las preguntas, el representante de la Secretaría dijo que lo ideal sería que la composición del Comité de Aplicación se confirmase al menos un mes antes de la reunión del Comité,</w:t>
      </w:r>
      <w:r w:rsidR="0051369B" w:rsidRPr="00DD0373">
        <w:rPr>
          <w:lang w:val="es-ES_tradnl"/>
        </w:rPr>
        <w:t> </w:t>
      </w:r>
      <w:r w:rsidRPr="00DD0373">
        <w:rPr>
          <w:lang w:val="es-ES_tradnl"/>
        </w:rPr>
        <w:t>a fin de disponer de tiempo suficiente para la distribución de los documentos. No obstante, los</w:t>
      </w:r>
      <w:r w:rsidR="0051369B" w:rsidRPr="00DD0373">
        <w:rPr>
          <w:lang w:val="es-ES_tradnl"/>
        </w:rPr>
        <w:t> </w:t>
      </w:r>
      <w:r w:rsidRPr="00DD0373">
        <w:rPr>
          <w:lang w:val="es-ES_tradnl"/>
        </w:rPr>
        <w:t xml:space="preserve">5 miembros del Comité que se encontraban a mitad de su mandato de dos años ya habían sido confirmados como miembros; en caso de que fuese necesario convocar al Comité, la Secretaría podría hacerlo con los 5 miembros existentes. Aunque esos cinco miembros figuraban en el proyecto de decisión sobre la composición, no era estrictamente necesario incluirlos; habían sido elegidos en 2024 para un mandato de dos años y, por tanto, seguirían siendo miembros del Comité independientemente de las decisiones que se adoptasen en la 37ª Reunión de las </w:t>
      </w:r>
      <w:r w:rsidR="00C17707">
        <w:rPr>
          <w:lang w:val="es-ES_tradnl"/>
        </w:rPr>
        <w:t>Partes</w:t>
      </w:r>
      <w:r w:rsidRPr="00DD0373">
        <w:rPr>
          <w:lang w:val="es-ES_tradnl"/>
        </w:rPr>
        <w:t xml:space="preserve"> o la Reunión de las </w:t>
      </w:r>
      <w:r w:rsidR="00C17707">
        <w:rPr>
          <w:lang w:val="es-ES_tradnl"/>
        </w:rPr>
        <w:t>Partes</w:t>
      </w:r>
      <w:r w:rsidRPr="00DD0373">
        <w:rPr>
          <w:lang w:val="es-ES_tradnl"/>
        </w:rPr>
        <w:t xml:space="preserve"> extraordinaria que se había propuesto.</w:t>
      </w:r>
    </w:p>
    <w:p w14:paraId="11EAF959" w14:textId="59138725" w:rsidR="00E03642" w:rsidRPr="00DD0373" w:rsidRDefault="00E03642" w:rsidP="00E03642">
      <w:pPr>
        <w:pStyle w:val="Normalnumber"/>
        <w:rPr>
          <w:lang w:val="es-ES_tradnl"/>
        </w:rPr>
      </w:pPr>
      <w:r w:rsidRPr="00DD0373">
        <w:rPr>
          <w:lang w:val="es-ES_tradnl"/>
        </w:rPr>
        <w:t>Algunos representantes se mostraron a favor de la propuesta de la Copresidenta. Otro representante se opuso a la inclusión de Chequia en el proyecto de decisión, señalando que la lista debería incluir un espacio reservado para un candidato de los Estados de Europa Oriental sin nombrar a ninguna Parte concreta. Este representante añadió que la comparación que algunos representantes habían establecido con la autocandidatura de Kazajstán al Comité Ejecutivo del Fondo Multilateral era</w:t>
      </w:r>
      <w:r w:rsidR="00E65394" w:rsidRPr="00DD0373">
        <w:rPr>
          <w:lang w:val="es-ES_tradnl"/>
        </w:rPr>
        <w:t> </w:t>
      </w:r>
      <w:r w:rsidRPr="00DD0373">
        <w:rPr>
          <w:lang w:val="es-ES_tradnl"/>
        </w:rPr>
        <w:t>falsa, ya que no se había presentado ninguna objeción a la candidatura de Kazajstán; claramente, no era ese el caso con Chequia.</w:t>
      </w:r>
    </w:p>
    <w:p w14:paraId="7E6C8313" w14:textId="4B4A4FB1" w:rsidR="00E03642" w:rsidRPr="00DD0373" w:rsidRDefault="00E03642" w:rsidP="00E03642">
      <w:pPr>
        <w:pStyle w:val="Normalnumber"/>
        <w:rPr>
          <w:lang w:val="es-ES_tradnl"/>
        </w:rPr>
      </w:pPr>
      <w:r w:rsidRPr="00DD0373">
        <w:rPr>
          <w:lang w:val="es-ES_tradnl"/>
        </w:rPr>
        <w:t xml:space="preserve">La Copresidenta señaló que todo lo que figuraba en el proyecto de decisión anexo al proyecto de decisión sobre la Reunión de las </w:t>
      </w:r>
      <w:r w:rsidR="00C17707">
        <w:rPr>
          <w:lang w:val="es-ES_tradnl"/>
        </w:rPr>
        <w:t>Partes</w:t>
      </w:r>
      <w:r w:rsidRPr="00DD0373">
        <w:rPr>
          <w:lang w:val="es-ES_tradnl"/>
        </w:rPr>
        <w:t xml:space="preserve"> extraordinaria permanecía entre corchetes y, por tanto, estaría abierto a debate. Una representante propuso que se suprimiese el párrafo en que se mencionaba la elección de la presidencia y la vicepresidencia, ya que no sería correcto decidir sobre su elección antes de que se hubiese elegido al propio Comité. En cambio, otro representante sugirió que se suprimiesen las referencias a Chequia en la lista de miembros y en la selección de la vicepresidencia; el resto del proyecto de decisión era aceptable.</w:t>
      </w:r>
    </w:p>
    <w:p w14:paraId="23ED7580" w14:textId="3AC41237" w:rsidR="00E03642" w:rsidRPr="00DD0373" w:rsidRDefault="00E03642" w:rsidP="00E03642">
      <w:pPr>
        <w:pStyle w:val="Normalnumber"/>
        <w:rPr>
          <w:lang w:val="es-ES_tradnl"/>
        </w:rPr>
      </w:pPr>
      <w:r w:rsidRPr="00DD0373">
        <w:rPr>
          <w:lang w:val="es-ES_tradnl"/>
        </w:rPr>
        <w:t xml:space="preserve">En respuesta, la primera representante sugirió que, en su lugar, se adoptasen dos decisiones: con la primera se aprobarían las candidaturas de los miembros del Comité de Aplicación que habían propuesto los grupos regionales, mientras que con la segunda se autorizaría la organización de una </w:t>
      </w:r>
      <w:r w:rsidRPr="00DD0373">
        <w:rPr>
          <w:lang w:val="es-ES_tradnl"/>
        </w:rPr>
        <w:lastRenderedPageBreak/>
        <w:t xml:space="preserve">Reunión de las </w:t>
      </w:r>
      <w:r w:rsidR="00C17707">
        <w:rPr>
          <w:lang w:val="es-ES_tradnl"/>
        </w:rPr>
        <w:t>Partes</w:t>
      </w:r>
      <w:r w:rsidRPr="00DD0373">
        <w:rPr>
          <w:lang w:val="es-ES_tradnl"/>
        </w:rPr>
        <w:t xml:space="preserve"> extraordinaria a fin de examinar el puesto restante. Si bien un representante se</w:t>
      </w:r>
      <w:r w:rsidR="00E65394" w:rsidRPr="00DD0373">
        <w:rPr>
          <w:lang w:val="es-ES_tradnl"/>
        </w:rPr>
        <w:t> </w:t>
      </w:r>
      <w:r w:rsidRPr="00DD0373">
        <w:rPr>
          <w:lang w:val="es-ES_tradnl"/>
        </w:rPr>
        <w:t>mostró de acuerdo, otros expresaron la opinión de que la lista completa de candidaturas debía mantenerse entre corchetes en un único proyecto de decisión.</w:t>
      </w:r>
    </w:p>
    <w:p w14:paraId="67C1843E" w14:textId="5E7BABC7" w:rsidR="00E03642" w:rsidRPr="00DD0373" w:rsidRDefault="0029558C" w:rsidP="00E03642">
      <w:pPr>
        <w:pStyle w:val="Normalnumber"/>
        <w:rPr>
          <w:lang w:val="es-ES_tradnl"/>
        </w:rPr>
      </w:pPr>
      <w:r w:rsidRPr="00DD0373">
        <w:rPr>
          <w:lang w:val="es-ES_tradnl"/>
        </w:rPr>
        <w:t xml:space="preserve">La Copresidenta hizo notar la falta continua de consenso y presentó una propuesta revisada de proyecto de decisión que, según dijo, incluiría únicamente la autorización para organizar una Reunión de las </w:t>
      </w:r>
      <w:r w:rsidR="00C17707">
        <w:rPr>
          <w:lang w:val="es-ES_tradnl"/>
        </w:rPr>
        <w:t>Partes</w:t>
      </w:r>
      <w:r w:rsidRPr="00DD0373">
        <w:rPr>
          <w:lang w:val="es-ES_tradnl"/>
        </w:rPr>
        <w:t xml:space="preserve"> extraordinaria; la propuesta de programa para la reunión figuraría en un anexo de la decisión y no se emplearía un proyecto de decisión sugerido anteriormente sobre la composición del Comité de Aplicación. En su lugar, la Secretaría prepararía y distribuiría un proyecto de decisión estándar antes de la reunión extraordinaria. La oradora también confirmó que todas las opiniones expresadas por los representantes durante el debate en curso se reflejarían en el informe de la reunión, que serviría de base para los debates de la Reunión de las </w:t>
      </w:r>
      <w:r w:rsidR="00C17707">
        <w:rPr>
          <w:lang w:val="es-ES_tradnl"/>
        </w:rPr>
        <w:t>Partes</w:t>
      </w:r>
      <w:r w:rsidRPr="00DD0373">
        <w:rPr>
          <w:lang w:val="es-ES_tradnl"/>
        </w:rPr>
        <w:t xml:space="preserve"> extraordinaria.</w:t>
      </w:r>
    </w:p>
    <w:p w14:paraId="05FB2913" w14:textId="644F7C89" w:rsidR="00E03642" w:rsidRPr="00DD0373" w:rsidRDefault="00E03642" w:rsidP="00E03642">
      <w:pPr>
        <w:pStyle w:val="Normalnumber"/>
        <w:rPr>
          <w:lang w:val="es-ES_tradnl"/>
        </w:rPr>
      </w:pPr>
      <w:r w:rsidRPr="00DD0373">
        <w:rPr>
          <w:lang w:val="es-ES_tradnl"/>
        </w:rPr>
        <w:t xml:space="preserve">Las </w:t>
      </w:r>
      <w:r w:rsidR="00C17707">
        <w:rPr>
          <w:lang w:val="es-ES_tradnl"/>
        </w:rPr>
        <w:t>Partes</w:t>
      </w:r>
      <w:r w:rsidRPr="00DD0373">
        <w:rPr>
          <w:lang w:val="es-ES_tradnl"/>
        </w:rPr>
        <w:t xml:space="preserve"> acordaron remitir el proyecto de decisión para su posterior examen y posible adopción durante la serie de sesiones de alto nivel.</w:t>
      </w:r>
    </w:p>
    <w:p w14:paraId="6CC23CA2" w14:textId="72823606" w:rsidR="00F978AD" w:rsidRPr="00DD0373" w:rsidRDefault="002E7CA9" w:rsidP="00F978AD">
      <w:pPr>
        <w:pStyle w:val="CH3"/>
        <w:keepNext w:val="0"/>
        <w:keepLines w:val="0"/>
        <w:rPr>
          <w:lang w:val="es-ES_tradnl"/>
        </w:rPr>
      </w:pPr>
      <w:r w:rsidRPr="00DD0373">
        <w:rPr>
          <w:bCs/>
          <w:lang w:val="es-ES_tradnl"/>
        </w:rPr>
        <w:tab/>
      </w:r>
      <w:r w:rsidR="00F978AD" w:rsidRPr="00DD0373">
        <w:rPr>
          <w:bCs/>
          <w:lang w:val="es-ES_tradnl"/>
        </w:rPr>
        <w:t>2.</w:t>
      </w:r>
      <w:r w:rsidR="00F978AD" w:rsidRPr="00DD0373">
        <w:rPr>
          <w:lang w:val="es-ES_tradnl"/>
        </w:rPr>
        <w:tab/>
      </w:r>
      <w:r w:rsidR="00F978AD" w:rsidRPr="00DD0373">
        <w:rPr>
          <w:bCs/>
          <w:lang w:val="es-ES_tradnl"/>
        </w:rPr>
        <w:t>Miembros del Comité Ejecutivo del Fondo Multilateral para la Aplicación del Protocolo de Montreal</w:t>
      </w:r>
    </w:p>
    <w:p w14:paraId="729CF5AE" w14:textId="5FD28904" w:rsidR="00F978AD" w:rsidRPr="00DD0373" w:rsidRDefault="00F978AD"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Al presentar el subtema, la Copresidenta dijo que las </w:t>
      </w:r>
      <w:r w:rsidR="00C17707">
        <w:rPr>
          <w:lang w:val="es-ES_tradnl"/>
        </w:rPr>
        <w:t>Partes</w:t>
      </w:r>
      <w:r w:rsidRPr="00DD0373">
        <w:rPr>
          <w:lang w:val="es-ES_tradnl"/>
        </w:rPr>
        <w:t xml:space="preserve"> debían aprobar la selección de miembros del Comité Ejecutivo del Fondo Multilateral para 2026. En los párrafos 21 a 24 del documento UNEP/OzL.Pro.37/2 se presentaba información sobre los puestos que debían cubrirse y en</w:t>
      </w:r>
      <w:r w:rsidR="00E65394" w:rsidRPr="00DD0373">
        <w:rPr>
          <w:lang w:val="es-ES_tradnl"/>
        </w:rPr>
        <w:t> </w:t>
      </w:r>
      <w:r w:rsidRPr="00DD0373">
        <w:rPr>
          <w:lang w:val="es-ES_tradnl"/>
        </w:rPr>
        <w:t>el documento UNEP/OzL.Pro.37/3 se exponía un proyecto de decisión al respecto (proyecto de decisión XXXVII/[CC]).</w:t>
      </w:r>
    </w:p>
    <w:p w14:paraId="6366936A" w14:textId="1ED5DA68" w:rsidR="00E03642" w:rsidRPr="00DD0373" w:rsidRDefault="00E03642" w:rsidP="002C30D7">
      <w:pPr>
        <w:pStyle w:val="Normalnumber"/>
        <w:rPr>
          <w:lang w:val="es-ES_tradnl"/>
        </w:rPr>
      </w:pPr>
      <w:bookmarkStart w:id="3" w:name="_Hlk213434473"/>
      <w:r w:rsidRPr="00DD0373">
        <w:rPr>
          <w:lang w:val="es-ES_tradnl"/>
        </w:rPr>
        <w:t xml:space="preserve">Posteriormente, el representante de la Secretaría informó de que se le había comunicado la selección de 7 miembros en representación de las </w:t>
      </w:r>
      <w:r w:rsidR="00C17707">
        <w:rPr>
          <w:lang w:val="es-ES_tradnl"/>
        </w:rPr>
        <w:t>Partes</w:t>
      </w:r>
      <w:r w:rsidRPr="00DD0373">
        <w:rPr>
          <w:lang w:val="es-ES_tradnl"/>
        </w:rPr>
        <w:t xml:space="preserve"> que operan al amparo del artículo 5, y de 6 miembros en representación de las </w:t>
      </w:r>
      <w:r w:rsidR="00C17707">
        <w:rPr>
          <w:lang w:val="es-ES_tradnl"/>
        </w:rPr>
        <w:t>Partes</w:t>
      </w:r>
      <w:r w:rsidRPr="00DD0373">
        <w:rPr>
          <w:lang w:val="es-ES_tradnl"/>
        </w:rPr>
        <w:t xml:space="preserve"> que no operan al amparo del párrafo 1 del artículo 5 (</w:t>
      </w:r>
      <w:r w:rsidR="00C17707">
        <w:rPr>
          <w:lang w:val="es-ES_tradnl"/>
        </w:rPr>
        <w:t>Partes</w:t>
      </w:r>
      <w:r w:rsidRPr="00DD0373">
        <w:rPr>
          <w:lang w:val="es-ES_tradnl"/>
        </w:rPr>
        <w:t xml:space="preserve"> que no operan al amparo del artículo 5). El representante de Kazajstán presentó la candidatura de su Parte</w:t>
      </w:r>
      <w:r w:rsidR="00F62482" w:rsidRPr="00DD0373">
        <w:rPr>
          <w:lang w:val="es-ES_tradnl"/>
        </w:rPr>
        <w:t xml:space="preserve"> con el fin de</w:t>
      </w:r>
      <w:r w:rsidRPr="00DD0373">
        <w:rPr>
          <w:lang w:val="es-ES_tradnl"/>
        </w:rPr>
        <w:t xml:space="preserve"> ocupar el puesto restante para las </w:t>
      </w:r>
      <w:r w:rsidR="00C17707">
        <w:rPr>
          <w:lang w:val="es-ES_tradnl"/>
        </w:rPr>
        <w:t>Partes</w:t>
      </w:r>
      <w:r w:rsidRPr="00DD0373">
        <w:rPr>
          <w:lang w:val="es-ES_tradnl"/>
        </w:rPr>
        <w:t xml:space="preserve"> que no operan al amparo del artículo 5.</w:t>
      </w:r>
    </w:p>
    <w:p w14:paraId="71324835" w14:textId="7DC8BC12" w:rsidR="00E03642" w:rsidRPr="00DD0373" w:rsidRDefault="00E03642" w:rsidP="00E03642">
      <w:pPr>
        <w:pStyle w:val="Normalnumber"/>
        <w:rPr>
          <w:lang w:val="es-ES_tradnl"/>
        </w:rPr>
      </w:pPr>
      <w:r w:rsidRPr="00DD0373">
        <w:rPr>
          <w:lang w:val="es-ES_tradnl"/>
        </w:rPr>
        <w:t xml:space="preserve">Las </w:t>
      </w:r>
      <w:r w:rsidR="00C17707">
        <w:rPr>
          <w:lang w:val="es-ES_tradnl"/>
        </w:rPr>
        <w:t>Partes</w:t>
      </w:r>
      <w:r w:rsidRPr="00DD0373">
        <w:rPr>
          <w:lang w:val="es-ES_tradnl"/>
        </w:rPr>
        <w:t xml:space="preserve"> acordaron remitir un proyecto de decisión al respecto para que las </w:t>
      </w:r>
      <w:r w:rsidR="00C17707">
        <w:rPr>
          <w:lang w:val="es-ES_tradnl"/>
        </w:rPr>
        <w:t>Partes</w:t>
      </w:r>
      <w:r w:rsidRPr="00DD0373">
        <w:rPr>
          <w:lang w:val="es-ES_tradnl"/>
        </w:rPr>
        <w:t xml:space="preserve"> lo examinasen y pudiesen adoptarlo durante la serie de sesiones de alto nivel.</w:t>
      </w:r>
      <w:bookmarkEnd w:id="3"/>
    </w:p>
    <w:p w14:paraId="6BDC93AB" w14:textId="085F794C" w:rsidR="00F978AD" w:rsidRPr="00DD0373" w:rsidRDefault="002E7CA9" w:rsidP="00F2522C">
      <w:pPr>
        <w:pStyle w:val="CH3"/>
        <w:rPr>
          <w:lang w:val="es-ES_tradnl"/>
        </w:rPr>
      </w:pPr>
      <w:r w:rsidRPr="00DD0373">
        <w:rPr>
          <w:bCs/>
          <w:lang w:val="es-ES_tradnl"/>
        </w:rPr>
        <w:tab/>
      </w:r>
      <w:r w:rsidR="00F978AD" w:rsidRPr="00DD0373">
        <w:rPr>
          <w:bCs/>
          <w:lang w:val="es-ES_tradnl"/>
        </w:rPr>
        <w:t>3.</w:t>
      </w:r>
      <w:r w:rsidR="00F978AD" w:rsidRPr="00DD0373">
        <w:rPr>
          <w:lang w:val="es-ES_tradnl"/>
        </w:rPr>
        <w:tab/>
      </w:r>
      <w:r w:rsidR="00F978AD" w:rsidRPr="00DD0373">
        <w:rPr>
          <w:bCs/>
          <w:lang w:val="es-ES_tradnl"/>
        </w:rPr>
        <w:t>Copresidencia del Grupo de Trabajo de composición abierta</w:t>
      </w:r>
    </w:p>
    <w:p w14:paraId="081A0527" w14:textId="7D6B93DF" w:rsidR="00F978AD" w:rsidRPr="00DD0373" w:rsidRDefault="00F978AD" w:rsidP="00F2522C">
      <w:pPr>
        <w:pStyle w:val="Normalnumber"/>
        <w:keepNext/>
        <w:keepLines/>
        <w:tabs>
          <w:tab w:val="clear" w:pos="1247"/>
          <w:tab w:val="clear" w:pos="1814"/>
          <w:tab w:val="clear" w:pos="2381"/>
          <w:tab w:val="clear" w:pos="2948"/>
          <w:tab w:val="clear" w:pos="3515"/>
        </w:tabs>
        <w:ind w:left="1247"/>
        <w:rPr>
          <w:lang w:val="es-ES_tradnl"/>
        </w:rPr>
      </w:pPr>
      <w:r w:rsidRPr="00DD0373">
        <w:rPr>
          <w:lang w:val="es-ES_tradnl"/>
        </w:rPr>
        <w:t xml:space="preserve">Al presentar el subtema, la Copresidenta dijo que las </w:t>
      </w:r>
      <w:r w:rsidR="00C17707">
        <w:rPr>
          <w:lang w:val="es-ES_tradnl"/>
        </w:rPr>
        <w:t>Partes</w:t>
      </w:r>
      <w:r w:rsidRPr="00DD0373">
        <w:rPr>
          <w:lang w:val="es-ES_tradnl"/>
        </w:rPr>
        <w:t xml:space="preserve"> debían decidir la copresidencia del</w:t>
      </w:r>
      <w:r w:rsidR="00B86893" w:rsidRPr="00DD0373">
        <w:rPr>
          <w:lang w:val="es-ES_tradnl"/>
        </w:rPr>
        <w:t> </w:t>
      </w:r>
      <w:r w:rsidRPr="00DD0373">
        <w:rPr>
          <w:lang w:val="es-ES_tradnl"/>
        </w:rPr>
        <w:t>Grupo de Trabajo de composición abierta para 2026. En los párrafos 25 a 26 del documento UNEP/OzL.Pro.37/2 se presentaba información sobre los puestos que debían cubrirse y en el documento UNEP/OzL.Pro.37/3 se exponía un proyecto de decisión al respecto (proyecto de decisión</w:t>
      </w:r>
      <w:r w:rsidR="00CC0417" w:rsidRPr="00DD0373">
        <w:rPr>
          <w:lang w:val="es-ES_tradnl"/>
        </w:rPr>
        <w:t> </w:t>
      </w:r>
      <w:r w:rsidRPr="00DD0373">
        <w:rPr>
          <w:lang w:val="es-ES_tradnl"/>
        </w:rPr>
        <w:t>XXXVII/[DD]).</w:t>
      </w:r>
    </w:p>
    <w:p w14:paraId="24917A1F" w14:textId="31D7E41C" w:rsidR="00E03642" w:rsidRPr="00DD0373" w:rsidRDefault="00E03642" w:rsidP="002C30D7">
      <w:pPr>
        <w:pStyle w:val="Normalnumber"/>
        <w:rPr>
          <w:lang w:val="es-ES_tradnl"/>
        </w:rPr>
      </w:pPr>
      <w:r w:rsidRPr="00DD0373">
        <w:rPr>
          <w:lang w:val="es-ES_tradnl"/>
        </w:rPr>
        <w:t xml:space="preserve">Posteriormente, el representante de la Secretaría informó de que, una vez recibidos los nombres de las personas seleccionadas por las </w:t>
      </w:r>
      <w:r w:rsidR="00C17707">
        <w:rPr>
          <w:lang w:val="es-ES_tradnl"/>
        </w:rPr>
        <w:t>Partes</w:t>
      </w:r>
      <w:r w:rsidRPr="00DD0373">
        <w:rPr>
          <w:lang w:val="es-ES_tradnl"/>
        </w:rPr>
        <w:t xml:space="preserve"> que operan al amparo del artículo 5 y las </w:t>
      </w:r>
      <w:r w:rsidR="00C17707">
        <w:rPr>
          <w:lang w:val="es-ES_tradnl"/>
        </w:rPr>
        <w:t>Partes</w:t>
      </w:r>
      <w:r w:rsidRPr="00DD0373">
        <w:rPr>
          <w:lang w:val="es-ES_tradnl"/>
        </w:rPr>
        <w:t xml:space="preserve"> que no operan de ese modo, se había incluido un proyecto de decisión sobre esta cuestión en el conjunto de decisiones recopiladas para su examen y posible adopción por las </w:t>
      </w:r>
      <w:r w:rsidR="00C17707">
        <w:rPr>
          <w:lang w:val="es-ES_tradnl"/>
        </w:rPr>
        <w:t>Partes</w:t>
      </w:r>
      <w:r w:rsidRPr="00DD0373">
        <w:rPr>
          <w:lang w:val="es-ES_tradnl"/>
        </w:rPr>
        <w:t xml:space="preserve"> durante la serie de sesiones de alto nivel. Las </w:t>
      </w:r>
      <w:r w:rsidR="00C17707">
        <w:rPr>
          <w:lang w:val="es-ES_tradnl"/>
        </w:rPr>
        <w:t>Partes</w:t>
      </w:r>
      <w:r w:rsidRPr="00DD0373">
        <w:rPr>
          <w:lang w:val="es-ES_tradnl"/>
        </w:rPr>
        <w:t xml:space="preserve"> acordaron remitir un proyecto de decisión al respecto para que las </w:t>
      </w:r>
      <w:r w:rsidR="00C17707">
        <w:rPr>
          <w:lang w:val="es-ES_tradnl"/>
        </w:rPr>
        <w:t>Partes</w:t>
      </w:r>
      <w:r w:rsidRPr="00DD0373">
        <w:rPr>
          <w:lang w:val="es-ES_tradnl"/>
        </w:rPr>
        <w:t xml:space="preserve"> lo examinasen y pudiesen adoptarlo durante la serie de sesiones de alto nivel.</w:t>
      </w:r>
    </w:p>
    <w:p w14:paraId="3C334FF2" w14:textId="16FD487D" w:rsidR="00C20895" w:rsidRPr="00DD0373" w:rsidRDefault="002E7CA9" w:rsidP="00F978AD">
      <w:pPr>
        <w:pStyle w:val="CH1"/>
        <w:keepNext w:val="0"/>
        <w:keepLines w:val="0"/>
        <w:rPr>
          <w:lang w:val="es-ES_tradnl"/>
        </w:rPr>
      </w:pPr>
      <w:r w:rsidRPr="00DD0373">
        <w:rPr>
          <w:bCs/>
          <w:lang w:val="es-ES_tradnl"/>
        </w:rPr>
        <w:tab/>
      </w:r>
      <w:r w:rsidR="00F978AD" w:rsidRPr="00DD0373">
        <w:rPr>
          <w:bCs/>
          <w:lang w:val="es-ES_tradnl"/>
        </w:rPr>
        <w:t>IV.</w:t>
      </w:r>
      <w:r w:rsidR="00F978AD" w:rsidRPr="00DD0373">
        <w:rPr>
          <w:lang w:val="es-ES_tradnl"/>
        </w:rPr>
        <w:tab/>
      </w:r>
      <w:r w:rsidR="00F978AD" w:rsidRPr="00DD0373">
        <w:rPr>
          <w:bCs/>
          <w:lang w:val="es-ES_tradnl"/>
        </w:rPr>
        <w:t>Mandato del estudio relativo a la reposición del Fondo Multilateral para la Aplicación del Protocolo de Montreal para</w:t>
      </w:r>
      <w:r w:rsidR="00E65394" w:rsidRPr="00DD0373">
        <w:rPr>
          <w:bCs/>
          <w:lang w:val="es-ES_tradnl"/>
        </w:rPr>
        <w:t> </w:t>
      </w:r>
      <w:r w:rsidR="00F978AD" w:rsidRPr="00DD0373">
        <w:rPr>
          <w:bCs/>
          <w:lang w:val="es-ES_tradnl"/>
        </w:rPr>
        <w:t>2027</w:t>
      </w:r>
      <w:r w:rsidR="00283B3F" w:rsidRPr="00DD0373">
        <w:rPr>
          <w:bCs/>
          <w:lang w:val="es-ES_tradnl"/>
        </w:rPr>
        <w:t>-</w:t>
      </w:r>
      <w:r w:rsidR="00F978AD" w:rsidRPr="00DD0373">
        <w:rPr>
          <w:bCs/>
          <w:lang w:val="es-ES_tradnl"/>
        </w:rPr>
        <w:t>2029</w:t>
      </w:r>
    </w:p>
    <w:p w14:paraId="541E8EE7" w14:textId="17AC1DFC" w:rsidR="00F978AD" w:rsidRPr="00DD0373" w:rsidRDefault="00F978AD"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Al presentar el tema, la Copresidenta recordó que las </w:t>
      </w:r>
      <w:r w:rsidR="00C17707">
        <w:rPr>
          <w:lang w:val="es-ES_tradnl"/>
        </w:rPr>
        <w:t>Partes</w:t>
      </w:r>
      <w:r w:rsidRPr="00DD0373">
        <w:rPr>
          <w:lang w:val="es-ES_tradnl"/>
        </w:rPr>
        <w:t xml:space="preserve"> habían comenzado a debatir el mandato del estudio relativo a la reposición del Fondo Multilateral para 2027</w:t>
      </w:r>
      <w:r w:rsidR="00E65394" w:rsidRPr="00DD0373">
        <w:rPr>
          <w:lang w:val="es-ES_tradnl"/>
        </w:rPr>
        <w:t>-</w:t>
      </w:r>
      <w:r w:rsidRPr="00DD0373">
        <w:rPr>
          <w:lang w:val="es-ES_tradnl"/>
        </w:rPr>
        <w:t>2029 en la 47ª reunión del Grupo de Trabajo de composición abierta y que Australia, el Canadá, el Japón y el Reino Unido de Gran Bretaña e Irlanda del Norte habían presentado un proyecto de decisión que, junto con el mandato del estudio anterior, conforme a lo establecido en la decisión XXXIV/2, relativa a la reposición del Fondo Multilateral para la Aplicación del Protocolo de Montreal para el trienio 2024</w:t>
      </w:r>
      <w:r w:rsidR="00E65394" w:rsidRPr="00DD0373">
        <w:rPr>
          <w:lang w:val="es-ES_tradnl"/>
        </w:rPr>
        <w:t>-</w:t>
      </w:r>
      <w:r w:rsidRPr="00DD0373">
        <w:rPr>
          <w:lang w:val="es-ES_tradnl"/>
        </w:rPr>
        <w:t xml:space="preserve">2026 (véase UNEP/OzL.Pro.34/9/Add.1/Rev.1), había constituido la base de los debates en un grupo de contacto. Por falta de tiempo, el grupo de contacto no había podido concluir sus trabajos; en consecuencia, el Grupo de Trabajo había convenido en reanudar los debates en la reunión en curso. La oradora señaló a la atención de los presentes la documentación pertinente, a saber, el documento UNEP/OzL.Pro.37/2 (párrafos 27 a 32), el informe de la 47ª reunión del Grupo de Trabajo (UNEP/OzL.Pro.WG.1/47/6, </w:t>
      </w:r>
      <w:r w:rsidRPr="00DD0373">
        <w:rPr>
          <w:lang w:val="es-ES_tradnl"/>
        </w:rPr>
        <w:lastRenderedPageBreak/>
        <w:t>párrafos 28 a 38) y el proyecto de decisión revisado que figuraba en el documento UNEP/OzL.Pro.37/3 (proyecto de decisión XXXVII/[A]).</w:t>
      </w:r>
    </w:p>
    <w:p w14:paraId="335D1DCB" w14:textId="7377EB49" w:rsidR="00F978AD" w:rsidRPr="00DD0373" w:rsidRDefault="00F978AD"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La Copresidenta propuso la creación de un grupo de contacto que examinase el mandato del estudio relativo a la reposición del Fondo Multilateral para 2027</w:t>
      </w:r>
      <w:r w:rsidR="00283B3F" w:rsidRPr="00DD0373">
        <w:rPr>
          <w:lang w:val="es-ES_tradnl"/>
        </w:rPr>
        <w:t>-</w:t>
      </w:r>
      <w:r w:rsidRPr="00DD0373">
        <w:rPr>
          <w:lang w:val="es-ES_tradnl"/>
        </w:rPr>
        <w:t>2029.</w:t>
      </w:r>
    </w:p>
    <w:p w14:paraId="164CC17A" w14:textId="73709506" w:rsidR="00F978AD" w:rsidRPr="00DD0373" w:rsidRDefault="00F978AD"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En el debate </w:t>
      </w:r>
      <w:r w:rsidR="001F1F29" w:rsidRPr="00DD0373">
        <w:rPr>
          <w:lang w:val="es-ES_tradnl"/>
        </w:rPr>
        <w:t>que se entabló</w:t>
      </w:r>
      <w:r w:rsidRPr="00DD0373">
        <w:rPr>
          <w:lang w:val="es-ES_tradnl"/>
        </w:rPr>
        <w:t xml:space="preserve"> a continuación, varios representantes subrayaron la importancia del Fondo Multilateral a la hora de ayudar a las </w:t>
      </w:r>
      <w:r w:rsidR="00C17707">
        <w:rPr>
          <w:lang w:val="es-ES_tradnl"/>
        </w:rPr>
        <w:t>Partes</w:t>
      </w:r>
      <w:r w:rsidRPr="00DD0373">
        <w:rPr>
          <w:lang w:val="es-ES_tradnl"/>
        </w:rPr>
        <w:t xml:space="preserve"> que operan al amparo del artículo 5 a alcanzar sus metas en materia de cumplimiento en cuanto a la reducción de los HFC conforme a la Enmienda de Kigali. Algunos representantes hicieron hincapié en que el estudio relativo a la reposición debería reflejar las realidades de la aplicación y abarcar todos los demás elementos acordados previamente, incluidas las soluciones financieras estipuladas en la decisión XXVIII/2 relacionada con la enmienda por la que se reducen los hidrofluorocarbonos, adoptada por la 28ª Reunión de las </w:t>
      </w:r>
      <w:r w:rsidR="00C17707">
        <w:rPr>
          <w:lang w:val="es-ES_tradnl"/>
        </w:rPr>
        <w:t>Partes</w:t>
      </w:r>
      <w:r w:rsidRPr="00DD0373">
        <w:rPr>
          <w:lang w:val="es-ES_tradnl"/>
        </w:rPr>
        <w:t>. Una representante añadió que los elementos clave que el Comité Ejecutivo del Fondo había señalado en su decisión 96/57 debían tenerse en cuenta a la hora de estimar las necesidades de financiación para el período 2027</w:t>
      </w:r>
      <w:r w:rsidR="00283B3F" w:rsidRPr="00DD0373">
        <w:rPr>
          <w:lang w:val="es-ES_tradnl"/>
        </w:rPr>
        <w:t>-</w:t>
      </w:r>
      <w:r w:rsidRPr="00DD0373">
        <w:rPr>
          <w:lang w:val="es-ES_tradnl"/>
        </w:rPr>
        <w:t>2029.</w:t>
      </w:r>
    </w:p>
    <w:p w14:paraId="19A718CC" w14:textId="16127788" w:rsidR="00F978AD" w:rsidRPr="00DD0373" w:rsidRDefault="00F978AD" w:rsidP="002C30D7">
      <w:pPr>
        <w:pStyle w:val="Normalnumber"/>
        <w:rPr>
          <w:lang w:val="es-ES_tradnl"/>
        </w:rPr>
      </w:pPr>
      <w:r w:rsidRPr="00DD0373">
        <w:rPr>
          <w:lang w:val="es-ES_tradnl"/>
        </w:rPr>
        <w:t>Una representante afirmó que la reposición para 2027–2029 debía ser adecuada y equitativa y</w:t>
      </w:r>
      <w:r w:rsidR="00283B3F" w:rsidRPr="00DD0373">
        <w:rPr>
          <w:lang w:val="es-ES_tradnl"/>
        </w:rPr>
        <w:t> </w:t>
      </w:r>
      <w:r w:rsidRPr="00DD0373">
        <w:rPr>
          <w:lang w:val="es-ES_tradnl"/>
        </w:rPr>
        <w:t xml:space="preserve">ajustarse a las necesidades reales de aplicación. Un segundo representante especificó que la metodología del estudio debía ser transparente y equilibrada desde el punto de vista regional, incorporar factores de costos realistas para las </w:t>
      </w:r>
      <w:r w:rsidR="00C17707">
        <w:rPr>
          <w:lang w:val="es-ES_tradnl"/>
        </w:rPr>
        <w:t>Partes</w:t>
      </w:r>
      <w:r w:rsidRPr="00DD0373">
        <w:rPr>
          <w:lang w:val="es-ES_tradnl"/>
        </w:rPr>
        <w:t xml:space="preserve"> que operan al amparo del </w:t>
      </w:r>
      <w:r w:rsidR="00FF3910" w:rsidRPr="00DD0373">
        <w:rPr>
          <w:lang w:val="es-ES_tradnl"/>
        </w:rPr>
        <w:t>a</w:t>
      </w:r>
      <w:r w:rsidRPr="00DD0373">
        <w:rPr>
          <w:lang w:val="es-ES_tradnl"/>
        </w:rPr>
        <w:t xml:space="preserve">rtículo 5 y fomentar las aportaciones de las </w:t>
      </w:r>
      <w:r w:rsidR="00C17707">
        <w:rPr>
          <w:lang w:val="es-ES_tradnl"/>
        </w:rPr>
        <w:t>Partes</w:t>
      </w:r>
      <w:r w:rsidRPr="00DD0373">
        <w:rPr>
          <w:lang w:val="es-ES_tradnl"/>
        </w:rPr>
        <w:t>. El orador afirmó que los resultados del estudio debían alimentar directamente una decisión relativa a la reposición oportuna y basada en las necesidades, y que era necesario un horizonte de financiación con visión de futuro. Otro representante dijo que debía prestarse ayuda a todos los países en desarrollo sin diferenciación. Algunos representantes pidieron una evaluación realista del flujo de efectivo hacia las ventanillas de financiación, incluido el mecanismo de fondo rotatorio, acordado por el Comité Ejecutivo. Un representante pidió que se mantuviese el nivel de financiación de ese momento hasta 2029.</w:t>
      </w:r>
    </w:p>
    <w:p w14:paraId="3A6F1BC8" w14:textId="2100A632" w:rsidR="00F978AD" w:rsidRPr="00DD0373" w:rsidRDefault="00F978AD"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Varios representantes destacaron los retos específicos a los que se enfrentaban, en particular las </w:t>
      </w:r>
      <w:r w:rsidR="00C17707">
        <w:rPr>
          <w:lang w:val="es-ES_tradnl"/>
        </w:rPr>
        <w:t>Partes</w:t>
      </w:r>
      <w:r w:rsidRPr="00DD0373">
        <w:rPr>
          <w:lang w:val="es-ES_tradnl"/>
        </w:rPr>
        <w:t xml:space="preserve"> que operan al amparo del </w:t>
      </w:r>
      <w:r w:rsidR="00FF3910" w:rsidRPr="00DD0373">
        <w:rPr>
          <w:lang w:val="es-ES_tradnl"/>
        </w:rPr>
        <w:t>a</w:t>
      </w:r>
      <w:r w:rsidRPr="00DD0373">
        <w:rPr>
          <w:lang w:val="es-ES_tradnl"/>
        </w:rPr>
        <w:t>rtículo 5, para lograr la reducción sostenible de los HFC. Entre</w:t>
      </w:r>
      <w:r w:rsidR="00283B3F" w:rsidRPr="00DD0373">
        <w:rPr>
          <w:lang w:val="es-ES_tradnl"/>
        </w:rPr>
        <w:t> </w:t>
      </w:r>
      <w:r w:rsidRPr="00DD0373">
        <w:rPr>
          <w:lang w:val="es-ES_tradnl"/>
        </w:rPr>
        <w:t>esos retos se incluía el uso de refrigerantes inflamables en aparatos de refrigeración, aire acondicionado y bombas de calor; dificultades para acceder y adoptar tecnologías de bajo potencial de</w:t>
      </w:r>
      <w:r w:rsidR="00FF3910" w:rsidRPr="00DD0373">
        <w:rPr>
          <w:lang w:val="es-ES_tradnl"/>
        </w:rPr>
        <w:t> </w:t>
      </w:r>
      <w:r w:rsidRPr="00DD0373">
        <w:rPr>
          <w:lang w:val="es-ES_tradnl"/>
        </w:rPr>
        <w:t>calentamiento atmosférico (PCA); la falta de alternativas al aire acondicionado en los Estados que</w:t>
      </w:r>
      <w:r w:rsidR="0051369B" w:rsidRPr="00DD0373">
        <w:rPr>
          <w:lang w:val="es-ES_tradnl"/>
        </w:rPr>
        <w:t> </w:t>
      </w:r>
      <w:r w:rsidRPr="00DD0373">
        <w:rPr>
          <w:lang w:val="es-ES_tradnl"/>
        </w:rPr>
        <w:t>experimentaban temperaturas intensas y crecientes; y la necesidad de una financiación estable, suficiente y previsible.</w:t>
      </w:r>
    </w:p>
    <w:p w14:paraId="5389A10B" w14:textId="27BC82E9" w:rsidR="00F978AD" w:rsidRPr="00DD0373" w:rsidRDefault="00F978AD"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Varios representantes destacaron aspectos concretos que consideraban importantes, independientemente de que fuesen necesarios para el cumplimiento de la normativa, y para los que consideraban que debería disponerse de financiación suficiente. Entre esos elementos figuraban: la</w:t>
      </w:r>
      <w:r w:rsidR="00EC4C86" w:rsidRPr="00DD0373">
        <w:rPr>
          <w:lang w:val="es-ES_tradnl"/>
        </w:rPr>
        <w:t> </w:t>
      </w:r>
      <w:r w:rsidRPr="00DD0373">
        <w:rPr>
          <w:lang w:val="es-ES_tradnl"/>
        </w:rPr>
        <w:t xml:space="preserve">eficiencia energética; la gestión holística del ciclo de vida de los refrigerantes, incluidas la recuperación, la regeneración y la eliminación </w:t>
      </w:r>
      <w:proofErr w:type="spellStart"/>
      <w:r w:rsidRPr="00DD0373">
        <w:rPr>
          <w:lang w:val="es-ES_tradnl"/>
        </w:rPr>
        <w:t>costoeficiente</w:t>
      </w:r>
      <w:proofErr w:type="spellEnd"/>
      <w:r w:rsidRPr="00DD0373">
        <w:rPr>
          <w:lang w:val="es-ES_tradnl"/>
        </w:rPr>
        <w:t>; la situación específica de los países de temperatura ambiente elevada; las reducciones sostenidas del consumo y las emisiones de HFC, así como objetivos temporales; la capacitación, la creación de capacidad, el fortalecimiento institucional y la cooperación regional; las herramientas digitales y asistidas por inteligencia artificial; los programas de divulgación, incluidas las giras tecnológicas y las actividades de demostración; el acceso a una refrigeración sostenible; la digitalización del sector de los servicios, y el trato equitativo de los países</w:t>
      </w:r>
      <w:r w:rsidR="00EC4C86" w:rsidRPr="00DD0373">
        <w:rPr>
          <w:lang w:val="es-ES_tradnl"/>
        </w:rPr>
        <w:t> </w:t>
      </w:r>
      <w:r w:rsidRPr="00DD0373">
        <w:rPr>
          <w:lang w:val="es-ES_tradnl"/>
        </w:rPr>
        <w:t>en desarrollo sin litoral.</w:t>
      </w:r>
    </w:p>
    <w:p w14:paraId="61F41795" w14:textId="6527E254" w:rsidR="00F978AD" w:rsidRPr="00DD0373" w:rsidRDefault="00F978AD"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Algunos representantes afirmaron que no deberían introducirse nuevas políticas ni principios rectores durante el período de reposición 2027</w:t>
      </w:r>
      <w:r w:rsidR="00283B3F" w:rsidRPr="00DD0373">
        <w:rPr>
          <w:lang w:val="es-ES_tradnl"/>
        </w:rPr>
        <w:t>-</w:t>
      </w:r>
      <w:r w:rsidRPr="00DD0373">
        <w:rPr>
          <w:lang w:val="es-ES_tradnl"/>
        </w:rPr>
        <w:t>2029. Un representante subrayó la importancia de evitar conflictos de intereses en relación con el equipo de tareas sobre la reposición.</w:t>
      </w:r>
    </w:p>
    <w:p w14:paraId="6C39A13E" w14:textId="276FFFF8" w:rsidR="00F978AD" w:rsidRPr="00DD0373" w:rsidRDefault="00F978AD"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El Grupo de Trabajo convino en crear un grupo de contacto, que copresidirían Azra Rogović</w:t>
      </w:r>
      <w:r w:rsidRPr="00DD0373">
        <w:rPr>
          <w:lang w:val="es-ES_tradnl"/>
        </w:rPr>
        <w:noBreakHyphen/>
        <w:t>Grubić (Bosnia y Herzegovina) y Ralph Brieskorn (Reino de los Países Bajos).</w:t>
      </w:r>
    </w:p>
    <w:p w14:paraId="275B0EB3" w14:textId="303E97D4" w:rsidR="006B128A" w:rsidRPr="00DD0373" w:rsidRDefault="006B128A" w:rsidP="006B128A">
      <w:pPr>
        <w:pStyle w:val="Normalnumber"/>
        <w:rPr>
          <w:lang w:val="es-ES_tradnl"/>
        </w:rPr>
      </w:pPr>
      <w:r w:rsidRPr="00DD0373">
        <w:rPr>
          <w:lang w:val="es-ES_tradnl"/>
        </w:rPr>
        <w:t>Posteriormente, la Copresidenta del grupo de contacto informó de que el grupo de contacto había llegado a un acuerdo acerca de un proyecto de decisión sobre el mandato del estudio relativo a la reposición del Fondo Multilateral para la Aplicación del Protocolo de Montreal para 2027</w:t>
      </w:r>
      <w:r w:rsidR="00283B3F" w:rsidRPr="00DD0373">
        <w:rPr>
          <w:lang w:val="es-ES_tradnl"/>
        </w:rPr>
        <w:t>-</w:t>
      </w:r>
      <w:r w:rsidRPr="00DD0373">
        <w:rPr>
          <w:lang w:val="es-ES_tradnl"/>
        </w:rPr>
        <w:t xml:space="preserve">2029, con vistas a su examen por las </w:t>
      </w:r>
      <w:r w:rsidR="00C17707">
        <w:rPr>
          <w:lang w:val="es-ES_tradnl"/>
        </w:rPr>
        <w:t>Partes</w:t>
      </w:r>
      <w:r w:rsidRPr="00DD0373">
        <w:rPr>
          <w:lang w:val="es-ES_tradnl"/>
        </w:rPr>
        <w:t>.</w:t>
      </w:r>
    </w:p>
    <w:p w14:paraId="6B4FC3C3" w14:textId="55B3A38E" w:rsidR="006B128A" w:rsidRPr="00DD0373" w:rsidRDefault="006B128A" w:rsidP="006B128A">
      <w:pPr>
        <w:pStyle w:val="Normalnumber"/>
        <w:rPr>
          <w:lang w:val="es-ES_tradnl"/>
        </w:rPr>
      </w:pPr>
      <w:r w:rsidRPr="00DD0373">
        <w:rPr>
          <w:lang w:val="es-ES_tradnl"/>
        </w:rPr>
        <w:t xml:space="preserve">Las </w:t>
      </w:r>
      <w:r w:rsidR="00C17707">
        <w:rPr>
          <w:lang w:val="es-ES_tradnl"/>
        </w:rPr>
        <w:t>Partes</w:t>
      </w:r>
      <w:r w:rsidRPr="00DD0373">
        <w:rPr>
          <w:lang w:val="es-ES_tradnl"/>
        </w:rPr>
        <w:t xml:space="preserve"> acordaron remitir el proyecto de decisión para su posterior examen y posible adopción durante la serie de sesiones de alto nivel.</w:t>
      </w:r>
    </w:p>
    <w:p w14:paraId="416CD7BE" w14:textId="77777777" w:rsidR="0051369B" w:rsidRPr="00DD0373" w:rsidRDefault="0051369B">
      <w:pPr>
        <w:tabs>
          <w:tab w:val="clear" w:pos="1247"/>
          <w:tab w:val="clear" w:pos="1814"/>
          <w:tab w:val="clear" w:pos="2381"/>
          <w:tab w:val="clear" w:pos="2948"/>
          <w:tab w:val="clear" w:pos="3515"/>
        </w:tabs>
        <w:rPr>
          <w:b/>
          <w:bCs/>
          <w:sz w:val="28"/>
          <w:szCs w:val="28"/>
          <w:lang w:val="es-ES_tradnl"/>
        </w:rPr>
      </w:pPr>
      <w:r w:rsidRPr="00DD0373">
        <w:rPr>
          <w:bCs/>
          <w:lang w:val="es-ES_tradnl"/>
        </w:rPr>
        <w:br w:type="page"/>
      </w:r>
    </w:p>
    <w:p w14:paraId="178EBCE6" w14:textId="76CD6A1D" w:rsidR="00C20895" w:rsidRPr="00DD0373" w:rsidRDefault="002E7CA9" w:rsidP="005D30C7">
      <w:pPr>
        <w:pStyle w:val="CH1"/>
        <w:keepNext w:val="0"/>
        <w:keepLines w:val="0"/>
        <w:rPr>
          <w:rFonts w:ascii="Times New Roman Bold" w:hAnsi="Times New Roman Bold"/>
          <w:spacing w:val="-4"/>
          <w:lang w:val="es-ES_tradnl"/>
        </w:rPr>
      </w:pPr>
      <w:r w:rsidRPr="00DD0373">
        <w:rPr>
          <w:bCs/>
          <w:lang w:val="es-ES_tradnl"/>
        </w:rPr>
        <w:lastRenderedPageBreak/>
        <w:tab/>
      </w:r>
      <w:r w:rsidR="00D16B2C" w:rsidRPr="00DD0373">
        <w:rPr>
          <w:bCs/>
          <w:lang w:val="es-ES_tradnl"/>
        </w:rPr>
        <w:t>V.</w:t>
      </w:r>
      <w:r w:rsidR="00D16B2C" w:rsidRPr="00DD0373">
        <w:rPr>
          <w:lang w:val="es-ES_tradnl"/>
        </w:rPr>
        <w:tab/>
      </w:r>
      <w:r w:rsidR="00D16B2C" w:rsidRPr="00DD0373">
        <w:rPr>
          <w:rFonts w:ascii="Times New Roman Bold" w:hAnsi="Times New Roman Bold"/>
          <w:bCs/>
          <w:spacing w:val="-4"/>
          <w:lang w:val="es-ES_tradnl"/>
        </w:rPr>
        <w:t>Emisiones de hidrofluorocarbono</w:t>
      </w:r>
      <w:r w:rsidR="00D16B2C" w:rsidRPr="00DD0373">
        <w:rPr>
          <w:rFonts w:ascii="Times New Roman Bold" w:hAnsi="Times New Roman Bold"/>
          <w:bCs/>
          <w:spacing w:val="-4"/>
          <w:lang w:val="es-ES_tradnl"/>
        </w:rPr>
        <w:noBreakHyphen/>
        <w:t>23 (HFC</w:t>
      </w:r>
      <w:r w:rsidR="00D16B2C" w:rsidRPr="00DD0373">
        <w:rPr>
          <w:rFonts w:ascii="Times New Roman Bold" w:hAnsi="Times New Roman Bold"/>
          <w:bCs/>
          <w:spacing w:val="-4"/>
          <w:lang w:val="es-ES_tradnl"/>
        </w:rPr>
        <w:noBreakHyphen/>
        <w:t>23) (decisión XXXVI/3)</w:t>
      </w:r>
    </w:p>
    <w:p w14:paraId="108BCA31" w14:textId="0EC6BB0A" w:rsidR="00953C56" w:rsidRPr="00DD0373" w:rsidRDefault="00953C56"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Al examinar el subtema, las </w:t>
      </w:r>
      <w:r w:rsidR="00C17707">
        <w:rPr>
          <w:lang w:val="es-ES_tradnl"/>
        </w:rPr>
        <w:t>Partes</w:t>
      </w:r>
      <w:r w:rsidRPr="00DD0373">
        <w:rPr>
          <w:lang w:val="es-ES_tradnl"/>
        </w:rPr>
        <w:t xml:space="preserve"> tuvieron ante sí los párrafos 33 a 36 de la nota de la Secretaría sobre las cuestiones que se examinarían en la 37ª Reunión de las </w:t>
      </w:r>
      <w:r w:rsidR="00C17707">
        <w:rPr>
          <w:lang w:val="es-ES_tradnl"/>
        </w:rPr>
        <w:t>Partes</w:t>
      </w:r>
      <w:r w:rsidRPr="00DD0373">
        <w:rPr>
          <w:lang w:val="es-ES_tradnl"/>
        </w:rPr>
        <w:t xml:space="preserve"> en el Protocolo de Montreal relativo a las Sustancias que Agotan la Capa de Ozono e información que se señalaba a su atención (UNEP/OzL.Pro.37/2), el informe del Grupo de Evaluación Científica titulado “Response to </w:t>
      </w:r>
      <w:proofErr w:type="spellStart"/>
      <w:r w:rsidRPr="00DD0373">
        <w:rPr>
          <w:lang w:val="es-ES_tradnl"/>
        </w:rPr>
        <w:t>decision</w:t>
      </w:r>
      <w:proofErr w:type="spellEnd"/>
      <w:r w:rsidRPr="00DD0373">
        <w:rPr>
          <w:lang w:val="es-ES_tradnl"/>
        </w:rPr>
        <w:t xml:space="preserve"> XXXVI/3: </w:t>
      </w:r>
      <w:proofErr w:type="spellStart"/>
      <w:r w:rsidRPr="00DD0373">
        <w:rPr>
          <w:lang w:val="es-ES_tradnl"/>
        </w:rPr>
        <w:t>emissions</w:t>
      </w:r>
      <w:proofErr w:type="spellEnd"/>
      <w:r w:rsidRPr="00DD0373">
        <w:rPr>
          <w:lang w:val="es-ES_tradnl"/>
        </w:rPr>
        <w:t xml:space="preserve"> of HFC23”, el informe del Grupo de Evaluación Tecnológica y Económica titulado “Response to </w:t>
      </w:r>
      <w:proofErr w:type="spellStart"/>
      <w:r w:rsidRPr="00DD0373">
        <w:rPr>
          <w:lang w:val="es-ES_tradnl"/>
        </w:rPr>
        <w:t>decision</w:t>
      </w:r>
      <w:proofErr w:type="spellEnd"/>
      <w:r w:rsidRPr="00DD0373">
        <w:rPr>
          <w:lang w:val="es-ES_tradnl"/>
        </w:rPr>
        <w:t xml:space="preserve"> XXXVI/3: </w:t>
      </w:r>
      <w:proofErr w:type="spellStart"/>
      <w:r w:rsidRPr="00DD0373">
        <w:rPr>
          <w:lang w:val="es-ES_tradnl"/>
        </w:rPr>
        <w:t>emissions</w:t>
      </w:r>
      <w:proofErr w:type="spellEnd"/>
      <w:r w:rsidRPr="00DD0373">
        <w:rPr>
          <w:lang w:val="es-ES_tradnl"/>
        </w:rPr>
        <w:t xml:space="preserve"> of HFC</w:t>
      </w:r>
      <w:r w:rsidR="006740E8" w:rsidRPr="00DD0373">
        <w:rPr>
          <w:lang w:val="es-ES_tradnl"/>
        </w:rPr>
        <w:noBreakHyphen/>
      </w:r>
      <w:r w:rsidRPr="00DD0373">
        <w:rPr>
          <w:lang w:val="es-ES_tradnl"/>
        </w:rPr>
        <w:t xml:space="preserve">23”, y los párrafos 4 a 18, así como los anexos I y II, de la adición a la nota de la Secretaría sobre las cuestiones que se examinarían en la 37ª Reunión de las </w:t>
      </w:r>
      <w:r w:rsidR="00C17707">
        <w:rPr>
          <w:lang w:val="es-ES_tradnl"/>
        </w:rPr>
        <w:t>Partes</w:t>
      </w:r>
      <w:r w:rsidRPr="00DD0373">
        <w:rPr>
          <w:lang w:val="es-ES_tradnl"/>
        </w:rPr>
        <w:t xml:space="preserve"> en el Protocolo de Montreal e información que se señalaba a su atención (UNEP/OzL.Pro.37/2/Add.1).</w:t>
      </w:r>
    </w:p>
    <w:p w14:paraId="5DD87B5D" w14:textId="6552F645" w:rsidR="00953C56" w:rsidRPr="00DD0373" w:rsidRDefault="00953C56"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Al presentar el subtema, la Copresidenta recordó que, en el párrafo 5 de la decisión XXXVI/3 relativa a las emisiones de HFC</w:t>
      </w:r>
      <w:r w:rsidRPr="00DD0373">
        <w:rPr>
          <w:lang w:val="es-ES_tradnl"/>
        </w:rPr>
        <w:noBreakHyphen/>
        <w:t>23, se solicitaba al Grupo de Evaluación Científica y al Grupo de Evaluación Tecnológica y Económica que actualizasen sus informes en virtud de la decisión XXXV/7 sobre el HFC</w:t>
      </w:r>
      <w:r w:rsidRPr="00DD0373">
        <w:rPr>
          <w:lang w:val="es-ES_tradnl"/>
        </w:rPr>
        <w:noBreakHyphen/>
        <w:t xml:space="preserve">23 para reflejar cualquier información adicional o nueva de que se dispusiese y que presentasen sus informes a la 37ª Reunión de las </w:t>
      </w:r>
      <w:r w:rsidR="00C17707">
        <w:rPr>
          <w:lang w:val="es-ES_tradnl"/>
        </w:rPr>
        <w:t>Partes</w:t>
      </w:r>
      <w:r w:rsidRPr="00DD0373">
        <w:rPr>
          <w:lang w:val="es-ES_tradnl"/>
        </w:rPr>
        <w:t>. Además, se solicitaba al Grupo de Evaluación Tecnológica y Económica que facilitase información y una comparación de las mejores prácticas y directrices relativas a la medición, estimación, notificación y verificación de las emisiones del subproducto HFC</w:t>
      </w:r>
      <w:r w:rsidRPr="00DD0373">
        <w:rPr>
          <w:lang w:val="es-ES_tradnl"/>
        </w:rPr>
        <w:noBreakHyphen/>
        <w:t>23 y su destrucción.</w:t>
      </w:r>
    </w:p>
    <w:p w14:paraId="55017627" w14:textId="3C29A432" w:rsidR="00953C56" w:rsidRPr="00DD0373" w:rsidRDefault="00953C56"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En respuesta a las solicitudes de las </w:t>
      </w:r>
      <w:r w:rsidR="00C17707">
        <w:rPr>
          <w:lang w:val="es-ES_tradnl"/>
        </w:rPr>
        <w:t>Partes</w:t>
      </w:r>
      <w:r w:rsidRPr="00DD0373">
        <w:rPr>
          <w:lang w:val="es-ES_tradnl"/>
        </w:rPr>
        <w:t>, los Grupos habían coordinado sus trabajos sobre el asunto y cada uno de ellos había elaborado un informe. En la adición a la nota de la Secretaría se recogían resúmenes de los informes; los respectivos resúmenes se reproducían en los anexos I y II de la adición, y los informes completos se habían publicado en el portal de la reunión.</w:t>
      </w:r>
    </w:p>
    <w:p w14:paraId="341E8811" w14:textId="23DF02FB" w:rsidR="00953C56" w:rsidRPr="00DD0373" w:rsidRDefault="00953C56"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Lucy Carpenter, Copresidenta del Grupo de Evaluación Científica, y Nick Campbell, miembro del Comité de opciones técnicas médicas y sobre productos químicos, en nombre del Grupo de Evaluación Tecnológica y Económica, hicieron presentaciones sobre la respuesta de cada Grupo a las solicitudes formuladas en la decisión XXXVI/3. Las presentaciones figuraban en las secciones A y B, respectivamente, del anexo I del presente informe.</w:t>
      </w:r>
    </w:p>
    <w:p w14:paraId="1256BC1C" w14:textId="26ADD434" w:rsidR="00953C56" w:rsidRPr="00DD0373" w:rsidRDefault="00953C56"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Tras las presentaciones, varios representantes plantearon preguntas a los miembros de los Grupos con el fin de aclarar algunas de las cuestiones planteadas.</w:t>
      </w:r>
    </w:p>
    <w:p w14:paraId="247B4009" w14:textId="085B7528" w:rsidR="00953C56" w:rsidRPr="00DD0373" w:rsidRDefault="00953C56"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Algunos representantes preguntaron por el fuerte aumento, a partir de 2015, de la brecha entre las emisiones mundiales totales derivadas de registros atmosféricos y las obtenidas en función de la información notificada. El Sr. Campbell dijo que en esa época no habían aparecido nuevas industrias que pudiesen dar lugar a ese aumento de la brecha, pero el mecanismo para un desarrollo limpio del Protocolo de </w:t>
      </w:r>
      <w:proofErr w:type="spellStart"/>
      <w:r w:rsidRPr="00DD0373">
        <w:rPr>
          <w:lang w:val="es-ES_tradnl"/>
        </w:rPr>
        <w:t>Kyoto</w:t>
      </w:r>
      <w:proofErr w:type="spellEnd"/>
      <w:r w:rsidRPr="00DD0373">
        <w:rPr>
          <w:lang w:val="es-ES_tradnl"/>
        </w:rPr>
        <w:t xml:space="preserve"> de la Convención Marco de las Naciones Unidas sobre el Cambio Climático había dejado de funcionar en 2015. En ese momento, una región había adoptado una normativa que había provocado un fuerte descenso del precio de los créditos de HFC</w:t>
      </w:r>
      <w:r w:rsidRPr="00DD0373">
        <w:rPr>
          <w:lang w:val="es-ES_tradnl"/>
        </w:rPr>
        <w:noBreakHyphen/>
        <w:t>23. El orador aclaró que, en el marco del mecanismo para un desarrollo limpio, se generaban créditos a partir de la destrucción del HFC</w:t>
      </w:r>
      <w:r w:rsidRPr="00DD0373">
        <w:rPr>
          <w:lang w:val="es-ES_tradnl"/>
        </w:rPr>
        <w:noBreakHyphen/>
        <w:t>23 y que, con su cierre, quizás hubiese menos incentivos para seguir destruyéndolo. Sin embargo, uno de los miembros señaló que el cambio en el sistema de créditos no se produjo de forma instantánea y que los proyectos se fueron eliminando progresivamente a lo largo de varios años. Otro representante propuso que se estableciese algún tipo de mecanismo que sustituyese al mecanismo para un desarrollo limpio.</w:t>
      </w:r>
    </w:p>
    <w:p w14:paraId="27546626" w14:textId="15AE2FC6" w:rsidR="00953C56" w:rsidRPr="00DD0373" w:rsidRDefault="00953C56"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Un representante preguntó acerca de las discrepancias entre las estimaciones basadas en la información notificada y las estimaciones derivadas de las mediciones en la atmósfera para algunas zonas de China desde 2011 hasta la actualidad, información que se exponía en la figura 7 de la presentación del Grupo de Evaluación Científica. La Sra. Carpenter dijo que las cifras de las estimaciones derivadas de mediciones en la atmósfera se referían solo al este de China, mientras que las estimaciones basadas en la información notificada se referían a la totalidad del país. No había estimaciones de las emisiones de HFC</w:t>
      </w:r>
      <w:r w:rsidRPr="00DD0373">
        <w:rPr>
          <w:lang w:val="es-ES_tradnl"/>
        </w:rPr>
        <w:noBreakHyphen/>
        <w:t>23 para China en su conjunto. En respuesta a una pregunta sobre los puntos de vigilancia en China y la disponibilidad de datos al respecto, Stefan Reimann, miembro del Grupo de Evaluación Científica, confirmó que se habían recogido datos en China durante los últimos 15 a 20 años y que se habían utilizado para diversas publicaciones sobre varios gases. China había preparado una nueva publicación sobre las emisiones mundiales de HFC</w:t>
      </w:r>
      <w:r w:rsidRPr="00DD0373">
        <w:rPr>
          <w:lang w:val="es-ES_tradnl"/>
        </w:rPr>
        <w:noBreakHyphen/>
        <w:t>23, en la que se utilizaban datos de ese país. Poco a poco se iban conociendo nuevas mediciones procedentes de China.</w:t>
      </w:r>
    </w:p>
    <w:p w14:paraId="6BDF8137" w14:textId="70F1CD5E" w:rsidR="00953C56" w:rsidRPr="00DD0373" w:rsidRDefault="00953C56"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En respuesta a una observación sobre la ausencia de datos relativos a los Estados Unidos de América, la Sra. Carpenter dijo que de hecho se disponía de datos preliminares del país, pero que aún no se habían publicado. Una vez publicados, esos datos podrían aparecer en una presentación posterior del Grupo de Evaluación Científica. El representante de los Estados Unidos dio más detalles, </w:t>
      </w:r>
      <w:r w:rsidRPr="00DD0373">
        <w:rPr>
          <w:lang w:val="es-ES_tradnl"/>
        </w:rPr>
        <w:lastRenderedPageBreak/>
        <w:t>confirmados por la Sra. Carpenter, sobre los datos, que ya se habían hecho públicos. Los datos preliminares, no publicados, de 2018 a 2021, mostraban unas emisiones de 0,4 kilotoneladas al año.</w:t>
      </w:r>
    </w:p>
    <w:p w14:paraId="786D0AC5" w14:textId="38441626" w:rsidR="00953C56" w:rsidRPr="00DD0373" w:rsidRDefault="00953C56"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En respuesta a las preguntas de otros representantes sobre las posibles hipótesis futuras relativas al HFC</w:t>
      </w:r>
      <w:r w:rsidRPr="00DD0373">
        <w:rPr>
          <w:lang w:val="es-ES_tradnl"/>
        </w:rPr>
        <w:noBreakHyphen/>
        <w:t>23 y sobre si la oxidación atmosférica pasaría a ser un problema mayor, la Sra.</w:t>
      </w:r>
      <w:r w:rsidR="00AF6002" w:rsidRPr="00DD0373">
        <w:rPr>
          <w:lang w:val="es-ES_tradnl"/>
        </w:rPr>
        <w:t> </w:t>
      </w:r>
      <w:r w:rsidRPr="00DD0373">
        <w:rPr>
          <w:lang w:val="es-ES_tradnl"/>
        </w:rPr>
        <w:t xml:space="preserve">Carpenter dijo que los informes de evaluación correspondientes a 2026 de los Grupos contendrían tanto hipótesis generales sobre el futuro como proyecciones de la oxidación atmosférica derivada de las crecientes emisiones de </w:t>
      </w:r>
      <w:proofErr w:type="spellStart"/>
      <w:r w:rsidRPr="00DD0373">
        <w:rPr>
          <w:lang w:val="es-ES_tradnl"/>
        </w:rPr>
        <w:t>hidrofluoroo</w:t>
      </w:r>
      <w:r w:rsidR="001B1F1C" w:rsidRPr="00DD0373">
        <w:rPr>
          <w:lang w:val="es-ES_tradnl"/>
        </w:rPr>
        <w:t>l</w:t>
      </w:r>
      <w:r w:rsidRPr="00DD0373">
        <w:rPr>
          <w:lang w:val="es-ES_tradnl"/>
        </w:rPr>
        <w:t>efinas</w:t>
      </w:r>
      <w:proofErr w:type="spellEnd"/>
      <w:r w:rsidRPr="00DD0373">
        <w:rPr>
          <w:lang w:val="es-ES_tradnl"/>
        </w:rPr>
        <w:t xml:space="preserve"> (HFO) hasta 2100. La contribución de la oxidación atmosférica a las emisiones de HFC</w:t>
      </w:r>
      <w:r w:rsidRPr="00DD0373">
        <w:rPr>
          <w:lang w:val="es-ES_tradnl"/>
        </w:rPr>
        <w:noBreakHyphen/>
        <w:t>23 era extremadamente baja en comparación con las emisiones de HFC</w:t>
      </w:r>
      <w:r w:rsidRPr="00DD0373">
        <w:rPr>
          <w:lang w:val="es-ES_tradnl"/>
        </w:rPr>
        <w:noBreakHyphen/>
        <w:t>23 asociadas a la producción de HCFC</w:t>
      </w:r>
      <w:r w:rsidRPr="00DD0373">
        <w:rPr>
          <w:lang w:val="es-ES_tradnl"/>
        </w:rPr>
        <w:noBreakHyphen/>
        <w:t>22. El Sr. Campbell dijo que, aunque se suponía que los bajos niveles sugeridos por el Grupo de Evaluación Científica aumentarían, no se esperaba que el aumento fuese grande y se produciría lentamente.</w:t>
      </w:r>
    </w:p>
    <w:p w14:paraId="0A432812" w14:textId="3316C924" w:rsidR="00953C56" w:rsidRPr="00DD0373" w:rsidRDefault="00953C56"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A la pregunta de si las estimaciones de las emisiones de un país derivadas de las mediciones en la atmósfera podían atribuirse realmente a un solo país, en lugar de entender que eran transportadas por el viento desde otros lugares, el Sr. Reimann dijo que los modelos utilizados para calcular los niveles de emisiones estaban bien desarrollados, se basaban en modelos meteorológicos y se mejoraban continuamente con el tiempo, lo cual daba lugar a buen grado de fiabilidad de esos modelos. La Sra. Carpenter confirmó lo que tenía entendido un representante sobre las emisiones de</w:t>
      </w:r>
      <w:r w:rsidR="0051369B" w:rsidRPr="00DD0373">
        <w:rPr>
          <w:lang w:val="es-ES_tradnl"/>
        </w:rPr>
        <w:t> </w:t>
      </w:r>
      <w:r w:rsidRPr="00DD0373">
        <w:rPr>
          <w:lang w:val="es-ES_tradnl"/>
        </w:rPr>
        <w:t>HFC</w:t>
      </w:r>
      <w:r w:rsidRPr="00DD0373">
        <w:rPr>
          <w:lang w:val="es-ES_tradnl"/>
        </w:rPr>
        <w:noBreakHyphen/>
        <w:t>23: que se producían predominantemente en el hemisferio norte. Otro representante expresó su parecer de que se había alcanzado el umbral crítico para actuar en relación con las emisiones de</w:t>
      </w:r>
      <w:r w:rsidR="0051369B" w:rsidRPr="00DD0373">
        <w:rPr>
          <w:lang w:val="es-ES_tradnl"/>
        </w:rPr>
        <w:t> </w:t>
      </w:r>
      <w:r w:rsidRPr="00DD0373">
        <w:rPr>
          <w:lang w:val="es-ES_tradnl"/>
        </w:rPr>
        <w:t>HFC</w:t>
      </w:r>
      <w:r w:rsidRPr="00DD0373">
        <w:rPr>
          <w:lang w:val="es-ES_tradnl"/>
        </w:rPr>
        <w:noBreakHyphen/>
        <w:t>23.</w:t>
      </w:r>
    </w:p>
    <w:p w14:paraId="4D6501CC" w14:textId="69763867" w:rsidR="00953C56" w:rsidRPr="00DD0373" w:rsidRDefault="00953C56"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En respuesta a una pregunta sobre el origen de la información sobre las emisiones de HFC</w:t>
      </w:r>
      <w:r w:rsidRPr="00DD0373">
        <w:rPr>
          <w:lang w:val="es-ES_tradnl"/>
        </w:rPr>
        <w:noBreakHyphen/>
        <w:t>23 antes de la entrada en vigor de la Enmienda de Kigali, el Sr. Campbell dijo que había varias fuentes. Se podría obtener un cálculo global a partir de los datos sobre el HCFC</w:t>
      </w:r>
      <w:r w:rsidRPr="00DD0373">
        <w:rPr>
          <w:lang w:val="es-ES_tradnl"/>
        </w:rPr>
        <w:noBreakHyphen/>
        <w:t>22 presentados en virtud del artículo 7. También se disponía de abundantes datos procedentes de la presentación de información en el marco del mecanismo para un desarrollo limpio, incluidos datos precisos sobre la producción de HCFC</w:t>
      </w:r>
      <w:r w:rsidRPr="00DD0373">
        <w:rPr>
          <w:lang w:val="es-ES_tradnl"/>
        </w:rPr>
        <w:noBreakHyphen/>
        <w:t>22 y la destrucción de HFC</w:t>
      </w:r>
      <w:r w:rsidRPr="00DD0373">
        <w:rPr>
          <w:lang w:val="es-ES_tradnl"/>
        </w:rPr>
        <w:noBreakHyphen/>
        <w:t>23. Además, se tenían en cuenta distintas mediciones en emplazamientos.</w:t>
      </w:r>
    </w:p>
    <w:p w14:paraId="3702BEFC" w14:textId="67BD8729" w:rsidR="00953C56" w:rsidRPr="00DD0373" w:rsidRDefault="00953C56"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En respuesta a una pregunta sobre si se había realizado vigilancia en el vallado perimetral de alguna planta concreta, la Sra. Carpenter dijo que el Grupo de Evaluación Científica había hecho una medición en un vallado perimetral en el Reino de los Países Bajos, en una fábrica que producía HCFC</w:t>
      </w:r>
      <w:r w:rsidRPr="00DD0373">
        <w:rPr>
          <w:lang w:val="es-ES_tradnl"/>
        </w:rPr>
        <w:noBreakHyphen/>
        <w:t>22. La medición había sido bastante difícil de realizar y requirió mucho trabajo y dinero, ya que se utilizó un espectrómetro de masas con cromatografía de gases, del que solo había unos 20 en el</w:t>
      </w:r>
      <w:r w:rsidR="0051369B" w:rsidRPr="00DD0373">
        <w:rPr>
          <w:lang w:val="es-ES_tradnl"/>
        </w:rPr>
        <w:t> </w:t>
      </w:r>
      <w:r w:rsidRPr="00DD0373">
        <w:rPr>
          <w:lang w:val="es-ES_tradnl"/>
        </w:rPr>
        <w:t>mundo. De ellos, 15 estaban en uso realizando mediciones para la estimación de las emisiones mundiales. Por tanto, se necesitaban nuevos sistemas de medición.</w:t>
      </w:r>
    </w:p>
    <w:p w14:paraId="7F659525" w14:textId="43AEC4B0" w:rsidR="00953C56" w:rsidRPr="00DD0373" w:rsidRDefault="00953C56"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Un representante que habló en nombre de un grupo de países preguntó sobre la posibilidad de</w:t>
      </w:r>
      <w:r w:rsidR="00EC4C86" w:rsidRPr="00DD0373">
        <w:rPr>
          <w:lang w:val="es-ES_tradnl"/>
        </w:rPr>
        <w:t> </w:t>
      </w:r>
      <w:r w:rsidRPr="00DD0373">
        <w:rPr>
          <w:lang w:val="es-ES_tradnl"/>
        </w:rPr>
        <w:t>realizar muestreo en frascos en la valla perimetral. El Sr. Reimann dijo que, aunque el muestreo en</w:t>
      </w:r>
      <w:r w:rsidR="00EC4C86" w:rsidRPr="00DD0373">
        <w:rPr>
          <w:lang w:val="es-ES_tradnl"/>
        </w:rPr>
        <w:t> </w:t>
      </w:r>
      <w:r w:rsidRPr="00DD0373">
        <w:rPr>
          <w:lang w:val="es-ES_tradnl"/>
        </w:rPr>
        <w:t>frascos sería una posibilidad, al final seguiría siendo necesario un cromatógrafo de gases. Se necesitarían muchos frascos, ya que habría que tomar muestras al menos una vez al día. Sería posible,</w:t>
      </w:r>
      <w:r w:rsidR="00EC4C86" w:rsidRPr="00DD0373">
        <w:rPr>
          <w:lang w:val="es-ES_tradnl"/>
        </w:rPr>
        <w:t> </w:t>
      </w:r>
      <w:r w:rsidRPr="00DD0373">
        <w:rPr>
          <w:lang w:val="es-ES_tradnl"/>
        </w:rPr>
        <w:t>pero no barato.</w:t>
      </w:r>
    </w:p>
    <w:p w14:paraId="7717B735" w14:textId="4EA554A0" w:rsidR="00953C56" w:rsidRPr="00DD0373" w:rsidRDefault="00953C56"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A la pregunta de si el Grupo de Evaluación Tecnológica y Económica había examinado las emisiones de las líneas de producción intencional de HFC</w:t>
      </w:r>
      <w:r w:rsidRPr="00DD0373">
        <w:rPr>
          <w:lang w:val="es-ES_tradnl"/>
        </w:rPr>
        <w:noBreakHyphen/>
        <w:t>23 para su venta, el Sr. Campbell dijo que se había comunicado al Grupo, de manera oficiosa, que había al menos una, quizás dos, plantas que fabricaban específicamente HFC</w:t>
      </w:r>
      <w:r w:rsidRPr="00DD0373">
        <w:rPr>
          <w:lang w:val="es-ES_tradnl"/>
        </w:rPr>
        <w:noBreakHyphen/>
        <w:t xml:space="preserve">23. Los niveles producidos eran de cientos de toneladas y se destinaban a mercados específicos. El orador no tenía información sobre si las plantas empleaban técnicas de reducción. En respuesta a una pregunta complementaria sobre el modelo económico subyacente a la fabricación de cantidades tan pequeñas y sobre si en realidad se trataba de plantas mixtas, el Sr. Campbell dijo que le habían informado de la existencia de una pequeña unidad </w:t>
      </w:r>
      <w:proofErr w:type="spellStart"/>
      <w:r w:rsidRPr="00DD0373">
        <w:rPr>
          <w:lang w:val="es-ES_tradnl"/>
        </w:rPr>
        <w:t>semitecnológica</w:t>
      </w:r>
      <w:proofErr w:type="spellEnd"/>
      <w:r w:rsidRPr="00DD0373">
        <w:rPr>
          <w:lang w:val="es-ES_tradnl"/>
        </w:rPr>
        <w:t xml:space="preserve"> específica. En el pasado varias empresas habían puesto en marcha unidades </w:t>
      </w:r>
      <w:proofErr w:type="spellStart"/>
      <w:r w:rsidRPr="00DD0373">
        <w:rPr>
          <w:lang w:val="es-ES_tradnl"/>
        </w:rPr>
        <w:t>semitecnológicas</w:t>
      </w:r>
      <w:proofErr w:type="spellEnd"/>
      <w:r w:rsidRPr="00DD0373">
        <w:rPr>
          <w:lang w:val="es-ES_tradnl"/>
        </w:rPr>
        <w:t xml:space="preserve"> </w:t>
      </w:r>
      <w:r w:rsidR="0062596B" w:rsidRPr="00DD0373">
        <w:rPr>
          <w:lang w:val="es-ES_tradnl"/>
        </w:rPr>
        <w:t>con el fin de</w:t>
      </w:r>
      <w:r w:rsidRPr="00DD0373">
        <w:rPr>
          <w:lang w:val="es-ES_tradnl"/>
        </w:rPr>
        <w:t xml:space="preserve"> producir una sustancia necesaria para una industria, de modo que</w:t>
      </w:r>
      <w:r w:rsidR="0051369B" w:rsidRPr="00DD0373">
        <w:rPr>
          <w:lang w:val="es-ES_tradnl"/>
        </w:rPr>
        <w:t> </w:t>
      </w:r>
      <w:r w:rsidRPr="00DD0373">
        <w:rPr>
          <w:lang w:val="es-ES_tradnl"/>
        </w:rPr>
        <w:t>fuese</w:t>
      </w:r>
      <w:r w:rsidR="0051369B" w:rsidRPr="00DD0373">
        <w:rPr>
          <w:lang w:val="es-ES_tradnl"/>
        </w:rPr>
        <w:t> </w:t>
      </w:r>
      <w:r w:rsidRPr="00DD0373">
        <w:rPr>
          <w:lang w:val="es-ES_tradnl"/>
        </w:rPr>
        <w:t xml:space="preserve">económicamente viable. </w:t>
      </w:r>
    </w:p>
    <w:p w14:paraId="63DC5560" w14:textId="4AA6124C" w:rsidR="00953C56" w:rsidRPr="00DD0373" w:rsidRDefault="00953C56" w:rsidP="00352205">
      <w:pPr>
        <w:pStyle w:val="Normalnumber"/>
        <w:keepNext/>
        <w:keepLines/>
        <w:tabs>
          <w:tab w:val="clear" w:pos="1247"/>
          <w:tab w:val="clear" w:pos="1814"/>
          <w:tab w:val="clear" w:pos="2381"/>
          <w:tab w:val="clear" w:pos="2948"/>
          <w:tab w:val="clear" w:pos="3515"/>
        </w:tabs>
        <w:ind w:left="1247"/>
        <w:rPr>
          <w:lang w:val="es-ES_tradnl"/>
        </w:rPr>
      </w:pPr>
      <w:r w:rsidRPr="00DD0373">
        <w:rPr>
          <w:lang w:val="es-ES_tradnl"/>
        </w:rPr>
        <w:lastRenderedPageBreak/>
        <w:t>En respuesta a la pregunta sobre la generación de HFC</w:t>
      </w:r>
      <w:r w:rsidRPr="00DD0373">
        <w:rPr>
          <w:lang w:val="es-ES_tradnl"/>
        </w:rPr>
        <w:noBreakHyphen/>
        <w:t xml:space="preserve">23, el Sr. Campbell explicó que más del 90 % de las </w:t>
      </w:r>
      <w:r w:rsidR="00C17707">
        <w:rPr>
          <w:lang w:val="es-ES_tradnl"/>
        </w:rPr>
        <w:t>Partes</w:t>
      </w:r>
      <w:r w:rsidRPr="00DD0373">
        <w:rPr>
          <w:lang w:val="es-ES_tradnl"/>
        </w:rPr>
        <w:t xml:space="preserve"> habían informado sobre la producción de HCFC</w:t>
      </w:r>
      <w:r w:rsidRPr="00DD0373">
        <w:rPr>
          <w:lang w:val="es-ES_tradnl"/>
        </w:rPr>
        <w:noBreakHyphen/>
        <w:t>22. Una representante propuso que se perfeccionase el formulario para la presentación de datos sobre el HFC</w:t>
      </w:r>
      <w:r w:rsidRPr="00DD0373">
        <w:rPr>
          <w:lang w:val="es-ES_tradnl"/>
        </w:rPr>
        <w:noBreakHyphen/>
        <w:t>23 con el fin de garantizar que los Grupos obtuviesen la información necesaria para reducir la brecha en la notificación de emisiones. El Sr. Campbell se mostró muy satisfecho con la información ya recibida, que había permitido al Grupo de Evaluación Tecnológica y Económica mejorar su comprensión de la generación, emisión y usos del HFC</w:t>
      </w:r>
      <w:r w:rsidRPr="00DD0373">
        <w:rPr>
          <w:lang w:val="es-ES_tradnl"/>
        </w:rPr>
        <w:noBreakHyphen/>
        <w:t>23. No obstante, el Grupo desearía disponer de más información sobre el consumo de HFC</w:t>
      </w:r>
      <w:r w:rsidRPr="00DD0373">
        <w:rPr>
          <w:lang w:val="es-ES_tradnl"/>
        </w:rPr>
        <w:noBreakHyphen/>
        <w:t>23 en las tres zonas principales para poder afinar sus cifras. Sin embargo, el orador destacó que esa información no serviría para colmar la laguna en la notificación de emisiones. El Sr. Campbell también dijo que al Grupo le gustaría examinar las emisiones de HFC</w:t>
      </w:r>
      <w:r w:rsidRPr="00DD0373">
        <w:rPr>
          <w:lang w:val="es-ES_tradnl"/>
        </w:rPr>
        <w:noBreakHyphen/>
        <w:t>23 de las baterías de iones de litio.</w:t>
      </w:r>
    </w:p>
    <w:p w14:paraId="16C43E16" w14:textId="4CF5C008" w:rsidR="00953C56" w:rsidRPr="00DD0373" w:rsidRDefault="00953C56"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El Sr. Reimann facilitó más información sobre las estaciones de vigilancia en África y dijo que la única estación que realizaba mediciones relacionadas con la contaminación atmosférica y los gases de efecto invernadero en África era una estación recién construida en Rwanda. El orador esperaba con interés recibir sus datos sobre hidroclorofluorocarbonos (HCFC) y HFC para contribuir a las estimaciones regionales en el continente. El orador también señaló que, en el marco de otro proyecto financiado por la Unión Europea, podrían establecerse nuevas estaciones en todo el mundo, incluida África. En respuesta a una pregunta sobre la estación de Rwanda, la Sra. Carpenter explicó que se había instalado un año antes y que había datos disponibles en la red del Experimento Mundial Avanzado sobre Gases Atmosféricos (AGAGE), en la que colaboraban varias estaciones. Los datos se publicarían en breve.</w:t>
      </w:r>
    </w:p>
    <w:p w14:paraId="018E8F4A" w14:textId="637FC87B" w:rsidR="00953C56" w:rsidRPr="00DD0373" w:rsidRDefault="00953C56"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Un representante preguntó por qué el Grupo de Evaluación Tecnológica y Económica no había analizado y comparado las metodologías de las </w:t>
      </w:r>
      <w:r w:rsidR="00C17707">
        <w:rPr>
          <w:lang w:val="es-ES_tradnl"/>
        </w:rPr>
        <w:t>Partes</w:t>
      </w:r>
      <w:r w:rsidRPr="00DD0373">
        <w:rPr>
          <w:lang w:val="es-ES_tradnl"/>
        </w:rPr>
        <w:t xml:space="preserve"> para estimar, notificar y verificar las emisiones de HFC</w:t>
      </w:r>
      <w:r w:rsidRPr="00DD0373">
        <w:rPr>
          <w:lang w:val="es-ES_tradnl"/>
        </w:rPr>
        <w:noBreakHyphen/>
        <w:t xml:space="preserve">23 y formuló observaciones respecto de esa información. El orador preguntó si era algo que el Grupo podría hacer en el futuro. El Sr. Campbell explicó que no se había sentido capaz de concluir qué metodología era mejor, ya que había muchas diferentes. Por ejemplo, algunas </w:t>
      </w:r>
      <w:r w:rsidR="00C17707">
        <w:rPr>
          <w:lang w:val="es-ES_tradnl"/>
        </w:rPr>
        <w:t>Partes</w:t>
      </w:r>
      <w:r w:rsidRPr="00DD0373">
        <w:rPr>
          <w:lang w:val="es-ES_tradnl"/>
        </w:rPr>
        <w:t xml:space="preserve"> habían utilizado las directrices para la presentación de información sobre gases clorados de la Convención Marco de las Naciones Unidas sobre el Cambio Climático, lo que había dado lugar a algunas presentaciones muy detalladas. En respuesta a una observación de otro representante sobre el hecho de que los Grupos no hubiesen formulado ninguna recomendación sobre el camino a seguir en relación con las emisiones de HFC</w:t>
      </w:r>
      <w:r w:rsidRPr="00DD0373">
        <w:rPr>
          <w:lang w:val="es-ES_tradnl"/>
        </w:rPr>
        <w:noBreakHyphen/>
        <w:t xml:space="preserve">23, la Sra. Carpenter dijo que los Grupos hacían lo que se les encomendaba en virtud de las decisiones de las </w:t>
      </w:r>
      <w:r w:rsidR="00C17707">
        <w:rPr>
          <w:lang w:val="es-ES_tradnl"/>
        </w:rPr>
        <w:t>Partes</w:t>
      </w:r>
      <w:r w:rsidRPr="00DD0373">
        <w:rPr>
          <w:lang w:val="es-ES_tradnl"/>
        </w:rPr>
        <w:t>.</w:t>
      </w:r>
    </w:p>
    <w:p w14:paraId="551BAD53" w14:textId="3E903F48" w:rsidR="00953C56" w:rsidRPr="00DD0373" w:rsidRDefault="00953C56"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En respuesta a una pregunta sobre la inflamabilidad del HFC</w:t>
      </w:r>
      <w:r w:rsidRPr="00DD0373">
        <w:rPr>
          <w:lang w:val="es-ES_tradnl"/>
        </w:rPr>
        <w:noBreakHyphen/>
        <w:t>23 y su uso en refrigeración, el Sr. Campbell dijo que el HFC</w:t>
      </w:r>
      <w:r w:rsidRPr="00DD0373">
        <w:rPr>
          <w:lang w:val="es-ES_tradnl"/>
        </w:rPr>
        <w:noBreakHyphen/>
        <w:t>23 no era un gas inflamable; sin embargo, debido a sus propiedades, los beneficios en refrigeración se obtenían solo a temperaturas extremadamente bajas, como las necesarias para las vacunas iniciales contra la enfermedad por coronavirus (COVID</w:t>
      </w:r>
      <w:r w:rsidRPr="00DD0373">
        <w:rPr>
          <w:lang w:val="es-ES_tradnl"/>
        </w:rPr>
        <w:noBreakHyphen/>
        <w:t>19).</w:t>
      </w:r>
    </w:p>
    <w:p w14:paraId="574FC9F7" w14:textId="77777777" w:rsidR="00953C56" w:rsidRPr="00DD0373" w:rsidRDefault="00953C56"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En el debate que siguió a continuación, varios representantes agradecieron a los Grupos sus informes.</w:t>
      </w:r>
    </w:p>
    <w:p w14:paraId="2B03EA10" w14:textId="59726907" w:rsidR="00953C56" w:rsidRPr="00DD0373" w:rsidRDefault="00953C56"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Varios representantes expresaron preocupación por la brecha que seguía existiendo entre las estimaciones de las emisiones de HFC</w:t>
      </w:r>
      <w:r w:rsidRPr="00DD0373">
        <w:rPr>
          <w:lang w:val="es-ES_tradnl"/>
        </w:rPr>
        <w:noBreakHyphen/>
        <w:t>23 basadas en mediciones en la atmósfera y las basadas en la información notificada. Sin embargo, algunos representantes observaron que la brecha se había reducido a pesar del aumento de la producción de HCFC</w:t>
      </w:r>
      <w:r w:rsidRPr="00DD0373">
        <w:rPr>
          <w:lang w:val="es-ES_tradnl"/>
        </w:rPr>
        <w:noBreakHyphen/>
        <w:t>22.</w:t>
      </w:r>
    </w:p>
    <w:p w14:paraId="50373FC7" w14:textId="49F041EB" w:rsidR="00953C56" w:rsidRPr="00DD0373" w:rsidRDefault="00953C56" w:rsidP="00AB635F">
      <w:pPr>
        <w:pStyle w:val="Normalnumber"/>
        <w:tabs>
          <w:tab w:val="clear" w:pos="1247"/>
          <w:tab w:val="clear" w:pos="1814"/>
          <w:tab w:val="clear" w:pos="2381"/>
          <w:tab w:val="clear" w:pos="2948"/>
          <w:tab w:val="clear" w:pos="3515"/>
        </w:tabs>
        <w:ind w:left="1247"/>
        <w:rPr>
          <w:lang w:val="es-ES_tradnl"/>
        </w:rPr>
      </w:pPr>
      <w:r w:rsidRPr="00DD0373">
        <w:rPr>
          <w:lang w:val="es-ES_tradnl"/>
        </w:rPr>
        <w:t>Una representante expresó su parecer de que en el informe actualizado del Grupo de</w:t>
      </w:r>
      <w:r w:rsidR="00EC4C86" w:rsidRPr="00DD0373">
        <w:rPr>
          <w:lang w:val="es-ES_tradnl"/>
        </w:rPr>
        <w:t> </w:t>
      </w:r>
      <w:r w:rsidRPr="00DD0373">
        <w:rPr>
          <w:lang w:val="es-ES_tradnl"/>
        </w:rPr>
        <w:t>Evaluación Científica se presentaba la información de forma más objetiva, se evitaban interpretaciones</w:t>
      </w:r>
      <w:r w:rsidR="00EC4C86" w:rsidRPr="00DD0373">
        <w:rPr>
          <w:lang w:val="es-ES_tradnl"/>
        </w:rPr>
        <w:t> </w:t>
      </w:r>
      <w:r w:rsidRPr="00DD0373">
        <w:rPr>
          <w:lang w:val="es-ES_tradnl"/>
        </w:rPr>
        <w:t xml:space="preserve">causales que pudiesen prestarse a confusiones y se proporcionaban datos más completos y comparables sobre los países y regiones pertinentes. No obstante, la oradora consideró que la información seguía siendo muy limitada y que no se había producido ningún cambio sustancial en las conclusiones de los Grupos, lo que demostraba que las </w:t>
      </w:r>
      <w:r w:rsidR="00C17707">
        <w:rPr>
          <w:lang w:val="es-ES_tradnl"/>
        </w:rPr>
        <w:t>Partes</w:t>
      </w:r>
      <w:r w:rsidRPr="00DD0373">
        <w:rPr>
          <w:lang w:val="es-ES_tradnl"/>
        </w:rPr>
        <w:t xml:space="preserve"> tenían dificultades a la hora de estimar las emisiones de HFC</w:t>
      </w:r>
      <w:r w:rsidRPr="00DD0373">
        <w:rPr>
          <w:lang w:val="es-ES_tradnl"/>
        </w:rPr>
        <w:noBreakHyphen/>
        <w:t>23 y presentar informes al respecto. Era preciso seguir investigando para que la comunidad internacional comprendiese mejor las fuentes, la escala y los mecanismos de las emisiones de HFC</w:t>
      </w:r>
      <w:r w:rsidRPr="00DD0373">
        <w:rPr>
          <w:lang w:val="es-ES_tradnl"/>
        </w:rPr>
        <w:noBreakHyphen/>
        <w:t>23.</w:t>
      </w:r>
    </w:p>
    <w:p w14:paraId="72969892" w14:textId="64C05446" w:rsidR="00953C56"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Un representante expresó su parecer de que, mientras la brecha fuese tan grande como en esos</w:t>
      </w:r>
      <w:r w:rsidR="0051369B" w:rsidRPr="00DD0373">
        <w:rPr>
          <w:lang w:val="es-ES_tradnl"/>
        </w:rPr>
        <w:t> </w:t>
      </w:r>
      <w:r w:rsidRPr="00DD0373">
        <w:rPr>
          <w:lang w:val="es-ES_tradnl"/>
        </w:rPr>
        <w:t xml:space="preserve">momentos, la cuestión debería permanecer en el programa de las Reuniones de las </w:t>
      </w:r>
      <w:r w:rsidR="00C17707">
        <w:rPr>
          <w:lang w:val="es-ES_tradnl"/>
        </w:rPr>
        <w:t>Partes</w:t>
      </w:r>
      <w:r w:rsidRPr="00DD0373">
        <w:rPr>
          <w:lang w:val="es-ES_tradnl"/>
        </w:rPr>
        <w:t>. Otra</w:t>
      </w:r>
      <w:r w:rsidR="00EC4C86" w:rsidRPr="00DD0373">
        <w:rPr>
          <w:lang w:val="es-ES_tradnl"/>
        </w:rPr>
        <w:t> </w:t>
      </w:r>
      <w:r w:rsidRPr="00DD0373">
        <w:rPr>
          <w:lang w:val="es-ES_tradnl"/>
        </w:rPr>
        <w:t xml:space="preserve">representante dijo que las </w:t>
      </w:r>
      <w:r w:rsidR="00C17707">
        <w:rPr>
          <w:lang w:val="es-ES_tradnl"/>
        </w:rPr>
        <w:t>Partes</w:t>
      </w:r>
      <w:r w:rsidRPr="00DD0373">
        <w:rPr>
          <w:lang w:val="es-ES_tradnl"/>
        </w:rPr>
        <w:t xml:space="preserve"> deberían estar abiertas a volver a examinar supuestos pasados, explorar nuevos enfoques de investigación y reconocer que el descubrimiento científico requería tiempo, paciencia y una actitud serena y rigurosa.</w:t>
      </w:r>
    </w:p>
    <w:p w14:paraId="16680CBB" w14:textId="220DCDD2" w:rsidR="00953C56"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Un representante quería entender mejor las metodologías utilizadas por las </w:t>
      </w:r>
      <w:r w:rsidR="00C17707">
        <w:rPr>
          <w:lang w:val="es-ES_tradnl"/>
        </w:rPr>
        <w:t>Partes</w:t>
      </w:r>
      <w:r w:rsidRPr="00DD0373">
        <w:rPr>
          <w:lang w:val="es-ES_tradnl"/>
        </w:rPr>
        <w:t xml:space="preserve"> para estimar sus emisiones de HFC</w:t>
      </w:r>
      <w:r w:rsidRPr="00DD0373">
        <w:rPr>
          <w:lang w:val="es-ES_tradnl"/>
        </w:rPr>
        <w:noBreakHyphen/>
        <w:t xml:space="preserve">23 y notificarlas. El orador preguntó si el Grupo de Evaluación Tecnológica y </w:t>
      </w:r>
      <w:r w:rsidRPr="00DD0373">
        <w:rPr>
          <w:lang w:val="es-ES_tradnl"/>
        </w:rPr>
        <w:lastRenderedPageBreak/>
        <w:t xml:space="preserve">Económica podía explicar en términos sencillos en qué diferían los enfoques entre las distintas </w:t>
      </w:r>
      <w:r w:rsidR="00C17707">
        <w:rPr>
          <w:lang w:val="es-ES_tradnl"/>
        </w:rPr>
        <w:t>partes</w:t>
      </w:r>
      <w:r w:rsidRPr="00DD0373">
        <w:rPr>
          <w:lang w:val="es-ES_tradnl"/>
        </w:rPr>
        <w:t>, ya que la brecha quizás podía atribuirse, en parte, a la forma en que se calculaban las emisiones.</w:t>
      </w:r>
    </w:p>
    <w:p w14:paraId="30BD26CB" w14:textId="2EEE22EF" w:rsidR="00953C56"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Algunos representantes instaron a las </w:t>
      </w:r>
      <w:r w:rsidR="00C17707">
        <w:rPr>
          <w:lang w:val="es-ES_tradnl"/>
        </w:rPr>
        <w:t>Partes</w:t>
      </w:r>
      <w:r w:rsidRPr="00DD0373">
        <w:rPr>
          <w:lang w:val="es-ES_tradnl"/>
        </w:rPr>
        <w:t xml:space="preserve"> que aún no lo hubiesen hecho a que facilitasen información sobre el consumo de HFC</w:t>
      </w:r>
      <w:r w:rsidRPr="00DD0373">
        <w:rPr>
          <w:lang w:val="es-ES_tradnl"/>
        </w:rPr>
        <w:noBreakHyphen/>
        <w:t xml:space="preserve">23 para que la utilizase el Grupo de Evaluación Tecnológica y Económica. Una representante pidió aclaraciones sobre la multiplicación por diez del tonelaje notificado por una de las </w:t>
      </w:r>
      <w:r w:rsidR="00C17707">
        <w:rPr>
          <w:lang w:val="es-ES_tradnl"/>
        </w:rPr>
        <w:t>Partes</w:t>
      </w:r>
      <w:r w:rsidRPr="00DD0373">
        <w:rPr>
          <w:lang w:val="es-ES_tradnl"/>
        </w:rPr>
        <w:t xml:space="preserve"> desde el año anterior. Algunos representantes afirmaron que para superar la brecha se precisaba más cooperación entre el Norte Global y el Sur Global; era importante prestar apoyo técnico a los países sin ampliar el alcance de la decisión XXXVI/3, y era necesario tener en cuenta las condiciones específicas y las capacidades de los países en desarrollo. Un representante dijo que se necesitaba una definición más clara de producción. El orador también dijo que la actualización de los datos sobre materias primas y sobre la destrucción de subproductos iba más allá</w:t>
      </w:r>
      <w:r w:rsidR="0051369B" w:rsidRPr="00DD0373">
        <w:rPr>
          <w:lang w:val="es-ES_tradnl"/>
        </w:rPr>
        <w:t> </w:t>
      </w:r>
      <w:r w:rsidRPr="00DD0373">
        <w:rPr>
          <w:lang w:val="es-ES_tradnl"/>
        </w:rPr>
        <w:t>del ámbito de aplicación de la decisión XXXVI/3.</w:t>
      </w:r>
    </w:p>
    <w:p w14:paraId="638610D0" w14:textId="708524A9" w:rsidR="00953C56"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Una representante explicó los amplios esfuerzos realizados por el Gobierno, el sector privado y</w:t>
      </w:r>
      <w:r w:rsidR="0051369B" w:rsidRPr="00DD0373">
        <w:rPr>
          <w:lang w:val="es-ES_tradnl"/>
        </w:rPr>
        <w:t> </w:t>
      </w:r>
      <w:r w:rsidRPr="00DD0373">
        <w:rPr>
          <w:lang w:val="es-ES_tradnl"/>
        </w:rPr>
        <w:t xml:space="preserve">el mundo académico de su país para determinar las causas de las emisiones de HFC y encontrar soluciones, incluida la verificación </w:t>
      </w:r>
      <w:r w:rsidRPr="00DD0373">
        <w:rPr>
          <w:i/>
          <w:iCs/>
          <w:lang w:val="es-ES_tradnl"/>
        </w:rPr>
        <w:t>in situ</w:t>
      </w:r>
      <w:r w:rsidRPr="00DD0373">
        <w:rPr>
          <w:lang w:val="es-ES_tradnl"/>
        </w:rPr>
        <w:t xml:space="preserve"> e independiente de todas las empresas conocidas que generaban HFC</w:t>
      </w:r>
      <w:r w:rsidRPr="00DD0373">
        <w:rPr>
          <w:lang w:val="es-ES_tradnl"/>
        </w:rPr>
        <w:noBreakHyphen/>
        <w:t>23; consultas técnicas con expertos del sector; el desarrollo de directrices técnicas para determinar y notificar las emisiones del subproducto HFC</w:t>
      </w:r>
      <w:r w:rsidRPr="00DD0373">
        <w:rPr>
          <w:lang w:val="es-ES_tradnl"/>
        </w:rPr>
        <w:noBreakHyphen/>
        <w:t>23 en las instalaciones de producción de HCFC</w:t>
      </w:r>
      <w:r w:rsidRPr="00DD0373">
        <w:rPr>
          <w:lang w:val="es-ES_tradnl"/>
        </w:rPr>
        <w:noBreakHyphen/>
        <w:t>22, y la colaboración entre instituciones de investigación, incluido el desarrollo de tecnología. Además, un fabricante había construido y puesto en funcionamiento la primera instalación industrial del mundo que convertía HFC</w:t>
      </w:r>
      <w:r w:rsidRPr="00DD0373">
        <w:rPr>
          <w:lang w:val="es-ES_tradnl"/>
        </w:rPr>
        <w:noBreakHyphen/>
        <w:t>23 en HCFC</w:t>
      </w:r>
      <w:r w:rsidRPr="00DD0373">
        <w:rPr>
          <w:lang w:val="es-ES_tradnl"/>
        </w:rPr>
        <w:noBreakHyphen/>
        <w:t>22. Otro representante expresó aprecio por todos los esfuerzos del país.</w:t>
      </w:r>
    </w:p>
    <w:p w14:paraId="55131EEB" w14:textId="14E0FD9E"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Posteriormente, el representante de los Estados Unidos facilitó más información sobre los datos de su país. El orador reiteró que la Oficina Nacional de Administración Oceánica y Atmosférica de los Estados Unidos estaba preparándose para publicar los datos de un estudio sobre las emisiones de HFC</w:t>
      </w:r>
      <w:r w:rsidRPr="00DD0373">
        <w:rPr>
          <w:lang w:val="es-ES_tradnl"/>
        </w:rPr>
        <w:noBreakHyphen/>
        <w:t>23 correspondientes al período 2018–2021. Los datos mostraban alrededor de 0,4 kilotoneladas al año derivadas de la atmósfera, en comparación con los datos comunicados de 0,31 kilotoneladas al año procedentes de instalaciones de fabricación concretas, dentro de la barra de error</w:t>
      </w:r>
      <w:r w:rsidR="0051369B" w:rsidRPr="00DD0373">
        <w:rPr>
          <w:lang w:val="es-ES_tradnl"/>
        </w:rPr>
        <w:t> </w:t>
      </w:r>
      <w:r w:rsidRPr="00DD0373">
        <w:rPr>
          <w:lang w:val="es-ES_tradnl"/>
        </w:rPr>
        <w:t xml:space="preserve">de las estimaciones atmosféricas. En relación con la referencia de una delegación a las 0,04 kilotoneladas comunicadas por los Estados Unidos para 2023, que procedían únicamente de fuentes industriales, el representante de los Estados Unidos explicó que el hecho de que esa cifra fuese considerablemente inferior se debía a las medidas nacionales adoptadas después de los años de </w:t>
      </w:r>
      <w:r w:rsidR="00F9070E" w:rsidRPr="00DD0373">
        <w:rPr>
          <w:lang w:val="es-ES_tradnl"/>
        </w:rPr>
        <w:t xml:space="preserve">los </w:t>
      </w:r>
      <w:r w:rsidRPr="00DD0373">
        <w:rPr>
          <w:lang w:val="es-ES_tradnl"/>
        </w:rPr>
        <w:t>datos presentados por la Oficina Nacional de Administración Oceánica y Atmosférica. Los Estados Unidos habían ratificado la Enmienda de Kigali en octubre de 2022 y en ese momento estaban aplicándola.</w:t>
      </w:r>
    </w:p>
    <w:p w14:paraId="59960D76" w14:textId="2EEC5E13"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Un representante recordó que se estaba trabajando en el HFC</w:t>
      </w:r>
      <w:r w:rsidRPr="00DD0373">
        <w:rPr>
          <w:lang w:val="es-ES_tradnl"/>
        </w:rPr>
        <w:noBreakHyphen/>
        <w:t>23 en el marco del Fondo Multilateral. El Comité Ejecutivo había aprobado proyectos relacionados con 1 línea de producción de</w:t>
      </w:r>
      <w:r w:rsidR="00EC4C86" w:rsidRPr="00DD0373">
        <w:rPr>
          <w:lang w:val="es-ES_tradnl"/>
        </w:rPr>
        <w:t> </w:t>
      </w:r>
      <w:r w:rsidRPr="00DD0373">
        <w:rPr>
          <w:lang w:val="es-ES_tradnl"/>
        </w:rPr>
        <w:t>HCFC</w:t>
      </w:r>
      <w:r w:rsidRPr="00DD0373">
        <w:rPr>
          <w:lang w:val="es-ES_tradnl"/>
        </w:rPr>
        <w:noBreakHyphen/>
        <w:t>22 en la Argentina y 2 líneas en México, cuya ejecución estaba resultando provechosa puesto que se estaban reduciendo las emisiones de HFC</w:t>
      </w:r>
      <w:r w:rsidRPr="00DD0373">
        <w:rPr>
          <w:lang w:val="es-ES_tradnl"/>
        </w:rPr>
        <w:noBreakHyphen/>
        <w:t>23 de las 3 líneas. El orador expresó su agradecimiento a los dos países y a los organismos de ejecución.</w:t>
      </w:r>
    </w:p>
    <w:p w14:paraId="6C8F5DE0" w14:textId="5C007538"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Un representante se sumó a los oradores anteriores para destacar la importancia de abordar los</w:t>
      </w:r>
      <w:r w:rsidR="00EC4C86" w:rsidRPr="00DD0373">
        <w:rPr>
          <w:lang w:val="es-ES_tradnl"/>
        </w:rPr>
        <w:t> </w:t>
      </w:r>
      <w:r w:rsidRPr="00DD0373">
        <w:rPr>
          <w:lang w:val="es-ES_tradnl"/>
        </w:rPr>
        <w:t xml:space="preserve">niveles de emisiones elevados y la desconexión entre las emisiones notificadas y las derivadas de modelos inversos. Según este orador, era sumamente importante tener en cuenta las metodologías empleadas por las </w:t>
      </w:r>
      <w:r w:rsidR="00C17707">
        <w:rPr>
          <w:lang w:val="es-ES_tradnl"/>
        </w:rPr>
        <w:t>Partes</w:t>
      </w:r>
      <w:r w:rsidRPr="00DD0373">
        <w:rPr>
          <w:lang w:val="es-ES_tradnl"/>
        </w:rPr>
        <w:t xml:space="preserve"> para estimar y notificar las emisiones, así como otros detalles técnicos, pero</w:t>
      </w:r>
      <w:r w:rsidR="00A94CC4" w:rsidRPr="00DD0373">
        <w:rPr>
          <w:lang w:val="es-ES_tradnl"/>
        </w:rPr>
        <w:t> </w:t>
      </w:r>
      <w:r w:rsidRPr="00DD0373">
        <w:rPr>
          <w:lang w:val="es-ES_tradnl"/>
        </w:rPr>
        <w:t xml:space="preserve">las </w:t>
      </w:r>
      <w:r w:rsidR="00BE747D">
        <w:rPr>
          <w:lang w:val="es-ES_tradnl"/>
        </w:rPr>
        <w:t>Partes</w:t>
      </w:r>
      <w:r w:rsidRPr="00DD0373">
        <w:rPr>
          <w:lang w:val="es-ES_tradnl"/>
        </w:rPr>
        <w:t xml:space="preserve"> debían adoptar medidas más firmes para evitar socavar los logros anteriores del Protocolo de</w:t>
      </w:r>
      <w:r w:rsidR="00A94CC4" w:rsidRPr="00DD0373">
        <w:rPr>
          <w:lang w:val="es-ES_tradnl"/>
        </w:rPr>
        <w:t> </w:t>
      </w:r>
      <w:r w:rsidRPr="00DD0373">
        <w:rPr>
          <w:lang w:val="es-ES_tradnl"/>
        </w:rPr>
        <w:t>Montreal, tal y como habían hecho en respuesta a las emisiones inesperadas de clorofluorocarbono</w:t>
      </w:r>
      <w:r w:rsidRPr="00DD0373">
        <w:rPr>
          <w:lang w:val="es-ES_tradnl"/>
        </w:rPr>
        <w:noBreakHyphen/>
        <w:t>11 (CFC</w:t>
      </w:r>
      <w:r w:rsidRPr="00DD0373">
        <w:rPr>
          <w:lang w:val="es-ES_tradnl"/>
        </w:rPr>
        <w:noBreakHyphen/>
        <w:t>11).</w:t>
      </w:r>
    </w:p>
    <w:p w14:paraId="53115DCC" w14:textId="2A87A2DC"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El representante del Canadá presentó una propuesta de proyecto de decisión presentada por el</w:t>
      </w:r>
      <w:r w:rsidR="00A94CC4" w:rsidRPr="00DD0373">
        <w:rPr>
          <w:lang w:val="es-ES_tradnl"/>
        </w:rPr>
        <w:t> </w:t>
      </w:r>
      <w:r w:rsidRPr="00DD0373">
        <w:rPr>
          <w:lang w:val="es-ES_tradnl"/>
        </w:rPr>
        <w:t>Canadá, Noruega, Suiza y la Unión Europea, que figuraba en un documento de sesión. El orador explicó que se había solicitado al Grupo de Evaluación Científica y al Grupo de Evaluación Tecnológica y Económica que actualizasen sus informes de la decisión XXXVI/3 para reflejar cualquier información adicional o nueva. El orador esperaba que las actualizaciones no fuesen sustanciales. También se solicitó al Grupo de Evaluación Tecnológica y Económica que facilitase una</w:t>
      </w:r>
      <w:r w:rsidR="00A94CC4" w:rsidRPr="00DD0373">
        <w:rPr>
          <w:lang w:val="es-ES_tradnl"/>
        </w:rPr>
        <w:t> </w:t>
      </w:r>
      <w:r w:rsidRPr="00DD0373">
        <w:rPr>
          <w:lang w:val="es-ES_tradnl"/>
        </w:rPr>
        <w:t>descripción y comparación de las metodologías para estimar el HFC</w:t>
      </w:r>
      <w:r w:rsidRPr="00DD0373">
        <w:rPr>
          <w:lang w:val="es-ES_tradnl"/>
        </w:rPr>
        <w:noBreakHyphen/>
        <w:t>23 que habían presentado las</w:t>
      </w:r>
      <w:r w:rsidR="00A94CC4" w:rsidRPr="00DD0373">
        <w:rPr>
          <w:lang w:val="es-ES_tradnl"/>
        </w:rPr>
        <w:t> </w:t>
      </w:r>
      <w:r w:rsidR="00BE747D">
        <w:rPr>
          <w:lang w:val="es-ES_tradnl"/>
        </w:rPr>
        <w:t>Partes</w:t>
      </w:r>
      <w:r w:rsidRPr="00DD0373">
        <w:rPr>
          <w:lang w:val="es-ES_tradnl"/>
        </w:rPr>
        <w:t xml:space="preserve">. El orador reconoció que la información adicional no permitiría a las </w:t>
      </w:r>
      <w:r w:rsidR="00BE747D">
        <w:rPr>
          <w:lang w:val="es-ES_tradnl"/>
        </w:rPr>
        <w:t>Partes</w:t>
      </w:r>
      <w:r w:rsidRPr="00DD0373">
        <w:rPr>
          <w:lang w:val="es-ES_tradnl"/>
        </w:rPr>
        <w:t xml:space="preserve"> resolver la discrepancia, pero los proponentes consideraron importante que las </w:t>
      </w:r>
      <w:r w:rsidR="00BE747D">
        <w:rPr>
          <w:lang w:val="es-ES_tradnl"/>
        </w:rPr>
        <w:t>Partes</w:t>
      </w:r>
      <w:r w:rsidRPr="00DD0373">
        <w:rPr>
          <w:lang w:val="es-ES_tradnl"/>
        </w:rPr>
        <w:t xml:space="preserve"> comprendiesen cómo se estimaban, notificaban y verificaban las emisiones. La idea que subyacía a la comparación no era que el Grupo analizase qué metodologías eran mejores, sino simplemente que señalase las diferencias entre ellas. También se solicitó al Grupo que describiese los elementos clave de las metodologías empleadas en el marco del mecanismo para un desarrollo limpio previsto en el artículo 12 del Protocolo de </w:t>
      </w:r>
      <w:proofErr w:type="spellStart"/>
      <w:r w:rsidRPr="00DD0373">
        <w:rPr>
          <w:lang w:val="es-ES_tradnl"/>
        </w:rPr>
        <w:lastRenderedPageBreak/>
        <w:t>Kyoto</w:t>
      </w:r>
      <w:proofErr w:type="spellEnd"/>
      <w:r w:rsidRPr="00DD0373">
        <w:rPr>
          <w:lang w:val="es-ES_tradnl"/>
        </w:rPr>
        <w:t>; que sugiriese mejores prácticas para estimar las emisiones de HFC</w:t>
      </w:r>
      <w:r w:rsidRPr="00DD0373">
        <w:rPr>
          <w:lang w:val="es-ES_tradnl"/>
        </w:rPr>
        <w:noBreakHyphen/>
        <w:t>23 procedentes de la producción de HCFC</w:t>
      </w:r>
      <w:r w:rsidRPr="00DD0373">
        <w:rPr>
          <w:lang w:val="es-ES_tradnl"/>
        </w:rPr>
        <w:noBreakHyphen/>
        <w:t>22, y que facilitase una indicación de los niveles de HCFC</w:t>
      </w:r>
      <w:r w:rsidRPr="00DD0373">
        <w:rPr>
          <w:lang w:val="es-ES_tradnl"/>
        </w:rPr>
        <w:noBreakHyphen/>
        <w:t>22, cuando hubiese tres o más instalaciones de producción, y de producción y generación de HFC</w:t>
      </w:r>
      <w:r w:rsidRPr="00DD0373">
        <w:rPr>
          <w:lang w:val="es-ES_tradnl"/>
        </w:rPr>
        <w:noBreakHyphen/>
        <w:t>23 desglosados por país o región, junto con las concentraciones en la atmósfera de HFC</w:t>
      </w:r>
      <w:r w:rsidRPr="00DD0373">
        <w:rPr>
          <w:lang w:val="es-ES_tradnl"/>
        </w:rPr>
        <w:noBreakHyphen/>
        <w:t>23 medidas sobre los mismos países o regiones y comunicadas por el Grupo de Evaluación Científica, cuando estuviesen disponibles, e indicase, en la medida de lo posible, la contribución relativa de cada país o región al total de emisiones de HFC</w:t>
      </w:r>
      <w:r w:rsidRPr="00DD0373">
        <w:rPr>
          <w:lang w:val="es-ES_tradnl"/>
        </w:rPr>
        <w:noBreakHyphen/>
        <w:t>23 medidas en la atmósfera. En su informe, el Grupo había incluido una comparación entre las emisiones medidas y las emisiones notificadas de distintos países y regiones, pero no quedaba claro cuáles eran los niveles reales de producción de HCFC</w:t>
      </w:r>
      <w:r w:rsidRPr="00DD0373">
        <w:rPr>
          <w:lang w:val="es-ES_tradnl"/>
        </w:rPr>
        <w:noBreakHyphen/>
        <w:t>22 y de producción secundaria de HFC</w:t>
      </w:r>
      <w:r w:rsidRPr="00DD0373">
        <w:rPr>
          <w:lang w:val="es-ES_tradnl"/>
        </w:rPr>
        <w:noBreakHyphen/>
        <w:t>23 en</w:t>
      </w:r>
      <w:r w:rsidR="00A94CC4" w:rsidRPr="00DD0373">
        <w:rPr>
          <w:lang w:val="es-ES_tradnl"/>
        </w:rPr>
        <w:t> </w:t>
      </w:r>
      <w:r w:rsidRPr="00DD0373">
        <w:rPr>
          <w:lang w:val="es-ES_tradnl"/>
        </w:rPr>
        <w:t xml:space="preserve">esas regiones. En el proyecto de decisión se invitaba a las </w:t>
      </w:r>
      <w:r w:rsidR="00BE747D">
        <w:rPr>
          <w:lang w:val="es-ES_tradnl"/>
        </w:rPr>
        <w:t>Partes</w:t>
      </w:r>
      <w:r w:rsidRPr="00DD0373">
        <w:rPr>
          <w:lang w:val="es-ES_tradnl"/>
        </w:rPr>
        <w:t xml:space="preserve"> que tuviesen instalaciones de producción de HCFC</w:t>
      </w:r>
      <w:r w:rsidRPr="00DD0373">
        <w:rPr>
          <w:lang w:val="es-ES_tradnl"/>
        </w:rPr>
        <w:noBreakHyphen/>
        <w:t xml:space="preserve">22 y que no hubiesen presentado información al respecto a que la presentasen antes del 31 de marzo de 2026. Se instó a las </w:t>
      </w:r>
      <w:r w:rsidR="00C17707">
        <w:rPr>
          <w:lang w:val="es-ES_tradnl"/>
        </w:rPr>
        <w:t>Partes</w:t>
      </w:r>
      <w:r w:rsidRPr="00DD0373">
        <w:rPr>
          <w:lang w:val="es-ES_tradnl"/>
        </w:rPr>
        <w:t xml:space="preserve"> que producían o generaban HFC</w:t>
      </w:r>
      <w:r w:rsidRPr="00DD0373">
        <w:rPr>
          <w:lang w:val="es-ES_tradnl"/>
        </w:rPr>
        <w:noBreakHyphen/>
        <w:t>23 a que comunicasen datos sobre las cantidades de HFC</w:t>
      </w:r>
      <w:r w:rsidRPr="00DD0373">
        <w:rPr>
          <w:lang w:val="es-ES_tradnl"/>
        </w:rPr>
        <w:noBreakHyphen/>
        <w:t>23 generadas, capturadas, utilizadas, destruidas y almacenadas; a que velasen por que el HFC</w:t>
      </w:r>
      <w:r w:rsidRPr="00DD0373">
        <w:rPr>
          <w:lang w:val="es-ES_tradnl"/>
        </w:rPr>
        <w:noBreakHyphen/>
        <w:t xml:space="preserve">23 se destruyese de manera efectiva y </w:t>
      </w:r>
      <w:proofErr w:type="spellStart"/>
      <w:r w:rsidRPr="00DD0373">
        <w:rPr>
          <w:lang w:val="es-ES_tradnl"/>
        </w:rPr>
        <w:t>por que</w:t>
      </w:r>
      <w:proofErr w:type="spellEnd"/>
      <w:r w:rsidRPr="00DD0373">
        <w:rPr>
          <w:lang w:val="es-ES_tradnl"/>
        </w:rPr>
        <w:t xml:space="preserve"> contasen con programas adecuados de gestión y reparación de fugas, así como con un proceso eficaz de supervisión, notificación y verificación, y a que considerasen la posibilidad de llevar a cabo un seguimiento específico de los </w:t>
      </w:r>
      <w:r w:rsidR="00955248" w:rsidRPr="00DD0373">
        <w:rPr>
          <w:lang w:val="es-ES_tradnl"/>
        </w:rPr>
        <w:t>emplazamientos</w:t>
      </w:r>
      <w:r w:rsidRPr="00DD0373">
        <w:rPr>
          <w:lang w:val="es-ES_tradnl"/>
        </w:rPr>
        <w:t xml:space="preserve"> en regiones en que se hubiesen detectado emisiones elevadas o en que se ubicasen grandes instalaciones de producción de HCFC</w:t>
      </w:r>
      <w:r w:rsidRPr="00DD0373">
        <w:rPr>
          <w:lang w:val="es-ES_tradnl"/>
        </w:rPr>
        <w:noBreakHyphen/>
        <w:t>22.</w:t>
      </w:r>
      <w:bookmarkStart w:id="4" w:name="_Hlk213230735"/>
      <w:bookmarkEnd w:id="4"/>
    </w:p>
    <w:p w14:paraId="5C484C06" w14:textId="6C6E3030"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La representante de Noruega, como proponente del proyecto de decisión, señaló que, si bien varias </w:t>
      </w:r>
      <w:r w:rsidR="00C17707">
        <w:rPr>
          <w:lang w:val="es-ES_tradnl"/>
        </w:rPr>
        <w:t>Partes</w:t>
      </w:r>
      <w:r w:rsidRPr="00DD0373">
        <w:rPr>
          <w:lang w:val="es-ES_tradnl"/>
        </w:rPr>
        <w:t xml:space="preserve"> estaban realizando grandes esfuerzos para mejorar la comprensión colectiva de la cuestión y facilitando información a fin de favorecer la labor de los </w:t>
      </w:r>
      <w:r w:rsidR="00F41509" w:rsidRPr="00DD0373">
        <w:rPr>
          <w:lang w:val="es-ES_tradnl"/>
        </w:rPr>
        <w:t>grupos</w:t>
      </w:r>
      <w:r w:rsidRPr="00DD0373">
        <w:rPr>
          <w:lang w:val="es-ES_tradnl"/>
        </w:rPr>
        <w:t xml:space="preserve"> de evaluación, estaban lejos de comprender claramente las causas subyacentes de las importantes discrepancias señaladas por</w:t>
      </w:r>
      <w:r w:rsidR="00A94CC4" w:rsidRPr="00DD0373">
        <w:rPr>
          <w:lang w:val="es-ES_tradnl"/>
        </w:rPr>
        <w:t> </w:t>
      </w:r>
      <w:r w:rsidRPr="00DD0373">
        <w:rPr>
          <w:lang w:val="es-ES_tradnl"/>
        </w:rPr>
        <w:t xml:space="preserve">los grupos. Aquella era una preocupación importante para su Parte, y era esencial que las </w:t>
      </w:r>
      <w:r w:rsidR="00C17707">
        <w:rPr>
          <w:lang w:val="es-ES_tradnl"/>
        </w:rPr>
        <w:t>Partes</w:t>
      </w:r>
      <w:r w:rsidRPr="00DD0373">
        <w:rPr>
          <w:lang w:val="es-ES_tradnl"/>
        </w:rPr>
        <w:t xml:space="preserve"> siguiesen colaborando a fin de explicar mejor y solventar esas discrepancias.</w:t>
      </w:r>
    </w:p>
    <w:p w14:paraId="5C99781E" w14:textId="086CC9BF"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El representante de la Unión Europea, como proponente del proyecto de decisión, reconoció la</w:t>
      </w:r>
      <w:r w:rsidR="00A94CC4" w:rsidRPr="00DD0373">
        <w:rPr>
          <w:lang w:val="es-ES_tradnl"/>
        </w:rPr>
        <w:t> </w:t>
      </w:r>
      <w:r w:rsidRPr="00DD0373">
        <w:rPr>
          <w:lang w:val="es-ES_tradnl"/>
        </w:rPr>
        <w:t xml:space="preserve">labor que estaba acometiendo una de las </w:t>
      </w:r>
      <w:r w:rsidR="00C17707">
        <w:rPr>
          <w:lang w:val="es-ES_tradnl"/>
        </w:rPr>
        <w:t>Partes</w:t>
      </w:r>
      <w:r w:rsidRPr="00DD0373">
        <w:rPr>
          <w:lang w:val="es-ES_tradnl"/>
        </w:rPr>
        <w:t xml:space="preserve"> para mejorar las estimaciones de las emisiones de</w:t>
      </w:r>
      <w:r w:rsidR="00A94CC4" w:rsidRPr="00DD0373">
        <w:rPr>
          <w:lang w:val="es-ES_tradnl"/>
        </w:rPr>
        <w:t> </w:t>
      </w:r>
      <w:r w:rsidRPr="00DD0373">
        <w:rPr>
          <w:lang w:val="es-ES_tradnl"/>
        </w:rPr>
        <w:t>HFC</w:t>
      </w:r>
      <w:r w:rsidRPr="00DD0373">
        <w:rPr>
          <w:lang w:val="es-ES_tradnl"/>
        </w:rPr>
        <w:noBreakHyphen/>
        <w:t>23, incluida</w:t>
      </w:r>
      <w:r w:rsidR="00B711FB" w:rsidRPr="00DD0373">
        <w:rPr>
          <w:lang w:val="es-ES_tradnl"/>
        </w:rPr>
        <w:t>s</w:t>
      </w:r>
      <w:r w:rsidRPr="00DD0373">
        <w:rPr>
          <w:lang w:val="es-ES_tradnl"/>
        </w:rPr>
        <w:t xml:space="preserve"> la celebración de un taller reciente al que había asistido y la elaboración de directrices técnicas sobre la vigilancia, notificación y verificación de las emisiones de HFC</w:t>
      </w:r>
      <w:r w:rsidRPr="00DD0373">
        <w:rPr>
          <w:lang w:val="es-ES_tradnl"/>
        </w:rPr>
        <w:noBreakHyphen/>
        <w:t>23. No</w:t>
      </w:r>
      <w:r w:rsidR="00A94CC4" w:rsidRPr="00DD0373">
        <w:rPr>
          <w:lang w:val="es-ES_tradnl"/>
        </w:rPr>
        <w:t> </w:t>
      </w:r>
      <w:r w:rsidRPr="00DD0373">
        <w:rPr>
          <w:lang w:val="es-ES_tradnl"/>
        </w:rPr>
        <w:t xml:space="preserve">obstante, la cuestión afectaba a todas las </w:t>
      </w:r>
      <w:r w:rsidR="00C17707">
        <w:rPr>
          <w:lang w:val="es-ES_tradnl"/>
        </w:rPr>
        <w:t>Partes</w:t>
      </w:r>
      <w:r w:rsidRPr="00DD0373">
        <w:rPr>
          <w:lang w:val="es-ES_tradnl"/>
        </w:rPr>
        <w:t xml:space="preserve"> y debía tratarse de manera colectiva, que era precisamente el objetivo del proyecto de decisión. El orador señaló la importancia de examinar las posibles fuentes de emisión; velar por el uso de tecnologías de reducción eficaces; aprovechar las mejores prácticas, y garantizar la transparencia en la presentación de informes y una mejor aplicación.</w:t>
      </w:r>
    </w:p>
    <w:p w14:paraId="06A1ECFF" w14:textId="5472BACC"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En el debate posterior, numerosos representantes coincidieron en la gravedad del problema y manifestaron su deseo de debatir la cuestión y el proyecto de decisión en un grupo de contacto.</w:t>
      </w:r>
    </w:p>
    <w:p w14:paraId="0D0D9ACD" w14:textId="463286C5"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Una representante preguntó si valía la pena pedir a los grupos de evaluación que actualizasen sus informes, dada su elevada carga de trabajo y el hecho de que se esperaba que la nueva información fuese limitada. La oradora recordó el comentario del Sr. Campbell de que no se había sentido capaz de concluir qué metodología era mejor. Cada metodología tenía sus propias ventajas y puntos fuertes. La</w:t>
      </w:r>
      <w:r w:rsidR="00A94CC4" w:rsidRPr="00DD0373">
        <w:rPr>
          <w:lang w:val="es-ES_tradnl"/>
        </w:rPr>
        <w:t> </w:t>
      </w:r>
      <w:r w:rsidRPr="00DD0373">
        <w:rPr>
          <w:lang w:val="es-ES_tradnl"/>
        </w:rPr>
        <w:t xml:space="preserve">oradora también solicitó aclaraciones sobre la solicitud relativa a las </w:t>
      </w:r>
      <w:r w:rsidR="00C17707">
        <w:rPr>
          <w:lang w:val="es-ES_tradnl"/>
        </w:rPr>
        <w:t>Partes</w:t>
      </w:r>
      <w:r w:rsidRPr="00DD0373">
        <w:rPr>
          <w:lang w:val="es-ES_tradnl"/>
        </w:rPr>
        <w:t xml:space="preserve"> con tres o más instalaciones con producción de HCFC</w:t>
      </w:r>
      <w:r w:rsidRPr="00DD0373">
        <w:rPr>
          <w:lang w:val="es-ES_tradnl"/>
        </w:rPr>
        <w:noBreakHyphen/>
        <w:t xml:space="preserve">22 y cuestionó el uso de la palabra “instar” para referirse a las medidas voluntarias. La oradora recordó los proyectos en la Argentina y México y dijo que, según la decisión XXVIII/2, los costos asociados </w:t>
      </w:r>
      <w:r w:rsidR="00D45CE4" w:rsidRPr="00DD0373">
        <w:rPr>
          <w:lang w:val="es-ES_tradnl"/>
        </w:rPr>
        <w:t>a</w:t>
      </w:r>
      <w:r w:rsidRPr="00DD0373">
        <w:rPr>
          <w:lang w:val="es-ES_tradnl"/>
        </w:rPr>
        <w:t xml:space="preserve"> la reducción de las emisiones de HFC</w:t>
      </w:r>
      <w:r w:rsidRPr="00DD0373">
        <w:rPr>
          <w:lang w:val="es-ES_tradnl"/>
        </w:rPr>
        <w:noBreakHyphen/>
        <w:t xml:space="preserve">23 deberían ser financiados por el Fondo Multilateral, pero que la mayoría de las </w:t>
      </w:r>
      <w:r w:rsidR="00C17707">
        <w:rPr>
          <w:lang w:val="es-ES_tradnl"/>
        </w:rPr>
        <w:t>Partes</w:t>
      </w:r>
      <w:r w:rsidRPr="00DD0373">
        <w:rPr>
          <w:lang w:val="es-ES_tradnl"/>
        </w:rPr>
        <w:t xml:space="preserve"> que operan al amparo del artículo 5 aún no habían recibido financiación. La oradora pidió al Comité Ejecutivo que considerase, lo antes posible, la posibilidad de prestar a los países y empresas que reuniesen las condiciones el apoyo necesario.</w:t>
      </w:r>
    </w:p>
    <w:p w14:paraId="5DF86BBC" w14:textId="30B45B0A"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Otra representante destacó la falta de un plazo para que las </w:t>
      </w:r>
      <w:r w:rsidR="00C17707">
        <w:rPr>
          <w:lang w:val="es-ES_tradnl"/>
        </w:rPr>
        <w:t>Partes</w:t>
      </w:r>
      <w:r w:rsidRPr="00DD0373">
        <w:rPr>
          <w:lang w:val="es-ES_tradnl"/>
        </w:rPr>
        <w:t xml:space="preserve"> facilitasen más información, a pesar de que aquella información tenía por objeto ayudar a los grupos a actualizar sus informes para su presentación a la 38ª Reunión de las </w:t>
      </w:r>
      <w:r w:rsidR="00C17707">
        <w:rPr>
          <w:lang w:val="es-ES_tradnl"/>
        </w:rPr>
        <w:t>Partes</w:t>
      </w:r>
      <w:r w:rsidRPr="00DD0373">
        <w:rPr>
          <w:lang w:val="es-ES_tradnl"/>
        </w:rPr>
        <w:t>.</w:t>
      </w:r>
    </w:p>
    <w:p w14:paraId="1E49ED28" w14:textId="3E9DBD3C"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En respuesta a una pregunta formulada por un representante, la Copresidenta señaló que, si bien los usos emisivos estaban eliminándose en virtud del Protocolo de Montreal, todavía existía una producción considerable de HCFC</w:t>
      </w:r>
      <w:r w:rsidRPr="00DD0373">
        <w:rPr>
          <w:lang w:val="es-ES_tradnl"/>
        </w:rPr>
        <w:noBreakHyphen/>
        <w:t>22 relacionada con las materias primas, lo que daba lugar a la obtención de HFC</w:t>
      </w:r>
      <w:r w:rsidRPr="00DD0373">
        <w:rPr>
          <w:lang w:val="es-ES_tradnl"/>
        </w:rPr>
        <w:noBreakHyphen/>
        <w:t>23 como subproducto.</w:t>
      </w:r>
    </w:p>
    <w:p w14:paraId="151BD38D" w14:textId="57A0FACC"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Las </w:t>
      </w:r>
      <w:r w:rsidR="00C17707">
        <w:rPr>
          <w:lang w:val="es-ES_tradnl"/>
        </w:rPr>
        <w:t>Partes</w:t>
      </w:r>
      <w:r w:rsidRPr="00DD0373">
        <w:rPr>
          <w:lang w:val="es-ES_tradnl"/>
        </w:rPr>
        <w:t xml:space="preserve"> acordaron establecer un grupo de contacto, copresidido por Heidi Stockhaus (Alemania) y Leslie Smith (Granada), encargado de seguir debatiendo el proyecto de decisión.</w:t>
      </w:r>
    </w:p>
    <w:p w14:paraId="285138E5" w14:textId="171A4D19" w:rsidR="006B128A" w:rsidRPr="00DD0373" w:rsidRDefault="006B128A" w:rsidP="002C30D7">
      <w:pPr>
        <w:pStyle w:val="Normalnumber"/>
        <w:rPr>
          <w:lang w:val="es-ES_tradnl"/>
        </w:rPr>
      </w:pPr>
      <w:r w:rsidRPr="00DD0373">
        <w:rPr>
          <w:lang w:val="es-ES_tradnl"/>
        </w:rPr>
        <w:t>Posteriormente, el Copresidente del grupo de contacto informó de que el grupo de contacto había llegado a un acuerdo sobre un proyecto de decisión relativo a las emisiones de HFC</w:t>
      </w:r>
      <w:r w:rsidRPr="00DD0373">
        <w:rPr>
          <w:lang w:val="es-ES_tradnl"/>
        </w:rPr>
        <w:noBreakHyphen/>
        <w:t>23 para que</w:t>
      </w:r>
      <w:r w:rsidR="00FF3910" w:rsidRPr="00DD0373">
        <w:rPr>
          <w:lang w:val="es-ES_tradnl"/>
        </w:rPr>
        <w:t> </w:t>
      </w:r>
      <w:r w:rsidRPr="00DD0373">
        <w:rPr>
          <w:lang w:val="es-ES_tradnl"/>
        </w:rPr>
        <w:t xml:space="preserve">las </w:t>
      </w:r>
      <w:r w:rsidR="00C17707">
        <w:rPr>
          <w:lang w:val="es-ES_tradnl"/>
        </w:rPr>
        <w:t>Partes</w:t>
      </w:r>
      <w:r w:rsidRPr="00DD0373">
        <w:rPr>
          <w:lang w:val="es-ES_tradnl"/>
        </w:rPr>
        <w:t xml:space="preserve"> lo examinasen.</w:t>
      </w:r>
    </w:p>
    <w:p w14:paraId="4F0079BD" w14:textId="66DF8C92" w:rsidR="006B128A" w:rsidRPr="00DD0373" w:rsidRDefault="006B128A" w:rsidP="006B128A">
      <w:pPr>
        <w:pStyle w:val="Normalnumber"/>
        <w:tabs>
          <w:tab w:val="clear" w:pos="1247"/>
          <w:tab w:val="clear" w:pos="1814"/>
          <w:tab w:val="clear" w:pos="2381"/>
          <w:tab w:val="clear" w:pos="2948"/>
          <w:tab w:val="clear" w:pos="3515"/>
        </w:tabs>
        <w:ind w:left="1247"/>
        <w:rPr>
          <w:lang w:val="es-ES_tradnl"/>
        </w:rPr>
      </w:pPr>
      <w:r w:rsidRPr="00DD0373">
        <w:rPr>
          <w:lang w:val="es-ES_tradnl"/>
        </w:rPr>
        <w:lastRenderedPageBreak/>
        <w:t xml:space="preserve">Las </w:t>
      </w:r>
      <w:r w:rsidR="00C17707">
        <w:rPr>
          <w:lang w:val="es-ES_tradnl"/>
        </w:rPr>
        <w:t>Partes</w:t>
      </w:r>
      <w:r w:rsidRPr="00DD0373">
        <w:rPr>
          <w:lang w:val="es-ES_tradnl"/>
        </w:rPr>
        <w:t xml:space="preserve"> acordaron remitir el proyecto de decisión para su posterior examen y posible adopción durante la serie de sesiones de alto nivel. </w:t>
      </w:r>
    </w:p>
    <w:p w14:paraId="59F1900E" w14:textId="5A656D65" w:rsidR="00C20895" w:rsidRPr="00DD0373" w:rsidRDefault="002E7CA9" w:rsidP="005D30C7">
      <w:pPr>
        <w:pStyle w:val="CH1"/>
        <w:keepNext w:val="0"/>
        <w:keepLines w:val="0"/>
        <w:rPr>
          <w:lang w:val="es-ES_tradnl"/>
        </w:rPr>
      </w:pPr>
      <w:r w:rsidRPr="00DD0373">
        <w:rPr>
          <w:bCs/>
          <w:lang w:val="es-ES_tradnl"/>
        </w:rPr>
        <w:tab/>
      </w:r>
      <w:r w:rsidR="00943322" w:rsidRPr="00DD0373">
        <w:rPr>
          <w:bCs/>
          <w:lang w:val="es-ES_tradnl"/>
        </w:rPr>
        <w:t>VI.</w:t>
      </w:r>
      <w:r w:rsidR="00943322" w:rsidRPr="00DD0373">
        <w:rPr>
          <w:lang w:val="es-ES_tradnl"/>
        </w:rPr>
        <w:tab/>
      </w:r>
      <w:r w:rsidR="00943322" w:rsidRPr="00DD0373">
        <w:rPr>
          <w:bCs/>
          <w:lang w:val="es-ES_tradnl"/>
        </w:rPr>
        <w:t>Mejora de la vigilancia atmosférica regional de sustancias controladas por el Protocolo de Montreal (decisión XXXVI/1)</w:t>
      </w:r>
    </w:p>
    <w:p w14:paraId="0FC3CCAA" w14:textId="35B6DD7C" w:rsidR="00953C56"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Al examinar el tema, las </w:t>
      </w:r>
      <w:r w:rsidR="00C17707">
        <w:rPr>
          <w:lang w:val="es-ES_tradnl"/>
        </w:rPr>
        <w:t>Partes</w:t>
      </w:r>
      <w:r w:rsidRPr="00DD0373">
        <w:rPr>
          <w:lang w:val="es-ES_tradnl"/>
        </w:rPr>
        <w:t xml:space="preserve"> tuvieron ante sí los párrafos 37 a 43 de la nota de la Secretaría sobre las cuestiones que se examinarían en la 37ª Reunión de las </w:t>
      </w:r>
      <w:r w:rsidR="00C17707">
        <w:rPr>
          <w:lang w:val="es-ES_tradnl"/>
        </w:rPr>
        <w:t>Partes</w:t>
      </w:r>
      <w:r w:rsidRPr="00DD0373">
        <w:rPr>
          <w:lang w:val="es-ES_tradnl"/>
        </w:rPr>
        <w:t xml:space="preserve"> en el Protocolo de Montreal relativo a las Sustancias que Agotan la Capa de Ozono e información que se señalaba a su atención (UNEP/OzL.Pro.37/2), los párrafos 20 a 60 de la adición a esa nota (UNEP/OzL.Pro.37/2/Add.1), una nota de la Secretaría sobre las actualizaciones de las estimaciones de los gastos asociados a la mejora de la vigilancia atmosférica regional de las sustancias controladas por el Protocolo de Montreal (UNEP/OzL.Pro.37/INF/6), los párrafos 154 a 164 de la sección VI del informe de la 47ª reunión del</w:t>
      </w:r>
      <w:r w:rsidR="00EC4C86" w:rsidRPr="00DD0373">
        <w:rPr>
          <w:lang w:val="es-ES_tradnl"/>
        </w:rPr>
        <w:t> </w:t>
      </w:r>
      <w:r w:rsidRPr="00DD0373">
        <w:rPr>
          <w:lang w:val="es-ES_tradnl"/>
        </w:rPr>
        <w:t xml:space="preserve">Grupo de Trabajo de composición abierta de las </w:t>
      </w:r>
      <w:r w:rsidR="00C17707">
        <w:rPr>
          <w:lang w:val="es-ES_tradnl"/>
        </w:rPr>
        <w:t>Partes</w:t>
      </w:r>
      <w:r w:rsidRPr="00DD0373">
        <w:rPr>
          <w:lang w:val="es-ES_tradnl"/>
        </w:rPr>
        <w:t xml:space="preserve"> en el Protocolo de Montreal relativo a las Sustancias que Agotan la Capa de Ozono (UNEP/OzL.Pro.WG.1/47/6), y los párrafos 54 a 63 de una</w:t>
      </w:r>
      <w:r w:rsidR="00EC4C86" w:rsidRPr="00DD0373">
        <w:rPr>
          <w:lang w:val="es-ES_tradnl"/>
        </w:rPr>
        <w:t> </w:t>
      </w:r>
      <w:r w:rsidRPr="00DD0373">
        <w:rPr>
          <w:lang w:val="es-ES_tradnl"/>
        </w:rPr>
        <w:t xml:space="preserve">adición a una nota de la Secretaría sobre las cuestiones que el Grupo de Trabajo de composición abierta de las </w:t>
      </w:r>
      <w:r w:rsidR="00C17707">
        <w:rPr>
          <w:lang w:val="es-ES_tradnl"/>
        </w:rPr>
        <w:t>Partes</w:t>
      </w:r>
      <w:r w:rsidRPr="00DD0373">
        <w:rPr>
          <w:lang w:val="es-ES_tradnl"/>
        </w:rPr>
        <w:t xml:space="preserve"> en el Protocolo de Montreal examinaría en su 47ª reunión e información que se señalaba a su atención (UNEP/OzL.Pro.WG.1/47/2/Add.1).</w:t>
      </w:r>
    </w:p>
    <w:p w14:paraId="455B1012" w14:textId="25C12D73" w:rsidR="00953C56"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Al presentar el tema, la Copresidenta recordó que, en la decisión XXXVI/1, se había solicitado a la Secretaría que informase en la reunión en curso sobre los avances y los resultados de la evaluación de la idoneidad de los posibles emplazamientos para la vigilancia de las emisiones regionales de sustancias controladas, con vistas a su examen por las </w:t>
      </w:r>
      <w:r w:rsidR="00C17707">
        <w:rPr>
          <w:lang w:val="es-ES_tradnl"/>
        </w:rPr>
        <w:t>Partes</w:t>
      </w:r>
      <w:r w:rsidRPr="00DD0373">
        <w:rPr>
          <w:lang w:val="es-ES_tradnl"/>
        </w:rPr>
        <w:t>, y que facilitase información actualizada sobre sus estimaciones de los gastos y las opciones de financiación a largo plazo relacionadas con la vigilancia atmosférica. En la 47ª reunión del Grupo de Trabajo de composición abierta, la Secretaría y</w:t>
      </w:r>
      <w:r w:rsidR="00A94CC4" w:rsidRPr="00DD0373">
        <w:rPr>
          <w:lang w:val="es-ES_tradnl"/>
        </w:rPr>
        <w:t> </w:t>
      </w:r>
      <w:r w:rsidRPr="00DD0373">
        <w:rPr>
          <w:lang w:val="es-ES_tradnl"/>
        </w:rPr>
        <w:t xml:space="preserve">el Comité Asesor del </w:t>
      </w:r>
      <w:r w:rsidR="00377C6C" w:rsidRPr="00DD0373">
        <w:rPr>
          <w:lang w:val="es-ES_tradnl"/>
        </w:rPr>
        <w:t>f</w:t>
      </w:r>
      <w:r w:rsidRPr="00DD0373">
        <w:rPr>
          <w:lang w:val="es-ES_tradnl"/>
        </w:rPr>
        <w:t xml:space="preserve">ondo </w:t>
      </w:r>
      <w:r w:rsidR="00377C6C" w:rsidRPr="00DD0373">
        <w:rPr>
          <w:lang w:val="es-ES_tradnl"/>
        </w:rPr>
        <w:t>f</w:t>
      </w:r>
      <w:r w:rsidRPr="00DD0373">
        <w:rPr>
          <w:lang w:val="es-ES_tradnl"/>
        </w:rPr>
        <w:t xml:space="preserve">iduciario </w:t>
      </w:r>
      <w:r w:rsidR="00377C6C" w:rsidRPr="00DD0373">
        <w:rPr>
          <w:lang w:val="es-ES_tradnl"/>
        </w:rPr>
        <w:t>g</w:t>
      </w:r>
      <w:r w:rsidRPr="00DD0373">
        <w:rPr>
          <w:lang w:val="es-ES_tradnl"/>
        </w:rPr>
        <w:t>eneral del Convenio de Viena habían informado sobre los avances relacionados con la evaluación de posibles puntos de vigilancia. Tras los debates celebrados al</w:t>
      </w:r>
      <w:r w:rsidR="00A94CC4" w:rsidRPr="00DD0373">
        <w:rPr>
          <w:lang w:val="es-ES_tradnl"/>
        </w:rPr>
        <w:t> </w:t>
      </w:r>
      <w:r w:rsidRPr="00DD0373">
        <w:rPr>
          <w:lang w:val="es-ES_tradnl"/>
        </w:rPr>
        <w:t xml:space="preserve">respecto, las </w:t>
      </w:r>
      <w:r w:rsidR="00C17707">
        <w:rPr>
          <w:lang w:val="es-ES_tradnl"/>
        </w:rPr>
        <w:t>Partes</w:t>
      </w:r>
      <w:r w:rsidRPr="00DD0373">
        <w:rPr>
          <w:lang w:val="es-ES_tradnl"/>
        </w:rPr>
        <w:t xml:space="preserve"> habían solicitado la elaboración de una estrategia en la que se detallasen las actividades dentro de las distintas vías de financiación y se mostrase cómo dichas actividades se complementaban entre ellas en relación con la vigilancia atmosférica regional.</w:t>
      </w:r>
    </w:p>
    <w:p w14:paraId="205023F2" w14:textId="6EC6B4E6" w:rsidR="000B7E58" w:rsidRPr="00DD0373" w:rsidRDefault="4C7A5E14" w:rsidP="5FEBDCA1">
      <w:pPr>
        <w:pStyle w:val="Normalnumber"/>
        <w:rPr>
          <w:lang w:val="es-ES_tradnl"/>
        </w:rPr>
      </w:pPr>
      <w:r w:rsidRPr="00DD0373">
        <w:rPr>
          <w:lang w:val="es-ES_tradnl"/>
        </w:rPr>
        <w:t xml:space="preserve">El informe final sobre los avances en la aplicación de la decisión XXXVI/1 fueron presentadas por A. R. </w:t>
      </w:r>
      <w:proofErr w:type="spellStart"/>
      <w:r w:rsidRPr="00DD0373">
        <w:rPr>
          <w:lang w:val="es-ES_tradnl"/>
        </w:rPr>
        <w:t>Ravishankara</w:t>
      </w:r>
      <w:proofErr w:type="spellEnd"/>
      <w:r w:rsidRPr="00DD0373">
        <w:rPr>
          <w:lang w:val="es-ES_tradnl"/>
        </w:rPr>
        <w:t>, uno de los Copresidentes del Comité Asesor, y Sophia Mylona, representante de la Secretaría en el Comité Asesor. En las presentaciones se resumieron los avances del Comité en la evaluación de la idoneidad de posibles emplazamientos para la vigilancia de las emisiones regionales de sustancias controladas, incluidas las principales conclusiones del proyecto piloto llevado a cabo en la isla de Bhola y dos estudios científicos, así como las actualizaciones de las estimaciones de gastos que conllevaría la mejora de esta vigilancia, conforme a lo establecido en los documentos UNEP/OzL.Pro.37/2/Add.1 y UNEP/OzL.Pro.37/INF/6.</w:t>
      </w:r>
    </w:p>
    <w:p w14:paraId="3D7FD14F" w14:textId="73D7C82F" w:rsidR="000B7E58" w:rsidRPr="00DD0373" w:rsidRDefault="78F904F7" w:rsidP="5FEBDCA1">
      <w:pPr>
        <w:pStyle w:val="Normalnumber"/>
        <w:rPr>
          <w:lang w:val="es-ES_tradnl"/>
        </w:rPr>
      </w:pPr>
      <w:r w:rsidRPr="00DD0373">
        <w:rPr>
          <w:lang w:val="es-ES_tradnl"/>
        </w:rPr>
        <w:t xml:space="preserve">El Sr. </w:t>
      </w:r>
      <w:proofErr w:type="spellStart"/>
      <w:r w:rsidRPr="00DD0373">
        <w:rPr>
          <w:lang w:val="es-ES_tradnl"/>
        </w:rPr>
        <w:t>Ravishankara</w:t>
      </w:r>
      <w:proofErr w:type="spellEnd"/>
      <w:r w:rsidRPr="00DD0373">
        <w:rPr>
          <w:lang w:val="es-ES_tradnl"/>
        </w:rPr>
        <w:t xml:space="preserve"> presentó una lista de diez posibles regiones y emplazamientos para la instalación de estaciones de vigilancia que habían sido seleccionados por el Comité Asesor en su</w:t>
      </w:r>
      <w:r w:rsidR="00ED520A" w:rsidRPr="00DD0373">
        <w:rPr>
          <w:lang w:val="es-ES_tradnl"/>
        </w:rPr>
        <w:t> </w:t>
      </w:r>
      <w:r w:rsidRPr="00DD0373">
        <w:rPr>
          <w:lang w:val="es-ES_tradnl"/>
        </w:rPr>
        <w:t>19ª</w:t>
      </w:r>
      <w:r w:rsidR="00ED520A" w:rsidRPr="00DD0373">
        <w:rPr>
          <w:lang w:val="es-ES_tradnl"/>
        </w:rPr>
        <w:t> </w:t>
      </w:r>
      <w:r w:rsidRPr="00DD0373">
        <w:rPr>
          <w:lang w:val="es-ES_tradnl"/>
        </w:rPr>
        <w:t xml:space="preserve">reunión, celebrada en línea el 2 de octubre de 2025. La lista incluía las siguientes cinco regiones y emplazamientos que el Comité había catalogado como prioritarios basándose en información sobre la intensidad de las emisiones, experimentos de simulación del sistema de observación, así como la infraestructura y los conocimientos técnicos disponibles: Asia Meridional (India/Bangladesh); </w:t>
      </w:r>
      <w:r w:rsidR="00BD6654" w:rsidRPr="00DD0373">
        <w:rPr>
          <w:lang w:val="es-ES_tradnl"/>
        </w:rPr>
        <w:t>Asia</w:t>
      </w:r>
      <w:r w:rsidRPr="00DD0373">
        <w:rPr>
          <w:lang w:val="es-ES_tradnl"/>
        </w:rPr>
        <w:t xml:space="preserve"> Sudoriental (Viet Nam); África Meridional (</w:t>
      </w:r>
      <w:proofErr w:type="spellStart"/>
      <w:r w:rsidRPr="00DD0373">
        <w:rPr>
          <w:lang w:val="es-ES_tradnl"/>
        </w:rPr>
        <w:t>Botswana</w:t>
      </w:r>
      <w:proofErr w:type="spellEnd"/>
      <w:r w:rsidRPr="00DD0373">
        <w:rPr>
          <w:lang w:val="es-ES_tradnl"/>
        </w:rPr>
        <w:t>/Sudáfrica); Oriente Medio (Arabia Saudita), y América Central y del Sur (Brasil/Argentina). Otras posibles regiones que el Comité había examinado pero que aún no se habían catalogado como prioritarias eran: Norte de África (Argelia); América del Norte (México); norte de América del Sur (Ecuador); Europa Oriental (Federación de Rusia), y África Occidental (Nigeria). El Copresidente informó de que el Comité también había acordado el enfoque de llevar a cabo un muestreo inicial en frascos durante dos años en el emplazamiento localizado a fin de confirmar su idoneidad antes de emprender una vigilancia a más largo plazo.</w:t>
      </w:r>
    </w:p>
    <w:p w14:paraId="3D27B45F" w14:textId="6FE3C1C1" w:rsidR="00953C56" w:rsidRPr="00DD0373" w:rsidRDefault="00953C56" w:rsidP="0005351A">
      <w:pPr>
        <w:pStyle w:val="Normalnumber"/>
        <w:tabs>
          <w:tab w:val="clear" w:pos="1247"/>
          <w:tab w:val="clear" w:pos="1814"/>
          <w:tab w:val="clear" w:pos="2381"/>
          <w:tab w:val="clear" w:pos="2948"/>
          <w:tab w:val="clear" w:pos="3515"/>
        </w:tabs>
        <w:ind w:left="1247"/>
        <w:rPr>
          <w:bCs/>
          <w:lang w:val="es-ES_tradnl"/>
        </w:rPr>
      </w:pPr>
      <w:r w:rsidRPr="00DD0373">
        <w:rPr>
          <w:lang w:val="es-ES_tradnl"/>
        </w:rPr>
        <w:t xml:space="preserve">Tras la presentación, el Sr. </w:t>
      </w:r>
      <w:proofErr w:type="spellStart"/>
      <w:r w:rsidRPr="00DD0373">
        <w:rPr>
          <w:lang w:val="es-ES_tradnl"/>
        </w:rPr>
        <w:t>Ravishankara</w:t>
      </w:r>
      <w:proofErr w:type="spellEnd"/>
      <w:r w:rsidRPr="00DD0373">
        <w:rPr>
          <w:lang w:val="es-ES_tradnl"/>
        </w:rPr>
        <w:t xml:space="preserve"> y la Sra. Mylona respondieron a las preguntas y observaciones de los representantes.</w:t>
      </w:r>
    </w:p>
    <w:p w14:paraId="185FAAB7" w14:textId="4C7028D9" w:rsidR="00953C56"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En respuesta a una pregunta sobre el proceso de selección de las regiones en las que podrían situarse las futuras estaciones de vigilancia, el Sr. </w:t>
      </w:r>
      <w:proofErr w:type="spellStart"/>
      <w:r w:rsidRPr="00DD0373">
        <w:rPr>
          <w:lang w:val="es-ES_tradnl"/>
        </w:rPr>
        <w:t>Ravishankara</w:t>
      </w:r>
      <w:proofErr w:type="spellEnd"/>
      <w:r w:rsidRPr="00DD0373">
        <w:rPr>
          <w:lang w:val="es-ES_tradnl"/>
        </w:rPr>
        <w:t xml:space="preserve"> dijo que se había dado prioridad a las regiones en las que las emisiones presentes eran mayores. El acceso a infraestructuras era un factor importante: cuanto mayor fuese la disponibilidad inicial de infraestructuras, menores serían los gastos necesarios para poner en marcha un programa de vigilancia. La disponibilidad de una torre adecuada, por ejemplo, sería muy útil. En el enfoque gradual o por etapas que se adoptó para el programa, el muestreo en frascos se realizaría en los emplazamientos seleccionados inicialmente para recoger</w:t>
      </w:r>
      <w:r w:rsidR="005D0193" w:rsidRPr="00DD0373">
        <w:rPr>
          <w:lang w:val="es-ES_tradnl"/>
        </w:rPr>
        <w:t> 6 </w:t>
      </w:r>
      <w:r w:rsidRPr="00DD0373">
        <w:rPr>
          <w:lang w:val="es-ES_tradnl"/>
        </w:rPr>
        <w:t xml:space="preserve">meses de datos en menos de </w:t>
      </w:r>
      <w:r w:rsidR="005D0193" w:rsidRPr="00DD0373">
        <w:rPr>
          <w:lang w:val="es-ES_tradnl"/>
        </w:rPr>
        <w:t>1</w:t>
      </w:r>
      <w:r w:rsidR="00772E3A" w:rsidRPr="00DD0373">
        <w:rPr>
          <w:lang w:val="es-ES_tradnl"/>
        </w:rPr>
        <w:t xml:space="preserve"> </w:t>
      </w:r>
      <w:r w:rsidRPr="00DD0373">
        <w:rPr>
          <w:lang w:val="es-ES_tradnl"/>
        </w:rPr>
        <w:t xml:space="preserve">año, </w:t>
      </w:r>
      <w:r w:rsidR="00957469" w:rsidRPr="00DD0373">
        <w:rPr>
          <w:lang w:val="es-ES_tradnl"/>
        </w:rPr>
        <w:t xml:space="preserve">a fin de </w:t>
      </w:r>
      <w:r w:rsidR="003C7132" w:rsidRPr="00DD0373">
        <w:rPr>
          <w:lang w:val="es-ES_tradnl"/>
        </w:rPr>
        <w:t>asegurar</w:t>
      </w:r>
      <w:r w:rsidR="002838B5" w:rsidRPr="00DD0373">
        <w:rPr>
          <w:lang w:val="es-ES_tradnl"/>
        </w:rPr>
        <w:t>se de</w:t>
      </w:r>
      <w:r w:rsidRPr="00DD0373">
        <w:rPr>
          <w:lang w:val="es-ES_tradnl"/>
        </w:rPr>
        <w:t xml:space="preserve"> que </w:t>
      </w:r>
      <w:r w:rsidR="00805DB2" w:rsidRPr="00DD0373">
        <w:rPr>
          <w:lang w:val="es-ES_tradnl"/>
        </w:rPr>
        <w:t xml:space="preserve">en </w:t>
      </w:r>
      <w:r w:rsidRPr="00DD0373">
        <w:rPr>
          <w:lang w:val="es-ES_tradnl"/>
        </w:rPr>
        <w:t xml:space="preserve">dichos </w:t>
      </w:r>
      <w:r w:rsidRPr="00DD0373">
        <w:rPr>
          <w:lang w:val="es-ES_tradnl"/>
        </w:rPr>
        <w:lastRenderedPageBreak/>
        <w:t>emplazamientos</w:t>
      </w:r>
      <w:r w:rsidR="00A94CC4" w:rsidRPr="00DD0373">
        <w:rPr>
          <w:lang w:val="es-ES_tradnl"/>
        </w:rPr>
        <w:t> </w:t>
      </w:r>
      <w:r w:rsidR="00805DB2" w:rsidRPr="00DD0373">
        <w:rPr>
          <w:lang w:val="es-ES_tradnl"/>
        </w:rPr>
        <w:t>se</w:t>
      </w:r>
      <w:r w:rsidR="00FF3910" w:rsidRPr="00DD0373">
        <w:rPr>
          <w:lang w:val="es-ES_tradnl"/>
        </w:rPr>
        <w:t> </w:t>
      </w:r>
      <w:r w:rsidR="00AB44FE" w:rsidRPr="00DD0373">
        <w:rPr>
          <w:lang w:val="es-ES_tradnl"/>
        </w:rPr>
        <w:t>obtenían</w:t>
      </w:r>
      <w:r w:rsidR="002838B5" w:rsidRPr="00DD0373">
        <w:rPr>
          <w:lang w:val="es-ES_tradnl"/>
        </w:rPr>
        <w:t xml:space="preserve"> </w:t>
      </w:r>
      <w:r w:rsidRPr="00DD0373">
        <w:rPr>
          <w:lang w:val="es-ES_tradnl"/>
        </w:rPr>
        <w:t xml:space="preserve">los datos requeridos. En respuesta a la cuestión de los criterios que se habían tenido en cuenta a la hora de seleccionar las regiones en las que se instalarían las estaciones de vigilancia, el orador señaló que se habían tomado en consideración las diferencias entre los cálculos basados en las emisiones notificadas de determinadas sustancias y los basados en mediciones en la atmósfera, preocupación que había sido uno de los principales motores del programa </w:t>
      </w:r>
      <w:r w:rsidR="00826EDE" w:rsidRPr="00DD0373">
        <w:rPr>
          <w:lang w:val="es-ES_tradnl"/>
        </w:rPr>
        <w:t xml:space="preserve">existente </w:t>
      </w:r>
      <w:r w:rsidRPr="00DD0373">
        <w:rPr>
          <w:lang w:val="es-ES_tradnl"/>
        </w:rPr>
        <w:t>de establecimiento de estaciones de vigilancia, así como la consideración de los posibles retos a los que</w:t>
      </w:r>
      <w:r w:rsidR="00EC4C86" w:rsidRPr="00DD0373">
        <w:rPr>
          <w:lang w:val="es-ES_tradnl"/>
        </w:rPr>
        <w:t> </w:t>
      </w:r>
      <w:r w:rsidRPr="00DD0373">
        <w:rPr>
          <w:lang w:val="es-ES_tradnl"/>
        </w:rPr>
        <w:t>podría enfrentarse el Protocolo de Montreal en el futuro. También se había tenido en cuenta la ubicación vigente de las estaciones mundiales de Vigilancia de la Atmósfera Global. En cuanto a si se había tenido en cuenta un umbral de concentraciones de sustancias controladas a la hora de decidir las regiones, el orador señaló que se trataba de una cuestión difícil, dada la variabilidad que el muestreo diario o semanal podía generar. El orador subrayó también la importancia de los experimentos de simulación de sistemas de observación para determinar emplazamientos donde establecer estaciones para la vigilancia de las emisiones, y la posibilidad de volver a realizar esos experimentos para definir con mayor precisión los emplazamientos, por ejemplo, en zonas de topografía diversa. En respuesta a la observación de que en la decisión XXXVI/1, con que se había establecido el mandato para la labor</w:t>
      </w:r>
      <w:r w:rsidR="00EC4C86" w:rsidRPr="00DD0373">
        <w:rPr>
          <w:lang w:val="es-ES_tradnl"/>
        </w:rPr>
        <w:t> </w:t>
      </w:r>
      <w:r w:rsidRPr="00DD0373">
        <w:rPr>
          <w:lang w:val="es-ES_tradnl"/>
        </w:rPr>
        <w:t>en</w:t>
      </w:r>
      <w:r w:rsidR="00FF3910" w:rsidRPr="00DD0373">
        <w:rPr>
          <w:lang w:val="es-ES_tradnl"/>
        </w:rPr>
        <w:t> </w:t>
      </w:r>
      <w:r w:rsidRPr="00DD0373">
        <w:rPr>
          <w:lang w:val="es-ES_tradnl"/>
        </w:rPr>
        <w:t xml:space="preserve">curso, no se hacía referencia a los niveles de emisión como criterio para la elección de emplazamientos, el Sr. </w:t>
      </w:r>
      <w:proofErr w:type="spellStart"/>
      <w:r w:rsidRPr="00DD0373">
        <w:rPr>
          <w:lang w:val="es-ES_tradnl"/>
        </w:rPr>
        <w:t>Ravishankara</w:t>
      </w:r>
      <w:proofErr w:type="spellEnd"/>
      <w:r w:rsidRPr="00DD0373">
        <w:rPr>
          <w:lang w:val="es-ES_tradnl"/>
        </w:rPr>
        <w:t xml:space="preserve"> dijo que, si bien la cobertura mundial era el objetivo a largo plazo, había que elegir dónde invertir en los primeros pasos, e investigar los lugares</w:t>
      </w:r>
      <w:r w:rsidR="000A53EF" w:rsidRPr="00DD0373">
        <w:rPr>
          <w:lang w:val="es-ES_tradnl"/>
        </w:rPr>
        <w:t xml:space="preserve"> donde</w:t>
      </w:r>
      <w:r w:rsidRPr="00DD0373">
        <w:rPr>
          <w:lang w:val="es-ES_tradnl"/>
        </w:rPr>
        <w:t xml:space="preserve"> las emisiones eran elevadas ofrecía el mayor potencial para recopilar datos útiles.</w:t>
      </w:r>
    </w:p>
    <w:p w14:paraId="0A55DF24" w14:textId="599A0F63" w:rsidR="00953C56" w:rsidRPr="00DD0373" w:rsidRDefault="00953C56" w:rsidP="0005351A">
      <w:pPr>
        <w:pStyle w:val="Normalnumber"/>
        <w:tabs>
          <w:tab w:val="clear" w:pos="1247"/>
          <w:tab w:val="clear" w:pos="1814"/>
          <w:tab w:val="clear" w:pos="2381"/>
          <w:tab w:val="clear" w:pos="2948"/>
          <w:tab w:val="clear" w:pos="3515"/>
        </w:tabs>
        <w:ind w:left="1247"/>
        <w:rPr>
          <w:bCs/>
          <w:lang w:val="es-ES_tradnl"/>
        </w:rPr>
      </w:pPr>
      <w:r w:rsidRPr="00DD0373">
        <w:rPr>
          <w:lang w:val="es-ES_tradnl"/>
        </w:rPr>
        <w:t xml:space="preserve">En respuesta a una pregunta sobre los criterios que podrían aplicarse para decidir si se optaba por el muestreo </w:t>
      </w:r>
      <w:r w:rsidRPr="00DD0373">
        <w:rPr>
          <w:i/>
          <w:iCs/>
          <w:lang w:val="es-ES_tradnl"/>
        </w:rPr>
        <w:t>in situ</w:t>
      </w:r>
      <w:r w:rsidRPr="00DD0373">
        <w:rPr>
          <w:lang w:val="es-ES_tradnl"/>
        </w:rPr>
        <w:t xml:space="preserve"> de alta frecuencia o por el muestreo en frascos, el Sr. </w:t>
      </w:r>
      <w:proofErr w:type="spellStart"/>
      <w:r w:rsidRPr="00DD0373">
        <w:rPr>
          <w:lang w:val="es-ES_tradnl"/>
        </w:rPr>
        <w:t>Ravishankara</w:t>
      </w:r>
      <w:proofErr w:type="spellEnd"/>
      <w:r w:rsidRPr="00DD0373">
        <w:rPr>
          <w:lang w:val="es-ES_tradnl"/>
        </w:rPr>
        <w:t xml:space="preserve"> dijo que la cuestión no estaba clara, ya que también podía realizarse un muestreo de alta frecuencia en frascos. Por regla general, cuanto mayor fuese la frecuencia de medición, más precisos serían los resultados de</w:t>
      </w:r>
      <w:r w:rsidR="00A94CC4" w:rsidRPr="00DD0373">
        <w:rPr>
          <w:lang w:val="es-ES_tradnl"/>
        </w:rPr>
        <w:t> </w:t>
      </w:r>
      <w:r w:rsidRPr="00DD0373">
        <w:rPr>
          <w:lang w:val="es-ES_tradnl"/>
        </w:rPr>
        <w:t xml:space="preserve">la inversión de las emisiones. Ambos métodos implicaban el cálculo de la intensidad de emisión; la principal diferencia radicaba en que, en el caso de una estación de alta frecuencia, la instrumentación analítica y los conocimientos técnicos estaban disponibles </w:t>
      </w:r>
      <w:r w:rsidRPr="00DD0373">
        <w:rPr>
          <w:i/>
          <w:iCs/>
          <w:lang w:val="es-ES_tradnl"/>
        </w:rPr>
        <w:t>in situ</w:t>
      </w:r>
      <w:r w:rsidRPr="00DD0373">
        <w:rPr>
          <w:lang w:val="es-ES_tradnl"/>
        </w:rPr>
        <w:t>, mientras que para el muestreo en frascos las instalaciones de análisis se encontraban en laboratorios establecidos a distancia del lugar de</w:t>
      </w:r>
      <w:r w:rsidR="00A94CC4" w:rsidRPr="00DD0373">
        <w:rPr>
          <w:lang w:val="es-ES_tradnl"/>
        </w:rPr>
        <w:t> </w:t>
      </w:r>
      <w:r w:rsidRPr="00DD0373">
        <w:rPr>
          <w:lang w:val="es-ES_tradnl"/>
        </w:rPr>
        <w:t>toma de muestras. En cuanto a la calidad de los datos, el orador señaló que había que tener mucho cuidado para garantizar la calidad de los datos, ya que de ello dependía la estimación de los niveles de</w:t>
      </w:r>
      <w:r w:rsidR="00A94CC4" w:rsidRPr="00DD0373">
        <w:rPr>
          <w:lang w:val="es-ES_tradnl"/>
        </w:rPr>
        <w:t> </w:t>
      </w:r>
      <w:r w:rsidRPr="00DD0373">
        <w:rPr>
          <w:lang w:val="es-ES_tradnl"/>
        </w:rPr>
        <w:t>emisión. Los problemas logísticos también eran una cuestión crítica: en el caso de la estación de vigilancia de la isla de Bhola (Bangladesh), por ejemplo, algunos resultados estaban sesgados debido a</w:t>
      </w:r>
      <w:r w:rsidR="00A94CC4" w:rsidRPr="00DD0373">
        <w:rPr>
          <w:lang w:val="es-ES_tradnl"/>
        </w:rPr>
        <w:t> </w:t>
      </w:r>
      <w:r w:rsidRPr="00DD0373">
        <w:rPr>
          <w:lang w:val="es-ES_tradnl"/>
        </w:rPr>
        <w:t>una fuga en un frasco.</w:t>
      </w:r>
    </w:p>
    <w:p w14:paraId="043169D0" w14:textId="5950FE17" w:rsidR="00953C56" w:rsidRPr="00DD0373" w:rsidRDefault="00953C56" w:rsidP="00FF3910">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En respuesta a una pregunta sobre la futura financiación de un programa de vigilancia atmosférica una vez concluido el plazo propuesto de cinco años, el Sr. </w:t>
      </w:r>
      <w:proofErr w:type="spellStart"/>
      <w:r w:rsidRPr="00DD0373">
        <w:rPr>
          <w:lang w:val="es-ES_tradnl"/>
        </w:rPr>
        <w:t>Ravishankara</w:t>
      </w:r>
      <w:proofErr w:type="spellEnd"/>
      <w:r w:rsidRPr="00DD0373">
        <w:rPr>
          <w:lang w:val="es-ES_tradnl"/>
        </w:rPr>
        <w:t xml:space="preserve"> destacó la importancia de las contribuciones nacionales en especie, especialmente en forma de personal cualificado que pudiese realizar mediciones con precisión e interpretar los datos. También podían lograrse ahorros significativos: por ejemplo, la importante cantidad de datos obtenidos en el estudio de Bangladesh había sido posible gracias a las contribuciones en especie que se movilizaron. La mayoría de las estaciones de vigilancia existentes eran financiadas por organismos nacionales, incluidos laboratorios y universidades. El programa regional de vigilancia atmosférica propuesto por el Protocolo de Montreal supondría un cambio de paradigma, ya que todos los datos procedentes de dichas fuentes se pondrían en común utilizando las mismas escalas de calibración a fin de facilitar la comparabilidad a nivel mundial. En términos de costos, había la posibilidad de que el costo de capital de la infraestructura de las actividades de vigilancia disminuyese a medida que se construyesen más estaciones y se estableciese un mercado para los instrumentos altamente especializados que albergaban, lo que daría lugar a precios más bajos a medida que más proveedores entraban en el mercado. En respuesta a una pregunta sobre la posible colaboración con las instituciones pertinentes para mejorar la relación costo-eficacia, la eficiencia y la sostenibilidad de los fondos, el orador dijo que, efectivamente, una mayor colaboración de esa naturaleza sería bienvenida, dado que varios países tenían una capacidad técnica significativa para llevar a cabo actividades de vigilancia atmosférica, gracias a las instalaciones avanzadas de que disponían. También había posibilidades de colaboración con organizaciones no gubernamentales. Sería útil ponerse en contacto con todos los programas pertinentes a fin de evitar la duplicación de esfuerzos y garantizar la sinergia. El orador recalcó que</w:t>
      </w:r>
      <w:r w:rsidR="00A94CC4" w:rsidRPr="00DD0373">
        <w:rPr>
          <w:lang w:val="es-ES_tradnl"/>
        </w:rPr>
        <w:t> </w:t>
      </w:r>
      <w:r w:rsidRPr="00DD0373">
        <w:rPr>
          <w:lang w:val="es-ES_tradnl"/>
        </w:rPr>
        <w:t>uno de los componentes clave del programa era la transferencia de conocimientos en ambas direcciones, ya que los conocimientos locales eran fundamentales para el funcionamiento de las estaciones de vigilancia. Había potencial para modalidades de capacitación innovadoras, por ejemplo, el hermanamiento de una estación concreta con un laboratorio determinado para la formación en el empleo. En cuanto a la búsqueda de asociados adecuados para los diez posibles puntos de vigilancia examinados hasta el momento, el orador indicó que el proceso estaba en curso y que se mantenían conversaciones con posibles asociados.</w:t>
      </w:r>
    </w:p>
    <w:p w14:paraId="1B00F2F1" w14:textId="23999D83" w:rsidR="00953C56"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lastRenderedPageBreak/>
        <w:t>En lo referente a las posibilidades de colaboración con los centros del Tratado de Prohibición Completa de los Ensayos Nucleares, el orador señaló que una diferencia significativa era que el Tratado realizaba principalmente mediciones a nivel de superficie, mientras que la vigilancia de las sustancias controladas por el Protocolo de Montreal se llevaba a cabo en la atmósfera. Dicho esto, los expertos del Tratado de Prohibición Completa de los Ensayos Nucleares habían sido de gran ayuda colaborando con las iniciativas de vigilancia atmosférica del Protocolo de Montreal.</w:t>
      </w:r>
    </w:p>
    <w:p w14:paraId="33709C97" w14:textId="15061469" w:rsidR="00953C56"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En respuesta a una pregunta sobre los posibles efectos climáticos que podrían tener un impacto en las estaciones de vigilancia situadas en zonas afectadas por fenómenos meteorológicos extremos, como los huracanes, el Sr. </w:t>
      </w:r>
      <w:proofErr w:type="spellStart"/>
      <w:r w:rsidRPr="00DD0373">
        <w:rPr>
          <w:lang w:val="es-ES_tradnl"/>
        </w:rPr>
        <w:t>Ravishankara</w:t>
      </w:r>
      <w:proofErr w:type="spellEnd"/>
      <w:r w:rsidRPr="00DD0373">
        <w:rPr>
          <w:lang w:val="es-ES_tradnl"/>
        </w:rPr>
        <w:t xml:space="preserve"> afirmó que, efectivamente, las condiciones meteorológicas extremas podían destruir una estación meteorológica, y que el costo de erigir una torre resistente a esas</w:t>
      </w:r>
      <w:r w:rsidR="00FF3910" w:rsidRPr="00DD0373">
        <w:rPr>
          <w:lang w:val="es-ES_tradnl"/>
        </w:rPr>
        <w:t> </w:t>
      </w:r>
      <w:r w:rsidRPr="00DD0373">
        <w:rPr>
          <w:lang w:val="es-ES_tradnl"/>
        </w:rPr>
        <w:t>condiciones ya se había considerado.</w:t>
      </w:r>
    </w:p>
    <w:p w14:paraId="236D26FB" w14:textId="4DEC89F4" w:rsidR="00953C56"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La Sra. Mylona respondió a las preguntas sobre los aspectos financieros del programa de medición. En cuanto a las distintas opciones para el establecimiento de sistemas de muestreo, la oradora dijo que estas dependían de la financiación disponible y la combinación de métodos de muestreo preferida. Por ejemplo, </w:t>
      </w:r>
      <w:r w:rsidR="00126A70" w:rsidRPr="00DD0373">
        <w:rPr>
          <w:lang w:val="es-ES_tradnl"/>
        </w:rPr>
        <w:t xml:space="preserve">con </w:t>
      </w:r>
      <w:r w:rsidRPr="00DD0373">
        <w:rPr>
          <w:lang w:val="es-ES_tradnl"/>
        </w:rPr>
        <w:t xml:space="preserve">la subvención pendiente de la Unión Europea al fondo fiduciario general para financiar las actividades de investigación y observaciones sistemáticas de interés para el Convenio de Viena </w:t>
      </w:r>
      <w:r w:rsidR="007D00EC" w:rsidRPr="00DD0373">
        <w:rPr>
          <w:lang w:val="es-ES_tradnl"/>
        </w:rPr>
        <w:t xml:space="preserve">se </w:t>
      </w:r>
      <w:r w:rsidRPr="00DD0373">
        <w:rPr>
          <w:lang w:val="es-ES_tradnl"/>
        </w:rPr>
        <w:t>podía</w:t>
      </w:r>
      <w:r w:rsidR="008D2159" w:rsidRPr="00DD0373">
        <w:rPr>
          <w:lang w:val="es-ES_tradnl"/>
        </w:rPr>
        <w:t>n</w:t>
      </w:r>
      <w:r w:rsidRPr="00DD0373">
        <w:rPr>
          <w:lang w:val="es-ES_tradnl"/>
        </w:rPr>
        <w:t xml:space="preserve"> financiar </w:t>
      </w:r>
      <w:r w:rsidR="003D0D75" w:rsidRPr="00DD0373">
        <w:rPr>
          <w:lang w:val="es-ES_tradnl"/>
        </w:rPr>
        <w:t xml:space="preserve">1 </w:t>
      </w:r>
      <w:r w:rsidRPr="00DD0373">
        <w:rPr>
          <w:lang w:val="es-ES_tradnl"/>
        </w:rPr>
        <w:t xml:space="preserve">estación de vigilancia </w:t>
      </w:r>
      <w:r w:rsidRPr="00DD0373">
        <w:rPr>
          <w:i/>
          <w:iCs/>
          <w:lang w:val="es-ES_tradnl"/>
        </w:rPr>
        <w:t>in situ</w:t>
      </w:r>
      <w:r w:rsidRPr="00DD0373">
        <w:rPr>
          <w:lang w:val="es-ES_tradnl"/>
        </w:rPr>
        <w:t xml:space="preserve"> de alta frecuencia y</w:t>
      </w:r>
      <w:r w:rsidR="0058635D" w:rsidRPr="00DD0373">
        <w:rPr>
          <w:lang w:val="es-ES_tradnl"/>
        </w:rPr>
        <w:t> </w:t>
      </w:r>
      <w:r w:rsidR="003D0D75" w:rsidRPr="00DD0373">
        <w:rPr>
          <w:lang w:val="es-ES_tradnl"/>
        </w:rPr>
        <w:t>2</w:t>
      </w:r>
      <w:r w:rsidR="0058635D" w:rsidRPr="00DD0373">
        <w:rPr>
          <w:lang w:val="es-ES_tradnl"/>
        </w:rPr>
        <w:t> </w:t>
      </w:r>
      <w:r w:rsidRPr="00DD0373">
        <w:rPr>
          <w:lang w:val="es-ES_tradnl"/>
        </w:rPr>
        <w:t>estaciones de muestreo en frascos. En el documento UNEP/OzL.Pro.37/2/Add.1 se ofrecía más información sobre la estimación de gastos de las distintas opciones. Con respecto a la cuestión de si en la estimación de gastos se había tenido en cuenta la infraestructura existente, la oradora dijo que al elaborar el modelo se había consultado a expertos en vigilancia atmosférica de todo el mundo para asegurarse de que se habían tomado en consideración las variaciones regionales de los costos. En la siguiente etapa, se llevarían a cabo investigaciones para determinar de qué infraestructuras existentes se disponía cerca de los emplazamientos identificados y la forma en que su uso repercutiría en la estimación de gastos.</w:t>
      </w:r>
    </w:p>
    <w:p w14:paraId="34BA9A50" w14:textId="40D6636D" w:rsidR="00953C56"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En lo referente a la herramienta interactiva en línea propuesta, que podrían utilizar las </w:t>
      </w:r>
      <w:r w:rsidR="00C17707">
        <w:rPr>
          <w:lang w:val="es-ES_tradnl"/>
        </w:rPr>
        <w:t>Partes</w:t>
      </w:r>
      <w:r w:rsidRPr="00DD0373">
        <w:rPr>
          <w:lang w:val="es-ES_tradnl"/>
        </w:rPr>
        <w:t xml:space="preserve"> para estimar los gastos de establecimiento y funcionamiento de las estaciones en sus países, la oradora dijo que ello no supondría ningún gasto adicional porque la Unión Europea había acordado permitir el uso de algunos fondos sobrantes del proyecto piloto financiado por la Unión Europea para el desarrollo de la herramienta en línea.</w:t>
      </w:r>
    </w:p>
    <w:p w14:paraId="22587CFC" w14:textId="2C3C7A5A" w:rsidR="00D30535"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Con respecto a la amplia gama de gastos de personal presentados, la Sra. Mylona dijo que un factor de esa variabilidad era el tipo de muestreo; el muestreo en frascos, por ejemplo, podría suponer menores gastos de recogida de muestras, mientras que el muestreo </w:t>
      </w:r>
      <w:r w:rsidRPr="00DD0373">
        <w:rPr>
          <w:i/>
          <w:iCs/>
          <w:lang w:val="es-ES_tradnl"/>
        </w:rPr>
        <w:t>in situ</w:t>
      </w:r>
      <w:r w:rsidRPr="00DD0373">
        <w:rPr>
          <w:lang w:val="es-ES_tradnl"/>
        </w:rPr>
        <w:t xml:space="preserve"> de alta frecuencia exigiría mayores gastos debido a la presencia permanente de personal altamente cualificado en la estación de vigilancia.</w:t>
      </w:r>
    </w:p>
    <w:p w14:paraId="53B76351" w14:textId="05346EB2" w:rsidR="00953C56"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Durante el debate que tuvo lugar a continuación, todos los representantes que intervinieron </w:t>
      </w:r>
      <w:r w:rsidR="005B7686" w:rsidRPr="00DD0373">
        <w:rPr>
          <w:lang w:val="es-ES_tradnl"/>
        </w:rPr>
        <w:t>dieron las gracias</w:t>
      </w:r>
      <w:r w:rsidRPr="00DD0373">
        <w:rPr>
          <w:lang w:val="es-ES_tradnl"/>
        </w:rPr>
        <w:t xml:space="preserve"> al Sr. </w:t>
      </w:r>
      <w:proofErr w:type="spellStart"/>
      <w:r w:rsidRPr="00DD0373">
        <w:rPr>
          <w:lang w:val="es-ES_tradnl"/>
        </w:rPr>
        <w:t>Ravishankara</w:t>
      </w:r>
      <w:proofErr w:type="spellEnd"/>
      <w:r w:rsidRPr="00DD0373">
        <w:rPr>
          <w:lang w:val="es-ES_tradnl"/>
        </w:rPr>
        <w:t xml:space="preserve"> y a la Sra. Mylona por su presentación, a la Secretaría y al Comité Asesor por el documento y a la Unión Europea por la financiación del estudio piloto.</w:t>
      </w:r>
    </w:p>
    <w:p w14:paraId="3D69FCE2" w14:textId="3A97BC84" w:rsidR="00953C56"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Todos los representantes que intervinieron subrayaron la importancia de una vigilancia atmosférica eficaz para asegurar el éxito sostenido del Protocolo de Montreal y uno de ellos destacó las valiosas lecciones aprendidas del proyecto piloto de la isla de Bhola. Otra representante señaló a la</w:t>
      </w:r>
      <w:r w:rsidR="00FF3910" w:rsidRPr="00DD0373">
        <w:rPr>
          <w:lang w:val="es-ES_tradnl"/>
        </w:rPr>
        <w:t> </w:t>
      </w:r>
      <w:r w:rsidRPr="00DD0373">
        <w:rPr>
          <w:lang w:val="es-ES_tradnl"/>
        </w:rPr>
        <w:t>atención de los presentes la necesidad de formular estrategias a largo plazo, determinar tareas prioritarias, fijar objetivos y obtener recursos financieros, así como establecer sistemas de seguimiento y evaluación, con el fin de orientar el desarrollo general de la labor de vigilancia en el marco del Protocolo de Montreal. Algunos representantes expresaron su aprecio por la propuesta de ejecución en</w:t>
      </w:r>
      <w:r w:rsidR="00FF3910" w:rsidRPr="00DD0373">
        <w:rPr>
          <w:lang w:val="es-ES_tradnl"/>
        </w:rPr>
        <w:t> </w:t>
      </w:r>
      <w:r w:rsidRPr="00DD0373">
        <w:rPr>
          <w:lang w:val="es-ES_tradnl"/>
        </w:rPr>
        <w:t>cuatro etapas para la vigilancia, que se describía en el documento UNEP/OzL.Pro.37/INF/6.</w:t>
      </w:r>
    </w:p>
    <w:p w14:paraId="26173781" w14:textId="2E7E022A" w:rsidR="00953C56"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Un representante destacó en particular el papel de la vigilancia atmosférica en la observación de las emisiones de sustancias no controladas en virtud del Protocolo de Montreal, incluidas las sustancias de muy corta vida, y las emisiones procedentes de usos exentos </w:t>
      </w:r>
      <w:r w:rsidR="0007720E" w:rsidRPr="00DD0373">
        <w:rPr>
          <w:lang w:val="es-ES_tradnl"/>
        </w:rPr>
        <w:t>—</w:t>
      </w:r>
      <w:r w:rsidRPr="00DD0373">
        <w:rPr>
          <w:lang w:val="es-ES_tradnl"/>
        </w:rPr>
        <w:t xml:space="preserve">como usos como materias primas o </w:t>
      </w:r>
      <w:r w:rsidR="007261A6" w:rsidRPr="00DD0373">
        <w:rPr>
          <w:lang w:val="es-ES_tradnl"/>
        </w:rPr>
        <w:t xml:space="preserve">en </w:t>
      </w:r>
      <w:r w:rsidRPr="00DD0373">
        <w:rPr>
          <w:lang w:val="es-ES_tradnl"/>
        </w:rPr>
        <w:t>aplicaciones de cuarentena y previas al envío</w:t>
      </w:r>
      <w:r w:rsidR="0007720E" w:rsidRPr="00DD0373">
        <w:rPr>
          <w:lang w:val="es-ES_tradnl"/>
        </w:rPr>
        <w:t>—</w:t>
      </w:r>
      <w:r w:rsidRPr="00DD0373">
        <w:rPr>
          <w:lang w:val="es-ES_tradnl"/>
        </w:rPr>
        <w:t>, de bancos de sustancias y equipos al final de su vida útil y de la producción ilícita de sustancias controladas.</w:t>
      </w:r>
    </w:p>
    <w:p w14:paraId="63B91BB0" w14:textId="667FBACA" w:rsidR="00953C56"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Varios representantes subrayaron la necesidad de un apoyo técnico y financiero adecuado por parte del Fondo Multilateral, en forma de una ventanilla de financiación específica y predecible que garantizase el funcionamiento y mantenimiento a largo plazo. Algunos representantes expresaron su agradecimiento por la labor del Comité Ejecutivo del Fondo Multilateral en la realización de una serie de proyectos piloto en el futuro próximo para la vigilancia atmosférica regional de sustancias controladas, y dijeron que esperaban con interés la continuación de los debates en la 98ª reunión </w:t>
      </w:r>
      <w:r w:rsidRPr="00DD0373">
        <w:rPr>
          <w:lang w:val="es-ES_tradnl"/>
        </w:rPr>
        <w:lastRenderedPageBreak/>
        <w:t>del</w:t>
      </w:r>
      <w:r w:rsidR="00A94CC4" w:rsidRPr="00DD0373">
        <w:rPr>
          <w:lang w:val="es-ES_tradnl"/>
        </w:rPr>
        <w:t> </w:t>
      </w:r>
      <w:r w:rsidRPr="00DD0373">
        <w:rPr>
          <w:lang w:val="es-ES_tradnl"/>
        </w:rPr>
        <w:t>Comité. Otro representante expresó reconocimiento por el enfoque de las vías de financiación recogido en el documento de la Secretaría.</w:t>
      </w:r>
    </w:p>
    <w:p w14:paraId="4F68283F" w14:textId="1527A5D3" w:rsidR="00953C56"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Varios representantes subrayaron la necesidad de que la financiación fuese sostenible y pidieron que se siguiese estudiando la cuestión. Un representante expresó la esperanza de que, a largo plazo, los gastos de funcionamiento de las estaciones de vigilancia fuesen absorbidos por la institución o el país</w:t>
      </w:r>
      <w:r w:rsidR="005B3625" w:rsidRPr="00DD0373">
        <w:rPr>
          <w:lang w:val="es-ES_tradnl"/>
        </w:rPr>
        <w:t xml:space="preserve"> </w:t>
      </w:r>
      <w:r w:rsidR="00B74D27" w:rsidRPr="00DD0373">
        <w:rPr>
          <w:lang w:val="es-ES_tradnl"/>
        </w:rPr>
        <w:t>anfitriones</w:t>
      </w:r>
      <w:r w:rsidRPr="00DD0373">
        <w:rPr>
          <w:lang w:val="es-ES_tradnl"/>
        </w:rPr>
        <w:t xml:space="preserve"> u otra institución internacional, pero dijo que reconocía que, en algunos casos, podría ser necesario un mayor apoyo del Fondo Multilateral.</w:t>
      </w:r>
    </w:p>
    <w:p w14:paraId="69DCD5A5" w14:textId="70FC9AF3" w:rsidR="00953C56"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El representante de la Unión Europea se congratuló de que la financiación proporcionada por</w:t>
      </w:r>
      <w:r w:rsidR="00A94CC4" w:rsidRPr="00DD0373">
        <w:rPr>
          <w:lang w:val="es-ES_tradnl"/>
        </w:rPr>
        <w:t> </w:t>
      </w:r>
      <w:r w:rsidRPr="00DD0373">
        <w:rPr>
          <w:lang w:val="es-ES_tradnl"/>
        </w:rPr>
        <w:t>su Parte para el exitoso proyecto piloto hubiese contribuido a generar conclusiones y enfoques metodológicos para su uso en el futuro. A través de su programa Horizonte Europa, la Unión Europea pudo ofrecer más financiación, y la Secretaría, en colaboración con el Comité Asesor, ya había presentado una propuesta. Sin embargo, esa vía de financiación no se concretaría hasta que no hubiese concluido la evaluación de la propuesta y se hubiesen formalizado los contratos. Esto supondría una escasez de fondos a corto plazo; el orador sugirió que el dinero no utilizado hasta el momento podría transferirse a 2026. El orador dijo que esperaba poder seguir debatiendo el asunto con otros representantes, la Secretaría y el Comité Asesor, y añadió que su delegación estaba preparando una</w:t>
      </w:r>
      <w:r w:rsidR="00FF3910" w:rsidRPr="00DD0373">
        <w:rPr>
          <w:lang w:val="es-ES_tradnl"/>
        </w:rPr>
        <w:t> </w:t>
      </w:r>
      <w:r w:rsidRPr="00DD0373">
        <w:rPr>
          <w:lang w:val="es-ES_tradnl"/>
        </w:rPr>
        <w:t>propuesta de proyecto de decisión que podría presentarse más adelante en la reunión.</w:t>
      </w:r>
    </w:p>
    <w:p w14:paraId="57FD1633" w14:textId="59A6DCD7" w:rsidR="00953C56"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Otros representantes manifestaron su acuerdo con la propuesta de prorrogar la financiación hasta 2026.</w:t>
      </w:r>
    </w:p>
    <w:p w14:paraId="234974A7" w14:textId="717315C5" w:rsidR="00953C56"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Varios representantes destacaron la posibilidad de asociarse con instituciones científicas que pudiesen aportar personal o conocimientos técnicos especializados para la recogida de muestras, el análisis y la gestión de datos, así como infraestructura existente. Esas u otras contribuciones en especie serían útiles para ahorrar gastos, y también ayudarían a desarrollar la capacidad técnica local para la observación y la investigación atmosféricas. Algunos representantes sugirieron instituciones de sus países que podrían desempeñar una función al respecto.</w:t>
      </w:r>
    </w:p>
    <w:p w14:paraId="540CE124" w14:textId="6D746D3F" w:rsidR="00953C56" w:rsidRPr="00DD0373" w:rsidRDefault="00953C56" w:rsidP="006B75D5">
      <w:pPr>
        <w:pStyle w:val="Normalnumber"/>
        <w:tabs>
          <w:tab w:val="clear" w:pos="1247"/>
          <w:tab w:val="clear" w:pos="1814"/>
          <w:tab w:val="clear" w:pos="2381"/>
          <w:tab w:val="clear" w:pos="2948"/>
          <w:tab w:val="clear" w:pos="3515"/>
        </w:tabs>
        <w:ind w:left="1247"/>
        <w:rPr>
          <w:lang w:val="es-ES_tradnl"/>
        </w:rPr>
      </w:pPr>
      <w:r w:rsidRPr="00DD0373">
        <w:rPr>
          <w:lang w:val="es-ES_tradnl"/>
        </w:rPr>
        <w:t>Un representante opinó que la lista que estaba recopilando la Secretaría sobre instituciones científicas que trabajaban en la vigilancia atmosférica, las redes regionales y los proyectos en curso sería muy valiosa. Debería alentarse la realización de proyectos conjuntos de vigilancia y el intercambio de datos. Otro representante coincidió con los ponentes en que los datos obtenidos de las</w:t>
      </w:r>
      <w:r w:rsidR="00FF3910" w:rsidRPr="00DD0373">
        <w:rPr>
          <w:lang w:val="es-ES_tradnl"/>
        </w:rPr>
        <w:t> </w:t>
      </w:r>
      <w:r w:rsidRPr="00DD0373">
        <w:rPr>
          <w:lang w:val="es-ES_tradnl"/>
        </w:rPr>
        <w:t xml:space="preserve">estaciones de vigilancia deberían ser de libre acceso. Un representante subrayó la importancia de respetar la soberanía nacional sobre los datos recogidos. Otro representante destacó la necesidad de obtener permiso de los servicios nacionales de vigilancia atmosférica pertinentes y otras instituciones relacionadas para ejecutar el proyecto en el emplazamiento de la estación de vigilancia de las emisiones de sustancias </w:t>
      </w:r>
      <w:r w:rsidR="006971E5" w:rsidRPr="00DD0373">
        <w:rPr>
          <w:lang w:val="es-ES_tradnl"/>
        </w:rPr>
        <w:t>controladas</w:t>
      </w:r>
      <w:r w:rsidRPr="00DD0373">
        <w:rPr>
          <w:lang w:val="es-ES_tradnl"/>
        </w:rPr>
        <w:t xml:space="preserve"> por el Protocolo de Montreal, según lo determinado por los expertos.</w:t>
      </w:r>
    </w:p>
    <w:p w14:paraId="0D25FDF2" w14:textId="26ED41CB" w:rsidR="00953C56" w:rsidRPr="00DD0373" w:rsidRDefault="00953C56" w:rsidP="006B75D5">
      <w:pPr>
        <w:pStyle w:val="Normalnumber"/>
        <w:tabs>
          <w:tab w:val="clear" w:pos="1247"/>
          <w:tab w:val="clear" w:pos="1814"/>
          <w:tab w:val="clear" w:pos="2381"/>
          <w:tab w:val="clear" w:pos="2948"/>
          <w:tab w:val="clear" w:pos="3515"/>
        </w:tabs>
        <w:ind w:left="1247"/>
        <w:rPr>
          <w:lang w:val="es-ES_tradnl"/>
        </w:rPr>
      </w:pPr>
      <w:r w:rsidRPr="00DD0373">
        <w:rPr>
          <w:lang w:val="es-ES_tradnl"/>
        </w:rPr>
        <w:t>Un representante expresó su apoyo al planteamiento del Comité Asesor de evaluar los posibles emplazamientos de las estaciones de vigilancia basándose en criterios científicos y técnicos. Otra representante instó a la creación de estaciones en regiones que en ese momento carecían de ellas, incluidos países con temperatura ambiente elevada. Otro representante pidió que se llevase a cabo un</w:t>
      </w:r>
      <w:r w:rsidR="00FF3910" w:rsidRPr="00DD0373">
        <w:rPr>
          <w:lang w:val="es-ES_tradnl"/>
        </w:rPr>
        <w:t> </w:t>
      </w:r>
      <w:r w:rsidRPr="00DD0373">
        <w:rPr>
          <w:lang w:val="es-ES_tradnl"/>
        </w:rPr>
        <w:t>seguimiento eficaz en las cinco regiones de las Naciones Unidas en emplazamientos adecuados, teniendo en cuenta las diferencias de topografía geográfica, superficie terrestre y retos específicos de cada región.</w:t>
      </w:r>
    </w:p>
    <w:p w14:paraId="176F63FB" w14:textId="645D5846" w:rsidR="00E33215" w:rsidRPr="00DD0373" w:rsidRDefault="00E33215" w:rsidP="006B75D5">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Un representante expresó su satisfacción por el hecho de que </w:t>
      </w:r>
      <w:r w:rsidR="00176593" w:rsidRPr="00DD0373">
        <w:rPr>
          <w:lang w:val="es-ES_tradnl"/>
        </w:rPr>
        <w:t xml:space="preserve">se hubiese determinado que su país podía ser un </w:t>
      </w:r>
      <w:r w:rsidRPr="00DD0373">
        <w:rPr>
          <w:lang w:val="es-ES_tradnl"/>
        </w:rPr>
        <w:t>emplazamiento para una estación de vigilancia, y declaró la voluntad de su país de acogerla, sobre todo teniendo en cuenta que ya poseía cierta capacidad científica al respecto. Otro representante sugirió que se situase una estación en África Occidental.</w:t>
      </w:r>
    </w:p>
    <w:p w14:paraId="058BD48E" w14:textId="6C1060E0" w:rsidR="00953C56"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El representante del Ecuador señaló que en la presentación se había indicado erróneamente que su país estaba situado en América Central, en lugar de América del Sur</w:t>
      </w:r>
      <w:r w:rsidR="000930E9" w:rsidRPr="00DD0373">
        <w:rPr>
          <w:rStyle w:val="FootnoteReference"/>
          <w:lang w:val="es-ES_tradnl"/>
        </w:rPr>
        <w:footnoteReference w:id="2"/>
      </w:r>
      <w:r w:rsidRPr="00DD0373">
        <w:rPr>
          <w:lang w:val="es-ES_tradnl"/>
        </w:rPr>
        <w:t>. El orador sugirió los Andes como emplazamiento adecuado para una estación de vigilancia.</w:t>
      </w:r>
    </w:p>
    <w:p w14:paraId="6066026F" w14:textId="1AD20F09" w:rsidR="00953C56" w:rsidRPr="00DD0373" w:rsidRDefault="00953C56"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Otro representante pidió que se siguiese debatiendo el número total de estaciones de vigilancia que podrían establecerse, habida cuenta de la financiación disponible, y </w:t>
      </w:r>
      <w:r w:rsidR="00B452C3" w:rsidRPr="00DD0373">
        <w:rPr>
          <w:lang w:val="es-ES_tradnl"/>
        </w:rPr>
        <w:t>la conveniencia</w:t>
      </w:r>
      <w:r w:rsidRPr="00DD0373">
        <w:rPr>
          <w:lang w:val="es-ES_tradnl"/>
        </w:rPr>
        <w:t xml:space="preserve"> </w:t>
      </w:r>
      <w:r w:rsidR="00B452C3" w:rsidRPr="00DD0373">
        <w:rPr>
          <w:lang w:val="es-ES_tradnl"/>
        </w:rPr>
        <w:t xml:space="preserve">de </w:t>
      </w:r>
      <w:r w:rsidRPr="00DD0373">
        <w:rPr>
          <w:lang w:val="es-ES_tradnl"/>
        </w:rPr>
        <w:t xml:space="preserve">realizar trabajos preliminares para determinar emplazamientos adecuados. Estando conforme con esta sugerencia, otro representante pidió que se prestase especial atención a los </w:t>
      </w:r>
      <w:r w:rsidR="00EC2BB1" w:rsidRPr="00DD0373">
        <w:rPr>
          <w:lang w:val="es-ES_tradnl"/>
        </w:rPr>
        <w:t>emplazamientos</w:t>
      </w:r>
      <w:r w:rsidRPr="00DD0373">
        <w:rPr>
          <w:lang w:val="es-ES_tradnl"/>
        </w:rPr>
        <w:t xml:space="preserve"> en los que</w:t>
      </w:r>
      <w:r w:rsidR="00FF3910" w:rsidRPr="00DD0373">
        <w:rPr>
          <w:lang w:val="es-ES_tradnl"/>
        </w:rPr>
        <w:t> </w:t>
      </w:r>
      <w:r w:rsidRPr="00DD0373">
        <w:rPr>
          <w:lang w:val="es-ES_tradnl"/>
        </w:rPr>
        <w:t xml:space="preserve">hubiese un claro compromiso del país anfitrión de contribuir con apoyo financiero, así como un </w:t>
      </w:r>
      <w:r w:rsidRPr="00DD0373">
        <w:rPr>
          <w:lang w:val="es-ES_tradnl"/>
        </w:rPr>
        <w:lastRenderedPageBreak/>
        <w:t>compromiso a largo plazo por parte de una institución anfitriona de proporcionar recursos para apoyar el trabajo más allá de los cinco años de duración de la posible nueva subvención de la Unión Europea.</w:t>
      </w:r>
    </w:p>
    <w:p w14:paraId="741A8025" w14:textId="01D046C1"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Posteriormente, el representante de la Unión Europea presentó una propuesta de proyecto de decisión recogida en un documento de sesión destinado a impulsar la labor de mejora de la vigilancia atmosférica regional de sustancias controladas por el Protocolo de Montreal. En el proyecto de decisión, se solicitó a la Secretaría que, en consulta con el Comité Asesor del fondo fiduciario general</w:t>
      </w:r>
      <w:r w:rsidR="00FF3910" w:rsidRPr="00DD0373">
        <w:rPr>
          <w:lang w:val="es-ES_tradnl"/>
        </w:rPr>
        <w:t> </w:t>
      </w:r>
      <w:r w:rsidRPr="00DD0373">
        <w:rPr>
          <w:lang w:val="es-ES_tradnl"/>
        </w:rPr>
        <w:t>del Convenio de Viena, continuase evaluando la idoneidad de los posibles emplazamientos para la vigilancia de las emisiones de sustancias controladas, que avanzase en esa labor mediante la determinación de la infraestructura y las estaciones existentes en los diez emplazamientos señalados por el Comité Asesor y en los alrededores de estos, y que preparase los pasos siguientes para establecer actividades de vigilancia en esos emplazamientos. La decisión también contenía las solicitudes siguientes: a) que se previese una partida presupuestaria en 2026 para permitir que esa labor continuase; b) que la Secretaría informase al Grupo de Trabajo de composición abierta en su</w:t>
      </w:r>
      <w:r w:rsidR="007D4F7B" w:rsidRPr="00DD0373">
        <w:rPr>
          <w:lang w:val="es-ES_tradnl"/>
        </w:rPr>
        <w:t> </w:t>
      </w:r>
      <w:r w:rsidRPr="00DD0373">
        <w:rPr>
          <w:lang w:val="es-ES_tradnl"/>
        </w:rPr>
        <w:t>48ª</w:t>
      </w:r>
      <w:r w:rsidR="007D4F7B" w:rsidRPr="00DD0373">
        <w:rPr>
          <w:lang w:val="es-ES_tradnl"/>
        </w:rPr>
        <w:t> </w:t>
      </w:r>
      <w:r w:rsidRPr="00DD0373">
        <w:rPr>
          <w:lang w:val="es-ES_tradnl"/>
        </w:rPr>
        <w:t xml:space="preserve">reunión y a la 38ª Reunión de las </w:t>
      </w:r>
      <w:r w:rsidR="00C17707">
        <w:rPr>
          <w:lang w:val="es-ES_tradnl"/>
        </w:rPr>
        <w:t>Partes</w:t>
      </w:r>
      <w:r w:rsidRPr="00DD0373">
        <w:rPr>
          <w:lang w:val="es-ES_tradnl"/>
        </w:rPr>
        <w:t xml:space="preserve"> sobre los progresos realizados, y c) que el Comité Ejecutivo del Fondo Multilateral tuviese en cuenta determinada información y los costos estimados al elaborar directrices y considerar una ventanilla de financiación para sufragar proyectos piloto.</w:t>
      </w:r>
    </w:p>
    <w:p w14:paraId="37B2F012" w14:textId="1344922F"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Varios representantes agradecieron a la Unión Europea la presentación de la propuesta de proyecto de decisión y formularon una serie de sugerencias de modificación y aclaración. Un representante sugirió añadir un texto en que se resaltase la importancia del tema para la aplicación continua del Protocolo de Montreal, y también añadir una referencia a las </w:t>
      </w:r>
      <w:r w:rsidR="00C17707">
        <w:rPr>
          <w:lang w:val="es-ES_tradnl"/>
        </w:rPr>
        <w:t>Partes</w:t>
      </w:r>
      <w:r w:rsidRPr="00DD0373">
        <w:rPr>
          <w:lang w:val="es-ES_tradnl"/>
        </w:rPr>
        <w:t xml:space="preserve"> que estaban dispuestas a aceptar el establecimiento de estaciones de vigilancia en sus países. Otro representante señaló la necesidad de llegar a una decisión sobre el nivel adecuado de financiación para 2026. El</w:t>
      </w:r>
      <w:r w:rsidR="0051369B" w:rsidRPr="00DD0373">
        <w:rPr>
          <w:lang w:val="es-ES_tradnl"/>
        </w:rPr>
        <w:t> </w:t>
      </w:r>
      <w:r w:rsidRPr="00DD0373">
        <w:rPr>
          <w:lang w:val="es-ES_tradnl"/>
        </w:rPr>
        <w:t xml:space="preserve">representante también sugirió la necesidad de aclarar si la referencia a los diez posibles emplazamientos se refería únicamente a los señalados por el Comité Asesor, o si </w:t>
      </w:r>
      <w:proofErr w:type="gramStart"/>
      <w:r w:rsidRPr="00DD0373">
        <w:rPr>
          <w:lang w:val="es-ES_tradnl"/>
        </w:rPr>
        <w:t>podría</w:t>
      </w:r>
      <w:proofErr w:type="gramEnd"/>
      <w:r w:rsidRPr="00DD0373">
        <w:rPr>
          <w:lang w:val="es-ES_tradnl"/>
        </w:rPr>
        <w:t xml:space="preserve"> haber algunos otros emplazamientos que también mereciesen consideración. Otro representante sugirió añadir una referencia a posibles emplazamientos en los que ya existiese una infraestructura adecuada.</w:t>
      </w:r>
    </w:p>
    <w:p w14:paraId="66B0BA47" w14:textId="11335797"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bookmarkStart w:id="5" w:name="_Hlk213229573"/>
      <w:r w:rsidRPr="00DD0373">
        <w:rPr>
          <w:lang w:val="es-ES_tradnl"/>
        </w:rPr>
        <w:t xml:space="preserve">Las </w:t>
      </w:r>
      <w:r w:rsidR="00C17707">
        <w:rPr>
          <w:lang w:val="es-ES_tradnl"/>
        </w:rPr>
        <w:t>Partes</w:t>
      </w:r>
      <w:r w:rsidRPr="00DD0373">
        <w:rPr>
          <w:lang w:val="es-ES_tradnl"/>
        </w:rPr>
        <w:t xml:space="preserve"> acordaron establecer un grupo de contacto, copresidido por Alain Wilmart (Bélgica) y Sophia Anselm</w:t>
      </w:r>
      <w:r w:rsidRPr="00DD0373">
        <w:rPr>
          <w:lang w:val="es-ES_tradnl"/>
        </w:rPr>
        <w:noBreakHyphen/>
        <w:t>Larocque (Dominica), encargado de seguir debatiendo el proyecto de decisión.</w:t>
      </w:r>
    </w:p>
    <w:bookmarkEnd w:id="5"/>
    <w:p w14:paraId="4CB25092" w14:textId="7FD83739" w:rsidR="006B128A" w:rsidRPr="00DD0373" w:rsidRDefault="006B128A" w:rsidP="002C30D7">
      <w:pPr>
        <w:pStyle w:val="Normalnumber"/>
        <w:rPr>
          <w:lang w:val="es-ES_tradnl"/>
        </w:rPr>
      </w:pPr>
      <w:r w:rsidRPr="00DD0373">
        <w:rPr>
          <w:lang w:val="es-ES_tradnl"/>
        </w:rPr>
        <w:t xml:space="preserve">Posteriormente, el Copresidente del grupo de contacto informó de que el grupo de contacto había llegado a un acuerdo sobre un proyecto de decisión relativo a la mejora de la vigilancia atmosférica regional de sustancias controladas por el Protocolo de Montreal para que las </w:t>
      </w:r>
      <w:r w:rsidR="00B83E22">
        <w:rPr>
          <w:lang w:val="es-ES_tradnl"/>
        </w:rPr>
        <w:t>Partes</w:t>
      </w:r>
      <w:r w:rsidRPr="00DD0373">
        <w:rPr>
          <w:lang w:val="es-ES_tradnl"/>
        </w:rPr>
        <w:t xml:space="preserve"> lo examinasen.</w:t>
      </w:r>
    </w:p>
    <w:p w14:paraId="6FC9DD89" w14:textId="14BB87FE" w:rsidR="006B128A" w:rsidRPr="00DD0373" w:rsidRDefault="006B128A" w:rsidP="006B128A">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Las </w:t>
      </w:r>
      <w:r w:rsidR="00C17707">
        <w:rPr>
          <w:lang w:val="es-ES_tradnl"/>
        </w:rPr>
        <w:t>Partes</w:t>
      </w:r>
      <w:r w:rsidRPr="00DD0373">
        <w:rPr>
          <w:lang w:val="es-ES_tradnl"/>
        </w:rPr>
        <w:t xml:space="preserve"> acordaron remitir el proyecto de decisión para su posterior examen y posible adopción durante la serie de sesiones de alto nivel.</w:t>
      </w:r>
    </w:p>
    <w:p w14:paraId="23305463" w14:textId="77355BC6" w:rsidR="00C20895" w:rsidRPr="00DD0373" w:rsidRDefault="00A46563" w:rsidP="005D30C7">
      <w:pPr>
        <w:pStyle w:val="CH1"/>
        <w:keepNext w:val="0"/>
        <w:keepLines w:val="0"/>
        <w:rPr>
          <w:lang w:val="es-ES_tradnl"/>
        </w:rPr>
      </w:pPr>
      <w:r w:rsidRPr="00DD0373">
        <w:rPr>
          <w:bCs/>
          <w:lang w:val="es-ES_tradnl"/>
        </w:rPr>
        <w:tab/>
      </w:r>
      <w:r w:rsidR="00943322" w:rsidRPr="00DD0373">
        <w:rPr>
          <w:bCs/>
          <w:lang w:val="es-ES_tradnl"/>
        </w:rPr>
        <w:t>VII.</w:t>
      </w:r>
      <w:r w:rsidR="00943322" w:rsidRPr="00DD0373">
        <w:rPr>
          <w:lang w:val="es-ES_tradnl"/>
        </w:rPr>
        <w:tab/>
      </w:r>
      <w:r w:rsidR="00943322" w:rsidRPr="00DD0373">
        <w:rPr>
          <w:bCs/>
          <w:lang w:val="es-ES_tradnl"/>
        </w:rPr>
        <w:t xml:space="preserve">Elaboración de estudios y estrategias para encontrar soluciones a medio y largo plazo a la gran acumulación de inventarios de gases refrigerantes que culminan su ciclo de vida en las </w:t>
      </w:r>
      <w:r w:rsidR="00C17707">
        <w:rPr>
          <w:bCs/>
          <w:lang w:val="es-ES_tradnl"/>
        </w:rPr>
        <w:t>Partes</w:t>
      </w:r>
      <w:r w:rsidR="00943322" w:rsidRPr="00DD0373">
        <w:rPr>
          <w:bCs/>
          <w:lang w:val="es-ES_tradnl"/>
        </w:rPr>
        <w:t xml:space="preserve"> que operan al amparo del párrafo 1 del artículo 5 del Protocolo de Montreal</w:t>
      </w:r>
    </w:p>
    <w:p w14:paraId="1AAA2CA8" w14:textId="559582F7" w:rsidR="002D5348" w:rsidRPr="00DD0373" w:rsidRDefault="002D5348" w:rsidP="002C30D7">
      <w:pPr>
        <w:pStyle w:val="Normalnumber"/>
        <w:rPr>
          <w:lang w:val="es-ES_tradnl"/>
        </w:rPr>
      </w:pPr>
      <w:r w:rsidRPr="00DD0373">
        <w:rPr>
          <w:lang w:val="es-ES_tradnl"/>
        </w:rPr>
        <w:t xml:space="preserve">Al examinar el tema, las </w:t>
      </w:r>
      <w:r w:rsidR="00C17707">
        <w:rPr>
          <w:lang w:val="es-ES_tradnl"/>
        </w:rPr>
        <w:t>Partes</w:t>
      </w:r>
      <w:r w:rsidRPr="00DD0373">
        <w:rPr>
          <w:lang w:val="es-ES_tradnl"/>
        </w:rPr>
        <w:t xml:space="preserve"> tuvieron ante sí los párrafos 44 a 47 de la nota de la Secretaría sobre las cuestiones que se examinarían en la 37ª Reunión de las </w:t>
      </w:r>
      <w:r w:rsidR="00C17707">
        <w:rPr>
          <w:lang w:val="es-ES_tradnl"/>
        </w:rPr>
        <w:t>Partes</w:t>
      </w:r>
      <w:r w:rsidRPr="00DD0373">
        <w:rPr>
          <w:lang w:val="es-ES_tradnl"/>
        </w:rPr>
        <w:t xml:space="preserve"> en el Protocolo de Montreal e información que se señalaba a su atención (UNEP/OzL.Pro.37/2), los párrafos 77 a 90 y el anexo I del informe de la 47ª reunión del Grupo de Trabajo de composición abierta de las </w:t>
      </w:r>
      <w:r w:rsidR="00C17707">
        <w:rPr>
          <w:lang w:val="es-ES_tradnl"/>
        </w:rPr>
        <w:t>Partes</w:t>
      </w:r>
      <w:r w:rsidRPr="00DD0373">
        <w:rPr>
          <w:lang w:val="es-ES_tradnl"/>
        </w:rPr>
        <w:t xml:space="preserve"> en el Protocolo de Montreal relativo a las Sustancias que Agotan la Capa de Ozono (UNEP/OzL.Pro.WG.1/47/6) y la sección 6.9 del informe sobre los progresos realizados del Grupo de Evaluación Tecnológica y Económica, mayo de 2025, volumen 1.</w:t>
      </w:r>
    </w:p>
    <w:p w14:paraId="0D7FD697" w14:textId="59F7A528"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La Copresidenta recordó que, en la 47ª reunión del Grupo de Trabajo de composición abierta, en el contexto de los debates sobre la gestión del ciclo de vida de los refrigerantes, Cuba había presentado un proyecto de decisión para poner de relieve la preocupación por el aumento del volumen de gases refrigerantes que se acercaban al final de su ciclo de vida útil en las </w:t>
      </w:r>
      <w:r w:rsidR="00C17707">
        <w:rPr>
          <w:lang w:val="es-ES_tradnl"/>
        </w:rPr>
        <w:t>Partes</w:t>
      </w:r>
      <w:r w:rsidRPr="00DD0373">
        <w:rPr>
          <w:lang w:val="es-ES_tradnl"/>
        </w:rPr>
        <w:t xml:space="preserve"> que operan al amparo del artículo 5. Aunque el grupo de contacto que había examinado el proyecto de decisión había logrado avances satisfactorios, no había sido posible llegar a un acuerdo. En consecuencia, el Grupo de Trabajo había acordado que, en la 37ª Reunión de las </w:t>
      </w:r>
      <w:r w:rsidR="00C17707">
        <w:rPr>
          <w:lang w:val="es-ES_tradnl"/>
        </w:rPr>
        <w:t>Partes</w:t>
      </w:r>
      <w:r w:rsidRPr="00DD0373">
        <w:rPr>
          <w:lang w:val="es-ES_tradnl"/>
        </w:rPr>
        <w:t>, se reanudarían los debates sobre la gestión del ciclo de vida de los refrigerantes, sobre la base del proyecto de decisión en la versión revisada por el grupo de contacto. En el documento UNEP/OzL.Pro.37/3 se recogía el proyecto de decisión revisado (proyecto de decisión XXXVII/[B]).</w:t>
      </w:r>
    </w:p>
    <w:p w14:paraId="7C58231D" w14:textId="518FA44F"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lastRenderedPageBreak/>
        <w:t xml:space="preserve">Las </w:t>
      </w:r>
      <w:r w:rsidR="00C17707">
        <w:rPr>
          <w:lang w:val="es-ES_tradnl"/>
        </w:rPr>
        <w:t>Partes</w:t>
      </w:r>
      <w:r w:rsidRPr="00DD0373">
        <w:rPr>
          <w:lang w:val="es-ES_tradnl"/>
        </w:rPr>
        <w:t xml:space="preserve"> acordaron establecer un grupo de contacto, copresidido por Morane </w:t>
      </w:r>
      <w:proofErr w:type="spellStart"/>
      <w:r w:rsidRPr="00DD0373">
        <w:rPr>
          <w:lang w:val="es-ES_tradnl"/>
        </w:rPr>
        <w:t>Godfrin</w:t>
      </w:r>
      <w:proofErr w:type="spellEnd"/>
      <w:r w:rsidRPr="00DD0373">
        <w:rPr>
          <w:lang w:val="es-ES_tradnl"/>
        </w:rPr>
        <w:t xml:space="preserve"> (Francia) y Sergio Merino (México), encargado de seguir debatiendo el proyecto de decisión.</w:t>
      </w:r>
    </w:p>
    <w:p w14:paraId="35E9648D" w14:textId="12BB69C7" w:rsidR="006B128A" w:rsidRPr="00DD0373" w:rsidRDefault="006B128A" w:rsidP="006B128A">
      <w:pPr>
        <w:pStyle w:val="Normalnumber"/>
        <w:rPr>
          <w:lang w:val="es-ES_tradnl"/>
        </w:rPr>
      </w:pPr>
      <w:r w:rsidRPr="00DD0373">
        <w:rPr>
          <w:lang w:val="es-ES_tradnl"/>
        </w:rPr>
        <w:t xml:space="preserve">Posteriormente, el Copresidente del grupo de contacto informó de que el grupo había llegado a un acuerdo sobre un proyecto de decisión relativo a un estudio de las cantidades y las opciones de las sustancias controladas utilizadas y no deseadas en el marco del Protocolo de Montreal, incluidas las que se encontraban al final de su vida útil, para su examen por las </w:t>
      </w:r>
      <w:r w:rsidR="00C17707">
        <w:rPr>
          <w:lang w:val="es-ES_tradnl"/>
        </w:rPr>
        <w:t>Partes</w:t>
      </w:r>
      <w:r w:rsidRPr="00DD0373">
        <w:rPr>
          <w:lang w:val="es-ES_tradnl"/>
        </w:rPr>
        <w:t>.</w:t>
      </w:r>
    </w:p>
    <w:p w14:paraId="55C346BE" w14:textId="32753432" w:rsidR="006B128A" w:rsidRPr="00DD0373" w:rsidRDefault="006B128A" w:rsidP="006B128A">
      <w:pPr>
        <w:pStyle w:val="Normalnumber"/>
        <w:rPr>
          <w:lang w:val="es-ES_tradnl"/>
        </w:rPr>
      </w:pPr>
      <w:r w:rsidRPr="00DD0373">
        <w:rPr>
          <w:lang w:val="es-ES_tradnl"/>
        </w:rPr>
        <w:t xml:space="preserve">Las </w:t>
      </w:r>
      <w:r w:rsidR="00C17707">
        <w:rPr>
          <w:lang w:val="es-ES_tradnl"/>
        </w:rPr>
        <w:t>Partes</w:t>
      </w:r>
      <w:r w:rsidRPr="00DD0373">
        <w:rPr>
          <w:lang w:val="es-ES_tradnl"/>
        </w:rPr>
        <w:t xml:space="preserve"> acordaron remitir el proyecto de decisión para su posterior examen y posible adopción durante la serie de sesiones de alto nivel.</w:t>
      </w:r>
    </w:p>
    <w:p w14:paraId="060B727C" w14:textId="12121B88" w:rsidR="00C20895" w:rsidRPr="00DD0373" w:rsidRDefault="00A46563" w:rsidP="005D30C7">
      <w:pPr>
        <w:pStyle w:val="CH1"/>
        <w:keepNext w:val="0"/>
        <w:keepLines w:val="0"/>
        <w:rPr>
          <w:lang w:val="es-ES_tradnl"/>
        </w:rPr>
      </w:pPr>
      <w:r w:rsidRPr="00DD0373">
        <w:rPr>
          <w:bCs/>
          <w:lang w:val="es-ES_tradnl"/>
        </w:rPr>
        <w:tab/>
      </w:r>
      <w:r w:rsidR="00943322" w:rsidRPr="00DD0373">
        <w:rPr>
          <w:bCs/>
          <w:lang w:val="es-ES_tradnl"/>
        </w:rPr>
        <w:t>VIII.</w:t>
      </w:r>
      <w:r w:rsidR="00943322" w:rsidRPr="00DD0373">
        <w:rPr>
          <w:lang w:val="es-ES_tradnl"/>
        </w:rPr>
        <w:tab/>
      </w:r>
      <w:r w:rsidR="00943322" w:rsidRPr="00DD0373">
        <w:rPr>
          <w:bCs/>
          <w:lang w:val="es-ES_tradnl"/>
        </w:rPr>
        <w:t>Usos de sustancias controladas como materia prima</w:t>
      </w:r>
    </w:p>
    <w:p w14:paraId="6F7103ED" w14:textId="53AAAE4A" w:rsidR="002D5348" w:rsidRPr="00DD0373" w:rsidRDefault="002D5348" w:rsidP="002C30D7">
      <w:pPr>
        <w:pStyle w:val="Normalnumber"/>
        <w:rPr>
          <w:lang w:val="es-ES_tradnl"/>
        </w:rPr>
      </w:pPr>
      <w:r w:rsidRPr="00DD0373">
        <w:rPr>
          <w:lang w:val="es-ES_tradnl"/>
        </w:rPr>
        <w:t xml:space="preserve">Al examinar este tema, las </w:t>
      </w:r>
      <w:r w:rsidR="00C17707">
        <w:rPr>
          <w:lang w:val="es-ES_tradnl"/>
        </w:rPr>
        <w:t>Partes</w:t>
      </w:r>
      <w:r w:rsidRPr="00DD0373">
        <w:rPr>
          <w:lang w:val="es-ES_tradnl"/>
        </w:rPr>
        <w:t xml:space="preserve"> tuvieron ante sí los párrafos 48 a 54 de la nota de la Secretaría sobre cuestiones que se examinarían en la 37ª Reunión de las </w:t>
      </w:r>
      <w:r w:rsidR="00C17707">
        <w:rPr>
          <w:lang w:val="es-ES_tradnl"/>
        </w:rPr>
        <w:t>Partes</w:t>
      </w:r>
      <w:r w:rsidRPr="00DD0373">
        <w:rPr>
          <w:lang w:val="es-ES_tradnl"/>
        </w:rPr>
        <w:t xml:space="preserve"> en el Protocolo de Montreal relativo a las Sustancias que Agotan la Capa de Ozono e información que se señalaba a su atención (UNEP/OzL.Pro.37/2), los párrafos 143 a 148 y el anexo I del informe de la 47ª reunión del Grupo de</w:t>
      </w:r>
      <w:r w:rsidR="00A94CC4" w:rsidRPr="00DD0373">
        <w:rPr>
          <w:lang w:val="es-ES_tradnl"/>
        </w:rPr>
        <w:t> </w:t>
      </w:r>
      <w:r w:rsidRPr="00DD0373">
        <w:rPr>
          <w:lang w:val="es-ES_tradnl"/>
        </w:rPr>
        <w:t xml:space="preserve">Trabajo de composición abierta de las </w:t>
      </w:r>
      <w:r w:rsidR="00C17707">
        <w:rPr>
          <w:lang w:val="es-ES_tradnl"/>
        </w:rPr>
        <w:t>Partes</w:t>
      </w:r>
      <w:r w:rsidRPr="00DD0373">
        <w:rPr>
          <w:lang w:val="es-ES_tradnl"/>
        </w:rPr>
        <w:t xml:space="preserve"> en el Protocolo de Montreal relativo a las Sustancias que</w:t>
      </w:r>
      <w:r w:rsidR="00A94CC4" w:rsidRPr="00DD0373">
        <w:rPr>
          <w:lang w:val="es-ES_tradnl"/>
        </w:rPr>
        <w:t> </w:t>
      </w:r>
      <w:r w:rsidRPr="00DD0373">
        <w:rPr>
          <w:lang w:val="es-ES_tradnl"/>
        </w:rPr>
        <w:t xml:space="preserve">Agotan la Capa de Ozono (UNEP/OzL.Pro.WG.1/47/6), los párrafos 52 y 53 de la nota de la Secretaría sobre cuestiones que el Grupo de Trabajo de composición abierta de las </w:t>
      </w:r>
      <w:r w:rsidR="00C17707">
        <w:rPr>
          <w:lang w:val="es-ES_tradnl"/>
        </w:rPr>
        <w:t>Partes</w:t>
      </w:r>
      <w:r w:rsidRPr="00DD0373">
        <w:rPr>
          <w:lang w:val="es-ES_tradnl"/>
        </w:rPr>
        <w:t xml:space="preserve"> en el Protocolo de Montreal examinaría en su 47ª reunión e información que se señalaba a su atención (UNEP/OzL.Pro.WG.1/47/2/Add.1) y la nota de la Secretaría sobre la recopilación de la información proporcionada por las </w:t>
      </w:r>
      <w:r w:rsidR="00C17707">
        <w:rPr>
          <w:lang w:val="es-ES_tradnl"/>
        </w:rPr>
        <w:t>Partes</w:t>
      </w:r>
      <w:r w:rsidRPr="00DD0373">
        <w:rPr>
          <w:lang w:val="es-ES_tradnl"/>
        </w:rPr>
        <w:t xml:space="preserve"> sobre las prácticas y tecnologías utilizadas para reducir las emisiones de sustancias controladas y sobre sus procedimientos y marcos nacionales establecidos para la gestión de la producción y el uso de sustancias controladas como materia prima (UNEP/OzL.Pro.WG.1/47/3 y UNEP/OzL.Pro.WG.1/47/3/Add.1). En el documento UNEP/OzL.Pro.37/3 se recogía un proyecto de decisión sobre la cuestión (proyecto de decisión XXXVII/[C]).</w:t>
      </w:r>
    </w:p>
    <w:p w14:paraId="5DB08C17" w14:textId="5C72C470"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La Copresidenta recordó que, en la 47ª reunión del Grupo de Trabajo de composición abierta, la Unión Europea, también en nombre de Suiza, había presentado un proyecto de decisión sobre las materias primas. Aunque el grupo de contacto que había examinado el proyecto de decisión había logrado avances satisfactorios, no había podido concluir su labor. En consecuencia, el Grupo de Trabajo había acordado que, en la 37ª Reunión de las </w:t>
      </w:r>
      <w:r w:rsidR="00C17707">
        <w:rPr>
          <w:lang w:val="es-ES_tradnl"/>
        </w:rPr>
        <w:t>Partes</w:t>
      </w:r>
      <w:r w:rsidRPr="00DD0373">
        <w:rPr>
          <w:lang w:val="es-ES_tradnl"/>
        </w:rPr>
        <w:t xml:space="preserve">, se reanudarían los debates sobre las materias primas, sobre la base del proyecto de decisión en la versión revisada por el grupo de contacto. La oradora sugirió que las </w:t>
      </w:r>
      <w:r w:rsidR="00C17707">
        <w:rPr>
          <w:lang w:val="es-ES_tradnl"/>
        </w:rPr>
        <w:t>Partes</w:t>
      </w:r>
      <w:r w:rsidRPr="00DD0373">
        <w:rPr>
          <w:lang w:val="es-ES_tradnl"/>
        </w:rPr>
        <w:t xml:space="preserve"> podrían considerar la posibilidad de establecer un grupo de contacto para seguir debatiendo el proyecto de decisión.</w:t>
      </w:r>
    </w:p>
    <w:p w14:paraId="58FB24E5" w14:textId="3A4577BD"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Un representante recordó a las </w:t>
      </w:r>
      <w:r w:rsidR="00C17707">
        <w:rPr>
          <w:lang w:val="es-ES_tradnl"/>
        </w:rPr>
        <w:t>Partes</w:t>
      </w:r>
      <w:r w:rsidRPr="00DD0373">
        <w:rPr>
          <w:lang w:val="es-ES_tradnl"/>
        </w:rPr>
        <w:t xml:space="preserve"> que, como se había establecido en la decisión IV/12, las</w:t>
      </w:r>
      <w:r w:rsidR="00A94CC4" w:rsidRPr="00DD0373">
        <w:rPr>
          <w:lang w:val="es-ES_tradnl"/>
        </w:rPr>
        <w:t> </w:t>
      </w:r>
      <w:r w:rsidRPr="00DD0373">
        <w:rPr>
          <w:lang w:val="es-ES_tradnl"/>
        </w:rPr>
        <w:t xml:space="preserve">cantidades insignificantes de sustancias controladas que tuviesen su origen en inadvertencias o coincidencias de producción durante un proceso de fabricación, en materias primas que no hubiesen reaccionado o en su uso como agentes de procesos que estuviesen presentes en sustancias químicas como </w:t>
      </w:r>
      <w:proofErr w:type="spellStart"/>
      <w:r w:rsidRPr="00DD0373">
        <w:rPr>
          <w:lang w:val="es-ES_tradnl"/>
        </w:rPr>
        <w:t>microimpurezas</w:t>
      </w:r>
      <w:proofErr w:type="spellEnd"/>
      <w:r w:rsidRPr="00DD0373">
        <w:rPr>
          <w:lang w:val="es-ES_tradnl"/>
        </w:rPr>
        <w:t xml:space="preserve"> residuales, o que se emitiesen durante la fabricación o manipulación del producto no se considerarían incluidas en la definición de sustancia controlada que figuraba en el párrafo</w:t>
      </w:r>
      <w:r w:rsidR="00333442" w:rsidRPr="00DD0373">
        <w:rPr>
          <w:lang w:val="es-ES_tradnl"/>
        </w:rPr>
        <w:t> </w:t>
      </w:r>
      <w:r w:rsidRPr="00DD0373">
        <w:rPr>
          <w:lang w:val="es-ES_tradnl"/>
        </w:rPr>
        <w:t xml:space="preserve">4 del artículo 1 del Protocolo de Montreal. En virtud de la decisión XXXV/6, las </w:t>
      </w:r>
      <w:r w:rsidR="00C17707">
        <w:rPr>
          <w:lang w:val="es-ES_tradnl"/>
        </w:rPr>
        <w:t>Partes</w:t>
      </w:r>
      <w:r w:rsidRPr="00DD0373">
        <w:rPr>
          <w:lang w:val="es-ES_tradnl"/>
        </w:rPr>
        <w:t xml:space="preserve"> ya habían presentado información sobre las mejores prácticas y los procedimientos y marcos nacionales para la gestión de las emisiones procedentes de las materias primas.</w:t>
      </w:r>
    </w:p>
    <w:p w14:paraId="35C35D87" w14:textId="77777777"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Otro representante se mostró de acuerdo y señaló que, a pesar de que había aumentado el uso de sustancias controladas como materia prima, no se había producido un aumento correspondiente de las emisiones. Cualquier decisión debía reflejar esos hechos científicamente probados y centrarse en mejorar los datos y la colaboración, así como en aumentar la creación de capacidad, sin imponer nuevas obligaciones a los países en desarrollo.</w:t>
      </w:r>
    </w:p>
    <w:p w14:paraId="22E7D2F2" w14:textId="69D41638"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Las </w:t>
      </w:r>
      <w:r w:rsidR="00C17707">
        <w:rPr>
          <w:lang w:val="es-ES_tradnl"/>
        </w:rPr>
        <w:t>Partes</w:t>
      </w:r>
      <w:r w:rsidRPr="00DD0373">
        <w:rPr>
          <w:lang w:val="es-ES_tradnl"/>
        </w:rPr>
        <w:t xml:space="preserve"> acordaron establecer un grupo de contacto, copresidido por Liana Ghahramanyan (Armenia) y Morgan Simpson (Reino Unido), encargado de seguir debatiendo el proyecto de decisión.</w:t>
      </w:r>
    </w:p>
    <w:p w14:paraId="32944BA8" w14:textId="5CAF50D4"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Posteriormente, en respuesta a las preocupaciones planteadas por varios representantes que participaron en el grupo de contacto y tomaron la palabra, una representante de la Secretaría aclaró que, si bien no era inusual que se celebrasen consultas al margen de un grupo de contacto con el fin de alcanzar un consenso o simplificar el texto propuesto de un proyecto de decisión, era importante que cualquier texto nuevo, revisado o suprimido tras esas consultas se presentase en el grupo de contacto. Tras las deliberaciones, las </w:t>
      </w:r>
      <w:r w:rsidR="00C17707">
        <w:rPr>
          <w:lang w:val="es-ES_tradnl"/>
        </w:rPr>
        <w:t>Partes</w:t>
      </w:r>
      <w:r w:rsidRPr="00DD0373">
        <w:rPr>
          <w:lang w:val="es-ES_tradnl"/>
        </w:rPr>
        <w:t xml:space="preserve"> acordaron una propuesta por la que el texto del proyecto de decisión que estaba debatiéndose en el grupo de contacto volvería a ser el texto que el Grupo de Trabajo de composición abierta había remitido a las </w:t>
      </w:r>
      <w:r w:rsidR="00C17707">
        <w:rPr>
          <w:lang w:val="es-ES_tradnl"/>
        </w:rPr>
        <w:t>Partes</w:t>
      </w:r>
      <w:r w:rsidRPr="00DD0373">
        <w:rPr>
          <w:lang w:val="es-ES_tradnl"/>
        </w:rPr>
        <w:t xml:space="preserve">, tal como figuraba en el documento que contenía los proyectos de decisión para su examen por la 37ª Reunión de las </w:t>
      </w:r>
      <w:r w:rsidR="00C17707">
        <w:rPr>
          <w:lang w:val="es-ES_tradnl"/>
        </w:rPr>
        <w:t>Partes</w:t>
      </w:r>
      <w:r w:rsidRPr="00DD0373">
        <w:rPr>
          <w:lang w:val="es-ES_tradnl"/>
        </w:rPr>
        <w:t xml:space="preserve"> (UNEP/OzL.Pro.37/3 (proyecto de decisión XXXVII/[C])). Cualquier modificación propuesta podría realizarse entonces en el grupo </w:t>
      </w:r>
      <w:r w:rsidRPr="00DD0373">
        <w:rPr>
          <w:lang w:val="es-ES_tradnl"/>
        </w:rPr>
        <w:lastRenderedPageBreak/>
        <w:t xml:space="preserve">de contacto. Un representante subrayó que la labor de los grupos de contacto debería comenzar con un debate general sobre la cuestión entre las </w:t>
      </w:r>
      <w:r w:rsidR="00C17707">
        <w:rPr>
          <w:lang w:val="es-ES_tradnl"/>
        </w:rPr>
        <w:t>Partes</w:t>
      </w:r>
      <w:r w:rsidRPr="00DD0373">
        <w:rPr>
          <w:lang w:val="es-ES_tradnl"/>
        </w:rPr>
        <w:t xml:space="preserve"> antes de pasar a examinar el contenido del proyecto de decisión en cuestión.</w:t>
      </w:r>
    </w:p>
    <w:p w14:paraId="1DB9628F" w14:textId="7E19BDBD" w:rsidR="006B128A" w:rsidRPr="00DD0373" w:rsidRDefault="006B128A" w:rsidP="002C30D7">
      <w:pPr>
        <w:pStyle w:val="Normalnumber"/>
        <w:rPr>
          <w:lang w:val="es-ES_tradnl"/>
        </w:rPr>
      </w:pPr>
      <w:r w:rsidRPr="00DD0373">
        <w:rPr>
          <w:lang w:val="es-ES_tradnl"/>
        </w:rPr>
        <w:t>Posteriormente, el Copresidente del grupo de contacto informó de que el grupo no había conseguido llegar a un acuerdo sobre un proyecto de decisión relativo a los usos de sustancias controladas como materia prima.</w:t>
      </w:r>
    </w:p>
    <w:p w14:paraId="0033B17A" w14:textId="5BB6F869" w:rsidR="00C20895" w:rsidRPr="00DD0373" w:rsidRDefault="00A46563" w:rsidP="006B75D5">
      <w:pPr>
        <w:pStyle w:val="CH1"/>
        <w:rPr>
          <w:lang w:val="es-ES_tradnl"/>
        </w:rPr>
      </w:pPr>
      <w:r w:rsidRPr="00DD0373">
        <w:rPr>
          <w:bCs/>
          <w:lang w:val="es-ES_tradnl"/>
        </w:rPr>
        <w:tab/>
      </w:r>
      <w:r w:rsidR="00943322" w:rsidRPr="00DD0373">
        <w:rPr>
          <w:bCs/>
          <w:lang w:val="es-ES_tradnl"/>
        </w:rPr>
        <w:t>IX.</w:t>
      </w:r>
      <w:r w:rsidR="00943322" w:rsidRPr="00DD0373">
        <w:rPr>
          <w:lang w:val="es-ES_tradnl"/>
        </w:rPr>
        <w:tab/>
      </w:r>
      <w:r w:rsidR="00943322" w:rsidRPr="00DD0373">
        <w:rPr>
          <w:bCs/>
          <w:lang w:val="es-ES_tradnl"/>
        </w:rPr>
        <w:t>Halón 1301 y su uso continuado en la industria de la aviación;</w:t>
      </w:r>
      <w:r w:rsidR="00943322" w:rsidRPr="00DD0373">
        <w:rPr>
          <w:lang w:val="es-ES_tradnl"/>
        </w:rPr>
        <w:t xml:space="preserve"> </w:t>
      </w:r>
      <w:r w:rsidR="00943322" w:rsidRPr="00DD0373">
        <w:rPr>
          <w:bCs/>
          <w:lang w:val="es-ES_tradnl"/>
        </w:rPr>
        <w:t>gestión de otras sustancias controladas utilizadas para la supresión de incendios</w:t>
      </w:r>
    </w:p>
    <w:p w14:paraId="73E7194D" w14:textId="24E53BFC" w:rsidR="002D5348" w:rsidRPr="00DD0373" w:rsidRDefault="002D5348" w:rsidP="002C30D7">
      <w:pPr>
        <w:pStyle w:val="Normalnumber"/>
        <w:rPr>
          <w:lang w:val="es-ES_tradnl"/>
        </w:rPr>
      </w:pPr>
      <w:r w:rsidRPr="00DD0373">
        <w:rPr>
          <w:spacing w:val="-2"/>
          <w:lang w:val="es-ES_tradnl"/>
        </w:rPr>
        <w:t xml:space="preserve">Al examinar el tema, las </w:t>
      </w:r>
      <w:r w:rsidR="00C17707">
        <w:rPr>
          <w:spacing w:val="-2"/>
          <w:lang w:val="es-ES_tradnl"/>
        </w:rPr>
        <w:t>Partes</w:t>
      </w:r>
      <w:r w:rsidRPr="00DD0373">
        <w:rPr>
          <w:spacing w:val="-2"/>
          <w:lang w:val="es-ES_tradnl"/>
        </w:rPr>
        <w:t xml:space="preserve"> tuvieron ante sí los párrafos 55 a 60 de la nota de la Secretaría sobre las cuestiones que se examinarían en la 37ª Reunión de las </w:t>
      </w:r>
      <w:r w:rsidR="00C17707">
        <w:rPr>
          <w:spacing w:val="-2"/>
          <w:lang w:val="es-ES_tradnl"/>
        </w:rPr>
        <w:t>Partes</w:t>
      </w:r>
      <w:r w:rsidRPr="00DD0373">
        <w:rPr>
          <w:spacing w:val="-2"/>
          <w:lang w:val="es-ES_tradnl"/>
        </w:rPr>
        <w:t xml:space="preserve"> en el Protocolo de Montreal e información que se señalaba a su atención (UNEP/OzL.Pro.37/2), los párrafos 116 a 128 y el anexo I del informe de la 47ª reunión del Grupo de Trabajo de composición abierta de las </w:t>
      </w:r>
      <w:r w:rsidR="00C17707">
        <w:rPr>
          <w:spacing w:val="-2"/>
          <w:lang w:val="es-ES_tradnl"/>
        </w:rPr>
        <w:t>Partes</w:t>
      </w:r>
      <w:r w:rsidRPr="00DD0373">
        <w:rPr>
          <w:spacing w:val="-2"/>
          <w:lang w:val="es-ES_tradnl"/>
        </w:rPr>
        <w:t xml:space="preserve"> en el Protocolo de Montreal relativo a las Sustancias que Agotan la Capa de Ozono (UNEP/OzL.Pro.WG.1/47/6)</w:t>
      </w:r>
      <w:r w:rsidRPr="00DD0373">
        <w:rPr>
          <w:lang w:val="es-ES_tradnl"/>
        </w:rPr>
        <w:t xml:space="preserve"> y el capítulo 3 del informe sobre los progresos realizados del Grupo de Evaluación Tecnológica y Económica, mayo de 2025, volumen 1. En el documento UNEP/OzL.Pro.37/3 se recogía un proyecto de decisión</w:t>
      </w:r>
      <w:r w:rsidR="003A0D6F" w:rsidRPr="00DD0373">
        <w:rPr>
          <w:lang w:val="es-ES_tradnl"/>
        </w:rPr>
        <w:t xml:space="preserve"> </w:t>
      </w:r>
      <w:r w:rsidRPr="00DD0373">
        <w:rPr>
          <w:lang w:val="es-ES_tradnl"/>
        </w:rPr>
        <w:t>sobre la cuestión (proyecto de decisión XXXVII/[D]).</w:t>
      </w:r>
    </w:p>
    <w:p w14:paraId="03C29165" w14:textId="7BAE496B"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La Copresidenta recordó que, en la 47ª reunión del Grupo de Trabajo de composición abierta, las </w:t>
      </w:r>
      <w:r w:rsidR="00C17707">
        <w:rPr>
          <w:lang w:val="es-ES_tradnl"/>
        </w:rPr>
        <w:t>Partes</w:t>
      </w:r>
      <w:r w:rsidRPr="00DD0373">
        <w:rPr>
          <w:lang w:val="es-ES_tradnl"/>
        </w:rPr>
        <w:t xml:space="preserve"> habían debatido la cuestión del halón 1301, basándose en un informe del Comité de opciones técnicas sobre supresión de incendios. Australia, también en nombre del Canadá, los Estados Unidos, Nueva Zelandia, el Reino Unido, Suiza y la Unión Europea, había presentado una propuesta sobre el halón 1301 en la industria de la aviación y otras sustancias controladas utilizadas en la supresión de incendios. Aunque el grupo de contacto que había examinado el proyecto de decisión había logrado avances satisfactorios y había suprimido la mayoría de los corchetes del proyecto, no había sido posible llegar a un acuerdo. En consecuencia, el Grupo de Trabajo había acordado que, en la 37ª</w:t>
      </w:r>
      <w:r w:rsidR="0099689C" w:rsidRPr="00DD0373">
        <w:rPr>
          <w:lang w:val="es-ES_tradnl"/>
        </w:rPr>
        <w:t> </w:t>
      </w:r>
      <w:r w:rsidRPr="00DD0373">
        <w:rPr>
          <w:lang w:val="es-ES_tradnl"/>
        </w:rPr>
        <w:t xml:space="preserve">Reunión de las </w:t>
      </w:r>
      <w:r w:rsidR="00C17707">
        <w:rPr>
          <w:lang w:val="es-ES_tradnl"/>
        </w:rPr>
        <w:t>Partes</w:t>
      </w:r>
      <w:r w:rsidRPr="00DD0373">
        <w:rPr>
          <w:lang w:val="es-ES_tradnl"/>
        </w:rPr>
        <w:t>, se reanudarían los debates sobre el halón 1301, sobre la base del proyecto de decisión en la versión revisada por el grupo de contacto.</w:t>
      </w:r>
    </w:p>
    <w:p w14:paraId="5A50766E" w14:textId="046EAC7A"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Las </w:t>
      </w:r>
      <w:r w:rsidR="00C17707">
        <w:rPr>
          <w:lang w:val="es-ES_tradnl"/>
        </w:rPr>
        <w:t>Partes</w:t>
      </w:r>
      <w:r w:rsidRPr="00DD0373">
        <w:rPr>
          <w:lang w:val="es-ES_tradnl"/>
        </w:rPr>
        <w:t xml:space="preserve"> acordaron establecer un grupo de contacto, copresidido por Juan José Galeano (Argentina) y Jana Mašíčková (Chequia), encargado de seguir debatiendo el proyecto de decisión.</w:t>
      </w:r>
    </w:p>
    <w:p w14:paraId="6EFEFDED" w14:textId="14EE237F" w:rsidR="006B128A" w:rsidRPr="00DD0373" w:rsidRDefault="006B128A" w:rsidP="006B128A">
      <w:pPr>
        <w:pStyle w:val="Normalnumber"/>
        <w:rPr>
          <w:lang w:val="es-ES_tradnl"/>
        </w:rPr>
      </w:pPr>
      <w:r w:rsidRPr="00DD0373">
        <w:rPr>
          <w:lang w:val="es-ES_tradnl"/>
        </w:rPr>
        <w:t xml:space="preserve">Posteriormente, la Copresidenta del grupo de contacto informó de que se había alcanzado un consenso sobre un proyecto de decisión relativo al halón 1301 y su uso continuado en la industria de la aviación, así como a la gestión de otras sustancias controladas utilizadas en la supresión de incendios, para su examen por las </w:t>
      </w:r>
      <w:r w:rsidR="00C17707">
        <w:rPr>
          <w:lang w:val="es-ES_tradnl"/>
        </w:rPr>
        <w:t>Partes</w:t>
      </w:r>
      <w:r w:rsidRPr="00DD0373">
        <w:rPr>
          <w:lang w:val="es-ES_tradnl"/>
        </w:rPr>
        <w:t>.</w:t>
      </w:r>
    </w:p>
    <w:p w14:paraId="4760697A" w14:textId="09180D5F" w:rsidR="006B128A" w:rsidRPr="00DD0373" w:rsidRDefault="006B128A" w:rsidP="006B128A">
      <w:pPr>
        <w:pStyle w:val="Normalnumber"/>
        <w:rPr>
          <w:lang w:val="es-ES_tradnl"/>
        </w:rPr>
      </w:pPr>
      <w:r w:rsidRPr="00DD0373">
        <w:rPr>
          <w:lang w:val="es-ES_tradnl"/>
        </w:rPr>
        <w:t xml:space="preserve">Las </w:t>
      </w:r>
      <w:r w:rsidR="00C17707">
        <w:rPr>
          <w:lang w:val="es-ES_tradnl"/>
        </w:rPr>
        <w:t>Partes</w:t>
      </w:r>
      <w:r w:rsidRPr="00DD0373">
        <w:rPr>
          <w:lang w:val="es-ES_tradnl"/>
        </w:rPr>
        <w:t xml:space="preserve"> acordaron remitir el proyecto de decisión para su posterior examen y posible adopción durante la serie de sesiones de alto nivel.</w:t>
      </w:r>
    </w:p>
    <w:p w14:paraId="6A8D77D3" w14:textId="1564C357" w:rsidR="001D731A" w:rsidRPr="00DD0373" w:rsidRDefault="00A46563" w:rsidP="005D30C7">
      <w:pPr>
        <w:pStyle w:val="CH1"/>
        <w:keepNext w:val="0"/>
        <w:keepLines w:val="0"/>
        <w:rPr>
          <w:lang w:val="es-ES_tradnl"/>
        </w:rPr>
      </w:pPr>
      <w:r w:rsidRPr="00DD0373">
        <w:rPr>
          <w:bCs/>
          <w:lang w:val="es-ES_tradnl"/>
        </w:rPr>
        <w:tab/>
      </w:r>
      <w:r w:rsidR="00943322" w:rsidRPr="00DD0373">
        <w:rPr>
          <w:bCs/>
          <w:lang w:val="es-ES_tradnl"/>
        </w:rPr>
        <w:t>X.</w:t>
      </w:r>
      <w:r w:rsidR="00943322" w:rsidRPr="00DD0373">
        <w:rPr>
          <w:lang w:val="es-ES_tradnl"/>
        </w:rPr>
        <w:tab/>
      </w:r>
      <w:r w:rsidR="00943322" w:rsidRPr="00DD0373">
        <w:rPr>
          <w:bCs/>
          <w:lang w:val="es-ES_tradnl"/>
        </w:rPr>
        <w:t>Iniciativas nacionales y regionales para apoyar la aplicación de la Enmienda de Kigali al Protocolo de Montreal</w:t>
      </w:r>
    </w:p>
    <w:p w14:paraId="22F0E344" w14:textId="78A2CBCC" w:rsidR="002D5348" w:rsidRPr="00DD0373" w:rsidRDefault="002D5348" w:rsidP="002C30D7">
      <w:pPr>
        <w:pStyle w:val="Normalnumber"/>
        <w:rPr>
          <w:lang w:val="es-ES_tradnl"/>
        </w:rPr>
      </w:pPr>
      <w:r w:rsidRPr="00DD0373">
        <w:rPr>
          <w:spacing w:val="-2"/>
          <w:lang w:val="es-ES_tradnl"/>
        </w:rPr>
        <w:t xml:space="preserve">Al examinar el tema, las </w:t>
      </w:r>
      <w:r w:rsidR="00C17707">
        <w:rPr>
          <w:spacing w:val="-2"/>
          <w:lang w:val="es-ES_tradnl"/>
        </w:rPr>
        <w:t>Partes</w:t>
      </w:r>
      <w:r w:rsidRPr="00DD0373">
        <w:rPr>
          <w:spacing w:val="-2"/>
          <w:lang w:val="es-ES_tradnl"/>
        </w:rPr>
        <w:t xml:space="preserve"> tuvieron ante sí los párrafos 61 a 67 de la nota de la Secretaría sobre las cuestiones que se examinarían en la 37ª Reunión de las </w:t>
      </w:r>
      <w:r w:rsidR="00C17707">
        <w:rPr>
          <w:spacing w:val="-2"/>
          <w:lang w:val="es-ES_tradnl"/>
        </w:rPr>
        <w:t>Partes</w:t>
      </w:r>
      <w:r w:rsidRPr="00DD0373">
        <w:rPr>
          <w:spacing w:val="-2"/>
          <w:lang w:val="es-ES_tradnl"/>
        </w:rPr>
        <w:t xml:space="preserve"> en el Protocolo de Montreal e información que se señalaba a su atención (UNEP/OzL.Pro.37/2) y los párrafos 195 a 206 y el</w:t>
      </w:r>
      <w:r w:rsidR="00E74544" w:rsidRPr="00DD0373">
        <w:rPr>
          <w:spacing w:val="-2"/>
          <w:lang w:val="es-ES_tradnl"/>
        </w:rPr>
        <w:t> </w:t>
      </w:r>
      <w:r w:rsidRPr="00DD0373">
        <w:rPr>
          <w:spacing w:val="-2"/>
          <w:lang w:val="es-ES_tradnl"/>
        </w:rPr>
        <w:t>anexo</w:t>
      </w:r>
      <w:r w:rsidR="00E74544" w:rsidRPr="00DD0373">
        <w:rPr>
          <w:spacing w:val="-2"/>
          <w:lang w:val="es-ES_tradnl"/>
        </w:rPr>
        <w:t> </w:t>
      </w:r>
      <w:r w:rsidRPr="00DD0373">
        <w:rPr>
          <w:spacing w:val="-2"/>
          <w:lang w:val="es-ES_tradnl"/>
        </w:rPr>
        <w:t xml:space="preserve">I del informe de la 47ª reunión del Grupo de Trabajo de composición abierta de las </w:t>
      </w:r>
      <w:r w:rsidR="00C17707">
        <w:rPr>
          <w:spacing w:val="-2"/>
          <w:lang w:val="es-ES_tradnl"/>
        </w:rPr>
        <w:t>Partes</w:t>
      </w:r>
      <w:r w:rsidRPr="00DD0373">
        <w:rPr>
          <w:spacing w:val="-2"/>
          <w:lang w:val="es-ES_tradnl"/>
        </w:rPr>
        <w:t xml:space="preserve"> en el Protocolo de Montreal relativo a las Sustancias que Agotan la Capa de Ozono (UNEP/OzL.Pro.WG.1/47/6).</w:t>
      </w:r>
      <w:r w:rsidRPr="00DD0373">
        <w:rPr>
          <w:lang w:val="es-ES_tradnl"/>
        </w:rPr>
        <w:t xml:space="preserve"> En el documento UNEP/OzL.Pro.37/3 se recogía un proyecto de decisión sobre la cuestión (proyecto de decisión XXXVII/[E]).</w:t>
      </w:r>
      <w:bookmarkStart w:id="6" w:name="_Hlk213149426"/>
      <w:bookmarkStart w:id="7" w:name="_Hlk213148777"/>
      <w:bookmarkStart w:id="8" w:name="_Hlk213149106"/>
      <w:bookmarkEnd w:id="6"/>
      <w:bookmarkEnd w:id="7"/>
      <w:bookmarkEnd w:id="8"/>
    </w:p>
    <w:p w14:paraId="0E4B5F14" w14:textId="4C7790C2"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La Copresidenta recordó que en la 47ª reunión del Grupo de Trabajo de composición abierta se</w:t>
      </w:r>
      <w:r w:rsidR="00A94CC4" w:rsidRPr="00DD0373">
        <w:rPr>
          <w:lang w:val="es-ES_tradnl"/>
        </w:rPr>
        <w:t> </w:t>
      </w:r>
      <w:r w:rsidRPr="00DD0373">
        <w:rPr>
          <w:lang w:val="es-ES_tradnl"/>
        </w:rPr>
        <w:t xml:space="preserve">había presentado un proyecto de decisión sobre iniciativas nacionales y regionales para apoyar la aplicación de la Enmienda de Kigali. Un grupo de contacto había debatido la propuesta, y el Grupo de Trabajo había acordado que, en la 37ª Reunión de las </w:t>
      </w:r>
      <w:r w:rsidR="00C17707">
        <w:rPr>
          <w:lang w:val="es-ES_tradnl"/>
        </w:rPr>
        <w:t>Partes</w:t>
      </w:r>
      <w:r w:rsidRPr="00DD0373">
        <w:rPr>
          <w:lang w:val="es-ES_tradnl"/>
        </w:rPr>
        <w:t>, se reanudarían los debates sobre las iniciativas nacionales y regionales, sobre la base del proyecto de decisión en la versión revisada por el grupo de contacto. La oradora señaló que el proyecto de decisión había recibido posteriormente el respaldo del Grupo Africano de Negociadores.</w:t>
      </w:r>
      <w:bookmarkStart w:id="9" w:name="_Hlk213158062"/>
      <w:bookmarkEnd w:id="9"/>
    </w:p>
    <w:p w14:paraId="7C8B3EA8" w14:textId="74D5FB34" w:rsidR="002D5348" w:rsidRPr="00DD0373" w:rsidRDefault="002D5348" w:rsidP="002C30D7">
      <w:pPr>
        <w:pStyle w:val="Normalnumber"/>
        <w:rPr>
          <w:lang w:val="es-ES_tradnl"/>
        </w:rPr>
      </w:pPr>
      <w:r w:rsidRPr="00DD0373">
        <w:rPr>
          <w:lang w:val="es-ES_tradnl"/>
        </w:rPr>
        <w:t xml:space="preserve">Las </w:t>
      </w:r>
      <w:r w:rsidR="00C17707">
        <w:rPr>
          <w:lang w:val="es-ES_tradnl"/>
        </w:rPr>
        <w:t>Partes</w:t>
      </w:r>
      <w:r w:rsidRPr="00DD0373">
        <w:rPr>
          <w:lang w:val="es-ES_tradnl"/>
        </w:rPr>
        <w:t xml:space="preserve"> acordaron establecer un grupo de contacto, copresidido por Mariska Wouters (Nueva</w:t>
      </w:r>
      <w:r w:rsidR="00A94CC4" w:rsidRPr="00DD0373">
        <w:rPr>
          <w:lang w:val="es-ES_tradnl"/>
        </w:rPr>
        <w:t> </w:t>
      </w:r>
      <w:r w:rsidRPr="00DD0373">
        <w:rPr>
          <w:lang w:val="es-ES_tradnl"/>
        </w:rPr>
        <w:t>Zelandia) y Camilla Noel (Vanuatu), encargado de seguir debatiendo el proyecto de decisión.</w:t>
      </w:r>
    </w:p>
    <w:p w14:paraId="3EE19DEB" w14:textId="00457CBF" w:rsidR="006B128A" w:rsidRPr="00DD0373" w:rsidRDefault="006B128A" w:rsidP="006B128A">
      <w:pPr>
        <w:pStyle w:val="Normalnumber"/>
        <w:rPr>
          <w:lang w:val="es-ES_tradnl"/>
        </w:rPr>
      </w:pPr>
      <w:r w:rsidRPr="00DD0373">
        <w:rPr>
          <w:lang w:val="es-ES_tradnl"/>
        </w:rPr>
        <w:lastRenderedPageBreak/>
        <w:t xml:space="preserve">Posteriormente, el Copresidente del grupo de contacto informó de que el grupo había llegado a un acuerdo sobre un proyecto de decisión para que las </w:t>
      </w:r>
      <w:r w:rsidR="00C17707">
        <w:rPr>
          <w:lang w:val="es-ES_tradnl"/>
        </w:rPr>
        <w:t>Partes</w:t>
      </w:r>
      <w:r w:rsidRPr="00DD0373">
        <w:rPr>
          <w:lang w:val="es-ES_tradnl"/>
        </w:rPr>
        <w:t xml:space="preserve"> lo examinasen.</w:t>
      </w:r>
    </w:p>
    <w:p w14:paraId="707404DA" w14:textId="2309AF5D" w:rsidR="006B128A" w:rsidRPr="00DD0373" w:rsidRDefault="006B128A" w:rsidP="006B128A">
      <w:pPr>
        <w:pStyle w:val="Normalnumber"/>
        <w:rPr>
          <w:lang w:val="es-ES_tradnl"/>
        </w:rPr>
      </w:pPr>
      <w:r w:rsidRPr="00DD0373">
        <w:rPr>
          <w:lang w:val="es-ES_tradnl"/>
        </w:rPr>
        <w:t xml:space="preserve">Las </w:t>
      </w:r>
      <w:r w:rsidR="00C17707">
        <w:rPr>
          <w:lang w:val="es-ES_tradnl"/>
        </w:rPr>
        <w:t>Partes</w:t>
      </w:r>
      <w:r w:rsidRPr="00DD0373">
        <w:rPr>
          <w:lang w:val="es-ES_tradnl"/>
        </w:rPr>
        <w:t xml:space="preserve"> acordaron remitir el proyecto de decisión para su posterior examen y posible adopción durante la serie de sesiones de alto nivel.</w:t>
      </w:r>
    </w:p>
    <w:p w14:paraId="00CFC32F" w14:textId="55A6A95C" w:rsidR="00CB7E8C" w:rsidRPr="00DD0373" w:rsidRDefault="00A46563" w:rsidP="005D30C7">
      <w:pPr>
        <w:pStyle w:val="CH1"/>
        <w:keepNext w:val="0"/>
        <w:keepLines w:val="0"/>
        <w:rPr>
          <w:lang w:val="es-ES_tradnl"/>
        </w:rPr>
      </w:pPr>
      <w:r w:rsidRPr="00DD0373">
        <w:rPr>
          <w:bCs/>
          <w:lang w:val="es-ES_tradnl"/>
        </w:rPr>
        <w:tab/>
      </w:r>
      <w:r w:rsidR="00943322" w:rsidRPr="00DD0373">
        <w:rPr>
          <w:bCs/>
          <w:lang w:val="es-ES_tradnl"/>
        </w:rPr>
        <w:t>XI.</w:t>
      </w:r>
      <w:r w:rsidR="00943322" w:rsidRPr="00DD0373">
        <w:rPr>
          <w:lang w:val="es-ES_tradnl"/>
        </w:rPr>
        <w:tab/>
      </w:r>
      <w:r w:rsidR="00943322" w:rsidRPr="00DD0373">
        <w:rPr>
          <w:bCs/>
          <w:lang w:val="es-ES_tradnl"/>
        </w:rPr>
        <w:t>Cuestiones de organización del Grupo de Evaluación Tecnológica y Económica</w:t>
      </w:r>
    </w:p>
    <w:p w14:paraId="6F704D65" w14:textId="75BC1692" w:rsidR="002D5348" w:rsidRPr="00DD0373" w:rsidRDefault="00A46563" w:rsidP="002D5348">
      <w:pPr>
        <w:pStyle w:val="CH2"/>
        <w:keepNext w:val="0"/>
        <w:keepLines w:val="0"/>
        <w:rPr>
          <w:lang w:val="es-ES_tradnl"/>
        </w:rPr>
      </w:pPr>
      <w:r w:rsidRPr="00DD0373">
        <w:rPr>
          <w:bCs/>
          <w:lang w:val="es-ES_tradnl"/>
        </w:rPr>
        <w:tab/>
      </w:r>
      <w:r w:rsidR="002D5348" w:rsidRPr="00DD0373">
        <w:rPr>
          <w:bCs/>
          <w:lang w:val="es-ES_tradnl"/>
        </w:rPr>
        <w:t>A.</w:t>
      </w:r>
      <w:r w:rsidR="002D5348" w:rsidRPr="00DD0373">
        <w:rPr>
          <w:lang w:val="es-ES_tradnl"/>
        </w:rPr>
        <w:tab/>
      </w:r>
      <w:r w:rsidR="002D5348" w:rsidRPr="00DD0373">
        <w:rPr>
          <w:bCs/>
          <w:lang w:val="es-ES_tradnl"/>
        </w:rPr>
        <w:t>Opciones para la organización del Grupo de Evaluación Tecnológica y Económica y sus comités de opciones técnicas (decisión XXXV/20)</w:t>
      </w:r>
    </w:p>
    <w:p w14:paraId="4255FDB3" w14:textId="61EA4769" w:rsidR="002D5348" w:rsidRPr="00DD0373" w:rsidRDefault="002D5348" w:rsidP="002C30D7">
      <w:pPr>
        <w:pStyle w:val="Normalnumber"/>
        <w:rPr>
          <w:lang w:val="es-ES_tradnl"/>
        </w:rPr>
      </w:pPr>
      <w:bookmarkStart w:id="10" w:name="_Hlk213154634"/>
      <w:r w:rsidRPr="00DD0373">
        <w:rPr>
          <w:lang w:val="es-ES_tradnl"/>
        </w:rPr>
        <w:t xml:space="preserve">Al examinar este tema, las </w:t>
      </w:r>
      <w:r w:rsidR="00C17707">
        <w:rPr>
          <w:lang w:val="es-ES_tradnl"/>
        </w:rPr>
        <w:t>Partes</w:t>
      </w:r>
      <w:r w:rsidRPr="00DD0373">
        <w:rPr>
          <w:lang w:val="es-ES_tradnl"/>
        </w:rPr>
        <w:t xml:space="preserve"> tuvieron ante sí los párrafos 73 a 80 y los anexos I y II de la</w:t>
      </w:r>
      <w:r w:rsidR="00A94CC4" w:rsidRPr="00DD0373">
        <w:rPr>
          <w:lang w:val="es-ES_tradnl"/>
        </w:rPr>
        <w:t> </w:t>
      </w:r>
      <w:r w:rsidRPr="00DD0373">
        <w:rPr>
          <w:lang w:val="es-ES_tradnl"/>
        </w:rPr>
        <w:t xml:space="preserve">nota de la Secretaría sobre cuestiones que se examinarían en la 37ª Reunión de las </w:t>
      </w:r>
      <w:r w:rsidR="00C17707">
        <w:rPr>
          <w:lang w:val="es-ES_tradnl"/>
        </w:rPr>
        <w:t>Partes</w:t>
      </w:r>
      <w:r w:rsidRPr="00DD0373">
        <w:rPr>
          <w:lang w:val="es-ES_tradnl"/>
        </w:rPr>
        <w:t xml:space="preserve"> en el Protocolo de Montreal relativo a las Sustancias que Agotan la Capa de Ozono e información que se señalaba a su atención (UNEP/OzL.Pro.37/2), los párrafos 99 a 111 del informe de la 47ª reunión del Grupo de Trabajo de composición abierta de las </w:t>
      </w:r>
      <w:r w:rsidR="00C17707">
        <w:rPr>
          <w:lang w:val="es-ES_tradnl"/>
        </w:rPr>
        <w:t>Partes</w:t>
      </w:r>
      <w:r w:rsidRPr="00DD0373">
        <w:rPr>
          <w:lang w:val="es-ES_tradnl"/>
        </w:rPr>
        <w:t xml:space="preserve"> en el Protocolo de Montreal relativo a las Sustancias que Agotan la Capa de Ozono (UNEP/OzL.Pro.WG.1/47/6) y el mandato del Grupo de Evaluación Tecnológica y Económica, sus comités de opciones técnicas y órganos subsidiarios temporales, conforme a lo establecido en el anexo de la decisión XXIV/8 (véase UNEP/Ozl.Pro.24/10).</w:t>
      </w:r>
      <w:bookmarkStart w:id="11" w:name="_Hlk213153388"/>
      <w:bookmarkStart w:id="12" w:name="_Hlk213153408"/>
      <w:bookmarkStart w:id="13" w:name="_Hlk213154839"/>
      <w:bookmarkEnd w:id="11"/>
      <w:bookmarkEnd w:id="12"/>
      <w:bookmarkEnd w:id="13"/>
    </w:p>
    <w:p w14:paraId="77F285FA" w14:textId="1EC83F0A"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bookmarkStart w:id="14" w:name="_Hlk213155117"/>
      <w:bookmarkStart w:id="15" w:name="_Hlk213155124"/>
      <w:bookmarkEnd w:id="10"/>
      <w:r w:rsidRPr="00DD0373">
        <w:rPr>
          <w:lang w:val="es-ES_tradnl"/>
        </w:rPr>
        <w:t xml:space="preserve">La Copresidenta recordó que, en la 47ª reunión del Grupo de Trabajo de composición abierta, un grupo oficioso de </w:t>
      </w:r>
      <w:r w:rsidR="00C17707">
        <w:rPr>
          <w:lang w:val="es-ES_tradnl"/>
        </w:rPr>
        <w:t>Partes</w:t>
      </w:r>
      <w:r w:rsidRPr="00DD0373">
        <w:rPr>
          <w:lang w:val="es-ES_tradnl"/>
        </w:rPr>
        <w:t xml:space="preserve"> interesadas se había reunido con las Copresidencias del Grupo de Evaluación Tecnológica y Económica y de sus comités de opciones técnicas al margen de la reunión a</w:t>
      </w:r>
      <w:r w:rsidR="00A94CC4" w:rsidRPr="00DD0373">
        <w:rPr>
          <w:lang w:val="es-ES_tradnl"/>
        </w:rPr>
        <w:t> </w:t>
      </w:r>
      <w:r w:rsidRPr="00DD0373">
        <w:rPr>
          <w:lang w:val="es-ES_tradnl"/>
        </w:rPr>
        <w:t xml:space="preserve">fin de seguir debatiendo las opciones para la organización del Grupo y sus comités de opciones técnicas. Al final de la reunión, el Grupo había indicado que necesitaba más tiempo para facilitar la información complementaria solicitada por las </w:t>
      </w:r>
      <w:r w:rsidR="00C17707">
        <w:rPr>
          <w:lang w:val="es-ES_tradnl"/>
        </w:rPr>
        <w:t>Partes</w:t>
      </w:r>
      <w:r w:rsidRPr="00DD0373">
        <w:rPr>
          <w:lang w:val="es-ES_tradnl"/>
        </w:rPr>
        <w:t xml:space="preserve">, y estas también habían sugerido que necesitaban más tiempo para examinar la cuestión. El Grupo de Trabajo había acordado que los debates sobre la organización del Grupo y sus comités de opciones técnicas se reanudarían en la 37ª Reunión de las </w:t>
      </w:r>
      <w:r w:rsidR="00C17707">
        <w:rPr>
          <w:lang w:val="es-ES_tradnl"/>
        </w:rPr>
        <w:t>Partes</w:t>
      </w:r>
      <w:r w:rsidRPr="00DD0373">
        <w:rPr>
          <w:lang w:val="es-ES_tradnl"/>
        </w:rPr>
        <w:t>.</w:t>
      </w:r>
      <w:bookmarkStart w:id="16" w:name="_Hlk213153435"/>
      <w:bookmarkEnd w:id="14"/>
      <w:bookmarkEnd w:id="15"/>
      <w:bookmarkEnd w:id="16"/>
    </w:p>
    <w:p w14:paraId="2E0AD2BD" w14:textId="7AA1A856"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Posteriormente, el Grupo había preparado la información complementaria solicitada por las </w:t>
      </w:r>
      <w:r w:rsidR="00C17707">
        <w:rPr>
          <w:lang w:val="es-ES_tradnl"/>
        </w:rPr>
        <w:t>Partes</w:t>
      </w:r>
      <w:r w:rsidRPr="00DD0373">
        <w:rPr>
          <w:lang w:val="es-ES_tradnl"/>
        </w:rPr>
        <w:t xml:space="preserve"> durante las deliberaciones del grupo oficioso y se mostraba dispuesto a responder a cualquier pregunta. La Copresidenta invitó a las </w:t>
      </w:r>
      <w:r w:rsidR="00C17707">
        <w:rPr>
          <w:lang w:val="es-ES_tradnl"/>
        </w:rPr>
        <w:t>Partes</w:t>
      </w:r>
      <w:r w:rsidRPr="00DD0373">
        <w:rPr>
          <w:lang w:val="es-ES_tradnl"/>
        </w:rPr>
        <w:t xml:space="preserve"> a indicar cómo deseaban proceder con el tema del programa.</w:t>
      </w:r>
    </w:p>
    <w:p w14:paraId="70436D81" w14:textId="29050A97"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Algunas representantes señalaron que sería útil continuar con un debate oficioso entre las </w:t>
      </w:r>
      <w:r w:rsidR="00C17707">
        <w:rPr>
          <w:lang w:val="es-ES_tradnl"/>
        </w:rPr>
        <w:t>Partes</w:t>
      </w:r>
      <w:r w:rsidRPr="00DD0373">
        <w:rPr>
          <w:lang w:val="es-ES_tradnl"/>
        </w:rPr>
        <w:t xml:space="preserve"> interesadas y la Copresidencia del Grupo; la Copresidencia podría facilitar información que ayudase a las </w:t>
      </w:r>
      <w:r w:rsidR="00C17707">
        <w:rPr>
          <w:lang w:val="es-ES_tradnl"/>
        </w:rPr>
        <w:t>Partes</w:t>
      </w:r>
      <w:r w:rsidRPr="00DD0373">
        <w:rPr>
          <w:lang w:val="es-ES_tradnl"/>
        </w:rPr>
        <w:t xml:space="preserve"> a determinar el modo de proceder para llegar a una decisión, aunque no estaba claro si podría acordarse una decisión en la reunión en curso. </w:t>
      </w:r>
    </w:p>
    <w:p w14:paraId="65CCEDB0" w14:textId="1B89AC5A" w:rsidR="002D5348" w:rsidRPr="00DD0373" w:rsidRDefault="002D5348" w:rsidP="00A539A1">
      <w:pPr>
        <w:pStyle w:val="Normalnumber"/>
        <w:tabs>
          <w:tab w:val="clear" w:pos="1247"/>
          <w:tab w:val="clear" w:pos="1814"/>
          <w:tab w:val="clear" w:pos="2381"/>
          <w:tab w:val="clear" w:pos="2948"/>
          <w:tab w:val="clear" w:pos="3515"/>
        </w:tabs>
        <w:ind w:left="1247"/>
        <w:rPr>
          <w:lang w:val="es-ES_tradnl"/>
        </w:rPr>
      </w:pPr>
      <w:bookmarkStart w:id="17" w:name="_Hlk213156984"/>
      <w:r w:rsidRPr="00DD0373">
        <w:rPr>
          <w:lang w:val="es-ES_tradnl"/>
        </w:rPr>
        <w:t xml:space="preserve">Las </w:t>
      </w:r>
      <w:r w:rsidR="00C17707">
        <w:rPr>
          <w:lang w:val="es-ES_tradnl"/>
        </w:rPr>
        <w:t>Partes</w:t>
      </w:r>
      <w:r w:rsidRPr="00DD0373">
        <w:rPr>
          <w:lang w:val="es-ES_tradnl"/>
        </w:rPr>
        <w:t xml:space="preserve"> acordaron establecer un grupo oficioso, que </w:t>
      </w:r>
      <w:proofErr w:type="spellStart"/>
      <w:r w:rsidRPr="00DD0373">
        <w:rPr>
          <w:lang w:val="es-ES_tradnl"/>
        </w:rPr>
        <w:t>cofacilitarían</w:t>
      </w:r>
      <w:proofErr w:type="spellEnd"/>
      <w:r w:rsidRPr="00DD0373">
        <w:rPr>
          <w:lang w:val="es-ES_tradnl"/>
        </w:rPr>
        <w:t xml:space="preserve"> Cindy Cunil (Belice) y Matěj Mrlina (Chequia) para continuar las deliberaciones sobre la cuestión, en el entendimiento de que tal vez fuese necesario proseguir los debates en la 48ª reunión del Grupo de Trabajo de composición abierta, en 2026.</w:t>
      </w:r>
      <w:bookmarkEnd w:id="17"/>
    </w:p>
    <w:p w14:paraId="273C38A3" w14:textId="70C1A1AB" w:rsidR="006B128A" w:rsidRPr="00DD0373" w:rsidRDefault="006B128A" w:rsidP="006B128A">
      <w:pPr>
        <w:pStyle w:val="Normalnumber"/>
        <w:rPr>
          <w:lang w:val="es-ES_tradnl"/>
        </w:rPr>
      </w:pPr>
      <w:r w:rsidRPr="00DD0373">
        <w:rPr>
          <w:lang w:val="es-ES_tradnl"/>
        </w:rPr>
        <w:t xml:space="preserve">Posteriormente, la </w:t>
      </w:r>
      <w:proofErr w:type="spellStart"/>
      <w:r w:rsidRPr="00DD0373">
        <w:rPr>
          <w:lang w:val="es-ES_tradnl"/>
        </w:rPr>
        <w:t>Cofacilitadora</w:t>
      </w:r>
      <w:proofErr w:type="spellEnd"/>
      <w:r w:rsidRPr="00DD0373">
        <w:rPr>
          <w:lang w:val="es-ES_tradnl"/>
        </w:rPr>
        <w:t xml:space="preserve"> del grupo oficioso informó de que, aunque el grupo había debatido diversas opciones, a la luz de los compromisos del Grupo de Evaluación Tecnológica y Económica y del deseo de no perturbar su labor en curso, que incluía la preparación de su evaluación cuatrienal, el grupo consideró que no era apropiado reestructurar el Grupo y sus comités de opciones técnicas en ese momento. No obstante, se destacó la importancia de continuar las deliberaciones, en particular en lo referente a la optimización de la carga de trabajo, la composición y las limitaciones financieras, y se solicitó que se incluyese en el informe del Grupo información sobre las repercusiones en los costos. Por último, hubo un amplio consenso entre las </w:t>
      </w:r>
      <w:r w:rsidR="00C17707">
        <w:rPr>
          <w:lang w:val="es-ES_tradnl"/>
        </w:rPr>
        <w:t>Partes</w:t>
      </w:r>
      <w:r w:rsidRPr="00DD0373">
        <w:rPr>
          <w:lang w:val="es-ES_tradnl"/>
        </w:rPr>
        <w:t xml:space="preserve"> en que las deliberaciones sobre la cuestión deberían continuar en la 48ª reunión del Grupo de Trabajo de composición abierta.</w:t>
      </w:r>
    </w:p>
    <w:p w14:paraId="4C558401" w14:textId="4ED9EA11" w:rsidR="006B128A" w:rsidRPr="00DD0373" w:rsidRDefault="006B128A" w:rsidP="006B128A">
      <w:pPr>
        <w:pStyle w:val="Normalnumber"/>
        <w:rPr>
          <w:lang w:val="es-ES_tradnl"/>
        </w:rPr>
      </w:pPr>
      <w:r w:rsidRPr="00DD0373">
        <w:rPr>
          <w:lang w:val="es-ES_tradnl"/>
        </w:rPr>
        <w:t xml:space="preserve">Las </w:t>
      </w:r>
      <w:r w:rsidR="00C17707">
        <w:rPr>
          <w:lang w:val="es-ES_tradnl"/>
        </w:rPr>
        <w:t>Partes</w:t>
      </w:r>
      <w:r w:rsidRPr="00DD0373">
        <w:rPr>
          <w:lang w:val="es-ES_tradnl"/>
        </w:rPr>
        <w:t xml:space="preserve"> convinieron en incorporar el tema al programa de la 48ª reunión del Grupo de Trabajo de composición abierta.</w:t>
      </w:r>
    </w:p>
    <w:p w14:paraId="5BD2B382" w14:textId="4BBACB4F" w:rsidR="002D5348" w:rsidRPr="00DD0373" w:rsidRDefault="00A46563" w:rsidP="002D5348">
      <w:pPr>
        <w:pStyle w:val="CH2"/>
        <w:keepNext w:val="0"/>
        <w:keepLines w:val="0"/>
        <w:rPr>
          <w:lang w:val="es-ES_tradnl"/>
        </w:rPr>
      </w:pPr>
      <w:r w:rsidRPr="00DD0373">
        <w:rPr>
          <w:bCs/>
          <w:lang w:val="es-ES_tradnl"/>
        </w:rPr>
        <w:tab/>
      </w:r>
      <w:r w:rsidR="002D5348" w:rsidRPr="00DD0373">
        <w:rPr>
          <w:bCs/>
          <w:lang w:val="es-ES_tradnl"/>
        </w:rPr>
        <w:t>B.</w:t>
      </w:r>
      <w:r w:rsidR="002D5348" w:rsidRPr="00DD0373">
        <w:rPr>
          <w:lang w:val="es-ES_tradnl"/>
        </w:rPr>
        <w:tab/>
      </w:r>
      <w:r w:rsidR="002D5348" w:rsidRPr="00DD0373">
        <w:rPr>
          <w:bCs/>
          <w:lang w:val="es-ES_tradnl"/>
        </w:rPr>
        <w:t>Cambios en la composición del Grupo de Evaluación Tecnológica y Económica</w:t>
      </w:r>
    </w:p>
    <w:p w14:paraId="3D3D6CB4" w14:textId="6C0B91ED"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Al examinar el tema, las </w:t>
      </w:r>
      <w:r w:rsidR="00C17707">
        <w:rPr>
          <w:lang w:val="es-ES_tradnl"/>
        </w:rPr>
        <w:t>Partes</w:t>
      </w:r>
      <w:r w:rsidRPr="00DD0373">
        <w:rPr>
          <w:lang w:val="es-ES_tradnl"/>
        </w:rPr>
        <w:t xml:space="preserve"> tuvieron ante sí los párrafos 73 a 80 y los anexos I y II de la nota de la Secretaría sobre cuestiones que se examinarían en la 37ª Reunión de las </w:t>
      </w:r>
      <w:r w:rsidR="00C17707">
        <w:rPr>
          <w:lang w:val="es-ES_tradnl"/>
        </w:rPr>
        <w:t>Partes</w:t>
      </w:r>
      <w:r w:rsidRPr="00DD0373">
        <w:rPr>
          <w:lang w:val="es-ES_tradnl"/>
        </w:rPr>
        <w:t xml:space="preserve"> en el </w:t>
      </w:r>
      <w:r w:rsidRPr="00DD0373">
        <w:rPr>
          <w:lang w:val="es-ES_tradnl"/>
        </w:rPr>
        <w:lastRenderedPageBreak/>
        <w:t>Protocolo de Montreal e información que se señalaba a su atención (UNEP/OzL.Pro.37/2); los párrafos</w:t>
      </w:r>
      <w:r w:rsidR="00713A77" w:rsidRPr="00DD0373">
        <w:rPr>
          <w:lang w:val="es-ES_tradnl"/>
        </w:rPr>
        <w:t> </w:t>
      </w:r>
      <w:r w:rsidRPr="00DD0373">
        <w:rPr>
          <w:lang w:val="es-ES_tradnl"/>
        </w:rPr>
        <w:t>61 a 65 de la adición a la nota (UNEP/OzL.Pro.37/2/Add.1); los anexos 4 y 5 del informe sobre los progresos realizados del Grupo de Evaluación Tecnológica y Económica, de mayo de 2025, volumen</w:t>
      </w:r>
      <w:r w:rsidR="00713A77" w:rsidRPr="00DD0373">
        <w:rPr>
          <w:lang w:val="es-ES_tradnl"/>
        </w:rPr>
        <w:t> </w:t>
      </w:r>
      <w:r w:rsidRPr="00DD0373">
        <w:rPr>
          <w:lang w:val="es-ES_tradnl"/>
        </w:rPr>
        <w:t>1; el mandato del Grupo de Evaluación Tecnológica y Económica, sus comités de opciones técnicas y órganos subsidiarios temporales, conforme a lo establecido en el anexo de la decisión</w:t>
      </w:r>
      <w:r w:rsidR="00A94CC4" w:rsidRPr="00DD0373">
        <w:rPr>
          <w:lang w:val="es-ES_tradnl"/>
        </w:rPr>
        <w:t> </w:t>
      </w:r>
      <w:r w:rsidRPr="00DD0373">
        <w:rPr>
          <w:lang w:val="es-ES_tradnl"/>
        </w:rPr>
        <w:t>XXIV/8, y el manual del Grupo de Evaluación Tecnológica y Económica y la matriz</w:t>
      </w:r>
      <w:r w:rsidR="00A94CC4" w:rsidRPr="00DD0373">
        <w:rPr>
          <w:lang w:val="es-ES_tradnl"/>
        </w:rPr>
        <w:t> </w:t>
      </w:r>
      <w:r w:rsidRPr="00DD0373">
        <w:rPr>
          <w:lang w:val="es-ES_tradnl"/>
        </w:rPr>
        <w:t>de</w:t>
      </w:r>
      <w:r w:rsidR="00A94CC4" w:rsidRPr="00DD0373">
        <w:rPr>
          <w:lang w:val="es-ES_tradnl"/>
        </w:rPr>
        <w:t> </w:t>
      </w:r>
      <w:r w:rsidRPr="00DD0373">
        <w:rPr>
          <w:lang w:val="es-ES_tradnl"/>
        </w:rPr>
        <w:t>conocimientos especializados necesarios.</w:t>
      </w:r>
      <w:bookmarkStart w:id="18" w:name="_Hlk213154696"/>
      <w:bookmarkStart w:id="19" w:name="_Hlk213154729"/>
      <w:bookmarkStart w:id="20" w:name="_Hlk213154959"/>
      <w:bookmarkStart w:id="21" w:name="_Hlk213155160"/>
      <w:bookmarkEnd w:id="18"/>
      <w:bookmarkEnd w:id="19"/>
      <w:bookmarkEnd w:id="20"/>
      <w:bookmarkEnd w:id="21"/>
    </w:p>
    <w:p w14:paraId="78800423" w14:textId="278424E9"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La Copresidenta recordó que, en la 47ª reunión del Grupo de Trabajo de composición abierta, se había señalado a la atención de las </w:t>
      </w:r>
      <w:r w:rsidR="00C17707">
        <w:rPr>
          <w:lang w:val="es-ES_tradnl"/>
        </w:rPr>
        <w:t>Partes</w:t>
      </w:r>
      <w:r w:rsidRPr="00DD0373">
        <w:rPr>
          <w:lang w:val="es-ES_tradnl"/>
        </w:rPr>
        <w:t xml:space="preserve"> la lista de Copresidencias y miembros del Grupo de Evaluación Tecnológica y Económica y los comités de opciones técnicas cuyo mandato llegaría a término a finales de 2025, como se indicaba en el informe sobre los progresos realizados de 2025 del Grupo. Hasta la fecha, la Secretaría había recibido cuatro candidaturas: Marta Pizano para actuar como Copresidenta del Comité de opciones técnicas sobre el bromuro de metilo por un mandato adicional de cuatro años; Ian Porter para actuar como Copresidente del Comité de opciones técnicas sobre el bromuro de metilo por un mandato adicional de dos años; Helen Tope para actuar como Copresidenta del Comité de opciones técnicas médicas y sobre productos químicos por un mandato adicional de cuatro años, y Helen Walter</w:t>
      </w:r>
      <w:r w:rsidRPr="00DD0373">
        <w:rPr>
          <w:lang w:val="es-ES_tradnl"/>
        </w:rPr>
        <w:noBreakHyphen/>
        <w:t xml:space="preserve">Terrinoni para actuar como Copresidenta del Comité de opciones técnicas sobre espumas flexibles y rígidas por un mandato adicional de cuatro años. Las candidaturas se habían publicado en el portal de la reunión. La oradora solicitó a las </w:t>
      </w:r>
      <w:r w:rsidR="00C17707">
        <w:rPr>
          <w:lang w:val="es-ES_tradnl"/>
        </w:rPr>
        <w:t>Partes</w:t>
      </w:r>
      <w:r w:rsidRPr="00DD0373">
        <w:rPr>
          <w:lang w:val="es-ES_tradnl"/>
        </w:rPr>
        <w:t xml:space="preserve"> que presentasen más candidaturas que lo hiciesen lo antes posible; la Secretaría prepararía a continuación un proyecto de decisión para debatirlo en la reunión en curso.</w:t>
      </w:r>
      <w:bookmarkStart w:id="22" w:name="_Hlk213156132"/>
      <w:bookmarkStart w:id="23" w:name="_Hlk213155235"/>
      <w:bookmarkStart w:id="24" w:name="_Hlk213155965"/>
      <w:bookmarkEnd w:id="22"/>
      <w:bookmarkEnd w:id="23"/>
      <w:bookmarkEnd w:id="24"/>
    </w:p>
    <w:p w14:paraId="622BAF3E" w14:textId="00B86352"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Una representante expresó su agradecimiento por la dedicación de Sergey Kopylov a su función como Copresidente del Comité de opciones técnicas sobre supresión de incendios. La oradora instó a las </w:t>
      </w:r>
      <w:r w:rsidR="00C17707">
        <w:rPr>
          <w:lang w:val="es-ES_tradnl"/>
        </w:rPr>
        <w:t>Partes</w:t>
      </w:r>
      <w:r w:rsidRPr="00DD0373">
        <w:rPr>
          <w:lang w:val="es-ES_tradnl"/>
        </w:rPr>
        <w:t xml:space="preserve"> a que velasen por que el Grupo y sus comités de opciones técnicas contasen con miembros de países en desarrollo, incluidos países con temperaturas ambiente elevadas, de conformidad con la decisión XXXI/8.</w:t>
      </w:r>
    </w:p>
    <w:p w14:paraId="40EED988" w14:textId="39D1ACA4"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Las </w:t>
      </w:r>
      <w:r w:rsidR="00C17707">
        <w:rPr>
          <w:lang w:val="es-ES_tradnl"/>
        </w:rPr>
        <w:t>Partes</w:t>
      </w:r>
      <w:r w:rsidRPr="00DD0373">
        <w:rPr>
          <w:lang w:val="es-ES_tradnl"/>
        </w:rPr>
        <w:t xml:space="preserve"> acordaron crear un grupo oficioso con el fin de continuar las conversaciones sobre la cuestión.</w:t>
      </w:r>
    </w:p>
    <w:p w14:paraId="1FDE020D" w14:textId="473FF95D" w:rsidR="006B128A" w:rsidRPr="00DD0373" w:rsidRDefault="006B128A" w:rsidP="006B128A">
      <w:pPr>
        <w:pStyle w:val="Normalnumber"/>
        <w:rPr>
          <w:lang w:val="es-ES_tradnl"/>
        </w:rPr>
      </w:pPr>
      <w:r w:rsidRPr="00DD0373">
        <w:rPr>
          <w:lang w:val="es-ES_tradnl"/>
        </w:rPr>
        <w:t xml:space="preserve">La Copresidenta informó a las </w:t>
      </w:r>
      <w:r w:rsidR="00C17707">
        <w:rPr>
          <w:lang w:val="es-ES_tradnl"/>
        </w:rPr>
        <w:t>Partes</w:t>
      </w:r>
      <w:r w:rsidRPr="00DD0373">
        <w:rPr>
          <w:lang w:val="es-ES_tradnl"/>
        </w:rPr>
        <w:t xml:space="preserve"> de que el grupo oficioso había llegado a un acuerdo sobre un proyecto de decisión relativo a la cuestión para que las </w:t>
      </w:r>
      <w:r w:rsidR="00C17707">
        <w:rPr>
          <w:lang w:val="es-ES_tradnl"/>
        </w:rPr>
        <w:t>Partes</w:t>
      </w:r>
      <w:r w:rsidRPr="00DD0373">
        <w:rPr>
          <w:lang w:val="es-ES_tradnl"/>
        </w:rPr>
        <w:t xml:space="preserve"> lo examinasen.</w:t>
      </w:r>
    </w:p>
    <w:p w14:paraId="4AC20164" w14:textId="5FF09B5E" w:rsidR="00D30535" w:rsidRPr="00DD0373" w:rsidRDefault="006B128A" w:rsidP="00767330">
      <w:pPr>
        <w:pStyle w:val="Normalnumber"/>
        <w:rPr>
          <w:lang w:val="es-ES_tradnl"/>
        </w:rPr>
      </w:pPr>
      <w:r w:rsidRPr="00DD0373">
        <w:rPr>
          <w:lang w:val="es-ES_tradnl"/>
        </w:rPr>
        <w:t xml:space="preserve">Las </w:t>
      </w:r>
      <w:r w:rsidR="00C17707">
        <w:rPr>
          <w:lang w:val="es-ES_tradnl"/>
        </w:rPr>
        <w:t>Partes</w:t>
      </w:r>
      <w:r w:rsidRPr="00DD0373">
        <w:rPr>
          <w:lang w:val="es-ES_tradnl"/>
        </w:rPr>
        <w:t xml:space="preserve"> acordaron remitir el proyecto de decisión para su posterior examen y posible adopción durante la serie de sesiones de alto nivel.</w:t>
      </w:r>
    </w:p>
    <w:p w14:paraId="20A42532" w14:textId="581681AB" w:rsidR="00C20895" w:rsidRPr="00DD0373" w:rsidRDefault="00A46563" w:rsidP="005D30C7">
      <w:pPr>
        <w:pStyle w:val="CH1"/>
        <w:keepNext w:val="0"/>
        <w:keepLines w:val="0"/>
        <w:rPr>
          <w:lang w:val="es-ES_tradnl"/>
        </w:rPr>
      </w:pPr>
      <w:r w:rsidRPr="00DD0373">
        <w:rPr>
          <w:bCs/>
          <w:lang w:val="es-ES_tradnl"/>
        </w:rPr>
        <w:tab/>
      </w:r>
      <w:r w:rsidR="00D30535" w:rsidRPr="00DD0373">
        <w:rPr>
          <w:bCs/>
          <w:lang w:val="es-ES_tradnl"/>
        </w:rPr>
        <w:t>XII.</w:t>
      </w:r>
      <w:r w:rsidR="00D30535" w:rsidRPr="00DD0373">
        <w:rPr>
          <w:lang w:val="es-ES_tradnl"/>
        </w:rPr>
        <w:tab/>
      </w:r>
      <w:r w:rsidR="00D30535" w:rsidRPr="00DD0373">
        <w:rPr>
          <w:bCs/>
          <w:lang w:val="es-ES_tradnl"/>
        </w:rPr>
        <w:t>Mayor fortalecimiento de las instituciones del Protocolo de Montreal (decisión XXXVI/9)</w:t>
      </w:r>
      <w:bookmarkStart w:id="25" w:name="_Hlk156926530"/>
      <w:bookmarkEnd w:id="25"/>
    </w:p>
    <w:p w14:paraId="19E140ED" w14:textId="6F26B438" w:rsidR="002D5348" w:rsidRPr="00DD0373" w:rsidRDefault="002D5348" w:rsidP="002C30D7">
      <w:pPr>
        <w:pStyle w:val="Normalnumber"/>
        <w:rPr>
          <w:lang w:val="es-ES_tradnl"/>
        </w:rPr>
      </w:pPr>
      <w:bookmarkStart w:id="26" w:name="_Hlk213163587"/>
      <w:r w:rsidRPr="00DD0373">
        <w:rPr>
          <w:lang w:val="es-ES_tradnl"/>
        </w:rPr>
        <w:t xml:space="preserve">Al examinar el tema, las </w:t>
      </w:r>
      <w:r w:rsidR="00C17707">
        <w:rPr>
          <w:lang w:val="es-ES_tradnl"/>
        </w:rPr>
        <w:t>Partes</w:t>
      </w:r>
      <w:r w:rsidRPr="00DD0373">
        <w:rPr>
          <w:lang w:val="es-ES_tradnl"/>
        </w:rPr>
        <w:t xml:space="preserve"> tuvieron ante sí los párrafos 81 a 84 de la nota de la Secretaría sobre las cuestiones que se examinarían en la 37ª Reunión de las </w:t>
      </w:r>
      <w:r w:rsidR="00C17707">
        <w:rPr>
          <w:lang w:val="es-ES_tradnl"/>
        </w:rPr>
        <w:t>Partes</w:t>
      </w:r>
      <w:r w:rsidRPr="00DD0373">
        <w:rPr>
          <w:lang w:val="es-ES_tradnl"/>
        </w:rPr>
        <w:t xml:space="preserve"> en el Protocolo de Montreal e información que se señalaba a su atención (UNEP/OzL.Pro.37/2), los párrafos 168 a 179 del informe de la 47ª reunión del Grupo de Trabajo de composición abierta de las </w:t>
      </w:r>
      <w:r w:rsidR="00C17707">
        <w:rPr>
          <w:lang w:val="es-ES_tradnl"/>
        </w:rPr>
        <w:t>Partes</w:t>
      </w:r>
      <w:r w:rsidRPr="00DD0373">
        <w:rPr>
          <w:lang w:val="es-ES_tradnl"/>
        </w:rPr>
        <w:t xml:space="preserve"> en el Protocolo de Montreal relativo a las Sustancias que Agotan la Capa de Ozono (UNEP/OzL.Pro.WG.1/47/6) y una nota de la Secretaría titulada “Concept note and provisional </w:t>
      </w:r>
      <w:proofErr w:type="spellStart"/>
      <w:r w:rsidRPr="00DD0373">
        <w:rPr>
          <w:lang w:val="es-ES_tradnl"/>
        </w:rPr>
        <w:t>programme</w:t>
      </w:r>
      <w:proofErr w:type="spellEnd"/>
      <w:r w:rsidRPr="00DD0373">
        <w:rPr>
          <w:lang w:val="es-ES_tradnl"/>
        </w:rPr>
        <w:t>” para la reunión oficiosa</w:t>
      </w:r>
      <w:r w:rsidRPr="00DD0373">
        <w:rPr>
          <w:rStyle w:val="FootnoteReference"/>
          <w:lang w:val="es-ES_tradnl"/>
        </w:rPr>
        <w:footnoteReference w:id="3"/>
      </w:r>
      <w:r w:rsidRPr="00DD0373">
        <w:rPr>
          <w:lang w:val="es-ES_tradnl"/>
        </w:rPr>
        <w:t>.</w:t>
      </w:r>
      <w:bookmarkStart w:id="27" w:name="_Hlk213162786"/>
      <w:bookmarkEnd w:id="27"/>
    </w:p>
    <w:bookmarkEnd w:id="26"/>
    <w:p w14:paraId="718486EE" w14:textId="7F484A4A"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La Copresidenta recordó que, en la 47ª reunión del Grupo de Trabajo de composición abierta, las </w:t>
      </w:r>
      <w:r w:rsidR="00C17707">
        <w:rPr>
          <w:lang w:val="es-ES_tradnl"/>
        </w:rPr>
        <w:t>Partes</w:t>
      </w:r>
      <w:r w:rsidRPr="00DD0373">
        <w:rPr>
          <w:lang w:val="es-ES_tradnl"/>
        </w:rPr>
        <w:t xml:space="preserve"> interesadas se habían reunido con la Secretaría para examinar los temas que se debatirían en la reunión solicitada en la decisión XXXVI/9. La reunión oficiosa de las </w:t>
      </w:r>
      <w:r w:rsidR="00C17707">
        <w:rPr>
          <w:lang w:val="es-ES_tradnl"/>
        </w:rPr>
        <w:t>Partes</w:t>
      </w:r>
      <w:r w:rsidRPr="00DD0373">
        <w:rPr>
          <w:lang w:val="es-ES_tradnl"/>
        </w:rPr>
        <w:t xml:space="preserve"> de un día de duración sobre la facilitación de la aplicación del Protocolo de Montreal se había celebrado el domingo 2 de noviembre de 2025. La Secretaría había preparado y publicado un resumen de los resultados de la reunión (UNEP/OzL.Pro.37/7), basado en gran medida en los mensajes clave que los facilitadores de los grupos de trabajo habían comunicado a la reunión oficiosa de las </w:t>
      </w:r>
      <w:r w:rsidR="00C17707">
        <w:rPr>
          <w:lang w:val="es-ES_tradnl"/>
        </w:rPr>
        <w:t>Partes</w:t>
      </w:r>
      <w:r w:rsidRPr="00DD0373">
        <w:rPr>
          <w:lang w:val="es-ES_tradnl"/>
        </w:rPr>
        <w:t xml:space="preserve"> en sesión plenaria. La oradora destacó que la riqueza de los debates de la reunión oficiosa no podía reflejarse plenamente en el resumen, pero que las presentaciones realizadas durante la reunión oficiosa estaban disponibles en el portal de la reunión</w:t>
      </w:r>
      <w:r w:rsidR="00EB673D" w:rsidRPr="00DD0373">
        <w:rPr>
          <w:rStyle w:val="FootnoteReference"/>
          <w:lang w:val="es-ES_tradnl"/>
        </w:rPr>
        <w:footnoteReference w:id="4"/>
      </w:r>
      <w:r w:rsidRPr="00DD0373">
        <w:rPr>
          <w:lang w:val="es-ES_tradnl"/>
        </w:rPr>
        <w:t>. En nombre también de su Copresidenta, la oradora expresó su agradecimiento a todos los facilitadores, ponentes, expertos en recursos y participantes por sus valiosas contribuciones a la reunión oficiosa.</w:t>
      </w:r>
    </w:p>
    <w:p w14:paraId="04395991" w14:textId="432850B2"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lastRenderedPageBreak/>
        <w:t xml:space="preserve">En un momento posterior de la reunión, la representante de la Unión Europea presentó una propuesta de proyecto de decisión que figuraba en un documento de sesión. La oradora explicó que la propuesta se centraba en racionalizar la información que las </w:t>
      </w:r>
      <w:r w:rsidR="00C17707">
        <w:rPr>
          <w:lang w:val="es-ES_tradnl"/>
        </w:rPr>
        <w:t>Partes</w:t>
      </w:r>
      <w:r w:rsidRPr="00DD0373">
        <w:rPr>
          <w:lang w:val="es-ES_tradnl"/>
        </w:rPr>
        <w:t xml:space="preserve"> facilitaban a la Secretaría sobre sus sistemas de concesión de licencias, con el objetivo de fortalecer esos sistemas. En la propuesta se solicitaba a la Secretaría que preparase una plantilla para que las </w:t>
      </w:r>
      <w:r w:rsidR="00C17707">
        <w:rPr>
          <w:lang w:val="es-ES_tradnl"/>
        </w:rPr>
        <w:t>Partes</w:t>
      </w:r>
      <w:r w:rsidRPr="00DD0373">
        <w:rPr>
          <w:lang w:val="es-ES_tradnl"/>
        </w:rPr>
        <w:t xml:space="preserve"> la utilizasen al facilitar información, incluidos los elementos del sistema de concesión de licencias que debían establecerse y aplicarse en virtud del artículo 4B del Protocolo de Montreal, así como otros elementos útiles a efectos informativos, antes del 30 de septiembre de 2026, y que velase por que la información se mantuviese actualizada a partir de entonces. En la propuesta se solicitaba también a la Secretaría que preparase una recopilación de la información así facilitada, para que fuese examinada por el Comité de Aplicación en su 77ª reunión y por la 38ª Reunión de las </w:t>
      </w:r>
      <w:r w:rsidR="00C17707">
        <w:rPr>
          <w:lang w:val="es-ES_tradnl"/>
        </w:rPr>
        <w:t>Partes</w:t>
      </w:r>
      <w:r w:rsidRPr="00DD0373">
        <w:rPr>
          <w:lang w:val="es-ES_tradnl"/>
        </w:rPr>
        <w:t xml:space="preserve">. Finalmente, en la propuesta se solicitaba también a la Secretaría que preparase una lista de verificación de las características fundamentales de los sistemas de concesión de licencias, teniendo en cuenta el artículo 4B del Protocolo de Montreal y las decisiones pertinentes de las Reuniones de las </w:t>
      </w:r>
      <w:r w:rsidR="00C17707">
        <w:rPr>
          <w:lang w:val="es-ES_tradnl"/>
        </w:rPr>
        <w:t>Partes</w:t>
      </w:r>
      <w:r w:rsidRPr="00DD0373">
        <w:rPr>
          <w:lang w:val="es-ES_tradnl"/>
        </w:rPr>
        <w:t xml:space="preserve"> sobre cuestiones relativas a la concesión de licencias. La oradora esperaba con interés debatir la propuesta con las</w:t>
      </w:r>
      <w:r w:rsidR="00A94CC4" w:rsidRPr="00DD0373">
        <w:rPr>
          <w:lang w:val="es-ES_tradnl"/>
        </w:rPr>
        <w:t> </w:t>
      </w:r>
      <w:r w:rsidR="00C17707">
        <w:rPr>
          <w:lang w:val="es-ES_tradnl"/>
        </w:rPr>
        <w:t>Partes</w:t>
      </w:r>
      <w:r w:rsidRPr="00DD0373">
        <w:rPr>
          <w:lang w:val="es-ES_tradnl"/>
        </w:rPr>
        <w:t>.</w:t>
      </w:r>
    </w:p>
    <w:p w14:paraId="272DC1F4" w14:textId="272CFEAB" w:rsidR="002D5348" w:rsidRPr="00DD0373" w:rsidRDefault="002D5348" w:rsidP="002C30D7">
      <w:pPr>
        <w:pStyle w:val="Normalnumber"/>
        <w:rPr>
          <w:lang w:val="es-ES_tradnl"/>
        </w:rPr>
      </w:pPr>
      <w:r w:rsidRPr="00DD0373">
        <w:rPr>
          <w:lang w:val="es-ES_tradnl"/>
        </w:rPr>
        <w:t xml:space="preserve">Una representante expresó su preocupación por la propuesta, diciendo que no estaba claro cómo se suponía que iba a ayudar a las </w:t>
      </w:r>
      <w:r w:rsidR="00C17707">
        <w:rPr>
          <w:lang w:val="es-ES_tradnl"/>
        </w:rPr>
        <w:t>Partes</w:t>
      </w:r>
      <w:r w:rsidRPr="00DD0373">
        <w:rPr>
          <w:lang w:val="es-ES_tradnl"/>
        </w:rPr>
        <w:t xml:space="preserve"> a cumplir sus obligaciones en virtud del Protocolo de Montreal. Las </w:t>
      </w:r>
      <w:r w:rsidR="00C17707">
        <w:rPr>
          <w:lang w:val="es-ES_tradnl"/>
        </w:rPr>
        <w:t>Partes</w:t>
      </w:r>
      <w:r w:rsidRPr="00DD0373">
        <w:rPr>
          <w:lang w:val="es-ES_tradnl"/>
        </w:rPr>
        <w:t xml:space="preserve"> debían tener mucho cuidado al aumentar la carga de trabajo de la Secretaría y de las </w:t>
      </w:r>
      <w:r w:rsidR="00C17707">
        <w:rPr>
          <w:lang w:val="es-ES_tradnl"/>
        </w:rPr>
        <w:t>Partes</w:t>
      </w:r>
      <w:r w:rsidRPr="00DD0373">
        <w:rPr>
          <w:lang w:val="es-ES_tradnl"/>
        </w:rPr>
        <w:t xml:space="preserve">, que ya estaban sobrecargadas con solicitudes de información complementaria de carácter voluntario. No estaba claro si la propuesta realmente ayudaría a las </w:t>
      </w:r>
      <w:r w:rsidR="00C17707">
        <w:rPr>
          <w:lang w:val="es-ES_tradnl"/>
        </w:rPr>
        <w:t>Partes</w:t>
      </w:r>
      <w:r w:rsidRPr="00DD0373">
        <w:rPr>
          <w:lang w:val="es-ES_tradnl"/>
        </w:rPr>
        <w:t xml:space="preserve"> a mejorar su capacidad y afrontar los retos a que se enfrentaban en aquel momento.</w:t>
      </w:r>
    </w:p>
    <w:p w14:paraId="217682E9" w14:textId="70B32CAA"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Otros representantes se hicieron eco de esas preocupaciones y afirmaron que era necesario aclarar mejor el propósito y el contenido de la plantilla propuesta. En el Protocolo de Montreal en sí mismo no se establecía ninguna orientación específica con respecto a los sistemas de concesión de licencias. Otra representante expresó su preocupación por el hecho de que la plantilla propuesta pudiese no recoger todas las características de un sistema de concesión de licencias bien diseñado.</w:t>
      </w:r>
    </w:p>
    <w:p w14:paraId="5A88F33E" w14:textId="5FB3BC82"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Una representante, </w:t>
      </w:r>
      <w:r w:rsidR="00B83B97" w:rsidRPr="00DD0373">
        <w:rPr>
          <w:lang w:val="es-ES_tradnl"/>
        </w:rPr>
        <w:t>si bien</w:t>
      </w:r>
      <w:r w:rsidRPr="00DD0373">
        <w:rPr>
          <w:lang w:val="es-ES_tradnl"/>
        </w:rPr>
        <w:t xml:space="preserve"> acogió con beneplácito la propuesta, señaló que se había derivado de los debates de la reunión oficiosa celebrada el domingo 2 de noviembre. No obstante, los participantes en esa reunión habían debatido otras cuestiones importantes, como el comercio ilícito, la recopilación y presentación de datos y el aumento de la capacidad. A la oradora le preocupaba que, si se creaba un grupo de contacto para debatir la propuesta de la Unión Europea, las cuestiones pendientes solo se reflejarían en el documento final de la reunión oficiosa, que no tenía carácter oficial y de la que no se llevaría un seguimiento. La oradora sugirió que, si se creaba un grupo de contacto, este también debería trabajar en la preparación de los pasos siguientes sobre las demás cuestiones. </w:t>
      </w:r>
    </w:p>
    <w:p w14:paraId="52E8801E" w14:textId="5A61390C"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Otra representante dijo que la organización de la reunión oficiosa había cumplido el mandato decidido por las </w:t>
      </w:r>
      <w:r w:rsidR="00C17707">
        <w:rPr>
          <w:lang w:val="es-ES_tradnl"/>
        </w:rPr>
        <w:t>Partes</w:t>
      </w:r>
      <w:r w:rsidRPr="00DD0373">
        <w:rPr>
          <w:lang w:val="es-ES_tradnl"/>
        </w:rPr>
        <w:t xml:space="preserve"> en la decisión XXXVI/9. Esto no significaba necesariamente que cualquier proyecto de decisión abarcase todas las cuestiones debatidas en la reunión. La oradora, a pesar de que acogió con satisfacción la propuesta de la Unión Europea y reconoció la importante función que desempeñaban los sistemas de concesión de licencias, en particular en la lucha contra el comercio ilícito, expresó una serie de preocupaciones con respecto a la propuesta tal como estaba redactada. En</w:t>
      </w:r>
      <w:r w:rsidR="00A94CC4" w:rsidRPr="00DD0373">
        <w:rPr>
          <w:lang w:val="es-ES_tradnl"/>
        </w:rPr>
        <w:t> </w:t>
      </w:r>
      <w:r w:rsidRPr="00DD0373">
        <w:rPr>
          <w:lang w:val="es-ES_tradnl"/>
        </w:rPr>
        <w:t xml:space="preserve">particular, la oradora dijo que las </w:t>
      </w:r>
      <w:r w:rsidR="00C17707">
        <w:rPr>
          <w:lang w:val="es-ES_tradnl"/>
        </w:rPr>
        <w:t>Partes</w:t>
      </w:r>
      <w:r w:rsidRPr="00DD0373">
        <w:rPr>
          <w:lang w:val="es-ES_tradnl"/>
        </w:rPr>
        <w:t xml:space="preserve"> tendrían que contar con la oportunidad de aportar sus observaciones al diseño de la plantilla propuesta antes de que la Secretaría pudiese distribuirla. No era razonable esperar que las </w:t>
      </w:r>
      <w:r w:rsidR="00C17707">
        <w:rPr>
          <w:lang w:val="es-ES_tradnl"/>
        </w:rPr>
        <w:t>Partes</w:t>
      </w:r>
      <w:r w:rsidRPr="00DD0373">
        <w:rPr>
          <w:lang w:val="es-ES_tradnl"/>
        </w:rPr>
        <w:t xml:space="preserve"> pudiesen presentar información sobre sus sistemas de concesión de licencias conforme a una plantilla desconocida, lo que podría implicar la reorganización de la información que ya habían presentado, antes del 30 de septiembre de 2026. Tampoco estaba claro qué se esperaba que hiciese el Comité de Aplicación con la recopilación de información facilitada de esa forma. Por último, la referencia en la propuesta a las “características fundamentales” de los sistemas de concesión de licencias era preocupante, ya que las </w:t>
      </w:r>
      <w:r w:rsidR="00C17707">
        <w:rPr>
          <w:lang w:val="es-ES_tradnl"/>
        </w:rPr>
        <w:t>Partes</w:t>
      </w:r>
      <w:r w:rsidRPr="00DD0373">
        <w:rPr>
          <w:lang w:val="es-ES_tradnl"/>
        </w:rPr>
        <w:t xml:space="preserve"> no habían llegado a ningún acuerdo sobre cuáles podrían ser esas características fundamentales. No parecía apropiado que la Secretaría facilitase una lista de verificación de las características fundamentales que no se habían debatido. No obstante, a pesar de esas críticas, la oradora agradecería la oportunidad de seguir debatiendo la propuesta.</w:t>
      </w:r>
    </w:p>
    <w:p w14:paraId="3C87DCA2" w14:textId="00AB3166"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Otros representantes acogieron con satisfacción la propuesta y solicitaron que se les brindase la oportunidad de debatirla más a fondo en un grupo de contacto. Un representante aceptaba la sugerencia de ampliar el mandato del grupo de contacto para que abarcase otras cuestiones debatidas en la reunión oficiosa, pero, reconociendo que el tiempo disponible en la reunión en curso era limitado, sugirió que el tema se incluyese en el programa de la 48ª reunión del Grupo de Trabajo de composición abierta. Otro representante señaló que limitar el alcance de la presente propuesta a los sistemas de concesión de licencias no impedía que se abordasen posteriormente otras cuestiones.</w:t>
      </w:r>
    </w:p>
    <w:p w14:paraId="4328159B" w14:textId="5F789094"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lastRenderedPageBreak/>
        <w:t xml:space="preserve">Las </w:t>
      </w:r>
      <w:r w:rsidR="00C17707">
        <w:rPr>
          <w:lang w:val="es-ES_tradnl"/>
        </w:rPr>
        <w:t>Partes</w:t>
      </w:r>
      <w:r w:rsidRPr="00DD0373">
        <w:rPr>
          <w:lang w:val="es-ES_tradnl"/>
        </w:rPr>
        <w:t xml:space="preserve"> acordaron crear un grupo oficioso, que </w:t>
      </w:r>
      <w:proofErr w:type="spellStart"/>
      <w:r w:rsidRPr="00DD0373">
        <w:rPr>
          <w:lang w:val="es-ES_tradnl"/>
        </w:rPr>
        <w:t>cofacilitarían</w:t>
      </w:r>
      <w:proofErr w:type="spellEnd"/>
      <w:r w:rsidRPr="00DD0373">
        <w:rPr>
          <w:lang w:val="es-ES_tradnl"/>
        </w:rPr>
        <w:t xml:space="preserve"> Sandrine Benard (Noruega) y George Chaumba (Zimbabwe), con el fin de aclarar e intercambiar opiniones sobre el proyecto de decisión, así como sobre otras cuestiones clave planteadas durante la reunión oficiosa celebrada el 2 de noviembre.</w:t>
      </w:r>
    </w:p>
    <w:p w14:paraId="1A08A191" w14:textId="214AD774" w:rsidR="006B128A" w:rsidRPr="00DD0373" w:rsidRDefault="006B128A" w:rsidP="00767330">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Posteriormente, la </w:t>
      </w:r>
      <w:proofErr w:type="spellStart"/>
      <w:r w:rsidRPr="00DD0373">
        <w:rPr>
          <w:lang w:val="es-ES_tradnl"/>
        </w:rPr>
        <w:t>Cofacilitadora</w:t>
      </w:r>
      <w:proofErr w:type="spellEnd"/>
      <w:r w:rsidRPr="00DD0373">
        <w:rPr>
          <w:lang w:val="es-ES_tradnl"/>
        </w:rPr>
        <w:t xml:space="preserve"> del grupo oficioso informó de que varias </w:t>
      </w:r>
      <w:r w:rsidR="00C17707">
        <w:rPr>
          <w:lang w:val="es-ES_tradnl"/>
        </w:rPr>
        <w:t>Partes</w:t>
      </w:r>
      <w:r w:rsidRPr="00DD0373">
        <w:rPr>
          <w:lang w:val="es-ES_tradnl"/>
        </w:rPr>
        <w:t xml:space="preserve"> habían expresado su agradecimiento por la reunión oficiosa de un día de duración sobre la facilitación de la aplicación del Protocolo de Montreal. El grupo oficioso reconocía el número de cuestiones que quedaban por debatir y, debido a las limitaciones de tiempo, no había podido examinar el documento de sesión presentado por la Unión Europea. Dado el interés de las </w:t>
      </w:r>
      <w:r w:rsidR="00C17707">
        <w:rPr>
          <w:lang w:val="es-ES_tradnl"/>
        </w:rPr>
        <w:t>Partes</w:t>
      </w:r>
      <w:r w:rsidRPr="00DD0373">
        <w:rPr>
          <w:lang w:val="es-ES_tradnl"/>
        </w:rPr>
        <w:t xml:space="preserve"> en continuar el diálogo sobre los resultados de la reunión oficiosa, se acordó que los debates sobre la cuestión proseguirían en la 48ª reunión del Grupo de Trabajo de composición abierta.</w:t>
      </w:r>
    </w:p>
    <w:p w14:paraId="7A45EEC7" w14:textId="3EC6F45B" w:rsidR="006B128A" w:rsidRPr="00DD0373" w:rsidRDefault="006B128A" w:rsidP="00767330">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Las </w:t>
      </w:r>
      <w:r w:rsidR="00C17707">
        <w:rPr>
          <w:lang w:val="es-ES_tradnl"/>
        </w:rPr>
        <w:t>Partes</w:t>
      </w:r>
      <w:r w:rsidRPr="00DD0373">
        <w:rPr>
          <w:lang w:val="es-ES_tradnl"/>
        </w:rPr>
        <w:t xml:space="preserve"> convinieron en incorporar la cuestión al programa de la 48ª reunión del Grupo de Trabajo de composición abierta.</w:t>
      </w:r>
    </w:p>
    <w:p w14:paraId="7FF0B680" w14:textId="4CB16283" w:rsidR="00C20895" w:rsidRPr="00DD0373" w:rsidRDefault="00A72C01" w:rsidP="005D30C7">
      <w:pPr>
        <w:pStyle w:val="CH1"/>
        <w:keepNext w:val="0"/>
        <w:keepLines w:val="0"/>
        <w:rPr>
          <w:lang w:val="es-ES_tradnl"/>
        </w:rPr>
      </w:pPr>
      <w:r w:rsidRPr="00DD0373">
        <w:rPr>
          <w:bCs/>
          <w:lang w:val="es-ES_tradnl"/>
        </w:rPr>
        <w:tab/>
      </w:r>
      <w:r w:rsidR="003863CC" w:rsidRPr="00DD0373">
        <w:rPr>
          <w:bCs/>
          <w:lang w:val="es-ES_tradnl"/>
        </w:rPr>
        <w:t>XIII.</w:t>
      </w:r>
      <w:r w:rsidR="003863CC" w:rsidRPr="00DD0373">
        <w:rPr>
          <w:lang w:val="es-ES_tradnl"/>
        </w:rPr>
        <w:tab/>
      </w:r>
      <w:r w:rsidR="003863CC" w:rsidRPr="00DD0373">
        <w:rPr>
          <w:bCs/>
          <w:lang w:val="es-ES_tradnl"/>
        </w:rPr>
        <w:t>Cuestiones relacionadas con el cumplimiento y la presentación de datos: labor del Comité de Aplicación establecido con arreglo al Procedimiento relativo al Incumplimiento del Protocolo de Montreal y decisiones recomendadas por este</w:t>
      </w:r>
    </w:p>
    <w:p w14:paraId="61E12FB6" w14:textId="71F237DC" w:rsidR="002D5348" w:rsidRPr="00DD0373" w:rsidRDefault="002D5348" w:rsidP="002C30D7">
      <w:pPr>
        <w:pStyle w:val="Normalnumber"/>
        <w:rPr>
          <w:lang w:val="es-ES_tradnl"/>
        </w:rPr>
      </w:pPr>
      <w:r w:rsidRPr="00DD0373">
        <w:rPr>
          <w:lang w:val="es-ES_tradnl"/>
        </w:rPr>
        <w:t xml:space="preserve">Al examinar el tema, las </w:t>
      </w:r>
      <w:r w:rsidR="00C17707">
        <w:rPr>
          <w:lang w:val="es-ES_tradnl"/>
        </w:rPr>
        <w:t>Partes</w:t>
      </w:r>
      <w:r w:rsidRPr="00DD0373">
        <w:rPr>
          <w:lang w:val="es-ES_tradnl"/>
        </w:rPr>
        <w:t xml:space="preserve"> tuvieron ante sí los párrafos 85 y 86 de la nota de la Secretaría sobre cuestiones que se examinarían en la 37ª Reunión de las </w:t>
      </w:r>
      <w:r w:rsidR="00C17707">
        <w:rPr>
          <w:lang w:val="es-ES_tradnl"/>
        </w:rPr>
        <w:t>Partes</w:t>
      </w:r>
      <w:r w:rsidRPr="00DD0373">
        <w:rPr>
          <w:lang w:val="es-ES_tradnl"/>
        </w:rPr>
        <w:t xml:space="preserve"> en el Protocolo de Montreal e información que se señalaba a su atención (UNEP/OzL.Pro.37/2) y el Procedimiento relativo al Incumplimiento del Protocolo de Montreal. Los proyectos de decisión remitidos por el Comité de Aplicación para su examen y posible aprobación por la 37ª reunión de las </w:t>
      </w:r>
      <w:r w:rsidR="00C17707">
        <w:rPr>
          <w:lang w:val="es-ES_tradnl"/>
        </w:rPr>
        <w:t>Partes</w:t>
      </w:r>
      <w:r w:rsidRPr="00DD0373">
        <w:rPr>
          <w:lang w:val="es-ES_tradnl"/>
        </w:rPr>
        <w:t xml:space="preserve"> se recogían en un documento de sesión.</w:t>
      </w:r>
      <w:bookmarkStart w:id="28" w:name="_Hlk213163822"/>
      <w:bookmarkEnd w:id="28"/>
    </w:p>
    <w:p w14:paraId="16F04B16" w14:textId="1D4F078D"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El </w:t>
      </w:r>
      <w:proofErr w:type="gramStart"/>
      <w:r w:rsidRPr="00DD0373">
        <w:rPr>
          <w:lang w:val="es-ES_tradnl"/>
        </w:rPr>
        <w:t>Presidente</w:t>
      </w:r>
      <w:proofErr w:type="gramEnd"/>
      <w:r w:rsidRPr="00DD0373">
        <w:rPr>
          <w:lang w:val="es-ES_tradnl"/>
        </w:rPr>
        <w:t xml:space="preserve"> del Comité de Aplicación, Martijn Hildebrand (Reino de los Países Bajos), presentó un resumen de los trabajos del Comité de Aplicación en sus reuniones 74ª y 75ª, incluida una sinopsis de los nueve proyectos de decisión aprobados por el Comité para el examen de la 37ª Reunión de las </w:t>
      </w:r>
      <w:r w:rsidR="00C17707">
        <w:rPr>
          <w:lang w:val="es-ES_tradnl"/>
        </w:rPr>
        <w:t>Partes</w:t>
      </w:r>
      <w:r w:rsidRPr="00DD0373">
        <w:rPr>
          <w:lang w:val="es-ES_tradnl"/>
        </w:rPr>
        <w:t>.</w:t>
      </w:r>
    </w:p>
    <w:p w14:paraId="1B7D4909" w14:textId="2C855A64"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El Comité había examinado distintas cuestiones relativas a la presentación de datos en relación con los artículos 7 y 9 del Protocolo de Montreal, incluidas las obligaciones de presentación de datos sobre los HFC en virtud de la Enmienda de Kigali, los casos de incumplimiento, incluido el respeto o la falta de respeto de cada una de las </w:t>
      </w:r>
      <w:r w:rsidR="00C17707">
        <w:rPr>
          <w:lang w:val="es-ES_tradnl"/>
        </w:rPr>
        <w:t>Partes</w:t>
      </w:r>
      <w:r w:rsidRPr="00DD0373">
        <w:rPr>
          <w:lang w:val="es-ES_tradnl"/>
        </w:rPr>
        <w:t xml:space="preserve"> de los compromisos recogidos en sus planes de acción para volver a la situación de cumplimiento, las solicitudes de cambios en los datos de referencia de los HFC y los HCFC, información sobre el establecimiento de sistemas de concesión de licencias para los HFC y la aportación de datos provisionales en el marco de la presentación de datos con arreglo al artículo 7 y las cuestiones sistémicas en relación con el cumplimiento. El Comité también había recibido informes de la Secretaría del Fondo Multilateral acerca de las decisiones en la materia del Comité Ejecutivo del Fondo y las actividades realizadas por los organismos de ejecución para facilitar el cumplimiento por las </w:t>
      </w:r>
      <w:r w:rsidR="00C17707">
        <w:rPr>
          <w:lang w:val="es-ES_tradnl"/>
        </w:rPr>
        <w:t>Partes</w:t>
      </w:r>
      <w:r w:rsidRPr="00DD0373">
        <w:rPr>
          <w:lang w:val="es-ES_tradnl"/>
        </w:rPr>
        <w:t>.</w:t>
      </w:r>
    </w:p>
    <w:p w14:paraId="3067A108" w14:textId="431241C6"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Al examinar la situación de las </w:t>
      </w:r>
      <w:r w:rsidR="00C17707">
        <w:rPr>
          <w:lang w:val="es-ES_tradnl"/>
        </w:rPr>
        <w:t>Partes</w:t>
      </w:r>
      <w:r w:rsidRPr="00DD0373">
        <w:rPr>
          <w:lang w:val="es-ES_tradnl"/>
        </w:rPr>
        <w:t xml:space="preserve"> a las que se aplicaba la decisión XXXVI/13, relativa al incumplimiento de sus obligaciones de presentación de datos en virtud del artículo 7, el Comité había considerado la situación de cumplimiento de ocho </w:t>
      </w:r>
      <w:r w:rsidR="00C17707">
        <w:rPr>
          <w:lang w:val="es-ES_tradnl"/>
        </w:rPr>
        <w:t>Partes</w:t>
      </w:r>
      <w:r w:rsidRPr="00DD0373">
        <w:rPr>
          <w:lang w:val="es-ES_tradnl"/>
        </w:rPr>
        <w:t xml:space="preserve">, y todas ellas habían presentado los datos pendientes como se solicitaba en la decisión. El Comité también había tenido en cuenta los compromisos de las </w:t>
      </w:r>
      <w:r w:rsidR="00C17707">
        <w:rPr>
          <w:lang w:val="es-ES_tradnl"/>
        </w:rPr>
        <w:t>Partes</w:t>
      </w:r>
      <w:r w:rsidRPr="00DD0373">
        <w:rPr>
          <w:lang w:val="es-ES_tradnl"/>
        </w:rPr>
        <w:t xml:space="preserve"> de volver a cumplir lo establecido en sus planes de acción. Libia había cumplido todos los compromisos contraídos en virtud de su plan de acción y se había remitido a la</w:t>
      </w:r>
      <w:r w:rsidR="00015312" w:rsidRPr="00DD0373">
        <w:rPr>
          <w:lang w:val="es-ES_tradnl"/>
        </w:rPr>
        <w:t> </w:t>
      </w:r>
      <w:r w:rsidRPr="00DD0373">
        <w:rPr>
          <w:lang w:val="es-ES_tradnl"/>
        </w:rPr>
        <w:t>37ª</w:t>
      </w:r>
      <w:r w:rsidR="00015312" w:rsidRPr="00DD0373">
        <w:rPr>
          <w:lang w:val="es-ES_tradnl"/>
        </w:rPr>
        <w:t> </w:t>
      </w:r>
      <w:r w:rsidRPr="00DD0373">
        <w:rPr>
          <w:lang w:val="es-ES_tradnl"/>
        </w:rPr>
        <w:t xml:space="preserve">Reunión de las </w:t>
      </w:r>
      <w:r w:rsidR="00C17707">
        <w:rPr>
          <w:lang w:val="es-ES_tradnl"/>
        </w:rPr>
        <w:t>Partes</w:t>
      </w:r>
      <w:r w:rsidRPr="00DD0373">
        <w:rPr>
          <w:lang w:val="es-ES_tradnl"/>
        </w:rPr>
        <w:t>, con vistas a su examen, un proyecto de decisión para cerrar la cuestión. Kazajstán había seguido cumpliendo los compromisos adquiridos en su plan de acción.</w:t>
      </w:r>
    </w:p>
    <w:p w14:paraId="129983AE" w14:textId="509CE9D1"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El Comité había examinado la cuestión de la presentación de datos provisionales tras los debates al respecto celebrados por el Comité y la 36ª reunión de las </w:t>
      </w:r>
      <w:r w:rsidR="00C17707">
        <w:rPr>
          <w:lang w:val="es-ES_tradnl"/>
        </w:rPr>
        <w:t>Partes</w:t>
      </w:r>
      <w:r w:rsidRPr="00DD0373">
        <w:rPr>
          <w:lang w:val="es-ES_tradnl"/>
        </w:rPr>
        <w:t>. Como había mencionado el</w:t>
      </w:r>
      <w:r w:rsidR="00A94CC4" w:rsidRPr="00DD0373">
        <w:rPr>
          <w:lang w:val="es-ES_tradnl"/>
        </w:rPr>
        <w:t> </w:t>
      </w:r>
      <w:r w:rsidRPr="00DD0373">
        <w:rPr>
          <w:lang w:val="es-ES_tradnl"/>
        </w:rPr>
        <w:t xml:space="preserve">anterior </w:t>
      </w:r>
      <w:proofErr w:type="gramStart"/>
      <w:r w:rsidRPr="00DD0373">
        <w:rPr>
          <w:lang w:val="es-ES_tradnl"/>
        </w:rPr>
        <w:t>Presidente</w:t>
      </w:r>
      <w:proofErr w:type="gramEnd"/>
      <w:r w:rsidRPr="00DD0373">
        <w:rPr>
          <w:lang w:val="es-ES_tradnl"/>
        </w:rPr>
        <w:t xml:space="preserve"> del Comité en su informe a la 36ª Reunión de las </w:t>
      </w:r>
      <w:r w:rsidR="00C17707">
        <w:rPr>
          <w:lang w:val="es-ES_tradnl"/>
        </w:rPr>
        <w:t>Partes</w:t>
      </w:r>
      <w:r w:rsidRPr="00DD0373">
        <w:rPr>
          <w:lang w:val="es-ES_tradnl"/>
        </w:rPr>
        <w:t>, esa práctica era problemática para la labor del Comité, ya que, sin datos definitivos, era imposible determinar el cumplimiento de las medidas de control previstas en el Protocolo. Una Parte que hubiese presentado datos provisionales para sus años de referencia podría sortear el proceso de modificación de los datos de referencia establecido en la decisión XIII/15.</w:t>
      </w:r>
    </w:p>
    <w:p w14:paraId="265D6089" w14:textId="04902CB4"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Teniendo en cuenta que el concepto de “datos provisionales” no figuraba en el Protocolo de Montreal ni en ninguna decisión de las Reuniones de las </w:t>
      </w:r>
      <w:r w:rsidR="00C17707">
        <w:rPr>
          <w:lang w:val="es-ES_tradnl"/>
        </w:rPr>
        <w:t>Partes</w:t>
      </w:r>
      <w:r w:rsidRPr="00DD0373">
        <w:rPr>
          <w:lang w:val="es-ES_tradnl"/>
        </w:rPr>
        <w:t xml:space="preserve">, el Comité había acordado que la Secretaría dejase de tratar cualquier dato como provisional. Los datos no referidos al año de referencia </w:t>
      </w:r>
      <w:r w:rsidRPr="00DD0373">
        <w:rPr>
          <w:lang w:val="es-ES_tradnl"/>
        </w:rPr>
        <w:lastRenderedPageBreak/>
        <w:t>podrían corregirse con arreglo al procedimiento establecido en el párrafo 3 de la decisión VI/5. La revisión de los datos de referencia requirió la presentación de una solicitud al Comité, de conformidad con lo dispuesto en la decisión XIII/15, siguiendo la metodología establecida en la decisión XV/19.</w:t>
      </w:r>
    </w:p>
    <w:p w14:paraId="674D35B1" w14:textId="77777777"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El Comité también había debatido un documento sobre cuestiones sistémicas relacionadas con el cumplimiento (UNEP/</w:t>
      </w:r>
      <w:proofErr w:type="spellStart"/>
      <w:r w:rsidRPr="00DD0373">
        <w:rPr>
          <w:lang w:val="es-ES_tradnl"/>
        </w:rPr>
        <w:t>OzL.Pro</w:t>
      </w:r>
      <w:proofErr w:type="spellEnd"/>
      <w:r w:rsidRPr="00DD0373">
        <w:rPr>
          <w:lang w:val="es-ES_tradnl"/>
        </w:rPr>
        <w:t>/</w:t>
      </w:r>
      <w:proofErr w:type="spellStart"/>
      <w:r w:rsidRPr="00DD0373">
        <w:rPr>
          <w:lang w:val="es-ES_tradnl"/>
        </w:rPr>
        <w:t>ImpCom</w:t>
      </w:r>
      <w:proofErr w:type="spellEnd"/>
      <w:r w:rsidRPr="00DD0373">
        <w:rPr>
          <w:lang w:val="es-ES_tradnl"/>
        </w:rPr>
        <w:t>/74/6, anexo II). Al comienzo de la reunión oficiosa sobre la facilitación de la aplicación del Protocolo de Montreal se había presentado un resumen de los debates, que se reflejaría en el informe de la 75ª reunión del Comité.</w:t>
      </w:r>
    </w:p>
    <w:p w14:paraId="1811C3E9" w14:textId="3A487ABB"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El Comité remitía nueve proyectos de decisión para su examen por la 37ª Reunión de las </w:t>
      </w:r>
      <w:r w:rsidR="00C17707">
        <w:rPr>
          <w:lang w:val="es-ES_tradnl"/>
        </w:rPr>
        <w:t>Partes</w:t>
      </w:r>
      <w:r w:rsidRPr="00DD0373">
        <w:rPr>
          <w:lang w:val="es-ES_tradnl"/>
        </w:rPr>
        <w:t>. El primer proyecto de decisión se refería a la presentación de datos con arreglo al artículo 7 del</w:t>
      </w:r>
      <w:r w:rsidR="00A94CC4" w:rsidRPr="00DD0373">
        <w:rPr>
          <w:lang w:val="es-ES_tradnl"/>
        </w:rPr>
        <w:t> </w:t>
      </w:r>
      <w:r w:rsidRPr="00DD0373">
        <w:rPr>
          <w:lang w:val="es-ES_tradnl"/>
        </w:rPr>
        <w:t>Protocolo. En el proyecto de decisión se hacía notar que, a 31 de octubre de 2025, 194 de</w:t>
      </w:r>
      <w:r w:rsidR="0061474D" w:rsidRPr="00DD0373">
        <w:rPr>
          <w:lang w:val="es-ES_tradnl"/>
        </w:rPr>
        <w:t xml:space="preserve"> </w:t>
      </w:r>
      <w:r w:rsidRPr="00DD0373">
        <w:rPr>
          <w:lang w:val="es-ES_tradnl"/>
        </w:rPr>
        <w:t>las</w:t>
      </w:r>
      <w:r w:rsidR="0061474D" w:rsidRPr="00DD0373">
        <w:rPr>
          <w:lang w:val="es-ES_tradnl"/>
        </w:rPr>
        <w:t> </w:t>
      </w:r>
      <w:r w:rsidRPr="00DD0373">
        <w:rPr>
          <w:lang w:val="es-ES_tradnl"/>
        </w:rPr>
        <w:t>198</w:t>
      </w:r>
      <w:r w:rsidR="0061474D" w:rsidRPr="00DD0373">
        <w:rPr>
          <w:lang w:val="es-ES_tradnl"/>
        </w:rPr>
        <w:t> </w:t>
      </w:r>
      <w:r w:rsidR="00C17707">
        <w:rPr>
          <w:lang w:val="es-ES_tradnl"/>
        </w:rPr>
        <w:t>Partes</w:t>
      </w:r>
      <w:r w:rsidRPr="00DD0373">
        <w:rPr>
          <w:lang w:val="es-ES_tradnl"/>
        </w:rPr>
        <w:t xml:space="preserve"> que debían haber presentado datos correspondientes a 2024 ya lo habían hecho, que</w:t>
      </w:r>
      <w:r w:rsidR="00172EAC" w:rsidRPr="00DD0373">
        <w:rPr>
          <w:lang w:val="es-ES_tradnl"/>
        </w:rPr>
        <w:t> </w:t>
      </w:r>
      <w:r w:rsidRPr="00DD0373">
        <w:rPr>
          <w:lang w:val="es-ES_tradnl"/>
        </w:rPr>
        <w:t>123</w:t>
      </w:r>
      <w:r w:rsidR="00172EAC" w:rsidRPr="00DD0373">
        <w:rPr>
          <w:lang w:val="es-ES_tradnl"/>
        </w:rPr>
        <w:t> </w:t>
      </w:r>
      <w:r w:rsidRPr="00DD0373">
        <w:rPr>
          <w:lang w:val="es-ES_tradnl"/>
        </w:rPr>
        <w:t xml:space="preserve">de esas </w:t>
      </w:r>
      <w:r w:rsidR="00C17707">
        <w:rPr>
          <w:lang w:val="es-ES_tradnl"/>
        </w:rPr>
        <w:t>Partes</w:t>
      </w:r>
      <w:r w:rsidRPr="00DD0373">
        <w:rPr>
          <w:lang w:val="es-ES_tradnl"/>
        </w:rPr>
        <w:t xml:space="preserve"> habían presentado sus datos a través del sistema de presentación de datos en</w:t>
      </w:r>
      <w:r w:rsidR="00A94CC4" w:rsidRPr="00DD0373">
        <w:rPr>
          <w:lang w:val="es-ES_tradnl"/>
        </w:rPr>
        <w:t> </w:t>
      </w:r>
      <w:r w:rsidRPr="00DD0373">
        <w:rPr>
          <w:lang w:val="es-ES_tradnl"/>
        </w:rPr>
        <w:t xml:space="preserve">línea y que 170 </w:t>
      </w:r>
      <w:r w:rsidR="00C17707">
        <w:rPr>
          <w:lang w:val="es-ES_tradnl"/>
        </w:rPr>
        <w:t>Partes</w:t>
      </w:r>
      <w:r w:rsidRPr="00DD0373">
        <w:rPr>
          <w:lang w:val="es-ES_tradnl"/>
        </w:rPr>
        <w:t xml:space="preserve"> habían presentado sus datos antes del 30 de septiembre de 2025, de conformidad con el párrafo 3 del artículo 7 del Protocolo.</w:t>
      </w:r>
    </w:p>
    <w:p w14:paraId="7C9577BD" w14:textId="5BD75AB2"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En el proyecto de decisión también se hacía notar con aprecio que 74 de esas </w:t>
      </w:r>
      <w:r w:rsidR="00C17707">
        <w:rPr>
          <w:lang w:val="es-ES_tradnl"/>
        </w:rPr>
        <w:t>Partes</w:t>
      </w:r>
      <w:r w:rsidRPr="00DD0373">
        <w:rPr>
          <w:lang w:val="es-ES_tradnl"/>
        </w:rPr>
        <w:t xml:space="preserve"> habían presentado sus datos correspondientes a 2024 antes del 30 de junio de 2025, de conformidad con la exhortación formulada en la decisión XV/15, y que la presentación de datos antes del 30 de junio de cada año facilitaba en gran medida la labor del Comité de Aplicación y del Comité Ejecutivo del Fondo Multilateral a la hora de ayudar a las </w:t>
      </w:r>
      <w:r w:rsidR="00C17707">
        <w:rPr>
          <w:lang w:val="es-ES_tradnl"/>
        </w:rPr>
        <w:t>Partes</w:t>
      </w:r>
      <w:r w:rsidRPr="00DD0373">
        <w:rPr>
          <w:lang w:val="es-ES_tradnl"/>
        </w:rPr>
        <w:t xml:space="preserve"> que operan al amparo del artículo 5 a cumplir las</w:t>
      </w:r>
      <w:r w:rsidR="00A94CC4" w:rsidRPr="00DD0373">
        <w:rPr>
          <w:lang w:val="es-ES_tradnl"/>
        </w:rPr>
        <w:t> </w:t>
      </w:r>
      <w:r w:rsidRPr="00DD0373">
        <w:rPr>
          <w:lang w:val="es-ES_tradnl"/>
        </w:rPr>
        <w:t>medidas de control.</w:t>
      </w:r>
    </w:p>
    <w:p w14:paraId="0D1F9369" w14:textId="7395679C"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El Comité había observado con preocupación que, a 31 de octubre de 2025, cuatro </w:t>
      </w:r>
      <w:r w:rsidR="00C17707">
        <w:rPr>
          <w:lang w:val="es-ES_tradnl"/>
        </w:rPr>
        <w:t>Partes</w:t>
      </w:r>
      <w:r w:rsidRPr="00DD0373">
        <w:rPr>
          <w:lang w:val="es-ES_tradnl"/>
        </w:rPr>
        <w:t xml:space="preserve">, a saber, Armenia, las Comoras, Islandia y Santo Tomé y Príncipe, no habían comunicado sus datos correspondientes a 2024 y que de resultas de ello esas </w:t>
      </w:r>
      <w:r w:rsidR="00C17707">
        <w:rPr>
          <w:lang w:val="es-ES_tradnl"/>
        </w:rPr>
        <w:t>Partes</w:t>
      </w:r>
      <w:r w:rsidRPr="00DD0373">
        <w:rPr>
          <w:lang w:val="es-ES_tradnl"/>
        </w:rPr>
        <w:t xml:space="preserve"> se encontraban en situación de incumplimiento de sus obligaciones de presentación de datos en virtud de lo dispuesto en el Protocolo de Montreal hasta el momento en que la Secretaría recibiese los datos pendientes. En el proyecto de decisión se instaba a todas esas </w:t>
      </w:r>
      <w:r w:rsidR="00C17707">
        <w:rPr>
          <w:lang w:val="es-ES_tradnl"/>
        </w:rPr>
        <w:t>Partes</w:t>
      </w:r>
      <w:r w:rsidRPr="00DD0373">
        <w:rPr>
          <w:lang w:val="es-ES_tradnl"/>
        </w:rPr>
        <w:t xml:space="preserve"> a que facilitasen sus datos lo antes posible y se solicitaba al Comité que examinase la situación de esas </w:t>
      </w:r>
      <w:r w:rsidR="00C17707">
        <w:rPr>
          <w:lang w:val="es-ES_tradnl"/>
        </w:rPr>
        <w:t>Partes</w:t>
      </w:r>
      <w:r w:rsidRPr="00DD0373">
        <w:rPr>
          <w:lang w:val="es-ES_tradnl"/>
        </w:rPr>
        <w:t xml:space="preserve"> en su 76ª reunión.</w:t>
      </w:r>
    </w:p>
    <w:p w14:paraId="0F66DF77" w14:textId="1D7F068E"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En el proyecto de decisión también se hacía notar que la falta de presentación oportuna de datos por las </w:t>
      </w:r>
      <w:r w:rsidR="00C17707">
        <w:rPr>
          <w:lang w:val="es-ES_tradnl"/>
        </w:rPr>
        <w:t>Partes</w:t>
      </w:r>
      <w:r w:rsidRPr="00DD0373">
        <w:rPr>
          <w:lang w:val="es-ES_tradnl"/>
        </w:rPr>
        <w:t xml:space="preserve"> impedía realizar una vigilancia y evaluación eficaces del cumplimiento por las </w:t>
      </w:r>
      <w:r w:rsidR="00C17707">
        <w:rPr>
          <w:lang w:val="es-ES_tradnl"/>
        </w:rPr>
        <w:t>Partes</w:t>
      </w:r>
      <w:r w:rsidRPr="00DD0373">
        <w:rPr>
          <w:lang w:val="es-ES_tradnl"/>
        </w:rPr>
        <w:t xml:space="preserve"> de sus obligaciones dimanantes del Protocolo de Montreal. Esa cuestión fue una de las varias que se destacaron en el documento sobre cuestiones sistémicas relacionadas con el cumplimiento elaborado por la Secretaría y debatido por el Comité durante la reunión oficiosa. La presentación tardía de los informes planteaba dificultades tanto al Comité como a la Secretaría. A fin de desalentar la presentación tardía de informes, en particular el día en que el Comité se reuniese para adoptar sus recomendaciones y durante la 37ª Reunión de las </w:t>
      </w:r>
      <w:r w:rsidR="00C17707">
        <w:rPr>
          <w:lang w:val="es-ES_tradnl"/>
        </w:rPr>
        <w:t>Partes</w:t>
      </w:r>
      <w:r w:rsidRPr="00DD0373">
        <w:rPr>
          <w:lang w:val="es-ES_tradnl"/>
        </w:rPr>
        <w:t xml:space="preserve">, y teniendo en cuenta que los datos anuales debían presentarse a más tardar nueve meses después del final del año al que se referían, en el proyecto de decisión sobre la presentación de datos se enumeraban las </w:t>
      </w:r>
      <w:r w:rsidR="00C17707">
        <w:rPr>
          <w:lang w:val="es-ES_tradnl"/>
        </w:rPr>
        <w:t>Partes</w:t>
      </w:r>
      <w:r w:rsidRPr="00DD0373">
        <w:rPr>
          <w:lang w:val="es-ES_tradnl"/>
        </w:rPr>
        <w:t xml:space="preserve"> que no habían presentado sus datos en una fecha determinada, el 31 de octubre de 2025, que era el día anterior a la adopción de las recomendaciones por parte del Comité. En el proyecto de decisión también se alentaba a las </w:t>
      </w:r>
      <w:r w:rsidR="00C17707">
        <w:rPr>
          <w:lang w:val="es-ES_tradnl"/>
        </w:rPr>
        <w:t>Partes</w:t>
      </w:r>
      <w:r w:rsidRPr="00DD0373">
        <w:rPr>
          <w:lang w:val="es-ES_tradnl"/>
        </w:rPr>
        <w:t xml:space="preserve"> a que continuasen comunicando sus datos tan pronto como las cifras estuviesen disponibles, preferiblemente antes del 30 de junio de cada año, como se les alentaba a hacer en la decisión XV/15.</w:t>
      </w:r>
    </w:p>
    <w:p w14:paraId="7897942C" w14:textId="6F933149"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El segundo proyecto de decisión se refería al cumplimiento por Libia de los compromisos contraídos en virtud de su plan de acción para volver a la situación de cumplimiento, conforme a lo establecido en la decisión XXVII/11. En su 74ª reunión, el Comité había felicitado a Libia por su vuelta al cumplimiento de las medidas de control de los HCFC, así como por la aplicación de la prohibición de las importaciones de equipos de aire acondicionado que contuviesen HCFC. El Comité</w:t>
      </w:r>
      <w:r w:rsidR="00A94CC4" w:rsidRPr="00DD0373">
        <w:rPr>
          <w:lang w:val="es-ES_tradnl"/>
        </w:rPr>
        <w:t> </w:t>
      </w:r>
      <w:r w:rsidRPr="00DD0373">
        <w:rPr>
          <w:lang w:val="es-ES_tradnl"/>
        </w:rPr>
        <w:t>había solicitado a Libia que facilitase más información sobre equipos de refrigeración y aire acondicionado que contuviesen HCFC ya almacenados, así como información sobre la aplicación de la</w:t>
      </w:r>
      <w:r w:rsidR="00A94CC4" w:rsidRPr="00DD0373">
        <w:rPr>
          <w:lang w:val="es-ES_tradnl"/>
        </w:rPr>
        <w:t> </w:t>
      </w:r>
      <w:r w:rsidRPr="00DD0373">
        <w:rPr>
          <w:lang w:val="es-ES_tradnl"/>
        </w:rPr>
        <w:t xml:space="preserve">prohibición de adquisición. Posteriormente, Libia había facilitado la información requerida y el Comité había concluido que la Parte había cumplido los compromisos contraídos en virtud de su plan de acción. En consecuencia, en el proyecto de decisión remitido para su examen por la 37ª Reunión de las </w:t>
      </w:r>
      <w:r w:rsidR="00C17707">
        <w:rPr>
          <w:lang w:val="es-ES_tradnl"/>
        </w:rPr>
        <w:t>Partes</w:t>
      </w:r>
      <w:r w:rsidRPr="00DD0373">
        <w:rPr>
          <w:lang w:val="es-ES_tradnl"/>
        </w:rPr>
        <w:t xml:space="preserve"> se declaró que no era necesario seguir adoptando medidas.</w:t>
      </w:r>
    </w:p>
    <w:p w14:paraId="6A1C41CF" w14:textId="0882AB6A"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El tercer proyecto de decisión se refería al incumplimiento del Protocolo de Montreal por la</w:t>
      </w:r>
      <w:r w:rsidR="00A94CC4" w:rsidRPr="00DD0373">
        <w:rPr>
          <w:lang w:val="es-ES_tradnl"/>
        </w:rPr>
        <w:t> </w:t>
      </w:r>
      <w:r w:rsidRPr="00DD0373">
        <w:rPr>
          <w:lang w:val="es-ES_tradnl"/>
        </w:rPr>
        <w:t>República Popular Democrática de Corea. La Parte no había cumplido sus compromisos para</w:t>
      </w:r>
      <w:r w:rsidR="003B4E9C" w:rsidRPr="00DD0373">
        <w:rPr>
          <w:lang w:val="es-ES_tradnl"/>
        </w:rPr>
        <w:t> </w:t>
      </w:r>
      <w:r w:rsidRPr="00DD0373">
        <w:rPr>
          <w:lang w:val="es-ES_tradnl"/>
        </w:rPr>
        <w:t>2021,</w:t>
      </w:r>
      <w:r w:rsidR="006C60D9" w:rsidRPr="00DD0373">
        <w:rPr>
          <w:lang w:val="es-ES_tradnl"/>
        </w:rPr>
        <w:t> </w:t>
      </w:r>
      <w:r w:rsidRPr="00DD0373">
        <w:rPr>
          <w:lang w:val="es-ES_tradnl"/>
        </w:rPr>
        <w:t>2023 o 2024 en relación con la producción y el consumo anuales de HCFC, como estaba establecido en el plan de acción para volver a la situación de cumplimiento que figuraba en la decisión</w:t>
      </w:r>
      <w:r w:rsidR="006C60D9" w:rsidRPr="00DD0373">
        <w:rPr>
          <w:lang w:val="es-ES_tradnl"/>
        </w:rPr>
        <w:t> </w:t>
      </w:r>
      <w:r w:rsidRPr="00DD0373">
        <w:rPr>
          <w:lang w:val="es-ES_tradnl"/>
        </w:rPr>
        <w:t>XXXII/6. La Parte había sido advertida mediante tres decisiones de las Reuniones de las</w:t>
      </w:r>
      <w:r w:rsidR="00A94CC4" w:rsidRPr="00DD0373">
        <w:rPr>
          <w:lang w:val="es-ES_tradnl"/>
        </w:rPr>
        <w:t> </w:t>
      </w:r>
      <w:r w:rsidR="00C17707">
        <w:rPr>
          <w:lang w:val="es-ES_tradnl"/>
        </w:rPr>
        <w:t>Partes</w:t>
      </w:r>
      <w:r w:rsidRPr="00DD0373">
        <w:rPr>
          <w:lang w:val="es-ES_tradnl"/>
        </w:rPr>
        <w:t xml:space="preserve">, de conformidad con el punto B de la lista indicativa de medidas que podría adoptar una Reunión de las </w:t>
      </w:r>
      <w:r w:rsidR="00C17707">
        <w:rPr>
          <w:lang w:val="es-ES_tradnl"/>
        </w:rPr>
        <w:t>Partes</w:t>
      </w:r>
      <w:r w:rsidRPr="00DD0373">
        <w:rPr>
          <w:lang w:val="es-ES_tradnl"/>
        </w:rPr>
        <w:t xml:space="preserve"> en lo referente al incumplimiento, en la que se estipulaba que, si la Parte no </w:t>
      </w:r>
      <w:r w:rsidRPr="00DD0373">
        <w:rPr>
          <w:lang w:val="es-ES_tradnl"/>
        </w:rPr>
        <w:lastRenderedPageBreak/>
        <w:t xml:space="preserve">regresaba a una situación de cumplimiento, las </w:t>
      </w:r>
      <w:r w:rsidR="00C17707">
        <w:rPr>
          <w:lang w:val="es-ES_tradnl"/>
        </w:rPr>
        <w:t>Partes</w:t>
      </w:r>
      <w:r w:rsidRPr="00DD0373">
        <w:rPr>
          <w:lang w:val="es-ES_tradnl"/>
        </w:rPr>
        <w:t xml:space="preserve"> estudiarían la posibilidad de adoptar medidas con arreglo al punto C de la lista indicativa de medidas, incluida la posibilidad de velar por que se pusiese fin al suministro de HCFC a fin de que las </w:t>
      </w:r>
      <w:r w:rsidR="00C17707">
        <w:rPr>
          <w:lang w:val="es-ES_tradnl"/>
        </w:rPr>
        <w:t>Partes</w:t>
      </w:r>
      <w:r w:rsidRPr="00DD0373">
        <w:rPr>
          <w:lang w:val="es-ES_tradnl"/>
        </w:rPr>
        <w:t xml:space="preserve"> exportadoras no contribuyesen a una situación continuada de incumplimiento.</w:t>
      </w:r>
    </w:p>
    <w:p w14:paraId="59159CB5" w14:textId="714300D0"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El Comité había solicitado </w:t>
      </w:r>
      <w:r w:rsidR="006476D4" w:rsidRPr="00DD0373">
        <w:rPr>
          <w:lang w:val="es-ES_tradnl"/>
        </w:rPr>
        <w:t>de forma repetida</w:t>
      </w:r>
      <w:r w:rsidRPr="00DD0373">
        <w:rPr>
          <w:lang w:val="es-ES_tradnl"/>
        </w:rPr>
        <w:t xml:space="preserve"> a la Parte, mediante </w:t>
      </w:r>
      <w:r w:rsidR="0041621B" w:rsidRPr="00DD0373">
        <w:rPr>
          <w:lang w:val="es-ES_tradnl"/>
        </w:rPr>
        <w:t xml:space="preserve">las </w:t>
      </w:r>
      <w:r w:rsidRPr="00DD0373">
        <w:rPr>
          <w:lang w:val="es-ES_tradnl"/>
        </w:rPr>
        <w:t xml:space="preserve">recomendaciones </w:t>
      </w:r>
      <w:r w:rsidR="0041621B" w:rsidRPr="00DD0373">
        <w:rPr>
          <w:lang w:val="es-ES_tradnl"/>
        </w:rPr>
        <w:t xml:space="preserve">con las signaturas </w:t>
      </w:r>
      <w:r w:rsidRPr="00DD0373">
        <w:rPr>
          <w:lang w:val="es-ES_tradnl"/>
        </w:rPr>
        <w:t>68/4, 69/4, 70/2, 72/3 y 74/2, que ofreciese una explicación de las disparidades en los datos presentados, y que presentase un plan de acción revisado a fin de velar por volver a una situación de cumplimiento y un informe sobre los progresos realizados en sus esfuerzos por establecer políticas nacionales adicionales que facilitasen la eliminación gradual de los HCFC, conforme a lo establecido en el plan de acción.</w:t>
      </w:r>
    </w:p>
    <w:p w14:paraId="2D29A4EC" w14:textId="7019873D" w:rsidR="002D5348" w:rsidRPr="00DD0373" w:rsidRDefault="00EC1DF4"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A pesar de que </w:t>
      </w:r>
      <w:r w:rsidR="002D5348" w:rsidRPr="00DD0373">
        <w:rPr>
          <w:lang w:val="es-ES_tradnl"/>
        </w:rPr>
        <w:t>un representante de la República Popular Democrática de Corea había asistido a la 74ª reunión del Comité, la Parte no había facilitado la información solicitada por el Comité. En consecuencia, en su recomendación 74/2, el Comité había recordado a la Parte la advertencia contenida en la decisión XXXVI/16 y le había informado de que, si no ofrecía las respuestas pertinentes, conforme a lo solicitado en la recomendación, para su examen por el Comité en su</w:t>
      </w:r>
      <w:r w:rsidR="005C7E4E" w:rsidRPr="00DD0373">
        <w:rPr>
          <w:lang w:val="es-ES_tradnl"/>
        </w:rPr>
        <w:t> </w:t>
      </w:r>
      <w:r w:rsidR="002D5348" w:rsidRPr="00DD0373">
        <w:rPr>
          <w:lang w:val="es-ES_tradnl"/>
        </w:rPr>
        <w:t>75ª</w:t>
      </w:r>
      <w:r w:rsidR="005C7E4E" w:rsidRPr="00DD0373">
        <w:rPr>
          <w:lang w:val="es-ES_tradnl"/>
        </w:rPr>
        <w:t> </w:t>
      </w:r>
      <w:r w:rsidR="002D5348" w:rsidRPr="00DD0373">
        <w:rPr>
          <w:lang w:val="es-ES_tradnl"/>
        </w:rPr>
        <w:t xml:space="preserve">reunión, el Comité recomendaría que las </w:t>
      </w:r>
      <w:r w:rsidR="00C17707">
        <w:rPr>
          <w:lang w:val="es-ES_tradnl"/>
        </w:rPr>
        <w:t>Partes</w:t>
      </w:r>
      <w:r w:rsidR="002D5348" w:rsidRPr="00DD0373">
        <w:rPr>
          <w:lang w:val="es-ES_tradnl"/>
        </w:rPr>
        <w:t xml:space="preserve"> adoptasen medidas conformes con el punto</w:t>
      </w:r>
      <w:r w:rsidR="00A94CC4" w:rsidRPr="00DD0373">
        <w:rPr>
          <w:lang w:val="es-ES_tradnl"/>
        </w:rPr>
        <w:t> </w:t>
      </w:r>
      <w:r w:rsidR="002D5348" w:rsidRPr="00DD0373">
        <w:rPr>
          <w:lang w:val="es-ES_tradnl"/>
        </w:rPr>
        <w:t>C</w:t>
      </w:r>
      <w:r w:rsidR="00A94CC4" w:rsidRPr="00DD0373">
        <w:rPr>
          <w:lang w:val="es-ES_tradnl"/>
        </w:rPr>
        <w:t> </w:t>
      </w:r>
      <w:r w:rsidR="002D5348" w:rsidRPr="00DD0373">
        <w:rPr>
          <w:lang w:val="es-ES_tradnl"/>
        </w:rPr>
        <w:t>de</w:t>
      </w:r>
      <w:r w:rsidR="00A94CC4" w:rsidRPr="00DD0373">
        <w:rPr>
          <w:lang w:val="es-ES_tradnl"/>
        </w:rPr>
        <w:t> </w:t>
      </w:r>
      <w:r w:rsidR="002D5348" w:rsidRPr="00DD0373">
        <w:rPr>
          <w:lang w:val="es-ES_tradnl"/>
        </w:rPr>
        <w:t>la lista indicativa de medidas.</w:t>
      </w:r>
    </w:p>
    <w:p w14:paraId="31A8AB0E" w14:textId="753659CD"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A pesar de los reiterados recordatorios de la Secretaría, la Parte no había facilitado la información solicitada por el Comité. Por consiguiente, el Comité remitió para el examen de la</w:t>
      </w:r>
      <w:r w:rsidR="00FF0C35" w:rsidRPr="00DD0373">
        <w:rPr>
          <w:lang w:val="es-ES_tradnl"/>
        </w:rPr>
        <w:t> </w:t>
      </w:r>
      <w:r w:rsidRPr="00DD0373">
        <w:rPr>
          <w:lang w:val="es-ES_tradnl"/>
        </w:rPr>
        <w:t>37ª</w:t>
      </w:r>
      <w:r w:rsidR="00FF0C35" w:rsidRPr="00DD0373">
        <w:rPr>
          <w:lang w:val="es-ES_tradnl"/>
        </w:rPr>
        <w:t> </w:t>
      </w:r>
      <w:r w:rsidRPr="00DD0373">
        <w:rPr>
          <w:lang w:val="es-ES_tradnl"/>
        </w:rPr>
        <w:t xml:space="preserve">Reunión de las </w:t>
      </w:r>
      <w:r w:rsidR="00C17707">
        <w:rPr>
          <w:lang w:val="es-ES_tradnl"/>
        </w:rPr>
        <w:t>Partes</w:t>
      </w:r>
      <w:r w:rsidRPr="00DD0373">
        <w:rPr>
          <w:lang w:val="es-ES_tradnl"/>
        </w:rPr>
        <w:t xml:space="preserve"> un proyecto de decisión por el que la 37ª Reunión de las </w:t>
      </w:r>
      <w:r w:rsidR="00C17707">
        <w:rPr>
          <w:lang w:val="es-ES_tradnl"/>
        </w:rPr>
        <w:t>Partes</w:t>
      </w:r>
      <w:r w:rsidRPr="00DD0373">
        <w:rPr>
          <w:lang w:val="es-ES_tradnl"/>
        </w:rPr>
        <w:t xml:space="preserve">, a fin de ayudar a la República Popular Democrática de Corea a retornar a una situación de cumplimiento de las medidas de control relativas a los HCFC, acordaría la suspensión (de conformidad con el punto C de la lista indicativa de medidas que podría adoptar una Reunión de las </w:t>
      </w:r>
      <w:r w:rsidR="00C17707">
        <w:rPr>
          <w:lang w:val="es-ES_tradnl"/>
        </w:rPr>
        <w:t>Partes</w:t>
      </w:r>
      <w:r w:rsidRPr="00DD0373">
        <w:rPr>
          <w:lang w:val="es-ES_tradnl"/>
        </w:rPr>
        <w:t xml:space="preserve"> respecto del incumplimiento del Protocolo) del comercio de HCFC —las sustancias que eran objeto del incumplimiento— entre la República Popular Democrática de Corea y otras </w:t>
      </w:r>
      <w:r w:rsidR="00C17707">
        <w:rPr>
          <w:lang w:val="es-ES_tradnl"/>
        </w:rPr>
        <w:t>Partes</w:t>
      </w:r>
      <w:r w:rsidRPr="00DD0373">
        <w:rPr>
          <w:lang w:val="es-ES_tradnl"/>
        </w:rPr>
        <w:t xml:space="preserve"> en el Protocolo, de forma que no se permitiese dicho comercio en virtud del Protocolo.</w:t>
      </w:r>
    </w:p>
    <w:p w14:paraId="2EB71034" w14:textId="05C7D6E0"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Además, en el proyecto de decisión se establecía que la suspensión del comercio de HCFC con la República Popular Democrática de Corea se mantendría hasta el momento en que la Parte volviese a</w:t>
      </w:r>
      <w:r w:rsidR="00A94CC4" w:rsidRPr="00DD0373">
        <w:rPr>
          <w:lang w:val="es-ES_tradnl"/>
        </w:rPr>
        <w:t> </w:t>
      </w:r>
      <w:r w:rsidRPr="00DD0373">
        <w:rPr>
          <w:lang w:val="es-ES_tradnl"/>
        </w:rPr>
        <w:t xml:space="preserve">una situación de cumplimiento respecto de las medidas de control de los HCFC con arreglo al Protocolo de Montreal, según lo recomendado por el Comité sobre la base de los datos comunicados en virtud del artículo 7, o hasta que la Reunión de las </w:t>
      </w:r>
      <w:r w:rsidR="00C17707">
        <w:rPr>
          <w:lang w:val="es-ES_tradnl"/>
        </w:rPr>
        <w:t>Partes</w:t>
      </w:r>
      <w:r w:rsidRPr="00DD0373">
        <w:rPr>
          <w:lang w:val="es-ES_tradnl"/>
        </w:rPr>
        <w:t xml:space="preserve"> decidiese otra cosa.</w:t>
      </w:r>
    </w:p>
    <w:p w14:paraId="3FF565BF" w14:textId="189138FF"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Los proyectos de decisión 4º, 5º, 6º y 7º se referían al incumplimiento de las medidas de control del consumo de HFC por parte de Malí, San Vicente y las </w:t>
      </w:r>
      <w:proofErr w:type="gramStart"/>
      <w:r w:rsidRPr="00DD0373">
        <w:rPr>
          <w:lang w:val="es-ES_tradnl"/>
        </w:rPr>
        <w:t>Granadinas</w:t>
      </w:r>
      <w:proofErr w:type="gramEnd"/>
      <w:r w:rsidRPr="00DD0373">
        <w:rPr>
          <w:lang w:val="es-ES_tradnl"/>
        </w:rPr>
        <w:t xml:space="preserve">, Tayikistán y Zambia. Malí, San Vicente y las </w:t>
      </w:r>
      <w:proofErr w:type="gramStart"/>
      <w:r w:rsidRPr="00DD0373">
        <w:rPr>
          <w:lang w:val="es-ES_tradnl"/>
        </w:rPr>
        <w:t>Granadinas</w:t>
      </w:r>
      <w:proofErr w:type="gramEnd"/>
      <w:r w:rsidRPr="00DD0373">
        <w:rPr>
          <w:lang w:val="es-ES_tradnl"/>
        </w:rPr>
        <w:t xml:space="preserve"> y Zambia habían comunicado datos sobre HFC correspondientes a</w:t>
      </w:r>
      <w:r w:rsidR="00BB2CB5" w:rsidRPr="00DD0373">
        <w:rPr>
          <w:lang w:val="es-ES_tradnl"/>
        </w:rPr>
        <w:t> </w:t>
      </w:r>
      <w:r w:rsidRPr="00DD0373">
        <w:rPr>
          <w:lang w:val="es-ES_tradnl"/>
        </w:rPr>
        <w:t>2024 por encima de sus límites permitidos, mientras que Tayikistán había comunicado datos correspondientes a 2023 y 2024 por encima de sus niveles de control. En consecuencia, en los</w:t>
      </w:r>
      <w:r w:rsidR="009B697C" w:rsidRPr="00DD0373">
        <w:rPr>
          <w:lang w:val="es-ES_tradnl"/>
        </w:rPr>
        <w:t> </w:t>
      </w:r>
      <w:r w:rsidRPr="00DD0373">
        <w:rPr>
          <w:lang w:val="es-ES_tradnl"/>
        </w:rPr>
        <w:t>cuatro</w:t>
      </w:r>
      <w:r w:rsidR="009B697C" w:rsidRPr="00DD0373">
        <w:rPr>
          <w:lang w:val="es-ES_tradnl"/>
        </w:rPr>
        <w:t> </w:t>
      </w:r>
      <w:r w:rsidRPr="00DD0373">
        <w:rPr>
          <w:lang w:val="es-ES_tradnl"/>
        </w:rPr>
        <w:t xml:space="preserve">proyectos de decisión se declaró que las </w:t>
      </w:r>
      <w:r w:rsidR="00C17707">
        <w:rPr>
          <w:lang w:val="es-ES_tradnl"/>
        </w:rPr>
        <w:t>Partes</w:t>
      </w:r>
      <w:r w:rsidRPr="00DD0373">
        <w:rPr>
          <w:lang w:val="es-ES_tradnl"/>
        </w:rPr>
        <w:t xml:space="preserve"> habían incumplido sus obligaciones.</w:t>
      </w:r>
    </w:p>
    <w:p w14:paraId="444D1578" w14:textId="4B3D015D"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Malí había informado a la Secretaría de su intención de solicitar una revisión de sus datos de</w:t>
      </w:r>
      <w:r w:rsidR="00A94CC4" w:rsidRPr="00DD0373">
        <w:rPr>
          <w:lang w:val="es-ES_tradnl"/>
        </w:rPr>
        <w:t> </w:t>
      </w:r>
      <w:r w:rsidRPr="00DD0373">
        <w:rPr>
          <w:lang w:val="es-ES_tradnl"/>
        </w:rPr>
        <w:t>referencia sobre HFC, pero aún no había presentado la información requerida en virtud de la decisión</w:t>
      </w:r>
      <w:r w:rsidR="00F206EC" w:rsidRPr="00DD0373">
        <w:rPr>
          <w:lang w:val="es-ES_tradnl"/>
        </w:rPr>
        <w:t> </w:t>
      </w:r>
      <w:r w:rsidRPr="00DD0373">
        <w:rPr>
          <w:lang w:val="es-ES_tradnl"/>
        </w:rPr>
        <w:t>XV/19 para justificar su solicitud. Por lo tanto, en el cuarto proyecto de decisión se invitó a la Parte a que presentase a la Secretaría, para su examen por el Comité en su 76ª reunión, una solicitud para revisar sus datos de referencia sobre los HFC, incluida la información exigida en virtud de la decisión</w:t>
      </w:r>
      <w:r w:rsidR="00F206EC" w:rsidRPr="00DD0373">
        <w:rPr>
          <w:lang w:val="es-ES_tradnl"/>
        </w:rPr>
        <w:t> </w:t>
      </w:r>
      <w:r w:rsidRPr="00DD0373">
        <w:rPr>
          <w:lang w:val="es-ES_tradnl"/>
        </w:rPr>
        <w:t>XV/19, o un plan de acción para retornar a una situación de cumplimiento.</w:t>
      </w:r>
    </w:p>
    <w:p w14:paraId="5C3D8890" w14:textId="19B5D8AE"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bookmarkStart w:id="29" w:name="_Hlk213177082"/>
      <w:r w:rsidRPr="00DD0373">
        <w:rPr>
          <w:lang w:val="es-ES_tradnl"/>
        </w:rPr>
        <w:t xml:space="preserve">San Vicente y las </w:t>
      </w:r>
      <w:proofErr w:type="gramStart"/>
      <w:r w:rsidRPr="00DD0373">
        <w:rPr>
          <w:lang w:val="es-ES_tradnl"/>
        </w:rPr>
        <w:t>Granadinas</w:t>
      </w:r>
      <w:proofErr w:type="gramEnd"/>
      <w:r w:rsidRPr="00DD0373">
        <w:rPr>
          <w:lang w:val="es-ES_tradnl"/>
        </w:rPr>
        <w:t xml:space="preserve"> había presentado un plan de acción para volver a una situación de cumplimiento, que había sido examinado por el Comité. El Comité había observado que el plan de acción incluía un plazo prolongado para que la Parte volviese a una situación de cumplimiento, concretamente hasta 2035, y también había observado que el plan de ejecución de las actividades relativas a los hidrofluorocarbonos conforme a la Enmienda de Kigali de la Parte aún no había sido aprobado por el Comité Ejecutivo del Fondo Multilateral. En el quinto proyecto de decisión se solicitaba a San Vicente y las </w:t>
      </w:r>
      <w:proofErr w:type="gramStart"/>
      <w:r w:rsidRPr="00DD0373">
        <w:rPr>
          <w:lang w:val="es-ES_tradnl"/>
        </w:rPr>
        <w:t>Granadinas</w:t>
      </w:r>
      <w:proofErr w:type="gramEnd"/>
      <w:r w:rsidRPr="00DD0373">
        <w:rPr>
          <w:lang w:val="es-ES_tradnl"/>
        </w:rPr>
        <w:t xml:space="preserve"> que presentase un plan de acción revisado una vez que su plan de ejecución de las actividades relativas a los hidrofluorocarbonos conforme a la Enmienda de Kigali hubiese sido aprobado por el Comité Ejecutivo.</w:t>
      </w:r>
      <w:bookmarkEnd w:id="29"/>
    </w:p>
    <w:p w14:paraId="3FACF2B3" w14:textId="77777777"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Tayikistán había informado a la Secretaría de su intención de presentar un plan de acción para volver a una situación de cumplimiento, pero cuando tuvo lugar la 75ª reunión del Comité el plan no se había presentado. En el sexto proyecto de decisión se solicitaba a Tayikistán que presentase a la Secretaría, para su examen por el Comité de Aplicación en su 76ª reunión, un plan de acción para volver a una situación de cumplimiento.</w:t>
      </w:r>
    </w:p>
    <w:p w14:paraId="68E79691" w14:textId="77777777"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lastRenderedPageBreak/>
        <w:t>En el séptimo proyecto de decisión se instaba a Zambia a que ofreciese una explicación de esa divergencia en los datos sobre HFC que había notificado para 2024, en que se indicaba un consumo superior al límite permitido por el Protocolo, y, si procedía, a que presentase un plan de acción para volver a cumplir el Protocolo, que el Comité examinaría en su 76ª reunión.</w:t>
      </w:r>
    </w:p>
    <w:p w14:paraId="178814D7" w14:textId="3688EDCC"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En esos cuatro proyectos de decisión se proponía también seguir de cerca los adelantos logrados por las </w:t>
      </w:r>
      <w:r w:rsidR="00C17707">
        <w:rPr>
          <w:lang w:val="es-ES_tradnl"/>
        </w:rPr>
        <w:t>Partes</w:t>
      </w:r>
      <w:r w:rsidRPr="00DD0373">
        <w:rPr>
          <w:lang w:val="es-ES_tradnl"/>
        </w:rPr>
        <w:t xml:space="preserve"> en el cumplimiento de sus compromisos. En la medida en que las </w:t>
      </w:r>
      <w:r w:rsidR="00C17707">
        <w:rPr>
          <w:lang w:val="es-ES_tradnl"/>
        </w:rPr>
        <w:t>Partes</w:t>
      </w:r>
      <w:r w:rsidRPr="00DD0373">
        <w:rPr>
          <w:lang w:val="es-ES_tradnl"/>
        </w:rPr>
        <w:t xml:space="preserve"> procurasen cumplir y cumpliesen sus medidas de control, o estuviesen facilitando la información requerida, en los proyectos de decisión se indicaba que esas </w:t>
      </w:r>
      <w:r w:rsidR="00C17707">
        <w:rPr>
          <w:lang w:val="es-ES_tradnl"/>
        </w:rPr>
        <w:t>Partes</w:t>
      </w:r>
      <w:r w:rsidRPr="00DD0373">
        <w:rPr>
          <w:lang w:val="es-ES_tradnl"/>
        </w:rPr>
        <w:t xml:space="preserve"> debían seguir recibiendo el mismo trato que las </w:t>
      </w:r>
      <w:r w:rsidR="00C17707">
        <w:rPr>
          <w:lang w:val="es-ES_tradnl"/>
        </w:rPr>
        <w:t>Partes</w:t>
      </w:r>
      <w:r w:rsidRPr="00DD0373">
        <w:rPr>
          <w:lang w:val="es-ES_tradnl"/>
        </w:rPr>
        <w:t xml:space="preserve"> que cumplían sus obligaciones, y debían seguir recibiendo asistencia internacional para poder cumplir sus compromisos de conformidad con el punto A de la lista indicativa de medidas que una Reunión de las </w:t>
      </w:r>
      <w:r w:rsidR="00C17707">
        <w:rPr>
          <w:lang w:val="es-ES_tradnl"/>
        </w:rPr>
        <w:t>Partes</w:t>
      </w:r>
      <w:r w:rsidRPr="00DD0373">
        <w:rPr>
          <w:lang w:val="es-ES_tradnl"/>
        </w:rPr>
        <w:t xml:space="preserve"> podría adoptar con respecto al incumplimiento.</w:t>
      </w:r>
    </w:p>
    <w:p w14:paraId="5A943F9D" w14:textId="302FE1C4"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Por último, cuando procedía, en los proyectos de decisión también se advertía a las </w:t>
      </w:r>
      <w:r w:rsidR="00C17707">
        <w:rPr>
          <w:lang w:val="es-ES_tradnl"/>
        </w:rPr>
        <w:t>Partes</w:t>
      </w:r>
      <w:r w:rsidRPr="00DD0373">
        <w:rPr>
          <w:lang w:val="es-ES_tradnl"/>
        </w:rPr>
        <w:t xml:space="preserve"> de que, de conformidad con el punto B de la lista indicativa de medidas, en caso de que no retornasen a una situación de cumplimiento a su debido tiempo, una Reunión de las </w:t>
      </w:r>
      <w:r w:rsidR="00C17707">
        <w:rPr>
          <w:lang w:val="es-ES_tradnl"/>
        </w:rPr>
        <w:t>Partes</w:t>
      </w:r>
      <w:r w:rsidRPr="00DD0373">
        <w:rPr>
          <w:lang w:val="es-ES_tradnl"/>
        </w:rPr>
        <w:t xml:space="preserve"> consideraría la posibilidad de adoptar medidas conforme al punto C de la lista indicativa de medidas.</w:t>
      </w:r>
    </w:p>
    <w:p w14:paraId="04595D21" w14:textId="0C21D8E6"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El octavo proyecto de decisión se refería al establecimiento de sistemas de concesión de licencias de los HFC de conformidad con el artículo 4B, párrafo 2 </w:t>
      </w:r>
      <w:r w:rsidRPr="00DD0373">
        <w:rPr>
          <w:i/>
          <w:iCs/>
          <w:lang w:val="es-ES_tradnl"/>
        </w:rPr>
        <w:t>bis</w:t>
      </w:r>
      <w:r w:rsidRPr="00DD0373">
        <w:rPr>
          <w:lang w:val="es-ES_tradnl"/>
        </w:rPr>
        <w:t xml:space="preserve">, del Protocolo de Montreal. En el proyecto de decisión se hacía notar con aprecio que 161 de las 169 </w:t>
      </w:r>
      <w:r w:rsidR="00C17707">
        <w:rPr>
          <w:lang w:val="es-ES_tradnl"/>
        </w:rPr>
        <w:t>Partes</w:t>
      </w:r>
      <w:r w:rsidRPr="00DD0373">
        <w:rPr>
          <w:lang w:val="es-ES_tradnl"/>
        </w:rPr>
        <w:t xml:space="preserve"> que habían ratificado la Enmienda de Kigali habían establecido sistemas de concesión de licencias de esa índole, y que</w:t>
      </w:r>
      <w:r w:rsidR="00B973C6" w:rsidRPr="00DD0373">
        <w:rPr>
          <w:lang w:val="es-ES_tradnl"/>
        </w:rPr>
        <w:t> </w:t>
      </w:r>
      <w:r w:rsidRPr="00DD0373">
        <w:rPr>
          <w:lang w:val="es-ES_tradnl"/>
        </w:rPr>
        <w:t>4</w:t>
      </w:r>
      <w:r w:rsidR="00B973C6" w:rsidRPr="00DD0373">
        <w:rPr>
          <w:lang w:val="es-ES_tradnl"/>
        </w:rPr>
        <w:t> </w:t>
      </w:r>
      <w:r w:rsidR="00C17707">
        <w:rPr>
          <w:lang w:val="es-ES_tradnl"/>
        </w:rPr>
        <w:t>Partes</w:t>
      </w:r>
      <w:r w:rsidRPr="00DD0373">
        <w:rPr>
          <w:lang w:val="es-ES_tradnl"/>
        </w:rPr>
        <w:t xml:space="preserve"> que aún no habían ratificado la Enmienda de Kigali habían comunicado también el establecimiento y funcionamiento de sistemas de concesión de licencias de esa índole.</w:t>
      </w:r>
    </w:p>
    <w:p w14:paraId="73566E76" w14:textId="15BDB5EF"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En el proyecto de decisión se instaba a </w:t>
      </w:r>
      <w:proofErr w:type="spellStart"/>
      <w:r w:rsidRPr="00DD0373">
        <w:rPr>
          <w:lang w:val="es-ES_tradnl"/>
        </w:rPr>
        <w:t>Djibouti</w:t>
      </w:r>
      <w:proofErr w:type="spellEnd"/>
      <w:r w:rsidRPr="00DD0373">
        <w:rPr>
          <w:lang w:val="es-ES_tradnl"/>
        </w:rPr>
        <w:t>, Omán y San Marino a que informasen a la Secretaría del establecimiento y funcionamiento de sus sistemas de concesión de licencias para los HFC. En el proyecto de decisión se observaba con preocupación que San Marino, que había aceptado la Enmienda de Kigali en 2020, aún no había informado sobre el establecimiento y funcionamiento de su sistema de concesión de licencias, y se invitaba a esa Parte a que enviase un representante a la</w:t>
      </w:r>
      <w:r w:rsidR="0053202A" w:rsidRPr="00DD0373">
        <w:rPr>
          <w:lang w:val="es-ES_tradnl"/>
        </w:rPr>
        <w:t> </w:t>
      </w:r>
      <w:r w:rsidRPr="00DD0373">
        <w:rPr>
          <w:lang w:val="es-ES_tradnl"/>
        </w:rPr>
        <w:t>76ª</w:t>
      </w:r>
      <w:r w:rsidR="0053202A" w:rsidRPr="00DD0373">
        <w:rPr>
          <w:lang w:val="es-ES_tradnl"/>
        </w:rPr>
        <w:t> </w:t>
      </w:r>
      <w:r w:rsidRPr="00DD0373">
        <w:rPr>
          <w:lang w:val="es-ES_tradnl"/>
        </w:rPr>
        <w:t>reunión del Comité.</w:t>
      </w:r>
    </w:p>
    <w:p w14:paraId="55D89CE7" w14:textId="6AC408B0"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El noveno proyecto de decisión se refería a las solicitudes de modificación de los datos de referencia de 11 </w:t>
      </w:r>
      <w:r w:rsidR="00C17707">
        <w:rPr>
          <w:lang w:val="es-ES_tradnl"/>
        </w:rPr>
        <w:t>Partes</w:t>
      </w:r>
      <w:r w:rsidRPr="00DD0373">
        <w:rPr>
          <w:lang w:val="es-ES_tradnl"/>
        </w:rPr>
        <w:t xml:space="preserve">, a saber: Bosnia y Herzegovina, Brasil, Guinea, Islas Marshall, Kiribati, Marruecos, Nauru, Nigeria, Niue, Tuvalu y Vanuatu. En el proyecto de decisión se confirmaba que esas </w:t>
      </w:r>
      <w:r w:rsidR="00C17707">
        <w:rPr>
          <w:lang w:val="es-ES_tradnl"/>
        </w:rPr>
        <w:t>Partes</w:t>
      </w:r>
      <w:r w:rsidRPr="00DD0373">
        <w:rPr>
          <w:lang w:val="es-ES_tradnl"/>
        </w:rPr>
        <w:t xml:space="preserve"> habían aportado información suficiente, de conformidad con la decisión XV/19, para justificar sus solicitudes de modificación de sus datos de referencia para los HFC y, cuando procedía, para los HCFC, y, por lo tanto, se aprobaban las solicitudes.</w:t>
      </w:r>
    </w:p>
    <w:p w14:paraId="72082374" w14:textId="51FE7C33"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Para concluir, el orador agradeció a los diez miembros del Comité sus constructivas contribuciones y fructíferos debates, a la Secretaría por sus esfuerzos en la preparación y organización de las reuniones, y a la Secretaría del Fondo Multilateral y a los organismos de ejecución por su importante labor.</w:t>
      </w:r>
    </w:p>
    <w:p w14:paraId="3D451BAB" w14:textId="77777777"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La Copresidenta agradeció al </w:t>
      </w:r>
      <w:proofErr w:type="gramStart"/>
      <w:r w:rsidRPr="00DD0373">
        <w:rPr>
          <w:lang w:val="es-ES_tradnl"/>
        </w:rPr>
        <w:t>Presidente</w:t>
      </w:r>
      <w:proofErr w:type="gramEnd"/>
      <w:r w:rsidRPr="00DD0373">
        <w:rPr>
          <w:lang w:val="es-ES_tradnl"/>
        </w:rPr>
        <w:t xml:space="preserve"> del Comité de Aplicación su exhaustiva presentación y a los miembros del Comité su labor. </w:t>
      </w:r>
    </w:p>
    <w:p w14:paraId="1F4332C9" w14:textId="77777777"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En el debate posterior, un representante dijo que aguardaba con interés la aprobación definitiva de la recomendación relativa a su Parte en la serie de sesiones de alto nivel de la reunión en curso.</w:t>
      </w:r>
    </w:p>
    <w:p w14:paraId="6FFFFD51" w14:textId="71CF51B3"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En respuesta a una pregunta formulada por un representante sobre la repercusión de los errores marginales en el cumplimiento, el representante de la Secretaría explicó que el Comité de Aplicación había debatido anteriormente si los errores marginales, o los datos </w:t>
      </w:r>
      <w:r w:rsidRPr="00DD0373">
        <w:rPr>
          <w:i/>
          <w:iCs/>
          <w:lang w:val="es-ES_tradnl"/>
        </w:rPr>
        <w:t>de minimis</w:t>
      </w:r>
      <w:r w:rsidRPr="00DD0373">
        <w:rPr>
          <w:lang w:val="es-ES_tradnl"/>
        </w:rPr>
        <w:t xml:space="preserve"> por encima del nivel de control, constituían un problema de cumplimiento y había concluido que así era.</w:t>
      </w:r>
    </w:p>
    <w:p w14:paraId="4AA60463" w14:textId="56C2DB21"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El representante de Omán informó a las </w:t>
      </w:r>
      <w:r w:rsidR="00C17707">
        <w:rPr>
          <w:lang w:val="es-ES_tradnl"/>
        </w:rPr>
        <w:t>Partes</w:t>
      </w:r>
      <w:r w:rsidRPr="00DD0373">
        <w:rPr>
          <w:lang w:val="es-ES_tradnl"/>
        </w:rPr>
        <w:t xml:space="preserve"> de que, desde la clausura de la 75ª reunión del Comité de Aplicación, su Parte había notificado a la Secretaría sobre el funcionamiento de un sistema de concesión de licencias para los HFC en su país.</w:t>
      </w:r>
    </w:p>
    <w:p w14:paraId="5E031C76" w14:textId="745B49B8"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El representante de la Secretaría confirmó que la Secretaría había recibido un correo electrónico de la Parte tras la clausura de la reunión del Comité de Aplicación. El orador dijo que, cuando la Secretaría recibía información de las </w:t>
      </w:r>
      <w:r w:rsidR="00C17707">
        <w:rPr>
          <w:lang w:val="es-ES_tradnl"/>
        </w:rPr>
        <w:t>Partes</w:t>
      </w:r>
      <w:r w:rsidRPr="00DD0373">
        <w:rPr>
          <w:lang w:val="es-ES_tradnl"/>
        </w:rPr>
        <w:t xml:space="preserve"> sobre los sistemas de concesión de licencias para los HFC, verificaba si esa información confirmaba lo siguiente: que se había establecido un sistema de concesión de licencias y que estaba en funcionamiento. En el correo electrónico de Omán se habían confirmado ambas cosas.</w:t>
      </w:r>
    </w:p>
    <w:p w14:paraId="3867B42F" w14:textId="37DFEDE4"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Por consiguiente, la Copresidenta sugirió que se eliminase la mención a Omán del proyecto de decisión sobre la situación del establecimiento de sistemas de concesión de licencias que se remitiría a </w:t>
      </w:r>
      <w:r w:rsidRPr="00DD0373">
        <w:rPr>
          <w:lang w:val="es-ES_tradnl"/>
        </w:rPr>
        <w:lastRenderedPageBreak/>
        <w:t>la serie de sesiones de alto nivel, aclarando que la decisión no contenía una fecha en la que la información que figuraba en ella se considerase correcta.</w:t>
      </w:r>
    </w:p>
    <w:p w14:paraId="7D783654" w14:textId="354F2032"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Algunos representantes expresaron su preocupación ante la sugerencia de que las </w:t>
      </w:r>
      <w:r w:rsidR="00C17707">
        <w:rPr>
          <w:lang w:val="es-ES_tradnl"/>
        </w:rPr>
        <w:t>Partes</w:t>
      </w:r>
      <w:r w:rsidRPr="00DD0373">
        <w:rPr>
          <w:lang w:val="es-ES_tradnl"/>
        </w:rPr>
        <w:t xml:space="preserve"> modificasen un proyecto de decisión preparado por el Comité de Aplicación y preguntaron si ese era el</w:t>
      </w:r>
      <w:r w:rsidR="00A94CC4" w:rsidRPr="00DD0373">
        <w:rPr>
          <w:lang w:val="es-ES_tradnl"/>
        </w:rPr>
        <w:t> </w:t>
      </w:r>
      <w:r w:rsidRPr="00DD0373">
        <w:rPr>
          <w:lang w:val="es-ES_tradnl"/>
        </w:rPr>
        <w:t>procedimiento habitual.</w:t>
      </w:r>
    </w:p>
    <w:p w14:paraId="07C92AC2" w14:textId="19ABEDC8"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En respuesta, el representante de la Secretaría explicó que la práctica habitual del Comité había sido acordar durante su reunión modificar cualquiera de los proyectos de decisión y recomendación basándose en la información recibida después de la reunión del Comité hasta que las decisiones correspondientes fuesen adoptadas por la Reunión de las </w:t>
      </w:r>
      <w:r w:rsidR="00C17707">
        <w:rPr>
          <w:lang w:val="es-ES_tradnl"/>
        </w:rPr>
        <w:t>Partes</w:t>
      </w:r>
      <w:r w:rsidRPr="00DD0373">
        <w:rPr>
          <w:lang w:val="es-ES_tradnl"/>
        </w:rPr>
        <w:t xml:space="preserve"> pertinente. Si bien no se había debatido en la 75ª reunión, la Copresidenta había propuesto el mismo enfoque.</w:t>
      </w:r>
    </w:p>
    <w:p w14:paraId="4B79F9DE" w14:textId="3C0FCCFC"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El representante de las Comoras se disculpó por el incumplimiento de su Parte, que se había producido accidentalmente debido a un malentendido. El orador aseguró a las </w:t>
      </w:r>
      <w:r w:rsidR="00C17707">
        <w:rPr>
          <w:lang w:val="es-ES_tradnl"/>
        </w:rPr>
        <w:t>Partes</w:t>
      </w:r>
      <w:r w:rsidRPr="00DD0373">
        <w:rPr>
          <w:lang w:val="es-ES_tradnl"/>
        </w:rPr>
        <w:t xml:space="preserve"> que, desde la clausura de la 75ª reunión del Comité de Aplicación, los datos pendientes de 2024 se habían comunicado a la Secretaría y al Comité Ejecutivo. El orador pidió que la Secretaría también considerase la propuesta de su </w:t>
      </w:r>
      <w:r w:rsidR="00C36856" w:rsidRPr="00DD0373">
        <w:rPr>
          <w:lang w:val="es-ES_tradnl"/>
        </w:rPr>
        <w:t>Parte</w:t>
      </w:r>
      <w:r w:rsidRPr="00DD0373">
        <w:rPr>
          <w:lang w:val="es-ES_tradnl"/>
        </w:rPr>
        <w:t xml:space="preserve"> con miras a eliminar la mención de las Comoras en el proyecto</w:t>
      </w:r>
      <w:r w:rsidR="00A94CC4" w:rsidRPr="00DD0373">
        <w:rPr>
          <w:lang w:val="es-ES_tradnl"/>
        </w:rPr>
        <w:t> </w:t>
      </w:r>
      <w:r w:rsidRPr="00DD0373">
        <w:rPr>
          <w:lang w:val="es-ES_tradnl"/>
        </w:rPr>
        <w:t>de</w:t>
      </w:r>
      <w:r w:rsidR="00A94CC4" w:rsidRPr="00DD0373">
        <w:rPr>
          <w:lang w:val="es-ES_tradnl"/>
        </w:rPr>
        <w:t> </w:t>
      </w:r>
      <w:r w:rsidRPr="00DD0373">
        <w:rPr>
          <w:lang w:val="es-ES_tradnl"/>
        </w:rPr>
        <w:t>decisión pertinente.</w:t>
      </w:r>
    </w:p>
    <w:p w14:paraId="217385A1" w14:textId="2295EE95"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En respuesta, la Copresidenta aclaró que la situación de las Comoras era diferente a la de Omán. Omán había presentado información sobre su sistema de concesión de licencias, mientras que las Comoras estaban presentando sus datos de 2024. En el proyecto de decisión se hacía referencia explícita al hecho de que, a fecha de 31 de octubre de 2025, cuatro países, entre ellos las Comoras, no habían comunicado sus datos de 2024.</w:t>
      </w:r>
    </w:p>
    <w:p w14:paraId="67DA2C01" w14:textId="045FED32"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A la luz de la información facilitada, los representantes que habían expresado su preocupación dijeron que estaban de acuerdo con la eliminación de Omán del proyecto de decisión, ya que se trataba claramente de un caso de procedimiento, relacionado con una notificación, y no de uno que implicase datos, información y evaluación. Los representantes no querían adoptar ninguna decisión que pudiese dar lugar a que la presentación de una de las </w:t>
      </w:r>
      <w:r w:rsidR="00C17707">
        <w:rPr>
          <w:lang w:val="es-ES_tradnl"/>
        </w:rPr>
        <w:t>Partes</w:t>
      </w:r>
      <w:r w:rsidRPr="00DD0373">
        <w:rPr>
          <w:lang w:val="es-ES_tradnl"/>
        </w:rPr>
        <w:t xml:space="preserve"> eludiese el examen del Comité de Aplicación.</w:t>
      </w:r>
    </w:p>
    <w:p w14:paraId="37D71D3F" w14:textId="038A1895"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Las </w:t>
      </w:r>
      <w:r w:rsidR="00C17707">
        <w:rPr>
          <w:lang w:val="es-ES_tradnl"/>
        </w:rPr>
        <w:t>Partes</w:t>
      </w:r>
      <w:r w:rsidRPr="00DD0373">
        <w:rPr>
          <w:lang w:val="es-ES_tradnl"/>
        </w:rPr>
        <w:t xml:space="preserve"> acordaron remitir el conjunto de proyectos de decisión, en su forma modificada oralmente, para su posterior examen y posible adopción durante la serie de sesiones de alto nivel.</w:t>
      </w:r>
    </w:p>
    <w:p w14:paraId="4C1A251E" w14:textId="4C1D14C1" w:rsidR="00235115" w:rsidRPr="00DD0373" w:rsidRDefault="00A72C01" w:rsidP="005D30C7">
      <w:pPr>
        <w:pStyle w:val="CH1"/>
        <w:keepNext w:val="0"/>
        <w:keepLines w:val="0"/>
        <w:rPr>
          <w:lang w:val="es-ES_tradnl"/>
        </w:rPr>
      </w:pPr>
      <w:r w:rsidRPr="00DD0373">
        <w:rPr>
          <w:bCs/>
          <w:lang w:val="es-ES_tradnl"/>
        </w:rPr>
        <w:tab/>
      </w:r>
      <w:r w:rsidR="003863CC" w:rsidRPr="00DD0373">
        <w:rPr>
          <w:bCs/>
          <w:lang w:val="es-ES_tradnl"/>
        </w:rPr>
        <w:t>XIV.</w:t>
      </w:r>
      <w:r w:rsidR="003863CC" w:rsidRPr="00DD0373">
        <w:rPr>
          <w:lang w:val="es-ES_tradnl"/>
        </w:rPr>
        <w:tab/>
      </w:r>
      <w:r w:rsidR="003863CC" w:rsidRPr="00DD0373">
        <w:rPr>
          <w:bCs/>
          <w:lang w:val="es-ES_tradnl"/>
        </w:rPr>
        <w:t>Estado de la ratificación de la Enmienda de Kigali</w:t>
      </w:r>
    </w:p>
    <w:p w14:paraId="51207541" w14:textId="3E61795F" w:rsidR="002D5348" w:rsidRPr="00DD0373" w:rsidRDefault="002D5348" w:rsidP="002C30D7">
      <w:pPr>
        <w:pStyle w:val="Normalnumber"/>
        <w:rPr>
          <w:lang w:val="es-ES_tradnl"/>
        </w:rPr>
      </w:pPr>
      <w:r w:rsidRPr="00DD0373">
        <w:rPr>
          <w:lang w:val="es-ES_tradnl"/>
        </w:rPr>
        <w:t xml:space="preserve">Al examinar este tema, las </w:t>
      </w:r>
      <w:r w:rsidR="00C17707">
        <w:rPr>
          <w:lang w:val="es-ES_tradnl"/>
        </w:rPr>
        <w:t>Partes</w:t>
      </w:r>
      <w:r w:rsidRPr="00DD0373">
        <w:rPr>
          <w:lang w:val="es-ES_tradnl"/>
        </w:rPr>
        <w:t xml:space="preserve"> tuvieron ante sí los párrafos 93 y 94 de la nota de la Secretaría sobre cuestiones que se examinarían en la 37ª Reunión de las </w:t>
      </w:r>
      <w:r w:rsidR="00C17707">
        <w:rPr>
          <w:lang w:val="es-ES_tradnl"/>
        </w:rPr>
        <w:t>Partes</w:t>
      </w:r>
      <w:r w:rsidRPr="00DD0373">
        <w:rPr>
          <w:lang w:val="es-ES_tradnl"/>
        </w:rPr>
        <w:t xml:space="preserve"> en el Protocolo de Montreal relativo a las Sustancias que Agotan la Capa de Ozono e información que se señalaba a su atención (UNEP/OzL.Pro.37/2), una nota de la Secretaría sobre el estado de la ratificación, aprobación o aceptación de la Enmienda de Kigali al Protocolo (UNEP/OzL.Pro.37/INF/5) y un proyecto de decisión que figuraba en el documento UNEP/OzL.Pro.37/3 (proyecto de decisión XXXVII/[EE]).</w:t>
      </w:r>
    </w:p>
    <w:p w14:paraId="653F1681" w14:textId="11C21F0D"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Al presentar el tema, la Copresidenta dijo que, a 31 de octubre de 2025, un total de 169 </w:t>
      </w:r>
      <w:r w:rsidR="00C17707">
        <w:rPr>
          <w:lang w:val="es-ES_tradnl"/>
        </w:rPr>
        <w:t>Partes</w:t>
      </w:r>
      <w:r w:rsidRPr="00DD0373">
        <w:rPr>
          <w:lang w:val="es-ES_tradnl"/>
        </w:rPr>
        <w:t xml:space="preserve"> habían ratificado la Enmienda de Kigali, con lo que solo faltaban 29 </w:t>
      </w:r>
      <w:r w:rsidR="00C17707">
        <w:rPr>
          <w:lang w:val="es-ES_tradnl"/>
        </w:rPr>
        <w:t>Partes</w:t>
      </w:r>
      <w:r w:rsidRPr="00DD0373">
        <w:rPr>
          <w:lang w:val="es-ES_tradnl"/>
        </w:rPr>
        <w:t xml:space="preserve"> para cumplir el objetivo de lograr la ratificación universal. El número de ratificaciones se actualizaría, según procediese, en el momento del examen y la posible aprobación del proyecto de decisión XXXVII/[EE] durante la serie de sesiones de alto nivel.</w:t>
      </w:r>
    </w:p>
    <w:p w14:paraId="404F2F2D" w14:textId="025A788B"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Las </w:t>
      </w:r>
      <w:r w:rsidR="00C17707">
        <w:rPr>
          <w:lang w:val="es-ES_tradnl"/>
        </w:rPr>
        <w:t>Partes</w:t>
      </w:r>
      <w:r w:rsidRPr="00DD0373">
        <w:rPr>
          <w:lang w:val="es-ES_tradnl"/>
        </w:rPr>
        <w:t xml:space="preserve"> acordaron remitir el proyecto de decisión para su posterior examen y posible adopción durante la serie de sesiones de alto nivel.</w:t>
      </w:r>
    </w:p>
    <w:p w14:paraId="335F4C3D" w14:textId="4C8F1DC8" w:rsidR="00C20895" w:rsidRPr="00DD0373" w:rsidRDefault="006A38FC" w:rsidP="004B1CBB">
      <w:pPr>
        <w:pStyle w:val="CH1"/>
        <w:ind w:left="0" w:firstLine="0"/>
        <w:rPr>
          <w:lang w:val="es-ES_tradnl"/>
        </w:rPr>
      </w:pPr>
      <w:r w:rsidRPr="00DD0373">
        <w:rPr>
          <w:bCs/>
          <w:lang w:val="es-ES_tradnl"/>
        </w:rPr>
        <w:tab/>
      </w:r>
      <w:r w:rsidR="003863CC" w:rsidRPr="00DD0373">
        <w:rPr>
          <w:bCs/>
          <w:lang w:val="es-ES_tradnl"/>
        </w:rPr>
        <w:t>XV</w:t>
      </w:r>
      <w:r w:rsidRPr="00DD0373">
        <w:rPr>
          <w:bCs/>
          <w:lang w:val="es-ES_tradnl"/>
        </w:rPr>
        <w:t>.</w:t>
      </w:r>
      <w:r w:rsidR="003863CC" w:rsidRPr="00DD0373">
        <w:rPr>
          <w:lang w:val="es-ES_tradnl"/>
        </w:rPr>
        <w:tab/>
      </w:r>
      <w:r w:rsidR="003863CC" w:rsidRPr="00DD0373">
        <w:rPr>
          <w:bCs/>
          <w:lang w:val="es-ES_tradnl"/>
        </w:rPr>
        <w:t>Otros asuntos</w:t>
      </w:r>
    </w:p>
    <w:p w14:paraId="75007A96" w14:textId="35D5A893" w:rsidR="002D5348" w:rsidRPr="00DD0373" w:rsidRDefault="002D5348" w:rsidP="00C62023">
      <w:pPr>
        <w:pStyle w:val="CH2"/>
        <w:rPr>
          <w:lang w:val="es-ES_tradnl"/>
        </w:rPr>
      </w:pPr>
      <w:r w:rsidRPr="00DD0373">
        <w:rPr>
          <w:lang w:val="es-ES_tradnl"/>
        </w:rPr>
        <w:tab/>
      </w:r>
      <w:r w:rsidRPr="00DD0373">
        <w:rPr>
          <w:lang w:val="es-ES_tradnl"/>
        </w:rPr>
        <w:tab/>
      </w:r>
      <w:r w:rsidRPr="00DD0373">
        <w:rPr>
          <w:bCs/>
          <w:lang w:val="es-ES_tradnl"/>
        </w:rPr>
        <w:t>Garantizar la viabilidad de las operaciones del Protocolo de Montreal</w:t>
      </w:r>
    </w:p>
    <w:p w14:paraId="2E6BCD72" w14:textId="188366B1" w:rsidR="002D5348" w:rsidRPr="00DD0373" w:rsidRDefault="002D5348" w:rsidP="002C30D7">
      <w:pPr>
        <w:pStyle w:val="Normalnumber"/>
        <w:rPr>
          <w:lang w:val="es-ES_tradnl"/>
        </w:rPr>
      </w:pPr>
      <w:r w:rsidRPr="00DD0373">
        <w:rPr>
          <w:lang w:val="es-ES_tradnl"/>
        </w:rPr>
        <w:t>La Copresidenta recordó que, durante la aprobación del programa, se había convenido en examinar una propuesta de optimización del calendario de reuniones del Protocolo de Montreal.</w:t>
      </w:r>
    </w:p>
    <w:p w14:paraId="78B5591D" w14:textId="1D2F97F1"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 El representante de los Estados Unidos presentó un proyecto de decisión titulado “</w:t>
      </w:r>
      <w:proofErr w:type="spellStart"/>
      <w:r w:rsidRPr="00DD0373">
        <w:rPr>
          <w:lang w:val="es-ES_tradnl"/>
        </w:rPr>
        <w:t>Ensuring</w:t>
      </w:r>
      <w:proofErr w:type="spellEnd"/>
      <w:r w:rsidR="00A94CC4" w:rsidRPr="00DD0373">
        <w:rPr>
          <w:lang w:val="es-ES_tradnl"/>
        </w:rPr>
        <w:t> </w:t>
      </w:r>
      <w:proofErr w:type="spellStart"/>
      <w:r w:rsidRPr="00DD0373">
        <w:rPr>
          <w:lang w:val="es-ES_tradnl"/>
        </w:rPr>
        <w:t>viability</w:t>
      </w:r>
      <w:proofErr w:type="spellEnd"/>
      <w:r w:rsidRPr="00DD0373">
        <w:rPr>
          <w:lang w:val="es-ES_tradnl"/>
        </w:rPr>
        <w:t xml:space="preserve"> of Montreal </w:t>
      </w:r>
      <w:proofErr w:type="spellStart"/>
      <w:r w:rsidRPr="00DD0373">
        <w:rPr>
          <w:lang w:val="es-ES_tradnl"/>
        </w:rPr>
        <w:t>Protocol</w:t>
      </w:r>
      <w:proofErr w:type="spellEnd"/>
      <w:r w:rsidRPr="00DD0373">
        <w:rPr>
          <w:lang w:val="es-ES_tradnl"/>
        </w:rPr>
        <w:t xml:space="preserve"> </w:t>
      </w:r>
      <w:proofErr w:type="spellStart"/>
      <w:r w:rsidRPr="00DD0373">
        <w:rPr>
          <w:lang w:val="es-ES_tradnl"/>
        </w:rPr>
        <w:t>operations</w:t>
      </w:r>
      <w:proofErr w:type="spellEnd"/>
      <w:r w:rsidRPr="00DD0373">
        <w:rPr>
          <w:lang w:val="es-ES_tradnl"/>
        </w:rPr>
        <w:t xml:space="preserve">”, que figuraba en un documento de sesión y que </w:t>
      </w:r>
      <w:r w:rsidR="00FA262A" w:rsidRPr="00DD0373">
        <w:rPr>
          <w:lang w:val="es-ES_tradnl"/>
        </w:rPr>
        <w:t>co</w:t>
      </w:r>
      <w:r w:rsidRPr="00DD0373">
        <w:rPr>
          <w:lang w:val="es-ES_tradnl"/>
        </w:rPr>
        <w:t xml:space="preserve">patrocinaba Noruega, y explicó que era importante que todos los órganos multilaterales realizasen exámenes periódicos de la organización de su labor a fin de velar por que </w:t>
      </w:r>
      <w:r w:rsidR="00216E21" w:rsidRPr="00DD0373">
        <w:rPr>
          <w:lang w:val="es-ES_tradnl"/>
        </w:rPr>
        <w:t xml:space="preserve">esta </w:t>
      </w:r>
      <w:r w:rsidRPr="00DD0373">
        <w:rPr>
          <w:lang w:val="es-ES_tradnl"/>
        </w:rPr>
        <w:t xml:space="preserve">siguiese siendo eficiente, eficaz y óptima en su diseño para fomentar la aplicación. Dado que la mayoría de las </w:t>
      </w:r>
      <w:r w:rsidR="00C17707">
        <w:rPr>
          <w:lang w:val="es-ES_tradnl"/>
        </w:rPr>
        <w:t>Partes</w:t>
      </w:r>
      <w:r w:rsidRPr="00DD0373">
        <w:rPr>
          <w:lang w:val="es-ES_tradnl"/>
        </w:rPr>
        <w:t xml:space="preserve"> en el Protocolo de Montreal se acercaban al final de la eliminación de los HCFC y habían comenzado a aplicar la reducción de los HFC, era oportuno mantener una conversación estratégica sobre la </w:t>
      </w:r>
      <w:r w:rsidRPr="00DD0373">
        <w:rPr>
          <w:lang w:val="es-ES_tradnl"/>
        </w:rPr>
        <w:lastRenderedPageBreak/>
        <w:t>probable carga de trabajo futura y si el calendario vigente de reuniones era compatible con esa carga de trabajo. El proyecto de decisión tenía por objeto dar un primer paso hacia ese objetivo solicitando a la Secretaría que preparase un informe para su examen por el Grupo de Trabajo de composición abierta en su 48ª reunión sobre las posibles opciones, y las estimaciones de costos conexas, a fin de introducir cambios en el calendario y la duración de las reuniones de los órganos del Protocolo y en el ciclo de decisiones sobre la reposición.</w:t>
      </w:r>
    </w:p>
    <w:p w14:paraId="6028B168" w14:textId="7448D071"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Dado que Noruega copatrocinaba el proyecto de decisión, la representante de Noruega señaló que era poco probable que la difícil situación financiera vigente mejorase en los años siguientes y recordó que, tras los recortes presupuestarios aprobados en la 36ª Reunión de las </w:t>
      </w:r>
      <w:r w:rsidR="00C17707">
        <w:rPr>
          <w:lang w:val="es-ES_tradnl"/>
        </w:rPr>
        <w:t>Partes</w:t>
      </w:r>
      <w:r w:rsidRPr="00DD0373">
        <w:rPr>
          <w:lang w:val="es-ES_tradnl"/>
        </w:rPr>
        <w:t>, la Secretaría se había visto obligada a reducir algunas de sus actividades. Para garantizar la sostenibilidad a largo plazo del Protocolo, sería útil iniciar un debate más amplio sobre cómo garantizar la rentabilidad de las operaciones en el marco del Protocolo de Montreal sin socavar la labor en curso ni comprometer la capacidad del instrumento para hacer frente a los nuevos retos.</w:t>
      </w:r>
    </w:p>
    <w:p w14:paraId="142AD6FF" w14:textId="2118413C"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En el debate posterior, varios representantes consideraron pertinente la propuesta y destacaron que el objetivo era recabar información y estimaciones de costos sobre las posibles opciones como punto de partida para los debates entre las </w:t>
      </w:r>
      <w:r w:rsidR="00C17707">
        <w:rPr>
          <w:lang w:val="es-ES_tradnl"/>
        </w:rPr>
        <w:t>Partes</w:t>
      </w:r>
      <w:r w:rsidRPr="00DD0373">
        <w:rPr>
          <w:lang w:val="es-ES_tradnl"/>
        </w:rPr>
        <w:t>; mejorar la eficiencia, sin socavar los objetivos y la eficacia del Protocolo de Montreal, y velar por la dotación eficaz de recursos y el apoyo a las actividades de la Secretaría, que sustentaban el éxito del Protocolo. Varios representantes subrayaron</w:t>
      </w:r>
      <w:r w:rsidR="00A94CC4" w:rsidRPr="00DD0373">
        <w:rPr>
          <w:lang w:val="es-ES_tradnl"/>
        </w:rPr>
        <w:t> </w:t>
      </w:r>
      <w:r w:rsidRPr="00DD0373">
        <w:rPr>
          <w:lang w:val="es-ES_tradnl"/>
        </w:rPr>
        <w:t>que no se debían prejuzgar los resultados de la propuesta.</w:t>
      </w:r>
    </w:p>
    <w:p w14:paraId="4A86C3E9" w14:textId="7E0FA124"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Algunos representantes expresaron su preocupación por el momento en que se presentó la propuesta. Un representante advirtió contra la realización de cambios que pudiesen poner en peligro lo que era un organismo productivo; otros representantes destacaron que estaban a punto de ponerse en marcha importantes proyectos que requerían un debate significativo entre las </w:t>
      </w:r>
      <w:r w:rsidR="00C17707">
        <w:rPr>
          <w:lang w:val="es-ES_tradnl"/>
        </w:rPr>
        <w:t>Partes</w:t>
      </w:r>
      <w:r w:rsidRPr="00DD0373">
        <w:rPr>
          <w:lang w:val="es-ES_tradnl"/>
        </w:rPr>
        <w:t xml:space="preserve">. Una representante advirtió que la propuesta podría tener implicaciones más allá de lograr eficiencias administrativas, con cambios en el calendario, la duración y la estructura de las reuniones, y en el ciclo de decisiones sobre la reposición, lo que afectaría a la participación de las </w:t>
      </w:r>
      <w:r w:rsidR="00C17707">
        <w:rPr>
          <w:lang w:val="es-ES_tradnl"/>
        </w:rPr>
        <w:t>Partes</w:t>
      </w:r>
      <w:r w:rsidRPr="00DD0373">
        <w:rPr>
          <w:lang w:val="es-ES_tradnl"/>
        </w:rPr>
        <w:t xml:space="preserve"> que operan al amparo del artículo 5 y a su aplicación del Protocolo de Montreal.</w:t>
      </w:r>
    </w:p>
    <w:p w14:paraId="2F16A23A" w14:textId="4BCA79CD"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Varios representantes sugirieron que sería fundamental celebrar debates oficiosos para comprender mejor el alcance y las posibles repercusiones de la propuesta y brindar a</w:t>
      </w:r>
      <w:r w:rsidR="005F336F" w:rsidRPr="00DD0373">
        <w:rPr>
          <w:lang w:val="es-ES_tradnl"/>
        </w:rPr>
        <w:t xml:space="preserve"> </w:t>
      </w:r>
      <w:r w:rsidRPr="00DD0373">
        <w:rPr>
          <w:lang w:val="es-ES_tradnl"/>
        </w:rPr>
        <w:t>l</w:t>
      </w:r>
      <w:r w:rsidR="005F336F" w:rsidRPr="00DD0373">
        <w:rPr>
          <w:lang w:val="es-ES_tradnl"/>
        </w:rPr>
        <w:t>a</w:t>
      </w:r>
      <w:r w:rsidRPr="00DD0373">
        <w:rPr>
          <w:lang w:val="es-ES_tradnl"/>
        </w:rPr>
        <w:t xml:space="preserve"> Secretar</w:t>
      </w:r>
      <w:r w:rsidR="005F336F" w:rsidRPr="00DD0373">
        <w:rPr>
          <w:lang w:val="es-ES_tradnl"/>
        </w:rPr>
        <w:t>í</w:t>
      </w:r>
      <w:r w:rsidRPr="00DD0373">
        <w:rPr>
          <w:lang w:val="es-ES_tradnl"/>
        </w:rPr>
        <w:t>a un mandato más claro que le permitiese preparar el informe solicitado sobre las posibles mejoras de las operaciones. Una representante añadió que no podían adoptarse decisiones racionales sobre posibles modificaciones del calendario de reuniones sin un análisis objetivo de</w:t>
      </w:r>
      <w:r w:rsidR="00446EA8" w:rsidRPr="00DD0373">
        <w:rPr>
          <w:lang w:val="es-ES_tradnl"/>
        </w:rPr>
        <w:t xml:space="preserve"> los buenos resultados </w:t>
      </w:r>
      <w:r w:rsidRPr="00DD0373">
        <w:rPr>
          <w:lang w:val="es-ES_tradnl"/>
        </w:rPr>
        <w:t xml:space="preserve">de las reuniones y decisiones anteriores, y subrayó que todas las decisiones debían tener como objetivo ayudar a las </w:t>
      </w:r>
      <w:r w:rsidR="00C17707">
        <w:rPr>
          <w:lang w:val="es-ES_tradnl"/>
        </w:rPr>
        <w:t>Partes</w:t>
      </w:r>
      <w:r w:rsidRPr="00DD0373">
        <w:rPr>
          <w:lang w:val="es-ES_tradnl"/>
        </w:rPr>
        <w:t xml:space="preserve"> a aplicar el Protocolo de Montreal.</w:t>
      </w:r>
    </w:p>
    <w:p w14:paraId="125A6A15" w14:textId="3684F29F" w:rsidR="002D5348" w:rsidRPr="00DD0373" w:rsidRDefault="002D5348" w:rsidP="002D5348">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Las </w:t>
      </w:r>
      <w:r w:rsidR="00C17707">
        <w:rPr>
          <w:lang w:val="es-ES_tradnl"/>
        </w:rPr>
        <w:t>Partes</w:t>
      </w:r>
      <w:r w:rsidRPr="00DD0373">
        <w:rPr>
          <w:lang w:val="es-ES_tradnl"/>
        </w:rPr>
        <w:t xml:space="preserve"> acordaron establecer un grupo de contacto, copresidido por Carmen Rivero (Argentina) y Alessandro Peru (Italia), para seguir debatiendo el asunto. </w:t>
      </w:r>
      <w:r w:rsidR="00815136" w:rsidRPr="00DD0373">
        <w:rPr>
          <w:lang w:val="es-ES_tradnl"/>
        </w:rPr>
        <w:t xml:space="preserve">A fin de velar por </w:t>
      </w:r>
      <w:r w:rsidRPr="00DD0373">
        <w:rPr>
          <w:lang w:val="es-ES_tradnl"/>
        </w:rPr>
        <w:t>que pudiese participar el mayor número posible de delegaciones, se harían esfuerzos concertados para evitar conflictos de programación con otros grupos.</w:t>
      </w:r>
    </w:p>
    <w:p w14:paraId="34970C2B" w14:textId="6CA69B50" w:rsidR="006B128A" w:rsidRPr="00DD0373" w:rsidRDefault="006B128A" w:rsidP="006B128A">
      <w:pPr>
        <w:pStyle w:val="Normalnumber"/>
        <w:rPr>
          <w:lang w:val="es-ES_tradnl"/>
        </w:rPr>
      </w:pPr>
      <w:r w:rsidRPr="00DD0373">
        <w:rPr>
          <w:lang w:val="es-ES_tradnl"/>
        </w:rPr>
        <w:t xml:space="preserve">Posteriormente, el Copresidente del grupo de contacto informó de que el grupo de contacto había llegado a un acuerdo sobre un proyecto de decisión relativo a garantizar la viabilidad de las operaciones del Protocolo de Montreal </w:t>
      </w:r>
      <w:r w:rsidR="00770772" w:rsidRPr="00DD0373">
        <w:rPr>
          <w:lang w:val="es-ES_tradnl"/>
        </w:rPr>
        <w:t>con vistas a</w:t>
      </w:r>
      <w:r w:rsidRPr="00DD0373">
        <w:rPr>
          <w:lang w:val="es-ES_tradnl"/>
        </w:rPr>
        <w:t xml:space="preserve"> que las </w:t>
      </w:r>
      <w:r w:rsidR="00C17707">
        <w:rPr>
          <w:lang w:val="es-ES_tradnl"/>
        </w:rPr>
        <w:t>Partes</w:t>
      </w:r>
      <w:r w:rsidRPr="00DD0373">
        <w:rPr>
          <w:lang w:val="es-ES_tradnl"/>
        </w:rPr>
        <w:t xml:space="preserve"> lo examinasen.</w:t>
      </w:r>
    </w:p>
    <w:p w14:paraId="21BA8AC4" w14:textId="1A935A13" w:rsidR="006B128A" w:rsidRPr="00DD0373" w:rsidRDefault="006B128A" w:rsidP="002C30D7">
      <w:pPr>
        <w:pStyle w:val="Normalnumber"/>
        <w:rPr>
          <w:lang w:val="es-ES_tradnl"/>
        </w:rPr>
      </w:pPr>
      <w:r w:rsidRPr="00DD0373">
        <w:rPr>
          <w:lang w:val="es-ES_tradnl"/>
        </w:rPr>
        <w:t xml:space="preserve">Las </w:t>
      </w:r>
      <w:r w:rsidR="00C17707">
        <w:rPr>
          <w:lang w:val="es-ES_tradnl"/>
        </w:rPr>
        <w:t>Partes</w:t>
      </w:r>
      <w:r w:rsidRPr="00DD0373">
        <w:rPr>
          <w:lang w:val="es-ES_tradnl"/>
        </w:rPr>
        <w:t xml:space="preserve"> acordaron remitir el proyecto de decisión para su posterior examen y posible adopción durante la serie de sesiones de alto nivel.</w:t>
      </w:r>
    </w:p>
    <w:p w14:paraId="537CA53C" w14:textId="77777777" w:rsidR="00B522EC" w:rsidRPr="00DD0373" w:rsidRDefault="00B522EC" w:rsidP="0042739E">
      <w:pPr>
        <w:pStyle w:val="BBTitle"/>
        <w:keepNext w:val="0"/>
        <w:keepLines w:val="0"/>
        <w:rPr>
          <w:rFonts w:ascii="Times New Roman Bold" w:hAnsi="Times New Roman Bold"/>
          <w:spacing w:val="-6"/>
          <w:lang w:val="es-ES_tradnl"/>
        </w:rPr>
      </w:pPr>
      <w:r w:rsidRPr="00DD0373">
        <w:rPr>
          <w:rFonts w:ascii="Times New Roman Bold" w:hAnsi="Times New Roman Bold"/>
          <w:bCs/>
          <w:spacing w:val="-6"/>
          <w:lang w:val="es-ES_tradnl"/>
        </w:rPr>
        <w:t>Parte II: serie de sesiones de alto nivel (6 y 7 de noviembre de 2025)</w:t>
      </w:r>
    </w:p>
    <w:p w14:paraId="6FDBCE7A" w14:textId="12B20FCD" w:rsidR="00B522EC" w:rsidRPr="00DD0373" w:rsidRDefault="00A72C01" w:rsidP="0042739E">
      <w:pPr>
        <w:pStyle w:val="CH1"/>
        <w:keepNext w:val="0"/>
        <w:keepLines w:val="0"/>
        <w:rPr>
          <w:lang w:val="es-ES_tradnl"/>
        </w:rPr>
      </w:pPr>
      <w:r w:rsidRPr="00DD0373">
        <w:rPr>
          <w:bCs/>
          <w:lang w:val="es-ES_tradnl"/>
        </w:rPr>
        <w:tab/>
      </w:r>
      <w:r w:rsidR="00B522EC" w:rsidRPr="00DD0373">
        <w:rPr>
          <w:bCs/>
          <w:lang w:val="es-ES_tradnl"/>
        </w:rPr>
        <w:t>I.</w:t>
      </w:r>
      <w:r w:rsidR="00B522EC" w:rsidRPr="00DD0373">
        <w:rPr>
          <w:lang w:val="es-ES_tradnl"/>
        </w:rPr>
        <w:tab/>
      </w:r>
      <w:r w:rsidR="00B522EC" w:rsidRPr="00DD0373">
        <w:rPr>
          <w:bCs/>
          <w:lang w:val="es-ES_tradnl"/>
        </w:rPr>
        <w:t>Apertura de la serie de sesiones de alto nivel</w:t>
      </w:r>
    </w:p>
    <w:p w14:paraId="5E8D1CCC" w14:textId="0D02F186" w:rsidR="00B522EC" w:rsidRPr="00DD0373" w:rsidRDefault="00B522EC" w:rsidP="0042739E">
      <w:pPr>
        <w:pStyle w:val="Normalnumber"/>
        <w:numPr>
          <w:ilvl w:val="0"/>
          <w:numId w:val="21"/>
        </w:numPr>
        <w:rPr>
          <w:lang w:val="es-ES_tradnl"/>
        </w:rPr>
      </w:pPr>
      <w:r w:rsidRPr="00DD0373">
        <w:rPr>
          <w:lang w:val="es-ES_tradnl"/>
        </w:rPr>
        <w:t>La serie de sesiones de alto nivel fue inaugurada a las 10.05 horas del jueves 6 de noviembre de</w:t>
      </w:r>
      <w:r w:rsidR="005B7881" w:rsidRPr="00DD0373">
        <w:rPr>
          <w:lang w:val="es-ES_tradnl"/>
        </w:rPr>
        <w:t> </w:t>
      </w:r>
      <w:r w:rsidRPr="00DD0373">
        <w:rPr>
          <w:lang w:val="es-ES_tradnl"/>
        </w:rPr>
        <w:t xml:space="preserve">2025 por Ndiaye Cheikh Sylla (Senegal), </w:t>
      </w:r>
      <w:proofErr w:type="gramStart"/>
      <w:r w:rsidRPr="00DD0373">
        <w:rPr>
          <w:lang w:val="es-ES_tradnl"/>
        </w:rPr>
        <w:t>Vicepresidente</w:t>
      </w:r>
      <w:proofErr w:type="gramEnd"/>
      <w:r w:rsidRPr="00DD0373">
        <w:rPr>
          <w:lang w:val="es-ES_tradnl"/>
        </w:rPr>
        <w:t xml:space="preserve"> de la 36ª Reunión de las </w:t>
      </w:r>
      <w:r w:rsidR="00C17707">
        <w:rPr>
          <w:lang w:val="es-ES_tradnl"/>
        </w:rPr>
        <w:t>Partes</w:t>
      </w:r>
      <w:r w:rsidRPr="00DD0373">
        <w:rPr>
          <w:lang w:val="es-ES_tradnl"/>
        </w:rPr>
        <w:t xml:space="preserve"> en el Protocolo de Montreal, en calidad de </w:t>
      </w:r>
      <w:proofErr w:type="gramStart"/>
      <w:r w:rsidRPr="00DD0373">
        <w:rPr>
          <w:lang w:val="es-ES_tradnl"/>
        </w:rPr>
        <w:t>Presidente</w:t>
      </w:r>
      <w:proofErr w:type="gramEnd"/>
      <w:r w:rsidRPr="00DD0373">
        <w:rPr>
          <w:lang w:val="es-ES_tradnl"/>
        </w:rPr>
        <w:t>. La reunión comenzó con una representación de música tradicional.</w:t>
      </w:r>
    </w:p>
    <w:p w14:paraId="6696AF53" w14:textId="071583A1" w:rsidR="00B522EC" w:rsidRPr="00DD0373" w:rsidRDefault="00A72C01" w:rsidP="006B75D5">
      <w:pPr>
        <w:pStyle w:val="CH2"/>
        <w:rPr>
          <w:lang w:val="es-ES_tradnl"/>
        </w:rPr>
      </w:pPr>
      <w:r w:rsidRPr="00DD0373">
        <w:rPr>
          <w:bCs/>
          <w:lang w:val="es-ES_tradnl"/>
        </w:rPr>
        <w:lastRenderedPageBreak/>
        <w:tab/>
      </w:r>
      <w:r w:rsidR="00B522EC" w:rsidRPr="00DD0373">
        <w:rPr>
          <w:bCs/>
          <w:lang w:val="es-ES_tradnl"/>
        </w:rPr>
        <w:t>A.</w:t>
      </w:r>
      <w:r w:rsidR="00B522EC" w:rsidRPr="00DD0373">
        <w:rPr>
          <w:lang w:val="es-ES_tradnl"/>
        </w:rPr>
        <w:tab/>
      </w:r>
      <w:r w:rsidR="00B522EC" w:rsidRPr="00DD0373">
        <w:rPr>
          <w:bCs/>
          <w:lang w:val="es-ES_tradnl"/>
        </w:rPr>
        <w:t xml:space="preserve">Declaración de la </w:t>
      </w:r>
      <w:proofErr w:type="gramStart"/>
      <w:r w:rsidR="00B522EC" w:rsidRPr="00DD0373">
        <w:rPr>
          <w:bCs/>
          <w:lang w:val="es-ES_tradnl"/>
        </w:rPr>
        <w:t>Presidenta</w:t>
      </w:r>
      <w:proofErr w:type="gramEnd"/>
      <w:r w:rsidR="00B522EC" w:rsidRPr="00DD0373">
        <w:rPr>
          <w:bCs/>
          <w:lang w:val="es-ES_tradnl"/>
        </w:rPr>
        <w:t xml:space="preserve"> de la 36ª Reunión de las </w:t>
      </w:r>
      <w:r w:rsidR="00C17707">
        <w:rPr>
          <w:bCs/>
          <w:lang w:val="es-ES_tradnl"/>
        </w:rPr>
        <w:t>Partes</w:t>
      </w:r>
      <w:r w:rsidR="00B522EC" w:rsidRPr="00DD0373">
        <w:rPr>
          <w:bCs/>
          <w:lang w:val="es-ES_tradnl"/>
        </w:rPr>
        <w:t xml:space="preserve"> en el Protocolo de Montreal</w:t>
      </w:r>
    </w:p>
    <w:p w14:paraId="3DD0EE9A" w14:textId="1BD30AAD" w:rsidR="00B522EC" w:rsidRPr="00DD0373" w:rsidRDefault="00B522EC" w:rsidP="006B75D5">
      <w:pPr>
        <w:pStyle w:val="Normalnumber"/>
        <w:keepNext/>
        <w:keepLines/>
        <w:numPr>
          <w:ilvl w:val="0"/>
          <w:numId w:val="24"/>
        </w:numPr>
        <w:rPr>
          <w:lang w:val="es-ES_tradnl"/>
        </w:rPr>
      </w:pPr>
      <w:r w:rsidRPr="00DD0373">
        <w:rPr>
          <w:lang w:val="es-ES_tradnl"/>
        </w:rPr>
        <w:t xml:space="preserve">En su intervención, el Sr. Sylla recordó que la 36ª Reunión de las </w:t>
      </w:r>
      <w:r w:rsidR="00C17707">
        <w:rPr>
          <w:lang w:val="es-ES_tradnl"/>
        </w:rPr>
        <w:t>Partes</w:t>
      </w:r>
      <w:r w:rsidRPr="00DD0373">
        <w:rPr>
          <w:lang w:val="es-ES_tradnl"/>
        </w:rPr>
        <w:t xml:space="preserve"> en el Protocolo de Montreal había adoptado varias decisiones clave sobre el avance de la aplicación del Protocolo, que habían sentado las bases para muchos de los debates que estaban celebrándose en la 37ª Reunión. La más importante de ellas fue la decisión de mejorar la vigilancia atmosférica regional de las sustancias controladas. El orador aguardaba con interés los pasos siguientes para mejorar la capacidad de vigilancia en las regiones en que existían deficiencias.</w:t>
      </w:r>
    </w:p>
    <w:p w14:paraId="135E4F8F" w14:textId="6A046E9C" w:rsidR="00B522EC" w:rsidRPr="00DD0373" w:rsidRDefault="00B522EC" w:rsidP="00B522EC">
      <w:pPr>
        <w:pStyle w:val="Normalnumber"/>
        <w:rPr>
          <w:lang w:val="es-ES_tradnl"/>
        </w:rPr>
      </w:pPr>
      <w:r w:rsidRPr="00DD0373">
        <w:rPr>
          <w:lang w:val="es-ES_tradnl"/>
        </w:rPr>
        <w:t>El orador señaló que los continuos debates sobre cómo cerrar la brecha entre las emisiones observadas y previstas de HFC</w:t>
      </w:r>
      <w:r w:rsidRPr="00DD0373">
        <w:rPr>
          <w:lang w:val="es-ES_tradnl"/>
        </w:rPr>
        <w:noBreakHyphen/>
        <w:t xml:space="preserve">23, las materias primas, el mayor fortalecimiento de las instituciones del Protocolo de Montreal y la reestructuración de los grupos de evaluación, así como la apertura que estaban mostrando las </w:t>
      </w:r>
      <w:r w:rsidR="00C17707">
        <w:rPr>
          <w:lang w:val="es-ES_tradnl"/>
        </w:rPr>
        <w:t>Partes</w:t>
      </w:r>
      <w:r w:rsidRPr="00DD0373">
        <w:rPr>
          <w:lang w:val="es-ES_tradnl"/>
        </w:rPr>
        <w:t xml:space="preserve">, demostraban al mundo por qué el Protocolo de Montreal se había convertido en el acuerdo ambiental multilateral más </w:t>
      </w:r>
      <w:r w:rsidR="006616E7" w:rsidRPr="00DD0373">
        <w:rPr>
          <w:lang w:val="es-ES_tradnl"/>
        </w:rPr>
        <w:t>fructífero</w:t>
      </w:r>
      <w:r w:rsidRPr="00DD0373">
        <w:rPr>
          <w:lang w:val="es-ES_tradnl"/>
        </w:rPr>
        <w:t>. La clave de</w:t>
      </w:r>
      <w:r w:rsidR="006616E7" w:rsidRPr="00DD0373">
        <w:rPr>
          <w:lang w:val="es-ES_tradnl"/>
        </w:rPr>
        <w:t xml:space="preserve"> </w:t>
      </w:r>
      <w:r w:rsidRPr="00DD0373">
        <w:rPr>
          <w:lang w:val="es-ES_tradnl"/>
        </w:rPr>
        <w:t>l</w:t>
      </w:r>
      <w:r w:rsidR="006616E7" w:rsidRPr="00DD0373">
        <w:rPr>
          <w:lang w:val="es-ES_tradnl"/>
        </w:rPr>
        <w:t>os</w:t>
      </w:r>
      <w:r w:rsidRPr="00DD0373">
        <w:rPr>
          <w:lang w:val="es-ES_tradnl"/>
        </w:rPr>
        <w:t xml:space="preserve"> </w:t>
      </w:r>
      <w:r w:rsidR="006616E7" w:rsidRPr="00DD0373">
        <w:rPr>
          <w:lang w:val="es-ES_tradnl"/>
        </w:rPr>
        <w:t>buenos resultados continuos</w:t>
      </w:r>
      <w:r w:rsidRPr="00DD0373">
        <w:rPr>
          <w:lang w:val="es-ES_tradnl"/>
        </w:rPr>
        <w:t xml:space="preserve"> del Protocolo era el Fondo Multilateral. El orador expresó su confianza en que los debates sobre los mandatos para su reposición con vistas al trienio 2027–2029, con los que se daría forma a los esfuerzos de las </w:t>
      </w:r>
      <w:r w:rsidR="00C17707">
        <w:rPr>
          <w:lang w:val="es-ES_tradnl"/>
        </w:rPr>
        <w:t>Partes</w:t>
      </w:r>
      <w:r w:rsidRPr="00DD0373">
        <w:rPr>
          <w:lang w:val="es-ES_tradnl"/>
        </w:rPr>
        <w:t xml:space="preserve"> que operan al amparo del artículo 5 en el futuro previsible, concluirían con un acuerdo.</w:t>
      </w:r>
    </w:p>
    <w:p w14:paraId="241ECA9D" w14:textId="1D0F3499" w:rsidR="00B522EC" w:rsidRPr="00DD0373" w:rsidRDefault="00B522EC" w:rsidP="00B522EC">
      <w:pPr>
        <w:pStyle w:val="Normalnumber"/>
        <w:rPr>
          <w:lang w:val="es-ES_tradnl"/>
        </w:rPr>
      </w:pPr>
      <w:r w:rsidRPr="00DD0373">
        <w:rPr>
          <w:lang w:val="es-ES_tradnl"/>
        </w:rPr>
        <w:t xml:space="preserve">El orador señaló que en 2025 se cumpliría el 40º aniversario del Convenio de Viena y expresó su esperanza de que las </w:t>
      </w:r>
      <w:r w:rsidR="00C17707">
        <w:rPr>
          <w:lang w:val="es-ES_tradnl"/>
        </w:rPr>
        <w:t>Partes</w:t>
      </w:r>
      <w:r w:rsidRPr="00DD0373">
        <w:rPr>
          <w:lang w:val="es-ES_tradnl"/>
        </w:rPr>
        <w:t xml:space="preserve"> recordasen el legado de quienes habían sentado las bases de los tratados sobre el ozono y sobre cuyos hombros se apoyaban en aquel momento. El orador hizo un llamamiento a las 29 </w:t>
      </w:r>
      <w:r w:rsidR="00C17707">
        <w:rPr>
          <w:lang w:val="es-ES_tradnl"/>
        </w:rPr>
        <w:t>Partes</w:t>
      </w:r>
      <w:r w:rsidRPr="00DD0373">
        <w:rPr>
          <w:lang w:val="es-ES_tradnl"/>
        </w:rPr>
        <w:t xml:space="preserve"> que aún no habían ratificado la Enmienda de Kigali para que la ratificasen, con el fin de lograr la ratificación universal para 2026, décimo aniversario de la Enmienda.</w:t>
      </w:r>
    </w:p>
    <w:p w14:paraId="4C4F9C36" w14:textId="19036D90" w:rsidR="00B522EC" w:rsidRPr="00DD0373" w:rsidRDefault="00B522EC" w:rsidP="00B522EC">
      <w:pPr>
        <w:pStyle w:val="Normalnumber"/>
        <w:rPr>
          <w:lang w:val="es-ES_tradnl"/>
        </w:rPr>
      </w:pPr>
      <w:r w:rsidRPr="00DD0373">
        <w:rPr>
          <w:lang w:val="es-ES_tradnl"/>
        </w:rPr>
        <w:t xml:space="preserve">Para concluir, el orador agradeció a las </w:t>
      </w:r>
      <w:r w:rsidR="00C17707">
        <w:rPr>
          <w:lang w:val="es-ES_tradnl"/>
        </w:rPr>
        <w:t>Partes</w:t>
      </w:r>
      <w:r w:rsidRPr="00DD0373">
        <w:rPr>
          <w:lang w:val="es-ES_tradnl"/>
        </w:rPr>
        <w:t>, a sus colegas miembros de la Mesa, a los grupos de evaluación, al Comité de Aplicación, al Comité Ejecutivo del Fondo Multilateral y a sus organismos de ejecución y bilaterales, a la Secretaría del Ozono y a la Secretaría del Fondo Multilateral, a la Copresidencia de la serie de sesiones preparatorias y a todos los demás miembros de la familia del ozono sus contribuciones a la responsabilidad compartida de proteger la capa de ozono y el clima. El orador declaró que se sentía orgulloso de haber servido a un proceso que, una y otra vez, había demostrado lo que la dedicación, la confianza y el entendimiento mutuo podían aportar al planeta.</w:t>
      </w:r>
    </w:p>
    <w:p w14:paraId="25289FC8" w14:textId="2426625E" w:rsidR="00B522EC" w:rsidRPr="00DD0373" w:rsidRDefault="009A6FE9" w:rsidP="00B522EC">
      <w:pPr>
        <w:pStyle w:val="CH2"/>
        <w:keepNext w:val="0"/>
        <w:keepLines w:val="0"/>
        <w:rPr>
          <w:lang w:val="es-ES_tradnl"/>
        </w:rPr>
      </w:pPr>
      <w:r w:rsidRPr="00DD0373">
        <w:rPr>
          <w:bCs/>
          <w:lang w:val="es-ES_tradnl"/>
        </w:rPr>
        <w:tab/>
      </w:r>
      <w:r w:rsidR="00B522EC" w:rsidRPr="00DD0373">
        <w:rPr>
          <w:bCs/>
          <w:lang w:val="es-ES_tradnl"/>
        </w:rPr>
        <w:t>B.</w:t>
      </w:r>
      <w:r w:rsidR="00B522EC" w:rsidRPr="00DD0373">
        <w:rPr>
          <w:lang w:val="es-ES_tradnl"/>
        </w:rPr>
        <w:tab/>
      </w:r>
      <w:r w:rsidR="00B522EC" w:rsidRPr="00DD0373">
        <w:rPr>
          <w:bCs/>
          <w:lang w:val="es-ES_tradnl"/>
        </w:rPr>
        <w:t>Declaración de una representante del Programa de las Naciones Unidas para el Medio Ambiente</w:t>
      </w:r>
    </w:p>
    <w:p w14:paraId="22867F2B" w14:textId="0ACE3D02" w:rsidR="00B522EC" w:rsidRPr="00DD0373" w:rsidRDefault="00B522EC" w:rsidP="001B621B">
      <w:pPr>
        <w:pStyle w:val="Normalnumber"/>
        <w:numPr>
          <w:ilvl w:val="0"/>
          <w:numId w:val="22"/>
        </w:numPr>
        <w:rPr>
          <w:lang w:val="es-ES_tradnl"/>
        </w:rPr>
      </w:pPr>
      <w:r w:rsidRPr="00DD0373">
        <w:rPr>
          <w:lang w:val="es-ES_tradnl"/>
        </w:rPr>
        <w:t>Sheila Aggarwal</w:t>
      </w:r>
      <w:r w:rsidRPr="00DD0373">
        <w:rPr>
          <w:lang w:val="es-ES_tradnl"/>
        </w:rPr>
        <w:noBreakHyphen/>
        <w:t xml:space="preserve">Khan, </w:t>
      </w:r>
      <w:proofErr w:type="gramStart"/>
      <w:r w:rsidRPr="00DD0373">
        <w:rPr>
          <w:lang w:val="es-ES_tradnl"/>
        </w:rPr>
        <w:t>Directora</w:t>
      </w:r>
      <w:proofErr w:type="gramEnd"/>
      <w:r w:rsidRPr="00DD0373">
        <w:rPr>
          <w:lang w:val="es-ES_tradnl"/>
        </w:rPr>
        <w:t xml:space="preserve"> de la División de Industria y Economía del PNUMA, dio la bienvenida a las </w:t>
      </w:r>
      <w:r w:rsidR="00C17707">
        <w:rPr>
          <w:lang w:val="es-ES_tradnl"/>
        </w:rPr>
        <w:t>Partes</w:t>
      </w:r>
      <w:r w:rsidRPr="00DD0373">
        <w:rPr>
          <w:lang w:val="es-ES_tradnl"/>
        </w:rPr>
        <w:t xml:space="preserve"> en nombre de </w:t>
      </w:r>
      <w:proofErr w:type="spellStart"/>
      <w:r w:rsidRPr="00DD0373">
        <w:rPr>
          <w:lang w:val="es-ES_tradnl"/>
        </w:rPr>
        <w:t>Inger</w:t>
      </w:r>
      <w:proofErr w:type="spellEnd"/>
      <w:r w:rsidRPr="00DD0373">
        <w:rPr>
          <w:lang w:val="es-ES_tradnl"/>
        </w:rPr>
        <w:t xml:space="preserve"> Andersen, </w:t>
      </w:r>
      <w:proofErr w:type="gramStart"/>
      <w:r w:rsidRPr="00DD0373">
        <w:rPr>
          <w:lang w:val="es-ES_tradnl"/>
        </w:rPr>
        <w:t>Directora Ejecutiva</w:t>
      </w:r>
      <w:proofErr w:type="gramEnd"/>
      <w:r w:rsidRPr="00DD0373">
        <w:rPr>
          <w:lang w:val="es-ES_tradnl"/>
        </w:rPr>
        <w:t xml:space="preserve"> del PNUMA, que no podía estar presente. En una declaración efectuada mediante un </w:t>
      </w:r>
      <w:proofErr w:type="spellStart"/>
      <w:r w:rsidRPr="00DD0373">
        <w:rPr>
          <w:lang w:val="es-ES_tradnl"/>
        </w:rPr>
        <w:t>videomensaje</w:t>
      </w:r>
      <w:proofErr w:type="spellEnd"/>
      <w:r w:rsidRPr="00DD0373">
        <w:rPr>
          <w:lang w:val="es-ES_tradnl"/>
        </w:rPr>
        <w:t>, la Sra. Andersen señaló que en 2025 se cumplían 40 años del Convenio de Viena, por medio del cual los Gobiernos habían establecido uno de los primeros tratados ambientales de naturaleza genuinamente empírica, lo cual había allanado el camino para el Protocolo de Montreal. Cuatro decenios después, los tres grupos de evaluación del Protocolo seguían guiándose por la ciencia a la hora de preservar la solidez, la pertinencia y la fiabilidad de los tratados.</w:t>
      </w:r>
    </w:p>
    <w:p w14:paraId="1CC9615A" w14:textId="31F92569" w:rsidR="00B522EC" w:rsidRPr="00DD0373" w:rsidRDefault="00B522EC" w:rsidP="00B522EC">
      <w:pPr>
        <w:pStyle w:val="Normalnumber"/>
        <w:rPr>
          <w:lang w:val="es-ES_tradnl"/>
        </w:rPr>
      </w:pPr>
      <w:r w:rsidRPr="00DD0373">
        <w:rPr>
          <w:lang w:val="es-ES_tradnl"/>
        </w:rPr>
        <w:t xml:space="preserve">Dos años antes, en 2023, las </w:t>
      </w:r>
      <w:r w:rsidR="00C17707">
        <w:rPr>
          <w:lang w:val="es-ES_tradnl"/>
        </w:rPr>
        <w:t>Partes</w:t>
      </w:r>
      <w:r w:rsidRPr="00DD0373">
        <w:rPr>
          <w:lang w:val="es-ES_tradnl"/>
        </w:rPr>
        <w:t xml:space="preserve"> habían acordado la mayor reposición jamás realizada del Fondo Multilateral: 965 millones de dólares</w:t>
      </w:r>
      <w:r w:rsidR="007349D4" w:rsidRPr="00DD0373">
        <w:rPr>
          <w:lang w:val="es-ES_tradnl"/>
        </w:rPr>
        <w:t xml:space="preserve"> de los Estados Unidos</w:t>
      </w:r>
      <w:r w:rsidRPr="00DD0373">
        <w:rPr>
          <w:lang w:val="es-ES_tradnl"/>
        </w:rPr>
        <w:t xml:space="preserve"> para el período 2024</w:t>
      </w:r>
      <w:r w:rsidR="0042739E" w:rsidRPr="00DD0373">
        <w:rPr>
          <w:lang w:val="es-ES_tradnl"/>
        </w:rPr>
        <w:t>-</w:t>
      </w:r>
      <w:r w:rsidRPr="00DD0373">
        <w:rPr>
          <w:lang w:val="es-ES_tradnl"/>
        </w:rPr>
        <w:t xml:space="preserve">2026, decisión con que se había subrayado la determinación colectiva de las </w:t>
      </w:r>
      <w:r w:rsidR="00C17707">
        <w:rPr>
          <w:lang w:val="es-ES_tradnl"/>
        </w:rPr>
        <w:t>Partes</w:t>
      </w:r>
      <w:r w:rsidRPr="00DD0373">
        <w:rPr>
          <w:lang w:val="es-ES_tradnl"/>
        </w:rPr>
        <w:t xml:space="preserve"> de proteger la capa de ozono y el clima al tiempo que se prestaba apoyo a las </w:t>
      </w:r>
      <w:r w:rsidR="00C17707">
        <w:rPr>
          <w:lang w:val="es-ES_tradnl"/>
        </w:rPr>
        <w:t>Partes</w:t>
      </w:r>
      <w:r w:rsidRPr="00DD0373">
        <w:rPr>
          <w:lang w:val="es-ES_tradnl"/>
        </w:rPr>
        <w:t xml:space="preserve"> que operan al amparo del artículo 5. Ya se había comenzado a trabajar en el mandato del siguiente estudio de reposición. La oradora reconoció que las </w:t>
      </w:r>
      <w:r w:rsidR="00C17707">
        <w:rPr>
          <w:lang w:val="es-ES_tradnl"/>
        </w:rPr>
        <w:t>Partes</w:t>
      </w:r>
      <w:r w:rsidRPr="00DD0373">
        <w:rPr>
          <w:lang w:val="es-ES_tradnl"/>
        </w:rPr>
        <w:t xml:space="preserve"> que operan al amparo del artículo 5 y las que no operan al amparo del artículo 5 tenían opiniones muy divergentes sobre la cuestión, y alentó a todas las </w:t>
      </w:r>
      <w:r w:rsidR="00C17707">
        <w:rPr>
          <w:lang w:val="es-ES_tradnl"/>
        </w:rPr>
        <w:t>Partes</w:t>
      </w:r>
      <w:r w:rsidRPr="00DD0373">
        <w:rPr>
          <w:lang w:val="es-ES_tradnl"/>
        </w:rPr>
        <w:t xml:space="preserve"> a que siguiesen hablando y escuchando. Las </w:t>
      </w:r>
      <w:r w:rsidR="00C17707">
        <w:rPr>
          <w:lang w:val="es-ES_tradnl"/>
        </w:rPr>
        <w:t>Partes</w:t>
      </w:r>
      <w:r w:rsidRPr="00DD0373">
        <w:rPr>
          <w:lang w:val="es-ES_tradnl"/>
        </w:rPr>
        <w:t xml:space="preserve"> en el Protocolo de Montreal siempre habían logrado alcanzar un consenso cuando era más importante, y la oradora confiaba en que eso podría volver a suceder.</w:t>
      </w:r>
    </w:p>
    <w:p w14:paraId="74A86D2B" w14:textId="16281F6F" w:rsidR="00B522EC" w:rsidRPr="00DD0373" w:rsidRDefault="00B522EC" w:rsidP="00B522EC">
      <w:pPr>
        <w:pStyle w:val="Normalnumber"/>
        <w:rPr>
          <w:lang w:val="es-ES_tradnl"/>
        </w:rPr>
      </w:pPr>
      <w:r w:rsidRPr="00DD0373">
        <w:rPr>
          <w:lang w:val="es-ES_tradnl"/>
        </w:rPr>
        <w:t xml:space="preserve">La oradora señaló a la atención de las </w:t>
      </w:r>
      <w:r w:rsidR="00C17707">
        <w:rPr>
          <w:lang w:val="es-ES_tradnl"/>
        </w:rPr>
        <w:t>Partes</w:t>
      </w:r>
      <w:r w:rsidRPr="00DD0373">
        <w:rPr>
          <w:lang w:val="es-ES_tradnl"/>
        </w:rPr>
        <w:t xml:space="preserve"> la importante diferencia observada entre las mediciones atmosféricas derivadas del seguimiento atmosférico y las emisiones notificadas obtenidas de la presentación de datos del HFC</w:t>
      </w:r>
      <w:r w:rsidRPr="00DD0373">
        <w:rPr>
          <w:lang w:val="es-ES_tradnl"/>
        </w:rPr>
        <w:noBreakHyphen/>
        <w:t xml:space="preserve">23, un gas de efecto invernadero muy potente y de larga duración. El refuerzo de la vigilancia atmosférica fue fundamental para los esfuerzos de las </w:t>
      </w:r>
      <w:r w:rsidR="00C17707">
        <w:rPr>
          <w:lang w:val="es-ES_tradnl"/>
        </w:rPr>
        <w:t>Partes</w:t>
      </w:r>
      <w:r w:rsidRPr="00DD0373">
        <w:rPr>
          <w:lang w:val="es-ES_tradnl"/>
        </w:rPr>
        <w:t>, lo que permitió a los grupos de evaluación presentar actualizaciones oportunas. La oradora recordó que cuando en la vigilancia atmosférica se había detectado una anomalía similar en las emisiones de CFC</w:t>
      </w:r>
      <w:r w:rsidRPr="00DD0373">
        <w:rPr>
          <w:lang w:val="es-ES_tradnl"/>
        </w:rPr>
        <w:noBreakHyphen/>
        <w:t xml:space="preserve">11 las </w:t>
      </w:r>
      <w:r w:rsidR="00C17707">
        <w:rPr>
          <w:lang w:val="es-ES_tradnl"/>
        </w:rPr>
        <w:t>Partes</w:t>
      </w:r>
      <w:r w:rsidRPr="00DD0373">
        <w:rPr>
          <w:lang w:val="es-ES_tradnl"/>
        </w:rPr>
        <w:t xml:space="preserve"> habían actuado rápidamente y habían mantenido la recuperación de la capa de ozono en buen camino.</w:t>
      </w:r>
    </w:p>
    <w:p w14:paraId="7C7102A7" w14:textId="772D871D" w:rsidR="00B522EC" w:rsidRPr="00DD0373" w:rsidRDefault="00B522EC" w:rsidP="00B522EC">
      <w:pPr>
        <w:pStyle w:val="Normalnumber"/>
        <w:rPr>
          <w:lang w:val="es-ES_tradnl"/>
        </w:rPr>
      </w:pPr>
      <w:r w:rsidRPr="00DD0373">
        <w:rPr>
          <w:lang w:val="es-ES_tradnl"/>
        </w:rPr>
        <w:lastRenderedPageBreak/>
        <w:t xml:space="preserve">La oradora también puso de relieve la cuestión de la gestión del ciclo de vida de los refrigerantes, en la que las </w:t>
      </w:r>
      <w:r w:rsidR="00C17707">
        <w:rPr>
          <w:lang w:val="es-ES_tradnl"/>
        </w:rPr>
        <w:t>Partes</w:t>
      </w:r>
      <w:r w:rsidRPr="00DD0373">
        <w:rPr>
          <w:lang w:val="es-ES_tradnl"/>
        </w:rPr>
        <w:t xml:space="preserve"> que operan al amparo del artículo 5 habían expresado su preocupación por el </w:t>
      </w:r>
      <w:r w:rsidR="007E2F5A" w:rsidRPr="00DD0373">
        <w:rPr>
          <w:lang w:val="es-ES_tradnl"/>
        </w:rPr>
        <w:t>crecimiento en</w:t>
      </w:r>
      <w:r w:rsidRPr="00DD0373">
        <w:rPr>
          <w:lang w:val="es-ES_tradnl"/>
        </w:rPr>
        <w:t xml:space="preserve"> los bancos de gases refrigerantes. La adopción generalizada de estrategias para la gestión del ciclo de vida de los refrigerantes, desde un mejor mantenimiento y prevención de fugas hasta la recuperación, regeneración y destrucción, podría ayudar a evitar hasta</w:t>
      </w:r>
      <w:r w:rsidR="00C3658C" w:rsidRPr="00DD0373">
        <w:rPr>
          <w:lang w:val="es-ES_tradnl"/>
        </w:rPr>
        <w:t> </w:t>
      </w:r>
      <w:r w:rsidRPr="00DD0373">
        <w:rPr>
          <w:lang w:val="es-ES_tradnl"/>
        </w:rPr>
        <w:t>39</w:t>
      </w:r>
      <w:r w:rsidR="00C3658C" w:rsidRPr="00DD0373">
        <w:rPr>
          <w:lang w:val="es-ES_tradnl"/>
        </w:rPr>
        <w:t> </w:t>
      </w:r>
      <w:r w:rsidRPr="00DD0373">
        <w:rPr>
          <w:lang w:val="es-ES_tradnl"/>
        </w:rPr>
        <w:t>gigatoneladas de emisiones equivalentes de CO₂.</w:t>
      </w:r>
      <w:bookmarkStart w:id="30" w:name="_Hlk213325131"/>
      <w:bookmarkEnd w:id="30"/>
    </w:p>
    <w:p w14:paraId="167FC093" w14:textId="37016A05" w:rsidR="00B522EC" w:rsidRPr="00DD0373" w:rsidRDefault="00B522EC" w:rsidP="00E56069">
      <w:pPr>
        <w:pStyle w:val="Normalnumber"/>
        <w:ind w:left="1247" w:right="-170"/>
        <w:rPr>
          <w:lang w:val="es-ES_tradnl"/>
        </w:rPr>
      </w:pPr>
      <w:r w:rsidRPr="00DD0373">
        <w:rPr>
          <w:lang w:val="es-ES_tradnl"/>
        </w:rPr>
        <w:t xml:space="preserve">Al acercarse el décimo aniversario de la Enmienda de Kigali, la oradora alentó a las 29 </w:t>
      </w:r>
      <w:r w:rsidR="00C17707">
        <w:rPr>
          <w:lang w:val="es-ES_tradnl"/>
        </w:rPr>
        <w:t>Partes</w:t>
      </w:r>
      <w:r w:rsidRPr="00DD0373">
        <w:rPr>
          <w:lang w:val="es-ES_tradnl"/>
        </w:rPr>
        <w:t xml:space="preserve"> que</w:t>
      </w:r>
      <w:r w:rsidR="0042739E" w:rsidRPr="00DD0373">
        <w:rPr>
          <w:lang w:val="es-ES_tradnl"/>
        </w:rPr>
        <w:t> </w:t>
      </w:r>
      <w:r w:rsidRPr="00DD0373">
        <w:rPr>
          <w:lang w:val="es-ES_tradnl"/>
        </w:rPr>
        <w:t xml:space="preserve">aún no la habían ratificado a que aprovechasen la oportunidad y la ratificasen lo antes posible. La oradora advirtió que el Protocolo de Montreal no era inmune a los efectos de las presiones de reducción de costos en las Naciones Unidas, pero dijo que confiaba en que las </w:t>
      </w:r>
      <w:r w:rsidR="00C17707">
        <w:rPr>
          <w:lang w:val="es-ES_tradnl"/>
        </w:rPr>
        <w:t>Partes</w:t>
      </w:r>
      <w:r w:rsidRPr="00DD0373">
        <w:rPr>
          <w:lang w:val="es-ES_tradnl"/>
        </w:rPr>
        <w:t xml:space="preserve"> encontrarían la manera de velar por su eficacia y </w:t>
      </w:r>
      <w:r w:rsidR="006616E7" w:rsidRPr="00DD0373">
        <w:rPr>
          <w:lang w:val="es-ES_tradnl"/>
        </w:rPr>
        <w:t>buenos resultados</w:t>
      </w:r>
      <w:r w:rsidRPr="00DD0373">
        <w:rPr>
          <w:lang w:val="es-ES_tradnl"/>
        </w:rPr>
        <w:t xml:space="preserve"> continuos.</w:t>
      </w:r>
    </w:p>
    <w:p w14:paraId="3E0B7D47" w14:textId="6F98839E" w:rsidR="00B522EC" w:rsidRPr="00DD0373" w:rsidRDefault="009A6FE9" w:rsidP="00E56069">
      <w:pPr>
        <w:pStyle w:val="CH2"/>
        <w:keepNext w:val="0"/>
        <w:keepLines w:val="0"/>
        <w:spacing w:before="180"/>
        <w:rPr>
          <w:lang w:val="es-ES_tradnl"/>
        </w:rPr>
      </w:pPr>
      <w:r w:rsidRPr="00DD0373">
        <w:rPr>
          <w:bCs/>
          <w:lang w:val="es-ES_tradnl"/>
        </w:rPr>
        <w:tab/>
      </w:r>
      <w:r w:rsidR="00B522EC" w:rsidRPr="00DD0373">
        <w:rPr>
          <w:bCs/>
          <w:lang w:val="es-ES_tradnl"/>
        </w:rPr>
        <w:t>C.</w:t>
      </w:r>
      <w:r w:rsidR="00B522EC" w:rsidRPr="00DD0373">
        <w:rPr>
          <w:lang w:val="es-ES_tradnl"/>
        </w:rPr>
        <w:tab/>
      </w:r>
      <w:r w:rsidR="00B522EC" w:rsidRPr="00DD0373">
        <w:rPr>
          <w:bCs/>
          <w:lang w:val="es-ES_tradnl"/>
        </w:rPr>
        <w:t>Declaración de una representante del Gobierno de Kenya</w:t>
      </w:r>
    </w:p>
    <w:p w14:paraId="59D1D745" w14:textId="41C3D4E4" w:rsidR="00B522EC" w:rsidRPr="00DD0373" w:rsidRDefault="00B522EC" w:rsidP="001B621B">
      <w:pPr>
        <w:pStyle w:val="Normalnumber"/>
        <w:numPr>
          <w:ilvl w:val="0"/>
          <w:numId w:val="23"/>
        </w:numPr>
        <w:rPr>
          <w:lang w:val="es-ES_tradnl"/>
        </w:rPr>
      </w:pPr>
      <w:r w:rsidRPr="00DD0373">
        <w:rPr>
          <w:lang w:val="es-ES_tradnl"/>
        </w:rPr>
        <w:t xml:space="preserve">Al dar la bienvenida a los participantes a Nairobi, Deborah Barasa, </w:t>
      </w:r>
      <w:proofErr w:type="gramStart"/>
      <w:r w:rsidRPr="00DD0373">
        <w:rPr>
          <w:lang w:val="es-ES_tradnl"/>
        </w:rPr>
        <w:t>Secretaria</w:t>
      </w:r>
      <w:proofErr w:type="gramEnd"/>
      <w:r w:rsidRPr="00DD0373">
        <w:rPr>
          <w:lang w:val="es-ES_tradnl"/>
        </w:rPr>
        <w:t xml:space="preserve"> del Gabinete para</w:t>
      </w:r>
      <w:r w:rsidR="0042739E" w:rsidRPr="00DD0373">
        <w:rPr>
          <w:lang w:val="es-ES_tradnl"/>
        </w:rPr>
        <w:t> </w:t>
      </w:r>
      <w:r w:rsidRPr="00DD0373">
        <w:rPr>
          <w:lang w:val="es-ES_tradnl"/>
        </w:rPr>
        <w:t xml:space="preserve">el Medio Ambiente, el Cambio Climático y la Silvicultura de Kenya, señaló que Kenya se había adherido al Convenio de Viena y ratificado el Protocolo de Montreal en noviembre de 1988, y que había ratificado las cinco enmiendas al Protocolo. La oradora alentó a las </w:t>
      </w:r>
      <w:r w:rsidR="00C17707">
        <w:rPr>
          <w:lang w:val="es-ES_tradnl"/>
        </w:rPr>
        <w:t>Partes</w:t>
      </w:r>
      <w:r w:rsidRPr="00DD0373">
        <w:rPr>
          <w:lang w:val="es-ES_tradnl"/>
        </w:rPr>
        <w:t xml:space="preserve"> que aún no hubiesen ratificado todas las enmiendas a que las ratificasen, en particular la Enmienda de Kigali.</w:t>
      </w:r>
    </w:p>
    <w:p w14:paraId="623C6109" w14:textId="6434BEE2" w:rsidR="00B522EC" w:rsidRPr="00DD0373" w:rsidRDefault="00B522EC" w:rsidP="00B522EC">
      <w:pPr>
        <w:pStyle w:val="Normalnumber"/>
        <w:rPr>
          <w:lang w:val="es-ES_tradnl"/>
        </w:rPr>
      </w:pPr>
      <w:r w:rsidRPr="00DD0373">
        <w:rPr>
          <w:lang w:val="es-ES_tradnl"/>
        </w:rPr>
        <w:t xml:space="preserve">La oradora dijo que le complacía observar que los temas del programa de la 37ª Reunión de las </w:t>
      </w:r>
      <w:r w:rsidR="00C17707">
        <w:rPr>
          <w:lang w:val="es-ES_tradnl"/>
        </w:rPr>
        <w:t>Partes</w:t>
      </w:r>
      <w:r w:rsidRPr="00DD0373">
        <w:rPr>
          <w:lang w:val="es-ES_tradnl"/>
        </w:rPr>
        <w:t xml:space="preserve"> abarcaban una amplia gama de cuestiones de importancia fundamental para velar por que el Protocolo de Montreal siguiese arrojando resultados en el mantenimiento de la recuperación de la capa de ozono y la lucha contra el cambio climático. La oradora estaba segura de que las </w:t>
      </w:r>
      <w:r w:rsidR="00C17707">
        <w:rPr>
          <w:lang w:val="es-ES_tradnl"/>
        </w:rPr>
        <w:t>Partes</w:t>
      </w:r>
      <w:r w:rsidRPr="00DD0373">
        <w:rPr>
          <w:lang w:val="es-ES_tradnl"/>
        </w:rPr>
        <w:t xml:space="preserve"> estarían de acuerdo con ella en la necesidad continua de contar con financiación suficiente para las actividades en los países en desarrollo, entre ellas la elaboración de planes de ejecución de las actividades relativas a los HFC conforme a la Enmienda de Kigali, la financiación de centros de excelencia nacionales y regionales en materia de refrigeración sostenible, el fomento de la capacidad de los técnicos de refrigeración y aire acondicionado y el establecimiento de la infraestructura necesaria para la recuperación, el reciclado y la destrucción.</w:t>
      </w:r>
    </w:p>
    <w:p w14:paraId="4163707C" w14:textId="738032FD" w:rsidR="00B522EC" w:rsidRPr="00DD0373" w:rsidRDefault="00B522EC" w:rsidP="00B522EC">
      <w:pPr>
        <w:pStyle w:val="Normalnumber"/>
        <w:rPr>
          <w:lang w:val="es-ES_tradnl"/>
        </w:rPr>
      </w:pPr>
      <w:r w:rsidRPr="00DD0373">
        <w:rPr>
          <w:lang w:val="es-ES_tradnl"/>
        </w:rPr>
        <w:t xml:space="preserve">La oradora declaró que Kenya estaba preparando su propio plan de ejecución de las actividades relativas a los HFC conforme a la Enmienda de Kigali para presentarlo al Fondo Multilateral, lo que permitiría desarrollar una estrategia global a fin de que Kenya pudiese cumplir sus objetivos de reducción de los HFC. El Ministerio al que pertenecía la oradora, por medio de la Dependencia Nacional del Ozono, estaba explorando medios de recogida y transporte de gases refrigerantes recuperados para su eliminación segura en países con instalaciones de destrucción. En colaboración con el Gobierno de Alemania, la Dependencia </w:t>
      </w:r>
      <w:r w:rsidR="00E469F0" w:rsidRPr="00DD0373">
        <w:rPr>
          <w:lang w:val="es-ES_tradnl"/>
        </w:rPr>
        <w:t xml:space="preserve">estaba manteniendo </w:t>
      </w:r>
      <w:r w:rsidRPr="00DD0373">
        <w:rPr>
          <w:lang w:val="es-ES_tradnl"/>
        </w:rPr>
        <w:t>conversaciones preliminares con</w:t>
      </w:r>
      <w:r w:rsidR="00E469F0" w:rsidRPr="00DD0373">
        <w:rPr>
          <w:lang w:val="es-ES_tradnl"/>
        </w:rPr>
        <w:t> </w:t>
      </w:r>
      <w:r w:rsidRPr="00DD0373">
        <w:rPr>
          <w:lang w:val="es-ES_tradnl"/>
        </w:rPr>
        <w:t>siete empresas privadas sobre el uso o la eliminación segura de los gases recuperados. El sistema de concesión de licencias de Kenya incluía los HFC y las mezclas de HFC y, en colaboración con las agencias de aduanas, recaudación de impuestos y gestión ambiental, facilitaba la supervisión de las importaciones.</w:t>
      </w:r>
    </w:p>
    <w:p w14:paraId="1EDF1333" w14:textId="1D4191A9" w:rsidR="00B522EC" w:rsidRPr="00DD0373" w:rsidRDefault="00B522EC" w:rsidP="00B522EC">
      <w:pPr>
        <w:pStyle w:val="Normalnumber"/>
        <w:rPr>
          <w:lang w:val="es-ES_tradnl"/>
        </w:rPr>
      </w:pPr>
      <w:r w:rsidRPr="00DD0373">
        <w:rPr>
          <w:lang w:val="es-ES_tradnl"/>
        </w:rPr>
        <w:t xml:space="preserve">Dado que las tecnologías de refrigeración eran uno de los principales factores que contribuían al calentamiento global, era necesario centrarse en reducir las emisiones de ese sector, mejorar la eficiencia energética y aplicar medidas de refrigeración inocuas para el clima, como el uso de refrigerantes naturales. No obstante, la mayor parte de los equipos de refrigeración y aire acondicionado de Kenya seguían basándose en tecnologías obsoletas; no se disponía fácilmente de alternativas inocuas para el ozono y el clima, y faltaban técnicos cualificados. Por consiguiente, el Plan de Acción Nacional de Refrigeración de Kenya tenía como objetivo mejorar el acceso a la refrigeración sostenible para todos los kenianos. Con la ayuda de donantes internacionales, la aplicación del Plan había incluido hasta la fecha la capacitación de más de 200 funcionarios de aduanas y más de 1.000 técnicos en refrigeración y aire acondicionado sobre medidas de control y el uso de hidrocarburos y otros refrigerantes naturales. La oradora concluyó su intervención instando a las </w:t>
      </w:r>
      <w:r w:rsidR="00C17707">
        <w:rPr>
          <w:lang w:val="es-ES_tradnl"/>
        </w:rPr>
        <w:t>Partes</w:t>
      </w:r>
      <w:r w:rsidRPr="00DD0373">
        <w:rPr>
          <w:lang w:val="es-ES_tradnl"/>
        </w:rPr>
        <w:t xml:space="preserve"> a que, a fin de mantener los buenos resultados del Protocolo de Montreal, siguiesen prestando asistencia financiera a las </w:t>
      </w:r>
      <w:r w:rsidR="00C17707">
        <w:rPr>
          <w:lang w:val="es-ES_tradnl"/>
        </w:rPr>
        <w:t>Partes</w:t>
      </w:r>
      <w:r w:rsidRPr="00DD0373">
        <w:rPr>
          <w:lang w:val="es-ES_tradnl"/>
        </w:rPr>
        <w:t xml:space="preserve"> que operan al amparo del artículo 5 para que pudiesen cumplir sus obligaciones.</w:t>
      </w:r>
    </w:p>
    <w:p w14:paraId="6EF0504F" w14:textId="48FE2B93" w:rsidR="00B522EC" w:rsidRPr="00DD0373" w:rsidRDefault="009A6FE9" w:rsidP="00B522EC">
      <w:pPr>
        <w:pStyle w:val="CH1"/>
        <w:rPr>
          <w:lang w:val="es-ES_tradnl"/>
        </w:rPr>
      </w:pPr>
      <w:r w:rsidRPr="00DD0373">
        <w:rPr>
          <w:bCs/>
          <w:lang w:val="es-ES_tradnl"/>
        </w:rPr>
        <w:lastRenderedPageBreak/>
        <w:tab/>
      </w:r>
      <w:r w:rsidR="00B522EC" w:rsidRPr="00DD0373">
        <w:rPr>
          <w:bCs/>
          <w:lang w:val="es-ES_tradnl"/>
        </w:rPr>
        <w:t>II.</w:t>
      </w:r>
      <w:r w:rsidR="00B522EC" w:rsidRPr="00DD0373">
        <w:rPr>
          <w:lang w:val="es-ES_tradnl"/>
        </w:rPr>
        <w:tab/>
      </w:r>
      <w:r w:rsidR="00B522EC" w:rsidRPr="00DD0373">
        <w:rPr>
          <w:bCs/>
          <w:lang w:val="es-ES_tradnl"/>
        </w:rPr>
        <w:t>Cuestiones de organización</w:t>
      </w:r>
    </w:p>
    <w:p w14:paraId="1445DD2A" w14:textId="2E83CB80" w:rsidR="00B522EC" w:rsidRPr="00DD0373" w:rsidRDefault="009A6FE9" w:rsidP="00E56069">
      <w:pPr>
        <w:pStyle w:val="CH2"/>
        <w:spacing w:before="180"/>
        <w:rPr>
          <w:lang w:val="es-ES_tradnl"/>
        </w:rPr>
      </w:pPr>
      <w:r w:rsidRPr="00DD0373">
        <w:rPr>
          <w:bCs/>
          <w:lang w:val="es-ES_tradnl"/>
        </w:rPr>
        <w:tab/>
      </w:r>
      <w:r w:rsidR="00B522EC" w:rsidRPr="00DD0373">
        <w:rPr>
          <w:bCs/>
          <w:lang w:val="es-ES_tradnl"/>
        </w:rPr>
        <w:t>A.</w:t>
      </w:r>
      <w:r w:rsidR="00B522EC" w:rsidRPr="00DD0373">
        <w:rPr>
          <w:lang w:val="es-ES_tradnl"/>
        </w:rPr>
        <w:tab/>
      </w:r>
      <w:r w:rsidR="00B522EC" w:rsidRPr="00DD0373">
        <w:rPr>
          <w:bCs/>
          <w:lang w:val="es-ES_tradnl"/>
        </w:rPr>
        <w:t xml:space="preserve">Elección de la Mesa de la 37ª Reunión de las </w:t>
      </w:r>
      <w:r w:rsidR="00C17707">
        <w:rPr>
          <w:bCs/>
          <w:lang w:val="es-ES_tradnl"/>
        </w:rPr>
        <w:t>Partes</w:t>
      </w:r>
      <w:r w:rsidR="00B522EC" w:rsidRPr="00DD0373">
        <w:rPr>
          <w:bCs/>
          <w:lang w:val="es-ES_tradnl"/>
        </w:rPr>
        <w:t xml:space="preserve"> en el Protocolo de Montreal</w:t>
      </w:r>
    </w:p>
    <w:p w14:paraId="57424E7A" w14:textId="13646E3D" w:rsidR="00B522EC" w:rsidRPr="00DD0373" w:rsidRDefault="00B522EC" w:rsidP="00E56069">
      <w:pPr>
        <w:pStyle w:val="Normalnumber"/>
        <w:keepNext/>
        <w:keepLines/>
        <w:numPr>
          <w:ilvl w:val="0"/>
          <w:numId w:val="25"/>
        </w:numPr>
        <w:spacing w:after="100"/>
        <w:rPr>
          <w:lang w:val="es-ES_tradnl"/>
        </w:rPr>
      </w:pPr>
      <w:r w:rsidRPr="00DD0373">
        <w:rPr>
          <w:lang w:val="es-ES_tradnl"/>
        </w:rPr>
        <w:t xml:space="preserve">De conformidad con el párrafo 1 del artículo 21 del Reglamento de la Reunión de las </w:t>
      </w:r>
      <w:r w:rsidR="00C17707">
        <w:rPr>
          <w:lang w:val="es-ES_tradnl"/>
        </w:rPr>
        <w:t>Partes</w:t>
      </w:r>
      <w:r w:rsidRPr="00DD0373">
        <w:rPr>
          <w:lang w:val="es-ES_tradnl"/>
        </w:rPr>
        <w:t xml:space="preserve"> en el Protocolo de Montreal, se eligió por aclamación a los siguientes miembros de la Mesa de la</w:t>
      </w:r>
      <w:r w:rsidR="00F440F8" w:rsidRPr="00DD0373">
        <w:rPr>
          <w:lang w:val="es-ES_tradnl"/>
        </w:rPr>
        <w:t> </w:t>
      </w:r>
      <w:r w:rsidRPr="00DD0373">
        <w:rPr>
          <w:lang w:val="es-ES_tradnl"/>
        </w:rPr>
        <w:t>37ª</w:t>
      </w:r>
      <w:r w:rsidR="00F440F8" w:rsidRPr="00DD0373">
        <w:rPr>
          <w:lang w:val="es-ES_tradnl"/>
        </w:rPr>
        <w:t> </w:t>
      </w:r>
      <w:r w:rsidRPr="00DD0373">
        <w:rPr>
          <w:lang w:val="es-ES_tradnl"/>
        </w:rPr>
        <w:t xml:space="preserve">Reunión de las </w:t>
      </w:r>
      <w:r w:rsidR="00C17707">
        <w:rPr>
          <w:lang w:val="es-ES_tradnl"/>
        </w:rPr>
        <w:t>Partes</w:t>
      </w:r>
      <w:r w:rsidRPr="00DD0373">
        <w:rPr>
          <w:lang w:val="es-ES_tradnl"/>
        </w:rPr>
        <w:t>:</w:t>
      </w:r>
    </w:p>
    <w:p w14:paraId="25C97D55" w14:textId="77777777" w:rsidR="00B522EC" w:rsidRPr="00DD0373" w:rsidRDefault="00B522EC" w:rsidP="00E56069">
      <w:pPr>
        <w:pStyle w:val="Normalnumber"/>
        <w:numPr>
          <w:ilvl w:val="0"/>
          <w:numId w:val="0"/>
        </w:numPr>
        <w:tabs>
          <w:tab w:val="clear" w:pos="1247"/>
          <w:tab w:val="clear" w:pos="1814"/>
          <w:tab w:val="clear" w:pos="2381"/>
          <w:tab w:val="clear" w:pos="2948"/>
          <w:tab w:val="clear" w:pos="3515"/>
          <w:tab w:val="left" w:pos="3544"/>
        </w:tabs>
        <w:spacing w:after="100"/>
        <w:ind w:left="1871"/>
        <w:rPr>
          <w:lang w:val="es-ES_tradnl"/>
        </w:rPr>
      </w:pPr>
      <w:r w:rsidRPr="00DD0373">
        <w:rPr>
          <w:lang w:val="es-ES_tradnl"/>
        </w:rPr>
        <w:t>Presidencia:</w:t>
      </w:r>
      <w:r w:rsidRPr="00DD0373">
        <w:rPr>
          <w:lang w:val="es-ES_tradnl"/>
        </w:rPr>
        <w:tab/>
        <w:t>Paul Krajnik (Austria) (Estados de Europa Occidental y otros Estados)</w:t>
      </w:r>
    </w:p>
    <w:p w14:paraId="3DD9E5A5" w14:textId="77777777" w:rsidR="00B522EC" w:rsidRPr="00DD0373" w:rsidRDefault="00B522EC" w:rsidP="00E56069">
      <w:pPr>
        <w:pStyle w:val="Normalnumber"/>
        <w:numPr>
          <w:ilvl w:val="0"/>
          <w:numId w:val="0"/>
        </w:numPr>
        <w:tabs>
          <w:tab w:val="clear" w:pos="1247"/>
          <w:tab w:val="clear" w:pos="1814"/>
          <w:tab w:val="clear" w:pos="2381"/>
          <w:tab w:val="clear" w:pos="2948"/>
          <w:tab w:val="clear" w:pos="3515"/>
          <w:tab w:val="left" w:pos="3544"/>
        </w:tabs>
        <w:spacing w:after="100"/>
        <w:ind w:left="1871"/>
        <w:rPr>
          <w:lang w:val="es-ES_tradnl"/>
        </w:rPr>
      </w:pPr>
      <w:r w:rsidRPr="00DD0373">
        <w:rPr>
          <w:lang w:val="es-ES_tradnl"/>
        </w:rPr>
        <w:t>Vicepresidencias:</w:t>
      </w:r>
      <w:r w:rsidRPr="00DD0373">
        <w:rPr>
          <w:lang w:val="es-ES_tradnl"/>
        </w:rPr>
        <w:tab/>
        <w:t>Chen Haijun (China) (Estados de Asia y el Pacífico)</w:t>
      </w:r>
    </w:p>
    <w:p w14:paraId="6B4BB485" w14:textId="3007536A" w:rsidR="00B522EC" w:rsidRPr="00DD0373" w:rsidRDefault="008E6FF4" w:rsidP="00E56069">
      <w:pPr>
        <w:pStyle w:val="Normalnumber"/>
        <w:numPr>
          <w:ilvl w:val="0"/>
          <w:numId w:val="0"/>
        </w:numPr>
        <w:tabs>
          <w:tab w:val="clear" w:pos="1247"/>
          <w:tab w:val="clear" w:pos="1814"/>
          <w:tab w:val="clear" w:pos="2381"/>
          <w:tab w:val="clear" w:pos="2948"/>
          <w:tab w:val="clear" w:pos="3515"/>
          <w:tab w:val="left" w:pos="3544"/>
        </w:tabs>
        <w:spacing w:after="100"/>
        <w:ind w:left="1871"/>
        <w:rPr>
          <w:lang w:val="es-ES_tradnl"/>
        </w:rPr>
      </w:pPr>
      <w:r w:rsidRPr="00DD0373">
        <w:rPr>
          <w:lang w:val="es-ES_tradnl"/>
        </w:rPr>
        <w:tab/>
        <w:t xml:space="preserve">Obed </w:t>
      </w:r>
      <w:proofErr w:type="spellStart"/>
      <w:r w:rsidRPr="00DD0373">
        <w:rPr>
          <w:lang w:val="es-ES_tradnl"/>
        </w:rPr>
        <w:t>Meringo</w:t>
      </w:r>
      <w:proofErr w:type="spellEnd"/>
      <w:r w:rsidRPr="00DD0373">
        <w:rPr>
          <w:lang w:val="es-ES_tradnl"/>
        </w:rPr>
        <w:t xml:space="preserve"> Baloyi (Sudáfrica) (Estados de África)</w:t>
      </w:r>
    </w:p>
    <w:p w14:paraId="4421F3B5" w14:textId="77777777" w:rsidR="00B522EC" w:rsidRPr="00DD0373" w:rsidRDefault="00B522EC" w:rsidP="00E56069">
      <w:pPr>
        <w:pStyle w:val="Normalnumber"/>
        <w:numPr>
          <w:ilvl w:val="0"/>
          <w:numId w:val="0"/>
        </w:numPr>
        <w:tabs>
          <w:tab w:val="clear" w:pos="1247"/>
          <w:tab w:val="clear" w:pos="1814"/>
          <w:tab w:val="clear" w:pos="2381"/>
          <w:tab w:val="clear" w:pos="2948"/>
          <w:tab w:val="clear" w:pos="3515"/>
          <w:tab w:val="left" w:pos="3544"/>
        </w:tabs>
        <w:spacing w:after="100"/>
        <w:ind w:left="1871"/>
        <w:rPr>
          <w:lang w:val="es-ES_tradnl"/>
        </w:rPr>
      </w:pPr>
      <w:r w:rsidRPr="00DD0373">
        <w:rPr>
          <w:lang w:val="es-ES_tradnl"/>
        </w:rPr>
        <w:t>Relatoría:</w:t>
      </w:r>
      <w:r w:rsidRPr="00DD0373">
        <w:rPr>
          <w:lang w:val="es-ES_tradnl"/>
        </w:rPr>
        <w:tab/>
        <w:t>Cristina Vaca (Panamá) (Estados de América Latina y el Caribe)</w:t>
      </w:r>
    </w:p>
    <w:p w14:paraId="658F3760" w14:textId="77777777" w:rsidR="00B522EC" w:rsidRPr="00DD0373" w:rsidRDefault="00B522EC" w:rsidP="00B522EC">
      <w:pPr>
        <w:pStyle w:val="Normalnumber"/>
        <w:rPr>
          <w:lang w:val="es-ES_tradnl"/>
        </w:rPr>
      </w:pPr>
      <w:r w:rsidRPr="00DD0373">
        <w:rPr>
          <w:lang w:val="es-ES_tradnl"/>
        </w:rPr>
        <w:t>No se había recibido ninguna candidatura a la vicepresidencia de los Estados de Europa Oriental.</w:t>
      </w:r>
    </w:p>
    <w:p w14:paraId="424C48CC" w14:textId="144283D2" w:rsidR="00B522EC" w:rsidRPr="00DD0373" w:rsidRDefault="00B522EC" w:rsidP="00B522EC">
      <w:pPr>
        <w:pStyle w:val="Normalnumber"/>
        <w:rPr>
          <w:lang w:val="es-ES_tradnl"/>
        </w:rPr>
      </w:pPr>
      <w:r w:rsidRPr="00DD0373">
        <w:rPr>
          <w:lang w:val="es-ES_tradnl"/>
        </w:rPr>
        <w:t xml:space="preserve">Al asumir la Presidencia, el Sr. Krajnik dio las gracias a su predecesora en el cargo, </w:t>
      </w:r>
      <w:proofErr w:type="spellStart"/>
      <w:r w:rsidRPr="00DD0373">
        <w:rPr>
          <w:lang w:val="es-ES_tradnl"/>
        </w:rPr>
        <w:t>Kerryne</w:t>
      </w:r>
      <w:proofErr w:type="spellEnd"/>
      <w:r w:rsidRPr="00DD0373">
        <w:rPr>
          <w:lang w:val="es-ES_tradnl"/>
        </w:rPr>
        <w:t xml:space="preserve"> James, y al Sr. Sylla, y afirmó que era un honor inesperado haber sido elegido </w:t>
      </w:r>
      <w:proofErr w:type="gramStart"/>
      <w:r w:rsidRPr="00DD0373">
        <w:rPr>
          <w:lang w:val="es-ES_tradnl"/>
        </w:rPr>
        <w:t>Presidente</w:t>
      </w:r>
      <w:proofErr w:type="gramEnd"/>
      <w:r w:rsidRPr="00DD0373">
        <w:rPr>
          <w:lang w:val="es-ES_tradnl"/>
        </w:rPr>
        <w:t xml:space="preserve"> de la Mesa por segunda vez.</w:t>
      </w:r>
    </w:p>
    <w:p w14:paraId="03919BAC" w14:textId="2F28D42E" w:rsidR="00B522EC" w:rsidRPr="00DD0373" w:rsidRDefault="009A6FE9" w:rsidP="00B522EC">
      <w:pPr>
        <w:pStyle w:val="CH2"/>
        <w:keepNext w:val="0"/>
        <w:keepLines w:val="0"/>
        <w:rPr>
          <w:lang w:val="es-ES_tradnl"/>
        </w:rPr>
      </w:pPr>
      <w:r w:rsidRPr="00DD0373">
        <w:rPr>
          <w:bCs/>
          <w:lang w:val="es-ES_tradnl"/>
        </w:rPr>
        <w:tab/>
      </w:r>
      <w:r w:rsidR="00B522EC" w:rsidRPr="00DD0373">
        <w:rPr>
          <w:bCs/>
          <w:lang w:val="es-ES_tradnl"/>
        </w:rPr>
        <w:t>B.</w:t>
      </w:r>
      <w:r w:rsidR="00B522EC" w:rsidRPr="00DD0373">
        <w:rPr>
          <w:lang w:val="es-ES_tradnl"/>
        </w:rPr>
        <w:tab/>
      </w:r>
      <w:r w:rsidR="00B522EC" w:rsidRPr="00DD0373">
        <w:rPr>
          <w:bCs/>
          <w:lang w:val="es-ES_tradnl"/>
        </w:rPr>
        <w:t>Aprobación del programa de la serie de sesiones de alto nivel</w:t>
      </w:r>
    </w:p>
    <w:p w14:paraId="040DB5A2" w14:textId="77777777" w:rsidR="00B522EC" w:rsidRPr="00DD0373" w:rsidRDefault="00B522EC" w:rsidP="00B522EC">
      <w:pPr>
        <w:pStyle w:val="Normalnumber"/>
        <w:rPr>
          <w:lang w:val="es-ES_tradnl"/>
        </w:rPr>
      </w:pPr>
      <w:r w:rsidRPr="00DD0373">
        <w:rPr>
          <w:lang w:val="es-ES_tradnl"/>
        </w:rPr>
        <w:t>El programa de la serie de sesiones de alto nivel que figura a continuación se aprobó a partir del programa provisional reproducido en la sección II del documento UNEP/OzL.Pro.37/1:</w:t>
      </w:r>
    </w:p>
    <w:p w14:paraId="1CFDB868" w14:textId="77777777" w:rsidR="00B522EC" w:rsidRPr="00DD0373" w:rsidRDefault="00B522EC" w:rsidP="001B621B">
      <w:pPr>
        <w:pStyle w:val="NormalNonumber"/>
        <w:numPr>
          <w:ilvl w:val="0"/>
          <w:numId w:val="26"/>
        </w:numPr>
        <w:tabs>
          <w:tab w:val="clear" w:pos="1247"/>
          <w:tab w:val="clear" w:pos="1871"/>
          <w:tab w:val="clear" w:pos="2495"/>
          <w:tab w:val="clear" w:pos="3119"/>
          <w:tab w:val="clear" w:pos="3742"/>
          <w:tab w:val="clear" w:pos="4366"/>
          <w:tab w:val="clear" w:pos="4990"/>
        </w:tabs>
        <w:ind w:left="2495" w:hanging="624"/>
        <w:rPr>
          <w:lang w:val="es-ES_tradnl"/>
        </w:rPr>
      </w:pPr>
      <w:r w:rsidRPr="00DD0373">
        <w:rPr>
          <w:lang w:val="es-ES_tradnl"/>
        </w:rPr>
        <w:t>Apertura de la serie de sesiones de alto nivel:</w:t>
      </w:r>
    </w:p>
    <w:p w14:paraId="4C983C3B" w14:textId="2361BD1E" w:rsidR="00B522EC" w:rsidRPr="00DD0373" w:rsidRDefault="00B522EC" w:rsidP="001B621B">
      <w:pPr>
        <w:pStyle w:val="NormalNonumber"/>
        <w:numPr>
          <w:ilvl w:val="0"/>
          <w:numId w:val="27"/>
        </w:numPr>
        <w:tabs>
          <w:tab w:val="clear" w:pos="624"/>
          <w:tab w:val="clear" w:pos="1247"/>
          <w:tab w:val="clear" w:pos="1871"/>
          <w:tab w:val="clear" w:pos="2495"/>
          <w:tab w:val="clear" w:pos="3119"/>
          <w:tab w:val="clear" w:pos="3742"/>
          <w:tab w:val="clear" w:pos="4366"/>
          <w:tab w:val="clear" w:pos="4990"/>
        </w:tabs>
        <w:ind w:left="3119" w:hanging="624"/>
        <w:rPr>
          <w:lang w:val="es-ES_tradnl"/>
        </w:rPr>
      </w:pPr>
      <w:r w:rsidRPr="00DD0373">
        <w:rPr>
          <w:lang w:val="es-ES_tradnl"/>
        </w:rPr>
        <w:t xml:space="preserve">Declaración de la </w:t>
      </w:r>
      <w:proofErr w:type="gramStart"/>
      <w:r w:rsidRPr="00DD0373">
        <w:rPr>
          <w:lang w:val="es-ES_tradnl"/>
        </w:rPr>
        <w:t>Presidenta</w:t>
      </w:r>
      <w:proofErr w:type="gramEnd"/>
      <w:r w:rsidRPr="00DD0373">
        <w:rPr>
          <w:lang w:val="es-ES_tradnl"/>
        </w:rPr>
        <w:t xml:space="preserve"> de la 36ª Reunión de las </w:t>
      </w:r>
      <w:r w:rsidR="00C17707">
        <w:rPr>
          <w:lang w:val="es-ES_tradnl"/>
        </w:rPr>
        <w:t>Partes</w:t>
      </w:r>
      <w:r w:rsidRPr="00DD0373">
        <w:rPr>
          <w:lang w:val="es-ES_tradnl"/>
        </w:rPr>
        <w:t xml:space="preserve"> en el Protocolo de Montreal;</w:t>
      </w:r>
    </w:p>
    <w:p w14:paraId="074B8418" w14:textId="77777777" w:rsidR="00B522EC" w:rsidRPr="00DD0373" w:rsidRDefault="00B522EC" w:rsidP="001B621B">
      <w:pPr>
        <w:pStyle w:val="NormalNonumber"/>
        <w:numPr>
          <w:ilvl w:val="0"/>
          <w:numId w:val="27"/>
        </w:numPr>
        <w:tabs>
          <w:tab w:val="clear" w:pos="624"/>
          <w:tab w:val="clear" w:pos="1247"/>
          <w:tab w:val="clear" w:pos="1871"/>
          <w:tab w:val="clear" w:pos="2495"/>
          <w:tab w:val="clear" w:pos="3119"/>
          <w:tab w:val="clear" w:pos="3742"/>
          <w:tab w:val="clear" w:pos="4366"/>
          <w:tab w:val="clear" w:pos="4990"/>
        </w:tabs>
        <w:ind w:left="3119" w:hanging="624"/>
        <w:rPr>
          <w:lang w:val="es-ES_tradnl"/>
        </w:rPr>
      </w:pPr>
      <w:r w:rsidRPr="00DD0373">
        <w:rPr>
          <w:lang w:val="es-ES_tradnl"/>
        </w:rPr>
        <w:t>Declaración de una representante del Programa de las Naciones Unidas para el Medio Ambiente;</w:t>
      </w:r>
    </w:p>
    <w:p w14:paraId="77174C54" w14:textId="77777777" w:rsidR="00B522EC" w:rsidRPr="00DD0373" w:rsidRDefault="00B522EC" w:rsidP="001B621B">
      <w:pPr>
        <w:pStyle w:val="NormalNonumber"/>
        <w:numPr>
          <w:ilvl w:val="0"/>
          <w:numId w:val="27"/>
        </w:numPr>
        <w:tabs>
          <w:tab w:val="clear" w:pos="624"/>
          <w:tab w:val="clear" w:pos="1247"/>
          <w:tab w:val="clear" w:pos="1871"/>
          <w:tab w:val="clear" w:pos="2495"/>
          <w:tab w:val="clear" w:pos="3119"/>
          <w:tab w:val="clear" w:pos="3742"/>
          <w:tab w:val="clear" w:pos="4366"/>
          <w:tab w:val="clear" w:pos="4990"/>
        </w:tabs>
        <w:ind w:left="3119" w:hanging="624"/>
        <w:rPr>
          <w:lang w:val="es-ES_tradnl"/>
        </w:rPr>
      </w:pPr>
      <w:r w:rsidRPr="00DD0373">
        <w:rPr>
          <w:lang w:val="es-ES_tradnl"/>
        </w:rPr>
        <w:t>Declaración de una representante del Gobierno de Kenya.</w:t>
      </w:r>
    </w:p>
    <w:p w14:paraId="53D83AE2" w14:textId="77777777" w:rsidR="00B522EC" w:rsidRPr="00DD0373" w:rsidRDefault="00B522EC" w:rsidP="001B621B">
      <w:pPr>
        <w:pStyle w:val="NormalNonumber"/>
        <w:numPr>
          <w:ilvl w:val="0"/>
          <w:numId w:val="26"/>
        </w:numPr>
        <w:tabs>
          <w:tab w:val="clear" w:pos="1247"/>
          <w:tab w:val="clear" w:pos="1871"/>
          <w:tab w:val="clear" w:pos="2495"/>
          <w:tab w:val="clear" w:pos="3119"/>
          <w:tab w:val="clear" w:pos="3742"/>
          <w:tab w:val="clear" w:pos="4366"/>
          <w:tab w:val="clear" w:pos="4990"/>
        </w:tabs>
        <w:ind w:left="2495" w:hanging="624"/>
        <w:rPr>
          <w:lang w:val="es-ES_tradnl"/>
        </w:rPr>
      </w:pPr>
      <w:r w:rsidRPr="00DD0373">
        <w:rPr>
          <w:lang w:val="es-ES_tradnl"/>
        </w:rPr>
        <w:t>Cuestiones de organización:</w:t>
      </w:r>
    </w:p>
    <w:p w14:paraId="2957E06C" w14:textId="755F71C1" w:rsidR="00B522EC" w:rsidRPr="00DD0373" w:rsidRDefault="00B522EC" w:rsidP="001B621B">
      <w:pPr>
        <w:pStyle w:val="NormalNonumber"/>
        <w:numPr>
          <w:ilvl w:val="0"/>
          <w:numId w:val="28"/>
        </w:numPr>
        <w:tabs>
          <w:tab w:val="clear" w:pos="624"/>
          <w:tab w:val="clear" w:pos="1247"/>
          <w:tab w:val="clear" w:pos="1871"/>
          <w:tab w:val="clear" w:pos="2495"/>
          <w:tab w:val="clear" w:pos="3119"/>
          <w:tab w:val="clear" w:pos="3742"/>
          <w:tab w:val="clear" w:pos="4366"/>
          <w:tab w:val="clear" w:pos="4990"/>
        </w:tabs>
        <w:ind w:left="3119" w:hanging="624"/>
        <w:rPr>
          <w:lang w:val="es-ES_tradnl"/>
        </w:rPr>
      </w:pPr>
      <w:r w:rsidRPr="00DD0373">
        <w:rPr>
          <w:lang w:val="es-ES_tradnl"/>
        </w:rPr>
        <w:t xml:space="preserve">Elección de la Mesa de la 37ª Reunión de las </w:t>
      </w:r>
      <w:r w:rsidR="00C17707">
        <w:rPr>
          <w:lang w:val="es-ES_tradnl"/>
        </w:rPr>
        <w:t>Partes</w:t>
      </w:r>
      <w:r w:rsidRPr="00DD0373">
        <w:rPr>
          <w:lang w:val="es-ES_tradnl"/>
        </w:rPr>
        <w:t xml:space="preserve"> en el Protocolo de Montreal;</w:t>
      </w:r>
    </w:p>
    <w:p w14:paraId="2B494D6D" w14:textId="77777777" w:rsidR="00B522EC" w:rsidRPr="00DD0373" w:rsidRDefault="00B522EC" w:rsidP="001B621B">
      <w:pPr>
        <w:pStyle w:val="NormalNonumber"/>
        <w:numPr>
          <w:ilvl w:val="0"/>
          <w:numId w:val="28"/>
        </w:numPr>
        <w:tabs>
          <w:tab w:val="clear" w:pos="624"/>
          <w:tab w:val="clear" w:pos="1247"/>
          <w:tab w:val="clear" w:pos="1871"/>
          <w:tab w:val="clear" w:pos="2495"/>
          <w:tab w:val="clear" w:pos="3119"/>
          <w:tab w:val="clear" w:pos="3742"/>
          <w:tab w:val="clear" w:pos="4366"/>
          <w:tab w:val="clear" w:pos="4990"/>
        </w:tabs>
        <w:ind w:left="3119" w:hanging="624"/>
        <w:rPr>
          <w:lang w:val="es-ES_tradnl"/>
        </w:rPr>
      </w:pPr>
      <w:r w:rsidRPr="00DD0373">
        <w:rPr>
          <w:lang w:val="es-ES_tradnl"/>
        </w:rPr>
        <w:t>Aprobación del programa de la serie de sesiones de alto nivel;</w:t>
      </w:r>
    </w:p>
    <w:p w14:paraId="362C1F4C" w14:textId="77777777" w:rsidR="00B522EC" w:rsidRPr="00DD0373" w:rsidRDefault="00B522EC" w:rsidP="001B621B">
      <w:pPr>
        <w:pStyle w:val="NormalNonumber"/>
        <w:numPr>
          <w:ilvl w:val="0"/>
          <w:numId w:val="28"/>
        </w:numPr>
        <w:tabs>
          <w:tab w:val="clear" w:pos="624"/>
          <w:tab w:val="clear" w:pos="1247"/>
          <w:tab w:val="clear" w:pos="1871"/>
          <w:tab w:val="clear" w:pos="2495"/>
          <w:tab w:val="clear" w:pos="3119"/>
          <w:tab w:val="clear" w:pos="3742"/>
          <w:tab w:val="clear" w:pos="4366"/>
          <w:tab w:val="clear" w:pos="4990"/>
        </w:tabs>
        <w:ind w:left="3119" w:hanging="624"/>
        <w:rPr>
          <w:lang w:val="es-ES_tradnl"/>
        </w:rPr>
      </w:pPr>
      <w:r w:rsidRPr="00DD0373">
        <w:rPr>
          <w:lang w:val="es-ES_tradnl"/>
        </w:rPr>
        <w:t>Organización de los trabajos;</w:t>
      </w:r>
    </w:p>
    <w:p w14:paraId="55B97223" w14:textId="77777777" w:rsidR="00B522EC" w:rsidRPr="00DD0373" w:rsidRDefault="00B522EC" w:rsidP="001B621B">
      <w:pPr>
        <w:pStyle w:val="NormalNonumber"/>
        <w:numPr>
          <w:ilvl w:val="0"/>
          <w:numId w:val="28"/>
        </w:numPr>
        <w:tabs>
          <w:tab w:val="clear" w:pos="624"/>
          <w:tab w:val="clear" w:pos="1247"/>
          <w:tab w:val="clear" w:pos="1871"/>
          <w:tab w:val="clear" w:pos="2495"/>
          <w:tab w:val="clear" w:pos="3119"/>
          <w:tab w:val="clear" w:pos="3742"/>
          <w:tab w:val="clear" w:pos="4366"/>
          <w:tab w:val="clear" w:pos="4990"/>
        </w:tabs>
        <w:ind w:left="3119" w:hanging="624"/>
        <w:rPr>
          <w:lang w:val="es-ES_tradnl"/>
        </w:rPr>
      </w:pPr>
      <w:r w:rsidRPr="00DD0373">
        <w:rPr>
          <w:lang w:val="es-ES_tradnl"/>
        </w:rPr>
        <w:t>Credenciales de los representantes.</w:t>
      </w:r>
    </w:p>
    <w:p w14:paraId="465C8626" w14:textId="77777777" w:rsidR="00B522EC" w:rsidRPr="00DD0373" w:rsidRDefault="00B522EC" w:rsidP="001B621B">
      <w:pPr>
        <w:pStyle w:val="NormalNonumber"/>
        <w:numPr>
          <w:ilvl w:val="0"/>
          <w:numId w:val="26"/>
        </w:numPr>
        <w:tabs>
          <w:tab w:val="clear" w:pos="1247"/>
          <w:tab w:val="clear" w:pos="1871"/>
          <w:tab w:val="clear" w:pos="2495"/>
          <w:tab w:val="clear" w:pos="3119"/>
          <w:tab w:val="clear" w:pos="3742"/>
          <w:tab w:val="clear" w:pos="4366"/>
          <w:tab w:val="clear" w:pos="4990"/>
        </w:tabs>
        <w:ind w:left="2495" w:hanging="624"/>
        <w:rPr>
          <w:lang w:val="es-ES_tradnl"/>
        </w:rPr>
      </w:pPr>
      <w:r w:rsidRPr="00DD0373">
        <w:rPr>
          <w:lang w:val="es-ES_tradnl"/>
        </w:rPr>
        <w:t xml:space="preserve">Presentaciones de los grupos de evaluación de sus informes sobre los progresos realizados y cualesquiera nuevas cuestiones. </w:t>
      </w:r>
    </w:p>
    <w:p w14:paraId="66934D0C" w14:textId="77777777" w:rsidR="00B522EC" w:rsidRPr="00DD0373" w:rsidRDefault="00B522EC" w:rsidP="001B621B">
      <w:pPr>
        <w:pStyle w:val="NormalNonumber"/>
        <w:numPr>
          <w:ilvl w:val="0"/>
          <w:numId w:val="26"/>
        </w:numPr>
        <w:tabs>
          <w:tab w:val="clear" w:pos="1247"/>
          <w:tab w:val="clear" w:pos="1871"/>
          <w:tab w:val="clear" w:pos="2495"/>
          <w:tab w:val="clear" w:pos="3119"/>
          <w:tab w:val="clear" w:pos="3742"/>
          <w:tab w:val="clear" w:pos="4366"/>
          <w:tab w:val="clear" w:pos="4990"/>
        </w:tabs>
        <w:ind w:left="2495" w:hanging="624"/>
        <w:rPr>
          <w:lang w:val="es-ES_tradnl"/>
        </w:rPr>
      </w:pPr>
      <w:r w:rsidRPr="00DD0373">
        <w:rPr>
          <w:lang w:val="es-ES_tradnl"/>
        </w:rPr>
        <w:t xml:space="preserve">Presentación del </w:t>
      </w:r>
      <w:proofErr w:type="gramStart"/>
      <w:r w:rsidRPr="00DD0373">
        <w:rPr>
          <w:lang w:val="es-ES_tradnl"/>
        </w:rPr>
        <w:t>Presidente</w:t>
      </w:r>
      <w:proofErr w:type="gramEnd"/>
      <w:r w:rsidRPr="00DD0373">
        <w:rPr>
          <w:lang w:val="es-ES_tradnl"/>
        </w:rPr>
        <w:t xml:space="preserve"> del Comité Ejecutivo del Fondo Multilateral para la Aplicación del Protocolo de Montreal sobre la labor realizada por el Comité Ejecutivo, la Secretaría del Fondo Multilateral y los organismos de ejecución del Fondo.</w:t>
      </w:r>
    </w:p>
    <w:p w14:paraId="3BFFBF1E" w14:textId="77777777" w:rsidR="00B522EC" w:rsidRPr="00DD0373" w:rsidRDefault="00B522EC" w:rsidP="001B621B">
      <w:pPr>
        <w:pStyle w:val="NormalNonumber"/>
        <w:numPr>
          <w:ilvl w:val="0"/>
          <w:numId w:val="26"/>
        </w:numPr>
        <w:tabs>
          <w:tab w:val="clear" w:pos="1247"/>
          <w:tab w:val="clear" w:pos="1871"/>
          <w:tab w:val="clear" w:pos="2495"/>
          <w:tab w:val="clear" w:pos="3119"/>
          <w:tab w:val="clear" w:pos="3742"/>
          <w:tab w:val="clear" w:pos="4366"/>
          <w:tab w:val="clear" w:pos="4990"/>
        </w:tabs>
        <w:ind w:left="2495" w:hanging="624"/>
        <w:rPr>
          <w:lang w:val="es-ES_tradnl"/>
        </w:rPr>
      </w:pPr>
      <w:r w:rsidRPr="00DD0373">
        <w:rPr>
          <w:lang w:val="es-ES_tradnl"/>
        </w:rPr>
        <w:t>Declaraciones de las jefaturas de delegación y debate sobre temas clave.</w:t>
      </w:r>
    </w:p>
    <w:p w14:paraId="5D53C21B" w14:textId="1D9C027D" w:rsidR="00B522EC" w:rsidRPr="00DD0373" w:rsidRDefault="00B522EC" w:rsidP="001B621B">
      <w:pPr>
        <w:pStyle w:val="NormalNonumber"/>
        <w:numPr>
          <w:ilvl w:val="0"/>
          <w:numId w:val="26"/>
        </w:numPr>
        <w:tabs>
          <w:tab w:val="clear" w:pos="1247"/>
          <w:tab w:val="clear" w:pos="1871"/>
          <w:tab w:val="clear" w:pos="2495"/>
          <w:tab w:val="clear" w:pos="3119"/>
          <w:tab w:val="clear" w:pos="3742"/>
          <w:tab w:val="clear" w:pos="4366"/>
          <w:tab w:val="clear" w:pos="4990"/>
        </w:tabs>
        <w:ind w:left="2495" w:hanging="624"/>
        <w:rPr>
          <w:lang w:val="es-ES_tradnl"/>
        </w:rPr>
      </w:pPr>
      <w:r w:rsidRPr="00DD0373">
        <w:rPr>
          <w:lang w:val="es-ES_tradnl"/>
        </w:rPr>
        <w:t xml:space="preserve">Informe de la Copresidencia de la serie de sesiones preparatorias y examen de las decisiones cuya adopción se recomienda a la 37ª Reunión de las </w:t>
      </w:r>
      <w:r w:rsidR="00C17707">
        <w:rPr>
          <w:lang w:val="es-ES_tradnl"/>
        </w:rPr>
        <w:t>Partes</w:t>
      </w:r>
      <w:r w:rsidRPr="00DD0373">
        <w:rPr>
          <w:lang w:val="es-ES_tradnl"/>
        </w:rPr>
        <w:t>.</w:t>
      </w:r>
    </w:p>
    <w:p w14:paraId="714A6856" w14:textId="0CFEE5F5" w:rsidR="00B522EC" w:rsidRPr="00DD0373" w:rsidRDefault="00B522EC" w:rsidP="001B621B">
      <w:pPr>
        <w:pStyle w:val="NormalNonumber"/>
        <w:numPr>
          <w:ilvl w:val="0"/>
          <w:numId w:val="26"/>
        </w:numPr>
        <w:tabs>
          <w:tab w:val="clear" w:pos="1247"/>
          <w:tab w:val="clear" w:pos="1871"/>
          <w:tab w:val="clear" w:pos="2495"/>
          <w:tab w:val="clear" w:pos="3119"/>
          <w:tab w:val="clear" w:pos="3742"/>
          <w:tab w:val="clear" w:pos="4366"/>
          <w:tab w:val="clear" w:pos="4990"/>
        </w:tabs>
        <w:ind w:left="2495" w:hanging="624"/>
        <w:rPr>
          <w:lang w:val="es-ES_tradnl"/>
        </w:rPr>
      </w:pPr>
      <w:r w:rsidRPr="00DD0373">
        <w:rPr>
          <w:lang w:val="es-ES_tradnl"/>
        </w:rPr>
        <w:t xml:space="preserve">Fechas y lugar de celebración de la 38ª Reunión de las </w:t>
      </w:r>
      <w:r w:rsidR="00C17707">
        <w:rPr>
          <w:lang w:val="es-ES_tradnl"/>
        </w:rPr>
        <w:t>Partes</w:t>
      </w:r>
      <w:r w:rsidRPr="00DD0373">
        <w:rPr>
          <w:lang w:val="es-ES_tradnl"/>
        </w:rPr>
        <w:t xml:space="preserve"> en el Protocolo de Montreal.</w:t>
      </w:r>
    </w:p>
    <w:p w14:paraId="4E91A5F9" w14:textId="77777777" w:rsidR="00B522EC" w:rsidRPr="00DD0373" w:rsidRDefault="00B522EC" w:rsidP="001B621B">
      <w:pPr>
        <w:pStyle w:val="NormalNonumber"/>
        <w:numPr>
          <w:ilvl w:val="0"/>
          <w:numId w:val="26"/>
        </w:numPr>
        <w:tabs>
          <w:tab w:val="clear" w:pos="1247"/>
          <w:tab w:val="clear" w:pos="1871"/>
          <w:tab w:val="clear" w:pos="2495"/>
          <w:tab w:val="clear" w:pos="3119"/>
          <w:tab w:val="clear" w:pos="3742"/>
          <w:tab w:val="clear" w:pos="4366"/>
          <w:tab w:val="clear" w:pos="4990"/>
        </w:tabs>
        <w:ind w:left="2495" w:hanging="624"/>
        <w:rPr>
          <w:lang w:val="es-ES_tradnl"/>
        </w:rPr>
      </w:pPr>
      <w:r w:rsidRPr="00DD0373">
        <w:rPr>
          <w:lang w:val="es-ES_tradnl"/>
        </w:rPr>
        <w:t>Otros asuntos.</w:t>
      </w:r>
    </w:p>
    <w:p w14:paraId="44992FAD" w14:textId="0F6EF5F4" w:rsidR="00B522EC" w:rsidRPr="00DD0373" w:rsidRDefault="00B522EC" w:rsidP="001B621B">
      <w:pPr>
        <w:pStyle w:val="NormalNonumber"/>
        <w:numPr>
          <w:ilvl w:val="0"/>
          <w:numId w:val="26"/>
        </w:numPr>
        <w:tabs>
          <w:tab w:val="clear" w:pos="1247"/>
          <w:tab w:val="clear" w:pos="1871"/>
          <w:tab w:val="clear" w:pos="2495"/>
          <w:tab w:val="clear" w:pos="3119"/>
          <w:tab w:val="clear" w:pos="3742"/>
          <w:tab w:val="clear" w:pos="4366"/>
          <w:tab w:val="clear" w:pos="4990"/>
        </w:tabs>
        <w:ind w:left="2495" w:hanging="624"/>
        <w:rPr>
          <w:lang w:val="es-ES_tradnl"/>
        </w:rPr>
      </w:pPr>
      <w:r w:rsidRPr="00DD0373">
        <w:rPr>
          <w:lang w:val="es-ES_tradnl"/>
        </w:rPr>
        <w:t xml:space="preserve">Aprobación de decisiones por la 37ª Reunión de las </w:t>
      </w:r>
      <w:r w:rsidR="00C17707">
        <w:rPr>
          <w:lang w:val="es-ES_tradnl"/>
        </w:rPr>
        <w:t>Partes</w:t>
      </w:r>
      <w:r w:rsidRPr="00DD0373">
        <w:rPr>
          <w:lang w:val="es-ES_tradnl"/>
        </w:rPr>
        <w:t>.</w:t>
      </w:r>
    </w:p>
    <w:p w14:paraId="43C6E11B" w14:textId="77777777" w:rsidR="00B522EC" w:rsidRPr="00DD0373" w:rsidRDefault="00B522EC" w:rsidP="001B621B">
      <w:pPr>
        <w:pStyle w:val="NormalNonumber"/>
        <w:numPr>
          <w:ilvl w:val="0"/>
          <w:numId w:val="26"/>
        </w:numPr>
        <w:tabs>
          <w:tab w:val="clear" w:pos="1247"/>
          <w:tab w:val="clear" w:pos="1871"/>
          <w:tab w:val="clear" w:pos="2495"/>
          <w:tab w:val="clear" w:pos="3119"/>
          <w:tab w:val="clear" w:pos="3742"/>
          <w:tab w:val="clear" w:pos="4366"/>
          <w:tab w:val="clear" w:pos="4990"/>
        </w:tabs>
        <w:ind w:left="2495" w:hanging="624"/>
        <w:rPr>
          <w:lang w:val="es-ES_tradnl"/>
        </w:rPr>
      </w:pPr>
      <w:r w:rsidRPr="00DD0373">
        <w:rPr>
          <w:lang w:val="es-ES_tradnl"/>
        </w:rPr>
        <w:t>Aprobación del informe de la reunión.</w:t>
      </w:r>
    </w:p>
    <w:p w14:paraId="3FB699CE" w14:textId="77777777" w:rsidR="00B522EC" w:rsidRPr="00DD0373" w:rsidRDefault="00B522EC" w:rsidP="001B621B">
      <w:pPr>
        <w:pStyle w:val="NormalNonumber"/>
        <w:numPr>
          <w:ilvl w:val="0"/>
          <w:numId w:val="26"/>
        </w:numPr>
        <w:tabs>
          <w:tab w:val="clear" w:pos="1247"/>
          <w:tab w:val="clear" w:pos="1871"/>
          <w:tab w:val="clear" w:pos="2495"/>
          <w:tab w:val="clear" w:pos="3119"/>
          <w:tab w:val="clear" w:pos="3742"/>
          <w:tab w:val="clear" w:pos="4366"/>
          <w:tab w:val="clear" w:pos="4990"/>
        </w:tabs>
        <w:ind w:left="2495" w:hanging="624"/>
        <w:rPr>
          <w:lang w:val="es-ES_tradnl"/>
        </w:rPr>
      </w:pPr>
      <w:r w:rsidRPr="00DD0373">
        <w:rPr>
          <w:lang w:val="es-ES_tradnl"/>
        </w:rPr>
        <w:t>Clausura de la reunión.</w:t>
      </w:r>
    </w:p>
    <w:p w14:paraId="5B375B3C" w14:textId="2BC0706B" w:rsidR="00B522EC" w:rsidRPr="00DD0373" w:rsidRDefault="00B522EC" w:rsidP="00B522EC">
      <w:pPr>
        <w:pStyle w:val="Normalnumber"/>
        <w:rPr>
          <w:lang w:val="es-ES_tradnl"/>
        </w:rPr>
      </w:pPr>
      <w:r w:rsidRPr="00DD0373">
        <w:rPr>
          <w:lang w:val="es-ES_tradnl"/>
        </w:rPr>
        <w:t xml:space="preserve">Los representantes de Kazajstán, Kirguistán y Tayikistán solicitaron la inclusión de un tema en el tema 8 del programa, “Otros asuntos”, para poner de relieve su honda preocupación por los intentos </w:t>
      </w:r>
      <w:r w:rsidRPr="00DD0373">
        <w:rPr>
          <w:lang w:val="es-ES_tradnl"/>
        </w:rPr>
        <w:lastRenderedPageBreak/>
        <w:t xml:space="preserve">de excluir a sus tres </w:t>
      </w:r>
      <w:r w:rsidR="00C17707">
        <w:rPr>
          <w:lang w:val="es-ES_tradnl"/>
        </w:rPr>
        <w:t>Partes</w:t>
      </w:r>
      <w:r w:rsidRPr="00DD0373">
        <w:rPr>
          <w:lang w:val="es-ES_tradnl"/>
        </w:rPr>
        <w:t xml:space="preserve">, junto con Turkmenistán y Uzbekistán, del Grupo de Europa Oriental, lo que, según ellos, explicaba por qué los Estados de Europa Oriental no habían podido llegar a un consenso sobre sus candidaturas a la vicepresidencia de la Mesa, un miembro del Comité de Aplicación y otros órganos. Según los proponentes, las </w:t>
      </w:r>
      <w:r w:rsidR="00C17707">
        <w:rPr>
          <w:lang w:val="es-ES_tradnl"/>
        </w:rPr>
        <w:t>Partes</w:t>
      </w:r>
      <w:r w:rsidRPr="00DD0373">
        <w:rPr>
          <w:lang w:val="es-ES_tradnl"/>
        </w:rPr>
        <w:t xml:space="preserve"> de Asia Central habían sido miembros del Grupo de Europa Oriental durante unos 30 años y habían ocupado cargos en las instituciones del Protocolo de Montreal; Kirguistán era en aquel momento miembro del Comité Ejecutivo del Fondo Multilateral. También eran miembros del Grupo de Europa Oriental en muchas otras instituciones internacionales, como la Organización Mundial de la Salud, la Unión Postal Universal y la Organización Mundial del Turismo. Según el derecho internacional y los procedimientos habituales del Protocolo de Montreal, cada Parte tenía la soberana libertad de decidir a qué grupo regional adherirse, y cualquier cambio en la situación de los países dentro de los grupos regionales solo podía acordarse por consenso. Los proponentes hicieron un llamamiento a las </w:t>
      </w:r>
      <w:r w:rsidR="00C17707">
        <w:rPr>
          <w:lang w:val="es-ES_tradnl"/>
        </w:rPr>
        <w:t>Partes</w:t>
      </w:r>
      <w:r w:rsidRPr="00DD0373">
        <w:rPr>
          <w:lang w:val="es-ES_tradnl"/>
        </w:rPr>
        <w:t xml:space="preserve"> para que dejasen de politizar lo que era una cuestión estrictamente procedimental y defendiesen los valores de colaboración, inclusión y respeto mutuo que habían guiado el Protocolo de Montreal durante casi cuatro decenios.</w:t>
      </w:r>
    </w:p>
    <w:p w14:paraId="75B4001C" w14:textId="3A228B7D" w:rsidR="00B522EC" w:rsidRPr="00DD0373" w:rsidRDefault="00B522EC" w:rsidP="00B522EC">
      <w:pPr>
        <w:pStyle w:val="Normalnumber"/>
        <w:rPr>
          <w:lang w:val="es-ES_tradnl"/>
        </w:rPr>
      </w:pPr>
      <w:r w:rsidRPr="00DD0373">
        <w:rPr>
          <w:lang w:val="es-ES_tradnl"/>
        </w:rPr>
        <w:t xml:space="preserve">Las </w:t>
      </w:r>
      <w:r w:rsidR="00C17707">
        <w:rPr>
          <w:lang w:val="es-ES_tradnl"/>
        </w:rPr>
        <w:t>Partes</w:t>
      </w:r>
      <w:r w:rsidRPr="00DD0373">
        <w:rPr>
          <w:lang w:val="es-ES_tradnl"/>
        </w:rPr>
        <w:t xml:space="preserve"> acordaron examinar la cuestión en relación con el tema 8 del programa, “Otros asuntos”.</w:t>
      </w:r>
    </w:p>
    <w:p w14:paraId="157520EB" w14:textId="4C60A8C6" w:rsidR="00B522EC" w:rsidRPr="00DD0373" w:rsidRDefault="009A6FE9" w:rsidP="00E56069">
      <w:pPr>
        <w:pStyle w:val="CH2"/>
        <w:rPr>
          <w:lang w:val="es-ES_tradnl"/>
        </w:rPr>
      </w:pPr>
      <w:r w:rsidRPr="00DD0373">
        <w:rPr>
          <w:bCs/>
          <w:lang w:val="es-ES_tradnl"/>
        </w:rPr>
        <w:tab/>
      </w:r>
      <w:r w:rsidR="00B522EC" w:rsidRPr="00DD0373">
        <w:rPr>
          <w:bCs/>
          <w:lang w:val="es-ES_tradnl"/>
        </w:rPr>
        <w:t>C.</w:t>
      </w:r>
      <w:r w:rsidR="00B522EC" w:rsidRPr="00DD0373">
        <w:rPr>
          <w:lang w:val="es-ES_tradnl"/>
        </w:rPr>
        <w:tab/>
      </w:r>
      <w:r w:rsidR="00B522EC" w:rsidRPr="00DD0373">
        <w:rPr>
          <w:bCs/>
          <w:lang w:val="es-ES_tradnl"/>
        </w:rPr>
        <w:t>Organización de los trabajos</w:t>
      </w:r>
    </w:p>
    <w:p w14:paraId="497C9CD4" w14:textId="00ADC9F4" w:rsidR="00B522EC" w:rsidRPr="00DD0373" w:rsidRDefault="00B522EC" w:rsidP="00E56069">
      <w:pPr>
        <w:pStyle w:val="Normalnumber"/>
        <w:keepNext/>
        <w:keepLines/>
        <w:numPr>
          <w:ilvl w:val="0"/>
          <w:numId w:val="29"/>
        </w:numPr>
        <w:rPr>
          <w:lang w:val="es-ES_tradnl"/>
        </w:rPr>
      </w:pPr>
      <w:r w:rsidRPr="00DD0373">
        <w:rPr>
          <w:lang w:val="es-ES_tradnl"/>
        </w:rPr>
        <w:t xml:space="preserve">Las </w:t>
      </w:r>
      <w:r w:rsidR="00C17707">
        <w:rPr>
          <w:lang w:val="es-ES_tradnl"/>
        </w:rPr>
        <w:t>Partes</w:t>
      </w:r>
      <w:r w:rsidRPr="00DD0373">
        <w:rPr>
          <w:lang w:val="es-ES_tradnl"/>
        </w:rPr>
        <w:t xml:space="preserve"> acordaron seguir sus procedimientos habituales.</w:t>
      </w:r>
    </w:p>
    <w:p w14:paraId="4C995977" w14:textId="33379962" w:rsidR="00B522EC" w:rsidRPr="00DD0373" w:rsidRDefault="009A6FE9" w:rsidP="00B522EC">
      <w:pPr>
        <w:pStyle w:val="CH2"/>
        <w:keepNext w:val="0"/>
        <w:keepLines w:val="0"/>
        <w:rPr>
          <w:lang w:val="es-ES_tradnl"/>
        </w:rPr>
      </w:pPr>
      <w:r w:rsidRPr="00DD0373">
        <w:rPr>
          <w:bCs/>
          <w:lang w:val="es-ES_tradnl"/>
        </w:rPr>
        <w:tab/>
      </w:r>
      <w:r w:rsidR="00B522EC" w:rsidRPr="00DD0373">
        <w:rPr>
          <w:bCs/>
          <w:lang w:val="es-ES_tradnl"/>
        </w:rPr>
        <w:t>D.</w:t>
      </w:r>
      <w:r w:rsidR="00B522EC" w:rsidRPr="00DD0373">
        <w:rPr>
          <w:lang w:val="es-ES_tradnl"/>
        </w:rPr>
        <w:tab/>
      </w:r>
      <w:r w:rsidR="00B522EC" w:rsidRPr="00DD0373">
        <w:rPr>
          <w:bCs/>
          <w:lang w:val="es-ES_tradnl"/>
        </w:rPr>
        <w:t>Credenciales de los representantes</w:t>
      </w:r>
    </w:p>
    <w:p w14:paraId="5A5A4E65" w14:textId="3C2D59DE" w:rsidR="00D71DB1" w:rsidRPr="00DD0373" w:rsidRDefault="00B63EA2" w:rsidP="001B621B">
      <w:pPr>
        <w:pStyle w:val="Normalnumber"/>
        <w:numPr>
          <w:ilvl w:val="0"/>
          <w:numId w:val="31"/>
        </w:numPr>
        <w:rPr>
          <w:lang w:val="es-ES_tradnl"/>
        </w:rPr>
      </w:pPr>
      <w:r w:rsidRPr="00DD0373">
        <w:rPr>
          <w:lang w:val="es-ES_tradnl"/>
        </w:rPr>
        <w:t xml:space="preserve">De conformidad con el artículo 19 del Reglamento de las Reuniones de las </w:t>
      </w:r>
      <w:r w:rsidR="00C17707">
        <w:rPr>
          <w:lang w:val="es-ES_tradnl"/>
        </w:rPr>
        <w:t>Partes</w:t>
      </w:r>
      <w:r w:rsidRPr="00DD0373">
        <w:rPr>
          <w:lang w:val="es-ES_tradnl"/>
        </w:rPr>
        <w:t xml:space="preserve"> en el Protocolo de Montreal, la Mesa de la 37ª Reunión de las </w:t>
      </w:r>
      <w:r w:rsidR="00C17707">
        <w:rPr>
          <w:lang w:val="es-ES_tradnl"/>
        </w:rPr>
        <w:t>Partes</w:t>
      </w:r>
      <w:r w:rsidRPr="00DD0373">
        <w:rPr>
          <w:lang w:val="es-ES_tradnl"/>
        </w:rPr>
        <w:t xml:space="preserve"> en el Protocolo de Montreal se reunió</w:t>
      </w:r>
      <w:r w:rsidR="0042739E" w:rsidRPr="00DD0373">
        <w:rPr>
          <w:lang w:val="es-ES_tradnl"/>
        </w:rPr>
        <w:t> </w:t>
      </w:r>
      <w:r w:rsidRPr="00DD0373">
        <w:rPr>
          <w:lang w:val="es-ES_tradnl"/>
        </w:rPr>
        <w:t xml:space="preserve">para examinar las credenciales de los representantes de las </w:t>
      </w:r>
      <w:r w:rsidR="00C17707">
        <w:rPr>
          <w:lang w:val="es-ES_tradnl"/>
        </w:rPr>
        <w:t>Partes</w:t>
      </w:r>
      <w:r w:rsidRPr="00DD0373">
        <w:rPr>
          <w:lang w:val="es-ES_tradnl"/>
        </w:rPr>
        <w:t xml:space="preserve"> y presentó su informe a la</w:t>
      </w:r>
      <w:r w:rsidR="00F56136" w:rsidRPr="00DD0373">
        <w:rPr>
          <w:lang w:val="es-ES_tradnl"/>
        </w:rPr>
        <w:t> </w:t>
      </w:r>
      <w:r w:rsidRPr="00DD0373">
        <w:rPr>
          <w:lang w:val="es-ES_tradnl"/>
        </w:rPr>
        <w:t>37ª</w:t>
      </w:r>
      <w:r w:rsidR="00F56136" w:rsidRPr="00DD0373">
        <w:rPr>
          <w:lang w:val="es-ES_tradnl"/>
        </w:rPr>
        <w:t> </w:t>
      </w:r>
      <w:r w:rsidRPr="00DD0373">
        <w:rPr>
          <w:lang w:val="es-ES_tradnl"/>
        </w:rPr>
        <w:t xml:space="preserve">Reunión de las </w:t>
      </w:r>
      <w:r w:rsidR="00C17707">
        <w:rPr>
          <w:lang w:val="es-ES_tradnl"/>
        </w:rPr>
        <w:t>Partes</w:t>
      </w:r>
      <w:r w:rsidRPr="00DD0373">
        <w:rPr>
          <w:lang w:val="es-ES_tradnl"/>
        </w:rPr>
        <w:t xml:space="preserve">. En su informe, la Mesa recomendó la aprobación de las credenciales de los representantes de 97 de las 154 </w:t>
      </w:r>
      <w:r w:rsidR="00C17707">
        <w:rPr>
          <w:lang w:val="es-ES_tradnl"/>
        </w:rPr>
        <w:t>Partes</w:t>
      </w:r>
      <w:r w:rsidRPr="00DD0373">
        <w:rPr>
          <w:lang w:val="es-ES_tradnl"/>
        </w:rPr>
        <w:t xml:space="preserve"> representadas en la reunión, que se consideraron en regla. La</w:t>
      </w:r>
      <w:r w:rsidR="00B62B83" w:rsidRPr="00DD0373">
        <w:rPr>
          <w:lang w:val="es-ES_tradnl"/>
        </w:rPr>
        <w:t> </w:t>
      </w:r>
      <w:r w:rsidRPr="00DD0373">
        <w:rPr>
          <w:lang w:val="es-ES_tradnl"/>
        </w:rPr>
        <w:t xml:space="preserve">Mesa hizo notar que las credenciales de 66 de esas 97 </w:t>
      </w:r>
      <w:r w:rsidR="00C17707">
        <w:rPr>
          <w:lang w:val="es-ES_tradnl"/>
        </w:rPr>
        <w:t>Partes</w:t>
      </w:r>
      <w:r w:rsidRPr="00DD0373">
        <w:rPr>
          <w:lang w:val="es-ES_tradnl"/>
        </w:rPr>
        <w:t xml:space="preserve"> eran originales, mientras que 31 eran copias que se habían aceptado en el entendimiento de que los originales se presentarían lo antes posible. La Mesa también recomendó que la 37ª Reunión de las </w:t>
      </w:r>
      <w:r w:rsidR="00C17707">
        <w:rPr>
          <w:lang w:val="es-ES_tradnl"/>
        </w:rPr>
        <w:t>Partes</w:t>
      </w:r>
      <w:r w:rsidRPr="00DD0373">
        <w:rPr>
          <w:lang w:val="es-ES_tradnl"/>
        </w:rPr>
        <w:t xml:space="preserve"> aprobase con carácter provisional la participación de 57 </w:t>
      </w:r>
      <w:r w:rsidR="00C17707">
        <w:rPr>
          <w:lang w:val="es-ES_tradnl"/>
        </w:rPr>
        <w:t>Partes</w:t>
      </w:r>
      <w:r w:rsidRPr="00DD0373">
        <w:rPr>
          <w:lang w:val="es-ES_tradnl"/>
        </w:rPr>
        <w:t xml:space="preserve"> en el entendimiento de que presentarían sus credenciales a la Secretaría lo antes posible. La Mesa instó a todas las </w:t>
      </w:r>
      <w:r w:rsidR="00C17707">
        <w:rPr>
          <w:lang w:val="es-ES_tradnl"/>
        </w:rPr>
        <w:t>Partes</w:t>
      </w:r>
      <w:r w:rsidRPr="00DD0373">
        <w:rPr>
          <w:lang w:val="es-ES_tradnl"/>
        </w:rPr>
        <w:t xml:space="preserve"> que asistiesen a Reuniones de las </w:t>
      </w:r>
      <w:r w:rsidR="00C17707">
        <w:rPr>
          <w:lang w:val="es-ES_tradnl"/>
        </w:rPr>
        <w:t>Partes</w:t>
      </w:r>
      <w:r w:rsidRPr="00DD0373">
        <w:rPr>
          <w:lang w:val="es-ES_tradnl"/>
        </w:rPr>
        <w:t xml:space="preserve"> venideras a que hiciesen todo lo posible por presentar sus credenciales a la Secretaría según lo prescrito en el artículo 18 del Reglamento. La Mesa recordó además que el Reglamento exigía que las credenciales tenían que ser expedidas por el </w:t>
      </w:r>
      <w:proofErr w:type="gramStart"/>
      <w:r w:rsidRPr="00DD0373">
        <w:rPr>
          <w:lang w:val="es-ES_tradnl"/>
        </w:rPr>
        <w:t>Jefe</w:t>
      </w:r>
      <w:proofErr w:type="gramEnd"/>
      <w:r w:rsidRPr="00DD0373">
        <w:rPr>
          <w:lang w:val="es-ES_tradnl"/>
        </w:rPr>
        <w:t xml:space="preserve"> de Estado o de Gobierno o por el </w:t>
      </w:r>
      <w:proofErr w:type="gramStart"/>
      <w:r w:rsidRPr="00DD0373">
        <w:rPr>
          <w:lang w:val="es-ES_tradnl"/>
        </w:rPr>
        <w:t>Ministro</w:t>
      </w:r>
      <w:proofErr w:type="gramEnd"/>
      <w:r w:rsidRPr="00DD0373">
        <w:rPr>
          <w:lang w:val="es-ES_tradnl"/>
        </w:rPr>
        <w:t xml:space="preserve"> de Relaciones Exteriores o, en el caso de una organización regional de integración económica, por la autoridad competente de esa organización.</w:t>
      </w:r>
    </w:p>
    <w:p w14:paraId="2780A15D" w14:textId="74C6D287" w:rsidR="00472274" w:rsidRPr="00DD0373" w:rsidRDefault="00D71DB1" w:rsidP="001B621B">
      <w:pPr>
        <w:pStyle w:val="Normalnumber"/>
        <w:numPr>
          <w:ilvl w:val="0"/>
          <w:numId w:val="31"/>
        </w:numPr>
        <w:rPr>
          <w:lang w:val="es-ES_tradnl"/>
        </w:rPr>
      </w:pPr>
      <w:r w:rsidRPr="00DD0373">
        <w:rPr>
          <w:lang w:val="es-ES_tradnl"/>
        </w:rPr>
        <w:t xml:space="preserve">Las </w:t>
      </w:r>
      <w:r w:rsidR="00C17707">
        <w:rPr>
          <w:lang w:val="es-ES_tradnl"/>
        </w:rPr>
        <w:t>Partes</w:t>
      </w:r>
      <w:r w:rsidRPr="00DD0373">
        <w:rPr>
          <w:lang w:val="es-ES_tradnl"/>
        </w:rPr>
        <w:t xml:space="preserve"> acordaron aprobar el informe sobre las credenciales presentado por la Mesa.</w:t>
      </w:r>
    </w:p>
    <w:p w14:paraId="467BAA81" w14:textId="77041C31" w:rsidR="00B522EC" w:rsidRPr="00DD0373" w:rsidRDefault="009A6FE9" w:rsidP="00B522EC">
      <w:pPr>
        <w:pStyle w:val="CH1"/>
        <w:keepNext w:val="0"/>
        <w:keepLines w:val="0"/>
        <w:rPr>
          <w:lang w:val="es-ES_tradnl"/>
        </w:rPr>
      </w:pPr>
      <w:r w:rsidRPr="00DD0373">
        <w:rPr>
          <w:bCs/>
          <w:lang w:val="es-ES_tradnl"/>
        </w:rPr>
        <w:tab/>
      </w:r>
      <w:r w:rsidR="00B522EC" w:rsidRPr="00DD0373">
        <w:rPr>
          <w:bCs/>
          <w:lang w:val="es-ES_tradnl"/>
        </w:rPr>
        <w:t>III.</w:t>
      </w:r>
      <w:r w:rsidR="00B522EC" w:rsidRPr="00DD0373">
        <w:rPr>
          <w:lang w:val="es-ES_tradnl"/>
        </w:rPr>
        <w:tab/>
      </w:r>
      <w:r w:rsidR="00B522EC" w:rsidRPr="00DD0373">
        <w:rPr>
          <w:bCs/>
          <w:lang w:val="es-ES_tradnl"/>
        </w:rPr>
        <w:t>Presentaciones de los grupos de evaluación de sus informes sobre los progresos realizados y cualesquiera nuevas cuestiones</w:t>
      </w:r>
    </w:p>
    <w:p w14:paraId="1148E16C" w14:textId="070F0E39" w:rsidR="00B522EC" w:rsidRPr="00DD0373" w:rsidRDefault="00B522EC" w:rsidP="001B621B">
      <w:pPr>
        <w:pStyle w:val="Normalnumber"/>
        <w:numPr>
          <w:ilvl w:val="0"/>
          <w:numId w:val="30"/>
        </w:numPr>
        <w:rPr>
          <w:lang w:val="es-ES_tradnl"/>
        </w:rPr>
      </w:pPr>
      <w:r w:rsidRPr="00DD0373">
        <w:rPr>
          <w:lang w:val="es-ES_tradnl"/>
        </w:rPr>
        <w:t>Los Copresidentes del Grupo de Evaluación Científica, Lucy Carpenter y Ken Jucks, hicieron una presentación de los trabajos del Grupo. En la sección C.1 del anexo I del presente informe se recoge un resumen de esa presentación elaborado por los ponentes.</w:t>
      </w:r>
      <w:bookmarkStart w:id="31" w:name="_Hlk181266219"/>
    </w:p>
    <w:bookmarkEnd w:id="31"/>
    <w:p w14:paraId="33FC9572" w14:textId="0154424D" w:rsidR="00B522EC" w:rsidRPr="00DD0373" w:rsidRDefault="00B522EC" w:rsidP="00B522EC">
      <w:pPr>
        <w:pStyle w:val="Normalnumber"/>
        <w:rPr>
          <w:lang w:val="es-ES_tradnl"/>
        </w:rPr>
      </w:pPr>
      <w:r w:rsidRPr="00DD0373">
        <w:rPr>
          <w:lang w:val="es-ES_tradnl"/>
        </w:rPr>
        <w:t>La Copresidenta del Grupo de Evaluación de los Efectos Ambientales, Janet F. Bornman, hizo una presentación de los trabajos del Grupo. En la sección C.2 del anexo I del presente informe se recoge un resumen de esa presentación elaborado por la ponente.</w:t>
      </w:r>
    </w:p>
    <w:p w14:paraId="7BFE0C81" w14:textId="18802E3C" w:rsidR="00B522EC" w:rsidRPr="00DD0373" w:rsidRDefault="00B522EC" w:rsidP="00B522EC">
      <w:pPr>
        <w:pStyle w:val="Normalnumber"/>
        <w:rPr>
          <w:lang w:val="es-ES_tradnl"/>
        </w:rPr>
      </w:pPr>
      <w:r w:rsidRPr="00DD0373">
        <w:rPr>
          <w:lang w:val="es-ES_tradnl"/>
        </w:rPr>
        <w:t>Los Copresidentes del Grupo de Evaluación Tecnológica y Económica, Marta Pizano y Ashley Woodcock, hicieron una presentación de los trabajos del Grupo. En la sección C.3 del anexo I del presente informe se recoge un resumen de esa presentación elaborado por los ponentes.</w:t>
      </w:r>
    </w:p>
    <w:p w14:paraId="5C32A5C0" w14:textId="3F5B8142" w:rsidR="00B522EC" w:rsidRPr="00DD0373" w:rsidRDefault="00B522EC" w:rsidP="00B522EC">
      <w:pPr>
        <w:pStyle w:val="Normalnumber"/>
        <w:rPr>
          <w:lang w:val="es-ES_tradnl"/>
        </w:rPr>
      </w:pPr>
      <w:r w:rsidRPr="00DD0373">
        <w:rPr>
          <w:lang w:val="es-ES_tradnl"/>
        </w:rPr>
        <w:t>Los representantes agradecieron a los tres grupos su trabajo y sus presentaciones.</w:t>
      </w:r>
    </w:p>
    <w:p w14:paraId="1E0D9E61" w14:textId="0A54E78E" w:rsidR="00B522EC" w:rsidRPr="00DD0373" w:rsidRDefault="00B522EC" w:rsidP="00B522EC">
      <w:pPr>
        <w:pStyle w:val="Normalnumber"/>
        <w:rPr>
          <w:lang w:val="es-ES_tradnl"/>
        </w:rPr>
      </w:pPr>
      <w:r w:rsidRPr="00DD0373">
        <w:rPr>
          <w:lang w:val="es-ES_tradnl"/>
        </w:rPr>
        <w:t xml:space="preserve">Varios representantes, entre ellos uno que habló en nombre de un grupo de </w:t>
      </w:r>
      <w:r w:rsidR="00C17707">
        <w:rPr>
          <w:lang w:val="es-ES_tradnl"/>
        </w:rPr>
        <w:t>Partes</w:t>
      </w:r>
      <w:r w:rsidRPr="00DD0373">
        <w:rPr>
          <w:lang w:val="es-ES_tradnl"/>
        </w:rPr>
        <w:t xml:space="preserve">, acogieron con satisfacción diversos elementos de las presentaciones, como la gran cantidad de información complementaria; la información específica sobre el tetracloruro de carbono, las sustancias de muy corta vida y las alternativas al bromuro de metilo; la labor de hipótesis sobre la repercusión en la capa de ozono de las emisiones procedentes de las materias primas; el hecho de que en 2025 se había producido una pérdida de ozono menor, y la atención prestada a los productos de degradación de </w:t>
      </w:r>
      <w:r w:rsidRPr="00DD0373">
        <w:rPr>
          <w:lang w:val="es-ES_tradnl"/>
        </w:rPr>
        <w:lastRenderedPageBreak/>
        <w:t xml:space="preserve">sustancias controladas, como las sustancias </w:t>
      </w:r>
      <w:proofErr w:type="spellStart"/>
      <w:r w:rsidRPr="00DD0373">
        <w:rPr>
          <w:lang w:val="es-ES_tradnl"/>
        </w:rPr>
        <w:t>perfluoroalquiladas</w:t>
      </w:r>
      <w:proofErr w:type="spellEnd"/>
      <w:r w:rsidRPr="00DD0373">
        <w:rPr>
          <w:lang w:val="es-ES_tradnl"/>
        </w:rPr>
        <w:t xml:space="preserve"> y </w:t>
      </w:r>
      <w:proofErr w:type="spellStart"/>
      <w:r w:rsidRPr="00DD0373">
        <w:rPr>
          <w:lang w:val="es-ES_tradnl"/>
        </w:rPr>
        <w:t>polifluoroalquiladas</w:t>
      </w:r>
      <w:proofErr w:type="spellEnd"/>
      <w:r w:rsidRPr="00DD0373">
        <w:rPr>
          <w:lang w:val="es-ES_tradnl"/>
        </w:rPr>
        <w:t xml:space="preserve"> (PFAS), incluido el ácido </w:t>
      </w:r>
      <w:proofErr w:type="spellStart"/>
      <w:r w:rsidRPr="00DD0373">
        <w:rPr>
          <w:lang w:val="es-ES_tradnl"/>
        </w:rPr>
        <w:t>trifluoroacético</w:t>
      </w:r>
      <w:proofErr w:type="spellEnd"/>
      <w:r w:rsidRPr="00DD0373">
        <w:rPr>
          <w:lang w:val="es-ES_tradnl"/>
        </w:rPr>
        <w:t>, y sus alternativas.</w:t>
      </w:r>
    </w:p>
    <w:p w14:paraId="0B81AABC" w14:textId="16A55684" w:rsidR="00B522EC" w:rsidRPr="00DD0373" w:rsidRDefault="00B522EC" w:rsidP="00B522EC">
      <w:pPr>
        <w:pStyle w:val="Normalnumber"/>
        <w:rPr>
          <w:lang w:val="es-ES_tradnl"/>
        </w:rPr>
      </w:pPr>
      <w:r w:rsidRPr="00DD0373">
        <w:rPr>
          <w:lang w:val="es-ES_tradnl"/>
        </w:rPr>
        <w:t xml:space="preserve">El Sr. Woodcock declaró que el objetivo de los grupos era facilitar a las </w:t>
      </w:r>
      <w:r w:rsidR="00C17707">
        <w:rPr>
          <w:lang w:val="es-ES_tradnl"/>
        </w:rPr>
        <w:t>Partes</w:t>
      </w:r>
      <w:r w:rsidRPr="00DD0373">
        <w:rPr>
          <w:lang w:val="es-ES_tradnl"/>
        </w:rPr>
        <w:t xml:space="preserve"> información objetiva sobre las PFAS, dado que se trataba de un tema controvertido y existía mucha información errónea al respecto. Estaba previsto efectuar una actualización ulterior, preparada por los tres grupos, en el informe sobre los progresos realizados en 2026 del Grupo de Evaluación Tecnológica y Económica. Los tres grupos trabajaban en </w:t>
      </w:r>
      <w:proofErr w:type="spellStart"/>
      <w:r w:rsidRPr="00DD0373">
        <w:rPr>
          <w:lang w:val="es-ES_tradnl"/>
        </w:rPr>
        <w:t>pos</w:t>
      </w:r>
      <w:proofErr w:type="spellEnd"/>
      <w:r w:rsidRPr="00DD0373">
        <w:rPr>
          <w:lang w:val="es-ES_tradnl"/>
        </w:rPr>
        <w:t xml:space="preserve"> de un consenso sobre el asunto y mantendrían informadas a las </w:t>
      </w:r>
      <w:r w:rsidR="00C17707">
        <w:rPr>
          <w:lang w:val="es-ES_tradnl"/>
        </w:rPr>
        <w:t>Partes</w:t>
      </w:r>
      <w:r w:rsidRPr="00DD0373">
        <w:rPr>
          <w:lang w:val="es-ES_tradnl"/>
        </w:rPr>
        <w:t xml:space="preserve">. Una representante, tras señalar las dificultades que entrañaba definir las PFAS, preguntó cómo podían las </w:t>
      </w:r>
      <w:r w:rsidR="00C17707">
        <w:rPr>
          <w:lang w:val="es-ES_tradnl"/>
        </w:rPr>
        <w:t>Partes</w:t>
      </w:r>
      <w:r w:rsidRPr="00DD0373">
        <w:rPr>
          <w:lang w:val="es-ES_tradnl"/>
        </w:rPr>
        <w:t xml:space="preserve"> velar por que las políticas en evolución relacionadas con las PFAS siguiesen basándose en datos científicos y no obstaculizasen involuntariamente la transición hacia alternativas más seguras y sostenibles. La Sra. Bornman afirmó que el trabajo de los tres grupos siempre se basaría en la ciencia.</w:t>
      </w:r>
    </w:p>
    <w:p w14:paraId="087FAA51" w14:textId="255AE5C4" w:rsidR="00B522EC" w:rsidRPr="00DD0373" w:rsidRDefault="00B522EC" w:rsidP="00B522EC">
      <w:pPr>
        <w:pStyle w:val="Normalnumber"/>
        <w:rPr>
          <w:lang w:val="es-ES_tradnl"/>
        </w:rPr>
      </w:pPr>
      <w:r w:rsidRPr="00DD0373">
        <w:rPr>
          <w:lang w:val="es-ES_tradnl"/>
        </w:rPr>
        <w:t xml:space="preserve">Una representante citó la indicación, en la presentación del Grupo de Evaluación de Efectos Ambientales, de que el informe de evaluación cuatrienal del Grupo incluiría información sobre la medición, las cantidades reales y las estimaciones de PFAS pertinentes para el Protocolo de Montreal en aguas corrientes, lagos de agua dulce y océanos, y dijo que su Parte también tenía conocimiento de estudios en que se mostraba un aumento de las concentraciones de ácido </w:t>
      </w:r>
      <w:proofErr w:type="spellStart"/>
      <w:r w:rsidRPr="00DD0373">
        <w:rPr>
          <w:lang w:val="es-ES_tradnl"/>
        </w:rPr>
        <w:t>trifluoroacético</w:t>
      </w:r>
      <w:proofErr w:type="spellEnd"/>
      <w:r w:rsidRPr="00DD0373">
        <w:rPr>
          <w:lang w:val="es-ES_tradnl"/>
        </w:rPr>
        <w:t xml:space="preserve"> en el agua potable, los organismos vivos, como las plantas, y la sangre humana. En respuesta, la Sra. Bornman aclaró que parte de la información de la presentación se había extraído del documento introductorio de</w:t>
      </w:r>
      <w:r w:rsidR="0042739E" w:rsidRPr="00DD0373">
        <w:rPr>
          <w:lang w:val="es-ES_tradnl"/>
        </w:rPr>
        <w:t> </w:t>
      </w:r>
      <w:r w:rsidRPr="00DD0373">
        <w:rPr>
          <w:lang w:val="es-ES_tradnl"/>
        </w:rPr>
        <w:t xml:space="preserve">la evaluación cuatrienal, que era menos detallado. La oradora confirmó que en el informe de evaluación cuatrienal de 2026 se examinarían de forma efectiva las concentraciones de ácido </w:t>
      </w:r>
      <w:proofErr w:type="spellStart"/>
      <w:r w:rsidRPr="00DD0373">
        <w:rPr>
          <w:lang w:val="es-ES_tradnl"/>
        </w:rPr>
        <w:t>trifluoroacético</w:t>
      </w:r>
      <w:proofErr w:type="spellEnd"/>
      <w:r w:rsidRPr="00DD0373">
        <w:rPr>
          <w:lang w:val="es-ES_tradnl"/>
        </w:rPr>
        <w:t xml:space="preserve"> en animales, seres humanos, agua potable y regiones naturales. Otra representante sugirió que en la evaluación se analizase cuántas sustancias se detectaban habitualmente en la sangre.</w:t>
      </w:r>
    </w:p>
    <w:p w14:paraId="24B5ABDC" w14:textId="20DDF85A" w:rsidR="00B522EC" w:rsidRPr="00DD0373" w:rsidRDefault="00B522EC" w:rsidP="00B522EC">
      <w:pPr>
        <w:pStyle w:val="Normalnumber"/>
        <w:rPr>
          <w:lang w:val="es-ES_tradnl"/>
        </w:rPr>
      </w:pPr>
      <w:r w:rsidRPr="00DD0373">
        <w:rPr>
          <w:lang w:val="es-ES_tradnl"/>
        </w:rPr>
        <w:t xml:space="preserve">Un representante que habló en nombre de un grupo de </w:t>
      </w:r>
      <w:r w:rsidR="00C17707">
        <w:rPr>
          <w:lang w:val="es-ES_tradnl"/>
        </w:rPr>
        <w:t>Partes</w:t>
      </w:r>
      <w:r w:rsidRPr="00DD0373">
        <w:rPr>
          <w:lang w:val="es-ES_tradnl"/>
        </w:rPr>
        <w:t xml:space="preserve"> dijo que la futura legislación de su región sobre las PFAS, que se encontraba en fase de elaboración, tendría por objeto aportar certeza ante la preocupación pública por estas sustancias. Además, cualquier legislación que se adoptase probablemente contendría exenciones para usos esenciales destinadas a sectores esenciales, como la aviación. Por ese motivo, esas </w:t>
      </w:r>
      <w:r w:rsidR="00C17707">
        <w:rPr>
          <w:lang w:val="es-ES_tradnl"/>
        </w:rPr>
        <w:t>Partes</w:t>
      </w:r>
      <w:r w:rsidRPr="00DD0373">
        <w:rPr>
          <w:lang w:val="es-ES_tradnl"/>
        </w:rPr>
        <w:t xml:space="preserve"> interpretaron de manera diferente la incertidumbre relativa al uso de halones en la supresión de incendios en la aviación que se había descrito en la presentación del Grupo de Evaluación Tecnológica y Económica. Esas </w:t>
      </w:r>
      <w:r w:rsidR="00C17707">
        <w:rPr>
          <w:lang w:val="es-ES_tradnl"/>
        </w:rPr>
        <w:t>Partes</w:t>
      </w:r>
      <w:r w:rsidRPr="00DD0373">
        <w:rPr>
          <w:lang w:val="es-ES_tradnl"/>
        </w:rPr>
        <w:t xml:space="preserve"> no interpretaban que se hubiese eliminado la moratoria de 2024 sobre el uso de halón 1301 en los compartimentos de carga de los diseños de aeronaves completamente nuevos, sino que interpretaban que se </w:t>
      </w:r>
      <w:r w:rsidR="00026253" w:rsidRPr="00DD0373">
        <w:rPr>
          <w:lang w:val="es-ES_tradnl"/>
        </w:rPr>
        <w:t>fijaría</w:t>
      </w:r>
      <w:r w:rsidRPr="00DD0373">
        <w:rPr>
          <w:lang w:val="es-ES_tradnl"/>
        </w:rPr>
        <w:t xml:space="preserve"> una nueva y, hasta</w:t>
      </w:r>
      <w:r w:rsidR="0042739E" w:rsidRPr="00DD0373">
        <w:rPr>
          <w:lang w:val="es-ES_tradnl"/>
        </w:rPr>
        <w:t> </w:t>
      </w:r>
      <w:r w:rsidRPr="00DD0373">
        <w:rPr>
          <w:lang w:val="es-ES_tradnl"/>
        </w:rPr>
        <w:t>entonces, se mantendría la fecha vigente de 2024.</w:t>
      </w:r>
    </w:p>
    <w:p w14:paraId="688EE6DE" w14:textId="7CEEF079" w:rsidR="00B522EC" w:rsidRPr="00DD0373" w:rsidRDefault="00B522EC" w:rsidP="00B522EC">
      <w:pPr>
        <w:pStyle w:val="Normalnumber"/>
        <w:rPr>
          <w:lang w:val="es-ES_tradnl"/>
        </w:rPr>
      </w:pPr>
      <w:r w:rsidRPr="00DD0373">
        <w:rPr>
          <w:lang w:val="es-ES_tradnl"/>
        </w:rPr>
        <w:t xml:space="preserve">Una representante señaló que el Grupo de Evaluación Tecnológica y Económica había declarado que la incertidumbre normativa con respecto a las PFAS podría ralentizar la transición hacia tecnologías con menor potencial de calentamiento atmosférico para las </w:t>
      </w:r>
      <w:r w:rsidR="00C17707">
        <w:rPr>
          <w:lang w:val="es-ES_tradnl"/>
        </w:rPr>
        <w:t>Partes</w:t>
      </w:r>
      <w:r w:rsidRPr="00DD0373">
        <w:rPr>
          <w:lang w:val="es-ES_tradnl"/>
        </w:rPr>
        <w:t xml:space="preserve"> del grupo 1 que operan al amparo del artículo 5. Por ello, la oradora solicitó orientación al Grupo sobre el modo de garantizar un progreso continuo y equilibrado en la reducción de los HFC, en particular en la determinación de alternativas seguras, </w:t>
      </w:r>
      <w:proofErr w:type="spellStart"/>
      <w:r w:rsidRPr="00DD0373">
        <w:rPr>
          <w:lang w:val="es-ES_tradnl"/>
        </w:rPr>
        <w:t>costoeficaces</w:t>
      </w:r>
      <w:proofErr w:type="spellEnd"/>
      <w:r w:rsidRPr="00DD0373">
        <w:rPr>
          <w:lang w:val="es-ES_tradnl"/>
        </w:rPr>
        <w:t xml:space="preserve"> y ambientalmente racionales. En respuesta a una pregunta sobre el</w:t>
      </w:r>
      <w:r w:rsidR="0042739E" w:rsidRPr="00DD0373">
        <w:rPr>
          <w:lang w:val="es-ES_tradnl"/>
        </w:rPr>
        <w:t> </w:t>
      </w:r>
      <w:r w:rsidRPr="00DD0373">
        <w:rPr>
          <w:lang w:val="es-ES_tradnl"/>
        </w:rPr>
        <w:t>contenido del nuevo cuadro destinado a la evaluación de información sobre los productos de degradación, que estaba preparando el Grupo de Evaluación Científica en colaboración con los otros</w:t>
      </w:r>
      <w:r w:rsidR="007A1A63" w:rsidRPr="00DD0373">
        <w:rPr>
          <w:lang w:val="es-ES_tradnl"/>
        </w:rPr>
        <w:t> </w:t>
      </w:r>
      <w:r w:rsidRPr="00DD0373">
        <w:rPr>
          <w:lang w:val="es-ES_tradnl"/>
        </w:rPr>
        <w:t>dos grupos, la Sra. Carpenter explicó que no había sido posible mostrar el cuadro completo en la</w:t>
      </w:r>
      <w:r w:rsidR="0042739E" w:rsidRPr="00DD0373">
        <w:rPr>
          <w:lang w:val="es-ES_tradnl"/>
        </w:rPr>
        <w:t> </w:t>
      </w:r>
      <w:r w:rsidRPr="00DD0373">
        <w:rPr>
          <w:lang w:val="es-ES_tradnl"/>
        </w:rPr>
        <w:t xml:space="preserve">presentación. No obstante, la oradora aseguró a las </w:t>
      </w:r>
      <w:r w:rsidR="00C17707">
        <w:rPr>
          <w:lang w:val="es-ES_tradnl"/>
        </w:rPr>
        <w:t>Partes</w:t>
      </w:r>
      <w:r w:rsidRPr="00DD0373">
        <w:rPr>
          <w:lang w:val="es-ES_tradnl"/>
        </w:rPr>
        <w:t xml:space="preserve"> que el cuadro sí contendría información sobre alternativas.</w:t>
      </w:r>
    </w:p>
    <w:p w14:paraId="4D3BCB95" w14:textId="55C6AC0B" w:rsidR="00B522EC" w:rsidRPr="00DD0373" w:rsidRDefault="00B522EC" w:rsidP="00B522EC">
      <w:pPr>
        <w:pStyle w:val="Normalnumber"/>
        <w:rPr>
          <w:lang w:val="es-ES_tradnl"/>
        </w:rPr>
      </w:pPr>
      <w:r w:rsidRPr="00DD0373">
        <w:rPr>
          <w:lang w:val="es-ES_tradnl"/>
        </w:rPr>
        <w:t>En respuesta a las preguntas sobre las hipótesis relativas a la repercusión en la capa de ozono de</w:t>
      </w:r>
      <w:r w:rsidR="0042739E" w:rsidRPr="00DD0373">
        <w:rPr>
          <w:lang w:val="es-ES_tradnl"/>
        </w:rPr>
        <w:t> </w:t>
      </w:r>
      <w:r w:rsidRPr="00DD0373">
        <w:rPr>
          <w:lang w:val="es-ES_tradnl"/>
        </w:rPr>
        <w:t>las emisiones procedentes de las materias primas, la Sra. Carpenter confirmó que en las hipótesis se</w:t>
      </w:r>
      <w:r w:rsidR="0042739E" w:rsidRPr="00DD0373">
        <w:rPr>
          <w:lang w:val="es-ES_tradnl"/>
        </w:rPr>
        <w:t> </w:t>
      </w:r>
      <w:r w:rsidRPr="00DD0373">
        <w:rPr>
          <w:lang w:val="es-ES_tradnl"/>
        </w:rPr>
        <w:t>empleaban los factores de emisión que recientemente había revisado el Grupo de Evaluación Tecnológica y Económica, que eran superiores a los empleados en la evaluación anterior, y que, en términos de tecnología de reducción, en la hipótesis de referencia se suponía que se cumplirían plenamente el Protocolo de Montreal y la Enmienda de Kigali. La Sra. Carpenter recordó que en la última evaluación se había estimado que la demora en la recuperación de la capa de ozono sería de unos cinco años y dijo que, si bien aún no se había calculado, cabía esperar que fuese mayor, dados los factores de emisión más elevados.</w:t>
      </w:r>
    </w:p>
    <w:p w14:paraId="09FDF36A" w14:textId="24C56ECC" w:rsidR="00B522EC" w:rsidRPr="00DD0373" w:rsidRDefault="00B522EC" w:rsidP="00B522EC">
      <w:pPr>
        <w:pStyle w:val="Normalnumber"/>
        <w:rPr>
          <w:lang w:val="es-ES_tradnl"/>
        </w:rPr>
      </w:pPr>
      <w:r w:rsidRPr="00DD0373">
        <w:rPr>
          <w:lang w:val="es-ES_tradnl"/>
        </w:rPr>
        <w:t xml:space="preserve">En respuesta a una pregunta sobre la función que tenían los valores de las emisiones en la labor de los grupos, la Sra. Carpenter explicó que el cálculo de los niveles de emisiones permitía a los grupos emplear sus modelos informáticos y era la fuerza motriz de los cálculos relacionados con la recuperación de la capa de ozono. La vigilancia de las emisiones permitía a los grupos y a las </w:t>
      </w:r>
      <w:r w:rsidR="00C17707">
        <w:rPr>
          <w:lang w:val="es-ES_tradnl"/>
        </w:rPr>
        <w:t>Partes</w:t>
      </w:r>
      <w:r w:rsidRPr="00DD0373">
        <w:rPr>
          <w:lang w:val="es-ES_tradnl"/>
        </w:rPr>
        <w:t xml:space="preserve"> seguir la eliminación y reducción de las sustancias controladas; determinar nuevas cuestiones, y poner </w:t>
      </w:r>
      <w:r w:rsidRPr="00DD0373">
        <w:rPr>
          <w:lang w:val="es-ES_tradnl"/>
        </w:rPr>
        <w:lastRenderedPageBreak/>
        <w:t>de relieve situaciones en que los informes mostraban niveles de emisiones diferentes a los observados en la atmósfera.</w:t>
      </w:r>
    </w:p>
    <w:p w14:paraId="6E6FECA4" w14:textId="2B3BCC38" w:rsidR="00B522EC" w:rsidRPr="00DD0373" w:rsidRDefault="00B522EC" w:rsidP="00B522EC">
      <w:pPr>
        <w:pStyle w:val="Normalnumber"/>
        <w:rPr>
          <w:lang w:val="es-ES_tradnl"/>
        </w:rPr>
      </w:pPr>
      <w:r w:rsidRPr="00DD0373">
        <w:rPr>
          <w:lang w:val="es-ES_tradnl"/>
        </w:rPr>
        <w:t xml:space="preserve">En respuesta a una pregunta sobre la disponibilidad de alternativas a los propulsores de calidad farmacéutica en las </w:t>
      </w:r>
      <w:r w:rsidR="00C17707">
        <w:rPr>
          <w:lang w:val="es-ES_tradnl"/>
        </w:rPr>
        <w:t>Partes</w:t>
      </w:r>
      <w:r w:rsidRPr="00DD0373">
        <w:rPr>
          <w:lang w:val="es-ES_tradnl"/>
        </w:rPr>
        <w:t xml:space="preserve"> que operan al amparo del artículo 5, el Sr. Woodcock dijo que, 30</w:t>
      </w:r>
      <w:r w:rsidR="001A6661" w:rsidRPr="00DD0373">
        <w:rPr>
          <w:lang w:val="es-ES_tradnl"/>
        </w:rPr>
        <w:t xml:space="preserve"> </w:t>
      </w:r>
      <w:r w:rsidRPr="00DD0373">
        <w:rPr>
          <w:lang w:val="es-ES_tradnl"/>
        </w:rPr>
        <w:t>años</w:t>
      </w:r>
      <w:r w:rsidR="001A6661" w:rsidRPr="00DD0373">
        <w:rPr>
          <w:lang w:val="es-ES_tradnl"/>
        </w:rPr>
        <w:t xml:space="preserve"> atrás</w:t>
      </w:r>
      <w:r w:rsidRPr="00DD0373">
        <w:rPr>
          <w:lang w:val="es-ES_tradnl"/>
        </w:rPr>
        <w:t xml:space="preserve">, había muy pocas empresas que fabricasen inhaladores, y que había sido posible gestionar la eliminación de los CFC de forma estrecha y cuidadosa. No obstante, en aquel momento había 94 fabricantes de inhaladores en todo el mundo, y la prevalencia del asma y la enfermedad pulmonar obstructiva crónica iba en aumento. Las primeras empresas, que se ubicaban en </w:t>
      </w:r>
      <w:r w:rsidR="00C17707">
        <w:rPr>
          <w:lang w:val="es-ES_tradnl"/>
        </w:rPr>
        <w:t>Partes</w:t>
      </w:r>
      <w:r w:rsidRPr="00DD0373">
        <w:rPr>
          <w:lang w:val="es-ES_tradnl"/>
        </w:rPr>
        <w:t xml:space="preserve"> que no operan al amparo del artículo 5, habían comenzado la transición hacia alternativas con </w:t>
      </w:r>
      <w:r w:rsidR="005934C1" w:rsidRPr="00DD0373">
        <w:rPr>
          <w:lang w:val="es-ES_tradnl"/>
        </w:rPr>
        <w:t>un</w:t>
      </w:r>
      <w:r w:rsidRPr="00DD0373">
        <w:rPr>
          <w:lang w:val="es-ES_tradnl"/>
        </w:rPr>
        <w:t xml:space="preserve"> potencial de calentamiento atmosférico</w:t>
      </w:r>
      <w:r w:rsidR="005934C1" w:rsidRPr="00DD0373">
        <w:rPr>
          <w:lang w:val="es-ES_tradnl"/>
        </w:rPr>
        <w:t xml:space="preserve"> bajo</w:t>
      </w:r>
      <w:r w:rsidRPr="00DD0373">
        <w:rPr>
          <w:lang w:val="es-ES_tradnl"/>
        </w:rPr>
        <w:t>; algunas habían seleccionado el HFC</w:t>
      </w:r>
      <w:r w:rsidRPr="00DD0373">
        <w:rPr>
          <w:lang w:val="es-ES_tradnl"/>
        </w:rPr>
        <w:noBreakHyphen/>
        <w:t xml:space="preserve">152a, cuyo uso supondría una mejora del potencial de calentamiento atmosférico en torno al 90 %. Al menos una empresa había empezado utilizando una </w:t>
      </w:r>
      <w:proofErr w:type="spellStart"/>
      <w:r w:rsidRPr="00DD0373">
        <w:rPr>
          <w:lang w:val="es-ES_tradnl"/>
        </w:rPr>
        <w:t>hidrofluoroolefina</w:t>
      </w:r>
      <w:proofErr w:type="spellEnd"/>
      <w:r w:rsidRPr="00DD0373">
        <w:rPr>
          <w:lang w:val="es-ES_tradnl"/>
        </w:rPr>
        <w:t xml:space="preserve"> (HFO), y el primer inhalador de dosis medidas con HFO había recibido aprobación normativa en Europa y el Reino Unido en los últimos meses. El orador expresó la opinión de que muchas empresas estaban esperando a ver cómo reaccionaban los reguladores antes de actuar por su cuenta. Lamentablemente, no había soluciones a corto plazo en perspectiva para las </w:t>
      </w:r>
      <w:r w:rsidR="00C17707">
        <w:rPr>
          <w:lang w:val="es-ES_tradnl"/>
        </w:rPr>
        <w:t>Partes</w:t>
      </w:r>
      <w:r w:rsidRPr="00DD0373">
        <w:rPr>
          <w:lang w:val="es-ES_tradnl"/>
        </w:rPr>
        <w:t xml:space="preserve"> que operan al amparo del artículo 5. Una de las cuestiones era el suministro del gas propulsor, que en ese momento procedía principalmente de una empresa del Reino Unido. No obstante, los gases propulsores de calidad farmacéutica se obtenían cada vez más de China y la India, y se necesitaba más información sobre si esos suministros de gases propulsores eran seguros y si las empresas farmacéuticas podían realizar la transición de manera ordenada. El HFC</w:t>
      </w:r>
      <w:r w:rsidRPr="00DD0373">
        <w:rPr>
          <w:lang w:val="es-ES_tradnl"/>
        </w:rPr>
        <w:noBreakHyphen/>
        <w:t>152a, por ejemplo, era un gas propulsor más inflamable, lo que obligaba a las empresas a adoptar nuevas medidas de seguridad.</w:t>
      </w:r>
    </w:p>
    <w:p w14:paraId="56D64630" w14:textId="1024EF55" w:rsidR="00B522EC" w:rsidRPr="00DD0373" w:rsidRDefault="00B522EC" w:rsidP="00B522EC">
      <w:pPr>
        <w:pStyle w:val="Normalnumber"/>
        <w:rPr>
          <w:lang w:val="es-ES_tradnl"/>
        </w:rPr>
      </w:pPr>
      <w:r w:rsidRPr="00DD0373">
        <w:rPr>
          <w:lang w:val="es-ES_tradnl"/>
        </w:rPr>
        <w:t xml:space="preserve">En cuanto al tema de la inflamabilidad, un representante expresó su preocupación por el uso de sustancias inflamables en aerosoles y espumas, que a menudo era objeto de </w:t>
      </w:r>
      <w:r w:rsidR="00FC3E96" w:rsidRPr="00DD0373">
        <w:rPr>
          <w:lang w:val="es-ES_tradnl"/>
        </w:rPr>
        <w:t>concepciones</w:t>
      </w:r>
      <w:r w:rsidRPr="00DD0373">
        <w:rPr>
          <w:lang w:val="es-ES_tradnl"/>
        </w:rPr>
        <w:t xml:space="preserve"> erróne</w:t>
      </w:r>
      <w:r w:rsidR="00FC3E96" w:rsidRPr="00DD0373">
        <w:rPr>
          <w:lang w:val="es-ES_tradnl"/>
        </w:rPr>
        <w:t>a</w:t>
      </w:r>
      <w:r w:rsidRPr="00DD0373">
        <w:rPr>
          <w:lang w:val="es-ES_tradnl"/>
        </w:rPr>
        <w:t>s. Además, el Sr. Woodcock sugirió que se mantuviesen conversaciones bilaterales al margen de la reunión sobre la cuestión de qué subsector del sector de la refrigeración y el aire acondicionado presentaba mayores dificultades en lo referente al uso de refrigerantes naturales.</w:t>
      </w:r>
    </w:p>
    <w:p w14:paraId="754F8DF4" w14:textId="7DE159BD" w:rsidR="00B522EC" w:rsidRPr="00DD0373" w:rsidRDefault="00B522EC" w:rsidP="00B522EC">
      <w:pPr>
        <w:pStyle w:val="Normalnumber"/>
        <w:rPr>
          <w:lang w:val="es-ES_tradnl"/>
        </w:rPr>
      </w:pPr>
      <w:r w:rsidRPr="00DD0373">
        <w:rPr>
          <w:lang w:val="es-ES_tradnl"/>
        </w:rPr>
        <w:t>Un representante expresó su preocupación, que, según él, suscribía toda su región, por los escasos avances en materia de inversión en alternativas a los HFC, lo que limitaba o ponía en riesgo la</w:t>
      </w:r>
      <w:r w:rsidR="0042739E" w:rsidRPr="00DD0373">
        <w:rPr>
          <w:lang w:val="es-ES_tradnl"/>
        </w:rPr>
        <w:t> </w:t>
      </w:r>
      <w:r w:rsidRPr="00DD0373">
        <w:rPr>
          <w:lang w:val="es-ES_tradnl"/>
        </w:rPr>
        <w:t>sostenibilidad de las conversiones o las hacía mucho más complicadas de llevar a cabo.</w:t>
      </w:r>
    </w:p>
    <w:p w14:paraId="0805C6C6" w14:textId="77777777" w:rsidR="00B522EC" w:rsidRPr="00DD0373" w:rsidRDefault="00B522EC" w:rsidP="00B522EC">
      <w:pPr>
        <w:pStyle w:val="Normalnumber"/>
        <w:rPr>
          <w:lang w:val="es-ES_tradnl"/>
        </w:rPr>
      </w:pPr>
      <w:r w:rsidRPr="00DD0373">
        <w:rPr>
          <w:lang w:val="es-ES_tradnl"/>
        </w:rPr>
        <w:t xml:space="preserve">En respuesta a una pregunta sobre la nueva métrica “déficit de masa de ozono”, el Sr. </w:t>
      </w:r>
      <w:proofErr w:type="spellStart"/>
      <w:r w:rsidRPr="00DD0373">
        <w:rPr>
          <w:lang w:val="es-ES_tradnl"/>
        </w:rPr>
        <w:t>Jucks</w:t>
      </w:r>
      <w:proofErr w:type="spellEnd"/>
      <w:r w:rsidRPr="00DD0373">
        <w:rPr>
          <w:lang w:val="es-ES_tradnl"/>
        </w:rPr>
        <w:t xml:space="preserve"> dijo que su objetivo era ofrecer una visión más completa de la pérdida de ozono. Se analizaba la cantidad total de ozono sobre el agujero de la capa de ozono, en lugar del tamaño del agujero o la pérdida mínima media de ozono, métricas que no reflejaban toda la pérdida que se había producido.</w:t>
      </w:r>
    </w:p>
    <w:p w14:paraId="60A75A97" w14:textId="520BEA64" w:rsidR="00B522EC" w:rsidRPr="00DD0373" w:rsidRDefault="00B522EC" w:rsidP="00B522EC">
      <w:pPr>
        <w:pStyle w:val="Normalnumber"/>
        <w:rPr>
          <w:lang w:val="es-ES_tradnl"/>
        </w:rPr>
      </w:pPr>
      <w:r w:rsidRPr="00DD0373">
        <w:rPr>
          <w:lang w:val="es-ES_tradnl"/>
        </w:rPr>
        <w:t>En respuesta a una pregunta sobre los efectos de los ciclos naturales, incluido el ciclo solar, sobre el ozono, la Sra. Carpenter explicó que los efectos se producían principalmente en la estratosfera superior y se había incluido en los modelos del Grupo. No había pruebas de que los efectos del ciclo solar sobre el clima fuesen más que insignificantes. En cuanto a la recuperación de la capa de ozono, si bien había mucha variabilidad, en general seguía el patrón que se esperaba. La variabilidad natural episódica no solo se debía a los ciclos solares, sino también a fenómenos como los incendios forestales y los volcanes.</w:t>
      </w:r>
    </w:p>
    <w:p w14:paraId="0F4B49B2" w14:textId="5F0EF661" w:rsidR="00B522EC" w:rsidRPr="00DD0373" w:rsidRDefault="00B522EC" w:rsidP="00B522EC">
      <w:pPr>
        <w:pStyle w:val="Normalnumber"/>
        <w:rPr>
          <w:lang w:val="es-ES_tradnl"/>
        </w:rPr>
      </w:pPr>
      <w:r w:rsidRPr="00DD0373">
        <w:rPr>
          <w:lang w:val="es-ES_tradnl"/>
        </w:rPr>
        <w:t>En respuesta a una observación de una representante sobre la escasa cobertura que se había dado en el informe de los grupos a la cuestión de la discrepancia entre las mediciones atmosféricas y las emisiones notificadas de HFC</w:t>
      </w:r>
      <w:r w:rsidRPr="00DD0373">
        <w:rPr>
          <w:lang w:val="es-ES_tradnl"/>
        </w:rPr>
        <w:noBreakHyphen/>
        <w:t>23, la Sra. Carpenter dijo que el Grupo de Evaluación Científica y el Grupo de Evaluación Tecnológica y Económica habían preparado recientemente informes actualizados sobre la cuestión, que se habían presentado en la serie de sesiones preparatorias, y que por ese motivo habían decidido centrarse menos en el tema en sus presentaciones en el marco del tema del programa que estaba tratándose. Las proyecciones del HFC</w:t>
      </w:r>
      <w:r w:rsidRPr="00DD0373">
        <w:rPr>
          <w:lang w:val="es-ES_tradnl"/>
        </w:rPr>
        <w:noBreakHyphen/>
        <w:t>23 se incluirían, por supuesto, en los informes de evaluación cuatrienales de 2026. El Sr. Woodstock estuvo de acuerdo en que la cuestión de la discrepancia era importante y debería haberse tratado de forma más amplia.</w:t>
      </w:r>
    </w:p>
    <w:p w14:paraId="5656E849" w14:textId="1A481D3A" w:rsidR="00B522EC" w:rsidRPr="00DD0373" w:rsidRDefault="00B522EC" w:rsidP="00B522EC">
      <w:pPr>
        <w:pStyle w:val="Normalnumber"/>
        <w:rPr>
          <w:lang w:val="es-ES_tradnl"/>
        </w:rPr>
      </w:pPr>
      <w:r w:rsidRPr="00DD0373">
        <w:rPr>
          <w:lang w:val="es-ES_tradnl"/>
        </w:rPr>
        <w:t>Una representante pidió a los grupos que, en sus futuros informes, presentasen con mayor claridad la información sobre las sustancias con fuentes naturales significativas.</w:t>
      </w:r>
    </w:p>
    <w:p w14:paraId="5F1A2251" w14:textId="63D69705" w:rsidR="00B522EC" w:rsidRPr="00DD0373" w:rsidRDefault="00B522EC" w:rsidP="00B522EC">
      <w:pPr>
        <w:pStyle w:val="Normalnumber"/>
        <w:rPr>
          <w:lang w:val="es-ES_tradnl"/>
        </w:rPr>
      </w:pPr>
      <w:r w:rsidRPr="00DD0373">
        <w:rPr>
          <w:lang w:val="es-ES_tradnl"/>
        </w:rPr>
        <w:t xml:space="preserve">Las </w:t>
      </w:r>
      <w:r w:rsidR="00C17707">
        <w:rPr>
          <w:lang w:val="es-ES_tradnl"/>
        </w:rPr>
        <w:t>Partes</w:t>
      </w:r>
      <w:r w:rsidRPr="00DD0373">
        <w:rPr>
          <w:lang w:val="es-ES_tradnl"/>
        </w:rPr>
        <w:t xml:space="preserve"> tomaron nota de la información presentada.</w:t>
      </w:r>
    </w:p>
    <w:p w14:paraId="7136B1B5" w14:textId="77777777" w:rsidR="0042739E" w:rsidRPr="00DD0373" w:rsidRDefault="0042739E">
      <w:pPr>
        <w:tabs>
          <w:tab w:val="clear" w:pos="1247"/>
          <w:tab w:val="clear" w:pos="1814"/>
          <w:tab w:val="clear" w:pos="2381"/>
          <w:tab w:val="clear" w:pos="2948"/>
          <w:tab w:val="clear" w:pos="3515"/>
        </w:tabs>
        <w:rPr>
          <w:b/>
          <w:bCs/>
          <w:sz w:val="28"/>
          <w:szCs w:val="28"/>
          <w:lang w:val="es-ES_tradnl"/>
        </w:rPr>
      </w:pPr>
      <w:r w:rsidRPr="00DD0373">
        <w:rPr>
          <w:bCs/>
          <w:lang w:val="es-ES_tradnl"/>
        </w:rPr>
        <w:br w:type="page"/>
      </w:r>
    </w:p>
    <w:p w14:paraId="08A3698D" w14:textId="435D669F" w:rsidR="00B522EC" w:rsidRPr="00DD0373" w:rsidRDefault="009A6FE9" w:rsidP="00B522EC">
      <w:pPr>
        <w:pStyle w:val="CH1"/>
        <w:keepNext w:val="0"/>
        <w:keepLines w:val="0"/>
        <w:rPr>
          <w:lang w:val="es-ES_tradnl"/>
        </w:rPr>
      </w:pPr>
      <w:r w:rsidRPr="00DD0373">
        <w:rPr>
          <w:bCs/>
          <w:lang w:val="es-ES_tradnl"/>
        </w:rPr>
        <w:lastRenderedPageBreak/>
        <w:tab/>
      </w:r>
      <w:r w:rsidR="00B522EC" w:rsidRPr="00DD0373">
        <w:rPr>
          <w:bCs/>
          <w:lang w:val="es-ES_tradnl"/>
        </w:rPr>
        <w:t>IV.</w:t>
      </w:r>
      <w:r w:rsidR="00B522EC" w:rsidRPr="00DD0373">
        <w:rPr>
          <w:lang w:val="es-ES_tradnl"/>
        </w:rPr>
        <w:tab/>
      </w:r>
      <w:r w:rsidR="00B522EC" w:rsidRPr="00DD0373">
        <w:rPr>
          <w:bCs/>
          <w:lang w:val="es-ES_tradnl"/>
        </w:rPr>
        <w:t xml:space="preserve">Presentación del </w:t>
      </w:r>
      <w:proofErr w:type="gramStart"/>
      <w:r w:rsidR="00B522EC" w:rsidRPr="00DD0373">
        <w:rPr>
          <w:bCs/>
          <w:lang w:val="es-ES_tradnl"/>
        </w:rPr>
        <w:t>Presidente</w:t>
      </w:r>
      <w:proofErr w:type="gramEnd"/>
      <w:r w:rsidR="00B522EC" w:rsidRPr="00DD0373">
        <w:rPr>
          <w:bCs/>
          <w:lang w:val="es-ES_tradnl"/>
        </w:rPr>
        <w:t xml:space="preserve"> del Comité Ejecutivo del Fondo Multilateral para la Aplicación del Protocolo de Montreal sobre la labor realizada por el Comité Ejecutivo, la Secretaría del Fondo Multilateral y los organismos de ejecución del Fondo</w:t>
      </w:r>
    </w:p>
    <w:p w14:paraId="0014FDD3" w14:textId="72BAA98A" w:rsidR="00B522EC" w:rsidRPr="00DD0373" w:rsidRDefault="00B522EC" w:rsidP="00B522EC">
      <w:pPr>
        <w:pStyle w:val="Normalnumber"/>
        <w:rPr>
          <w:lang w:val="es-ES_tradnl"/>
        </w:rPr>
      </w:pPr>
      <w:r w:rsidRPr="00DD0373">
        <w:rPr>
          <w:lang w:val="es-ES_tradnl"/>
        </w:rPr>
        <w:t xml:space="preserve">Alessandro Peru, </w:t>
      </w:r>
      <w:proofErr w:type="gramStart"/>
      <w:r w:rsidRPr="00DD0373">
        <w:rPr>
          <w:lang w:val="es-ES_tradnl"/>
        </w:rPr>
        <w:t>Presidente</w:t>
      </w:r>
      <w:proofErr w:type="gramEnd"/>
      <w:r w:rsidRPr="00DD0373">
        <w:rPr>
          <w:lang w:val="es-ES_tradnl"/>
        </w:rPr>
        <w:t xml:space="preserve"> del Comité Ejecutivo del Fondo Multilateral para la Aplicación del Protocolo de Montreal, informó sobre la labor realizada por el Comité Ejecutivo, la Secretaría del Fondo Multilateral y los organismos de ejecución del Fondo desde la 36ª Reunión de las </w:t>
      </w:r>
      <w:r w:rsidR="00C17707">
        <w:rPr>
          <w:lang w:val="es-ES_tradnl"/>
        </w:rPr>
        <w:t>Partes</w:t>
      </w:r>
      <w:r w:rsidRPr="00DD0373">
        <w:rPr>
          <w:lang w:val="es-ES_tradnl"/>
        </w:rPr>
        <w:t xml:space="preserve">, y resumió la información suministrada en el documento UNEP/OzL.Pro.37/8. La declaración del </w:t>
      </w:r>
      <w:proofErr w:type="gramStart"/>
      <w:r w:rsidRPr="00DD0373">
        <w:rPr>
          <w:lang w:val="es-ES_tradnl"/>
        </w:rPr>
        <w:t>Presidente</w:t>
      </w:r>
      <w:proofErr w:type="gramEnd"/>
      <w:r w:rsidRPr="00DD0373">
        <w:rPr>
          <w:lang w:val="es-ES_tradnl"/>
        </w:rPr>
        <w:t xml:space="preserve"> se reproduce en el anexo II del presente informe.</w:t>
      </w:r>
    </w:p>
    <w:p w14:paraId="405A3296" w14:textId="6DA93C94" w:rsidR="00B522EC" w:rsidRPr="00DD0373" w:rsidRDefault="00B522EC" w:rsidP="00B522EC">
      <w:pPr>
        <w:pStyle w:val="Normalnumber"/>
        <w:rPr>
          <w:lang w:val="es-ES_tradnl"/>
        </w:rPr>
      </w:pPr>
      <w:r w:rsidRPr="00DD0373">
        <w:rPr>
          <w:lang w:val="es-ES_tradnl"/>
        </w:rPr>
        <w:t xml:space="preserve">Las </w:t>
      </w:r>
      <w:r w:rsidR="00C17707">
        <w:rPr>
          <w:lang w:val="es-ES_tradnl"/>
        </w:rPr>
        <w:t>Partes</w:t>
      </w:r>
      <w:r w:rsidRPr="00DD0373">
        <w:rPr>
          <w:lang w:val="es-ES_tradnl"/>
        </w:rPr>
        <w:t xml:space="preserve"> tomaron nota de la información presentada.</w:t>
      </w:r>
    </w:p>
    <w:p w14:paraId="1D1D5EC4" w14:textId="519877E0" w:rsidR="00C20895" w:rsidRPr="00DD0373" w:rsidRDefault="009A6FE9" w:rsidP="003B048F">
      <w:pPr>
        <w:pStyle w:val="CH1"/>
        <w:keepNext w:val="0"/>
        <w:keepLines w:val="0"/>
        <w:rPr>
          <w:lang w:val="es-ES_tradnl"/>
        </w:rPr>
      </w:pPr>
      <w:r w:rsidRPr="00DD0373">
        <w:rPr>
          <w:bCs/>
          <w:lang w:val="es-ES_tradnl"/>
        </w:rPr>
        <w:tab/>
      </w:r>
      <w:r w:rsidR="003B048F" w:rsidRPr="00DD0373">
        <w:rPr>
          <w:bCs/>
          <w:lang w:val="es-ES_tradnl"/>
        </w:rPr>
        <w:t>V.</w:t>
      </w:r>
      <w:r w:rsidR="003B048F" w:rsidRPr="00DD0373">
        <w:rPr>
          <w:lang w:val="es-ES_tradnl"/>
        </w:rPr>
        <w:tab/>
      </w:r>
      <w:r w:rsidR="003B048F" w:rsidRPr="00DD0373">
        <w:rPr>
          <w:bCs/>
          <w:lang w:val="es-ES_tradnl"/>
        </w:rPr>
        <w:t>Declaraciones de las jefaturas de delegación y debate sobre temas clave</w:t>
      </w:r>
    </w:p>
    <w:p w14:paraId="18294A3F" w14:textId="7A782304" w:rsidR="00D904ED" w:rsidRPr="00DD0373" w:rsidRDefault="00D904ED" w:rsidP="002C30D7">
      <w:pPr>
        <w:pStyle w:val="Normalnumber"/>
        <w:rPr>
          <w:lang w:val="es-ES_tradnl"/>
        </w:rPr>
      </w:pPr>
      <w:r w:rsidRPr="00DD0373">
        <w:rPr>
          <w:lang w:val="es-ES_tradnl"/>
        </w:rPr>
        <w:t xml:space="preserve">Durante la serie de sesiones de alto nivel, formularon declaraciones los jefes de delegación o sus representantes de las </w:t>
      </w:r>
      <w:r w:rsidR="00C17707">
        <w:rPr>
          <w:lang w:val="es-ES_tradnl"/>
        </w:rPr>
        <w:t>Partes</w:t>
      </w:r>
      <w:r w:rsidRPr="00DD0373">
        <w:rPr>
          <w:lang w:val="es-ES_tradnl"/>
        </w:rPr>
        <w:t xml:space="preserve"> siguientes: Angola, Arabia Saudita, Azerbaiyán, Bangladesh, Barbados, Bosnia y Herzegovina, Brasil, Burundi, Camboya, China, Colombia, Comoras, Costa Rica, Cuba, Ecuador, </w:t>
      </w:r>
      <w:proofErr w:type="spellStart"/>
      <w:r w:rsidRPr="00DD0373">
        <w:rPr>
          <w:lang w:val="es-ES_tradnl"/>
        </w:rPr>
        <w:t>Fiji</w:t>
      </w:r>
      <w:proofErr w:type="spellEnd"/>
      <w:r w:rsidRPr="00DD0373">
        <w:rPr>
          <w:lang w:val="es-ES_tradnl"/>
        </w:rPr>
        <w:t xml:space="preserve">, Filipinas, Gambia, India, Indonesia, Iraq, Malasia, Maldivas, Mauricio, México, Mozambique, Myanmar, Nigeria, Perú, Qatar, República Islámica </w:t>
      </w:r>
      <w:proofErr w:type="spellStart"/>
      <w:r w:rsidRPr="00DD0373">
        <w:rPr>
          <w:lang w:val="es-ES_tradnl"/>
        </w:rPr>
        <w:t>del</w:t>
      </w:r>
      <w:proofErr w:type="spellEnd"/>
      <w:r w:rsidRPr="00DD0373">
        <w:rPr>
          <w:lang w:val="es-ES_tradnl"/>
        </w:rPr>
        <w:t xml:space="preserve"> Irán, Senegal en nombre del Grupo Africano de Negociadores sobre el Ozono, Sri Lanka, Túnez, </w:t>
      </w:r>
      <w:proofErr w:type="spellStart"/>
      <w:r w:rsidRPr="00DD0373">
        <w:rPr>
          <w:lang w:val="es-ES_tradnl"/>
        </w:rPr>
        <w:t>Türkiye</w:t>
      </w:r>
      <w:proofErr w:type="spellEnd"/>
      <w:r w:rsidRPr="00DD0373">
        <w:rPr>
          <w:lang w:val="es-ES_tradnl"/>
        </w:rPr>
        <w:t>, Uganda, Viet Nam, Yemen y Unión Europea. También presentaron declaraciones representantes del grupo principal de la infancia y la juventud y el Instituto Internacional del Frío.</w:t>
      </w:r>
    </w:p>
    <w:p w14:paraId="031216ED" w14:textId="17DA038D" w:rsidR="00D904ED" w:rsidRPr="00DD0373" w:rsidRDefault="00D904ED" w:rsidP="00D904ED">
      <w:pPr>
        <w:pStyle w:val="Normalnumber"/>
        <w:rPr>
          <w:lang w:val="es-ES_tradnl"/>
        </w:rPr>
      </w:pPr>
      <w:r w:rsidRPr="00DD0373">
        <w:rPr>
          <w:lang w:val="es-ES_tradnl"/>
        </w:rPr>
        <w:t>Numerosos representantes que hicieron uso de la palabra expresaron su agradecimiento al Gobierno y el pueblo de Kenya por su hospitalidad. También hubo expresiones de</w:t>
      </w:r>
      <w:r w:rsidR="00D53112" w:rsidRPr="00DD0373">
        <w:rPr>
          <w:lang w:val="es-ES_tradnl"/>
        </w:rPr>
        <w:t xml:space="preserve"> </w:t>
      </w:r>
      <w:r w:rsidRPr="00DD0373">
        <w:rPr>
          <w:lang w:val="es-ES_tradnl"/>
        </w:rPr>
        <w:t>agradecimiento a</w:t>
      </w:r>
      <w:r w:rsidR="0042739E" w:rsidRPr="00DD0373">
        <w:rPr>
          <w:lang w:val="es-ES_tradnl"/>
        </w:rPr>
        <w:t> </w:t>
      </w:r>
      <w:r w:rsidRPr="00DD0373">
        <w:rPr>
          <w:lang w:val="es-ES_tradnl"/>
        </w:rPr>
        <w:t>la</w:t>
      </w:r>
      <w:r w:rsidR="0042739E" w:rsidRPr="00DD0373">
        <w:rPr>
          <w:lang w:val="es-ES_tradnl"/>
        </w:rPr>
        <w:t> </w:t>
      </w:r>
      <w:r w:rsidRPr="00DD0373">
        <w:rPr>
          <w:lang w:val="es-ES_tradnl"/>
        </w:rPr>
        <w:t>Secretaría del Ozono y la Mesa, la Secretaría y el Comité Ejecutivo del Fondo Multilateral, el PNUMA, los organismos de ejecución, los donantes, los grupos de evaluación, las organizaciones internacionales y demás interesados por su interés en velar por el éxito de la reunión, en</w:t>
      </w:r>
      <w:r w:rsidR="00FD50F7" w:rsidRPr="00DD0373">
        <w:rPr>
          <w:lang w:val="es-ES_tradnl"/>
        </w:rPr>
        <w:t xml:space="preserve"> </w:t>
      </w:r>
      <w:r w:rsidRPr="00DD0373">
        <w:rPr>
          <w:lang w:val="es-ES_tradnl"/>
        </w:rPr>
        <w:t>particular, y el</w:t>
      </w:r>
      <w:r w:rsidR="0042739E" w:rsidRPr="00DD0373">
        <w:rPr>
          <w:lang w:val="es-ES_tradnl"/>
        </w:rPr>
        <w:t> </w:t>
      </w:r>
      <w:r w:rsidRPr="00DD0373">
        <w:rPr>
          <w:lang w:val="es-ES_tradnl"/>
        </w:rPr>
        <w:t>Protocolo de Montreal en general.</w:t>
      </w:r>
    </w:p>
    <w:p w14:paraId="680632E0" w14:textId="424A984A" w:rsidR="00D904ED" w:rsidRPr="00DD0373" w:rsidRDefault="00D904ED" w:rsidP="002C30D7">
      <w:pPr>
        <w:pStyle w:val="Normalnumber"/>
        <w:rPr>
          <w:lang w:val="es-ES_tradnl"/>
        </w:rPr>
      </w:pPr>
      <w:r w:rsidRPr="00DD0373">
        <w:rPr>
          <w:lang w:val="es-ES_tradnl"/>
        </w:rPr>
        <w:t>Varios representantes hablaron de la importancia contextual de la reunión, que representaba una</w:t>
      </w:r>
      <w:r w:rsidR="0042739E" w:rsidRPr="00DD0373">
        <w:rPr>
          <w:lang w:val="es-ES_tradnl"/>
        </w:rPr>
        <w:t> </w:t>
      </w:r>
      <w:r w:rsidRPr="00DD0373">
        <w:rPr>
          <w:lang w:val="es-ES_tradnl"/>
        </w:rPr>
        <w:t>oportunidad para reflexionar sobre los avances logrados, determinar los retos pendientes y renovar el compromiso colectivo de proteger la capa de ozono y mitigar el cambio climático. Algunos representantes señalaron que en 2025 se cumpliría el 40º aniversario del Convenio de Viena, con el que, junto con su Protocolo de Montreal, se habían sentado las bases para la posterior cooperación internacional en materia de investigación, observación sistemática y evaluación científica con el fin de</w:t>
      </w:r>
      <w:r w:rsidR="0042739E" w:rsidRPr="00DD0373">
        <w:rPr>
          <w:lang w:val="es-ES_tradnl"/>
        </w:rPr>
        <w:t> </w:t>
      </w:r>
      <w:r w:rsidRPr="00DD0373">
        <w:rPr>
          <w:lang w:val="es-ES_tradnl"/>
        </w:rPr>
        <w:t>superar el desafío del agotamiento de la capa de ozono.</w:t>
      </w:r>
    </w:p>
    <w:p w14:paraId="50DA9EBB" w14:textId="6A19B8CF" w:rsidR="00D904ED" w:rsidRPr="00DD0373" w:rsidRDefault="00D904ED" w:rsidP="00D904ED">
      <w:pPr>
        <w:pStyle w:val="Normalnumber"/>
        <w:rPr>
          <w:lang w:val="es-ES_tradnl"/>
        </w:rPr>
      </w:pPr>
      <w:r w:rsidRPr="00DD0373">
        <w:rPr>
          <w:lang w:val="es-ES_tradnl"/>
        </w:rPr>
        <w:t xml:space="preserve">Muchos de los oradores reconocieron los buenos resultados del Protocolo de Montreal y sus </w:t>
      </w:r>
      <w:r w:rsidR="00C17707">
        <w:rPr>
          <w:lang w:val="es-ES_tradnl"/>
        </w:rPr>
        <w:t>Partes</w:t>
      </w:r>
      <w:r w:rsidRPr="00DD0373">
        <w:rPr>
          <w:lang w:val="es-ES_tradnl"/>
        </w:rPr>
        <w:t xml:space="preserve"> en el control y la eliminación de las sustancias que agotan la capa de ozono, con enormes beneficios para la salud humana y el medio ambiente. El Protocolo de Montreal se erigía como un hito en los logros multilaterales, un ejemplo de lo que podía conseguirse cuando las naciones reconocían que los retos ambientales trascendían las fronteras y se unían en torno a ese objetivo común. Esos buenos resultados se basaban en el reconocimiento colectivo de que la ciencia y la confianza en los resultados del trabajo científico eran la base de una actuación eficaz. Una piedra angular importante de</w:t>
      </w:r>
      <w:r w:rsidR="0042739E" w:rsidRPr="00DD0373">
        <w:rPr>
          <w:lang w:val="es-ES_tradnl"/>
        </w:rPr>
        <w:t> </w:t>
      </w:r>
      <w:r w:rsidRPr="00DD0373">
        <w:rPr>
          <w:lang w:val="es-ES_tradnl"/>
        </w:rPr>
        <w:t>ese logro era el Fondo Multilateral, que había permitido a muchos países adoptar las medidas necesarias a escala nacional para eliminar las sustancias nocivas para el ozono. En fechas más recientes, la Enmienda de Kigali al Protocolo de Montreal se había convertido en uno de los pilares de</w:t>
      </w:r>
      <w:r w:rsidR="0042739E" w:rsidRPr="00DD0373">
        <w:rPr>
          <w:lang w:val="es-ES_tradnl"/>
        </w:rPr>
        <w:t> </w:t>
      </w:r>
      <w:r w:rsidRPr="00DD0373">
        <w:rPr>
          <w:lang w:val="es-ES_tradnl"/>
        </w:rPr>
        <w:t>la cooperación internacional en materia de medio ambiente. Como señaló un representante, el verdadero valor del Protocolo de Montreal radicaba en que demostraba que, a pesar de sus diferentes realidades económicas y políticas, los países podían llegar a acuerdos, compartir responsabilidades y cumplirlas. Varios representantes se refirieron al principio de responsabilidades comunes pero diferenciadas, con el que se había obtenido una base jurídica e institucional justa y eficaz para velar por el cumplimiento y brindar apoyo técnico y financiero.</w:t>
      </w:r>
    </w:p>
    <w:p w14:paraId="6E08573A" w14:textId="77777777" w:rsidR="00D904ED" w:rsidRPr="00DD0373" w:rsidRDefault="00D904ED" w:rsidP="00D904ED">
      <w:pPr>
        <w:pStyle w:val="Normalnumber"/>
        <w:rPr>
          <w:lang w:val="es-ES_tradnl"/>
        </w:rPr>
      </w:pPr>
      <w:r w:rsidRPr="00DD0373">
        <w:rPr>
          <w:lang w:val="es-ES_tradnl"/>
        </w:rPr>
        <w:t>Varios representantes reafirmaron su compromiso con los objetivos de esos instrumentos y los principios que subyacían a ellos: la ciencia como base para la adopción de decisiones, la equidad como motor de la acción, la cooperación como condición previa para la consecución de buenos resultados y un enfoque consensuado para alcanzar acuerdos.</w:t>
      </w:r>
    </w:p>
    <w:p w14:paraId="51075078" w14:textId="6EA4563D" w:rsidR="00D904ED" w:rsidRPr="00DD0373" w:rsidRDefault="00D904ED" w:rsidP="00D904ED">
      <w:pPr>
        <w:pStyle w:val="Normalnumber"/>
        <w:rPr>
          <w:lang w:val="es-ES_tradnl"/>
        </w:rPr>
      </w:pPr>
      <w:r w:rsidRPr="00DD0373">
        <w:rPr>
          <w:lang w:val="es-ES_tradnl"/>
        </w:rPr>
        <w:t xml:space="preserve">A pesar de esos impresionantes logros, una serie de retos, tanto presentes como futuros, seguirían poniendo a prueba el ingenio de la “familia del ozono”. Entre ellos se incluían la </w:t>
      </w:r>
      <w:r w:rsidRPr="00DD0373">
        <w:rPr>
          <w:lang w:val="es-ES_tradnl"/>
        </w:rPr>
        <w:lastRenderedPageBreak/>
        <w:t>incertidumbre sobre la disponibilidad en el mercado y el costo de sustancias y tecnologías alternativas; la disponibilidad de fondos para facilitar la aplicación del Protocolo de Montreal; la inadecuación de la creación de capacidad y la capacitación en los distintos niveles de gobernanza; la insuficiencia de la participación de una amplia gama de interesados; el aumento de volumen de los bancos de sustancias nocivas para el ozono usadas que debían eliminarse, y los efectos de los conflictos armados y un entorno geopolítico difícil.</w:t>
      </w:r>
    </w:p>
    <w:p w14:paraId="20A6E3F0" w14:textId="6D0C5679" w:rsidR="00D904ED" w:rsidRPr="00DD0373" w:rsidRDefault="00D904ED" w:rsidP="00D904ED">
      <w:pPr>
        <w:pStyle w:val="Normalnumber"/>
        <w:rPr>
          <w:lang w:val="es-ES_tradnl"/>
        </w:rPr>
      </w:pPr>
      <w:r w:rsidRPr="00DD0373">
        <w:rPr>
          <w:lang w:val="es-ES_tradnl"/>
        </w:rPr>
        <w:t>Un reto importante relacionado con las discrepancias sin explicación entre los datos notificados obtenidos de la presentación de información y los niveles globales reales de determinadas sustancias controladas. En ese sentido, según la vigilancia atmosférica, las emisiones reales de HFC</w:t>
      </w:r>
      <w:r w:rsidRPr="00DD0373">
        <w:rPr>
          <w:lang w:val="es-ES_tradnl"/>
        </w:rPr>
        <w:noBreakHyphen/>
        <w:t>23, un subproducto de la producción de HCFC</w:t>
      </w:r>
      <w:r w:rsidRPr="00DD0373">
        <w:rPr>
          <w:lang w:val="es-ES_tradnl"/>
        </w:rPr>
        <w:noBreakHyphen/>
        <w:t>22 con un potencial de calentamiento atmosférico extremadamente alto, eran significativamente más altas que las emisiones notificadas, lo que presentaba un rompecabezas global que requería una solución urgente. Estas anomalías y acontecimientos pusieron de manifiesto la necesidad urgente de adoptar medidas para aumentar la cobertura mundial de vigilancia atmosférica mediante la instalación de estaciones adicionales en emplazamientos prioritarios, con el fin de determinar las necesidades y las lagunas que debían solventarse y verificar la repercusión de las medidas aplicadas en la capa de ozono. El representante de Bangladesh dijo que su país se enorgullecía de albergar la estación de vigilancia atmosférica de la isla de Bhola, que había aportado datos valiosos para mejorar la observación atmosférica mundial y reforzar la base científica en que se sustentaban las decisiones normativas del Protocolo de Montreal.</w:t>
      </w:r>
    </w:p>
    <w:p w14:paraId="3D832795" w14:textId="0D5E46B0" w:rsidR="00D904ED" w:rsidRPr="00DD0373" w:rsidRDefault="00D904ED" w:rsidP="00D904ED">
      <w:pPr>
        <w:pStyle w:val="Normalnumber"/>
        <w:rPr>
          <w:lang w:val="es-ES_tradnl"/>
        </w:rPr>
      </w:pPr>
      <w:r w:rsidRPr="00DD0373">
        <w:rPr>
          <w:lang w:val="es-ES_tradnl"/>
        </w:rPr>
        <w:t>Otros retos nuevos estaban relacionados con las PFAS, cuya producción y emisiones estaban vinculadas a las materias primas y precursores utilizados en la fabricación de sustancias fluoradas, y el uso continuado del halón 1301 en el sector de la aviación.</w:t>
      </w:r>
    </w:p>
    <w:p w14:paraId="6B925E36" w14:textId="13B9A2EC" w:rsidR="00D904ED" w:rsidRPr="00DD0373" w:rsidRDefault="00D904ED" w:rsidP="00D904ED">
      <w:pPr>
        <w:pStyle w:val="Normalnumber"/>
        <w:rPr>
          <w:lang w:val="es-ES_tradnl"/>
        </w:rPr>
      </w:pPr>
      <w:r w:rsidRPr="00DD0373">
        <w:rPr>
          <w:lang w:val="es-ES_tradnl"/>
        </w:rPr>
        <w:t xml:space="preserve">En lo referente a la estructura organizativa del Protocolo de Montreal, seguía siendo importante fortalecer las instituciones del Protocolo a fin de velar por el cumplimiento continuo y responder a la rápida evolución del entorno institucional mundial. El aumento del comercio ilícito era un problema que exigía una mayor vigilancia, lo que ponía de relieve la necesidad de que las </w:t>
      </w:r>
      <w:r w:rsidR="00C17707">
        <w:rPr>
          <w:lang w:val="es-ES_tradnl"/>
        </w:rPr>
        <w:t>Partes</w:t>
      </w:r>
      <w:r w:rsidRPr="00DD0373">
        <w:rPr>
          <w:lang w:val="es-ES_tradnl"/>
        </w:rPr>
        <w:t xml:space="preserve"> siguiesen compartiendo información, mejores prácticas y lecciones aprendidas con el fin de mejorar los sistemas</w:t>
      </w:r>
      <w:r w:rsidR="0042739E" w:rsidRPr="00DD0373">
        <w:rPr>
          <w:lang w:val="es-ES_tradnl"/>
        </w:rPr>
        <w:t> </w:t>
      </w:r>
      <w:r w:rsidRPr="00DD0373">
        <w:rPr>
          <w:lang w:val="es-ES_tradnl"/>
        </w:rPr>
        <w:t>de concesión de licencias, verificación y presentación de informes.</w:t>
      </w:r>
    </w:p>
    <w:p w14:paraId="69352AB6" w14:textId="6826CFB1" w:rsidR="00D904ED" w:rsidRPr="00DD0373" w:rsidRDefault="00D904ED" w:rsidP="00D904ED">
      <w:pPr>
        <w:pStyle w:val="Normalnumber"/>
        <w:rPr>
          <w:lang w:val="es-ES_tradnl"/>
        </w:rPr>
      </w:pPr>
      <w:r w:rsidRPr="00DD0373">
        <w:rPr>
          <w:lang w:val="es-ES_tradnl"/>
        </w:rPr>
        <w:t>Para hacer frente y responder a todos esos retos, con el Protocolo de Montreal debía permanecerse alerta ante las necesidades y requisitos específicos de determinados grupos de países vulnerables, como los pequeños Estados insulares en desarrollo y los países con un consumo bajo o muy bajo.</w:t>
      </w:r>
    </w:p>
    <w:p w14:paraId="20D0A6A4" w14:textId="1CFEE4D7" w:rsidR="00D904ED" w:rsidRPr="00DD0373" w:rsidRDefault="00D904ED" w:rsidP="00D904ED">
      <w:pPr>
        <w:pStyle w:val="Normalnumber"/>
        <w:rPr>
          <w:lang w:val="es-ES_tradnl"/>
        </w:rPr>
      </w:pPr>
      <w:r w:rsidRPr="00DD0373">
        <w:rPr>
          <w:lang w:val="es-ES_tradnl"/>
        </w:rPr>
        <w:t>La financiación y otras formas de asistencia seguían siendo fundamentales para que el Protocolo de Montreal resultase fructífero, especialmente cuando los países en desarrollo se enfrentaban a restricciones financieras, limitaciones tecnológicas y una presión social cada vez mayor para mantener el crecimiento económico y la inclusión. Varios países aludieron a la necesidad de obtener más asistencia técnica y financiera, incluida la transferencia de tecnología, a fin de ayudar al fortalecimiento institucional, la creación de capacidad y la capacitación en materia de seguridad, así como para abordar nuevas cuestiones como las PFAS, los refrigerantes inflamables y la creciente demanda de refrigeración en los centros de datos. Otras prioridades de financiación detectadas fueron</w:t>
      </w:r>
      <w:r w:rsidR="00504020" w:rsidRPr="00DD0373">
        <w:rPr>
          <w:lang w:val="es-ES_tradnl"/>
        </w:rPr>
        <w:t>:</w:t>
      </w:r>
      <w:r w:rsidRPr="00DD0373">
        <w:rPr>
          <w:lang w:val="es-ES_tradnl"/>
        </w:rPr>
        <w:t xml:space="preserve"> la eficiencia energética, la integración de la perspectiva de género, la gestión al final de la vida útil y la digitalización en el sector de los servicios. Se expresó preocupación por el elevado costo de las tecnologías alternativas disponibles en aquel momento, en particular en los sectores del aire acondicionado y la refrigeración, con repercusiones para las economías nacionales. Para abordar esa</w:t>
      </w:r>
      <w:r w:rsidR="0042739E" w:rsidRPr="00DD0373">
        <w:rPr>
          <w:lang w:val="es-ES_tradnl"/>
        </w:rPr>
        <w:t> </w:t>
      </w:r>
      <w:r w:rsidRPr="00DD0373">
        <w:rPr>
          <w:lang w:val="es-ES_tradnl"/>
        </w:rPr>
        <w:t>cuestión, se necesitaba un mayor apoyo técnico y financiero, incluido el del Fondo Multilateral. Algunos representantes afirmaron que ese apoyo debería dispensarse de manera justa y equitativa, sin</w:t>
      </w:r>
      <w:r w:rsidR="0042739E" w:rsidRPr="00DD0373">
        <w:rPr>
          <w:lang w:val="es-ES_tradnl"/>
        </w:rPr>
        <w:t> </w:t>
      </w:r>
      <w:r w:rsidRPr="00DD0373">
        <w:rPr>
          <w:lang w:val="es-ES_tradnl"/>
        </w:rPr>
        <w:t>sesgos políticos.</w:t>
      </w:r>
    </w:p>
    <w:p w14:paraId="7F959CFE" w14:textId="3537EBC5" w:rsidR="00D904ED" w:rsidRPr="00DD0373" w:rsidRDefault="00D904ED" w:rsidP="00D904ED">
      <w:pPr>
        <w:pStyle w:val="Normalnumber"/>
        <w:rPr>
          <w:lang w:val="es-ES_tradnl"/>
        </w:rPr>
      </w:pPr>
      <w:r w:rsidRPr="00DD0373">
        <w:rPr>
          <w:lang w:val="es-ES_tradnl"/>
        </w:rPr>
        <w:t>El Fondo Multilateral seguía siendo el mecanismo central y esencial que permitía a los países en desarrollo afrontar retos complejos y cumplir con los calendarios de eliminación y reducción del Protocolo de Montreal y la Enmienda de Kigali, además de ser una plataforma para la innovación, la creación de capacidad y el progreso en común. No obstante, aunque el Fondo Multilateral había sido un ejemplo de cooperación eficaz, era necesario fortalecerlo para las nuevas etapas que se avecinaban. Se necesitaban mecanismos de financiación más ágiles, predecibles y sostenibles para ampliar la acción y velar por que ningún país se quedase atrás.</w:t>
      </w:r>
    </w:p>
    <w:p w14:paraId="29B4BE0D" w14:textId="40294BE7" w:rsidR="00D904ED" w:rsidRPr="00DD0373" w:rsidRDefault="00D904ED" w:rsidP="00D904ED">
      <w:pPr>
        <w:pStyle w:val="Normalnumber"/>
        <w:rPr>
          <w:lang w:val="es-ES_tradnl"/>
        </w:rPr>
      </w:pPr>
      <w:r w:rsidRPr="00DD0373">
        <w:rPr>
          <w:lang w:val="es-ES_tradnl"/>
        </w:rPr>
        <w:t>Por lo tanto, eran de vital importancia los debates celebrados en la reunión en curso sobre el</w:t>
      </w:r>
      <w:r w:rsidR="0042739E" w:rsidRPr="00DD0373">
        <w:rPr>
          <w:lang w:val="es-ES_tradnl"/>
        </w:rPr>
        <w:t> </w:t>
      </w:r>
      <w:r w:rsidRPr="00DD0373">
        <w:rPr>
          <w:lang w:val="es-ES_tradnl"/>
        </w:rPr>
        <w:t>mandato de un estudio relativo a la reposición de fondos del Protocolo de Montreal para el período</w:t>
      </w:r>
      <w:r w:rsidR="002F0D13" w:rsidRPr="00DD0373">
        <w:rPr>
          <w:lang w:val="es-ES_tradnl"/>
        </w:rPr>
        <w:t> </w:t>
      </w:r>
      <w:r w:rsidRPr="00DD0373">
        <w:rPr>
          <w:lang w:val="es-ES_tradnl"/>
        </w:rPr>
        <w:t>2027</w:t>
      </w:r>
      <w:r w:rsidR="0042739E" w:rsidRPr="00DD0373">
        <w:rPr>
          <w:lang w:val="es-ES_tradnl"/>
        </w:rPr>
        <w:t>-</w:t>
      </w:r>
      <w:r w:rsidRPr="00DD0373">
        <w:rPr>
          <w:lang w:val="es-ES_tradnl"/>
        </w:rPr>
        <w:t xml:space="preserve">2029. Para que el Protocolo de Montreal fuese viable a largo plazo, era fundamental que se mantuviesen las actividades y políticas basadas en el cumplimiento relacionadas con la reducción de los HFC, incluido el desarrollo de soluciones en que se utilizasen refrigerantes naturales. El nivel </w:t>
      </w:r>
      <w:r w:rsidRPr="00DD0373">
        <w:rPr>
          <w:lang w:val="es-ES_tradnl"/>
        </w:rPr>
        <w:lastRenderedPageBreak/>
        <w:t>de reposición debía reflejar los retos reales a que se enfrentaban los países en desarrollo, incluidos aquellos con mercados pequeños y de bajo consumo, en que las necesidades del sector servicios, la transferencia de tecnología, la capacitación técnica, la verificación de datos y los ajustes normativos suponían una carga significativa.</w:t>
      </w:r>
    </w:p>
    <w:p w14:paraId="15EBC347" w14:textId="01F3D0CC" w:rsidR="00D904ED" w:rsidRPr="00DD0373" w:rsidRDefault="00D904ED" w:rsidP="00D904ED">
      <w:pPr>
        <w:pStyle w:val="Normalnumber"/>
        <w:rPr>
          <w:lang w:val="es-ES_tradnl"/>
        </w:rPr>
      </w:pPr>
      <w:r w:rsidRPr="00DD0373">
        <w:rPr>
          <w:lang w:val="es-ES_tradnl"/>
        </w:rPr>
        <w:t>Varios representantes describieron las medidas continuadas que estaban adoptándose en sus países, con ayuda del Fondo Multilateral y los organismos de ejecución, para eliminar las sustancias que agotaban el ozono, llevar a la práctica las distintas etapas de sus planes de gestión de la eliminación de los HCFC y cumplir las disposiciones del Protocolo de Montreal, incluida la adopción de medidas de carácter legislativo, normativo, fiscal, institucional y programático. Se esbozó una amplia gama de actividades, entre ellas la prohibición de la importación y el uso de aparatos de aire acondicionado que contuviesen HCFC; el fortalecimiento de los marcos institucionales y regulatorios mediante la colaboración con organismos clave; los programas de capacitación y certificación para técnicos, funcionarios de aduanas, agentes del orden e interesados del sector; las campañas de sensibilización entre los escolares y el público en general; el desarrollo de un sistema de concesión de licencias en línea y gestión de cuotas para la importación y exportación de sustancias controladas; la asignación de clasificaciones aduaneras a las sustancias controladas, con la asistencia de la Secretaría del Ozono y la Organización Mundial de Aduanas, y el establecimiento de un panel interactivo con datos actualizados sobre el consumo de HCFC y HFC con el fin de mejorar la eficiencia y la transparencia de la gestión.</w:t>
      </w:r>
    </w:p>
    <w:p w14:paraId="66AD7879" w14:textId="11DC5957" w:rsidR="008E2675" w:rsidRPr="00DD0373" w:rsidRDefault="00D904ED" w:rsidP="005E467C">
      <w:pPr>
        <w:pStyle w:val="Normalnumber"/>
        <w:rPr>
          <w:lang w:val="es-ES_tradnl"/>
        </w:rPr>
      </w:pPr>
      <w:r w:rsidRPr="00DD0373">
        <w:rPr>
          <w:lang w:val="es-ES_tradnl"/>
        </w:rPr>
        <w:t>Con respecto a la Enmienda de Kigali, varios representantes dijeron que sus países ya habían ratificado la Enmienda o estaban en vías de hacerlo, y reconocieron su importancia para la dirección futura del Protocolo de Montreal y su papel fundamental en las iniciativas mundiales destinadas a combatir el cambio climático mediante la reducción de las emisiones de gases de efecto invernadero. Varios países estaban llevando a cabo medidas pertinentes en consonancia con sus obligaciones en virtud de la Enmienda de Kigali, entre ellas la recopilación de datos para establecer el consumo de referencia de HFC y la elaboración de planes de reducción de los HFC. Varios representantes dijeron que sus países habían presentado sus contribuciones determinadas a nivel nacional en virtud del Acuerdo de París sobre el cambio climático.</w:t>
      </w:r>
    </w:p>
    <w:p w14:paraId="2FC4CE3E" w14:textId="4A1C18C0" w:rsidR="00D904ED" w:rsidRPr="00DD0373" w:rsidRDefault="00D904ED" w:rsidP="00D904ED">
      <w:pPr>
        <w:pStyle w:val="Normalnumber"/>
        <w:rPr>
          <w:lang w:val="es-ES_tradnl"/>
        </w:rPr>
      </w:pPr>
      <w:r w:rsidRPr="00DD0373">
        <w:rPr>
          <w:lang w:val="es-ES_tradnl"/>
        </w:rPr>
        <w:t>Un representante señaló la paradoja de que el calentamiento global hubiese aumentado la demanda mundial de sistemas de refrigeración, pero que esa misma demanda pudiese aumentar aún más el calentamiento mediante las emisiones de gases de efecto invernadero como los HFC. Afrontar el doble reto de satisfacer la demanda de refrigeración y cumplir al mismo tiempo con las obligaciones de proteger el clima y la capa de ozono requería un equilibrio delicado. A ese respecto, una representante dijo que la visión de su país sobre la aplicación de la Enmienda de Kigali era adoptar un enfoque equilibrado, cumpliendo los compromisos del Protocolo de Montreal y en materia de clima, al tiempo que se fomentaba el crecimiento sostenible.</w:t>
      </w:r>
    </w:p>
    <w:p w14:paraId="2C28EF0D" w14:textId="77777777" w:rsidR="00D904ED" w:rsidRPr="00DD0373" w:rsidRDefault="00D904ED" w:rsidP="00D904ED">
      <w:pPr>
        <w:pStyle w:val="Normalnumber"/>
        <w:rPr>
          <w:lang w:val="es-ES_tradnl"/>
        </w:rPr>
      </w:pPr>
      <w:r w:rsidRPr="00DD0373">
        <w:rPr>
          <w:lang w:val="es-ES_tradnl"/>
        </w:rPr>
        <w:t>Varios representantes describieron las medidas que sus países habían adoptado para hacer frente a ese doble reto, entre otras cosas mediante medidas estratégicas, normativas y legislativas. Entre esas medidas figuraba el establecimiento de alianzas público</w:t>
      </w:r>
      <w:r w:rsidRPr="00DD0373">
        <w:rPr>
          <w:lang w:val="es-ES_tradnl"/>
        </w:rPr>
        <w:noBreakHyphen/>
        <w:t>privadas; el desarrollo de centros de recuperación y regeneración de refrigerantes; la promoción de la conversión tecnológica de la industria hacia refrigerantes naturales y alternativas inocuas para el clima; la promulgación de legislación orientada a alcanzar emisiones netas cero y un desarrollo ecológico; el establecimiento de medidas para facilitar la financiación y la acción climática, incluido un sistema de comercio de los derechos de emisión y un sistema de compensación y créditos de carbono; la preparación de estrategias de mitigación y adaptación, y la puesta en marcha de un plan de acción sobre refrigeración para satisfacer de manera sostenible las necesidades nacionales en ese ámbito. La eficiencia energética era una consideración primordial, en particular mediante la certificación y el uso de tecnologías de alta eficiencia y bajo potencial de calentamiento atmosférico; la impartición de programas de formación profesional y el establecimiento un sistema nacional de certificación para técnicos y proveedores de servicios de refrigeración y aire acondicionado; la creación de centros de excelencia, y la implantación o actualización de normas mínimas de rendimiento energético en coordinación con las instituciones nacionales pertinentes, así como un sistema de etiquetado para productos eléctricos que cumpliesen esas normas.</w:t>
      </w:r>
    </w:p>
    <w:p w14:paraId="396786FC" w14:textId="4CA8A793" w:rsidR="00D904ED" w:rsidRPr="00DD0373" w:rsidRDefault="00D904ED" w:rsidP="00E56069">
      <w:pPr>
        <w:pStyle w:val="Normalnumber"/>
        <w:keepNext/>
        <w:keepLines/>
        <w:ind w:left="1247"/>
        <w:rPr>
          <w:lang w:val="es-ES_tradnl"/>
        </w:rPr>
      </w:pPr>
      <w:r w:rsidRPr="00DD0373">
        <w:rPr>
          <w:lang w:val="es-ES_tradnl"/>
        </w:rPr>
        <w:lastRenderedPageBreak/>
        <w:t>Sin embargo, la aplicación con éxito de la Enmienda de Kigali no estaba exenta de retos. La cuestión de la refrigeración iba más allá de la simple necesidad de enfriamiento; la gestión de grandes volúmenes de refrigerantes al final de su vida útil agotaba los recursos de muchos países. Varios representantes destacaron la importancia de la gestión del ciclo de vida de los refrigerantes, en particular de los refrigerantes al final de su vida útil destinados a la destrucción. Un representante dijo</w:t>
      </w:r>
      <w:r w:rsidR="0042739E" w:rsidRPr="00DD0373">
        <w:rPr>
          <w:lang w:val="es-ES_tradnl"/>
        </w:rPr>
        <w:t> </w:t>
      </w:r>
      <w:r w:rsidRPr="00DD0373">
        <w:rPr>
          <w:lang w:val="es-ES_tradnl"/>
        </w:rPr>
        <w:t>que los retos que afrontaban eran muy diferentes de los afrontados durante la eliminación de las sustancias nocivas para la capa de ozono. Muchas de las alternativas nuevas con bajo potencial de calentamiento atmosférico eran inflamables, tóxicas o funcionaban a alta presión, y debían manipularse y regularse con precaución. Los países tenían que implantar estrategias de refrigeración</w:t>
      </w:r>
      <w:r w:rsidR="0042739E" w:rsidRPr="00DD0373">
        <w:rPr>
          <w:lang w:val="es-ES_tradnl"/>
        </w:rPr>
        <w:t> </w:t>
      </w:r>
      <w:r w:rsidRPr="00DD0373">
        <w:rPr>
          <w:lang w:val="es-ES_tradnl"/>
        </w:rPr>
        <w:t>sostenibles a largo plazo para reducir la dependencia de los HFC.</w:t>
      </w:r>
    </w:p>
    <w:p w14:paraId="53B25367" w14:textId="0E868B5E" w:rsidR="00D904ED" w:rsidRPr="00DD0373" w:rsidRDefault="00D904ED" w:rsidP="00D904ED">
      <w:pPr>
        <w:pStyle w:val="Normalnumber"/>
        <w:rPr>
          <w:lang w:val="es-ES_tradnl"/>
        </w:rPr>
      </w:pPr>
      <w:r w:rsidRPr="00DD0373">
        <w:rPr>
          <w:lang w:val="es-ES_tradnl"/>
        </w:rPr>
        <w:t>Una representante informó de que su país había avanzado en la elaboración de inventarios nacionales y la ejecución de programas piloto para la recuperación, el reciclado y la eliminación ambientalmente racional de esos gases, y tenía previsto desarrollar un modelo circular de gestión de refrigerantes con el que pudiesen recuperarse y regenerarse los gases usados, eliminarse los gases no reutilizables e integrarse técnicos capacitados en los centros de recuperación, reciclado y regeneración. Otra representante se refirió al desarrollo de normas nacionales de seguridad para la manipulación de refrigerantes inflamables y tóxicos con el fin de fomentar una transición segura hacia alternativas inocuas para el clima, y destacó la importancia de mantener la integridad y la calidad de los refrigerantes en el mercado. La representante de un observador dijo que su organización creía que una transición justa hacia la refrigeración, con acceso equitativo para todos, solo podía facilitarse mediante la colaboración entre todos los interesados en refrigeración y la adopción de decisiones normativas basadas en pruebas y fundamentadas en conocimientos científicos independientes e imparciales.</w:t>
      </w:r>
    </w:p>
    <w:p w14:paraId="7B3678CC" w14:textId="76EB62FE" w:rsidR="00D904ED" w:rsidRPr="00DD0373" w:rsidRDefault="00D904ED" w:rsidP="00D904ED">
      <w:pPr>
        <w:pStyle w:val="Normalnumber"/>
        <w:rPr>
          <w:lang w:val="es-ES_tradnl"/>
        </w:rPr>
      </w:pPr>
      <w:r w:rsidRPr="00DD0373">
        <w:rPr>
          <w:lang w:val="es-ES_tradnl"/>
        </w:rPr>
        <w:t>Varios representantes señalaron que, si bien se reconocía y agradecía la asistencia prestada por el Fondo Multilateral y los organismos de ejecución para las actividades relacionadas con la Enmienda de Kigali, seguía siendo necesario reforzar el apoyo internacional para acelerar la aplicación y reforzar el cumplimiento. Se requería asistencia en áreas tales como la recolección de datos, incluida la realización de estudios de referencia sobre los HFC; la prestación de asistencia técnica a la identificación de refrigerantes con el fin de prevenir el comercio ilícito y la falsificación de refrigerantes; el uso de herramientas e infraestructura para la gestión del ciclo de vida de los refrigerantes y la administración responsable de estos, y la creación de capacidad y la prestación de</w:t>
      </w:r>
      <w:r w:rsidR="0042739E" w:rsidRPr="00DD0373">
        <w:rPr>
          <w:lang w:val="es-ES_tradnl"/>
        </w:rPr>
        <w:t> </w:t>
      </w:r>
      <w:r w:rsidRPr="00DD0373">
        <w:rPr>
          <w:lang w:val="es-ES_tradnl"/>
        </w:rPr>
        <w:t>asistencia técnica para la aplicación de la ley, la capacitación de técnicos y la sensibilización del</w:t>
      </w:r>
      <w:r w:rsidR="0042739E" w:rsidRPr="00DD0373">
        <w:rPr>
          <w:lang w:val="es-ES_tradnl"/>
        </w:rPr>
        <w:t> </w:t>
      </w:r>
      <w:r w:rsidRPr="00DD0373">
        <w:rPr>
          <w:lang w:val="es-ES_tradnl"/>
        </w:rPr>
        <w:t>público. Los países con temperaturas ambiente elevadas se enfrentaban a retos técnicos y operativos</w:t>
      </w:r>
      <w:r w:rsidR="0042739E" w:rsidRPr="00DD0373">
        <w:rPr>
          <w:lang w:val="es-ES_tradnl"/>
        </w:rPr>
        <w:t> </w:t>
      </w:r>
      <w:r w:rsidRPr="00DD0373">
        <w:rPr>
          <w:lang w:val="es-ES_tradnl"/>
        </w:rPr>
        <w:t>particulares a la hora de implantar alternativas, lo que requería cooperación y asistencia internacionales en ámbitos como el apoyo técnico y financiero, la creación de capacidad y la transferencia de tecnología, al tiempo que se velaba por la sostenibilidad de las soluciones, se lograban</w:t>
      </w:r>
      <w:r w:rsidR="0042739E" w:rsidRPr="00DD0373">
        <w:rPr>
          <w:lang w:val="es-ES_tradnl"/>
        </w:rPr>
        <w:t> </w:t>
      </w:r>
      <w:r w:rsidRPr="00DD0373">
        <w:rPr>
          <w:lang w:val="es-ES_tradnl"/>
        </w:rPr>
        <w:t>beneficios mutuos y se mantenía la estabilidad de los mercados y las cadenas de suministro.</w:t>
      </w:r>
    </w:p>
    <w:p w14:paraId="0F9635DA" w14:textId="08F79F6D" w:rsidR="008E2675" w:rsidRPr="00DD0373" w:rsidRDefault="008E2675" w:rsidP="008E2675">
      <w:pPr>
        <w:pStyle w:val="Normalnumber"/>
        <w:rPr>
          <w:lang w:val="es-ES_tradnl"/>
        </w:rPr>
      </w:pPr>
      <w:r w:rsidRPr="00DD0373">
        <w:rPr>
          <w:lang w:val="es-ES_tradnl"/>
        </w:rPr>
        <w:t xml:space="preserve">El representante del Grupo Africano de Negociadores sobre el ozono anunció la creación de ese grupo, cuya misión sería velar por que se escuchase la voz de África en el marco de las Reuniones de las </w:t>
      </w:r>
      <w:r w:rsidR="00C17707">
        <w:rPr>
          <w:lang w:val="es-ES_tradnl"/>
        </w:rPr>
        <w:t>Partes</w:t>
      </w:r>
      <w:r w:rsidRPr="00DD0373">
        <w:rPr>
          <w:lang w:val="es-ES_tradnl"/>
        </w:rPr>
        <w:t xml:space="preserve"> y reforzar la contribución de los países de África a la aplicación y el funcionamiento del Protocolo de Montreal y sus diversos órganos. El orador dijo que entre los resultados de la reunión de oficiales nacionales de África encargados del ozono, celebrada en Dakar del 22 al 26 de septiembre de</w:t>
      </w:r>
      <w:r w:rsidR="003C65C2" w:rsidRPr="00DD0373">
        <w:rPr>
          <w:lang w:val="es-ES_tradnl"/>
        </w:rPr>
        <w:t> </w:t>
      </w:r>
      <w:r w:rsidRPr="00DD0373">
        <w:rPr>
          <w:lang w:val="es-ES_tradnl"/>
        </w:rPr>
        <w:t>2025, figuraba el compromiso de acelerar y mejorar el acceso a tecnologías de refrigeración alternativas e inocuas para el clima, y de luchar contra el vertido en África de equipos de refrigeración que contuviesen refrigerantes obsoletos. El orador pidió que la financiación fuese más continuada y fiable a fin de ayudar a los países de África a llevar a cabo esas tareas.</w:t>
      </w:r>
    </w:p>
    <w:p w14:paraId="73C516E7" w14:textId="4DD759F6" w:rsidR="00D904ED" w:rsidRPr="00DD0373" w:rsidRDefault="00D904ED" w:rsidP="00D904ED">
      <w:pPr>
        <w:pStyle w:val="Normalnumber"/>
        <w:rPr>
          <w:lang w:val="es-ES_tradnl"/>
        </w:rPr>
      </w:pPr>
      <w:r w:rsidRPr="00DD0373">
        <w:rPr>
          <w:lang w:val="es-ES_tradnl"/>
        </w:rPr>
        <w:t>Hubo un reconocimiento general del papel de las asociaciones y la colaboración en la consecución de los objetivos ambientales y de bienestar humano, en particular los del Protocolo de</w:t>
      </w:r>
      <w:r w:rsidR="0042739E" w:rsidRPr="00DD0373">
        <w:rPr>
          <w:lang w:val="es-ES_tradnl"/>
        </w:rPr>
        <w:t> </w:t>
      </w:r>
      <w:r w:rsidRPr="00DD0373">
        <w:rPr>
          <w:lang w:val="es-ES_tradnl"/>
        </w:rPr>
        <w:t>Montreal. Los buenos resultados del Protocolo demostraban de qué forma los mecanismos multilaterales podían aportar beneficios climáticos reales mediante la transferencia de tecnología, la</w:t>
      </w:r>
      <w:r w:rsidR="0042739E" w:rsidRPr="00DD0373">
        <w:rPr>
          <w:lang w:val="es-ES_tradnl"/>
        </w:rPr>
        <w:t> </w:t>
      </w:r>
      <w:r w:rsidRPr="00DD0373">
        <w:rPr>
          <w:lang w:val="es-ES_tradnl"/>
        </w:rPr>
        <w:t>creación de capacidad y el apoyo equitativo. El compromiso colectivo, la confianza mutua y una perspectiva con visión de futuro permitirían a las personas aprovechar las oportunidades y abordar de manera eficaz tanto los retos inmediatos como la sostenibilidad a largo plazo del planeta. Los acuerdos ambientales multilaterales encarnaban ese enfoque y representaban una herramienta fundamental para fortalecer la cooperación internacional a la hora de afrontar los retos ambientales mundiales. Varios representantes expresaron su compromiso con la colaboración regional e internacional como medio para compartir experiencias y forjar soluciones conjuntas para proteger la capa de ozono, mitigar el cambio climático y proteger la salud del medio ambiente y la humanidad. Una representante dijo que</w:t>
      </w:r>
      <w:r w:rsidR="0042739E" w:rsidRPr="00DD0373">
        <w:rPr>
          <w:lang w:val="es-ES_tradnl"/>
        </w:rPr>
        <w:t> </w:t>
      </w:r>
      <w:r w:rsidRPr="00DD0373">
        <w:rPr>
          <w:lang w:val="es-ES_tradnl"/>
        </w:rPr>
        <w:t>su país había propuesto una iniciativa para la gobernanza global en que se hacía hincapié en los principios fundamentales de defender la igualdad soberana, respetar el derecho internacional, practicar el multilateralismo, promover un enfoque centrado en las personas y centrarse en la acción. Una iniciativa de este tipo podría contribuir a mejorar la gobernanza climática y ambiental a nivel mundial.</w:t>
      </w:r>
    </w:p>
    <w:p w14:paraId="6B0C923A" w14:textId="400003BB" w:rsidR="00D904ED" w:rsidRPr="00DD0373" w:rsidRDefault="00D904ED" w:rsidP="00D904ED">
      <w:pPr>
        <w:pStyle w:val="Normalnumber"/>
        <w:rPr>
          <w:lang w:val="es-ES_tradnl"/>
        </w:rPr>
      </w:pPr>
      <w:r w:rsidRPr="00DD0373">
        <w:rPr>
          <w:lang w:val="es-ES_tradnl"/>
        </w:rPr>
        <w:lastRenderedPageBreak/>
        <w:t>La representante de Azerbaiyán dijo que su país acogería el 13</w:t>
      </w:r>
      <w:r w:rsidRPr="00DD0373">
        <w:rPr>
          <w:vertAlign w:val="superscript"/>
          <w:lang w:val="es-ES_tradnl"/>
        </w:rPr>
        <w:t>er</w:t>
      </w:r>
      <w:r w:rsidRPr="00DD0373">
        <w:rPr>
          <w:lang w:val="es-ES_tradnl"/>
        </w:rPr>
        <w:t xml:space="preserve"> período de sesiones del Foro Urbano Mundial, del 17 al 22 de mayo de 2026, y el Día Mundial del Medio Ambiente, el 5 de junio de 2026, e invitó a todas las </w:t>
      </w:r>
      <w:r w:rsidR="00C17707">
        <w:rPr>
          <w:lang w:val="es-ES_tradnl"/>
        </w:rPr>
        <w:t>Partes</w:t>
      </w:r>
      <w:r w:rsidRPr="00DD0373">
        <w:rPr>
          <w:lang w:val="es-ES_tradnl"/>
        </w:rPr>
        <w:t xml:space="preserve"> a que participasen en esos eventos y contribuyesen a ellos.</w:t>
      </w:r>
    </w:p>
    <w:p w14:paraId="080140ED" w14:textId="62231BE0" w:rsidR="008E2675" w:rsidRPr="00DD0373" w:rsidRDefault="008E2675" w:rsidP="00E56069">
      <w:pPr>
        <w:pStyle w:val="Normalnumber"/>
        <w:keepNext/>
        <w:keepLines/>
        <w:ind w:left="1247"/>
        <w:rPr>
          <w:lang w:val="es-ES_tradnl"/>
        </w:rPr>
      </w:pPr>
      <w:r w:rsidRPr="00DD0373">
        <w:rPr>
          <w:lang w:val="es-ES_tradnl"/>
        </w:rPr>
        <w:t>La representante del grupo principal de la infancia y la juventud elogió a la Secretaría por velar por la inclusión y la participación de los jóvenes en la labor que se estaba realizando en el marco del Protocolo de Montreal y su Enmienda de Kigali. Millones de jóvenes consideraban que los resultados de esa labor eran vitales para su futuro colectivo. La Encuesta Mundial de la Juventud sobre el Ozono y la Protección del Clima 2025, presentada en el segundo Foro de la Juventud sobre la Protección del Clima, celebrado en Nairobi el 2 de noviembre de 2025, reveló que una abrumadora mayoría de los jóvenes estaban profundamente preocupados por el cambio climático. Era esencial incorporar los conocimientos y habilidades de los jóvenes en las futuras actividades relacionadas con el ozono y el</w:t>
      </w:r>
      <w:r w:rsidR="0042739E" w:rsidRPr="00DD0373">
        <w:rPr>
          <w:lang w:val="es-ES_tradnl"/>
        </w:rPr>
        <w:t> </w:t>
      </w:r>
      <w:r w:rsidRPr="00DD0373">
        <w:rPr>
          <w:lang w:val="es-ES_tradnl"/>
        </w:rPr>
        <w:t>clima.</w:t>
      </w:r>
    </w:p>
    <w:p w14:paraId="6BD34A97" w14:textId="6BA8F0F2" w:rsidR="00D904ED" w:rsidRPr="00DD0373" w:rsidRDefault="00D904ED" w:rsidP="00D904ED">
      <w:pPr>
        <w:pStyle w:val="Normalnumber"/>
        <w:rPr>
          <w:lang w:val="es-ES_tradnl"/>
        </w:rPr>
      </w:pPr>
      <w:r w:rsidRPr="00DD0373">
        <w:rPr>
          <w:lang w:val="es-ES_tradnl"/>
        </w:rPr>
        <w:t>Varios representantes describieron cómo sus países habían reconocido el valor de la colaboración a la hora de adoptar un enfoque holístico para superar los retos ambientales a escala nacional, al tiempo que se facilitaba el crecimiento económico. La equidad y la justicia, incluidos la perspectiva de género y el compromiso con las necesidades de las poblaciones vulnerables y los jóvenes, se consideraban componentes vitales de las medidas para velar por una sociedad inclusiva con igualdad de oportunidades para todos. Muchos países tenían una visión a largo plazo del desarrollo sostenible que estaba consagrada en una serie de instrumentos e iniciativas nacionales, incluidas las políticas y estrategias sobre el cambio climático; las políticas de economía verde con que se promovía la transición hacia energías limpias y la eficiencia energética; la adopción de un modelo circular para el manejo de desechos de acuerdo con las mejores prácticas mundiales; la aplicación de una hoja de ruta nacional para la transición energética con el fin de aprovechar los múltiples beneficios colaterales derivados de la integración de la reducción de los HFC con la eficiencia energética, y la promulgación de leyes, códigos y normativas que respaldasen los programas ambientales con una legislación sólida. Esas medidas se ajustaban invariablemente a los acuerdos y programas ambientales regionales e internacionales.</w:t>
      </w:r>
    </w:p>
    <w:p w14:paraId="23E16F34" w14:textId="5DDF3764" w:rsidR="00D904ED" w:rsidRPr="00DD0373" w:rsidRDefault="00D904ED" w:rsidP="00D904ED">
      <w:pPr>
        <w:pStyle w:val="Normalnumber"/>
        <w:rPr>
          <w:lang w:val="es-ES_tradnl"/>
        </w:rPr>
      </w:pPr>
      <w:r w:rsidRPr="00DD0373">
        <w:rPr>
          <w:lang w:val="es-ES_tradnl"/>
        </w:rPr>
        <w:t>Este enfoque prioritario e integrado abarcaba una serie de actividades interrelacionadas, entre las que se contaban la reducción de las emisiones de carbono y la transición hacia una economía con bajas emisiones de carbono; la gestión y supervisión eficientes de los recursos naturales, incluidos el agua, el suelo y el aire, y el apoyo a la investigación científica, en colaboración con centros académicos y de investigación nacionales, con el fin de fomentar la innovación en la resolución de</w:t>
      </w:r>
      <w:r w:rsidR="0042739E" w:rsidRPr="00DD0373">
        <w:rPr>
          <w:lang w:val="es-ES_tradnl"/>
        </w:rPr>
        <w:t> </w:t>
      </w:r>
      <w:r w:rsidRPr="00DD0373">
        <w:rPr>
          <w:lang w:val="es-ES_tradnl"/>
        </w:rPr>
        <w:t>problemas ambientales.</w:t>
      </w:r>
    </w:p>
    <w:p w14:paraId="1A73EA8B" w14:textId="4FFA8363" w:rsidR="00D904ED" w:rsidRPr="00DD0373" w:rsidRDefault="00D904ED" w:rsidP="00D904ED">
      <w:pPr>
        <w:pStyle w:val="Normalnumber"/>
        <w:rPr>
          <w:lang w:val="es-ES_tradnl"/>
        </w:rPr>
      </w:pPr>
      <w:r w:rsidRPr="00DD0373">
        <w:rPr>
          <w:lang w:val="es-ES_tradnl"/>
        </w:rPr>
        <w:t>Varios representantes expresaron su opinión sobre el futuro del Protocolo de Montreal. Muchos representantes reiteraron su apoyo inquebrantable al Protocolo en su intento de conseguir sus metas asociadas al ozono y otras más amplias de carácter ambiental, incluidas las relativas al cambio climático y el calentamiento global. El Protocolo de Montreal se erigía como modelo de acción concertada a escala mundial frente a los retos ambientales. Sus buenos resultados eran un recordatorio de que los retos mundiales exigían soluciones mundiales basadas en la ciencia, guiadas por la cooperación e impulsadas por la acción. El Protocolo de Montreal era un ejemplo del espíritu de las Naciones Unidas: un sistema basado en la confianza, la solidaridad y la capacidad de unir a la humanidad en torno a causas comunes.</w:t>
      </w:r>
    </w:p>
    <w:p w14:paraId="6BF9A95D" w14:textId="77777777" w:rsidR="00D904ED" w:rsidRPr="00DD0373" w:rsidRDefault="00D904ED" w:rsidP="00D904ED">
      <w:pPr>
        <w:pStyle w:val="Normalnumber"/>
        <w:rPr>
          <w:lang w:val="es-ES_tradnl"/>
        </w:rPr>
      </w:pPr>
      <w:r w:rsidRPr="00DD0373">
        <w:rPr>
          <w:lang w:val="es-ES_tradnl"/>
        </w:rPr>
        <w:t>En un mundo que en esos momentos estaba marcado por los conflictos, la desigualdad y la desinformación, era de vital importancia renovar esa confianza y demostrar que el consenso podía prevalecer sobre la división, y que la ciencia y la buena fe seguían siendo fuerzas unificadoras. Si la sociedad había demostrado ser capaz de revertir la destrucción de la capa de ozono, entonces debía ser capaz de alcanzar sus otros objetivos ambientales, con lo que legaría un medio ambiente más saludable a las generaciones venideras.</w:t>
      </w:r>
    </w:p>
    <w:p w14:paraId="0AC948CB" w14:textId="072EF470" w:rsidR="00C20895" w:rsidRPr="00DD0373" w:rsidRDefault="009A6FE9" w:rsidP="003B048F">
      <w:pPr>
        <w:pStyle w:val="CH1"/>
        <w:keepNext w:val="0"/>
        <w:keepLines w:val="0"/>
        <w:rPr>
          <w:lang w:val="es-ES_tradnl"/>
        </w:rPr>
      </w:pPr>
      <w:r w:rsidRPr="00DD0373">
        <w:rPr>
          <w:bCs/>
          <w:lang w:val="es-ES_tradnl"/>
        </w:rPr>
        <w:tab/>
      </w:r>
      <w:r w:rsidR="003B048F" w:rsidRPr="00DD0373">
        <w:rPr>
          <w:bCs/>
          <w:lang w:val="es-ES_tradnl"/>
        </w:rPr>
        <w:t>VI.</w:t>
      </w:r>
      <w:r w:rsidR="003B048F" w:rsidRPr="00DD0373">
        <w:rPr>
          <w:lang w:val="es-ES_tradnl"/>
        </w:rPr>
        <w:tab/>
      </w:r>
      <w:r w:rsidR="003B048F" w:rsidRPr="00DD0373">
        <w:rPr>
          <w:bCs/>
          <w:lang w:val="es-ES_tradnl"/>
        </w:rPr>
        <w:t xml:space="preserve">Informe de la Copresidencia de la serie de sesiones preparatorias y examen de las decisiones cuya adopción se recomienda a la 37ª Reunión de las </w:t>
      </w:r>
      <w:r w:rsidR="00C17707">
        <w:rPr>
          <w:bCs/>
          <w:lang w:val="es-ES_tradnl"/>
        </w:rPr>
        <w:t>Partes</w:t>
      </w:r>
    </w:p>
    <w:p w14:paraId="1948A253" w14:textId="1A27B8D2" w:rsidR="002C30D7" w:rsidRPr="00DD0373" w:rsidRDefault="000E0FE7" w:rsidP="002C30D7">
      <w:pPr>
        <w:pStyle w:val="Normalnumber"/>
        <w:rPr>
          <w:lang w:val="es-ES_tradnl"/>
        </w:rPr>
      </w:pPr>
      <w:r w:rsidRPr="00DD0373">
        <w:rPr>
          <w:lang w:val="es-ES_tradnl"/>
        </w:rPr>
        <w:t xml:space="preserve">El </w:t>
      </w:r>
      <w:proofErr w:type="gramStart"/>
      <w:r w:rsidRPr="00DD0373">
        <w:rPr>
          <w:lang w:val="es-ES_tradnl"/>
        </w:rPr>
        <w:t>Presidente</w:t>
      </w:r>
      <w:proofErr w:type="gramEnd"/>
      <w:r w:rsidRPr="00DD0373">
        <w:rPr>
          <w:lang w:val="es-ES_tradnl"/>
        </w:rPr>
        <w:t xml:space="preserve"> señaló que la labor de la serie de sesiones preparatorias había concluido con éxito y que se habían aprobado varios proyectos de decisión para su examen y posible aprobación durante la serie de sesiones de alto nivel.</w:t>
      </w:r>
    </w:p>
    <w:p w14:paraId="66FA4113" w14:textId="2CF9968A" w:rsidR="00C20895" w:rsidRPr="00DD0373" w:rsidRDefault="009A6FE9" w:rsidP="003B048F">
      <w:pPr>
        <w:pStyle w:val="CH1"/>
        <w:keepNext w:val="0"/>
        <w:keepLines w:val="0"/>
        <w:rPr>
          <w:lang w:val="es-ES_tradnl"/>
        </w:rPr>
      </w:pPr>
      <w:r w:rsidRPr="00DD0373">
        <w:rPr>
          <w:bCs/>
          <w:lang w:val="es-ES_tradnl"/>
        </w:rPr>
        <w:lastRenderedPageBreak/>
        <w:tab/>
      </w:r>
      <w:r w:rsidR="003B048F" w:rsidRPr="00DD0373">
        <w:rPr>
          <w:bCs/>
          <w:lang w:val="es-ES_tradnl"/>
        </w:rPr>
        <w:t>VII.</w:t>
      </w:r>
      <w:r w:rsidR="003B048F" w:rsidRPr="00DD0373">
        <w:rPr>
          <w:lang w:val="es-ES_tradnl"/>
        </w:rPr>
        <w:tab/>
      </w:r>
      <w:r w:rsidR="003B048F" w:rsidRPr="00DD0373">
        <w:rPr>
          <w:bCs/>
          <w:lang w:val="es-ES_tradnl"/>
        </w:rPr>
        <w:t xml:space="preserve">Fechas y lugar de celebración de la 38ª Reunión de las </w:t>
      </w:r>
      <w:r w:rsidR="00C17707">
        <w:rPr>
          <w:bCs/>
          <w:lang w:val="es-ES_tradnl"/>
        </w:rPr>
        <w:t>Partes</w:t>
      </w:r>
      <w:r w:rsidR="003B048F" w:rsidRPr="00DD0373">
        <w:rPr>
          <w:bCs/>
          <w:lang w:val="es-ES_tradnl"/>
        </w:rPr>
        <w:t xml:space="preserve"> en el Protocolo de Montreal</w:t>
      </w:r>
    </w:p>
    <w:p w14:paraId="77B4146A" w14:textId="69DAA445" w:rsidR="002C30D7" w:rsidRPr="00DD0373" w:rsidRDefault="000A193D" w:rsidP="002C30D7">
      <w:pPr>
        <w:pStyle w:val="Normalnumber"/>
        <w:rPr>
          <w:lang w:val="es-ES_tradnl"/>
        </w:rPr>
      </w:pPr>
      <w:r w:rsidRPr="00DD0373">
        <w:rPr>
          <w:lang w:val="es-ES_tradnl"/>
        </w:rPr>
        <w:t xml:space="preserve">Al presentar el tema, el </w:t>
      </w:r>
      <w:proofErr w:type="gramStart"/>
      <w:r w:rsidRPr="00DD0373">
        <w:rPr>
          <w:lang w:val="es-ES_tradnl"/>
        </w:rPr>
        <w:t>Presidente</w:t>
      </w:r>
      <w:proofErr w:type="gramEnd"/>
      <w:r w:rsidRPr="00DD0373">
        <w:rPr>
          <w:lang w:val="es-ES_tradnl"/>
        </w:rPr>
        <w:t xml:space="preserve"> recordó que las fechas de la 38ª Reunión de las </w:t>
      </w:r>
      <w:r w:rsidR="00C17707">
        <w:rPr>
          <w:lang w:val="es-ES_tradnl"/>
        </w:rPr>
        <w:t>Partes</w:t>
      </w:r>
      <w:r w:rsidRPr="00DD0373">
        <w:rPr>
          <w:lang w:val="es-ES_tradnl"/>
        </w:rPr>
        <w:t xml:space="preserve"> en el Protocolo de Montreal se habían fijado del 2 al 6 de noviembre de 2026. El orador invitó a cualquier Parte dispuesta a ofrecerse para acoger la reunión a tomar la palabra.</w:t>
      </w:r>
    </w:p>
    <w:p w14:paraId="528030E6" w14:textId="4C269427" w:rsidR="002C30D7" w:rsidRPr="00DD0373" w:rsidRDefault="002C30D7" w:rsidP="002C30D7">
      <w:pPr>
        <w:pStyle w:val="Normalnumber"/>
        <w:rPr>
          <w:lang w:val="es-ES_tradnl"/>
        </w:rPr>
      </w:pPr>
      <w:r w:rsidRPr="00DD0373">
        <w:rPr>
          <w:lang w:val="es-ES_tradnl"/>
        </w:rPr>
        <w:t xml:space="preserve">La representante de Rwanda anunció la oferta de su Gobierno de acoger la 38ª Reunión de las </w:t>
      </w:r>
      <w:r w:rsidR="00C17707">
        <w:rPr>
          <w:lang w:val="es-ES_tradnl"/>
        </w:rPr>
        <w:t>Partes</w:t>
      </w:r>
      <w:r w:rsidRPr="00DD0373">
        <w:rPr>
          <w:lang w:val="es-ES_tradnl"/>
        </w:rPr>
        <w:t xml:space="preserve"> en Kigali en noviembre de 2026. La 38ª reunión marcaría el décimo aniversario del acuerdo sobre la Enmienda de Kigali, que había contribuido de manera decisiva al historial del Protocolo de</w:t>
      </w:r>
      <w:r w:rsidR="0042739E" w:rsidRPr="00DD0373">
        <w:rPr>
          <w:lang w:val="es-ES_tradnl"/>
        </w:rPr>
        <w:t> </w:t>
      </w:r>
      <w:r w:rsidRPr="00DD0373">
        <w:rPr>
          <w:lang w:val="es-ES_tradnl"/>
        </w:rPr>
        <w:t>Montreal como el acuerdo internacional sobre el clima más eficaz, ya que había evitado un calentamiento global estimado de 1,1 grados centígrados para 2100. Su oferta iba acompañada de</w:t>
      </w:r>
      <w:r w:rsidR="0042739E" w:rsidRPr="00DD0373">
        <w:rPr>
          <w:lang w:val="es-ES_tradnl"/>
        </w:rPr>
        <w:t> </w:t>
      </w:r>
      <w:r w:rsidRPr="00DD0373">
        <w:rPr>
          <w:lang w:val="es-ES_tradnl"/>
        </w:rPr>
        <w:t>una</w:t>
      </w:r>
      <w:r w:rsidR="0042739E" w:rsidRPr="00DD0373">
        <w:rPr>
          <w:lang w:val="es-ES_tradnl"/>
        </w:rPr>
        <w:t> </w:t>
      </w:r>
      <w:r w:rsidRPr="00DD0373">
        <w:rPr>
          <w:lang w:val="es-ES_tradnl"/>
        </w:rPr>
        <w:t>presentación en vídeo.</w:t>
      </w:r>
      <w:bookmarkStart w:id="32" w:name="_Hlk213433629"/>
      <w:bookmarkEnd w:id="32"/>
    </w:p>
    <w:p w14:paraId="1AE0D447" w14:textId="753558DD" w:rsidR="002C30D7" w:rsidRPr="00DD0373" w:rsidRDefault="002C30D7" w:rsidP="002C30D7">
      <w:pPr>
        <w:pStyle w:val="Normalnumber"/>
        <w:rPr>
          <w:lang w:val="es-ES_tradnl"/>
        </w:rPr>
      </w:pPr>
      <w:r w:rsidRPr="00DD0373">
        <w:rPr>
          <w:lang w:val="es-ES_tradnl"/>
        </w:rPr>
        <w:t xml:space="preserve">Las </w:t>
      </w:r>
      <w:r w:rsidR="00C17707">
        <w:rPr>
          <w:lang w:val="es-ES_tradnl"/>
        </w:rPr>
        <w:t>Partes</w:t>
      </w:r>
      <w:r w:rsidRPr="00DD0373">
        <w:rPr>
          <w:lang w:val="es-ES_tradnl"/>
        </w:rPr>
        <w:t xml:space="preserve"> acordaron que la 38ª Reunión de las </w:t>
      </w:r>
      <w:r w:rsidR="00C17707">
        <w:rPr>
          <w:lang w:val="es-ES_tradnl"/>
        </w:rPr>
        <w:t>Partes</w:t>
      </w:r>
      <w:r w:rsidRPr="00DD0373">
        <w:rPr>
          <w:lang w:val="es-ES_tradnl"/>
        </w:rPr>
        <w:t xml:space="preserve"> en el Protocolo de Montreal se celebraría</w:t>
      </w:r>
      <w:r w:rsidR="0042739E" w:rsidRPr="00DD0373">
        <w:rPr>
          <w:lang w:val="es-ES_tradnl"/>
        </w:rPr>
        <w:t> </w:t>
      </w:r>
      <w:r w:rsidRPr="00DD0373">
        <w:rPr>
          <w:lang w:val="es-ES_tradnl"/>
        </w:rPr>
        <w:t>en Kigali del 2 al 6 de noviembre de 2025.</w:t>
      </w:r>
    </w:p>
    <w:p w14:paraId="2EA83913" w14:textId="6148EC85" w:rsidR="003B048F" w:rsidRPr="00DD0373" w:rsidRDefault="000A193D" w:rsidP="002C30D7">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Posteriormente, las </w:t>
      </w:r>
      <w:r w:rsidR="00C17707">
        <w:rPr>
          <w:lang w:val="es-ES_tradnl"/>
        </w:rPr>
        <w:t>Partes</w:t>
      </w:r>
      <w:r w:rsidRPr="00DD0373">
        <w:rPr>
          <w:lang w:val="es-ES_tradnl"/>
        </w:rPr>
        <w:t xml:space="preserve"> adoptaron una decisión sobre el asunto. La decisión figura en el</w:t>
      </w:r>
      <w:r w:rsidR="0042739E" w:rsidRPr="00DD0373">
        <w:rPr>
          <w:lang w:val="es-ES_tradnl"/>
        </w:rPr>
        <w:t> </w:t>
      </w:r>
      <w:r w:rsidRPr="00DD0373">
        <w:rPr>
          <w:lang w:val="es-ES_tradnl"/>
        </w:rPr>
        <w:t>documento UNEP/OzL.Pro.37/9/Add.1.</w:t>
      </w:r>
    </w:p>
    <w:p w14:paraId="299F71FC" w14:textId="669FB250" w:rsidR="00C20895" w:rsidRPr="00DD0373" w:rsidRDefault="009A6FE9" w:rsidP="003B048F">
      <w:pPr>
        <w:pStyle w:val="CH1"/>
        <w:keepNext w:val="0"/>
        <w:keepLines w:val="0"/>
        <w:rPr>
          <w:lang w:val="es-ES_tradnl"/>
        </w:rPr>
      </w:pPr>
      <w:r w:rsidRPr="00DD0373">
        <w:rPr>
          <w:bCs/>
          <w:lang w:val="es-ES_tradnl"/>
        </w:rPr>
        <w:tab/>
      </w:r>
      <w:r w:rsidR="003B048F" w:rsidRPr="00DD0373">
        <w:rPr>
          <w:bCs/>
          <w:lang w:val="es-ES_tradnl"/>
        </w:rPr>
        <w:t>VIII.</w:t>
      </w:r>
      <w:r w:rsidR="003B048F" w:rsidRPr="00DD0373">
        <w:rPr>
          <w:lang w:val="es-ES_tradnl"/>
        </w:rPr>
        <w:tab/>
      </w:r>
      <w:r w:rsidR="003B048F" w:rsidRPr="00DD0373">
        <w:rPr>
          <w:bCs/>
          <w:lang w:val="es-ES_tradnl"/>
        </w:rPr>
        <w:t>Otros asuntos</w:t>
      </w:r>
    </w:p>
    <w:p w14:paraId="3C5D412F" w14:textId="6D61BDA1" w:rsidR="007E700A" w:rsidRPr="00DD0373" w:rsidRDefault="007E700A" w:rsidP="005E467C">
      <w:pPr>
        <w:pStyle w:val="CH2"/>
        <w:rPr>
          <w:lang w:val="es-ES_tradnl"/>
        </w:rPr>
      </w:pPr>
      <w:r w:rsidRPr="00DD0373">
        <w:rPr>
          <w:lang w:val="es-ES_tradnl"/>
        </w:rPr>
        <w:tab/>
      </w:r>
      <w:r w:rsidRPr="00DD0373">
        <w:rPr>
          <w:lang w:val="es-ES_tradnl"/>
        </w:rPr>
        <w:tab/>
      </w:r>
      <w:r w:rsidRPr="00DD0373">
        <w:rPr>
          <w:bCs/>
          <w:lang w:val="es-ES_tradnl"/>
        </w:rPr>
        <w:t>Miembros del Grupo de Europa Oriental</w:t>
      </w:r>
    </w:p>
    <w:p w14:paraId="6C4EB226" w14:textId="253EE99F" w:rsidR="006B128A" w:rsidRPr="00DD0373" w:rsidRDefault="006B128A" w:rsidP="006B128A">
      <w:pPr>
        <w:pStyle w:val="Normalnumber"/>
        <w:rPr>
          <w:lang w:val="es-ES_tradnl"/>
        </w:rPr>
      </w:pPr>
      <w:r w:rsidRPr="00DD0373">
        <w:rPr>
          <w:lang w:val="es-ES_tradnl"/>
        </w:rPr>
        <w:t xml:space="preserve">El </w:t>
      </w:r>
      <w:proofErr w:type="gramStart"/>
      <w:r w:rsidRPr="00DD0373">
        <w:rPr>
          <w:lang w:val="es-ES_tradnl"/>
        </w:rPr>
        <w:t>Presidente</w:t>
      </w:r>
      <w:proofErr w:type="gramEnd"/>
      <w:r w:rsidRPr="00DD0373">
        <w:rPr>
          <w:lang w:val="es-ES_tradnl"/>
        </w:rPr>
        <w:t xml:space="preserve"> recordó que, durante la aprobación del programa, las </w:t>
      </w:r>
      <w:r w:rsidR="00C17707">
        <w:rPr>
          <w:lang w:val="es-ES_tradnl"/>
        </w:rPr>
        <w:t>Partes</w:t>
      </w:r>
      <w:r w:rsidRPr="00DD0373">
        <w:rPr>
          <w:lang w:val="es-ES_tradnl"/>
        </w:rPr>
        <w:t xml:space="preserve"> habían acordado examinar la cuestión relativa a la composición del Grupo de Europa Oriental.</w:t>
      </w:r>
    </w:p>
    <w:p w14:paraId="22154E72" w14:textId="059489D9" w:rsidR="006B128A" w:rsidRPr="00DD0373" w:rsidRDefault="006B128A" w:rsidP="006B128A">
      <w:pPr>
        <w:pStyle w:val="Normalnumber"/>
        <w:rPr>
          <w:lang w:val="es-ES_tradnl"/>
        </w:rPr>
      </w:pPr>
      <w:r w:rsidRPr="00DD0373">
        <w:rPr>
          <w:lang w:val="es-ES_tradnl"/>
        </w:rPr>
        <w:t>El representante de Kirguistán, al presentar el tema, reiteró que, en el Grupo de Europa Oriental, se había intentado excluir a los cinco países de Asia Central —Kazajstán, Kirguistán, Tayikistán, Turkmenistán y Uzbekistán— de presentar candidatos para que formasen parte de los órganos del Protocolo de Montreal en 2026 y para la elección de los miembros de la Mesa de la</w:t>
      </w:r>
      <w:r w:rsidR="00A46721" w:rsidRPr="00DD0373">
        <w:rPr>
          <w:lang w:val="es-ES_tradnl"/>
        </w:rPr>
        <w:t> </w:t>
      </w:r>
      <w:r w:rsidRPr="00DD0373">
        <w:rPr>
          <w:lang w:val="es-ES_tradnl"/>
        </w:rPr>
        <w:t>37ª</w:t>
      </w:r>
      <w:r w:rsidR="00A46721" w:rsidRPr="00DD0373">
        <w:rPr>
          <w:lang w:val="es-ES_tradnl"/>
        </w:rPr>
        <w:t> </w:t>
      </w:r>
      <w:r w:rsidRPr="00DD0373">
        <w:rPr>
          <w:lang w:val="es-ES_tradnl"/>
        </w:rPr>
        <w:t xml:space="preserve">Reunión de las </w:t>
      </w:r>
      <w:r w:rsidR="00C17707">
        <w:rPr>
          <w:lang w:val="es-ES_tradnl"/>
        </w:rPr>
        <w:t>Partes</w:t>
      </w:r>
      <w:r w:rsidRPr="00DD0373">
        <w:rPr>
          <w:lang w:val="es-ES_tradnl"/>
        </w:rPr>
        <w:t xml:space="preserve">, lo que afectaría a la labor del Protocolo, conllevaría soslayar las prácticas establecidas en el sistema de las Naciones Unidas y conduciría a la politización de una cuestión de procedimiento. El orador recordó que, en la 35ª Reunión de las </w:t>
      </w:r>
      <w:r w:rsidR="00C17707">
        <w:rPr>
          <w:lang w:val="es-ES_tradnl"/>
        </w:rPr>
        <w:t>Partes</w:t>
      </w:r>
      <w:r w:rsidRPr="00DD0373">
        <w:rPr>
          <w:lang w:val="es-ES_tradnl"/>
        </w:rPr>
        <w:t xml:space="preserve">, en que se había realizado un esfuerzo similar, una representante de la Secretaría había explicado que las </w:t>
      </w:r>
      <w:r w:rsidR="00C17707">
        <w:rPr>
          <w:lang w:val="es-ES_tradnl"/>
        </w:rPr>
        <w:t>Partes</w:t>
      </w:r>
      <w:r w:rsidRPr="00DD0373">
        <w:rPr>
          <w:lang w:val="es-ES_tradnl"/>
        </w:rPr>
        <w:t xml:space="preserve"> tenían derecho a decidir a qué agrupación regional pertenecían. El orador señaló que los países de Asia Central habían sido miembros del Grupo de Europa Oriental durante más de 30 años, y que varios de ellos habían sido nominados y elegidos para ocupar cargos en los órganos del Protocolo en nombre del grupo. Por ejemplo, justo el año anterior, Kirguistán había sido elegido para formar parte del Comité Ejecutivo del Fondo Multilateral. La pertenencia a los grupos regionales oficiosos en el marco del Protocolo era un derecho soberano; no estaba sujeto a interpretación por parte de otros países. El orador instó a las </w:t>
      </w:r>
      <w:r w:rsidR="00C17707">
        <w:rPr>
          <w:lang w:val="es-ES_tradnl"/>
        </w:rPr>
        <w:t>Partes</w:t>
      </w:r>
      <w:r w:rsidRPr="00DD0373">
        <w:rPr>
          <w:lang w:val="es-ES_tradnl"/>
        </w:rPr>
        <w:t xml:space="preserve"> y a la Secretaría a que ayudasen a encontrar una solución y propuso que la agrupación regional oficiosa creada en virtud del Protocolo pasase a denominarse Grupo de Europa Oriental, Cáucaso y Asia Central, propuesta que secundó otro representante.</w:t>
      </w:r>
    </w:p>
    <w:p w14:paraId="266F41F5" w14:textId="721EF6EE" w:rsidR="006B128A" w:rsidRPr="00DD0373" w:rsidRDefault="006B128A" w:rsidP="006B128A">
      <w:pPr>
        <w:pStyle w:val="Normalnumber"/>
        <w:rPr>
          <w:lang w:val="es-ES_tradnl"/>
        </w:rPr>
      </w:pPr>
      <w:r w:rsidRPr="00DD0373">
        <w:rPr>
          <w:lang w:val="es-ES_tradnl"/>
        </w:rPr>
        <w:t xml:space="preserve">El representante de Tayikistán, como proponente de la propuesta, hizo hincapié en que el principio de participación equitativa e inclusiva de todos los países en los grupos regionales debía seguir siendo el núcleo de la adopción de decisiones en el marco del Protocolo de Montreal. Cualquier cambio propuesto que afectase a los miembros de un grupo regional debía debatirse con transparencia y basarse en el consenso, el derecho internacional y las prácticas establecidas por las Reuniones de las </w:t>
      </w:r>
      <w:r w:rsidR="00C17707">
        <w:rPr>
          <w:lang w:val="es-ES_tradnl"/>
        </w:rPr>
        <w:t>Partes</w:t>
      </w:r>
      <w:r w:rsidRPr="00DD0373">
        <w:rPr>
          <w:lang w:val="es-ES_tradnl"/>
        </w:rPr>
        <w:t>. Cualquier esfuerzo que condujese a la exclusión o reasignación de países sin su consentimiento socavaría los principios de solidaridad, inclusión y cooperación que habían sido el sello distintivo de los buenos resultados del Protocolo.</w:t>
      </w:r>
    </w:p>
    <w:p w14:paraId="154225FA" w14:textId="2B7611F3" w:rsidR="006B128A" w:rsidRPr="00DD0373" w:rsidRDefault="006B128A" w:rsidP="006B128A">
      <w:pPr>
        <w:pStyle w:val="Normalnumber"/>
        <w:rPr>
          <w:lang w:val="es-ES_tradnl"/>
        </w:rPr>
      </w:pPr>
      <w:r w:rsidRPr="00DD0373">
        <w:rPr>
          <w:lang w:val="es-ES_tradnl"/>
        </w:rPr>
        <w:t xml:space="preserve">Un representante expresó su apoyo a las declaraciones de los oradores anteriores y destacó la necesidad de seguir las prácticas establecidas y actuar de conformidad con el principio del consenso. El orador dijo que su delegación se oponía a la exclusión o expulsión deliberada de países de un grupo regional al que estaban afiliados. El orador instó a las </w:t>
      </w:r>
      <w:r w:rsidR="00C17707">
        <w:rPr>
          <w:lang w:val="es-ES_tradnl"/>
        </w:rPr>
        <w:t>Partes</w:t>
      </w:r>
      <w:r w:rsidRPr="00DD0373">
        <w:rPr>
          <w:lang w:val="es-ES_tradnl"/>
        </w:rPr>
        <w:t xml:space="preserve"> a que se centrasen en las cuestiones sustantivas de carácter científico que figuraban en el programa, evita</w:t>
      </w:r>
      <w:r w:rsidR="00EC1C10" w:rsidRPr="00DD0373">
        <w:rPr>
          <w:lang w:val="es-ES_tradnl"/>
        </w:rPr>
        <w:t>sen</w:t>
      </w:r>
      <w:r w:rsidRPr="00DD0373">
        <w:rPr>
          <w:lang w:val="es-ES_tradnl"/>
        </w:rPr>
        <w:t xml:space="preserve"> la politización de la 37ª Reunión de las </w:t>
      </w:r>
      <w:r w:rsidR="00C17707">
        <w:rPr>
          <w:lang w:val="es-ES_tradnl"/>
        </w:rPr>
        <w:t>Partes</w:t>
      </w:r>
      <w:r w:rsidRPr="00DD0373">
        <w:rPr>
          <w:lang w:val="es-ES_tradnl"/>
        </w:rPr>
        <w:t xml:space="preserve"> y respeta</w:t>
      </w:r>
      <w:r w:rsidR="00EC1C10" w:rsidRPr="00DD0373">
        <w:rPr>
          <w:lang w:val="es-ES_tradnl"/>
        </w:rPr>
        <w:t>sen</w:t>
      </w:r>
      <w:r w:rsidRPr="00DD0373">
        <w:rPr>
          <w:lang w:val="es-ES_tradnl"/>
        </w:rPr>
        <w:t xml:space="preserve"> los principios de solidaridad y cooperación, con el objetivo primordial de velar por la plena aplicación del Protocolo de Montreal. Otro representante dijo que su delegación estaba profundamente preocupada por los esfuerzos por excluir a cinco miembros de larga data del grupo regional oficioso y por desacreditar su trabajo. La situación carecía de precedentes: era un derecho soberano de los países decidir en qué grupo oficioso estaban representados en el sistema de las Naciones Unidas.</w:t>
      </w:r>
    </w:p>
    <w:p w14:paraId="25B7B6B9" w14:textId="57AC0FEC" w:rsidR="006B128A" w:rsidRPr="00DD0373" w:rsidRDefault="006B128A" w:rsidP="006B128A">
      <w:pPr>
        <w:pStyle w:val="Normalnumber"/>
        <w:rPr>
          <w:lang w:val="es-ES_tradnl"/>
        </w:rPr>
      </w:pPr>
      <w:r w:rsidRPr="00DD0373">
        <w:rPr>
          <w:lang w:val="es-ES_tradnl"/>
        </w:rPr>
        <w:lastRenderedPageBreak/>
        <w:t xml:space="preserve">Un representante afirmó que los órganos del Protocolo de Montreal funcionaban dentro del sistema de las Naciones Unidas y de conformidad con las prácticas establecidas por la Asamblea General. Por lo tanto, una Reunión de las </w:t>
      </w:r>
      <w:r w:rsidR="00C17707">
        <w:rPr>
          <w:lang w:val="es-ES_tradnl"/>
        </w:rPr>
        <w:t>Partes</w:t>
      </w:r>
      <w:r w:rsidRPr="00DD0373">
        <w:rPr>
          <w:lang w:val="es-ES_tradnl"/>
        </w:rPr>
        <w:t xml:space="preserve"> no era el foro adecuado para debatir esas cuestiones. Otros representantes suscribieron su declaración. Otro representante, que coincidía en que una Reunión de las </w:t>
      </w:r>
      <w:r w:rsidR="00C17707">
        <w:rPr>
          <w:lang w:val="es-ES_tradnl"/>
        </w:rPr>
        <w:t>Partes</w:t>
      </w:r>
      <w:r w:rsidRPr="00DD0373">
        <w:rPr>
          <w:lang w:val="es-ES_tradnl"/>
        </w:rPr>
        <w:t xml:space="preserve"> no era el foro adecuado para adoptar una decisión sobre el asunto, señaló que en</w:t>
      </w:r>
      <w:r w:rsidR="008718D3" w:rsidRPr="00DD0373">
        <w:rPr>
          <w:lang w:val="es-ES_tradnl"/>
        </w:rPr>
        <w:t> </w:t>
      </w:r>
      <w:r w:rsidRPr="00DD0373">
        <w:rPr>
          <w:lang w:val="es-ES_tradnl"/>
        </w:rPr>
        <w:t xml:space="preserve">el artículo 21 del Reglamento de las Reuniones de las </w:t>
      </w:r>
      <w:r w:rsidR="00C17707">
        <w:rPr>
          <w:lang w:val="es-ES_tradnl"/>
        </w:rPr>
        <w:t>Partes</w:t>
      </w:r>
      <w:r w:rsidRPr="00DD0373">
        <w:rPr>
          <w:lang w:val="es-ES_tradnl"/>
        </w:rPr>
        <w:t xml:space="preserve"> se hacía referencia a los cinco grupos de Estados establecidos por la Asamblea General en su resolución 2997 (XXVII), referente a las disposiciones institucionales y financieras para la cooperación internacional en lo relativo al medio ambiente. Otro representante subrayó la importancia del diálogo y el compromiso. Se necesitaba más orientación de la Secretaría sobre el modo de proceder; en la fase en curso no podía adoptarse ninguna decisión.</w:t>
      </w:r>
    </w:p>
    <w:p w14:paraId="13E994F3" w14:textId="35E3EE12" w:rsidR="006B128A" w:rsidRPr="00DD0373" w:rsidRDefault="006B128A" w:rsidP="00E56069">
      <w:pPr>
        <w:pStyle w:val="Normalnumber"/>
        <w:ind w:left="1247"/>
        <w:rPr>
          <w:lang w:val="es-ES_tradnl"/>
        </w:rPr>
      </w:pPr>
      <w:r w:rsidRPr="00DD0373">
        <w:rPr>
          <w:lang w:val="es-ES_tradnl"/>
        </w:rPr>
        <w:t>Un representante preguntó por qué no podía negociarse la cuestión en el foro que estaba teniendo lugar. Dado que la composición de los grupos regionales oficiosos no había cambiado desde</w:t>
      </w:r>
      <w:r w:rsidR="008718D3" w:rsidRPr="00DD0373">
        <w:rPr>
          <w:lang w:val="es-ES_tradnl"/>
        </w:rPr>
        <w:t> </w:t>
      </w:r>
      <w:r w:rsidRPr="00DD0373">
        <w:rPr>
          <w:lang w:val="es-ES_tradnl"/>
        </w:rPr>
        <w:t>la creación del Protocolo y que los cinco países en cuestión habían sido miembros del Grupo de</w:t>
      </w:r>
      <w:r w:rsidR="008718D3" w:rsidRPr="00DD0373">
        <w:rPr>
          <w:lang w:val="es-ES_tradnl"/>
        </w:rPr>
        <w:t> </w:t>
      </w:r>
      <w:r w:rsidRPr="00DD0373">
        <w:rPr>
          <w:lang w:val="es-ES_tradnl"/>
        </w:rPr>
        <w:t xml:space="preserve">Europa Oriental durante tres decenios, el orador se preguntaba por qué en ese momento se estaba tratando de ajustar más estrechamente la composición de ese grupo concreto con el grupo regional del sistema de las Naciones Unidas. Otro representante secundó esos sentimientos e hizo hincapié en que los buenos resultados del Protocolo dependían de la cooperación encaminada a preservar el medio ambiente para las generaciones presentes y futuras. Pasar por alto las prácticas anteriores ponía en riesgo la cooperación y la unidad entre las </w:t>
      </w:r>
      <w:r w:rsidR="00C17707">
        <w:rPr>
          <w:lang w:val="es-ES_tradnl"/>
        </w:rPr>
        <w:t>Partes</w:t>
      </w:r>
      <w:r w:rsidRPr="00DD0373">
        <w:rPr>
          <w:lang w:val="es-ES_tradnl"/>
        </w:rPr>
        <w:t>.</w:t>
      </w:r>
    </w:p>
    <w:p w14:paraId="0303FB88" w14:textId="64F62EC6" w:rsidR="006B128A" w:rsidRPr="00DD0373" w:rsidRDefault="006B128A" w:rsidP="006B128A">
      <w:pPr>
        <w:pStyle w:val="Normalnumber"/>
        <w:rPr>
          <w:lang w:val="es-ES_tradnl"/>
        </w:rPr>
      </w:pPr>
      <w:r w:rsidRPr="00DD0373">
        <w:rPr>
          <w:lang w:val="es-ES_tradnl"/>
        </w:rPr>
        <w:t xml:space="preserve">El representante de Kazajstán, como proponente de la propuesta, dijo que su delegación se oponía firmemente a la iniciativa de excluir a los países de Asia Central del Grupo de Europa Oriental, considerando que carecía de base jurídica, contradecía las prácticas establecidas y violaba los derechos de las </w:t>
      </w:r>
      <w:r w:rsidR="00C17707">
        <w:rPr>
          <w:lang w:val="es-ES_tradnl"/>
        </w:rPr>
        <w:t>Partes</w:t>
      </w:r>
      <w:r w:rsidRPr="00DD0373">
        <w:rPr>
          <w:lang w:val="es-ES_tradnl"/>
        </w:rPr>
        <w:t xml:space="preserve"> a elegir y ser </w:t>
      </w:r>
      <w:r w:rsidR="00D9372E" w:rsidRPr="00DD0373">
        <w:rPr>
          <w:lang w:val="es-ES_tradnl"/>
        </w:rPr>
        <w:t>elegidas</w:t>
      </w:r>
      <w:r w:rsidRPr="00DD0373">
        <w:rPr>
          <w:lang w:val="es-ES_tradnl"/>
        </w:rPr>
        <w:t xml:space="preserve"> miembros de los órganos rectores y subsidiarios del Protocolo de Montreal. Kazajstán había sido elegido anteriormente para que formase parte de la Mesa y deseaba presentar su candidatura para ser elegido miembro del Comité Ejecutivo del Fondo Multilateral. El orador señaló que la resolución 2997 (XXVII) de la Asamblea General estaba desactualizada: no reflejaba el mapa político vigente. Esta resolución se había adoptado en 1972, cuando los cinco países</w:t>
      </w:r>
      <w:r w:rsidR="008718D3" w:rsidRPr="00DD0373">
        <w:rPr>
          <w:lang w:val="es-ES_tradnl"/>
        </w:rPr>
        <w:t> </w:t>
      </w:r>
      <w:r w:rsidRPr="00DD0373">
        <w:rPr>
          <w:lang w:val="es-ES_tradnl"/>
        </w:rPr>
        <w:t>de Asia Central formaban parte de la Unión de Repúblicas Socialistas Soviéticas. Además, la resolución había sido sustituida por la resolución 67/251, por la que el Consejo de Administración del PNUMA se había convertido en la Asamblea de las Naciones Unidas sobre el Medio Ambiente, con lo</w:t>
      </w:r>
      <w:r w:rsidR="008718D3" w:rsidRPr="00DD0373">
        <w:rPr>
          <w:lang w:val="es-ES_tradnl"/>
        </w:rPr>
        <w:t> </w:t>
      </w:r>
      <w:r w:rsidRPr="00DD0373">
        <w:rPr>
          <w:lang w:val="es-ES_tradnl"/>
        </w:rPr>
        <w:t xml:space="preserve">que se había suprimido el modelo de asignación de puestos de 1972 y se había introducido la membresía universal. Tras la disolución de la Unión de Repúblicas Socialistas Soviéticas, en 1991, los cinco Estados de reciente independencia habían seguido participando en el Grupo de Europa Oriental. Esos cinco Estados también eran miembros de grupos regionales de Europa Oriental en otras entidades de las Naciones Unidas. </w:t>
      </w:r>
    </w:p>
    <w:p w14:paraId="4AD54E4C" w14:textId="235266F2" w:rsidR="006B128A" w:rsidRPr="00DD0373" w:rsidRDefault="060BAF3F" w:rsidP="006B128A">
      <w:pPr>
        <w:pStyle w:val="Normalnumber"/>
        <w:rPr>
          <w:lang w:val="es-ES_tradnl"/>
        </w:rPr>
      </w:pPr>
      <w:r w:rsidRPr="00DD0373">
        <w:rPr>
          <w:lang w:val="es-ES_tradnl"/>
        </w:rPr>
        <w:t>El orador añadió que toda referencia al artículo 21 del Reglamento debería interpretarse como una referencia histórica a la representación geográfica equitativa y no como un marco jurídicamente vinculante. A falta de un instrumento jurídicamente vinculante en que se redefiniese la composición de los grupos regionales, las prácticas institucionales habituales guiaban la participación de los países en ellos. La participación ininterrumpida de los países de Asia Central en el Grupo de Europa Oriental desde su independencia constituía un hecho institucional de larga data protegido por los principios de expectativa legítima y derechos adquiridos. Una vez que un Estado había ejercido durante decenios funciones de miembro dentro de un grupo regional sin objeciones por parte de otros miembros, adquiría derechos procesales que no podían modificarse de forma unilateral ni retroactiva sin su consentimiento expreso o una decisión intergubernamental oficial. Era necesario defender los principios de igualdad soberana de los Estados, consagrados en el artículo 2 de la Carta de las Naciones</w:t>
      </w:r>
      <w:r w:rsidR="008E7955" w:rsidRPr="00DD0373">
        <w:rPr>
          <w:lang w:val="es-ES_tradnl"/>
        </w:rPr>
        <w:t> </w:t>
      </w:r>
      <w:r w:rsidRPr="00DD0373">
        <w:rPr>
          <w:lang w:val="es-ES_tradnl"/>
        </w:rPr>
        <w:t xml:space="preserve">Unidas, y de seguridad jurídica. El orador pidió a la Secretaría que preparase un documento con información exhaustiva y </w:t>
      </w:r>
      <w:r w:rsidR="00B17D4C" w:rsidRPr="00DD0373">
        <w:rPr>
          <w:lang w:val="es-ES_tradnl"/>
        </w:rPr>
        <w:t xml:space="preserve">un </w:t>
      </w:r>
      <w:r w:rsidRPr="00DD0373">
        <w:rPr>
          <w:lang w:val="es-ES_tradnl"/>
        </w:rPr>
        <w:t xml:space="preserve">análisis de las decisiones, resoluciones y prácticas de todas las entidades de las Naciones Unidas, incluidos los órganos subsidiarios y las secretarías de los convenios, en relación con la asignación a los grupos regionales de Estados Miembros de las Naciones Unidas. Era necesario continuar el diálogo sobre la base del respeto mutuo y la adhesión al derecho internacional; el enfoque colectivo de las </w:t>
      </w:r>
      <w:r w:rsidR="00C17707">
        <w:rPr>
          <w:lang w:val="es-ES_tradnl"/>
        </w:rPr>
        <w:t>Partes</w:t>
      </w:r>
      <w:r w:rsidRPr="00DD0373">
        <w:rPr>
          <w:lang w:val="es-ES_tradnl"/>
        </w:rPr>
        <w:t xml:space="preserve"> debía seguir centrándose en alcanzar objetivos ambientales comunes y garantizar un futuro sostenible para todos.</w:t>
      </w:r>
    </w:p>
    <w:p w14:paraId="742994CC" w14:textId="6B841F84" w:rsidR="006B128A" w:rsidRPr="00DD0373" w:rsidRDefault="006B128A" w:rsidP="006B128A">
      <w:pPr>
        <w:pStyle w:val="Normalnumber"/>
        <w:rPr>
          <w:lang w:val="es-ES_tradnl"/>
        </w:rPr>
      </w:pPr>
      <w:r w:rsidRPr="00DD0373">
        <w:rPr>
          <w:lang w:val="es-ES_tradnl"/>
        </w:rPr>
        <w:t xml:space="preserve">Algunos representantes dijeron que las propuestas de cambios a los grupos regionales existentes, incluidos los criterios para ser miembro de estos, requerían evaluaciones y debates más profundos que excedían el alcance de una Reunión de las </w:t>
      </w:r>
      <w:r w:rsidR="00C17707">
        <w:rPr>
          <w:lang w:val="es-ES_tradnl"/>
        </w:rPr>
        <w:t>Partes</w:t>
      </w:r>
      <w:r w:rsidRPr="00DD0373">
        <w:rPr>
          <w:lang w:val="es-ES_tradnl"/>
        </w:rPr>
        <w:t>.</w:t>
      </w:r>
    </w:p>
    <w:p w14:paraId="7A3E491F" w14:textId="0EBDA635" w:rsidR="006B128A" w:rsidRPr="00DD0373" w:rsidRDefault="006B128A" w:rsidP="006B128A">
      <w:pPr>
        <w:pStyle w:val="Normalnumber"/>
        <w:rPr>
          <w:lang w:val="es-ES_tradnl"/>
        </w:rPr>
      </w:pPr>
      <w:r w:rsidRPr="00DD0373">
        <w:rPr>
          <w:lang w:val="es-ES_tradnl"/>
        </w:rPr>
        <w:t xml:space="preserve">El representante de Kirguistán, refiriéndose a una carta recibida de un representante de la Secretaría, dijo que el Reglamento no se aplicaba a los grupos regionales oficiosos. En el momento de la adopción de la resolución 2997 (XXVII) de la Asamblea General, en 1972, las 15 repúblicas de la </w:t>
      </w:r>
      <w:r w:rsidRPr="00DD0373">
        <w:rPr>
          <w:lang w:val="es-ES_tradnl"/>
        </w:rPr>
        <w:lastRenderedPageBreak/>
        <w:t>Unión de Repúblicas Socialistas Soviéticas pertenecían al Grupo de Europa Oriental. Mientras tanto, no había ningún documento oficial de las Naciones Unidas en que se aclarase la lista de países pertenecientes a ese grupo regional. Además, los grupos regionales no se habían establecido como órganos del Protocolo de Montreal, se reunían de manera no oficial, no existía ninguna norma que regulase su composición y la adopción de decisiones en esos grupos se basaba en el consenso.</w:t>
      </w:r>
    </w:p>
    <w:p w14:paraId="42882392" w14:textId="74937E27" w:rsidR="006B128A" w:rsidRPr="00DD0373" w:rsidRDefault="006B128A" w:rsidP="006B128A">
      <w:pPr>
        <w:pStyle w:val="Normalnumber"/>
        <w:rPr>
          <w:lang w:val="es-ES_tradnl"/>
        </w:rPr>
      </w:pPr>
      <w:r w:rsidRPr="00DD0373">
        <w:rPr>
          <w:lang w:val="es-ES_tradnl"/>
        </w:rPr>
        <w:t xml:space="preserve">En respuesta a una pregunta sobre si las </w:t>
      </w:r>
      <w:r w:rsidR="00C17707">
        <w:rPr>
          <w:lang w:val="es-ES_tradnl"/>
        </w:rPr>
        <w:t>Partes</w:t>
      </w:r>
      <w:r w:rsidRPr="00DD0373">
        <w:rPr>
          <w:lang w:val="es-ES_tradnl"/>
        </w:rPr>
        <w:t xml:space="preserve"> podían elegir a qué grupo regional pertenecer, una representante de la Secretaría recordó que, durante la 35ª Reunión de las </w:t>
      </w:r>
      <w:r w:rsidR="00C17707">
        <w:rPr>
          <w:lang w:val="es-ES_tradnl"/>
        </w:rPr>
        <w:t>Partes</w:t>
      </w:r>
      <w:r w:rsidRPr="00DD0373">
        <w:rPr>
          <w:lang w:val="es-ES_tradnl"/>
        </w:rPr>
        <w:t>, se habían celebrado consultas oficiosas sobre la cuestión de los países de Europa Oriental y Asia Central. Durante esas consultas, la oradora había indicado que una Parte que fuese miembro de un grupo regional podía optar por asociarse a otro grupo regional, siempre que el grupo en cuestión estuviese de</w:t>
      </w:r>
      <w:r w:rsidR="008718D3" w:rsidRPr="00DD0373">
        <w:rPr>
          <w:lang w:val="es-ES_tradnl"/>
        </w:rPr>
        <w:t> </w:t>
      </w:r>
      <w:r w:rsidRPr="00DD0373">
        <w:rPr>
          <w:lang w:val="es-ES_tradnl"/>
        </w:rPr>
        <w:t xml:space="preserve">acuerdo. No obstante, las </w:t>
      </w:r>
      <w:r w:rsidR="00C17707">
        <w:rPr>
          <w:lang w:val="es-ES_tradnl"/>
        </w:rPr>
        <w:t>Partes</w:t>
      </w:r>
      <w:r w:rsidRPr="00DD0373">
        <w:rPr>
          <w:lang w:val="es-ES_tradnl"/>
        </w:rPr>
        <w:t xml:space="preserve"> no podían ser miembros de más de un grupo regional.</w:t>
      </w:r>
    </w:p>
    <w:p w14:paraId="251D5CC0" w14:textId="2AC63509" w:rsidR="007E700A" w:rsidRPr="00DD0373" w:rsidRDefault="007E700A" w:rsidP="006B128A">
      <w:pPr>
        <w:pStyle w:val="Normalnumber"/>
        <w:rPr>
          <w:lang w:val="es-ES_tradnl"/>
        </w:rPr>
      </w:pPr>
      <w:r w:rsidRPr="00DD0373">
        <w:rPr>
          <w:lang w:val="es-ES_tradnl"/>
        </w:rPr>
        <w:t xml:space="preserve">En respuesta a una pregunta sobre la designación de candidatos en la 37ª Reunión de las </w:t>
      </w:r>
      <w:r w:rsidR="00C17707">
        <w:rPr>
          <w:lang w:val="es-ES_tradnl"/>
        </w:rPr>
        <w:t>Partes</w:t>
      </w:r>
      <w:r w:rsidRPr="00DD0373">
        <w:rPr>
          <w:lang w:val="es-ES_tradnl"/>
        </w:rPr>
        <w:t xml:space="preserve">, el </w:t>
      </w:r>
      <w:proofErr w:type="gramStart"/>
      <w:r w:rsidRPr="00DD0373">
        <w:rPr>
          <w:lang w:val="es-ES_tradnl"/>
        </w:rPr>
        <w:t>Presidente</w:t>
      </w:r>
      <w:proofErr w:type="gramEnd"/>
      <w:r w:rsidRPr="00DD0373">
        <w:rPr>
          <w:lang w:val="es-ES_tradnl"/>
        </w:rPr>
        <w:t xml:space="preserve"> aclaró que las candidaturas podían presentarse durante la serie de sesiones preparatorias.</w:t>
      </w:r>
    </w:p>
    <w:p w14:paraId="7A95913C" w14:textId="77489D08" w:rsidR="006B128A" w:rsidRPr="00DD0373" w:rsidRDefault="006B128A" w:rsidP="007E700A">
      <w:pPr>
        <w:pStyle w:val="Normalnumber"/>
        <w:rPr>
          <w:lang w:val="es-ES_tradnl"/>
        </w:rPr>
      </w:pPr>
      <w:r w:rsidRPr="00DD0373">
        <w:rPr>
          <w:lang w:val="es-ES_tradnl"/>
        </w:rPr>
        <w:t xml:space="preserve">A propuesta del </w:t>
      </w:r>
      <w:proofErr w:type="gramStart"/>
      <w:r w:rsidRPr="00DD0373">
        <w:rPr>
          <w:lang w:val="es-ES_tradnl"/>
        </w:rPr>
        <w:t>Presidente</w:t>
      </w:r>
      <w:proofErr w:type="gramEnd"/>
      <w:r w:rsidRPr="00DD0373">
        <w:rPr>
          <w:lang w:val="es-ES_tradnl"/>
        </w:rPr>
        <w:t xml:space="preserve"> de la 37ª Reunión de las </w:t>
      </w:r>
      <w:r w:rsidR="00C17707">
        <w:rPr>
          <w:lang w:val="es-ES_tradnl"/>
        </w:rPr>
        <w:t>Partes</w:t>
      </w:r>
      <w:r w:rsidRPr="00DD0373">
        <w:rPr>
          <w:lang w:val="es-ES_tradnl"/>
        </w:rPr>
        <w:t xml:space="preserve">, estas acordaron que las </w:t>
      </w:r>
      <w:r w:rsidR="00C17707">
        <w:rPr>
          <w:lang w:val="es-ES_tradnl"/>
        </w:rPr>
        <w:t>Partes</w:t>
      </w:r>
      <w:r w:rsidRPr="00DD0373">
        <w:rPr>
          <w:lang w:val="es-ES_tradnl"/>
        </w:rPr>
        <w:t xml:space="preserve"> interesadas continuarían los debates durante el período entre reuniones y que la Secretaría facilitaría un resumen de la información de referencia antes de la 48ª reunión del Grupo de Trabajo de composición abierta.</w:t>
      </w:r>
    </w:p>
    <w:p w14:paraId="64E4A297" w14:textId="701702BE" w:rsidR="00C20895" w:rsidRPr="00DD0373" w:rsidRDefault="009A6FE9" w:rsidP="003B048F">
      <w:pPr>
        <w:pStyle w:val="CH1"/>
        <w:keepNext w:val="0"/>
        <w:keepLines w:val="0"/>
        <w:rPr>
          <w:lang w:val="es-ES_tradnl"/>
        </w:rPr>
      </w:pPr>
      <w:r w:rsidRPr="00DD0373">
        <w:rPr>
          <w:bCs/>
          <w:lang w:val="es-ES_tradnl"/>
        </w:rPr>
        <w:tab/>
      </w:r>
      <w:r w:rsidR="003B048F" w:rsidRPr="00DD0373">
        <w:rPr>
          <w:bCs/>
          <w:lang w:val="es-ES_tradnl"/>
        </w:rPr>
        <w:t>IX.</w:t>
      </w:r>
      <w:r w:rsidR="003B048F" w:rsidRPr="00DD0373">
        <w:rPr>
          <w:lang w:val="es-ES_tradnl"/>
        </w:rPr>
        <w:tab/>
      </w:r>
      <w:r w:rsidR="003B048F" w:rsidRPr="00DD0373">
        <w:rPr>
          <w:bCs/>
          <w:lang w:val="es-ES_tradnl"/>
        </w:rPr>
        <w:t xml:space="preserve">Aprobación de decisiones por la 37ª Reunión de las </w:t>
      </w:r>
      <w:r w:rsidR="00C17707">
        <w:rPr>
          <w:bCs/>
          <w:lang w:val="es-ES_tradnl"/>
        </w:rPr>
        <w:t>Partes</w:t>
      </w:r>
    </w:p>
    <w:p w14:paraId="4104315D" w14:textId="1D3CAEAE" w:rsidR="003B048F" w:rsidRPr="00DD0373" w:rsidRDefault="002C30D7" w:rsidP="0005351A">
      <w:pPr>
        <w:pStyle w:val="Normalnumber"/>
        <w:tabs>
          <w:tab w:val="clear" w:pos="1247"/>
          <w:tab w:val="clear" w:pos="1814"/>
          <w:tab w:val="clear" w:pos="2381"/>
          <w:tab w:val="clear" w:pos="2948"/>
          <w:tab w:val="clear" w:pos="3515"/>
        </w:tabs>
        <w:ind w:left="1247"/>
        <w:rPr>
          <w:lang w:val="es-ES_tradnl"/>
        </w:rPr>
      </w:pPr>
      <w:r w:rsidRPr="00DD0373">
        <w:rPr>
          <w:lang w:val="es-ES_tradnl"/>
        </w:rPr>
        <w:t xml:space="preserve">En la 37ª Reunión de las </w:t>
      </w:r>
      <w:r w:rsidR="00C17707">
        <w:rPr>
          <w:lang w:val="es-ES_tradnl"/>
        </w:rPr>
        <w:t>Partes</w:t>
      </w:r>
      <w:r w:rsidRPr="00DD0373">
        <w:rPr>
          <w:lang w:val="es-ES_tradnl"/>
        </w:rPr>
        <w:t xml:space="preserve"> en el Protocolo de Montreal se adoptaron las decisiones aprobadas durante la serie de sesiones preparatorias. Las decisiones están disponibles en el documento UNEP/OzL.Pro.37/9/Add.1.</w:t>
      </w:r>
    </w:p>
    <w:p w14:paraId="323E7716" w14:textId="6EF61F59" w:rsidR="00C20895" w:rsidRPr="00DD0373" w:rsidRDefault="009A6FE9" w:rsidP="003B048F">
      <w:pPr>
        <w:pStyle w:val="CH1"/>
        <w:keepNext w:val="0"/>
        <w:keepLines w:val="0"/>
        <w:rPr>
          <w:lang w:val="es-ES_tradnl"/>
        </w:rPr>
      </w:pPr>
      <w:r w:rsidRPr="00DD0373">
        <w:rPr>
          <w:bCs/>
          <w:lang w:val="es-ES_tradnl"/>
        </w:rPr>
        <w:tab/>
      </w:r>
      <w:r w:rsidR="003B048F" w:rsidRPr="00DD0373">
        <w:rPr>
          <w:bCs/>
          <w:lang w:val="es-ES_tradnl"/>
        </w:rPr>
        <w:t>X.</w:t>
      </w:r>
      <w:r w:rsidR="003B048F" w:rsidRPr="00DD0373">
        <w:rPr>
          <w:lang w:val="es-ES_tradnl"/>
        </w:rPr>
        <w:tab/>
      </w:r>
      <w:r w:rsidR="003B048F" w:rsidRPr="00DD0373">
        <w:rPr>
          <w:bCs/>
          <w:lang w:val="es-ES_tradnl"/>
        </w:rPr>
        <w:t>Aprobación del informe de la reunión</w:t>
      </w:r>
    </w:p>
    <w:p w14:paraId="136A4D09" w14:textId="4E9BC803" w:rsidR="002C30D7" w:rsidRPr="00DD0373" w:rsidRDefault="002C30D7" w:rsidP="00D64F55">
      <w:pPr>
        <w:pStyle w:val="Normalnumber"/>
        <w:rPr>
          <w:lang w:val="es-ES_tradnl"/>
        </w:rPr>
      </w:pPr>
      <w:r w:rsidRPr="00DD0373">
        <w:rPr>
          <w:lang w:val="es-ES_tradnl"/>
        </w:rPr>
        <w:t xml:space="preserve">Las </w:t>
      </w:r>
      <w:r w:rsidR="00C17707">
        <w:rPr>
          <w:lang w:val="es-ES_tradnl"/>
        </w:rPr>
        <w:t>Partes</w:t>
      </w:r>
      <w:r w:rsidRPr="00DD0373">
        <w:rPr>
          <w:lang w:val="es-ES_tradnl"/>
        </w:rPr>
        <w:t xml:space="preserve"> aprobaron el presente informe el viernes 7 de noviembre a partir del proyecto de informe distribuido previamente. Se encomendó al </w:t>
      </w:r>
      <w:proofErr w:type="gramStart"/>
      <w:r w:rsidRPr="00DD0373">
        <w:rPr>
          <w:lang w:val="es-ES_tradnl"/>
        </w:rPr>
        <w:t>Presidente</w:t>
      </w:r>
      <w:proofErr w:type="gramEnd"/>
      <w:r w:rsidRPr="00DD0373">
        <w:rPr>
          <w:lang w:val="es-ES_tradnl"/>
        </w:rPr>
        <w:t xml:space="preserve"> la tarea de dar la forma definitiva al informe con la ayuda de la Secretaría.</w:t>
      </w:r>
    </w:p>
    <w:p w14:paraId="216B66FA" w14:textId="731D9676" w:rsidR="00C20895" w:rsidRPr="00DD0373" w:rsidRDefault="009A6FE9" w:rsidP="003B048F">
      <w:pPr>
        <w:pStyle w:val="CH1"/>
        <w:keepNext w:val="0"/>
        <w:keepLines w:val="0"/>
        <w:rPr>
          <w:lang w:val="es-ES_tradnl"/>
        </w:rPr>
      </w:pPr>
      <w:r w:rsidRPr="00DD0373">
        <w:rPr>
          <w:bCs/>
          <w:lang w:val="es-ES_tradnl"/>
        </w:rPr>
        <w:tab/>
      </w:r>
      <w:r w:rsidR="003B048F" w:rsidRPr="00DD0373">
        <w:rPr>
          <w:bCs/>
          <w:lang w:val="es-ES_tradnl"/>
        </w:rPr>
        <w:t>XI.</w:t>
      </w:r>
      <w:r w:rsidR="003B048F" w:rsidRPr="00DD0373">
        <w:rPr>
          <w:lang w:val="es-ES_tradnl"/>
        </w:rPr>
        <w:tab/>
      </w:r>
      <w:r w:rsidR="003B048F" w:rsidRPr="00DD0373">
        <w:rPr>
          <w:bCs/>
          <w:lang w:val="es-ES_tradnl"/>
        </w:rPr>
        <w:t>Clausura de la reunión</w:t>
      </w:r>
    </w:p>
    <w:p w14:paraId="305A5273" w14:textId="77777777" w:rsidR="00C20895" w:rsidRPr="00DD0373" w:rsidRDefault="00C20895" w:rsidP="00C20895">
      <w:pPr>
        <w:rPr>
          <w:sz w:val="2"/>
          <w:szCs w:val="2"/>
          <w:lang w:val="es-ES_tradnl"/>
        </w:rPr>
      </w:pPr>
    </w:p>
    <w:p w14:paraId="60381243" w14:textId="2D883ED1" w:rsidR="002C30D7" w:rsidRPr="00DD0373" w:rsidRDefault="002C30D7" w:rsidP="00D64F55">
      <w:pPr>
        <w:pStyle w:val="Normalnumber"/>
        <w:rPr>
          <w:lang w:val="es-ES_tradnl"/>
        </w:rPr>
      </w:pPr>
      <w:r w:rsidRPr="00DD0373">
        <w:rPr>
          <w:lang w:val="es-ES_tradnl"/>
        </w:rPr>
        <w:t>Tras el habitual intercambio de cortesías, se declaró clausurada la reunión a las 00.10 horas del sábado 8 de noviembre de 2025.</w:t>
      </w:r>
    </w:p>
    <w:p w14:paraId="306FF6C0" w14:textId="71F24198" w:rsidR="00DC4246" w:rsidRPr="00DD0373" w:rsidRDefault="00DC4246">
      <w:pPr>
        <w:tabs>
          <w:tab w:val="clear" w:pos="1247"/>
          <w:tab w:val="clear" w:pos="1814"/>
          <w:tab w:val="clear" w:pos="2381"/>
          <w:tab w:val="clear" w:pos="2948"/>
          <w:tab w:val="clear" w:pos="3515"/>
        </w:tabs>
        <w:rPr>
          <w:lang w:val="es-ES_tradnl"/>
        </w:rPr>
      </w:pPr>
      <w:r w:rsidRPr="00DD0373">
        <w:rPr>
          <w:lang w:val="es-ES_tradnl"/>
        </w:rPr>
        <w:br w:type="page"/>
      </w:r>
    </w:p>
    <w:p w14:paraId="75CB5E59" w14:textId="2542AD10" w:rsidR="00DC4246" w:rsidRPr="00DD0373" w:rsidRDefault="00DC4246" w:rsidP="005E467C">
      <w:pPr>
        <w:pStyle w:val="ZZAnxheader"/>
        <w:tabs>
          <w:tab w:val="clear" w:pos="4990"/>
        </w:tabs>
        <w:rPr>
          <w:b w:val="0"/>
          <w:bCs w:val="0"/>
          <w:szCs w:val="28"/>
          <w:lang w:val="es-ES_tradnl"/>
        </w:rPr>
      </w:pPr>
      <w:r w:rsidRPr="00DD0373">
        <w:rPr>
          <w:lang w:val="es-ES_tradnl"/>
        </w:rPr>
        <w:lastRenderedPageBreak/>
        <w:t>Anexo I</w:t>
      </w:r>
    </w:p>
    <w:p w14:paraId="4303F40B" w14:textId="613ADE68" w:rsidR="00706937" w:rsidRPr="00DD0373" w:rsidRDefault="00706937" w:rsidP="00706937">
      <w:pPr>
        <w:pStyle w:val="ZZAnxtitle"/>
        <w:tabs>
          <w:tab w:val="clear" w:pos="4990"/>
        </w:tabs>
        <w:rPr>
          <w:lang w:val="es-ES_tradnl"/>
        </w:rPr>
      </w:pPr>
      <w:r w:rsidRPr="00DD0373">
        <w:rPr>
          <w:lang w:val="es-ES_tradnl"/>
        </w:rPr>
        <w:t>Resumen de las exposiciones de los miembros de los grupos de evaluación y los comités de opciones técnicas</w:t>
      </w:r>
      <w:r w:rsidR="003064EE" w:rsidRPr="00DD0373">
        <w:rPr>
          <w:rStyle w:val="FootnoteReference"/>
          <w:sz w:val="28"/>
          <w:szCs w:val="28"/>
          <w:lang w:val="es-ES_tradnl"/>
        </w:rPr>
        <w:footnoteReference w:customMarkFollows="1" w:id="5"/>
        <w:t>*</w:t>
      </w:r>
    </w:p>
    <w:p w14:paraId="4FFBA373" w14:textId="512213E5" w:rsidR="005D5072" w:rsidRPr="00DD0373" w:rsidRDefault="009A6FE9" w:rsidP="006B75D5">
      <w:pPr>
        <w:pStyle w:val="CH2"/>
        <w:rPr>
          <w:lang w:val="es-ES_tradnl"/>
        </w:rPr>
      </w:pPr>
      <w:r w:rsidRPr="00DD0373">
        <w:rPr>
          <w:bCs/>
          <w:lang w:val="es-ES_tradnl"/>
        </w:rPr>
        <w:tab/>
      </w:r>
      <w:r w:rsidR="006B75D5" w:rsidRPr="00DD0373">
        <w:rPr>
          <w:bCs/>
          <w:lang w:val="es-ES_tradnl"/>
        </w:rPr>
        <w:t>A.</w:t>
      </w:r>
      <w:r w:rsidR="006B75D5" w:rsidRPr="00DD0373">
        <w:rPr>
          <w:lang w:val="es-ES_tradnl"/>
        </w:rPr>
        <w:tab/>
      </w:r>
      <w:r w:rsidR="006B75D5" w:rsidRPr="00DD0373">
        <w:rPr>
          <w:bCs/>
          <w:lang w:val="es-ES_tradnl"/>
        </w:rPr>
        <w:t>Informe del Grupo de Evaluación Científica sobre la respuesta a la decisión XXXVI/3</w:t>
      </w:r>
    </w:p>
    <w:p w14:paraId="44B07C6D" w14:textId="5B8CFCE6" w:rsidR="001C7776" w:rsidRPr="00DD0373" w:rsidRDefault="001C7776" w:rsidP="001C7776">
      <w:pPr>
        <w:pStyle w:val="Normalnumber"/>
        <w:numPr>
          <w:ilvl w:val="0"/>
          <w:numId w:val="32"/>
        </w:numPr>
        <w:rPr>
          <w:lang w:val="es-ES_tradnl"/>
        </w:rPr>
      </w:pPr>
      <w:r w:rsidRPr="00DD0373">
        <w:rPr>
          <w:lang w:val="es-ES_tradnl"/>
        </w:rPr>
        <w:t xml:space="preserve">En la presentación se resumía el contenido del informe y se destacaban las conclusiones que se consideraban de mayor interés para las </w:t>
      </w:r>
      <w:r w:rsidR="00C17707">
        <w:rPr>
          <w:lang w:val="es-ES_tradnl"/>
        </w:rPr>
        <w:t>Partes</w:t>
      </w:r>
      <w:r w:rsidRPr="00DD0373">
        <w:rPr>
          <w:lang w:val="es-ES_tradnl"/>
        </w:rPr>
        <w:t>. En ese informe, las estimaciones de las emisiones de hidrofluorocarbono</w:t>
      </w:r>
      <w:r w:rsidRPr="00DD0373">
        <w:rPr>
          <w:lang w:val="es-ES_tradnl"/>
        </w:rPr>
        <w:noBreakHyphen/>
        <w:t>23 (HFC</w:t>
      </w:r>
      <w:r w:rsidRPr="00DD0373">
        <w:rPr>
          <w:lang w:val="es-ES_tradnl"/>
        </w:rPr>
        <w:noBreakHyphen/>
        <w:t>23) se derivaron de observaciones atmosféricas hasta 2022. En este informe complementario las estimaciones de las emisiones se actualizan con observaciones atmosféricas hasta 2023. Las conclusiones fundamentales de este informe se mantienen sin cambios sobre la base del año adicional de mediciones, las emisiones obtenidas y las actualizaciones de las cantidades notificadas y las cantidades obtenidas de la notificación de que se ha tenido conocimiento para 2024.</w:t>
      </w:r>
    </w:p>
    <w:p w14:paraId="05EC1F17" w14:textId="7ECDC950" w:rsidR="001C7776" w:rsidRPr="00DD0373" w:rsidRDefault="001C7776" w:rsidP="001C7776">
      <w:pPr>
        <w:pStyle w:val="Normalnumber"/>
        <w:numPr>
          <w:ilvl w:val="0"/>
          <w:numId w:val="32"/>
        </w:numPr>
        <w:rPr>
          <w:lang w:val="es-ES_tradnl"/>
        </w:rPr>
      </w:pPr>
      <w:r w:rsidRPr="00DD0373">
        <w:rPr>
          <w:lang w:val="es-ES_tradnl"/>
        </w:rPr>
        <w:t>Durante 2023, la concentración en la atmósfera media mundial de HFC</w:t>
      </w:r>
      <w:r w:rsidRPr="00DD0373">
        <w:rPr>
          <w:lang w:val="es-ES_tradnl"/>
        </w:rPr>
        <w:noBreakHyphen/>
        <w:t>23 (CHF</w:t>
      </w:r>
      <w:r w:rsidRPr="00DD0373">
        <w:rPr>
          <w:vertAlign w:val="subscript"/>
          <w:lang w:val="es-ES_tradnl"/>
        </w:rPr>
        <w:t>3</w:t>
      </w:r>
      <w:r w:rsidRPr="00DD0373">
        <w:rPr>
          <w:lang w:val="es-ES_tradnl"/>
        </w:rPr>
        <w:t xml:space="preserve">) siguió aumentando. La concentración media mundial medida en 2023 fue de 36,8 ± 0,9 </w:t>
      </w:r>
      <w:r w:rsidR="00C17707">
        <w:rPr>
          <w:lang w:val="es-ES_tradnl"/>
        </w:rPr>
        <w:t>partes</w:t>
      </w:r>
      <w:r w:rsidRPr="00DD0373">
        <w:rPr>
          <w:lang w:val="es-ES_tradnl"/>
        </w:rPr>
        <w:t xml:space="preserve"> por billón (</w:t>
      </w:r>
      <w:proofErr w:type="spellStart"/>
      <w:r w:rsidRPr="00DD0373">
        <w:rPr>
          <w:lang w:val="es-ES_tradnl"/>
        </w:rPr>
        <w:t>ppb</w:t>
      </w:r>
      <w:proofErr w:type="spellEnd"/>
      <w:r w:rsidRPr="00DD0373">
        <w:rPr>
          <w:lang w:val="es-ES_tradnl"/>
        </w:rPr>
        <w:t xml:space="preserve">), lo que supuso 0,97 ± 0,04 </w:t>
      </w:r>
      <w:proofErr w:type="spellStart"/>
      <w:r w:rsidRPr="00DD0373">
        <w:rPr>
          <w:lang w:val="es-ES_tradnl"/>
        </w:rPr>
        <w:t>ppb</w:t>
      </w:r>
      <w:proofErr w:type="spellEnd"/>
      <w:r w:rsidRPr="00DD0373">
        <w:rPr>
          <w:lang w:val="es-ES_tradnl"/>
        </w:rPr>
        <w:t xml:space="preserve"> más que las 35,9 ± 0,9 </w:t>
      </w:r>
      <w:proofErr w:type="spellStart"/>
      <w:r w:rsidRPr="00DD0373">
        <w:rPr>
          <w:lang w:val="es-ES_tradnl"/>
        </w:rPr>
        <w:t>ppb</w:t>
      </w:r>
      <w:proofErr w:type="spellEnd"/>
      <w:r w:rsidRPr="00DD0373">
        <w:rPr>
          <w:lang w:val="es-ES_tradnl"/>
        </w:rPr>
        <w:t xml:space="preserve"> medidas en 2022. Este aumento anual fue ligeramente inferior al cambio medio observado de 2015 a 2023 de 1,10 ± 0,13 </w:t>
      </w:r>
      <w:proofErr w:type="spellStart"/>
      <w:r w:rsidRPr="00DD0373">
        <w:rPr>
          <w:lang w:val="es-ES_tradnl"/>
        </w:rPr>
        <w:t>ppb</w:t>
      </w:r>
      <w:proofErr w:type="spellEnd"/>
      <w:r w:rsidRPr="00DD0373">
        <w:rPr>
          <w:lang w:val="es-ES_tradnl"/>
        </w:rPr>
        <w:t>/año.</w:t>
      </w:r>
    </w:p>
    <w:p w14:paraId="700342B8" w14:textId="7A1AF9D9" w:rsidR="001C7776" w:rsidRPr="00DD0373" w:rsidRDefault="001C7776" w:rsidP="001C7776">
      <w:pPr>
        <w:pStyle w:val="Normalnumber"/>
        <w:numPr>
          <w:ilvl w:val="0"/>
          <w:numId w:val="32"/>
        </w:numPr>
        <w:rPr>
          <w:lang w:val="es-ES_tradnl"/>
        </w:rPr>
      </w:pPr>
      <w:r w:rsidRPr="00DD0373">
        <w:rPr>
          <w:lang w:val="es-ES_tradnl"/>
        </w:rPr>
        <w:t>Las emisiones mundiales de HFC</w:t>
      </w:r>
      <w:r w:rsidRPr="00DD0373">
        <w:rPr>
          <w:lang w:val="es-ES_tradnl"/>
        </w:rPr>
        <w:noBreakHyphen/>
        <w:t xml:space="preserve">23 en 2023 obtenidas a partir de las concentraciones en la atmósfera medidas ascendieron a 14,2 ± 0,7 </w:t>
      </w:r>
      <w:proofErr w:type="spellStart"/>
      <w:r w:rsidRPr="00DD0373">
        <w:rPr>
          <w:lang w:val="es-ES_tradnl"/>
        </w:rPr>
        <w:t>kt</w:t>
      </w:r>
      <w:proofErr w:type="spellEnd"/>
      <w:r w:rsidRPr="00DD0373">
        <w:rPr>
          <w:lang w:val="es-ES_tradnl"/>
        </w:rPr>
        <w:t xml:space="preserve"> y fueron similares a las emisiones de 2022 (14,4 ± 0,6). El pequeño cambio en las emisiones durante esos años contrastaba con la mayor disminución anual registrada entre 2019 y 2022, que fue de una media de 0,8 </w:t>
      </w:r>
      <w:proofErr w:type="spellStart"/>
      <w:r w:rsidRPr="00DD0373">
        <w:rPr>
          <w:lang w:val="es-ES_tradnl"/>
        </w:rPr>
        <w:t>kt</w:t>
      </w:r>
      <w:proofErr w:type="spellEnd"/>
      <w:r w:rsidRPr="00DD0373">
        <w:rPr>
          <w:lang w:val="es-ES_tradnl"/>
        </w:rPr>
        <w:t>/año. La producción declarada de HCFC</w:t>
      </w:r>
      <w:r w:rsidRPr="00DD0373">
        <w:rPr>
          <w:lang w:val="es-ES_tradnl"/>
        </w:rPr>
        <w:noBreakHyphen/>
        <w:t>22 para todos los usos, que sigue siendo la mayor fuente conocida de HFC</w:t>
      </w:r>
      <w:r w:rsidRPr="00DD0373">
        <w:rPr>
          <w:lang w:val="es-ES_tradnl"/>
        </w:rPr>
        <w:noBreakHyphen/>
        <w:t xml:space="preserve">23 como subproducto, fue un 1,9 % menor en 2023 que en 2022 (1.197 </w:t>
      </w:r>
      <w:proofErr w:type="spellStart"/>
      <w:r w:rsidRPr="00DD0373">
        <w:rPr>
          <w:lang w:val="es-ES_tradnl"/>
        </w:rPr>
        <w:t>kt</w:t>
      </w:r>
      <w:proofErr w:type="spellEnd"/>
      <w:r w:rsidRPr="00DD0373">
        <w:rPr>
          <w:lang w:val="es-ES_tradnl"/>
        </w:rPr>
        <w:t xml:space="preserve"> en 2022 y 1.175 </w:t>
      </w:r>
      <w:proofErr w:type="spellStart"/>
      <w:r w:rsidRPr="00DD0373">
        <w:rPr>
          <w:lang w:val="es-ES_tradnl"/>
        </w:rPr>
        <w:t>kt</w:t>
      </w:r>
      <w:proofErr w:type="spellEnd"/>
      <w:r w:rsidRPr="00DD0373">
        <w:rPr>
          <w:lang w:val="es-ES_tradnl"/>
        </w:rPr>
        <w:t xml:space="preserve"> en 2023).</w:t>
      </w:r>
    </w:p>
    <w:p w14:paraId="1737537D" w14:textId="47CCCFB3" w:rsidR="001C7776" w:rsidRPr="00DD0373" w:rsidRDefault="00DB4056" w:rsidP="001C7776">
      <w:pPr>
        <w:pStyle w:val="Normalnumber"/>
        <w:numPr>
          <w:ilvl w:val="0"/>
          <w:numId w:val="32"/>
        </w:numPr>
        <w:rPr>
          <w:lang w:val="es-ES_tradnl"/>
        </w:rPr>
      </w:pPr>
      <w:r w:rsidRPr="00DD0373">
        <w:rPr>
          <w:lang w:val="es-ES_tradnl"/>
        </w:rPr>
        <w:t>En</w:t>
      </w:r>
      <w:r w:rsidR="001C7776" w:rsidRPr="00DD0373">
        <w:rPr>
          <w:lang w:val="es-ES_tradnl"/>
        </w:rPr>
        <w:t xml:space="preserve"> </w:t>
      </w:r>
      <w:r w:rsidRPr="00DD0373">
        <w:rPr>
          <w:lang w:val="es-ES_tradnl"/>
        </w:rPr>
        <w:t xml:space="preserve">ciertos </w:t>
      </w:r>
      <w:r w:rsidR="001C7776" w:rsidRPr="00DD0373">
        <w:rPr>
          <w:lang w:val="es-ES_tradnl"/>
        </w:rPr>
        <w:t xml:space="preserve">resultados científicos </w:t>
      </w:r>
      <w:r w:rsidRPr="00DD0373">
        <w:rPr>
          <w:lang w:val="es-ES_tradnl"/>
        </w:rPr>
        <w:t xml:space="preserve">de obtención reciente se </w:t>
      </w:r>
      <w:r w:rsidR="001C7776" w:rsidRPr="00DD0373">
        <w:rPr>
          <w:lang w:val="es-ES_tradnl"/>
        </w:rPr>
        <w:t>confirma que el HFC</w:t>
      </w:r>
      <w:r w:rsidR="001C7776" w:rsidRPr="00DD0373">
        <w:rPr>
          <w:lang w:val="es-ES_tradnl"/>
        </w:rPr>
        <w:noBreakHyphen/>
        <w:t>23 se produce en reacciones de oxidación de algunos gases fluorados presentes en la atmósfera. Se calcula que esta fuente de HFC</w:t>
      </w:r>
      <w:r w:rsidR="001C7776" w:rsidRPr="00DD0373">
        <w:rPr>
          <w:lang w:val="es-ES_tradnl"/>
        </w:rPr>
        <w:noBreakHyphen/>
        <w:t xml:space="preserve">23 será inferior a 0,22 </w:t>
      </w:r>
      <w:proofErr w:type="spellStart"/>
      <w:r w:rsidR="001C7776" w:rsidRPr="00DD0373">
        <w:rPr>
          <w:lang w:val="es-ES_tradnl"/>
        </w:rPr>
        <w:t>kt</w:t>
      </w:r>
      <w:proofErr w:type="spellEnd"/>
      <w:r w:rsidR="001C7776" w:rsidRPr="00DD0373">
        <w:rPr>
          <w:lang w:val="es-ES_tradnl"/>
        </w:rPr>
        <w:t>/año en 2023. Este valor revisado es inferior al estimado anteriormente (Grupo de Evaluación Científica, 2024) y sigue siendo un límite superior, lo que significa que es probable que el valor real sea inferior.</w:t>
      </w:r>
    </w:p>
    <w:p w14:paraId="20938C68" w14:textId="77777777" w:rsidR="001C7776" w:rsidRPr="00DD0373" w:rsidRDefault="001C7776" w:rsidP="001C7776">
      <w:pPr>
        <w:pStyle w:val="Normalnumber"/>
        <w:numPr>
          <w:ilvl w:val="0"/>
          <w:numId w:val="32"/>
        </w:numPr>
        <w:rPr>
          <w:lang w:val="es-ES_tradnl"/>
        </w:rPr>
      </w:pPr>
      <w:r w:rsidRPr="00DD0373">
        <w:rPr>
          <w:lang w:val="es-ES_tradnl"/>
        </w:rPr>
        <w:t>La diferencia o brecha entre las emisiones mundiales obtenidas de las mediciones atmosféricas y las notificadas o estimadas a partir de la información proporcionada a la Convención Marco de las Naciones Unidas sobre el Cambio Climático (CMNUCC), el Fondo Multilateral para la Aplicación del Protocolo de Montreal (FMPM) y la Secretaría del Ozono persistió en 2023 y sigue siendo sustancial.</w:t>
      </w:r>
    </w:p>
    <w:p w14:paraId="1DD281DE" w14:textId="3BC789D3" w:rsidR="001C7776" w:rsidRPr="00DD0373" w:rsidRDefault="001C7776" w:rsidP="001C7776">
      <w:pPr>
        <w:pStyle w:val="Normalnumber"/>
        <w:numPr>
          <w:ilvl w:val="0"/>
          <w:numId w:val="32"/>
        </w:numPr>
        <w:rPr>
          <w:lang w:val="es-ES_tradnl"/>
        </w:rPr>
      </w:pPr>
      <w:r w:rsidRPr="00DD0373">
        <w:rPr>
          <w:lang w:val="es-ES_tradnl"/>
        </w:rPr>
        <w:t xml:space="preserve">Con los pequeños cambios de 2022 a 2023 en las emisiones </w:t>
      </w:r>
      <w:r w:rsidR="00FE0F9A" w:rsidRPr="00DD0373">
        <w:rPr>
          <w:lang w:val="es-ES_tradnl"/>
        </w:rPr>
        <w:t>derivadas</w:t>
      </w:r>
      <w:r w:rsidRPr="00DD0373">
        <w:rPr>
          <w:lang w:val="es-ES_tradnl"/>
        </w:rPr>
        <w:t xml:space="preserve"> de los cambios en la concentración en la atmósfera mundial y las emisiones notificadas disponibles, la brecha en </w:t>
      </w:r>
      <w:r w:rsidR="00B56606" w:rsidRPr="00DD0373">
        <w:rPr>
          <w:lang w:val="es-ES_tradnl"/>
        </w:rPr>
        <w:t xml:space="preserve">el conocimiento </w:t>
      </w:r>
      <w:r w:rsidRPr="00DD0373">
        <w:rPr>
          <w:lang w:val="es-ES_tradnl"/>
        </w:rPr>
        <w:t>de las emisiones de HFC</w:t>
      </w:r>
      <w:r w:rsidRPr="00DD0373">
        <w:rPr>
          <w:lang w:val="es-ES_tradnl"/>
        </w:rPr>
        <w:noBreakHyphen/>
        <w:t xml:space="preserve">23 en 2023 de 11,4 a 12,8 </w:t>
      </w:r>
      <w:proofErr w:type="spellStart"/>
      <w:r w:rsidRPr="00DD0373">
        <w:rPr>
          <w:lang w:val="es-ES_tradnl"/>
        </w:rPr>
        <w:t>kt</w:t>
      </w:r>
      <w:proofErr w:type="spellEnd"/>
      <w:r w:rsidRPr="00DD0373">
        <w:rPr>
          <w:lang w:val="es-ES_tradnl"/>
        </w:rPr>
        <w:t>/año es similar a la brecha estimada para 2022 en el informe anterior sobre HFC</w:t>
      </w:r>
      <w:r w:rsidRPr="00DD0373">
        <w:rPr>
          <w:lang w:val="es-ES_tradnl"/>
        </w:rPr>
        <w:noBreakHyphen/>
        <w:t>23 (Grupo de Evaluación Científica, 2024) de</w:t>
      </w:r>
      <w:r w:rsidR="00B56606" w:rsidRPr="00DD0373">
        <w:rPr>
          <w:lang w:val="es-ES_tradnl"/>
        </w:rPr>
        <w:t> </w:t>
      </w:r>
      <w:r w:rsidRPr="00DD0373">
        <w:rPr>
          <w:lang w:val="es-ES_tradnl"/>
        </w:rPr>
        <w:t xml:space="preserve">10,5 a 12,5 </w:t>
      </w:r>
      <w:proofErr w:type="spellStart"/>
      <w:r w:rsidRPr="00DD0373">
        <w:rPr>
          <w:lang w:val="es-ES_tradnl"/>
        </w:rPr>
        <w:t>kt</w:t>
      </w:r>
      <w:proofErr w:type="spellEnd"/>
      <w:r w:rsidRPr="00DD0373">
        <w:rPr>
          <w:lang w:val="es-ES_tradnl"/>
        </w:rPr>
        <w:t>/año.</w:t>
      </w:r>
    </w:p>
    <w:p w14:paraId="602D1D64" w14:textId="390263C8" w:rsidR="001C7776" w:rsidRPr="00DD0373" w:rsidRDefault="001C7776" w:rsidP="001C7776">
      <w:pPr>
        <w:pStyle w:val="Normalnumber"/>
        <w:numPr>
          <w:ilvl w:val="0"/>
          <w:numId w:val="32"/>
        </w:numPr>
        <w:rPr>
          <w:lang w:val="es-ES_tradnl"/>
        </w:rPr>
      </w:pPr>
      <w:r w:rsidRPr="00DD0373">
        <w:rPr>
          <w:lang w:val="es-ES_tradnl"/>
        </w:rPr>
        <w:t>La brecha entre las emisiones de HFC</w:t>
      </w:r>
      <w:r w:rsidRPr="00DD0373">
        <w:rPr>
          <w:lang w:val="es-ES_tradnl"/>
        </w:rPr>
        <w:noBreakHyphen/>
        <w:t>23 notificadas y las inferidas a partir de las concentraciones en la atmósfera no se resuelve teniendo en cuenta todas las fuentes conocidas más allá</w:t>
      </w:r>
      <w:r w:rsidR="008718D3" w:rsidRPr="00DD0373">
        <w:rPr>
          <w:lang w:val="es-ES_tradnl"/>
        </w:rPr>
        <w:t> </w:t>
      </w:r>
      <w:r w:rsidRPr="00DD0373">
        <w:rPr>
          <w:lang w:val="es-ES_tradnl"/>
        </w:rPr>
        <w:t>de la producción de HCFC</w:t>
      </w:r>
      <w:r w:rsidRPr="00DD0373">
        <w:rPr>
          <w:lang w:val="es-ES_tradnl"/>
        </w:rPr>
        <w:noBreakHyphen/>
        <w:t>22. En la evaluación actualizada en 2025 realizada por el Grupo de Evaluación Tecnológica y Económica (GETE) se estima que las emisiones de HFC</w:t>
      </w:r>
      <w:r w:rsidRPr="00DD0373">
        <w:rPr>
          <w:lang w:val="es-ES_tradnl"/>
        </w:rPr>
        <w:noBreakHyphen/>
        <w:t>23 procedentes de</w:t>
      </w:r>
      <w:r w:rsidR="008718D3" w:rsidRPr="00DD0373">
        <w:rPr>
          <w:lang w:val="es-ES_tradnl"/>
        </w:rPr>
        <w:t> </w:t>
      </w:r>
      <w:r w:rsidRPr="00DD0373">
        <w:rPr>
          <w:lang w:val="es-ES_tradnl"/>
        </w:rPr>
        <w:t>todas las fuentes conocidas y las reducciones notificadas después de 2020 se sitúan en un rango de</w:t>
      </w:r>
      <w:r w:rsidR="008718D3" w:rsidRPr="00DD0373">
        <w:rPr>
          <w:lang w:val="es-ES_tradnl"/>
        </w:rPr>
        <w:t> </w:t>
      </w:r>
      <w:r w:rsidRPr="00DD0373">
        <w:rPr>
          <w:lang w:val="es-ES_tradnl"/>
        </w:rPr>
        <w:t xml:space="preserve">1,6 a 3,7 </w:t>
      </w:r>
      <w:proofErr w:type="spellStart"/>
      <w:r w:rsidRPr="00DD0373">
        <w:rPr>
          <w:lang w:val="es-ES_tradnl"/>
        </w:rPr>
        <w:t>kt</w:t>
      </w:r>
      <w:proofErr w:type="spellEnd"/>
      <w:r w:rsidRPr="00DD0373">
        <w:rPr>
          <w:lang w:val="es-ES_tradnl"/>
        </w:rPr>
        <w:t xml:space="preserve">/año, lo que es sustancialmente </w:t>
      </w:r>
      <w:r w:rsidR="00C2603A" w:rsidRPr="00DD0373">
        <w:rPr>
          <w:lang w:val="es-ES_tradnl"/>
        </w:rPr>
        <w:t>inferior</w:t>
      </w:r>
      <w:r w:rsidRPr="00DD0373">
        <w:rPr>
          <w:lang w:val="es-ES_tradnl"/>
        </w:rPr>
        <w:t xml:space="preserve"> </w:t>
      </w:r>
      <w:r w:rsidR="00C2603A" w:rsidRPr="00DD0373">
        <w:rPr>
          <w:lang w:val="es-ES_tradnl"/>
        </w:rPr>
        <w:t xml:space="preserve">a </w:t>
      </w:r>
      <w:r w:rsidRPr="00DD0373">
        <w:rPr>
          <w:lang w:val="es-ES_tradnl"/>
        </w:rPr>
        <w:t>las emisiones obtenidas de la atmósfera de</w:t>
      </w:r>
      <w:r w:rsidR="00C2603A" w:rsidRPr="00DD0373">
        <w:rPr>
          <w:lang w:val="es-ES_tradnl"/>
        </w:rPr>
        <w:t> </w:t>
      </w:r>
      <w:r w:rsidRPr="00DD0373">
        <w:rPr>
          <w:lang w:val="es-ES_tradnl"/>
        </w:rPr>
        <w:t>14,2</w:t>
      </w:r>
      <w:r w:rsidR="00C2603A" w:rsidRPr="00DD0373">
        <w:rPr>
          <w:lang w:val="es-ES_tradnl"/>
        </w:rPr>
        <w:t> </w:t>
      </w:r>
      <w:r w:rsidRPr="00DD0373">
        <w:rPr>
          <w:lang w:val="es-ES_tradnl"/>
        </w:rPr>
        <w:t>±</w:t>
      </w:r>
      <w:r w:rsidR="00C2603A" w:rsidRPr="00DD0373">
        <w:rPr>
          <w:lang w:val="es-ES_tradnl"/>
        </w:rPr>
        <w:t> </w:t>
      </w:r>
      <w:r w:rsidRPr="00DD0373">
        <w:rPr>
          <w:lang w:val="es-ES_tradnl"/>
        </w:rPr>
        <w:t>0,7</w:t>
      </w:r>
      <w:r w:rsidR="00C2603A" w:rsidRPr="00DD0373">
        <w:rPr>
          <w:lang w:val="es-ES_tradnl"/>
        </w:rPr>
        <w:t> </w:t>
      </w:r>
      <w:proofErr w:type="spellStart"/>
      <w:r w:rsidRPr="00DD0373">
        <w:rPr>
          <w:lang w:val="es-ES_tradnl"/>
        </w:rPr>
        <w:t>kt</w:t>
      </w:r>
      <w:proofErr w:type="spellEnd"/>
      <w:r w:rsidRPr="00DD0373">
        <w:rPr>
          <w:lang w:val="es-ES_tradnl"/>
        </w:rPr>
        <w:t>/año durante 2023. Si se añade la producción derivada de la oxidación atmosférica de</w:t>
      </w:r>
      <w:r w:rsidR="008718D3" w:rsidRPr="00DD0373">
        <w:rPr>
          <w:lang w:val="es-ES_tradnl"/>
        </w:rPr>
        <w:t> </w:t>
      </w:r>
      <w:r w:rsidRPr="00DD0373">
        <w:rPr>
          <w:lang w:val="es-ES_tradnl"/>
        </w:rPr>
        <w:t xml:space="preserve">gases industriales fluorados a las estimaciones actualizadas del GETE, se obtiene una brecha de emisiones en 2023 de 9,6 a 13,3 </w:t>
      </w:r>
      <w:proofErr w:type="spellStart"/>
      <w:r w:rsidRPr="00DD0373">
        <w:rPr>
          <w:lang w:val="es-ES_tradnl"/>
        </w:rPr>
        <w:t>kt</w:t>
      </w:r>
      <w:proofErr w:type="spellEnd"/>
      <w:r w:rsidRPr="00DD0373">
        <w:rPr>
          <w:lang w:val="es-ES_tradnl"/>
        </w:rPr>
        <w:t>/año.</w:t>
      </w:r>
    </w:p>
    <w:p w14:paraId="0C2496A6" w14:textId="1EA20601" w:rsidR="001C7776" w:rsidRPr="00DD0373" w:rsidRDefault="001C7776" w:rsidP="001C7776">
      <w:pPr>
        <w:pStyle w:val="Normalnumber"/>
        <w:numPr>
          <w:ilvl w:val="0"/>
          <w:numId w:val="32"/>
        </w:numPr>
        <w:rPr>
          <w:lang w:val="es-ES_tradnl"/>
        </w:rPr>
      </w:pPr>
      <w:r w:rsidRPr="00DD0373">
        <w:rPr>
          <w:lang w:val="es-ES_tradnl"/>
        </w:rPr>
        <w:t>El aumento de las brechas de emisiones entre 2015 y 2018 coincide con aumentos en la reducción notificada de HFC</w:t>
      </w:r>
      <w:r w:rsidRPr="00DD0373">
        <w:rPr>
          <w:lang w:val="es-ES_tradnl"/>
        </w:rPr>
        <w:noBreakHyphen/>
        <w:t xml:space="preserve">23 de un número limitado de </w:t>
      </w:r>
      <w:r w:rsidR="00C17707">
        <w:rPr>
          <w:lang w:val="es-ES_tradnl"/>
        </w:rPr>
        <w:t>Partes</w:t>
      </w:r>
      <w:r w:rsidRPr="00DD0373">
        <w:rPr>
          <w:lang w:val="es-ES_tradnl"/>
        </w:rPr>
        <w:t xml:space="preserve"> que operan al amparo del artículo 5. Después de 2019, la brecha de emisiones disminuyó de un máximo de 15 </w:t>
      </w:r>
      <w:proofErr w:type="spellStart"/>
      <w:r w:rsidRPr="00DD0373">
        <w:rPr>
          <w:lang w:val="es-ES_tradnl"/>
        </w:rPr>
        <w:t>kt</w:t>
      </w:r>
      <w:proofErr w:type="spellEnd"/>
      <w:r w:rsidRPr="00DD0373">
        <w:rPr>
          <w:lang w:val="es-ES_tradnl"/>
        </w:rPr>
        <w:t>/año a entre 11 y</w:t>
      </w:r>
      <w:r w:rsidR="000F7F84" w:rsidRPr="00DD0373">
        <w:rPr>
          <w:lang w:val="es-ES_tradnl"/>
        </w:rPr>
        <w:t> </w:t>
      </w:r>
      <w:r w:rsidRPr="00DD0373">
        <w:rPr>
          <w:lang w:val="es-ES_tradnl"/>
        </w:rPr>
        <w:t>12,5</w:t>
      </w:r>
      <w:r w:rsidR="000F7F84" w:rsidRPr="00DD0373">
        <w:rPr>
          <w:lang w:val="es-ES_tradnl"/>
        </w:rPr>
        <w:t> </w:t>
      </w:r>
      <w:proofErr w:type="spellStart"/>
      <w:r w:rsidRPr="00DD0373">
        <w:rPr>
          <w:lang w:val="es-ES_tradnl"/>
        </w:rPr>
        <w:t>kt</w:t>
      </w:r>
      <w:proofErr w:type="spellEnd"/>
      <w:r w:rsidRPr="00DD0373">
        <w:rPr>
          <w:lang w:val="es-ES_tradnl"/>
        </w:rPr>
        <w:t xml:space="preserve">/año en 2023; las reducciones comunicadas por todos los países aumentaron durante estos años hasta alcanzar un valor de 23 </w:t>
      </w:r>
      <w:proofErr w:type="spellStart"/>
      <w:r w:rsidRPr="00DD0373">
        <w:rPr>
          <w:lang w:val="es-ES_tradnl"/>
        </w:rPr>
        <w:t>kt</w:t>
      </w:r>
      <w:proofErr w:type="spellEnd"/>
      <w:r w:rsidRPr="00DD0373">
        <w:rPr>
          <w:lang w:val="es-ES_tradnl"/>
        </w:rPr>
        <w:t>/año en 2023.</w:t>
      </w:r>
    </w:p>
    <w:p w14:paraId="010C97FB" w14:textId="1E583546" w:rsidR="001C7776" w:rsidRPr="00DD0373" w:rsidRDefault="001C7776" w:rsidP="001C7776">
      <w:pPr>
        <w:pStyle w:val="Normalnumber"/>
        <w:numPr>
          <w:ilvl w:val="0"/>
          <w:numId w:val="32"/>
        </w:numPr>
        <w:rPr>
          <w:lang w:val="es-ES_tradnl"/>
        </w:rPr>
      </w:pPr>
      <w:r w:rsidRPr="00DD0373">
        <w:rPr>
          <w:lang w:val="es-ES_tradnl"/>
        </w:rPr>
        <w:lastRenderedPageBreak/>
        <w:t>La disminución de las brechas de emisiones después de 2019 coincidió con una relación decreciente de las emisiones derivadas de las observaciones mundiales en relación con la producción total de HCFC</w:t>
      </w:r>
      <w:r w:rsidRPr="00DD0373">
        <w:rPr>
          <w:lang w:val="es-ES_tradnl"/>
        </w:rPr>
        <w:noBreakHyphen/>
        <w:t>22 notificada (E23/P22). La relación E23/P22 en 2023, del 1,1 %, no varía con respecto a 2022. Las disminuciones de las brechas de emisiones y los valores de E23/P22 después de</w:t>
      </w:r>
      <w:r w:rsidR="00551555" w:rsidRPr="00DD0373">
        <w:rPr>
          <w:lang w:val="es-ES_tradnl"/>
        </w:rPr>
        <w:t> </w:t>
      </w:r>
      <w:r w:rsidRPr="00DD0373">
        <w:rPr>
          <w:lang w:val="es-ES_tradnl"/>
        </w:rPr>
        <w:t>2019 son coherentes con un aumento de la reducción general de las emisiones de HFC</w:t>
      </w:r>
      <w:r w:rsidRPr="00DD0373">
        <w:rPr>
          <w:lang w:val="es-ES_tradnl"/>
        </w:rPr>
        <w:noBreakHyphen/>
        <w:t>23, una</w:t>
      </w:r>
      <w:r w:rsidR="008718D3" w:rsidRPr="00DD0373">
        <w:rPr>
          <w:lang w:val="es-ES_tradnl"/>
        </w:rPr>
        <w:t> </w:t>
      </w:r>
      <w:r w:rsidRPr="00DD0373">
        <w:rPr>
          <w:lang w:val="es-ES_tradnl"/>
        </w:rPr>
        <w:t>mejor optimización de la producción de HCFC</w:t>
      </w:r>
      <w:r w:rsidRPr="00DD0373">
        <w:rPr>
          <w:lang w:val="es-ES_tradnl"/>
        </w:rPr>
        <w:noBreakHyphen/>
        <w:t>22 para minimizar aún más la generación del subproducto HFC</w:t>
      </w:r>
      <w:r w:rsidRPr="00DD0373">
        <w:rPr>
          <w:lang w:val="es-ES_tradnl"/>
        </w:rPr>
        <w:noBreakHyphen/>
        <w:t>23 y la emisión conexa o una reducción de las emisiones de HFC</w:t>
      </w:r>
      <w:r w:rsidRPr="00DD0373">
        <w:rPr>
          <w:lang w:val="es-ES_tradnl"/>
        </w:rPr>
        <w:noBreakHyphen/>
        <w:t>23 procedentes de</w:t>
      </w:r>
      <w:r w:rsidR="008718D3" w:rsidRPr="00DD0373">
        <w:rPr>
          <w:lang w:val="es-ES_tradnl"/>
        </w:rPr>
        <w:t> </w:t>
      </w:r>
      <w:r w:rsidRPr="00DD0373">
        <w:rPr>
          <w:lang w:val="es-ES_tradnl"/>
        </w:rPr>
        <w:t>fuentes desconocidas o no contabilizadas con exactitud.</w:t>
      </w:r>
    </w:p>
    <w:p w14:paraId="38F3235D" w14:textId="7F059A01" w:rsidR="001C7776" w:rsidRPr="00DD0373" w:rsidRDefault="001C7776" w:rsidP="001C7776">
      <w:pPr>
        <w:pStyle w:val="Normalnumber"/>
        <w:numPr>
          <w:ilvl w:val="0"/>
          <w:numId w:val="32"/>
        </w:numPr>
        <w:rPr>
          <w:lang w:val="es-ES_tradnl"/>
        </w:rPr>
      </w:pPr>
      <w:r w:rsidRPr="00DD0373">
        <w:rPr>
          <w:lang w:val="es-ES_tradnl"/>
        </w:rPr>
        <w:t>Seguimos sin entender por completo las contribuciones regionales a las emisiones mundiales de</w:t>
      </w:r>
      <w:r w:rsidR="008718D3" w:rsidRPr="00DD0373">
        <w:rPr>
          <w:lang w:val="es-ES_tradnl"/>
        </w:rPr>
        <w:t> </w:t>
      </w:r>
      <w:r w:rsidRPr="00DD0373">
        <w:rPr>
          <w:lang w:val="es-ES_tradnl"/>
        </w:rPr>
        <w:t>HFC</w:t>
      </w:r>
      <w:r w:rsidRPr="00DD0373">
        <w:rPr>
          <w:lang w:val="es-ES_tradnl"/>
        </w:rPr>
        <w:noBreakHyphen/>
        <w:t xml:space="preserve">23. La suma de todas las estimaciones disponibles de las emisiones regionales obtenidas de observaciones representaba solo 6,1 ± 0,7 </w:t>
      </w:r>
      <w:proofErr w:type="spellStart"/>
      <w:r w:rsidRPr="00DD0373">
        <w:rPr>
          <w:lang w:val="es-ES_tradnl"/>
        </w:rPr>
        <w:t>kt</w:t>
      </w:r>
      <w:proofErr w:type="spellEnd"/>
      <w:r w:rsidRPr="00DD0373">
        <w:rPr>
          <w:lang w:val="es-ES_tradnl"/>
        </w:rPr>
        <w:t>/año de HFC</w:t>
      </w:r>
      <w:r w:rsidRPr="00DD0373">
        <w:rPr>
          <w:lang w:val="es-ES_tradnl"/>
        </w:rPr>
        <w:noBreakHyphen/>
        <w:t xml:space="preserve">23 en 2023, es decir, el 43 ± 10 % de las emisiones mundiales de ese año. Estas estimaciones incluyen las emisiones de una serie de países o </w:t>
      </w:r>
      <w:r w:rsidR="00C17707">
        <w:rPr>
          <w:lang w:val="es-ES_tradnl"/>
        </w:rPr>
        <w:t>partes</w:t>
      </w:r>
      <w:r w:rsidRPr="00DD0373">
        <w:rPr>
          <w:lang w:val="es-ES_tradnl"/>
        </w:rPr>
        <w:t xml:space="preserve"> de países que se han actualizado hasta 2023 a partir de las mediciones atmosféricas continuas. No se dispone de estimaciones de las emisiones de HFC</w:t>
      </w:r>
      <w:r w:rsidRPr="00DD0373">
        <w:rPr>
          <w:lang w:val="es-ES_tradnl"/>
        </w:rPr>
        <w:noBreakHyphen/>
        <w:t>23 de un número significativo de regiones debido a lagunas en la vigilancia atmosférica.</w:t>
      </w:r>
    </w:p>
    <w:p w14:paraId="4414190B" w14:textId="5F7DBE92" w:rsidR="001C7776" w:rsidRPr="00DD0373" w:rsidRDefault="001C7776" w:rsidP="001C7776">
      <w:pPr>
        <w:pStyle w:val="Normalnumber"/>
        <w:numPr>
          <w:ilvl w:val="0"/>
          <w:numId w:val="32"/>
        </w:numPr>
        <w:rPr>
          <w:lang w:val="es-ES_tradnl"/>
        </w:rPr>
      </w:pPr>
      <w:r w:rsidRPr="00DD0373">
        <w:rPr>
          <w:lang w:val="es-ES_tradnl"/>
        </w:rPr>
        <w:t xml:space="preserve">A partir de mediciones </w:t>
      </w:r>
      <w:proofErr w:type="gramStart"/>
      <w:r w:rsidRPr="00DD0373">
        <w:rPr>
          <w:lang w:val="es-ES_tradnl"/>
        </w:rPr>
        <w:t>continuas</w:t>
      </w:r>
      <w:proofErr w:type="gramEnd"/>
      <w:r w:rsidRPr="00DD0373">
        <w:rPr>
          <w:lang w:val="es-ES_tradnl"/>
        </w:rPr>
        <w:t xml:space="preserve"> realizadas en la estación de Gosan, en la República de Corea: las emisiones de HFC</w:t>
      </w:r>
      <w:r w:rsidRPr="00DD0373">
        <w:rPr>
          <w:lang w:val="es-ES_tradnl"/>
        </w:rPr>
        <w:noBreakHyphen/>
        <w:t xml:space="preserve">23 en 2023 se estimaron en 5,6 ± 0,7 </w:t>
      </w:r>
      <w:proofErr w:type="spellStart"/>
      <w:r w:rsidRPr="00DD0373">
        <w:rPr>
          <w:lang w:val="es-ES_tradnl"/>
        </w:rPr>
        <w:t>kt</w:t>
      </w:r>
      <w:proofErr w:type="spellEnd"/>
      <w:r w:rsidRPr="00DD0373">
        <w:rPr>
          <w:lang w:val="es-ES_tradnl"/>
        </w:rPr>
        <w:t>/</w:t>
      </w:r>
      <w:proofErr w:type="gramStart"/>
      <w:r w:rsidRPr="00DD0373">
        <w:rPr>
          <w:lang w:val="es-ES_tradnl"/>
        </w:rPr>
        <w:t>año procedentes</w:t>
      </w:r>
      <w:proofErr w:type="gramEnd"/>
      <w:r w:rsidRPr="00DD0373">
        <w:rPr>
          <w:lang w:val="es-ES_tradnl"/>
        </w:rPr>
        <w:t xml:space="preserve"> de la parte oriental de China; 0,23 ± 0,02 </w:t>
      </w:r>
      <w:proofErr w:type="spellStart"/>
      <w:r w:rsidRPr="00DD0373">
        <w:rPr>
          <w:lang w:val="es-ES_tradnl"/>
        </w:rPr>
        <w:t>kt</w:t>
      </w:r>
      <w:proofErr w:type="spellEnd"/>
      <w:r w:rsidRPr="00DD0373">
        <w:rPr>
          <w:lang w:val="es-ES_tradnl"/>
        </w:rPr>
        <w:t>/</w:t>
      </w:r>
      <w:proofErr w:type="gramStart"/>
      <w:r w:rsidRPr="00DD0373">
        <w:rPr>
          <w:lang w:val="es-ES_tradnl"/>
        </w:rPr>
        <w:t>año procedentes</w:t>
      </w:r>
      <w:proofErr w:type="gramEnd"/>
      <w:r w:rsidRPr="00DD0373">
        <w:rPr>
          <w:lang w:val="es-ES_tradnl"/>
        </w:rPr>
        <w:t xml:space="preserve"> de la República de Corea; 0,10 ± 0,07 </w:t>
      </w:r>
      <w:proofErr w:type="spellStart"/>
      <w:r w:rsidRPr="00DD0373">
        <w:rPr>
          <w:lang w:val="es-ES_tradnl"/>
        </w:rPr>
        <w:t>kt</w:t>
      </w:r>
      <w:proofErr w:type="spellEnd"/>
      <w:r w:rsidRPr="00DD0373">
        <w:rPr>
          <w:lang w:val="es-ES_tradnl"/>
        </w:rPr>
        <w:t>/</w:t>
      </w:r>
      <w:proofErr w:type="gramStart"/>
      <w:r w:rsidRPr="00DD0373">
        <w:rPr>
          <w:lang w:val="es-ES_tradnl"/>
        </w:rPr>
        <w:t>año procedentes</w:t>
      </w:r>
      <w:proofErr w:type="gramEnd"/>
      <w:r w:rsidRPr="00DD0373">
        <w:rPr>
          <w:lang w:val="es-ES_tradnl"/>
        </w:rPr>
        <w:t xml:space="preserve"> de la parte occidental del Japón, y 0,01 ± 0,01 </w:t>
      </w:r>
      <w:proofErr w:type="spellStart"/>
      <w:r w:rsidRPr="00DD0373">
        <w:rPr>
          <w:lang w:val="es-ES_tradnl"/>
        </w:rPr>
        <w:t>kt</w:t>
      </w:r>
      <w:proofErr w:type="spellEnd"/>
      <w:r w:rsidRPr="00DD0373">
        <w:rPr>
          <w:lang w:val="es-ES_tradnl"/>
        </w:rPr>
        <w:t>/</w:t>
      </w:r>
      <w:proofErr w:type="gramStart"/>
      <w:r w:rsidRPr="00DD0373">
        <w:rPr>
          <w:lang w:val="es-ES_tradnl"/>
        </w:rPr>
        <w:t>año procedentes</w:t>
      </w:r>
      <w:proofErr w:type="gramEnd"/>
      <w:r w:rsidRPr="00DD0373">
        <w:rPr>
          <w:lang w:val="es-ES_tradnl"/>
        </w:rPr>
        <w:t xml:space="preserve"> de la República Popular Democrática de Corea.</w:t>
      </w:r>
    </w:p>
    <w:p w14:paraId="09E62C21" w14:textId="34D6F9E8" w:rsidR="001C7776" w:rsidRPr="00DD0373" w:rsidRDefault="001C7776" w:rsidP="001C7776">
      <w:pPr>
        <w:pStyle w:val="Normalnumber"/>
        <w:numPr>
          <w:ilvl w:val="0"/>
          <w:numId w:val="32"/>
        </w:numPr>
        <w:rPr>
          <w:lang w:val="es-ES_tradnl"/>
        </w:rPr>
      </w:pPr>
      <w:r w:rsidRPr="00DD0373">
        <w:rPr>
          <w:lang w:val="es-ES_tradnl"/>
        </w:rPr>
        <w:t>Las emisiones de HFC</w:t>
      </w:r>
      <w:r w:rsidRPr="00DD0373">
        <w:rPr>
          <w:lang w:val="es-ES_tradnl"/>
        </w:rPr>
        <w:noBreakHyphen/>
        <w:t xml:space="preserve">23 de la parte oriental de China en todos los años posteriores a 2019 fueron inferiores al valor máximo derivado para 2019 de 8,0 ± 0,4 </w:t>
      </w:r>
      <w:proofErr w:type="spellStart"/>
      <w:r w:rsidRPr="00DD0373">
        <w:rPr>
          <w:lang w:val="es-ES_tradnl"/>
        </w:rPr>
        <w:t>kt</w:t>
      </w:r>
      <w:proofErr w:type="spellEnd"/>
      <w:r w:rsidRPr="00DD0373">
        <w:rPr>
          <w:lang w:val="es-ES_tradnl"/>
        </w:rPr>
        <w:t xml:space="preserve">/año. Las emisiones de la parte oriental de China en 2023 fueron 4,7 ± 0,7 </w:t>
      </w:r>
      <w:proofErr w:type="spellStart"/>
      <w:r w:rsidRPr="00DD0373">
        <w:rPr>
          <w:lang w:val="es-ES_tradnl"/>
        </w:rPr>
        <w:t>kt</w:t>
      </w:r>
      <w:proofErr w:type="spellEnd"/>
      <w:r w:rsidRPr="00DD0373">
        <w:rPr>
          <w:lang w:val="es-ES_tradnl"/>
        </w:rPr>
        <w:t xml:space="preserve"> superiores a las 0,9 </w:t>
      </w:r>
      <w:proofErr w:type="spellStart"/>
      <w:r w:rsidRPr="00DD0373">
        <w:rPr>
          <w:lang w:val="es-ES_tradnl"/>
        </w:rPr>
        <w:t>kt</w:t>
      </w:r>
      <w:proofErr w:type="spellEnd"/>
      <w:r w:rsidRPr="00DD0373">
        <w:rPr>
          <w:lang w:val="es-ES_tradnl"/>
        </w:rPr>
        <w:t xml:space="preserve"> comunicadas a la Secretaría del Ozono para toda China en ese año, y estas emisiones representan el 40 ± 10 % de la brecha de emisiones mundiales en 2023. La suma de las emisiones de la República de Corea, la parte occidental del Japón y la República Popular Democrática de Corea fue notablemente inferior en 2023 que en el</w:t>
      </w:r>
      <w:r w:rsidR="008718D3" w:rsidRPr="00DD0373">
        <w:rPr>
          <w:lang w:val="es-ES_tradnl"/>
        </w:rPr>
        <w:t> </w:t>
      </w:r>
      <w:r w:rsidRPr="00DD0373">
        <w:rPr>
          <w:lang w:val="es-ES_tradnl"/>
        </w:rPr>
        <w:t xml:space="preserve">período 2018–2022 y siguió siendo mayor que la comunicada a la Secretaría del Ozono o a la CMNUCC en los últimos años, en aproximadamente 0,3 ± 0,07 </w:t>
      </w:r>
      <w:proofErr w:type="spellStart"/>
      <w:r w:rsidRPr="00DD0373">
        <w:rPr>
          <w:lang w:val="es-ES_tradnl"/>
        </w:rPr>
        <w:t>kt</w:t>
      </w:r>
      <w:proofErr w:type="spellEnd"/>
      <w:r w:rsidRPr="00DD0373">
        <w:rPr>
          <w:lang w:val="es-ES_tradnl"/>
        </w:rPr>
        <w:t>, lo que representa entre el 1,5 y</w:t>
      </w:r>
      <w:r w:rsidR="008718D3" w:rsidRPr="00DD0373">
        <w:rPr>
          <w:lang w:val="es-ES_tradnl"/>
        </w:rPr>
        <w:t> </w:t>
      </w:r>
      <w:r w:rsidRPr="00DD0373">
        <w:rPr>
          <w:lang w:val="es-ES_tradnl"/>
        </w:rPr>
        <w:t>el</w:t>
      </w:r>
      <w:r w:rsidR="00656A88" w:rsidRPr="00DD0373">
        <w:rPr>
          <w:lang w:val="es-ES_tradnl"/>
        </w:rPr>
        <w:t> </w:t>
      </w:r>
      <w:r w:rsidRPr="00DD0373">
        <w:rPr>
          <w:lang w:val="es-ES_tradnl"/>
        </w:rPr>
        <w:t>3 % de la brecha de las emisiones mundiales.</w:t>
      </w:r>
    </w:p>
    <w:p w14:paraId="19146E91" w14:textId="25ABE5D3" w:rsidR="001C7776" w:rsidRPr="00DD0373" w:rsidRDefault="001C7776" w:rsidP="001C7776">
      <w:pPr>
        <w:pStyle w:val="Normalnumber"/>
        <w:numPr>
          <w:ilvl w:val="0"/>
          <w:numId w:val="32"/>
        </w:numPr>
        <w:rPr>
          <w:lang w:val="es-ES_tradnl"/>
        </w:rPr>
      </w:pPr>
      <w:r w:rsidRPr="00DD0373">
        <w:rPr>
          <w:lang w:val="es-ES_tradnl"/>
        </w:rPr>
        <w:t>A partir de mediciones atmosféricas continuadas en una red de emplazamientos en Europa, las emisiones de HFC</w:t>
      </w:r>
      <w:r w:rsidRPr="00DD0373">
        <w:rPr>
          <w:lang w:val="es-ES_tradnl"/>
        </w:rPr>
        <w:noBreakHyphen/>
        <w:t xml:space="preserve">23 en 2023 se estimaron en 0,15 ± 0,04 </w:t>
      </w:r>
      <w:proofErr w:type="spellStart"/>
      <w:r w:rsidRPr="00DD0373">
        <w:rPr>
          <w:lang w:val="es-ES_tradnl"/>
        </w:rPr>
        <w:t>kt</w:t>
      </w:r>
      <w:proofErr w:type="spellEnd"/>
      <w:r w:rsidRPr="00DD0373">
        <w:rPr>
          <w:lang w:val="es-ES_tradnl"/>
        </w:rPr>
        <w:t>/</w:t>
      </w:r>
      <w:proofErr w:type="gramStart"/>
      <w:r w:rsidRPr="00DD0373">
        <w:rPr>
          <w:lang w:val="es-ES_tradnl"/>
        </w:rPr>
        <w:t>año procedentes</w:t>
      </w:r>
      <w:proofErr w:type="gramEnd"/>
      <w:r w:rsidRPr="00DD0373">
        <w:rPr>
          <w:lang w:val="es-ES_tradnl"/>
        </w:rPr>
        <w:t xml:space="preserve"> de la suma de los países de la parte noroccidental de Europa, a saber, Irlanda, el Reino Unido, Francia, los Países Bajos, Bélgica, Luxemburgo y Alemania. Estas emisiones fueron 0,1 ± 0,04 </w:t>
      </w:r>
      <w:proofErr w:type="spellStart"/>
      <w:r w:rsidRPr="00DD0373">
        <w:rPr>
          <w:lang w:val="es-ES_tradnl"/>
        </w:rPr>
        <w:t>kt</w:t>
      </w:r>
      <w:proofErr w:type="spellEnd"/>
      <w:r w:rsidRPr="00DD0373">
        <w:rPr>
          <w:lang w:val="es-ES_tradnl"/>
        </w:rPr>
        <w:t xml:space="preserve"> superiores a las notificadas a la CMNUCC en 2022 (último año disponible), y esta región representa entre el 0,7 y el 1,5 % de la brecha de emisiones a nivel mundial.</w:t>
      </w:r>
    </w:p>
    <w:p w14:paraId="6CAD0C61" w14:textId="77777777" w:rsidR="001C7776" w:rsidRPr="00DD0373" w:rsidRDefault="001C7776" w:rsidP="001C7776">
      <w:pPr>
        <w:pStyle w:val="Normalnumber"/>
        <w:numPr>
          <w:ilvl w:val="0"/>
          <w:numId w:val="32"/>
        </w:numPr>
        <w:rPr>
          <w:lang w:val="es-ES_tradnl"/>
        </w:rPr>
      </w:pPr>
      <w:r w:rsidRPr="00DD0373">
        <w:rPr>
          <w:lang w:val="es-ES_tradnl"/>
        </w:rPr>
        <w:t xml:space="preserve">A partir de las mediciones atmosféricas </w:t>
      </w:r>
      <w:proofErr w:type="gramStart"/>
      <w:r w:rsidRPr="00DD0373">
        <w:rPr>
          <w:lang w:val="es-ES_tradnl"/>
        </w:rPr>
        <w:t>continuas</w:t>
      </w:r>
      <w:proofErr w:type="gramEnd"/>
      <w:r w:rsidRPr="00DD0373">
        <w:rPr>
          <w:lang w:val="es-ES_tradnl"/>
        </w:rPr>
        <w:t xml:space="preserve"> realizadas en la estación de referencia para la contaminación atmosférica situada en el cabo Grim, en la parte meridional de Australia, se estimó que las emisiones de HFC</w:t>
      </w:r>
      <w:r w:rsidRPr="00DD0373">
        <w:rPr>
          <w:lang w:val="es-ES_tradnl"/>
        </w:rPr>
        <w:noBreakHyphen/>
        <w:t xml:space="preserve">23 en 2023 procedentes de Australia fueron de 0,025 </w:t>
      </w:r>
      <w:proofErr w:type="spellStart"/>
      <w:r w:rsidRPr="00DD0373">
        <w:rPr>
          <w:lang w:val="es-ES_tradnl"/>
        </w:rPr>
        <w:t>kt</w:t>
      </w:r>
      <w:proofErr w:type="spellEnd"/>
      <w:r w:rsidRPr="00DD0373">
        <w:rPr>
          <w:lang w:val="es-ES_tradnl"/>
        </w:rPr>
        <w:t xml:space="preserve">/año (sin especificar la incertidumbre), lo que supone 0,03 </w:t>
      </w:r>
      <w:proofErr w:type="spellStart"/>
      <w:r w:rsidRPr="00DD0373">
        <w:rPr>
          <w:lang w:val="es-ES_tradnl"/>
        </w:rPr>
        <w:t>kt</w:t>
      </w:r>
      <w:proofErr w:type="spellEnd"/>
      <w:r w:rsidRPr="00DD0373">
        <w:rPr>
          <w:lang w:val="es-ES_tradnl"/>
        </w:rPr>
        <w:t>/año menos que las notificadas a la CMNUCC ese año.</w:t>
      </w:r>
    </w:p>
    <w:p w14:paraId="0229341E" w14:textId="02E6E6AD" w:rsidR="005D5072" w:rsidRPr="00DD0373" w:rsidRDefault="001C7776" w:rsidP="001C7776">
      <w:pPr>
        <w:pStyle w:val="Normalnumber"/>
        <w:numPr>
          <w:ilvl w:val="0"/>
          <w:numId w:val="32"/>
        </w:numPr>
        <w:rPr>
          <w:lang w:val="es-ES_tradnl"/>
        </w:rPr>
      </w:pPr>
      <w:r w:rsidRPr="00DD0373">
        <w:rPr>
          <w:lang w:val="es-ES_tradnl"/>
        </w:rPr>
        <w:t>La producción de HCFC</w:t>
      </w:r>
      <w:r w:rsidRPr="00DD0373">
        <w:rPr>
          <w:lang w:val="es-ES_tradnl"/>
        </w:rPr>
        <w:noBreakHyphen/>
        <w:t>22 de los países de los que se han estimado las emisiones regionales en 2023, es decir, China, el Japón, la República de Corea, la República Popular Democrática de Corea, el Reino Unido y la Unión Europea, representó alrededor del 85 % de la producción de HCFC</w:t>
      </w:r>
      <w:r w:rsidRPr="00DD0373">
        <w:rPr>
          <w:lang w:val="es-ES_tradnl"/>
        </w:rPr>
        <w:noBreakHyphen/>
        <w:t>22 notificada en ese año. Para los países que representan la producción restante de HFC</w:t>
      </w:r>
      <w:r w:rsidRPr="00DD0373">
        <w:rPr>
          <w:lang w:val="es-ES_tradnl"/>
        </w:rPr>
        <w:noBreakHyphen/>
        <w:t>22 notificada a la Secretaría del Ozono durante 2023 (Argentina, Estados Unidos de América, Federación de Rusia, India y México), las estimaciones de emisiones de HFC</w:t>
      </w:r>
      <w:r w:rsidRPr="00DD0373">
        <w:rPr>
          <w:lang w:val="es-ES_tradnl"/>
        </w:rPr>
        <w:noBreakHyphen/>
        <w:t>23 derivadas de la atmósfera siguen sin estar</w:t>
      </w:r>
      <w:r w:rsidR="008718D3" w:rsidRPr="00DD0373">
        <w:rPr>
          <w:lang w:val="es-ES_tradnl"/>
        </w:rPr>
        <w:t> </w:t>
      </w:r>
      <w:r w:rsidRPr="00DD0373">
        <w:rPr>
          <w:lang w:val="es-ES_tradnl"/>
        </w:rPr>
        <w:t>disponibles en la era de la Enmienda de Kigali (es decir, después de 2019).</w:t>
      </w:r>
    </w:p>
    <w:p w14:paraId="38C6F756" w14:textId="236208BE" w:rsidR="005D5072" w:rsidRPr="00DD0373" w:rsidRDefault="009A6FE9" w:rsidP="006B75D5">
      <w:pPr>
        <w:pStyle w:val="CH2"/>
        <w:rPr>
          <w:lang w:val="es-ES_tradnl"/>
        </w:rPr>
      </w:pPr>
      <w:r w:rsidRPr="00DD0373">
        <w:rPr>
          <w:bCs/>
          <w:lang w:val="es-ES_tradnl"/>
        </w:rPr>
        <w:tab/>
      </w:r>
      <w:r w:rsidR="006B75D5" w:rsidRPr="00DD0373">
        <w:rPr>
          <w:bCs/>
          <w:lang w:val="es-ES_tradnl"/>
        </w:rPr>
        <w:t>B.</w:t>
      </w:r>
      <w:r w:rsidR="006B75D5" w:rsidRPr="00DD0373">
        <w:rPr>
          <w:lang w:val="es-ES_tradnl"/>
        </w:rPr>
        <w:tab/>
      </w:r>
      <w:r w:rsidR="006B75D5" w:rsidRPr="00DD0373">
        <w:rPr>
          <w:bCs/>
          <w:lang w:val="es-ES_tradnl"/>
        </w:rPr>
        <w:t>Informe del Grupo de Evaluación Tecnológica y Económica sobre la respuesta a la decisión XXXVI/3</w:t>
      </w:r>
    </w:p>
    <w:p w14:paraId="6909925D" w14:textId="1D05DE43" w:rsidR="00EF3399" w:rsidRPr="00DD0373" w:rsidRDefault="00EF3399" w:rsidP="00EF3399">
      <w:pPr>
        <w:pStyle w:val="Normalnumber"/>
        <w:rPr>
          <w:lang w:val="es-ES_tradnl"/>
        </w:rPr>
      </w:pPr>
      <w:r w:rsidRPr="00DD0373">
        <w:rPr>
          <w:lang w:val="es-ES_tradnl"/>
        </w:rPr>
        <w:t xml:space="preserve">Takeshi Eriguchi, Copresidente del Comité de opciones técnicas médicas y sobre productos químicos, presentó a Nick Campbell, quien expuso la respuesta del </w:t>
      </w:r>
      <w:r w:rsidR="0082650C" w:rsidRPr="00DD0373">
        <w:rPr>
          <w:lang w:val="es-ES_tradnl"/>
        </w:rPr>
        <w:t>GETE</w:t>
      </w:r>
      <w:r w:rsidRPr="00DD0373">
        <w:rPr>
          <w:lang w:val="es-ES_tradnl"/>
        </w:rPr>
        <w:t xml:space="preserve"> a la decisión XXXVI/3 sobre las emisiones de HFC</w:t>
      </w:r>
      <w:r w:rsidRPr="00DD0373">
        <w:rPr>
          <w:lang w:val="es-ES_tradnl"/>
        </w:rPr>
        <w:noBreakHyphen/>
        <w:t>23.</w:t>
      </w:r>
    </w:p>
    <w:p w14:paraId="2F40D8B8" w14:textId="13A8B780" w:rsidR="00EF3399" w:rsidRPr="00DD0373" w:rsidRDefault="00EF3399" w:rsidP="00EF3399">
      <w:pPr>
        <w:pStyle w:val="Normalnumber"/>
        <w:rPr>
          <w:lang w:val="es-ES_tradnl"/>
        </w:rPr>
      </w:pPr>
      <w:r w:rsidRPr="00DD0373">
        <w:rPr>
          <w:lang w:val="es-ES_tradnl"/>
        </w:rPr>
        <w:t xml:space="preserve">El Sr. Campbell explicó que el </w:t>
      </w:r>
      <w:r w:rsidR="00A26FF2" w:rsidRPr="00DD0373">
        <w:rPr>
          <w:lang w:val="es-ES_tradnl"/>
        </w:rPr>
        <w:t>GETE</w:t>
      </w:r>
      <w:r w:rsidRPr="00DD0373">
        <w:rPr>
          <w:lang w:val="es-ES_tradnl"/>
        </w:rPr>
        <w:t xml:space="preserve"> tenía la tarea de actualizar los informes anteriores sobre</w:t>
      </w:r>
      <w:r w:rsidR="008718D3" w:rsidRPr="00DD0373">
        <w:rPr>
          <w:lang w:val="es-ES_tradnl"/>
        </w:rPr>
        <w:t> </w:t>
      </w:r>
      <w:r w:rsidRPr="00DD0373">
        <w:rPr>
          <w:lang w:val="es-ES_tradnl"/>
        </w:rPr>
        <w:t>las emisiones de HFC</w:t>
      </w:r>
      <w:r w:rsidRPr="00DD0373">
        <w:rPr>
          <w:lang w:val="es-ES_tradnl"/>
        </w:rPr>
        <w:noBreakHyphen/>
        <w:t>23 y presentar comparaciones de las mejores prácticas de medición y verificación. La presentación solo cubrió la actualización, y la comparación de las mejores prácticas se</w:t>
      </w:r>
      <w:r w:rsidR="008718D3" w:rsidRPr="00DD0373">
        <w:rPr>
          <w:lang w:val="es-ES_tradnl"/>
        </w:rPr>
        <w:t> </w:t>
      </w:r>
      <w:r w:rsidRPr="00DD0373">
        <w:rPr>
          <w:lang w:val="es-ES_tradnl"/>
        </w:rPr>
        <w:t xml:space="preserve">incluyó en el informe completo. El orador señaló que entre los informes clave redactados anteriormente por el </w:t>
      </w:r>
      <w:r w:rsidR="00C81675" w:rsidRPr="00DD0373">
        <w:rPr>
          <w:lang w:val="es-ES_tradnl"/>
        </w:rPr>
        <w:t>GETE</w:t>
      </w:r>
      <w:r w:rsidRPr="00DD0373">
        <w:rPr>
          <w:lang w:val="es-ES_tradnl"/>
        </w:rPr>
        <w:t xml:space="preserve"> figuraban: el Informe de evaluación del Comité de opciones técnicas médicas y sobre productos químicos de 2022 y las respuestas del </w:t>
      </w:r>
      <w:r w:rsidR="00421CDA" w:rsidRPr="00DD0373">
        <w:rPr>
          <w:lang w:val="es-ES_tradnl"/>
        </w:rPr>
        <w:t>GETE</w:t>
      </w:r>
      <w:r w:rsidRPr="00DD0373">
        <w:rPr>
          <w:lang w:val="es-ES_tradnl"/>
        </w:rPr>
        <w:t xml:space="preserve"> a las decisiones XXXIV/7 </w:t>
      </w:r>
      <w:r w:rsidRPr="00DD0373">
        <w:rPr>
          <w:lang w:val="es-ES_tradnl"/>
        </w:rPr>
        <w:lastRenderedPageBreak/>
        <w:t>y</w:t>
      </w:r>
      <w:r w:rsidR="008718D3" w:rsidRPr="00DD0373">
        <w:rPr>
          <w:lang w:val="es-ES_tradnl"/>
        </w:rPr>
        <w:t> </w:t>
      </w:r>
      <w:r w:rsidRPr="00DD0373">
        <w:rPr>
          <w:lang w:val="es-ES_tradnl"/>
        </w:rPr>
        <w:t>XXXV/7 relativas a las emisiones de HFC</w:t>
      </w:r>
      <w:r w:rsidRPr="00DD0373">
        <w:rPr>
          <w:lang w:val="es-ES_tradnl"/>
        </w:rPr>
        <w:noBreakHyphen/>
        <w:t>23. El Comité de opciones técnicas médicas y sobre productos químicos, en colaboración con el Grupo de Evaluación Científica, dirigió la preparación del informe con el fin de presentar conclusiones coordinadas que incluyesen información actualizada sobre las emisiones derivadas de los usos consuntivos de HFC</w:t>
      </w:r>
      <w:r w:rsidRPr="00DD0373">
        <w:rPr>
          <w:lang w:val="es-ES_tradnl"/>
        </w:rPr>
        <w:noBreakHyphen/>
        <w:t>23 y los subproductos de otras sustancias.</w:t>
      </w:r>
    </w:p>
    <w:p w14:paraId="65C6EA00" w14:textId="0CD8EED4" w:rsidR="00EF3399" w:rsidRPr="00DD0373" w:rsidRDefault="00EF3399" w:rsidP="00EF3399">
      <w:pPr>
        <w:pStyle w:val="Normalnumber"/>
        <w:rPr>
          <w:lang w:val="es-ES_tradnl"/>
        </w:rPr>
      </w:pPr>
      <w:r w:rsidRPr="00DD0373">
        <w:rPr>
          <w:lang w:val="es-ES_tradnl"/>
        </w:rPr>
        <w:t>Como antecedente, se señaló que el HFC</w:t>
      </w:r>
      <w:r w:rsidRPr="00DD0373">
        <w:rPr>
          <w:lang w:val="es-ES_tradnl"/>
        </w:rPr>
        <w:noBreakHyphen/>
        <w:t>23 se genera por medio de diversos mecanismos químicos durante los procesos de producción, entre ellos la reacción excesiva y las reacciones secundarias no deseadas. Los datos sobre el consumo de HFC</w:t>
      </w:r>
      <w:r w:rsidRPr="00DD0373">
        <w:rPr>
          <w:lang w:val="es-ES_tradnl"/>
        </w:rPr>
        <w:noBreakHyphen/>
        <w:t>23 son limitados, ya que este compuesto se produce principalmente como materia prima y tiene muy pocos usos emisivos.</w:t>
      </w:r>
      <w:r w:rsidR="00993838" w:rsidRPr="00DD0373">
        <w:rPr>
          <w:lang w:val="es-ES_tradnl"/>
        </w:rPr>
        <w:t xml:space="preserve"> </w:t>
      </w:r>
      <w:r w:rsidRPr="00DD0373">
        <w:rPr>
          <w:lang w:val="es-ES_tradnl"/>
        </w:rPr>
        <w:t>El consumo mundial de HFC</w:t>
      </w:r>
      <w:r w:rsidRPr="00DD0373">
        <w:rPr>
          <w:lang w:val="es-ES_tradnl"/>
        </w:rPr>
        <w:noBreakHyphen/>
        <w:t>23 se situó entre 1.000 y 10.000 toneladas en 2023; se produjeron aumentos significativos entre 2021 y 2023, en particular en aplicaciones electrónicas.</w:t>
      </w:r>
    </w:p>
    <w:p w14:paraId="1B0BF611" w14:textId="253834C6" w:rsidR="00EF3399" w:rsidRPr="00DD0373" w:rsidRDefault="00EF3399" w:rsidP="00EF3399">
      <w:pPr>
        <w:pStyle w:val="Normalnumber"/>
        <w:rPr>
          <w:lang w:val="es-ES_tradnl"/>
        </w:rPr>
      </w:pPr>
      <w:r w:rsidRPr="00DD0373">
        <w:rPr>
          <w:lang w:val="es-ES_tradnl"/>
        </w:rPr>
        <w:t>El Sr. Campbell facilitó una estimación actualizada de las cantidades de HFC</w:t>
      </w:r>
      <w:r w:rsidRPr="00DD0373">
        <w:rPr>
          <w:lang w:val="es-ES_tradnl"/>
        </w:rPr>
        <w:noBreakHyphen/>
        <w:t>23 generadas en las emisiones de las instalaciones de producción de gas F e indicó que la producción total de HCFC</w:t>
      </w:r>
      <w:r w:rsidRPr="00DD0373">
        <w:rPr>
          <w:lang w:val="es-ES_tradnl"/>
        </w:rPr>
        <w:noBreakHyphen/>
        <w:t>22 en 2023 fue de 1.174.751 toneladas, acompañada de una generación estimada de subproductos de HFC</w:t>
      </w:r>
      <w:r w:rsidRPr="00DD0373">
        <w:rPr>
          <w:lang w:val="es-ES_tradnl"/>
        </w:rPr>
        <w:noBreakHyphen/>
        <w:t>23 de entre 18.000 y 36.000 toneladas. En esa estimación no se tuvo en cuenta la incineración de</w:t>
      </w:r>
      <w:r w:rsidR="008718D3" w:rsidRPr="00DD0373">
        <w:rPr>
          <w:lang w:val="es-ES_tradnl"/>
        </w:rPr>
        <w:t> </w:t>
      </w:r>
      <w:r w:rsidRPr="00DD0373">
        <w:rPr>
          <w:lang w:val="es-ES_tradnl"/>
        </w:rPr>
        <w:t>HFC</w:t>
      </w:r>
      <w:r w:rsidRPr="00DD0373">
        <w:rPr>
          <w:lang w:val="es-ES_tradnl"/>
        </w:rPr>
        <w:noBreakHyphen/>
        <w:t>23 en las instalaciones. Las emisiones de HFC</w:t>
      </w:r>
      <w:r w:rsidRPr="00DD0373">
        <w:rPr>
          <w:lang w:val="es-ES_tradnl"/>
        </w:rPr>
        <w:noBreakHyphen/>
        <w:t xml:space="preserve">23 procedentes de la producción de gas F notificadas por las </w:t>
      </w:r>
      <w:r w:rsidR="00C17707">
        <w:rPr>
          <w:lang w:val="es-ES_tradnl"/>
        </w:rPr>
        <w:t>Partes</w:t>
      </w:r>
      <w:r w:rsidRPr="00DD0373">
        <w:rPr>
          <w:lang w:val="es-ES_tradnl"/>
        </w:rPr>
        <w:t xml:space="preserve"> ascendieron a 959 toneladas en 2023.</w:t>
      </w:r>
    </w:p>
    <w:p w14:paraId="34EBAB84" w14:textId="54CACEA2" w:rsidR="00EF3399" w:rsidRPr="00DD0373" w:rsidRDefault="00EF3399" w:rsidP="00EF3399">
      <w:pPr>
        <w:pStyle w:val="Normalnumber"/>
        <w:rPr>
          <w:lang w:val="es-ES_tradnl"/>
        </w:rPr>
      </w:pPr>
      <w:r w:rsidRPr="00DD0373">
        <w:rPr>
          <w:lang w:val="es-ES_tradnl"/>
        </w:rPr>
        <w:t xml:space="preserve">Se mostró un cuadro con las estimaciones actualizadas del </w:t>
      </w:r>
      <w:r w:rsidR="00BB712F" w:rsidRPr="00DD0373">
        <w:rPr>
          <w:lang w:val="es-ES_tradnl"/>
        </w:rPr>
        <w:t>GETE</w:t>
      </w:r>
      <w:r w:rsidRPr="00DD0373">
        <w:rPr>
          <w:lang w:val="es-ES_tradnl"/>
        </w:rPr>
        <w:t xml:space="preserve"> sobre las emisiones de HFC</w:t>
      </w:r>
      <w:r w:rsidRPr="00DD0373">
        <w:rPr>
          <w:lang w:val="es-ES_tradnl"/>
        </w:rPr>
        <w:noBreakHyphen/>
        <w:t xml:space="preserve">23 procedentes de fuentes de emisión conocidas, que eran de entre 1.600 y 3.700 toneladas al año. El </w:t>
      </w:r>
      <w:r w:rsidR="0083093B" w:rsidRPr="00DD0373">
        <w:rPr>
          <w:lang w:val="es-ES_tradnl"/>
        </w:rPr>
        <w:t>GETE</w:t>
      </w:r>
      <w:r w:rsidRPr="00DD0373">
        <w:rPr>
          <w:lang w:val="es-ES_tradnl"/>
        </w:rPr>
        <w:t xml:space="preserve"> había calculado una estimación derivada del seguimiento atmosférico de</w:t>
      </w:r>
      <w:r w:rsidR="007E069F" w:rsidRPr="00DD0373">
        <w:rPr>
          <w:lang w:val="es-ES_tradnl"/>
        </w:rPr>
        <w:t> </w:t>
      </w:r>
      <w:r w:rsidRPr="00DD0373">
        <w:rPr>
          <w:lang w:val="es-ES_tradnl"/>
        </w:rPr>
        <w:t>14.200</w:t>
      </w:r>
      <w:r w:rsidR="007E069F" w:rsidRPr="00DD0373">
        <w:rPr>
          <w:lang w:val="es-ES_tradnl"/>
        </w:rPr>
        <w:t> </w:t>
      </w:r>
      <w:r w:rsidRPr="00DD0373">
        <w:rPr>
          <w:lang w:val="es-ES_tradnl"/>
        </w:rPr>
        <w:t>±</w:t>
      </w:r>
      <w:r w:rsidR="007E069F" w:rsidRPr="00DD0373">
        <w:rPr>
          <w:lang w:val="es-ES_tradnl"/>
        </w:rPr>
        <w:t> </w:t>
      </w:r>
      <w:r w:rsidRPr="00DD0373">
        <w:rPr>
          <w:lang w:val="es-ES_tradnl"/>
        </w:rPr>
        <w:t>700</w:t>
      </w:r>
      <w:r w:rsidR="007E069F" w:rsidRPr="00DD0373">
        <w:rPr>
          <w:lang w:val="es-ES_tradnl"/>
        </w:rPr>
        <w:t> </w:t>
      </w:r>
      <w:r w:rsidRPr="00DD0373">
        <w:rPr>
          <w:lang w:val="es-ES_tradnl"/>
        </w:rPr>
        <w:t>toneladas para 2023.</w:t>
      </w:r>
    </w:p>
    <w:p w14:paraId="608AA48F" w14:textId="0D62974F" w:rsidR="005D5072" w:rsidRPr="00DD0373" w:rsidRDefault="00EF3399" w:rsidP="00EF3399">
      <w:pPr>
        <w:pStyle w:val="Normalnumber"/>
        <w:rPr>
          <w:lang w:val="es-ES_tradnl"/>
        </w:rPr>
      </w:pPr>
      <w:r w:rsidRPr="00DD0373">
        <w:rPr>
          <w:lang w:val="es-ES_tradnl"/>
        </w:rPr>
        <w:t xml:space="preserve">En resumen, se señaló que seguía existiendo un déficit sustancial en </w:t>
      </w:r>
      <w:r w:rsidR="00045709" w:rsidRPr="00DD0373">
        <w:rPr>
          <w:lang w:val="es-ES_tradnl"/>
        </w:rPr>
        <w:t xml:space="preserve">el conocimiento </w:t>
      </w:r>
      <w:r w:rsidRPr="00DD0373">
        <w:rPr>
          <w:lang w:val="es-ES_tradnl"/>
        </w:rPr>
        <w:t>de las emisiones mundiales de HFC</w:t>
      </w:r>
      <w:r w:rsidRPr="00DD0373">
        <w:rPr>
          <w:lang w:val="es-ES_tradnl"/>
        </w:rPr>
        <w:noBreakHyphen/>
        <w:t xml:space="preserve">23, puesto que había brechas entre las estimaciones notificadas y las derivadas de la atmósfera que oscilaban entre 9,6 y 13,3 </w:t>
      </w:r>
      <w:proofErr w:type="spellStart"/>
      <w:r w:rsidRPr="00DD0373">
        <w:rPr>
          <w:lang w:val="es-ES_tradnl"/>
        </w:rPr>
        <w:t>kt</w:t>
      </w:r>
      <w:proofErr w:type="spellEnd"/>
      <w:r w:rsidRPr="00DD0373">
        <w:rPr>
          <w:lang w:val="es-ES_tradnl"/>
        </w:rPr>
        <w:t xml:space="preserve">/año. El </w:t>
      </w:r>
      <w:r w:rsidR="0076114F" w:rsidRPr="00DD0373">
        <w:rPr>
          <w:lang w:val="es-ES_tradnl"/>
        </w:rPr>
        <w:t>GETE</w:t>
      </w:r>
      <w:r w:rsidRPr="00DD0373">
        <w:rPr>
          <w:lang w:val="es-ES_tradnl"/>
        </w:rPr>
        <w:t xml:space="preserve"> considera que ha incluido todas las fuentes principales conocidas de HFC</w:t>
      </w:r>
      <w:r w:rsidRPr="00DD0373">
        <w:rPr>
          <w:lang w:val="es-ES_tradnl"/>
        </w:rPr>
        <w:noBreakHyphen/>
        <w:t>23 en sus estimaciones obtenidas a partir de la presentación de datos y que con las pequeñas incertidumbres en estas estimaciones no puede explicarse la diferencia en las emisiones.</w:t>
      </w:r>
    </w:p>
    <w:p w14:paraId="5912945F" w14:textId="02F61E9E" w:rsidR="003064EE" w:rsidRPr="00DD0373" w:rsidRDefault="009A6FE9" w:rsidP="006B75D5">
      <w:pPr>
        <w:pStyle w:val="CH2"/>
        <w:rPr>
          <w:lang w:val="es-ES_tradnl"/>
        </w:rPr>
      </w:pPr>
      <w:r w:rsidRPr="00DD0373">
        <w:rPr>
          <w:bCs/>
          <w:lang w:val="es-ES_tradnl"/>
        </w:rPr>
        <w:tab/>
      </w:r>
      <w:r w:rsidR="003064EE" w:rsidRPr="00DD0373">
        <w:rPr>
          <w:bCs/>
          <w:lang w:val="es-ES_tradnl"/>
        </w:rPr>
        <w:t>C.</w:t>
      </w:r>
      <w:r w:rsidR="003064EE" w:rsidRPr="00DD0373">
        <w:rPr>
          <w:lang w:val="es-ES_tradnl"/>
        </w:rPr>
        <w:tab/>
      </w:r>
      <w:r w:rsidR="003064EE" w:rsidRPr="00DD0373">
        <w:rPr>
          <w:bCs/>
          <w:lang w:val="es-ES_tradnl"/>
        </w:rPr>
        <w:t>Presentaciones de los grupos de evaluación sobre los progresos en sus trabajos y cuestiones emergentes para la evaluación cuatrienal de 2026</w:t>
      </w:r>
    </w:p>
    <w:p w14:paraId="38D2D6AE" w14:textId="370152B7" w:rsidR="003064EE" w:rsidRPr="00DD0373" w:rsidRDefault="009A6FE9" w:rsidP="003064EE">
      <w:pPr>
        <w:pStyle w:val="CH3"/>
        <w:rPr>
          <w:lang w:val="es-ES_tradnl"/>
        </w:rPr>
      </w:pPr>
      <w:r w:rsidRPr="00DD0373">
        <w:rPr>
          <w:bCs/>
          <w:lang w:val="es-ES_tradnl"/>
        </w:rPr>
        <w:tab/>
      </w:r>
      <w:r w:rsidR="003064EE" w:rsidRPr="00DD0373">
        <w:rPr>
          <w:bCs/>
          <w:lang w:val="es-ES_tradnl"/>
        </w:rPr>
        <w:t>1.</w:t>
      </w:r>
      <w:r w:rsidR="003064EE" w:rsidRPr="00DD0373">
        <w:rPr>
          <w:lang w:val="es-ES_tradnl"/>
        </w:rPr>
        <w:tab/>
      </w:r>
      <w:r w:rsidR="003064EE" w:rsidRPr="00DD0373">
        <w:rPr>
          <w:bCs/>
          <w:lang w:val="es-ES_tradnl"/>
        </w:rPr>
        <w:t>Presentación del Grupo de Evaluación Científica</w:t>
      </w:r>
    </w:p>
    <w:p w14:paraId="3EC2084A" w14:textId="4AC034AE" w:rsidR="00B32599" w:rsidRPr="00DD0373" w:rsidRDefault="00B32599" w:rsidP="00B32599">
      <w:pPr>
        <w:pStyle w:val="Normalnumber"/>
        <w:rPr>
          <w:lang w:val="es-ES_tradnl"/>
        </w:rPr>
      </w:pPr>
      <w:r w:rsidRPr="00DD0373">
        <w:rPr>
          <w:lang w:val="es-ES_tradnl"/>
        </w:rPr>
        <w:t xml:space="preserve">En la presentación se destacaron los más de 40 años de historia de la Evaluación Científica de la Disminución de la Capa de Ozono. En la presentación se recordó a las </w:t>
      </w:r>
      <w:r w:rsidR="00C17707">
        <w:rPr>
          <w:lang w:val="es-ES_tradnl"/>
        </w:rPr>
        <w:t>Partes</w:t>
      </w:r>
      <w:r w:rsidRPr="00DD0373">
        <w:rPr>
          <w:lang w:val="es-ES_tradnl"/>
        </w:rPr>
        <w:t xml:space="preserve"> el mandato otorgado al Grupo de Evaluación Científica y se mostró el modo en que se organizaría el informe en respuesta a esos términos. Al mantener la organización de los capítulos igual que en la última evaluación se </w:t>
      </w:r>
      <w:r w:rsidR="00AD0F79" w:rsidRPr="00DD0373">
        <w:rPr>
          <w:lang w:val="es-ES_tradnl"/>
        </w:rPr>
        <w:t>trata</w:t>
      </w:r>
      <w:r w:rsidR="00C25949" w:rsidRPr="00DD0373">
        <w:rPr>
          <w:lang w:val="es-ES_tradnl"/>
        </w:rPr>
        <w:t>ba</w:t>
      </w:r>
      <w:r w:rsidR="00AD0F79" w:rsidRPr="00DD0373">
        <w:rPr>
          <w:lang w:val="es-ES_tradnl"/>
        </w:rPr>
        <w:t>n</w:t>
      </w:r>
      <w:r w:rsidRPr="00DD0373">
        <w:rPr>
          <w:lang w:val="es-ES_tradnl"/>
        </w:rPr>
        <w:t xml:space="preserve"> de forma efectiva todos los términos.</w:t>
      </w:r>
    </w:p>
    <w:p w14:paraId="34C4E430" w14:textId="77777777" w:rsidR="00B32599" w:rsidRPr="00DD0373" w:rsidRDefault="00B32599" w:rsidP="00B32599">
      <w:pPr>
        <w:pStyle w:val="Normalnumber"/>
        <w:rPr>
          <w:lang w:val="es-ES_tradnl"/>
        </w:rPr>
      </w:pPr>
      <w:r w:rsidRPr="00DD0373">
        <w:rPr>
          <w:lang w:val="es-ES_tradnl"/>
        </w:rPr>
        <w:t>Para esta evaluación habría de utilizarse una amplia gama de nacionalidades, géneros y etapas profesionales de los responsables de la producción de cada capítulo. En los casos en que se incluía a los coautores, la representación abarcaba 17 países. La representación era mucho más amplia cuando se incluía a todos los demás colaboradores de los capítulos y del proceso de revisión por pares.</w:t>
      </w:r>
    </w:p>
    <w:p w14:paraId="0072CF19" w14:textId="245CDDFF" w:rsidR="00B32599" w:rsidRPr="00DD0373" w:rsidRDefault="00B32599" w:rsidP="00B32599">
      <w:pPr>
        <w:pStyle w:val="Normalnumber"/>
        <w:rPr>
          <w:lang w:val="es-ES_tradnl"/>
        </w:rPr>
      </w:pPr>
      <w:r w:rsidRPr="00DD0373">
        <w:rPr>
          <w:lang w:val="es-ES_tradnl"/>
        </w:rPr>
        <w:t xml:space="preserve">Se presentó el calendario de elaboración del informe cuatrienal, en que se mostraba que la evaluación se estaba realizando según lo previsto y que estaría lista para su transmisión en la siguiente Reunión de las </w:t>
      </w:r>
      <w:r w:rsidR="00C17707">
        <w:rPr>
          <w:lang w:val="es-ES_tradnl"/>
        </w:rPr>
        <w:t>Partes</w:t>
      </w:r>
      <w:r w:rsidRPr="00DD0373">
        <w:rPr>
          <w:lang w:val="es-ES_tradnl"/>
        </w:rPr>
        <w:t>.</w:t>
      </w:r>
      <w:r w:rsidR="00993838" w:rsidRPr="00DD0373">
        <w:rPr>
          <w:lang w:val="es-ES_tradnl"/>
        </w:rPr>
        <w:t xml:space="preserve"> </w:t>
      </w:r>
      <w:r w:rsidRPr="00DD0373">
        <w:rPr>
          <w:lang w:val="es-ES_tradnl"/>
        </w:rPr>
        <w:t xml:space="preserve">En la presentación también se mostraron todos los demás documentos en que se </w:t>
      </w:r>
      <w:r w:rsidR="003163A8" w:rsidRPr="00DD0373">
        <w:rPr>
          <w:lang w:val="es-ES_tradnl"/>
        </w:rPr>
        <w:t>basaban</w:t>
      </w:r>
      <w:r w:rsidRPr="00DD0373">
        <w:rPr>
          <w:lang w:val="es-ES_tradnl"/>
        </w:rPr>
        <w:t xml:space="preserve"> los autores de los capítulos en varios de ellos.</w:t>
      </w:r>
    </w:p>
    <w:p w14:paraId="4F7F9466" w14:textId="0F667746" w:rsidR="00B32599" w:rsidRPr="00DD0373" w:rsidRDefault="00B32599" w:rsidP="00B32599">
      <w:pPr>
        <w:pStyle w:val="Normalnumber"/>
        <w:rPr>
          <w:lang w:val="es-ES_tradnl"/>
        </w:rPr>
      </w:pPr>
      <w:r w:rsidRPr="00DD0373">
        <w:rPr>
          <w:lang w:val="es-ES_tradnl"/>
        </w:rPr>
        <w:t xml:space="preserve">A continuación, en la presentación se repasó cada capítulo y se seleccionaron uno o dos aspectos científicos destacados de cada uno, ya que las primeras versiones ya estaban listas y se habían enviado para su revisión. Esto incluía la actualización del anexo que contenía datos científicos físicos fundamentales </w:t>
      </w:r>
      <w:r w:rsidR="002A1CC2" w:rsidRPr="00DD0373">
        <w:rPr>
          <w:lang w:val="es-ES_tradnl"/>
        </w:rPr>
        <w:t>de</w:t>
      </w:r>
      <w:r w:rsidRPr="00DD0373">
        <w:rPr>
          <w:lang w:val="es-ES_tradnl"/>
        </w:rPr>
        <w:t xml:space="preserve"> muchas moléculas pertinentes para el Protocolo de Montreal. Una novedad del anexo sería un cuadro con conocimientos fundamentales sobre el modo en que los gases del Protocolo de Montreal y otros conexos se degradaban en ácidos persistentes clave (y HFC</w:t>
      </w:r>
      <w:r w:rsidRPr="00DD0373">
        <w:rPr>
          <w:lang w:val="es-ES_tradnl"/>
        </w:rPr>
        <w:noBreakHyphen/>
        <w:t xml:space="preserve">23) que preocupaban a las </w:t>
      </w:r>
      <w:r w:rsidR="00C17707">
        <w:rPr>
          <w:lang w:val="es-ES_tradnl"/>
        </w:rPr>
        <w:t>Partes</w:t>
      </w:r>
      <w:r w:rsidRPr="00DD0373">
        <w:rPr>
          <w:lang w:val="es-ES_tradnl"/>
        </w:rPr>
        <w:t xml:space="preserve"> y al público, y que ofrecería un cuadro de referencia sólido para los trabajos futuros del Grupo de Evaluación Científica, el Grupo de Evaluación Tecnológica y Económica y el Grupo de Evaluación de los Efectos Ambientales.</w:t>
      </w:r>
    </w:p>
    <w:p w14:paraId="471D8BCE" w14:textId="11BF3B85" w:rsidR="003064EE" w:rsidRPr="00DD0373" w:rsidRDefault="00B32599" w:rsidP="00B32599">
      <w:pPr>
        <w:pStyle w:val="Normalnumber"/>
        <w:rPr>
          <w:lang w:val="es-ES_tradnl"/>
        </w:rPr>
      </w:pPr>
      <w:r w:rsidRPr="00DD0373">
        <w:rPr>
          <w:lang w:val="es-ES_tradnl"/>
        </w:rPr>
        <w:t xml:space="preserve">Por último, en la presentación se mostraron el estado del agujero en la capa de ozono de la Antártida en 2025 y comparaciones con años anteriores. Según algunas de las métricas tradicionales, se trataba de un agujero moderado, ligeramente más débil que la media. En una métrica más completa </w:t>
      </w:r>
      <w:r w:rsidRPr="00DD0373">
        <w:rPr>
          <w:lang w:val="es-ES_tradnl"/>
        </w:rPr>
        <w:lastRenderedPageBreak/>
        <w:t>de la pérdida de ozono se mostraba una pérdida total de ozono mucho menor en 2025 que en el período 1990–2010. El agujero de ozono se estaba desintegrando mucho antes ese año que en el pasado debido al aumento de la inestabilidad atmosférica ese año con respecto a años anteriores.</w:t>
      </w:r>
    </w:p>
    <w:p w14:paraId="1A184A31" w14:textId="48CEFC9E" w:rsidR="003064EE" w:rsidRPr="00DD0373" w:rsidRDefault="009A6FE9" w:rsidP="003064EE">
      <w:pPr>
        <w:pStyle w:val="CH3"/>
        <w:rPr>
          <w:lang w:val="es-ES_tradnl"/>
        </w:rPr>
      </w:pPr>
      <w:r w:rsidRPr="00DD0373">
        <w:rPr>
          <w:bCs/>
          <w:lang w:val="es-ES_tradnl"/>
        </w:rPr>
        <w:tab/>
      </w:r>
      <w:r w:rsidR="003064EE" w:rsidRPr="00DD0373">
        <w:rPr>
          <w:bCs/>
          <w:lang w:val="es-ES_tradnl"/>
        </w:rPr>
        <w:t>2.</w:t>
      </w:r>
      <w:r w:rsidR="003064EE" w:rsidRPr="00DD0373">
        <w:rPr>
          <w:lang w:val="es-ES_tradnl"/>
        </w:rPr>
        <w:tab/>
      </w:r>
      <w:r w:rsidR="003064EE" w:rsidRPr="00DD0373">
        <w:rPr>
          <w:bCs/>
          <w:lang w:val="es-ES_tradnl"/>
        </w:rPr>
        <w:t>Presentación del Grupo de Evaluación de los Efectos Ambientales</w:t>
      </w:r>
    </w:p>
    <w:p w14:paraId="3FA5E1C1" w14:textId="58883D1D" w:rsidR="003064EE" w:rsidRPr="00DD0373" w:rsidRDefault="003064EE" w:rsidP="001B621B">
      <w:pPr>
        <w:pStyle w:val="Normalnumber"/>
        <w:numPr>
          <w:ilvl w:val="0"/>
          <w:numId w:val="32"/>
        </w:numPr>
        <w:rPr>
          <w:lang w:val="es-ES_tradnl"/>
        </w:rPr>
      </w:pPr>
      <w:r w:rsidRPr="00DD0373">
        <w:rPr>
          <w:lang w:val="es-ES_tradnl"/>
        </w:rPr>
        <w:t xml:space="preserve">En nombre del Grupo de Evaluación de los Efectos Ambientales y el Copresidente Paul Barnes, la Copresidenta Janet Bornman presentó un resumen de los progresos y las nuevas cuestiones de la evaluación cuatrienal de 2026 con arreglo a los efectos ambientales de la reducción del ozono estratosférico, la radiación ultravioleta y las interacciones con el cambio climático. </w:t>
      </w:r>
    </w:p>
    <w:p w14:paraId="59D285E0" w14:textId="4BED8EF6" w:rsidR="003064EE" w:rsidRPr="00DD0373" w:rsidRDefault="003064EE" w:rsidP="003064EE">
      <w:pPr>
        <w:pStyle w:val="Normalnumber"/>
        <w:rPr>
          <w:lang w:val="es-ES_tradnl"/>
        </w:rPr>
      </w:pPr>
      <w:r w:rsidRPr="00DD0373">
        <w:rPr>
          <w:lang w:val="es-ES_tradnl"/>
        </w:rPr>
        <w:t>Se presentaron los plazos previos a la evaluación cuatrienal para 2025 y 2026, así como una</w:t>
      </w:r>
      <w:r w:rsidR="008718D3" w:rsidRPr="00DD0373">
        <w:rPr>
          <w:lang w:val="es-ES_tradnl"/>
        </w:rPr>
        <w:t> </w:t>
      </w:r>
      <w:r w:rsidRPr="00DD0373">
        <w:rPr>
          <w:lang w:val="es-ES_tradnl"/>
        </w:rPr>
        <w:t>panorámica de los 10 capítulos: los cambios en la capa de ozono y la radiación ultravioleta y su</w:t>
      </w:r>
      <w:r w:rsidR="008718D3" w:rsidRPr="00DD0373">
        <w:rPr>
          <w:lang w:val="es-ES_tradnl"/>
        </w:rPr>
        <w:t> </w:t>
      </w:r>
      <w:r w:rsidRPr="00DD0373">
        <w:rPr>
          <w:lang w:val="es-ES_tradnl"/>
        </w:rPr>
        <w:t xml:space="preserve">interacción con el sistema climático; las posibles consecuencias de la inyección de aerosoles estratosféricos; los efectos inducidos por la radiación ultravioleta en la troposfera; las sustancias </w:t>
      </w:r>
      <w:proofErr w:type="spellStart"/>
      <w:r w:rsidRPr="00DD0373">
        <w:rPr>
          <w:lang w:val="es-ES_tradnl"/>
        </w:rPr>
        <w:t>perfluoroalquiladas</w:t>
      </w:r>
      <w:proofErr w:type="spellEnd"/>
      <w:r w:rsidRPr="00DD0373">
        <w:rPr>
          <w:lang w:val="es-ES_tradnl"/>
        </w:rPr>
        <w:t xml:space="preserve"> y </w:t>
      </w:r>
      <w:proofErr w:type="spellStart"/>
      <w:r w:rsidRPr="00DD0373">
        <w:rPr>
          <w:lang w:val="es-ES_tradnl"/>
        </w:rPr>
        <w:t>polifluoroalquiladas</w:t>
      </w:r>
      <w:proofErr w:type="spellEnd"/>
      <w:r w:rsidRPr="00DD0373">
        <w:rPr>
          <w:lang w:val="es-ES_tradnl"/>
        </w:rPr>
        <w:t xml:space="preserve"> (PFAS) relacionadas con el Protocolo de Montreal: definiciones, pertinencia e implicaciones; las características químicas, el destino y las características toxicológicas de los sustitutos de las sustancias que agotan la capa de ozono y sus productos de degradación; ecosistemas terrestres y acuáticos; materiales sintéticos y naturales en el medio ambiente; destino del plástico en el medio ambiente, y efectos interactivos de la radiación ultravioleta y el cambio climático en la salud humana.</w:t>
      </w:r>
    </w:p>
    <w:p w14:paraId="7C66B744" w14:textId="59979B59" w:rsidR="003064EE" w:rsidRPr="00DD0373" w:rsidRDefault="003064EE" w:rsidP="003064EE">
      <w:pPr>
        <w:pStyle w:val="Normalnumber"/>
        <w:rPr>
          <w:lang w:val="es-ES_tradnl"/>
        </w:rPr>
      </w:pPr>
      <w:r w:rsidRPr="00DD0373">
        <w:rPr>
          <w:lang w:val="es-ES_tradnl"/>
        </w:rPr>
        <w:t>Se hizo hincapié en algunas de las nuevas cuestiones, entre ellas: a) los aumentos previstos de</w:t>
      </w:r>
      <w:r w:rsidR="008718D3" w:rsidRPr="00DD0373">
        <w:rPr>
          <w:lang w:val="es-ES_tradnl"/>
        </w:rPr>
        <w:t> </w:t>
      </w:r>
      <w:r w:rsidRPr="00DD0373">
        <w:rPr>
          <w:lang w:val="es-ES_tradnl"/>
        </w:rPr>
        <w:t>la radiación ultravioleta debido a los aviones supersónicos, los lanzamientos de cohetes y el óxido nitroso; b) una presentación de los posibles efectos de la inyección de aerosoles estratosféricos (p. ej., el uso de sulfato derivado del dióxido de azufre), un tipo de intervención climática que se ha sugerido para reducir temporalmente el calentamiento global al reflejar la radiación lejos de la superficie terrestre, y c) la elaboración de un texto introductorio, coordinado por el Grupo de Evaluación de los</w:t>
      </w:r>
      <w:r w:rsidR="008718D3" w:rsidRPr="00DD0373">
        <w:rPr>
          <w:lang w:val="es-ES_tradnl"/>
        </w:rPr>
        <w:t> </w:t>
      </w:r>
      <w:r w:rsidRPr="00DD0373">
        <w:rPr>
          <w:lang w:val="es-ES_tradnl"/>
        </w:rPr>
        <w:t xml:space="preserve">Efectos Ambientales junto con el Grupo de Evaluación Tecnológica y Económica y el Grupo de Evaluación Científica, con el fin de corregir conceptos erróneos y aumentar el conocimiento de las sustancias </w:t>
      </w:r>
      <w:proofErr w:type="spellStart"/>
      <w:r w:rsidRPr="00DD0373">
        <w:rPr>
          <w:lang w:val="es-ES_tradnl"/>
        </w:rPr>
        <w:t>perfluoroalquiladas</w:t>
      </w:r>
      <w:proofErr w:type="spellEnd"/>
      <w:r w:rsidRPr="00DD0373">
        <w:rPr>
          <w:lang w:val="es-ES_tradnl"/>
        </w:rPr>
        <w:t xml:space="preserve"> y </w:t>
      </w:r>
      <w:proofErr w:type="spellStart"/>
      <w:r w:rsidRPr="00DD0373">
        <w:rPr>
          <w:lang w:val="es-ES_tradnl"/>
        </w:rPr>
        <w:t>polifluoroalquiladas</w:t>
      </w:r>
      <w:proofErr w:type="spellEnd"/>
      <w:r w:rsidRPr="00DD0373">
        <w:rPr>
          <w:lang w:val="es-ES_tradnl"/>
        </w:rPr>
        <w:t xml:space="preserve"> (PFAS) que son pertinentes para el Protocolo de Montreal, incluidos el ácido </w:t>
      </w:r>
      <w:proofErr w:type="spellStart"/>
      <w:r w:rsidRPr="00DD0373">
        <w:rPr>
          <w:lang w:val="es-ES_tradnl"/>
        </w:rPr>
        <w:t>trifluoroacético</w:t>
      </w:r>
      <w:proofErr w:type="spellEnd"/>
      <w:r w:rsidRPr="00DD0373">
        <w:rPr>
          <w:lang w:val="es-ES_tradnl"/>
        </w:rPr>
        <w:t xml:space="preserve">, de gran persistencia, y los ácidos </w:t>
      </w:r>
      <w:proofErr w:type="spellStart"/>
      <w:r w:rsidRPr="00DD0373">
        <w:rPr>
          <w:lang w:val="es-ES_tradnl"/>
        </w:rPr>
        <w:t>perfluoropropanoico</w:t>
      </w:r>
      <w:proofErr w:type="spellEnd"/>
      <w:r w:rsidRPr="00DD0373">
        <w:rPr>
          <w:lang w:val="es-ES_tradnl"/>
        </w:rPr>
        <w:t xml:space="preserve"> y </w:t>
      </w:r>
      <w:proofErr w:type="spellStart"/>
      <w:r w:rsidRPr="00DD0373">
        <w:rPr>
          <w:lang w:val="es-ES_tradnl"/>
        </w:rPr>
        <w:t>perfluorobutanoico</w:t>
      </w:r>
      <w:proofErr w:type="spellEnd"/>
      <w:r w:rsidRPr="00DD0373">
        <w:rPr>
          <w:lang w:val="es-ES_tradnl"/>
        </w:rPr>
        <w:t>.</w:t>
      </w:r>
    </w:p>
    <w:p w14:paraId="506BBF8C" w14:textId="47BE047A" w:rsidR="003064EE" w:rsidRPr="00DD0373" w:rsidRDefault="009A6FE9" w:rsidP="003064EE">
      <w:pPr>
        <w:pStyle w:val="CH3"/>
        <w:rPr>
          <w:lang w:val="es-ES_tradnl"/>
        </w:rPr>
      </w:pPr>
      <w:r w:rsidRPr="00DD0373">
        <w:rPr>
          <w:bCs/>
          <w:lang w:val="es-ES_tradnl"/>
        </w:rPr>
        <w:tab/>
      </w:r>
      <w:r w:rsidR="003064EE" w:rsidRPr="00DD0373">
        <w:rPr>
          <w:bCs/>
          <w:lang w:val="es-ES_tradnl"/>
        </w:rPr>
        <w:t>3.</w:t>
      </w:r>
      <w:r w:rsidR="003064EE" w:rsidRPr="00DD0373">
        <w:rPr>
          <w:lang w:val="es-ES_tradnl"/>
        </w:rPr>
        <w:tab/>
      </w:r>
      <w:r w:rsidR="003064EE" w:rsidRPr="00DD0373">
        <w:rPr>
          <w:bCs/>
          <w:lang w:val="es-ES_tradnl"/>
        </w:rPr>
        <w:t>Presentación del Grupo de Evaluación Tecnológica y Económica</w:t>
      </w:r>
    </w:p>
    <w:p w14:paraId="405EA74D" w14:textId="69413E01" w:rsidR="00687603" w:rsidRPr="00DD0373" w:rsidRDefault="00687603" w:rsidP="005E467C">
      <w:pPr>
        <w:pStyle w:val="Normalnumber"/>
        <w:rPr>
          <w:lang w:val="es-ES_tradnl"/>
        </w:rPr>
      </w:pPr>
      <w:r w:rsidRPr="00DD0373">
        <w:rPr>
          <w:lang w:val="es-ES_tradnl"/>
        </w:rPr>
        <w:t>Marta Pizano, Copresidenta del Grupo de Evaluación Tecnológica y Económica</w:t>
      </w:r>
      <w:r w:rsidR="003A6A7E" w:rsidRPr="00DD0373">
        <w:rPr>
          <w:lang w:val="es-ES_tradnl"/>
        </w:rPr>
        <w:t xml:space="preserve"> (GETE)</w:t>
      </w:r>
      <w:r w:rsidRPr="00DD0373">
        <w:rPr>
          <w:lang w:val="es-ES_tradnl"/>
        </w:rPr>
        <w:t>, presentó la ponencia sobre los progresos de los trabajos y las nuevas cuestiones correspondientes al</w:t>
      </w:r>
      <w:r w:rsidR="008718D3" w:rsidRPr="00DD0373">
        <w:rPr>
          <w:lang w:val="es-ES_tradnl"/>
        </w:rPr>
        <w:t> </w:t>
      </w:r>
      <w:r w:rsidRPr="00DD0373">
        <w:rPr>
          <w:lang w:val="es-ES_tradnl"/>
        </w:rPr>
        <w:t xml:space="preserve">grupo, en nombre de sus Copresidentes Ashley Woodcock y Bella </w:t>
      </w:r>
      <w:proofErr w:type="spellStart"/>
      <w:r w:rsidRPr="00DD0373">
        <w:rPr>
          <w:lang w:val="es-ES_tradnl"/>
        </w:rPr>
        <w:t>Maranion</w:t>
      </w:r>
      <w:proofErr w:type="spellEnd"/>
      <w:r w:rsidRPr="00DD0373">
        <w:rPr>
          <w:lang w:val="es-ES_tradnl"/>
        </w:rPr>
        <w:t>, y señaló que la</w:t>
      </w:r>
      <w:r w:rsidR="00551BF2" w:rsidRPr="00DD0373">
        <w:rPr>
          <w:lang w:val="es-ES_tradnl"/>
        </w:rPr>
        <w:t> </w:t>
      </w:r>
      <w:r w:rsidRPr="00DD0373">
        <w:rPr>
          <w:lang w:val="es-ES_tradnl"/>
        </w:rPr>
        <w:t>Sra.</w:t>
      </w:r>
      <w:r w:rsidR="00551BF2" w:rsidRPr="00DD0373">
        <w:rPr>
          <w:lang w:val="es-ES_tradnl"/>
        </w:rPr>
        <w:t> </w:t>
      </w:r>
      <w:r w:rsidRPr="00DD0373">
        <w:rPr>
          <w:lang w:val="es-ES_tradnl"/>
        </w:rPr>
        <w:t>Maranion no había podido asistir a la reunión. A continuación, la oradora procedió a dar las gracias a sus compañeros del grupo y a los más de 150 miembros de los Comités de opciones técnicas que trabajaron bajo la dirección del</w:t>
      </w:r>
      <w:r w:rsidR="003C5529" w:rsidRPr="00DD0373">
        <w:rPr>
          <w:lang w:val="es-ES_tradnl"/>
        </w:rPr>
        <w:t xml:space="preserve"> GETE</w:t>
      </w:r>
      <w:r w:rsidRPr="00DD0373">
        <w:rPr>
          <w:lang w:val="es-ES_tradnl"/>
        </w:rPr>
        <w:t xml:space="preserve"> para elaborar los informes solicitados por las </w:t>
      </w:r>
      <w:r w:rsidR="00C17707">
        <w:rPr>
          <w:lang w:val="es-ES_tradnl"/>
        </w:rPr>
        <w:t>Partes</w:t>
      </w:r>
      <w:r w:rsidRPr="00DD0373">
        <w:rPr>
          <w:lang w:val="es-ES_tradnl"/>
        </w:rPr>
        <w:t>, de forma voluntaria. Después, la Sra. Pizano presentó un resumen de los informes del</w:t>
      </w:r>
      <w:r w:rsidR="003C5529" w:rsidRPr="00DD0373">
        <w:rPr>
          <w:lang w:val="es-ES_tradnl"/>
        </w:rPr>
        <w:t xml:space="preserve"> GETE</w:t>
      </w:r>
      <w:r w:rsidRPr="00DD0373">
        <w:rPr>
          <w:lang w:val="es-ES_tradnl"/>
        </w:rPr>
        <w:t xml:space="preserve"> que debían presentarse en 2026 y 2027 y puso de relieve, en el caso de 2026, los informes sobre los progresos realizados, los informes de reposición del Fondo Multilateral (que probablemente requerirían un informe complementario a finales de año) y los informes de evaluación cuatrienales que debían presentar a finales de año tanto los Comités de opciones técnicas como el propio Grupo de Evaluación Tecnológica y Económica. La oradora añadió que en 2027, además de los informes habituales sobre los progresos realizados, el Grupo de Evaluación Tecnológica y Económica tendría que preparar el informe de síntesis junto con los demás grupos, así como un examen periódico de las alternativas a los HFC, de conformidad con la decisión XXVIII/2.</w:t>
      </w:r>
    </w:p>
    <w:p w14:paraId="0A44F8B6" w14:textId="70B8A8EF" w:rsidR="00687603" w:rsidRPr="00DD0373" w:rsidRDefault="00687603" w:rsidP="005E467C">
      <w:pPr>
        <w:pStyle w:val="Normalnumber"/>
        <w:rPr>
          <w:lang w:val="es-ES_tradnl"/>
        </w:rPr>
      </w:pPr>
      <w:r w:rsidRPr="00DD0373">
        <w:rPr>
          <w:lang w:val="es-ES_tradnl"/>
        </w:rPr>
        <w:t xml:space="preserve">A continuación, la Sra. Pizano describió los trabajos que estaban realizándose, antes de que se aprobase el mandato definitivo resultante de la 37ª Reunión de las </w:t>
      </w:r>
      <w:r w:rsidR="00C17707">
        <w:rPr>
          <w:lang w:val="es-ES_tradnl"/>
        </w:rPr>
        <w:t>Partes</w:t>
      </w:r>
      <w:r w:rsidRPr="00DD0373">
        <w:rPr>
          <w:lang w:val="es-ES_tradnl"/>
        </w:rPr>
        <w:t xml:space="preserve"> para el estudio de reposición que el grupo tendría que preparar a tiempo para la reunión del Grupo de Trabajo de composición abierta del año siguiente. Se trataba de un plazo breve, de unos cuatro meses, por lo que el grupo estaba actualizando su enfoque de elaboración de modelos y había iniciado contactos y coordinaciones con las Secretarías del Ozono y el Fondo Multilateral con el fin de obtener datos actualizados hasta finales de 2025.</w:t>
      </w:r>
    </w:p>
    <w:p w14:paraId="13061963" w14:textId="6829EF68" w:rsidR="00687603" w:rsidRPr="00DD0373" w:rsidRDefault="00687603" w:rsidP="005E467C">
      <w:pPr>
        <w:pStyle w:val="Normalnumber"/>
        <w:rPr>
          <w:lang w:val="es-ES_tradnl"/>
        </w:rPr>
      </w:pPr>
      <w:r w:rsidRPr="00DD0373">
        <w:rPr>
          <w:lang w:val="es-ES_tradnl"/>
        </w:rPr>
        <w:t>A continuación, la oradora resumió brevemente los temas que se abordarían en los informes de</w:t>
      </w:r>
      <w:r w:rsidR="008718D3" w:rsidRPr="00DD0373">
        <w:rPr>
          <w:lang w:val="es-ES_tradnl"/>
        </w:rPr>
        <w:t> </w:t>
      </w:r>
      <w:r w:rsidRPr="00DD0373">
        <w:rPr>
          <w:lang w:val="es-ES_tradnl"/>
        </w:rPr>
        <w:t xml:space="preserve">evaluación de 2026 en virtud de la decisión XXXV/3, en particular los adelantos técnicos de los sectores de la producción y el consumo en relación con la adopción de alternativas a las sustancias controladas en todos los sectores; los agentes de procesos y los usos como materia prima; las emisiones de sustancias controladas; el estado de los bancos y las existencias de esas sustancias; los </w:t>
      </w:r>
      <w:r w:rsidRPr="00DD0373">
        <w:rPr>
          <w:lang w:val="es-ES_tradnl"/>
        </w:rPr>
        <w:lastRenderedPageBreak/>
        <w:t xml:space="preserve">retos a los que se enfrentaban las </w:t>
      </w:r>
      <w:r w:rsidR="00C17707">
        <w:rPr>
          <w:lang w:val="es-ES_tradnl"/>
        </w:rPr>
        <w:t>Partes</w:t>
      </w:r>
      <w:r w:rsidRPr="00DD0373">
        <w:rPr>
          <w:lang w:val="es-ES_tradnl"/>
        </w:rPr>
        <w:t xml:space="preserve"> para mantener las eliminaciones ya logradas; la repercusión de</w:t>
      </w:r>
      <w:r w:rsidR="008718D3" w:rsidRPr="00DD0373">
        <w:rPr>
          <w:lang w:val="es-ES_tradnl"/>
        </w:rPr>
        <w:t> </w:t>
      </w:r>
      <w:r w:rsidRPr="00DD0373">
        <w:rPr>
          <w:lang w:val="es-ES_tradnl"/>
        </w:rPr>
        <w:t>la eliminación de las sustancias nocivas para el ozono y la reducción de los HFC en el desarrollo sostenible; los avances logrados en el desarrollo de alternativas a los HFC, teniendo en cuenta la eficiencia energética, la seguridad y la idoneidad para los países con temperaturas ambiente elevadas; la información sobre los usos en que anteriormente no se utilizaban HCFC; una evaluación de si la producción de HFO daba lugar a emisiones fugitivas de HFC; las posibles repercusiones de la evolución de las políticas y normativas (por ejemplo, sobre las PFAS) en relación con la gestión de sustancias controladas, sus alternativas y productos de degradación, e información sobre la gestión de</w:t>
      </w:r>
      <w:r w:rsidR="008718D3" w:rsidRPr="00DD0373">
        <w:rPr>
          <w:lang w:val="es-ES_tradnl"/>
        </w:rPr>
        <w:t> </w:t>
      </w:r>
      <w:r w:rsidRPr="00DD0373">
        <w:rPr>
          <w:lang w:val="es-ES_tradnl"/>
        </w:rPr>
        <w:t>refrigerantes, con especial atención a la prevención de fugas y la gestión al final de la vida útil.</w:t>
      </w:r>
    </w:p>
    <w:p w14:paraId="6C08B870" w14:textId="15420341" w:rsidR="00687603" w:rsidRPr="00DD0373" w:rsidRDefault="00687603" w:rsidP="005E467C">
      <w:pPr>
        <w:pStyle w:val="Normalnumber"/>
        <w:rPr>
          <w:lang w:val="es-ES_tradnl"/>
        </w:rPr>
      </w:pPr>
      <w:r w:rsidRPr="00DD0373">
        <w:rPr>
          <w:lang w:val="es-ES_tradnl"/>
        </w:rPr>
        <w:t xml:space="preserve">Al concluir su presentación, la Sra. Pizano mencionó que en el informe de evaluación de 2026 se tratarían también ocho decisiones más adoptadas por las </w:t>
      </w:r>
      <w:r w:rsidR="00C17707">
        <w:rPr>
          <w:lang w:val="es-ES_tradnl"/>
        </w:rPr>
        <w:t>Partes</w:t>
      </w:r>
      <w:r w:rsidRPr="00DD0373">
        <w:rPr>
          <w:lang w:val="es-ES_tradnl"/>
        </w:rPr>
        <w:t xml:space="preserve"> en los últimos años y relacionadas con los usos de laboratorio y analíticos, los agentes de procesos, los HFC no incluidos en el anexo F del Protocolo, la disponibilidad de HCFC, la gestión del ciclo de vida de los refrigerantes, las sustancias de muy corta vida, los avances en materia de inhaladores de dosis medidas y las alternativas</w:t>
      </w:r>
      <w:r w:rsidR="008718D3" w:rsidRPr="00DD0373">
        <w:rPr>
          <w:lang w:val="es-ES_tradnl"/>
        </w:rPr>
        <w:t> </w:t>
      </w:r>
      <w:r w:rsidRPr="00DD0373">
        <w:rPr>
          <w:lang w:val="es-ES_tradnl"/>
        </w:rPr>
        <w:t xml:space="preserve">a los HFC en las </w:t>
      </w:r>
      <w:r w:rsidR="00C17707">
        <w:rPr>
          <w:lang w:val="es-ES_tradnl"/>
        </w:rPr>
        <w:t>Partes</w:t>
      </w:r>
      <w:r w:rsidRPr="00DD0373">
        <w:rPr>
          <w:lang w:val="es-ES_tradnl"/>
        </w:rPr>
        <w:t xml:space="preserve"> del grupo 2 que operan al amparo del artículo 5.</w:t>
      </w:r>
    </w:p>
    <w:p w14:paraId="259899D9" w14:textId="6E719EEA" w:rsidR="00687603" w:rsidRPr="00DD0373" w:rsidRDefault="00687603" w:rsidP="005E467C">
      <w:pPr>
        <w:pStyle w:val="Normalnumber"/>
        <w:rPr>
          <w:lang w:val="es-ES_tradnl"/>
        </w:rPr>
      </w:pPr>
      <w:r w:rsidRPr="00DD0373">
        <w:rPr>
          <w:lang w:val="es-ES_tradnl"/>
        </w:rPr>
        <w:t>Ashley Woodcock comenzó la segunda parte de la presentación del</w:t>
      </w:r>
      <w:r w:rsidR="005A19F4" w:rsidRPr="00DD0373">
        <w:rPr>
          <w:lang w:val="es-ES_tradnl"/>
        </w:rPr>
        <w:t xml:space="preserve"> GETE</w:t>
      </w:r>
      <w:r w:rsidRPr="00DD0373">
        <w:rPr>
          <w:lang w:val="es-ES_tradnl"/>
        </w:rPr>
        <w:t xml:space="preserve"> agradeciendo a los Comités de opciones técnicas que le permitiesen presentar los temas principales de sus sectores.</w:t>
      </w:r>
    </w:p>
    <w:p w14:paraId="6A52E8BB" w14:textId="4FE5E024" w:rsidR="00687603" w:rsidRPr="00DD0373" w:rsidRDefault="00687603" w:rsidP="005E467C">
      <w:pPr>
        <w:pStyle w:val="Normalnumber"/>
        <w:rPr>
          <w:lang w:val="es-ES_tradnl"/>
        </w:rPr>
      </w:pPr>
      <w:r w:rsidRPr="00DD0373">
        <w:rPr>
          <w:lang w:val="es-ES_tradnl"/>
        </w:rPr>
        <w:t>En el caso de las espumas, se h</w:t>
      </w:r>
      <w:r w:rsidR="00851952" w:rsidRPr="00DD0373">
        <w:rPr>
          <w:lang w:val="es-ES_tradnl"/>
        </w:rPr>
        <w:t>abí</w:t>
      </w:r>
      <w:r w:rsidRPr="00DD0373">
        <w:rPr>
          <w:lang w:val="es-ES_tradnl"/>
        </w:rPr>
        <w:t xml:space="preserve">an producido transiciones satisfactorias para dejar de utilizar los HCFC y los HFC como agentes espumantes. Los agentes espumantes fluorados </w:t>
      </w:r>
      <w:r w:rsidR="00851952" w:rsidRPr="00DD0373">
        <w:rPr>
          <w:lang w:val="es-ES_tradnl"/>
        </w:rPr>
        <w:t>eran</w:t>
      </w:r>
      <w:r w:rsidRPr="00DD0373">
        <w:rPr>
          <w:lang w:val="es-ES_tradnl"/>
        </w:rPr>
        <w:t xml:space="preserve"> más caros, por lo que muchas empresas ha</w:t>
      </w:r>
      <w:r w:rsidR="00851952" w:rsidRPr="00DD0373">
        <w:rPr>
          <w:lang w:val="es-ES_tradnl"/>
        </w:rPr>
        <w:t>bía</w:t>
      </w:r>
      <w:r w:rsidRPr="00DD0373">
        <w:rPr>
          <w:lang w:val="es-ES_tradnl"/>
        </w:rPr>
        <w:t xml:space="preserve">n optado por alternativas o mezclas sin flúor. No obstante, </w:t>
      </w:r>
      <w:r w:rsidR="00851952" w:rsidRPr="00DD0373">
        <w:rPr>
          <w:lang w:val="es-ES_tradnl"/>
        </w:rPr>
        <w:t>existía</w:t>
      </w:r>
      <w:r w:rsidRPr="00DD0373">
        <w:rPr>
          <w:lang w:val="es-ES_tradnl"/>
        </w:rPr>
        <w:t xml:space="preserve"> una contrapartida: los agentes espumantes fluorados </w:t>
      </w:r>
      <w:r w:rsidR="00851952" w:rsidRPr="00DD0373">
        <w:rPr>
          <w:lang w:val="es-ES_tradnl"/>
        </w:rPr>
        <w:t xml:space="preserve">podían </w:t>
      </w:r>
      <w:r w:rsidRPr="00DD0373">
        <w:rPr>
          <w:lang w:val="es-ES_tradnl"/>
        </w:rPr>
        <w:t xml:space="preserve">mejorar el rendimiento térmico. Por lo tanto, en el caso de las espumas con cantidades menores de agentes espumantes fluorados </w:t>
      </w:r>
      <w:r w:rsidR="00851952" w:rsidRPr="00DD0373">
        <w:rPr>
          <w:lang w:val="es-ES_tradnl"/>
        </w:rPr>
        <w:t xml:space="preserve">podía </w:t>
      </w:r>
      <w:r w:rsidRPr="00DD0373">
        <w:rPr>
          <w:lang w:val="es-ES_tradnl"/>
        </w:rPr>
        <w:t>resultar complicado cumplir los estándares térmicos. Algunos agentes espumantes no fluorados tienen una inflamabilidad y toxicidad más elevadas que los agentes espumantes fluorados y pueden requerir un manejo y precauciones diferentes para usarlos de forma segura. El Comité de opciones técnicas sobre espumas expresó su preocupación por el hecho de que, según constaba, algunas pequeñas y medianas empresas habían adoptado agentes espumantes inflamables sin las precauciones de seguridad adecuadas.</w:t>
      </w:r>
    </w:p>
    <w:p w14:paraId="09B7320B" w14:textId="4AC2999D" w:rsidR="00687603" w:rsidRPr="00DD0373" w:rsidRDefault="00687603" w:rsidP="005E467C">
      <w:pPr>
        <w:pStyle w:val="Normalnumber"/>
        <w:rPr>
          <w:lang w:val="es-ES_tradnl"/>
        </w:rPr>
      </w:pPr>
      <w:r w:rsidRPr="00DD0373">
        <w:rPr>
          <w:lang w:val="es-ES_tradnl"/>
        </w:rPr>
        <w:t>A continuación, el Sr. Woodcock pasó a hablar de la supresión de incendios. La incertidumbre generada por las posibles regulaciones generales sobre las PFAS había llevado a la Organización de Aviación Civil Internacional (OACI) a eliminar la moratoria de 2024 sobre el uso de halón 1301 en los</w:t>
      </w:r>
      <w:r w:rsidR="008718D3" w:rsidRPr="00DD0373">
        <w:rPr>
          <w:lang w:val="es-ES_tradnl"/>
        </w:rPr>
        <w:t> </w:t>
      </w:r>
      <w:r w:rsidRPr="00DD0373">
        <w:rPr>
          <w:lang w:val="es-ES_tradnl"/>
        </w:rPr>
        <w:t>compartimentos de carga de los diseños de aeronaves completamente nuevos (resolución A42</w:t>
      </w:r>
      <w:r w:rsidRPr="00DD0373">
        <w:rPr>
          <w:lang w:val="es-ES_tradnl"/>
        </w:rPr>
        <w:noBreakHyphen/>
        <w:t>11). Esto tuvo como consecuencia que el sector de la aviación civil se comprometiese a exigir el uso de halón 1301 durante al menos 50 años o más, mucho más allá de todas las fechas de agotamiento estimadas. El Comité de opciones técnicas sobre supresión de incendios seguía colaborando con la OACI y supervisaría sus esfuerzos en relación con una posible propuesta de exenciones para usos esenciales del halón 1301. En otros usos duraderos también podían requerirse halones durante más tiempo, lo que aumentaba aún más la posibilidad de una futura propuesta de exenciones para usos esenciales. La gestión del ciclo de vida seguía siendo esencial para reducir al mínimo las emisiones y</w:t>
      </w:r>
      <w:r w:rsidR="008718D3" w:rsidRPr="00DD0373">
        <w:rPr>
          <w:lang w:val="es-ES_tradnl"/>
        </w:rPr>
        <w:t> </w:t>
      </w:r>
      <w:r w:rsidRPr="00DD0373">
        <w:rPr>
          <w:lang w:val="es-ES_tradnl"/>
        </w:rPr>
        <w:t>conservar los bancos de agentes de supresión de incendios para su uso futuro.</w:t>
      </w:r>
    </w:p>
    <w:p w14:paraId="540776E2" w14:textId="61D1CAA4" w:rsidR="00687603" w:rsidRPr="00DD0373" w:rsidRDefault="00687603" w:rsidP="00E37164">
      <w:pPr>
        <w:pStyle w:val="Normalnumber"/>
        <w:keepNext/>
        <w:keepLines/>
        <w:ind w:left="1247"/>
        <w:rPr>
          <w:lang w:val="es-ES_tradnl"/>
        </w:rPr>
      </w:pPr>
      <w:r w:rsidRPr="00DD0373">
        <w:rPr>
          <w:lang w:val="es-ES_tradnl"/>
        </w:rPr>
        <w:t xml:space="preserve">A continuación, el Sr. Woodcock pasó a hablar del bromuro de metilo. Los datos para 2024 </w:t>
      </w:r>
      <w:r w:rsidR="004D16A9" w:rsidRPr="00DD0373">
        <w:rPr>
          <w:lang w:val="es-ES_tradnl"/>
        </w:rPr>
        <w:t>mostraban</w:t>
      </w:r>
      <w:r w:rsidRPr="00DD0373">
        <w:rPr>
          <w:lang w:val="es-ES_tradnl"/>
        </w:rPr>
        <w:t xml:space="preserve"> un aumento de aproximadamente 2.000 t o un 25</w:t>
      </w:r>
      <w:r w:rsidR="0098766E" w:rsidRPr="00DD0373">
        <w:rPr>
          <w:lang w:val="es-ES_tradnl"/>
        </w:rPr>
        <w:t> </w:t>
      </w:r>
      <w:r w:rsidRPr="00DD0373">
        <w:rPr>
          <w:lang w:val="es-ES_tradnl"/>
        </w:rPr>
        <w:t>% en el uso en aplicaciones de cuarentena y previas al envío.</w:t>
      </w:r>
      <w:r w:rsidR="00993838" w:rsidRPr="00DD0373">
        <w:rPr>
          <w:lang w:val="es-ES_tradnl"/>
        </w:rPr>
        <w:t xml:space="preserve"> </w:t>
      </w:r>
      <w:r w:rsidRPr="00DD0373">
        <w:rPr>
          <w:lang w:val="es-ES_tradnl"/>
        </w:rPr>
        <w:t>Las emisiones de bromuro de metilo ya no iban en descenso y seguía existiendo una</w:t>
      </w:r>
      <w:r w:rsidR="008718D3" w:rsidRPr="00DD0373">
        <w:rPr>
          <w:lang w:val="es-ES_tradnl"/>
        </w:rPr>
        <w:t> </w:t>
      </w:r>
      <w:r w:rsidRPr="00DD0373">
        <w:rPr>
          <w:lang w:val="es-ES_tradnl"/>
        </w:rPr>
        <w:t xml:space="preserve">diferencia considerable con respecto a las bases de referencia naturales. El orador afirmó que ya existían alternativas para las aproximadamente 10.000 toneladas restantes de uso de bromuro de metilo en aplicaciones de cuarentena y previas al envío, y que algunas se estaban adoptando en sectores clave como la madera y los cereales (por ejemplo, la fosfina, el formiato de etilo, el </w:t>
      </w:r>
      <w:proofErr w:type="spellStart"/>
      <w:r w:rsidRPr="00DD0373">
        <w:rPr>
          <w:lang w:val="es-ES_tradnl"/>
        </w:rPr>
        <w:t>dinitrilo</w:t>
      </w:r>
      <w:proofErr w:type="spellEnd"/>
      <w:r w:rsidRPr="00DD0373">
        <w:rPr>
          <w:lang w:val="es-ES_tradnl"/>
        </w:rPr>
        <w:t xml:space="preserve"> de etano). En particular, existían alternativas para la mayoría de los usos previos al envío, que representaban aproximadamente un tercio de los volúmenes para aplicaciones de cuarentena y previas al envío. En el informe de evaluación del Comité de opciones técnicas sobre el bromuro de metilo se informaría sobre los usos del bromuro de metilo en el suelo antes de la siembra y la repercusión de la reducción de los límites de seguridad de los trabajadores (de 5 ppm a 1 ppm), lo que podría disminuir su uso. En el lado positivo, en el informe también se resumirían los principales beneficios para la capa de ozono derivados de la eliminación total de 62.000 toneladas de usos del bromuro de metilo en aplicaciones que no fuesen de cuarentena o previas al envío.</w:t>
      </w:r>
    </w:p>
    <w:p w14:paraId="3D68A05B" w14:textId="71256ABB" w:rsidR="00687603" w:rsidRPr="00DD0373" w:rsidRDefault="00687603" w:rsidP="005E467C">
      <w:pPr>
        <w:pStyle w:val="Normalnumber"/>
        <w:rPr>
          <w:lang w:val="es-ES_tradnl"/>
        </w:rPr>
      </w:pPr>
      <w:r w:rsidRPr="00DD0373">
        <w:rPr>
          <w:lang w:val="es-ES_tradnl"/>
        </w:rPr>
        <w:t xml:space="preserve">El Comité de opciones técnicas médicas y sobre productos químicos tenía una cartera muy amplia. En su informe de evaluación se incluirían la producción y el uso como materia prima de sustancias controladas, así como la información recibida de las </w:t>
      </w:r>
      <w:r w:rsidR="00C17707">
        <w:rPr>
          <w:lang w:val="es-ES_tradnl"/>
        </w:rPr>
        <w:t>Partes</w:t>
      </w:r>
      <w:r w:rsidRPr="00DD0373">
        <w:rPr>
          <w:lang w:val="es-ES_tradnl"/>
        </w:rPr>
        <w:t xml:space="preserve"> en virtud de la decisión</w:t>
      </w:r>
      <w:r w:rsidR="008718D3" w:rsidRPr="00DD0373">
        <w:rPr>
          <w:lang w:val="es-ES_tradnl"/>
        </w:rPr>
        <w:t> </w:t>
      </w:r>
      <w:r w:rsidRPr="00DD0373">
        <w:rPr>
          <w:lang w:val="es-ES_tradnl"/>
        </w:rPr>
        <w:t>XXXVI/5; información actualizada sobre el HFC</w:t>
      </w:r>
      <w:r w:rsidRPr="00DD0373">
        <w:rPr>
          <w:lang w:val="es-ES_tradnl"/>
        </w:rPr>
        <w:noBreakHyphen/>
        <w:t xml:space="preserve">23, el tetracloruro de carbono, </w:t>
      </w:r>
      <w:r w:rsidRPr="00DD0373">
        <w:rPr>
          <w:lang w:val="es-ES_tradnl"/>
        </w:rPr>
        <w:lastRenderedPageBreak/>
        <w:t>las</w:t>
      </w:r>
      <w:r w:rsidR="008718D3" w:rsidRPr="00DD0373">
        <w:rPr>
          <w:lang w:val="es-ES_tradnl"/>
        </w:rPr>
        <w:t> </w:t>
      </w:r>
      <w:r w:rsidRPr="00DD0373">
        <w:rPr>
          <w:lang w:val="es-ES_tradnl"/>
        </w:rPr>
        <w:t>sustancias de muy corta vida, el bromuro de n</w:t>
      </w:r>
      <w:r w:rsidRPr="00DD0373">
        <w:rPr>
          <w:lang w:val="es-ES_tradnl"/>
        </w:rPr>
        <w:noBreakHyphen/>
        <w:t>propilo, los agentes de procesos, los usos analíticos y de laboratorio, incluida información pertinente sobre alternativas, y los HFC no incluidos en el anexo F, incluida la información sobre el uso de productos, conforme a lo determinado por el Grupo de Evaluación Científica. Se facilitarían actualizaciones del aumento de las cantidades de sustancias controladas empleadas en el recubrimiento superficial de chips de semiconductores y la fabricación de otros productos electrónicos, así como sobre el uso de sustancias controladas y la disponibilidad y adopción de alternativas para los aerosoles y los inhaladores de dosis medidas; también se incluiría toda información nueva sobre tecnologías de destrucción.</w:t>
      </w:r>
    </w:p>
    <w:p w14:paraId="71DC9E3E" w14:textId="27F8DD41" w:rsidR="00687603" w:rsidRPr="00DD0373" w:rsidRDefault="00687603" w:rsidP="005E467C">
      <w:pPr>
        <w:pStyle w:val="Normalnumber"/>
        <w:rPr>
          <w:lang w:val="es-ES_tradnl"/>
        </w:rPr>
      </w:pPr>
      <w:r w:rsidRPr="00DD0373">
        <w:rPr>
          <w:lang w:val="es-ES_tradnl"/>
        </w:rPr>
        <w:t xml:space="preserve">En el sector de la refrigeración, el aire acondicionado y las bombas de calor, el Sr. Woodcock afirmó que no se habían introducido nuevos refrigerantes de un solo componente y que solo se había anunciado un número limitado de mezclas </w:t>
      </w:r>
      <w:proofErr w:type="spellStart"/>
      <w:r w:rsidRPr="00DD0373">
        <w:rPr>
          <w:lang w:val="es-ES_tradnl"/>
        </w:rPr>
        <w:t>zeotrópicas</w:t>
      </w:r>
      <w:proofErr w:type="spellEnd"/>
      <w:r w:rsidRPr="00DD0373">
        <w:rPr>
          <w:lang w:val="es-ES_tradnl"/>
        </w:rPr>
        <w:t>. En la evaluación del Comité de opciones técnicas sobre refrigeración, aire acondicionado y bombas de calor se informaría sobre la transición continua hacia refrigerantes con menor potencial de calentamiento atmosférico (PCA) de nivel A1, A2L/B2L y A3, si bien el ritmo del cambio variaba entre los diferentes sectores de la refrigeración, el</w:t>
      </w:r>
      <w:r w:rsidR="008718D3" w:rsidRPr="00DD0373">
        <w:rPr>
          <w:lang w:val="es-ES_tradnl"/>
        </w:rPr>
        <w:t> </w:t>
      </w:r>
      <w:r w:rsidRPr="00DD0373">
        <w:rPr>
          <w:lang w:val="es-ES_tradnl"/>
        </w:rPr>
        <w:t xml:space="preserve">aire acondicionado y las bombas de calor y según la región. El Sr. Woodcock afirmó que la escasa información y los limitados conocimientos sobre el uso de refrigerantes inflamables, tanto A2L como A3, seguían siendo un obstáculo importante para la adopción de refrigerantes con un PCA menor, tanto en las </w:t>
      </w:r>
      <w:r w:rsidR="00C17707">
        <w:rPr>
          <w:lang w:val="es-ES_tradnl"/>
        </w:rPr>
        <w:t>Partes</w:t>
      </w:r>
      <w:r w:rsidRPr="00DD0373">
        <w:rPr>
          <w:lang w:val="es-ES_tradnl"/>
        </w:rPr>
        <w:t xml:space="preserve"> que operan al amparo del artículo 5 como en algunas </w:t>
      </w:r>
      <w:r w:rsidR="00C17707">
        <w:rPr>
          <w:lang w:val="es-ES_tradnl"/>
        </w:rPr>
        <w:t>Partes</w:t>
      </w:r>
      <w:r w:rsidRPr="00DD0373">
        <w:rPr>
          <w:lang w:val="es-ES_tradnl"/>
        </w:rPr>
        <w:t xml:space="preserve"> que no operan al amparo del artículo 5. El informe de evaluación estaría centrado en cuestiones transversales como la</w:t>
      </w:r>
      <w:r w:rsidR="008718D3" w:rsidRPr="00DD0373">
        <w:rPr>
          <w:lang w:val="es-ES_tradnl"/>
        </w:rPr>
        <w:t> </w:t>
      </w:r>
      <w:r w:rsidRPr="00DD0373">
        <w:rPr>
          <w:lang w:val="es-ES_tradnl"/>
        </w:rPr>
        <w:t>eficiencia energética, la gestión del ciclo de vida de los refrigerantes y el crecimiento de los centros</w:t>
      </w:r>
      <w:r w:rsidR="008718D3" w:rsidRPr="00DD0373">
        <w:rPr>
          <w:lang w:val="es-ES_tradnl"/>
        </w:rPr>
        <w:t> </w:t>
      </w:r>
      <w:r w:rsidRPr="00DD0373">
        <w:rPr>
          <w:lang w:val="es-ES_tradnl"/>
        </w:rPr>
        <w:t>de</w:t>
      </w:r>
      <w:r w:rsidR="008718D3" w:rsidRPr="00DD0373">
        <w:rPr>
          <w:lang w:val="es-ES_tradnl"/>
        </w:rPr>
        <w:t> </w:t>
      </w:r>
      <w:r w:rsidRPr="00DD0373">
        <w:rPr>
          <w:lang w:val="es-ES_tradnl"/>
        </w:rPr>
        <w:t>datos.</w:t>
      </w:r>
    </w:p>
    <w:p w14:paraId="37AFB2E6" w14:textId="3CC74DBA" w:rsidR="00687603" w:rsidRPr="00DD0373" w:rsidRDefault="00687603" w:rsidP="005E467C">
      <w:pPr>
        <w:pStyle w:val="Normalnumber"/>
        <w:rPr>
          <w:lang w:val="es-ES_tradnl"/>
        </w:rPr>
      </w:pPr>
      <w:r w:rsidRPr="00DD0373">
        <w:rPr>
          <w:lang w:val="es-ES_tradnl"/>
        </w:rPr>
        <w:t>Por último, el Sr. Woodcock pasó a hablar de las PFAS y su posible repercusión en el Protocolo</w:t>
      </w:r>
      <w:r w:rsidR="008718D3" w:rsidRPr="00DD0373">
        <w:rPr>
          <w:lang w:val="es-ES_tradnl"/>
        </w:rPr>
        <w:t> </w:t>
      </w:r>
      <w:r w:rsidRPr="00DD0373">
        <w:rPr>
          <w:lang w:val="es-ES_tradnl"/>
        </w:rPr>
        <w:t xml:space="preserve">de Montreal. El orador habló del interés de los medios de comunicación y del público por los “productos químicos eternos”, que se habían equiparado erróneamente con el término “PFAS”. El orador afirmó que existían más de 15 definiciones de PFAS basadas en gran medida en la estructura química, más que en los efectos sobre la salud humana y el medio ambiente. Esto se inició con los controles del ácido </w:t>
      </w:r>
      <w:proofErr w:type="spellStart"/>
      <w:r w:rsidRPr="00DD0373">
        <w:rPr>
          <w:lang w:val="es-ES_tradnl"/>
        </w:rPr>
        <w:t>perfluorooctanoico</w:t>
      </w:r>
      <w:proofErr w:type="spellEnd"/>
      <w:r w:rsidRPr="00DD0373">
        <w:rPr>
          <w:lang w:val="es-ES_tradnl"/>
        </w:rPr>
        <w:t xml:space="preserve"> (PFOA) y el ácido </w:t>
      </w:r>
      <w:proofErr w:type="spellStart"/>
      <w:r w:rsidRPr="00DD0373">
        <w:rPr>
          <w:lang w:val="es-ES_tradnl"/>
        </w:rPr>
        <w:t>perfluorooctano</w:t>
      </w:r>
      <w:proofErr w:type="spellEnd"/>
      <w:r w:rsidRPr="00DD0373">
        <w:rPr>
          <w:lang w:val="es-ES_tradnl"/>
        </w:rPr>
        <w:t xml:space="preserve"> sulfónico (PFOS), que son</w:t>
      </w:r>
      <w:r w:rsidR="008718D3" w:rsidRPr="00DD0373">
        <w:rPr>
          <w:lang w:val="es-ES_tradnl"/>
        </w:rPr>
        <w:t> </w:t>
      </w:r>
      <w:r w:rsidRPr="00DD0373">
        <w:rPr>
          <w:lang w:val="es-ES_tradnl"/>
        </w:rPr>
        <w:t xml:space="preserve">toxinas persistentes y </w:t>
      </w:r>
      <w:proofErr w:type="spellStart"/>
      <w:r w:rsidRPr="00DD0373">
        <w:rPr>
          <w:lang w:val="es-ES_tradnl"/>
        </w:rPr>
        <w:t>bioacumulativas</w:t>
      </w:r>
      <w:proofErr w:type="spellEnd"/>
      <w:r w:rsidRPr="00DD0373">
        <w:rPr>
          <w:lang w:val="es-ES_tradnl"/>
        </w:rPr>
        <w:t xml:space="preserve"> y están incluidas en todas las definiciones de PFAS. El problema residía en que estas propiedades persistentes, </w:t>
      </w:r>
      <w:proofErr w:type="spellStart"/>
      <w:r w:rsidRPr="00DD0373">
        <w:rPr>
          <w:lang w:val="es-ES_tradnl"/>
        </w:rPr>
        <w:t>bioacumulativas</w:t>
      </w:r>
      <w:proofErr w:type="spellEnd"/>
      <w:r w:rsidRPr="00DD0373">
        <w:rPr>
          <w:lang w:val="es-ES_tradnl"/>
        </w:rPr>
        <w:t xml:space="preserve"> y tóxicas del PFOA y el PFOS se estaban extendiendo indebidamente a otros productos químicos, incluidas las sustancias controladas por el Protocolo de Montreal y sus alternativas.</w:t>
      </w:r>
    </w:p>
    <w:p w14:paraId="6A6EFD7D" w14:textId="47281707" w:rsidR="00687603" w:rsidRPr="00DD0373" w:rsidRDefault="00687603" w:rsidP="005E467C">
      <w:pPr>
        <w:pStyle w:val="Normalnumber"/>
        <w:rPr>
          <w:lang w:val="es-ES_tradnl"/>
        </w:rPr>
      </w:pPr>
      <w:r w:rsidRPr="00DD0373">
        <w:rPr>
          <w:lang w:val="es-ES_tradnl"/>
        </w:rPr>
        <w:t>El Sr. Woodcock afirmó que las sustancias controladas por el Protocolo de Montreal y sus</w:t>
      </w:r>
      <w:r w:rsidR="008718D3" w:rsidRPr="00DD0373">
        <w:rPr>
          <w:lang w:val="es-ES_tradnl"/>
        </w:rPr>
        <w:t> </w:t>
      </w:r>
      <w:r w:rsidRPr="00DD0373">
        <w:rPr>
          <w:lang w:val="es-ES_tradnl"/>
        </w:rPr>
        <w:t xml:space="preserve">alternativas no eran toxinas persistentes y </w:t>
      </w:r>
      <w:proofErr w:type="spellStart"/>
      <w:r w:rsidRPr="00DD0373">
        <w:rPr>
          <w:lang w:val="es-ES_tradnl"/>
        </w:rPr>
        <w:t>bioacumulativas</w:t>
      </w:r>
      <w:proofErr w:type="spellEnd"/>
      <w:r w:rsidRPr="00DD0373">
        <w:rPr>
          <w:lang w:val="es-ES_tradnl"/>
        </w:rPr>
        <w:t xml:space="preserve">. No obstante, algunas sustancias controladas por el Protocolo de Montreal y sus alternativas se degradaban en diversos grados a sales de ácido </w:t>
      </w:r>
      <w:proofErr w:type="spellStart"/>
      <w:r w:rsidRPr="00DD0373">
        <w:rPr>
          <w:lang w:val="es-ES_tradnl"/>
        </w:rPr>
        <w:t>trifluoroacético</w:t>
      </w:r>
      <w:proofErr w:type="spellEnd"/>
      <w:r w:rsidRPr="00DD0373">
        <w:rPr>
          <w:lang w:val="es-ES_tradnl"/>
        </w:rPr>
        <w:t xml:space="preserve"> (TFA). El TFA era persistente en las aguas superficiales y en algunas zonas iba en aumento. El TFA tenía un grado de toxicidad bajo y, según las previsiones vigentes, se mantendría muy por debajo de las concentraciones que suscitaban preocupación por su toxicidad. No obstante, también existían lagunas de conocimiento sobre las contribuciones relativas del TFA en el medio ambiente con origen en otras fuentes (por ejemplo, preparados farmacéuticos, plaguicidas).</w:t>
      </w:r>
    </w:p>
    <w:p w14:paraId="3EFF9FBE" w14:textId="51D0882F" w:rsidR="00687603" w:rsidRPr="00DD0373" w:rsidRDefault="00687603" w:rsidP="005E467C">
      <w:pPr>
        <w:pStyle w:val="Normalnumber"/>
        <w:rPr>
          <w:lang w:val="es-ES_tradnl"/>
        </w:rPr>
      </w:pPr>
      <w:r w:rsidRPr="00DD0373">
        <w:rPr>
          <w:lang w:val="es-ES_tradnl"/>
        </w:rPr>
        <w:t>El Sr. Woodcock explicó que la incertidumbre en cuanto a las posibles regulaciones generales</w:t>
      </w:r>
      <w:r w:rsidR="008718D3" w:rsidRPr="00DD0373">
        <w:rPr>
          <w:lang w:val="es-ES_tradnl"/>
        </w:rPr>
        <w:t> </w:t>
      </w:r>
      <w:r w:rsidRPr="00DD0373">
        <w:rPr>
          <w:lang w:val="es-ES_tradnl"/>
        </w:rPr>
        <w:t>sobre las PFAS estaba retrasando la inversión comercial en la transición y podría reducir la disponibilidad de alternativas en algunas aplicaciones. Esto podría ralentizar la reducción de los HFC debido a la lenta adopción de alternativas con un PCA menor, e incluso disminuir la eficiencia energética en algunas aplicaciones. El orador también presentó dos ejemplos de efectos específicos de sectores. En la supresión de incendios, existía una incertidumbre genuina sobre la gestión a largo plazo de los halones. En el caso de los gases propulsores para los inhaladores de dosis medidas con un PCA bajo, la transición ya estaba empezando, pero existía incertidumbre sobre qué gases propulsores con</w:t>
      </w:r>
      <w:r w:rsidR="008718D3" w:rsidRPr="00DD0373">
        <w:rPr>
          <w:lang w:val="es-ES_tradnl"/>
        </w:rPr>
        <w:t> </w:t>
      </w:r>
      <w:r w:rsidRPr="00DD0373">
        <w:rPr>
          <w:lang w:val="es-ES_tradnl"/>
        </w:rPr>
        <w:t>un PCA bajo estarían disponibles a largo plazo. El orador afirmó asimismo que podía haber</w:t>
      </w:r>
      <w:r w:rsidR="00E24627" w:rsidRPr="00DD0373">
        <w:rPr>
          <w:lang w:val="es-ES_tradnl"/>
        </w:rPr>
        <w:t> </w:t>
      </w:r>
      <w:r w:rsidRPr="00DD0373">
        <w:rPr>
          <w:lang w:val="es-ES_tradnl"/>
        </w:rPr>
        <w:t>94</w:t>
      </w:r>
      <w:r w:rsidR="00E24627" w:rsidRPr="00DD0373">
        <w:rPr>
          <w:lang w:val="es-ES_tradnl"/>
        </w:rPr>
        <w:t> </w:t>
      </w:r>
      <w:r w:rsidRPr="00DD0373">
        <w:rPr>
          <w:lang w:val="es-ES_tradnl"/>
        </w:rPr>
        <w:t>empresas farmacéuticas que convertir y más de mil millones de pacientes cuya salud</w:t>
      </w:r>
      <w:r w:rsidR="008718D3" w:rsidRPr="00DD0373">
        <w:rPr>
          <w:lang w:val="es-ES_tradnl"/>
        </w:rPr>
        <w:t> </w:t>
      </w:r>
      <w:r w:rsidRPr="00DD0373">
        <w:rPr>
          <w:lang w:val="es-ES_tradnl"/>
        </w:rPr>
        <w:t>debía</w:t>
      </w:r>
      <w:r w:rsidR="008718D3" w:rsidRPr="00DD0373">
        <w:rPr>
          <w:lang w:val="es-ES_tradnl"/>
        </w:rPr>
        <w:t> </w:t>
      </w:r>
      <w:r w:rsidRPr="00DD0373">
        <w:rPr>
          <w:lang w:val="es-ES_tradnl"/>
        </w:rPr>
        <w:t>protegerse.</w:t>
      </w:r>
    </w:p>
    <w:p w14:paraId="6FA0151C" w14:textId="4B7708E4" w:rsidR="00687603" w:rsidRPr="00DD0373" w:rsidRDefault="00687603" w:rsidP="005E467C">
      <w:pPr>
        <w:pStyle w:val="Normalnumber"/>
        <w:rPr>
          <w:lang w:val="es-ES_tradnl"/>
        </w:rPr>
      </w:pPr>
      <w:r w:rsidRPr="00DD0373">
        <w:rPr>
          <w:lang w:val="es-ES_tradnl"/>
        </w:rPr>
        <w:t xml:space="preserve">Los tres grupos coordinarían sus esfuerzos para mantener a las </w:t>
      </w:r>
      <w:r w:rsidR="00C17707">
        <w:rPr>
          <w:lang w:val="es-ES_tradnl"/>
        </w:rPr>
        <w:t>Partes</w:t>
      </w:r>
      <w:r w:rsidRPr="00DD0373">
        <w:rPr>
          <w:lang w:val="es-ES_tradnl"/>
        </w:rPr>
        <w:t xml:space="preserve"> plenamente informadas sobre las novedades en materia de reglamentación de las PFAS que podrían afectar al Protocolo de Montreal.</w:t>
      </w:r>
    </w:p>
    <w:p w14:paraId="380B8BDF" w14:textId="294EC303" w:rsidR="003064EE" w:rsidRPr="00DD0373" w:rsidRDefault="003064EE">
      <w:pPr>
        <w:tabs>
          <w:tab w:val="clear" w:pos="1247"/>
          <w:tab w:val="clear" w:pos="1814"/>
          <w:tab w:val="clear" w:pos="2381"/>
          <w:tab w:val="clear" w:pos="2948"/>
          <w:tab w:val="clear" w:pos="3515"/>
        </w:tabs>
        <w:rPr>
          <w:lang w:val="es-ES_tradnl"/>
        </w:rPr>
      </w:pPr>
      <w:r w:rsidRPr="00DD0373">
        <w:rPr>
          <w:lang w:val="es-ES_tradnl"/>
        </w:rPr>
        <w:br w:type="page"/>
      </w:r>
    </w:p>
    <w:p w14:paraId="254520F8" w14:textId="77777777" w:rsidR="003064EE" w:rsidRPr="00DD0373" w:rsidRDefault="003064EE" w:rsidP="00C62023">
      <w:pPr>
        <w:pStyle w:val="ZZAnxheader"/>
        <w:rPr>
          <w:lang w:val="es-ES_tradnl"/>
        </w:rPr>
      </w:pPr>
      <w:r w:rsidRPr="00DD0373">
        <w:rPr>
          <w:lang w:val="es-ES_tradnl"/>
        </w:rPr>
        <w:lastRenderedPageBreak/>
        <w:t>Anexo II</w:t>
      </w:r>
    </w:p>
    <w:p w14:paraId="4D9C092E" w14:textId="680E8908" w:rsidR="003064EE" w:rsidRPr="00DD0373" w:rsidRDefault="003064EE" w:rsidP="00C62023">
      <w:pPr>
        <w:pStyle w:val="ZZAnxtitle"/>
        <w:rPr>
          <w:lang w:val="es-ES_tradnl"/>
        </w:rPr>
      </w:pPr>
      <w:r w:rsidRPr="00DD0373">
        <w:rPr>
          <w:lang w:val="es-ES_tradnl"/>
        </w:rPr>
        <w:t>Declaración del Presidente del Comité Ejecutivo del Fondo Multilateral para la Aplicación del Protocolo de Montreal sobre la labor realizada por el Comité Ejecutivo, la Secretaría del Fondo Multilateral y los organismos de ejecución del Fondo</w:t>
      </w:r>
      <w:r w:rsidRPr="00DD0373">
        <w:rPr>
          <w:b w:val="0"/>
          <w:bCs w:val="0"/>
          <w:lang w:val="es-ES_tradnl"/>
        </w:rPr>
        <w:footnoteReference w:customMarkFollows="1" w:id="6"/>
        <w:t>*</w:t>
      </w:r>
    </w:p>
    <w:p w14:paraId="4CEF1618" w14:textId="3F842B87" w:rsidR="00687603" w:rsidRPr="00DD0373" w:rsidRDefault="00687603" w:rsidP="00352205">
      <w:pPr>
        <w:pStyle w:val="NormalNonumber"/>
        <w:spacing w:before="240"/>
        <w:rPr>
          <w:lang w:val="es-ES_tradnl"/>
        </w:rPr>
      </w:pPr>
      <w:r w:rsidRPr="00DD0373">
        <w:rPr>
          <w:lang w:val="es-ES_tradnl"/>
        </w:rPr>
        <w:t>Señor Presidente, distinguidos delegados:</w:t>
      </w:r>
    </w:p>
    <w:p w14:paraId="361225B8" w14:textId="401856A5" w:rsidR="00687603" w:rsidRPr="00DD0373" w:rsidRDefault="00687603" w:rsidP="00352205">
      <w:pPr>
        <w:pStyle w:val="NormalNonumber"/>
        <w:spacing w:before="120"/>
        <w:rPr>
          <w:lang w:val="es-ES_tradnl"/>
        </w:rPr>
      </w:pPr>
      <w:r w:rsidRPr="00DD0373">
        <w:rPr>
          <w:lang w:val="es-ES_tradnl"/>
        </w:rPr>
        <w:t xml:space="preserve">En nombre del Comité Ejecutivo del Fondo Multilateral, me complace informar a las </w:t>
      </w:r>
      <w:r w:rsidR="00C17707">
        <w:rPr>
          <w:lang w:val="es-ES_tradnl"/>
        </w:rPr>
        <w:t>Partes</w:t>
      </w:r>
      <w:r w:rsidRPr="00DD0373">
        <w:rPr>
          <w:lang w:val="es-ES_tradnl"/>
        </w:rPr>
        <w:t xml:space="preserve"> de los avances del Comité Ejecutivo desde la 36ª Reunión de las </w:t>
      </w:r>
      <w:r w:rsidR="00C17707">
        <w:rPr>
          <w:lang w:val="es-ES_tradnl"/>
        </w:rPr>
        <w:t>Partes</w:t>
      </w:r>
      <w:r w:rsidRPr="00DD0373">
        <w:rPr>
          <w:lang w:val="es-ES_tradnl"/>
        </w:rPr>
        <w:t>, celebrada en 2024. El panorama general está dominado por dos decisiones que han sido el resultado de muchos años de debates.</w:t>
      </w:r>
    </w:p>
    <w:p w14:paraId="6D6E543E" w14:textId="01874876" w:rsidR="00687603" w:rsidRPr="00DD0373" w:rsidRDefault="00687603" w:rsidP="00352205">
      <w:pPr>
        <w:pStyle w:val="NormalNonumber"/>
        <w:numPr>
          <w:ilvl w:val="0"/>
          <w:numId w:val="35"/>
        </w:numPr>
        <w:tabs>
          <w:tab w:val="clear" w:pos="1871"/>
        </w:tabs>
        <w:spacing w:before="120"/>
        <w:ind w:left="1962" w:hanging="357"/>
        <w:rPr>
          <w:lang w:val="es-ES_tradnl"/>
        </w:rPr>
      </w:pPr>
      <w:r w:rsidRPr="00DD0373">
        <w:rPr>
          <w:lang w:val="es-ES_tradnl"/>
        </w:rPr>
        <w:t xml:space="preserve">En primer lugar, la aplicación de la Enmienda de Kigali mediante el acuerdo sobre las directrices de costos para la reducción de los HFC en las </w:t>
      </w:r>
      <w:r w:rsidR="00C17707">
        <w:rPr>
          <w:lang w:val="es-ES_tradnl"/>
        </w:rPr>
        <w:t>Partes</w:t>
      </w:r>
      <w:r w:rsidRPr="00DD0373">
        <w:rPr>
          <w:lang w:val="es-ES_tradnl"/>
        </w:rPr>
        <w:t xml:space="preserve"> que operan al amparo del artículo 5 en lo referente a los costos incrementales admisibles para el sector manufacturero, incluido su nivel de financiación, así como sobre el punto de partida para las reducciones acumuladas sostenidas del consumo de HFC, en respuesta a su decisión XXVIII/2 (28/2);</w:t>
      </w:r>
    </w:p>
    <w:p w14:paraId="4CD607D5" w14:textId="6750AF87" w:rsidR="00687603" w:rsidRPr="00DD0373" w:rsidRDefault="00687603" w:rsidP="00352205">
      <w:pPr>
        <w:pStyle w:val="NormalNonumber"/>
        <w:numPr>
          <w:ilvl w:val="0"/>
          <w:numId w:val="35"/>
        </w:numPr>
        <w:tabs>
          <w:tab w:val="clear" w:pos="1871"/>
        </w:tabs>
        <w:spacing w:before="120"/>
        <w:ind w:left="1962" w:hanging="357"/>
        <w:rPr>
          <w:lang w:val="es-ES_tradnl"/>
        </w:rPr>
      </w:pPr>
      <w:r w:rsidRPr="00DD0373">
        <w:rPr>
          <w:lang w:val="es-ES_tradnl"/>
        </w:rPr>
        <w:t>En segundo lugar, el marco operacional para mantener o aumentar la eficiencia energética de las tecnologías y equipos de sustitución en el sector manufacturero al reducir los HFC, y los niveles de financiación para esos proyectos, incluida una modalidad innovadora de financiación rotatoria para los usuarios finales.</w:t>
      </w:r>
    </w:p>
    <w:p w14:paraId="333FBE50" w14:textId="1D6ACD33" w:rsidR="00687603" w:rsidRPr="00DD0373" w:rsidRDefault="00687603" w:rsidP="00352205">
      <w:pPr>
        <w:pStyle w:val="NormalNonumber"/>
        <w:spacing w:before="120"/>
        <w:rPr>
          <w:lang w:val="es-ES_tradnl"/>
        </w:rPr>
      </w:pPr>
      <w:r w:rsidRPr="00DD0373">
        <w:rPr>
          <w:lang w:val="es-ES_tradnl"/>
        </w:rPr>
        <w:t>El documento 37/8 contiene una descripción completa de las deliberaciones y los resultados de los trabajos del Comité en el período en cuestión, las cuestiones normativas sobre las que se han adoptado decisiones, los proyectos aprobados, el estado de ejecución de los proyectos en curso y las cuestiones de planificación empresarial, financieras y administrativas. En el boletín anual de la Secretaría del Fondo Multilateral también se ofrece una visión general de los logros alcanzados en 2024.</w:t>
      </w:r>
    </w:p>
    <w:p w14:paraId="3159BAF2" w14:textId="0FCE61CE" w:rsidR="00687603" w:rsidRPr="00DD0373" w:rsidRDefault="00687603" w:rsidP="00352205">
      <w:pPr>
        <w:pStyle w:val="NormalNonumber"/>
        <w:spacing w:before="120"/>
        <w:rPr>
          <w:lang w:val="es-ES_tradnl"/>
        </w:rPr>
      </w:pPr>
      <w:r w:rsidRPr="00DD0373">
        <w:rPr>
          <w:lang w:val="es-ES_tradnl"/>
        </w:rPr>
        <w:t>En mi presentación, les mostraré una panorámica de algunas decisiones.</w:t>
      </w:r>
    </w:p>
    <w:p w14:paraId="54C76964" w14:textId="125FB0F7" w:rsidR="00687603" w:rsidRPr="00DD0373" w:rsidRDefault="00687603" w:rsidP="00352205">
      <w:pPr>
        <w:pStyle w:val="NormalNonumber"/>
        <w:spacing w:before="120"/>
        <w:rPr>
          <w:lang w:val="es-ES_tradnl"/>
        </w:rPr>
      </w:pPr>
      <w:r w:rsidRPr="00DD0373">
        <w:rPr>
          <w:lang w:val="es-ES_tradnl"/>
        </w:rPr>
        <w:t>El Comité Ejecutivo había acordado previamente los principios y los niveles de financiación relativos a los gastos adicionales aptos para el sector de mantenimiento de equipos de refrigeración para la fase</w:t>
      </w:r>
      <w:r w:rsidR="00FF2FB6" w:rsidRPr="00DD0373">
        <w:rPr>
          <w:lang w:val="es-ES_tradnl"/>
        </w:rPr>
        <w:t> </w:t>
      </w:r>
      <w:r w:rsidRPr="00DD0373">
        <w:rPr>
          <w:lang w:val="es-ES_tradnl"/>
        </w:rPr>
        <w:t>I de los planes de ejecución de las actividades relativas a los HFC conforme a la Enmienda de Kigali. En la 95ª reunión, el Comité llegó a un acuerdo sobre las directrices relativas a los costos en el sector manufacturero y, en la 96ª reunión, sobre el punto de partida de las reducciones acumuladas sostenidas. Con estas decisiones se garantiza la financiación y se alienta a los países a presentar sus planes. Con este proceso, en respuesta a su decisión XXVIII/2 (28/2), se puso término a las negociaciones que se habían venido desarrollando desde 2017.</w:t>
      </w:r>
    </w:p>
    <w:p w14:paraId="387FF5F9" w14:textId="40F5A753" w:rsidR="00687603" w:rsidRPr="00DD0373" w:rsidRDefault="00687603" w:rsidP="00352205">
      <w:pPr>
        <w:pStyle w:val="NormalNonumber"/>
        <w:spacing w:before="120"/>
        <w:rPr>
          <w:lang w:val="es-ES_tradnl"/>
        </w:rPr>
      </w:pPr>
      <w:r w:rsidRPr="00DD0373">
        <w:rPr>
          <w:lang w:val="es-ES_tradnl"/>
        </w:rPr>
        <w:t>Las pequeñas y medianas empresas (pymes) fueron prioritarias en las directrices. Las pymes de los sectores de la espuma de poliuretano y la refrigeración y el aire acondicionado pueden recibir más financiación a fin de fomentar el cumplimiento. Con las directrices se promueve un enfoque flexible y</w:t>
      </w:r>
      <w:r w:rsidR="008718D3" w:rsidRPr="00DD0373">
        <w:rPr>
          <w:lang w:val="es-ES_tradnl"/>
        </w:rPr>
        <w:t> </w:t>
      </w:r>
      <w:r w:rsidRPr="00DD0373">
        <w:rPr>
          <w:lang w:val="es-ES_tradnl"/>
        </w:rPr>
        <w:t xml:space="preserve">dirigido por los propios países, que permite a las </w:t>
      </w:r>
      <w:r w:rsidR="00C17707">
        <w:rPr>
          <w:lang w:val="es-ES_tradnl"/>
        </w:rPr>
        <w:t>Partes</w:t>
      </w:r>
      <w:r w:rsidRPr="00DD0373">
        <w:rPr>
          <w:lang w:val="es-ES_tradnl"/>
        </w:rPr>
        <w:t xml:space="preserve"> que operan al amparo del artículo 5 dar prioridad a los HFC, definir sectores, seleccionar tecnologías y adaptar estrategias a las circunstancias</w:t>
      </w:r>
      <w:r w:rsidR="008718D3" w:rsidRPr="00DD0373">
        <w:rPr>
          <w:lang w:val="es-ES_tradnl"/>
        </w:rPr>
        <w:t> </w:t>
      </w:r>
      <w:r w:rsidRPr="00DD0373">
        <w:rPr>
          <w:lang w:val="es-ES_tradnl"/>
        </w:rPr>
        <w:t>nacionales.</w:t>
      </w:r>
    </w:p>
    <w:p w14:paraId="0ACF6350" w14:textId="29948F42" w:rsidR="00687603" w:rsidRPr="00DD0373" w:rsidRDefault="00687603" w:rsidP="00352205">
      <w:pPr>
        <w:pStyle w:val="NormalNonumber"/>
        <w:spacing w:before="120"/>
        <w:rPr>
          <w:lang w:val="es-ES_tradnl"/>
        </w:rPr>
      </w:pPr>
      <w:r w:rsidRPr="00DD0373">
        <w:rPr>
          <w:lang w:val="es-ES_tradnl"/>
        </w:rPr>
        <w:t xml:space="preserve">El Comité también aprobó la plantilla del acuerdo entre las </w:t>
      </w:r>
      <w:r w:rsidR="00C17707">
        <w:rPr>
          <w:lang w:val="es-ES_tradnl"/>
        </w:rPr>
        <w:t>Partes</w:t>
      </w:r>
      <w:r w:rsidRPr="00DD0373">
        <w:rPr>
          <w:lang w:val="es-ES_tradnl"/>
        </w:rPr>
        <w:t xml:space="preserve"> que operan al amparo del artículo 5 y el Comité para la fase I de los planes de ejecución de las actividades relativas a los HFC conforme a la Enmienda de Kigali, y acordó la verificación del consumo de HFC para los países con bajo volumen de consumo con fases aprobadas. Los polioles premezclados importados en el sector de la espuma de poliuretano también pueden incluirse en la financiación de la fase I de los planes de ejecución de las actividades relativas a los HFC conforme a la Enmienda de Kigali para su eliminación total, y la financiación del consumo de HFC en el subsector local de instalación y montaje se decidirá caso por</w:t>
      </w:r>
      <w:r w:rsidR="008718D3" w:rsidRPr="00DD0373">
        <w:rPr>
          <w:lang w:val="es-ES_tradnl"/>
        </w:rPr>
        <w:t> </w:t>
      </w:r>
      <w:r w:rsidRPr="00DD0373">
        <w:rPr>
          <w:lang w:val="es-ES_tradnl"/>
        </w:rPr>
        <w:t>caso.</w:t>
      </w:r>
    </w:p>
    <w:p w14:paraId="14FC9599" w14:textId="77777777" w:rsidR="00687603" w:rsidRPr="00DD0373" w:rsidRDefault="00687603" w:rsidP="00352205">
      <w:pPr>
        <w:pStyle w:val="NormalNonumber"/>
        <w:spacing w:before="120"/>
        <w:rPr>
          <w:lang w:val="es-ES_tradnl"/>
        </w:rPr>
      </w:pPr>
      <w:r w:rsidRPr="00DD0373">
        <w:rPr>
          <w:lang w:val="es-ES_tradnl"/>
        </w:rPr>
        <w:t>En relación con la eliminación, el Comité ya ha adoptado varias decisiones y seguirá examinando la cuestión en el marco del debate sobre la gestión del ciclo de vida de los refrigerantes, de conformidad con la decisión XXXV/11 (35/11), en su 97ª reunión.</w:t>
      </w:r>
    </w:p>
    <w:p w14:paraId="7BDC446A" w14:textId="551BE5F6" w:rsidR="00687603" w:rsidRPr="00DD0373" w:rsidRDefault="00687603" w:rsidP="00352205">
      <w:pPr>
        <w:pStyle w:val="NormalNonumber"/>
        <w:spacing w:before="120"/>
        <w:rPr>
          <w:lang w:val="es-ES_tradnl"/>
        </w:rPr>
      </w:pPr>
      <w:r w:rsidRPr="00DD0373">
        <w:rPr>
          <w:lang w:val="es-ES_tradnl"/>
        </w:rPr>
        <w:lastRenderedPageBreak/>
        <w:t xml:space="preserve">Tras la innovadora decisión sobre el marco operacional para aumentar la eficiencia energética al reducir los HFC, acordada en la 94ª reunión, el Comité aprobó en su 95ª reunión un innovador mecanismo de fondo rotatorio con una ventana de financiación de 40 millones de dólares de los Estados Unidos. Con esta ventana se sufragarán dos proyectos piloto en </w:t>
      </w:r>
      <w:r w:rsidR="00C17707">
        <w:rPr>
          <w:lang w:val="es-ES_tradnl"/>
        </w:rPr>
        <w:t>Partes</w:t>
      </w:r>
      <w:r w:rsidRPr="00DD0373">
        <w:rPr>
          <w:lang w:val="es-ES_tradnl"/>
        </w:rPr>
        <w:t xml:space="preserve"> que operan al amparo del artículo 5, diseñados </w:t>
      </w:r>
      <w:r w:rsidR="00901E4F" w:rsidRPr="00DD0373">
        <w:rPr>
          <w:lang w:val="es-ES_tradnl"/>
        </w:rPr>
        <w:t>con el fin de</w:t>
      </w:r>
      <w:r w:rsidRPr="00DD0373">
        <w:rPr>
          <w:lang w:val="es-ES_tradnl"/>
        </w:rPr>
        <w:t xml:space="preserve"> generar fondos rotatorios para usuarios finales en materia de eficiencia energética. Con este mecanismo, gracias a los reembolsos de los beneficiarios se repondrán los fondos, lo que garantizará un ciclo complementario de apoyo financiero a otros beneficiarios. Con una duración prevista de ocho años, mediante estos proyectos piloto se devolverán finalmente los fondos al Fondo Multilateral, con lo que se aprovechará al máximo la repercusión de la inversión inicial. La selección de estos dos proyectos piloto se decidirá el año próximo en la 98ª reunión del Comité Ejecutivo.</w:t>
      </w:r>
    </w:p>
    <w:p w14:paraId="428A7AEB" w14:textId="2AE68F15" w:rsidR="00687603" w:rsidRPr="00DD0373" w:rsidRDefault="00687603" w:rsidP="00352205">
      <w:pPr>
        <w:pStyle w:val="NormalNonumber"/>
        <w:spacing w:before="120"/>
        <w:rPr>
          <w:lang w:val="es-ES_tradnl"/>
        </w:rPr>
      </w:pPr>
      <w:r w:rsidRPr="00DD0373">
        <w:rPr>
          <w:lang w:val="es-ES_tradnl"/>
        </w:rPr>
        <w:t>En paralelo a las reuniones 95ª y 96ª, se celebraron sesiones de media jornada de duración sobre enfoques estratégicos para la aplicación de la Enmienda de Kigali y la contribución a la refrigeración sostenible en el marco del Fondo Multilateral, con el objetivo de detectar oportunidades de gran repercusión para que con el Fondo se sufragasen iniciativas más allá del cumplimiento de la Enmienda</w:t>
      </w:r>
      <w:r w:rsidR="008718D3" w:rsidRPr="00DD0373">
        <w:rPr>
          <w:lang w:val="es-ES_tradnl"/>
        </w:rPr>
        <w:t> </w:t>
      </w:r>
      <w:r w:rsidRPr="00DD0373">
        <w:rPr>
          <w:lang w:val="es-ES_tradnl"/>
        </w:rPr>
        <w:t>de Kigali. Esta cuestión seguirá debatiéndose</w:t>
      </w:r>
      <w:r w:rsidR="008B6E7A" w:rsidRPr="00DD0373">
        <w:rPr>
          <w:lang w:val="es-ES_tradnl"/>
        </w:rPr>
        <w:t>,</w:t>
      </w:r>
      <w:r w:rsidRPr="00DD0373">
        <w:rPr>
          <w:lang w:val="es-ES_tradnl"/>
        </w:rPr>
        <w:t xml:space="preserve"> </w:t>
      </w:r>
      <w:r w:rsidR="00C92245" w:rsidRPr="00DD0373">
        <w:rPr>
          <w:lang w:val="es-ES_tradnl"/>
        </w:rPr>
        <w:t xml:space="preserve">sobre la base </w:t>
      </w:r>
      <w:r w:rsidRPr="00DD0373">
        <w:rPr>
          <w:lang w:val="es-ES_tradnl"/>
        </w:rPr>
        <w:t>de un documento preparado por</w:t>
      </w:r>
      <w:r w:rsidR="008718D3" w:rsidRPr="00DD0373">
        <w:rPr>
          <w:lang w:val="es-ES_tradnl"/>
        </w:rPr>
        <w:t> </w:t>
      </w:r>
      <w:r w:rsidRPr="00DD0373">
        <w:rPr>
          <w:lang w:val="es-ES_tradnl"/>
        </w:rPr>
        <w:t>la Secretaría del Fondo</w:t>
      </w:r>
      <w:r w:rsidR="008B6E7A" w:rsidRPr="00DD0373">
        <w:rPr>
          <w:lang w:val="es-ES_tradnl"/>
        </w:rPr>
        <w:t>,</w:t>
      </w:r>
      <w:r w:rsidRPr="00DD0373">
        <w:rPr>
          <w:lang w:val="es-ES_tradnl"/>
        </w:rPr>
        <w:t xml:space="preserve"> en la 98ª reunión del Comité Ejecutivo.</w:t>
      </w:r>
    </w:p>
    <w:p w14:paraId="1CD497B3" w14:textId="487CA985" w:rsidR="00687603" w:rsidRPr="00DD0373" w:rsidRDefault="00687603" w:rsidP="00352205">
      <w:pPr>
        <w:pStyle w:val="NormalNonumber"/>
        <w:spacing w:before="120"/>
        <w:rPr>
          <w:lang w:val="es-ES_tradnl"/>
        </w:rPr>
      </w:pPr>
      <w:r w:rsidRPr="00DD0373">
        <w:rPr>
          <w:lang w:val="es-ES_tradnl"/>
        </w:rPr>
        <w:t>En la misma reunión, también se examinarán más a fondo los retos relacionados con los problemas de la cadena de suministro que se hacen más evidentes al ejecutar los proyectos,</w:t>
      </w:r>
      <w:r w:rsidR="002C0C38" w:rsidRPr="00DD0373">
        <w:rPr>
          <w:lang w:val="es-ES_tradnl"/>
        </w:rPr>
        <w:t xml:space="preserve"> sobre la base</w:t>
      </w:r>
      <w:r w:rsidRPr="00DD0373">
        <w:rPr>
          <w:lang w:val="es-ES_tradnl"/>
        </w:rPr>
        <w:t xml:space="preserve"> de un documento preparado por la Secretaría del Fondo.</w:t>
      </w:r>
    </w:p>
    <w:p w14:paraId="1840A6F5" w14:textId="0574A50B" w:rsidR="00687603" w:rsidRPr="00DD0373" w:rsidRDefault="00687603" w:rsidP="00352205">
      <w:pPr>
        <w:pStyle w:val="NormalNonumber"/>
        <w:spacing w:before="120"/>
        <w:rPr>
          <w:lang w:val="es-ES_tradnl"/>
        </w:rPr>
      </w:pPr>
      <w:r w:rsidRPr="00DD0373">
        <w:rPr>
          <w:lang w:val="es-ES_tradnl"/>
        </w:rPr>
        <w:t>En su 96ª reunión, el Comité también decidió considerar la posibilidad de establecer en la 98ª reunión una ventanilla de financiación para tres proyectos piloto destinados a mejorar la vigilancia atmosférica regional de las sustancias controladas por el Protocolo de Montreal, y solicitó a la Secretaría que preparase un proyecto de directrices para la preparación y ejecución de esos proyectos piloto. Este es un tema que se debatió ampliamente en la serie de sesiones preparatorias de esta reunión y que pone de manifiesto el nivel de colaboración que está teniendo lugar entre las distintas instituciones de los tratados sobre el ozono.</w:t>
      </w:r>
    </w:p>
    <w:p w14:paraId="3322CED5" w14:textId="66EC3B42" w:rsidR="00687603" w:rsidRPr="00DD0373" w:rsidRDefault="00687603" w:rsidP="00352205">
      <w:pPr>
        <w:pStyle w:val="NormalNonumber"/>
        <w:spacing w:before="120"/>
        <w:rPr>
          <w:lang w:val="es-ES_tradnl"/>
        </w:rPr>
      </w:pPr>
      <w:r w:rsidRPr="00DD0373">
        <w:rPr>
          <w:lang w:val="es-ES_tradnl"/>
        </w:rPr>
        <w:t>Señor Presidente, distinguidos delegados:</w:t>
      </w:r>
    </w:p>
    <w:p w14:paraId="298AAA52" w14:textId="52DA9CEE" w:rsidR="00687603" w:rsidRPr="00DD0373" w:rsidRDefault="00687603" w:rsidP="00352205">
      <w:pPr>
        <w:pStyle w:val="NormalNonumber"/>
        <w:spacing w:before="120"/>
        <w:rPr>
          <w:lang w:val="es-ES_tradnl"/>
        </w:rPr>
      </w:pPr>
      <w:r w:rsidRPr="00DD0373">
        <w:rPr>
          <w:lang w:val="es-ES_tradnl"/>
        </w:rPr>
        <w:t xml:space="preserve">En este período sobre el que se informa, aprobamos proyectos por un valor de 136,5 millones de dólares de los Estados Unidos. Nuestro grado de éxito depende de la ejecución sobre el terreno y de que quienes necesitan estos fondos puedan adaptarse con la menor repercusión financiera y social posible a los objetivos ambientales de nuestros tratados. Por lo tanto, es el momento de agradecer al </w:t>
      </w:r>
      <w:r w:rsidR="00A97BFB" w:rsidRPr="00DD0373">
        <w:rPr>
          <w:lang w:val="es-ES_tradnl"/>
        </w:rPr>
        <w:t xml:space="preserve">Banco Mundial, a la ONUDI, al </w:t>
      </w:r>
      <w:r w:rsidRPr="00DD0373">
        <w:rPr>
          <w:lang w:val="es-ES_tradnl"/>
        </w:rPr>
        <w:t>PNUD, al PNUMA, así como a los organismos bilaterales, su dedicada labor con los países.</w:t>
      </w:r>
    </w:p>
    <w:p w14:paraId="7710D20F" w14:textId="77777777" w:rsidR="00A97BFB" w:rsidRPr="00DD0373" w:rsidRDefault="00A97BFB" w:rsidP="00A97BFB">
      <w:pPr>
        <w:pStyle w:val="NormalNonumber"/>
        <w:spacing w:before="120"/>
        <w:rPr>
          <w:lang w:val="es-ES_tradnl"/>
        </w:rPr>
      </w:pPr>
      <w:r w:rsidRPr="00DD0373">
        <w:rPr>
          <w:lang w:val="es-ES_tradnl"/>
        </w:rPr>
        <w:t xml:space="preserve">El Banco Mundial ha seguido avanzando en la preparación de los planes de ejecución de las actividades relativas a los HFC conforme a la Enmienda de Kigali, en los que se procura integrar aspectos como la eficiencia energética y la gestión del ciclo de vida, en consonancia con su compromiso más amplio de maximizar los beneficios secundarios para el clima. Esto incluye la aprobación de un proyecto piloto para mejorar la eficiencia energética en la refrigeración comercial junto con la reducción de los HFC. El Banco prestó asistencia a los países mediante actos de intercambio de conocimientos y apoyo técnico y asesoramiento, incluida orientación sobre la asignación de cuotas. El Banco ha seguido prestando apoyo a los países para que completen la fase II de los planes de gestión de la eliminación de los HCFC y la fase II de la eliminación de la producción de HCFC en un país. El Banco está preparando proyectos para apoyar a los usuarios finales en Granada, Tailandia y </w:t>
      </w:r>
      <w:proofErr w:type="spellStart"/>
      <w:r w:rsidRPr="00DD0373">
        <w:rPr>
          <w:lang w:val="es-ES_tradnl"/>
        </w:rPr>
        <w:t>Türkiye</w:t>
      </w:r>
      <w:proofErr w:type="spellEnd"/>
      <w:r w:rsidRPr="00DD0373">
        <w:rPr>
          <w:lang w:val="es-ES_tradnl"/>
        </w:rPr>
        <w:t xml:space="preserve"> en el marco del mecanismo de fondo rotatorio.</w:t>
      </w:r>
    </w:p>
    <w:p w14:paraId="49AA3BD2" w14:textId="77777777" w:rsidR="00A97BFB" w:rsidRPr="00DD0373" w:rsidRDefault="00A97BFB" w:rsidP="00A97BFB">
      <w:pPr>
        <w:pStyle w:val="NormalNonumber"/>
        <w:spacing w:before="120"/>
        <w:rPr>
          <w:lang w:val="es-ES_tradnl"/>
        </w:rPr>
      </w:pPr>
      <w:r w:rsidRPr="00DD0373">
        <w:rPr>
          <w:lang w:val="es-ES_tradnl"/>
        </w:rPr>
        <w:t>La ONUDI está poniendo en marcha planes de gestión de la eliminación de los HCFC en 68 países, planes de ejecución de las actividades relativas a los HFC conforme a la Enmienda de Kigali en 22 países, proyectos de fortalecimiento institucional en 14 países y proyectos de destrucción de las emisiones del subproducto HFC</w:t>
      </w:r>
      <w:r w:rsidRPr="00DD0373">
        <w:rPr>
          <w:lang w:val="es-ES_tradnl"/>
        </w:rPr>
        <w:noBreakHyphen/>
        <w:t>23 en 2 países. Hay tres proyectos de inversión en HFC en curso en los sectores del aire acondicionado residencial y la fabricación de aparatos de refrigeración doméstica y comercial. La ONUDI sigue prestando apoyo a los países para que completen la eliminación de los HCFC y la reducción de los HFC. Por medio de las ventanas de financiación, la ONUDI está llevando a cabo actividades de eficiencia energética en 11 países con bajo volumen de consumo, proyectos piloto en 14 países e inventarios para la gestión de bancos de sustancias controladas usadas o no deseadas en 25 países.</w:t>
      </w:r>
    </w:p>
    <w:p w14:paraId="158C57D0" w14:textId="77EC0848" w:rsidR="00A97BFB" w:rsidRPr="00DD0373" w:rsidRDefault="00A97BFB" w:rsidP="00A97BFB">
      <w:pPr>
        <w:pStyle w:val="NormalNonumber"/>
        <w:spacing w:before="120"/>
        <w:rPr>
          <w:lang w:val="es-ES_tradnl"/>
        </w:rPr>
      </w:pPr>
      <w:r w:rsidRPr="00DD0373">
        <w:rPr>
          <w:lang w:val="es-ES_tradnl"/>
        </w:rPr>
        <w:t xml:space="preserve">El PNUMA está ayudando a 101 países con el fortalecimiento institucional, el establecimiento de políticas y cuotas, y la presentación de datos, y ha facilitado el cumplimiento por medio de redes regionales y herramientas de intercambio de información. El PNUMA ayudó a 102 países a aplicar </w:t>
      </w:r>
      <w:r w:rsidRPr="00DD0373">
        <w:rPr>
          <w:lang w:val="es-ES_tradnl"/>
        </w:rPr>
        <w:lastRenderedPageBreak/>
        <w:t>planes de gestión de la eliminación de los HCFC y prestó apoyo a 50 países con planes de ejecución de</w:t>
      </w:r>
      <w:r w:rsidR="008718D3" w:rsidRPr="00DD0373">
        <w:rPr>
          <w:lang w:val="es-ES_tradnl"/>
        </w:rPr>
        <w:t> </w:t>
      </w:r>
      <w:r w:rsidRPr="00DD0373">
        <w:rPr>
          <w:lang w:val="es-ES_tradnl"/>
        </w:rPr>
        <w:t>las actividades relativas a los HFC conforme a la Enmienda de Kigali, incluida la promoción de</w:t>
      </w:r>
      <w:r w:rsidR="008718D3" w:rsidRPr="00DD0373">
        <w:rPr>
          <w:lang w:val="es-ES_tradnl"/>
        </w:rPr>
        <w:t> </w:t>
      </w:r>
      <w:r w:rsidRPr="00DD0373">
        <w:rPr>
          <w:lang w:val="es-ES_tradnl"/>
        </w:rPr>
        <w:t>tecnologías de PCA bajo y energéticamente eficientes en el sector del mantenimiento de la refrigeración. Se ha prestado especial atención a los países con bajo volumen de consumo mediante asistencia técnica y normativa adaptada a sus necesidades. El PNUMA ayuda a 63 países a preparar inventarios y planes para gestionar los bancos de sustancias controladas usadas o no deseadas.</w:t>
      </w:r>
    </w:p>
    <w:p w14:paraId="7E5C2B61" w14:textId="24AA7AE4" w:rsidR="00687603" w:rsidRPr="00DD0373" w:rsidRDefault="00687603" w:rsidP="00352205">
      <w:pPr>
        <w:pStyle w:val="NormalNonumber"/>
        <w:spacing w:before="120"/>
        <w:rPr>
          <w:lang w:val="es-ES_tradnl"/>
        </w:rPr>
      </w:pPr>
      <w:r w:rsidRPr="00DD0373">
        <w:rPr>
          <w:lang w:val="es-ES_tradnl"/>
        </w:rPr>
        <w:t>El PNUD está prestando asistencia técnica a 47 países para que cumplan sus objetivos en materia de</w:t>
      </w:r>
      <w:r w:rsidR="008718D3" w:rsidRPr="00DD0373">
        <w:rPr>
          <w:lang w:val="es-ES_tradnl"/>
        </w:rPr>
        <w:t> </w:t>
      </w:r>
      <w:r w:rsidRPr="00DD0373">
        <w:rPr>
          <w:lang w:val="es-ES_tradnl"/>
        </w:rPr>
        <w:t xml:space="preserve">HCFC en virtud del Protocolo de Montreal y ha prestado apoyo a 34 países para que preparen sus planes de ejecución de las actividades relativas a los HFC conforme a la Enmienda de Kigali, de los cuales 22 ya se han presentado, al tiempo que ha mejorado la creación de capacidad de las </w:t>
      </w:r>
      <w:r w:rsidR="00C17707">
        <w:rPr>
          <w:lang w:val="es-ES_tradnl"/>
        </w:rPr>
        <w:t>Partes</w:t>
      </w:r>
      <w:r w:rsidRPr="00DD0373">
        <w:rPr>
          <w:lang w:val="es-ES_tradnl"/>
        </w:rPr>
        <w:t xml:space="preserve"> que operan al amparo del artículo 5 en apoyo de la Enmienda de Kigali. La agencia recibió aprobación para preparar un fondo rotatorio destinado a promover la eficiencia energética entre los usuarios finales del sector turístico en Colombia, Ghana y Jordania. Su labor también dio lugar a un aumento de</w:t>
      </w:r>
      <w:r w:rsidR="008718D3" w:rsidRPr="00DD0373">
        <w:rPr>
          <w:lang w:val="es-ES_tradnl"/>
        </w:rPr>
        <w:t> </w:t>
      </w:r>
      <w:r w:rsidRPr="00DD0373">
        <w:rPr>
          <w:lang w:val="es-ES_tradnl"/>
        </w:rPr>
        <w:t>la participación de las mujeres en los cursos y reuniones organizados en el marco de la cartera del Protocolo de Montreal.</w:t>
      </w:r>
    </w:p>
    <w:p w14:paraId="1C508B12" w14:textId="775D438D" w:rsidR="00687603" w:rsidRPr="00DD0373" w:rsidRDefault="00687603" w:rsidP="00E56069">
      <w:pPr>
        <w:pStyle w:val="NormalNonumber"/>
        <w:spacing w:before="120"/>
        <w:rPr>
          <w:lang w:val="es-ES_tradnl"/>
        </w:rPr>
      </w:pPr>
      <w:r w:rsidRPr="00DD0373">
        <w:rPr>
          <w:lang w:val="es-ES_tradnl"/>
        </w:rPr>
        <w:t>Señor Presidente, distinguidos delegados:</w:t>
      </w:r>
    </w:p>
    <w:p w14:paraId="24572612" w14:textId="368E6F2D" w:rsidR="00687603" w:rsidRPr="00DD0373" w:rsidRDefault="00687603" w:rsidP="00E56069">
      <w:pPr>
        <w:pStyle w:val="NormalNonumber"/>
        <w:spacing w:before="120"/>
        <w:rPr>
          <w:lang w:val="es-ES_tradnl"/>
        </w:rPr>
      </w:pPr>
      <w:r w:rsidRPr="00DD0373">
        <w:rPr>
          <w:lang w:val="es-ES_tradnl"/>
        </w:rPr>
        <w:t>El trabajo del Fondo Multilateral ha estado transformando economías y empoderando a las personas. El Fondo ha invertido en transferencia de tecnología, formación y creación de capacidad. Se crean nuevas oportunidades de negocio, y se incentiva la innovación tecnológica en países de todo el mundo,</w:t>
      </w:r>
      <w:r w:rsidR="00EC4C86" w:rsidRPr="00DD0373">
        <w:rPr>
          <w:lang w:val="es-ES_tradnl"/>
        </w:rPr>
        <w:t> </w:t>
      </w:r>
      <w:r w:rsidRPr="00DD0373">
        <w:rPr>
          <w:lang w:val="es-ES_tradnl"/>
        </w:rPr>
        <w:t>lo cual permite generar empleos nuevos y mejorar los medios de subsistencia.</w:t>
      </w:r>
    </w:p>
    <w:p w14:paraId="72C2C96F" w14:textId="1FD605C8" w:rsidR="00687603" w:rsidRPr="00DD0373" w:rsidRDefault="00687603" w:rsidP="00352205">
      <w:pPr>
        <w:pStyle w:val="NormalNonumber"/>
        <w:spacing w:before="120"/>
        <w:rPr>
          <w:lang w:val="es-ES_tradnl"/>
        </w:rPr>
      </w:pPr>
      <w:r w:rsidRPr="00DD0373">
        <w:rPr>
          <w:lang w:val="es-ES_tradnl"/>
        </w:rPr>
        <w:t>Permítanme expresar mi sincero agradecimiento a los miembros del Comité Ejecutivo por el apoyo prestado en mis funciones en el ejercicio de la Presidencia, a la Secretaría del Fondo y a los organismos bilaterales y de ejecución, por su ardua labor e infatigable dedicación al logro de nuestros</w:t>
      </w:r>
      <w:r w:rsidR="00EC4C86" w:rsidRPr="00DD0373">
        <w:rPr>
          <w:lang w:val="es-ES_tradnl"/>
        </w:rPr>
        <w:t> </w:t>
      </w:r>
      <w:r w:rsidRPr="00DD0373">
        <w:rPr>
          <w:lang w:val="es-ES_tradnl"/>
        </w:rPr>
        <w:t>objetivos comunes. Quisiera darle las gracias a mi colega, la Sra. Maria Antonella Parodi, de</w:t>
      </w:r>
      <w:r w:rsidR="00EC4C86" w:rsidRPr="00DD0373">
        <w:rPr>
          <w:lang w:val="es-ES_tradnl"/>
        </w:rPr>
        <w:t> </w:t>
      </w:r>
      <w:r w:rsidRPr="00DD0373">
        <w:rPr>
          <w:lang w:val="es-ES_tradnl"/>
        </w:rPr>
        <w:t>la</w:t>
      </w:r>
      <w:r w:rsidR="007C6637" w:rsidRPr="00DD0373">
        <w:rPr>
          <w:lang w:val="es-ES_tradnl"/>
        </w:rPr>
        <w:t> </w:t>
      </w:r>
      <w:r w:rsidRPr="00DD0373">
        <w:rPr>
          <w:lang w:val="es-ES_tradnl"/>
        </w:rPr>
        <w:t xml:space="preserve">Argentina, puesto que fue la </w:t>
      </w:r>
      <w:proofErr w:type="gramStart"/>
      <w:r w:rsidRPr="00DD0373">
        <w:rPr>
          <w:lang w:val="es-ES_tradnl"/>
        </w:rPr>
        <w:t>Presidenta</w:t>
      </w:r>
      <w:proofErr w:type="gramEnd"/>
      <w:r w:rsidRPr="00DD0373">
        <w:rPr>
          <w:lang w:val="es-ES_tradnl"/>
        </w:rPr>
        <w:t xml:space="preserve"> de una de las reuniones del Comité Ejecutivo desde la</w:t>
      </w:r>
      <w:r w:rsidR="00EC4C86" w:rsidRPr="00DD0373">
        <w:rPr>
          <w:lang w:val="es-ES_tradnl"/>
        </w:rPr>
        <w:t> </w:t>
      </w:r>
      <w:r w:rsidRPr="00DD0373">
        <w:rPr>
          <w:lang w:val="es-ES_tradnl"/>
        </w:rPr>
        <w:t xml:space="preserve">última Reunión de las </w:t>
      </w:r>
      <w:r w:rsidR="00C17707">
        <w:rPr>
          <w:lang w:val="es-ES_tradnl"/>
        </w:rPr>
        <w:t>Partes</w:t>
      </w:r>
      <w:r w:rsidRPr="00DD0373">
        <w:rPr>
          <w:lang w:val="es-ES_tradnl"/>
        </w:rPr>
        <w:t>.</w:t>
      </w:r>
    </w:p>
    <w:p w14:paraId="370728AD" w14:textId="0C454279" w:rsidR="00687603" w:rsidRPr="00DD0373" w:rsidRDefault="00687603" w:rsidP="00352205">
      <w:pPr>
        <w:pStyle w:val="NormalNonumber"/>
        <w:spacing w:before="120"/>
        <w:rPr>
          <w:lang w:val="es-ES_tradnl"/>
        </w:rPr>
      </w:pPr>
      <w:r w:rsidRPr="00DD0373">
        <w:rPr>
          <w:lang w:val="es-ES_tradnl"/>
        </w:rPr>
        <w:t xml:space="preserve">Desearía también expresar mi agradecimiento a las </w:t>
      </w:r>
      <w:r w:rsidR="00C17707">
        <w:rPr>
          <w:lang w:val="es-ES_tradnl"/>
        </w:rPr>
        <w:t>Partes</w:t>
      </w:r>
      <w:r w:rsidRPr="00DD0373">
        <w:rPr>
          <w:lang w:val="es-ES_tradnl"/>
        </w:rPr>
        <w:t xml:space="preserve"> por su firme compromiso con la aplicación del Protocolo de Montreal y la orientación que facilitan al Comité Ejecutivo.</w:t>
      </w:r>
    </w:p>
    <w:p w14:paraId="7EE03DB7" w14:textId="77777777" w:rsidR="00687603" w:rsidRPr="00DD0373" w:rsidRDefault="00687603" w:rsidP="00352205">
      <w:pPr>
        <w:pStyle w:val="NormalNonumber"/>
        <w:spacing w:before="120"/>
        <w:rPr>
          <w:lang w:val="es-ES_tradnl"/>
        </w:rPr>
      </w:pPr>
      <w:r w:rsidRPr="00DD0373">
        <w:rPr>
          <w:lang w:val="es-ES_tradnl"/>
        </w:rPr>
        <w:t>Gracias.</w:t>
      </w:r>
    </w:p>
    <w:p w14:paraId="4BFC3518" w14:textId="1625A2B2" w:rsidR="004A6355" w:rsidRPr="00DD0373" w:rsidRDefault="004A6355" w:rsidP="00C62023">
      <w:pPr>
        <w:pStyle w:val="Normal-pool"/>
        <w:rPr>
          <w:lang w:val="es-ES_tradnl"/>
        </w:rPr>
      </w:pPr>
    </w:p>
    <w:tbl>
      <w:tblPr>
        <w:tblStyle w:val="TableGrid"/>
        <w:tblW w:w="0" w:type="auto"/>
        <w:tblLayout w:type="fixed"/>
        <w:tblLook w:val="04A0" w:firstRow="1" w:lastRow="0" w:firstColumn="1" w:lastColumn="0" w:noHBand="0" w:noVBand="1"/>
      </w:tblPr>
      <w:tblGrid>
        <w:gridCol w:w="1897"/>
        <w:gridCol w:w="1897"/>
        <w:gridCol w:w="1897"/>
        <w:gridCol w:w="1898"/>
        <w:gridCol w:w="1898"/>
      </w:tblGrid>
      <w:tr w:rsidR="00C20895" w:rsidRPr="00DD0373" w14:paraId="4D263D93" w14:textId="77777777" w:rsidTr="004B5675">
        <w:tc>
          <w:tcPr>
            <w:tcW w:w="1897" w:type="dxa"/>
          </w:tcPr>
          <w:p w14:paraId="1419C026" w14:textId="0B15521F" w:rsidR="00C20895" w:rsidRPr="00DD0373" w:rsidRDefault="00C20895">
            <w:pPr>
              <w:pStyle w:val="Normal-pool"/>
              <w:spacing w:before="520"/>
              <w:rPr>
                <w:lang w:val="es-ES_tradnl"/>
              </w:rPr>
            </w:pPr>
          </w:p>
        </w:tc>
        <w:tc>
          <w:tcPr>
            <w:tcW w:w="1897" w:type="dxa"/>
          </w:tcPr>
          <w:p w14:paraId="3AED3863" w14:textId="77777777" w:rsidR="00C20895" w:rsidRPr="00DD0373" w:rsidRDefault="00C20895">
            <w:pPr>
              <w:pStyle w:val="Normal-pool"/>
              <w:spacing w:before="520"/>
              <w:rPr>
                <w:lang w:val="es-ES_tradnl"/>
              </w:rPr>
            </w:pPr>
          </w:p>
        </w:tc>
        <w:tc>
          <w:tcPr>
            <w:tcW w:w="1897" w:type="dxa"/>
            <w:tcBorders>
              <w:bottom w:val="single" w:sz="4" w:space="0" w:color="auto"/>
            </w:tcBorders>
          </w:tcPr>
          <w:p w14:paraId="39990BDA" w14:textId="77777777" w:rsidR="00C20895" w:rsidRPr="00DD0373" w:rsidRDefault="00C20895">
            <w:pPr>
              <w:pStyle w:val="Normal-pool"/>
              <w:spacing w:before="520"/>
              <w:rPr>
                <w:lang w:val="es-ES_tradnl"/>
              </w:rPr>
            </w:pPr>
          </w:p>
        </w:tc>
        <w:tc>
          <w:tcPr>
            <w:tcW w:w="1898" w:type="dxa"/>
          </w:tcPr>
          <w:p w14:paraId="3F687486" w14:textId="77777777" w:rsidR="00C20895" w:rsidRPr="00DD0373" w:rsidRDefault="00C20895">
            <w:pPr>
              <w:pStyle w:val="Normal-pool"/>
              <w:spacing w:before="520"/>
              <w:rPr>
                <w:lang w:val="es-ES_tradnl"/>
              </w:rPr>
            </w:pPr>
          </w:p>
        </w:tc>
        <w:tc>
          <w:tcPr>
            <w:tcW w:w="1898" w:type="dxa"/>
          </w:tcPr>
          <w:p w14:paraId="254B19B7" w14:textId="77777777" w:rsidR="00C20895" w:rsidRPr="00DD0373" w:rsidRDefault="00C20895">
            <w:pPr>
              <w:pStyle w:val="Normal-pool"/>
              <w:spacing w:before="520"/>
              <w:rPr>
                <w:lang w:val="es-ES_tradnl"/>
              </w:rPr>
            </w:pPr>
          </w:p>
        </w:tc>
      </w:tr>
    </w:tbl>
    <w:p w14:paraId="609B63DF" w14:textId="00F1F173" w:rsidR="00C20895" w:rsidRPr="00DD0373" w:rsidRDefault="00C20895" w:rsidP="00C20895">
      <w:pPr>
        <w:pStyle w:val="Normal-pool"/>
        <w:rPr>
          <w:rFonts w:eastAsiaTheme="minorEastAsia"/>
          <w:lang w:val="es-ES_tradnl"/>
        </w:rPr>
      </w:pPr>
    </w:p>
    <w:sectPr w:rsidR="00C20895" w:rsidRPr="00DD0373" w:rsidSect="00C20895">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370C" w14:textId="77777777" w:rsidR="00932E16" w:rsidRPr="00C20895" w:rsidRDefault="00932E16">
      <w:r w:rsidRPr="00C20895">
        <w:separator/>
      </w:r>
    </w:p>
  </w:endnote>
  <w:endnote w:type="continuationSeparator" w:id="0">
    <w:p w14:paraId="0292F757" w14:textId="77777777" w:rsidR="00932E16" w:rsidRPr="00C20895" w:rsidRDefault="00932E16">
      <w:r w:rsidRPr="00C208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ED7E" w14:textId="2C1D3363" w:rsidR="007A36F8" w:rsidRPr="00C20895" w:rsidRDefault="00C20895" w:rsidP="00C20895">
    <w:pPr>
      <w:pStyle w:val="Footer-pool"/>
    </w:pPr>
    <w:r w:rsidRPr="00C20895">
      <w:rPr>
        <w:rStyle w:val="PageNumber"/>
        <w:b/>
      </w:rPr>
      <w:fldChar w:fldCharType="begin"/>
    </w:r>
    <w:r w:rsidRPr="00C20895">
      <w:rPr>
        <w:rStyle w:val="PageNumber"/>
        <w:b/>
      </w:rPr>
      <w:instrText xml:space="preserve"> PAGE </w:instrText>
    </w:r>
    <w:r w:rsidRPr="00C20895">
      <w:rPr>
        <w:rStyle w:val="PageNumber"/>
        <w:b/>
      </w:rPr>
      <w:fldChar w:fldCharType="separate"/>
    </w:r>
    <w:r w:rsidR="00930B03">
      <w:rPr>
        <w:rStyle w:val="PageNumber"/>
        <w:b/>
        <w:noProof/>
      </w:rPr>
      <w:t>6</w:t>
    </w:r>
    <w:r w:rsidRPr="00C20895">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3327" w14:textId="4625980E" w:rsidR="007A36F8" w:rsidRPr="00B90544" w:rsidRDefault="00C20895" w:rsidP="00B90544">
    <w:pPr>
      <w:pStyle w:val="Footer-pool"/>
      <w:jc w:val="right"/>
    </w:pPr>
    <w:r w:rsidRPr="00AB635F">
      <w:rPr>
        <w:rStyle w:val="PageNumber"/>
        <w:b/>
      </w:rPr>
      <w:fldChar w:fldCharType="begin"/>
    </w:r>
    <w:r w:rsidRPr="00AB635F">
      <w:rPr>
        <w:rStyle w:val="PageNumber"/>
        <w:b/>
      </w:rPr>
      <w:instrText xml:space="preserve"> PAGE \* MERGEFORMAT </w:instrText>
    </w:r>
    <w:r w:rsidRPr="00AB635F">
      <w:rPr>
        <w:rStyle w:val="PageNumber"/>
        <w:b/>
      </w:rPr>
      <w:fldChar w:fldCharType="separate"/>
    </w:r>
    <w:r w:rsidR="00930B03">
      <w:rPr>
        <w:rStyle w:val="PageNumber"/>
        <w:b/>
        <w:noProof/>
      </w:rPr>
      <w:t>5</w:t>
    </w:r>
    <w:r w:rsidRPr="00AB635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B4DA" w14:textId="0BCF7620" w:rsidR="00C20895" w:rsidRPr="00C20895" w:rsidRDefault="00792F59" w:rsidP="00C20895">
    <w:pPr>
      <w:pStyle w:val="Footer-jobnumber"/>
    </w:pPr>
    <w:bookmarkStart w:id="33" w:name="FooterJobDate"/>
    <w:r>
      <w:rPr>
        <w:lang w:val="es-ES"/>
      </w:rPr>
      <w:t>K2518262[S]</w:t>
    </w:r>
    <w:r>
      <w:rPr>
        <w:lang w:val="es-ES"/>
      </w:rPr>
      <w:tab/>
    </w:r>
    <w:r w:rsidR="0051369B">
      <w:rPr>
        <w:lang w:val="es-ES"/>
      </w:rPr>
      <w:t>2</w:t>
    </w:r>
    <w:r w:rsidR="00DD0373">
      <w:rPr>
        <w:lang w:val="es-ES"/>
      </w:rPr>
      <w:t>4</w:t>
    </w:r>
    <w:r>
      <w:rPr>
        <w:lang w:val="es-ES"/>
      </w:rPr>
      <w:t>0226</w:t>
    </w:r>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C382" w14:textId="77777777" w:rsidR="00932E16" w:rsidRPr="00C20895" w:rsidRDefault="00932E16" w:rsidP="00C62023">
      <w:pPr>
        <w:pStyle w:val="Footnote-Separator"/>
        <w:tabs>
          <w:tab w:val="clear" w:pos="1247"/>
          <w:tab w:val="clear" w:pos="1871"/>
          <w:tab w:val="clear" w:pos="2495"/>
          <w:tab w:val="clear" w:pos="3119"/>
          <w:tab w:val="clear" w:pos="3742"/>
          <w:tab w:val="clear" w:pos="4366"/>
          <w:tab w:val="clear" w:pos="4990"/>
        </w:tabs>
        <w:rPr>
          <w:szCs w:val="18"/>
        </w:rPr>
      </w:pPr>
      <w:r w:rsidRPr="00C20895">
        <w:separator/>
      </w:r>
    </w:p>
  </w:footnote>
  <w:footnote w:type="continuationSeparator" w:id="0">
    <w:p w14:paraId="09121FCD" w14:textId="77777777" w:rsidR="00932E16" w:rsidRPr="00C20895" w:rsidRDefault="00932E16" w:rsidP="00C70B49">
      <w:pPr>
        <w:pStyle w:val="Footnote-Separator"/>
      </w:pPr>
      <w:r w:rsidRPr="00C20895">
        <w:continuationSeparator/>
      </w:r>
    </w:p>
  </w:footnote>
  <w:footnote w:type="continuationNotice" w:id="1">
    <w:p w14:paraId="0C8EF69C" w14:textId="77777777" w:rsidR="00932E16" w:rsidRPr="00C20895" w:rsidRDefault="00932E16" w:rsidP="00C70B49">
      <w:pPr>
        <w:pStyle w:val="ASpacer"/>
      </w:pPr>
    </w:p>
  </w:footnote>
  <w:footnote w:id="2">
    <w:p w14:paraId="02F79A7E" w14:textId="7B92C2A3" w:rsidR="000930E9" w:rsidRPr="00A63289" w:rsidRDefault="000930E9" w:rsidP="00C62023">
      <w:pPr>
        <w:pStyle w:val="FootnoteText"/>
        <w:tabs>
          <w:tab w:val="left" w:pos="624"/>
        </w:tabs>
        <w:spacing w:before="20" w:after="40"/>
        <w:ind w:left="1247"/>
        <w:rPr>
          <w:sz w:val="18"/>
          <w:szCs w:val="18"/>
          <w:lang w:val="es-ES_tradnl"/>
        </w:rPr>
      </w:pPr>
      <w:r w:rsidRPr="00A63289">
        <w:rPr>
          <w:rStyle w:val="FootnoteReference"/>
          <w:sz w:val="18"/>
          <w:lang w:val="es-ES"/>
        </w:rPr>
        <w:footnoteRef/>
      </w:r>
      <w:r w:rsidRPr="00A63289">
        <w:rPr>
          <w:sz w:val="18"/>
          <w:szCs w:val="18"/>
          <w:lang w:val="es-ES"/>
        </w:rPr>
        <w:t xml:space="preserve"> Posteriormente, se introdujo la corrección en la diapositiva de la presentación y en el párrafo 93 del presente informe.</w:t>
      </w:r>
    </w:p>
  </w:footnote>
  <w:footnote w:id="3">
    <w:p w14:paraId="516F69D6" w14:textId="09694243" w:rsidR="002D5348" w:rsidRPr="002E7CA9" w:rsidRDefault="002D5348" w:rsidP="00C62023">
      <w:pPr>
        <w:pStyle w:val="Footnote-Text"/>
        <w:rPr>
          <w:szCs w:val="18"/>
          <w:lang w:val="es-ES_tradnl"/>
        </w:rPr>
      </w:pPr>
      <w:r w:rsidRPr="00C62023">
        <w:rPr>
          <w:rStyle w:val="FootnoteReference"/>
          <w:sz w:val="18"/>
          <w:lang w:val="es-ES"/>
        </w:rPr>
        <w:footnoteRef/>
      </w:r>
      <w:r>
        <w:rPr>
          <w:lang w:val="es-ES"/>
        </w:rPr>
        <w:t xml:space="preserve"> </w:t>
      </w:r>
      <w:hyperlink r:id="rId1" w:history="1">
        <w:r w:rsidR="00A63289" w:rsidRPr="003668A7">
          <w:rPr>
            <w:rStyle w:val="Hyperlink"/>
            <w:lang w:val="es-ES"/>
          </w:rPr>
          <w:t>https://ozone.unep.org/system/files/documents/IM_concept-note-and-provisional-programme_final-draft_for-posting.pdf</w:t>
        </w:r>
      </w:hyperlink>
      <w:r>
        <w:rPr>
          <w:lang w:val="es-ES"/>
        </w:rPr>
        <w:t>.</w:t>
      </w:r>
      <w:hyperlink r:id="rId2" w:history="1"/>
    </w:p>
  </w:footnote>
  <w:footnote w:id="4">
    <w:p w14:paraId="7DB5F8F9" w14:textId="1162A0CF" w:rsidR="00EB673D" w:rsidRPr="002E7CA9" w:rsidRDefault="00EB673D" w:rsidP="00C62023">
      <w:pPr>
        <w:pStyle w:val="Footnote-Text"/>
        <w:rPr>
          <w:szCs w:val="18"/>
          <w:lang w:val="es-ES_tradnl"/>
        </w:rPr>
      </w:pPr>
      <w:r w:rsidRPr="00C62023">
        <w:rPr>
          <w:rStyle w:val="FootnoteReference"/>
          <w:sz w:val="18"/>
          <w:lang w:val="es-ES"/>
        </w:rPr>
        <w:footnoteRef/>
      </w:r>
      <w:r>
        <w:rPr>
          <w:lang w:val="es-ES"/>
        </w:rPr>
        <w:t xml:space="preserve"> </w:t>
      </w:r>
      <w:hyperlink r:id="rId3" w:history="1">
        <w:r w:rsidR="00A63289" w:rsidRPr="003668A7">
          <w:rPr>
            <w:rStyle w:val="Hyperlink"/>
            <w:lang w:val="es-ES"/>
          </w:rPr>
          <w:t>https://ozone.unep.org/meetings/informal-meeting-facilitating-implementation-montreal-protocol/presentations</w:t>
        </w:r>
      </w:hyperlink>
      <w:r>
        <w:rPr>
          <w:lang w:val="es-ES"/>
        </w:rPr>
        <w:t>.</w:t>
      </w:r>
      <w:hyperlink r:id="rId4" w:history="1"/>
    </w:p>
  </w:footnote>
  <w:footnote w:id="5">
    <w:p w14:paraId="2A731A1E" w14:textId="77777777" w:rsidR="003064EE" w:rsidRPr="002E7CA9" w:rsidRDefault="003064EE" w:rsidP="00C62023">
      <w:pPr>
        <w:pStyle w:val="Footnote-Text"/>
        <w:tabs>
          <w:tab w:val="clear" w:pos="1247"/>
          <w:tab w:val="clear" w:pos="1871"/>
          <w:tab w:val="clear" w:pos="2495"/>
          <w:tab w:val="clear" w:pos="3119"/>
          <w:tab w:val="clear" w:pos="3742"/>
          <w:tab w:val="clear" w:pos="4366"/>
        </w:tabs>
        <w:rPr>
          <w:szCs w:val="18"/>
          <w:lang w:val="es-ES_tradnl"/>
        </w:rPr>
      </w:pPr>
      <w:r>
        <w:rPr>
          <w:lang w:val="es-ES"/>
        </w:rPr>
        <w:t>* Los resúmenes se presentan tal como se recibieron sin que hayan sido objeto de revisión editorial oficial en inglés</w:t>
      </w:r>
    </w:p>
  </w:footnote>
  <w:footnote w:id="6">
    <w:p w14:paraId="10ABE7ED" w14:textId="77777777" w:rsidR="003064EE" w:rsidRPr="002E7CA9" w:rsidRDefault="003064EE" w:rsidP="00C62023">
      <w:pPr>
        <w:pStyle w:val="Footnote-Text"/>
        <w:tabs>
          <w:tab w:val="clear" w:pos="1247"/>
          <w:tab w:val="clear" w:pos="1871"/>
          <w:tab w:val="clear" w:pos="2495"/>
          <w:tab w:val="clear" w:pos="3119"/>
          <w:tab w:val="clear" w:pos="3742"/>
          <w:tab w:val="clear" w:pos="4366"/>
        </w:tabs>
        <w:rPr>
          <w:szCs w:val="18"/>
          <w:lang w:val="es-ES_tradnl"/>
        </w:rPr>
      </w:pPr>
      <w:r>
        <w:rPr>
          <w:lang w:val="es-ES"/>
        </w:rPr>
        <w:t>* La declaración se presenta tal como se recibió, sin que haya sido objeto de revisión editorial oficial en inglés.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DC9F" w14:textId="34650E7A" w:rsidR="007A36F8" w:rsidRPr="00C20895" w:rsidRDefault="00D95CFC" w:rsidP="00C20895">
    <w:pPr>
      <w:pStyle w:val="Header-pool"/>
    </w:pPr>
    <w:r>
      <w:rPr>
        <w:noProof/>
      </w:rPr>
      <w:t>UNEP/OzL.Pro.37/9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64E3" w14:textId="238C9F1D" w:rsidR="007A36F8" w:rsidRPr="00C20895" w:rsidRDefault="00D95CFC" w:rsidP="00C20895">
    <w:pPr>
      <w:pStyle w:val="Header-pool"/>
      <w:jc w:val="right"/>
    </w:pPr>
    <w:r>
      <w:rPr>
        <w:noProof/>
      </w:rPr>
      <w:t>UNEP/OzL.Pro.37/9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0455" w14:textId="3E2F68B6" w:rsidR="00020F25" w:rsidRDefault="00020F25" w:rsidP="00020F2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0E92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7AC0C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AE516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36ED1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6C74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C28A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84BC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2AE8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BC11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86EB0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48E6015"/>
    <w:multiLevelType w:val="hybridMultilevel"/>
    <w:tmpl w:val="42C8478E"/>
    <w:lvl w:ilvl="0" w:tplc="FFFFFFFF">
      <w:start w:val="1"/>
      <w:numFmt w:val="lowerLetter"/>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22D445E2"/>
    <w:multiLevelType w:val="hybridMultilevel"/>
    <w:tmpl w:val="7644A67C"/>
    <w:lvl w:ilvl="0" w:tplc="55620ADA">
      <w:start w:val="1"/>
      <w:numFmt w:val="decimal"/>
      <w:lvlText w:val="%1."/>
      <w:lvlJc w:val="left"/>
      <w:pPr>
        <w:ind w:left="1020" w:hanging="360"/>
      </w:pPr>
    </w:lvl>
    <w:lvl w:ilvl="1" w:tplc="D2605444">
      <w:start w:val="1"/>
      <w:numFmt w:val="decimal"/>
      <w:lvlText w:val="%2."/>
      <w:lvlJc w:val="left"/>
      <w:pPr>
        <w:ind w:left="1020" w:hanging="360"/>
      </w:pPr>
    </w:lvl>
    <w:lvl w:ilvl="2" w:tplc="1DCCA258">
      <w:start w:val="1"/>
      <w:numFmt w:val="decimal"/>
      <w:lvlText w:val="%3."/>
      <w:lvlJc w:val="left"/>
      <w:pPr>
        <w:ind w:left="1020" w:hanging="360"/>
      </w:pPr>
    </w:lvl>
    <w:lvl w:ilvl="3" w:tplc="93C8F70E">
      <w:start w:val="1"/>
      <w:numFmt w:val="decimal"/>
      <w:lvlText w:val="%4."/>
      <w:lvlJc w:val="left"/>
      <w:pPr>
        <w:ind w:left="1020" w:hanging="360"/>
      </w:pPr>
    </w:lvl>
    <w:lvl w:ilvl="4" w:tplc="579C8448">
      <w:start w:val="1"/>
      <w:numFmt w:val="decimal"/>
      <w:lvlText w:val="%5."/>
      <w:lvlJc w:val="left"/>
      <w:pPr>
        <w:ind w:left="1020" w:hanging="360"/>
      </w:pPr>
    </w:lvl>
    <w:lvl w:ilvl="5" w:tplc="1C02FA2A">
      <w:start w:val="1"/>
      <w:numFmt w:val="decimal"/>
      <w:lvlText w:val="%6."/>
      <w:lvlJc w:val="left"/>
      <w:pPr>
        <w:ind w:left="1020" w:hanging="360"/>
      </w:pPr>
    </w:lvl>
    <w:lvl w:ilvl="6" w:tplc="ADCCF22E">
      <w:start w:val="1"/>
      <w:numFmt w:val="decimal"/>
      <w:lvlText w:val="%7."/>
      <w:lvlJc w:val="left"/>
      <w:pPr>
        <w:ind w:left="1020" w:hanging="360"/>
      </w:pPr>
    </w:lvl>
    <w:lvl w:ilvl="7" w:tplc="7B4ECD94">
      <w:start w:val="1"/>
      <w:numFmt w:val="decimal"/>
      <w:lvlText w:val="%8."/>
      <w:lvlJc w:val="left"/>
      <w:pPr>
        <w:ind w:left="1020" w:hanging="360"/>
      </w:pPr>
    </w:lvl>
    <w:lvl w:ilvl="8" w:tplc="1A9659FC">
      <w:start w:val="1"/>
      <w:numFmt w:val="decimal"/>
      <w:lvlText w:val="%9."/>
      <w:lvlJc w:val="left"/>
      <w:pPr>
        <w:ind w:left="1020" w:hanging="360"/>
      </w:pPr>
    </w:lvl>
  </w:abstractNum>
  <w:abstractNum w:abstractNumId="14" w15:restartNumberingAfterBreak="0">
    <w:nsid w:val="2B4D743C"/>
    <w:multiLevelType w:val="hybridMultilevel"/>
    <w:tmpl w:val="3BBC2AD2"/>
    <w:lvl w:ilvl="0" w:tplc="FFFFFFFF">
      <w:start w:val="1"/>
      <w:numFmt w:val="decimal"/>
      <w:lvlText w:val="%1."/>
      <w:lvlJc w:val="left"/>
      <w:pPr>
        <w:ind w:left="1967" w:hanging="360"/>
      </w:p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B07CCA"/>
    <w:multiLevelType w:val="hybridMultilevel"/>
    <w:tmpl w:val="3BBC2AD2"/>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44C60FDC"/>
    <w:multiLevelType w:val="hybridMultilevel"/>
    <w:tmpl w:val="31CCD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04256"/>
    <w:multiLevelType w:val="hybridMultilevel"/>
    <w:tmpl w:val="CE80A664"/>
    <w:lvl w:ilvl="0" w:tplc="FFFFFFFF">
      <w:start w:val="1"/>
      <w:numFmt w:val="lowerLetter"/>
      <w:lvlText w:val="%1)"/>
      <w:lvlJc w:val="left"/>
      <w:pPr>
        <w:ind w:left="2591" w:hanging="360"/>
      </w:pPr>
      <w:rPr>
        <w:rFonts w:hint="default"/>
      </w:rPr>
    </w:lvl>
    <w:lvl w:ilvl="1" w:tplc="B95EBFE6">
      <w:start w:val="1"/>
      <w:numFmt w:val="lowerRoman"/>
      <w:lvlText w:val="%2)"/>
      <w:lvlJc w:val="left"/>
      <w:pPr>
        <w:ind w:left="3311"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 w15:restartNumberingAfterBreak="0">
    <w:nsid w:val="45FC1D4A"/>
    <w:multiLevelType w:val="hybridMultilevel"/>
    <w:tmpl w:val="C324D48C"/>
    <w:lvl w:ilvl="0" w:tplc="08090001">
      <w:start w:val="1"/>
      <w:numFmt w:val="bullet"/>
      <w:lvlText w:val=""/>
      <w:lvlJc w:val="left"/>
      <w:pPr>
        <w:ind w:left="1967" w:hanging="360"/>
      </w:pPr>
      <w:rPr>
        <w:rFonts w:ascii="Symbol" w:hAnsi="Symbol"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0"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1" w15:restartNumberingAfterBreak="0">
    <w:nsid w:val="5C142790"/>
    <w:multiLevelType w:val="hybridMultilevel"/>
    <w:tmpl w:val="42C8478E"/>
    <w:lvl w:ilvl="0" w:tplc="FFFFFFFF">
      <w:start w:val="1"/>
      <w:numFmt w:val="lowerLetter"/>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2" w15:restartNumberingAfterBreak="0">
    <w:nsid w:val="60D47054"/>
    <w:multiLevelType w:val="hybridMultilevel"/>
    <w:tmpl w:val="42C8478E"/>
    <w:lvl w:ilvl="0" w:tplc="FFFFFFFF">
      <w:start w:val="1"/>
      <w:numFmt w:val="lowerLetter"/>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3" w15:restartNumberingAfterBreak="0">
    <w:nsid w:val="62ED7916"/>
    <w:multiLevelType w:val="hybridMultilevel"/>
    <w:tmpl w:val="42C8478E"/>
    <w:lvl w:ilvl="0" w:tplc="BC602F18">
      <w:start w:val="1"/>
      <w:numFmt w:val="lowerLetter"/>
      <w:lvlText w:val="%1)"/>
      <w:lvlJc w:val="left"/>
      <w:pPr>
        <w:ind w:left="2591" w:hanging="360"/>
      </w:pPr>
      <w:rPr>
        <w:rFonts w:hint="default"/>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6E005415"/>
    <w:multiLevelType w:val="hybridMultilevel"/>
    <w:tmpl w:val="42C8478E"/>
    <w:lvl w:ilvl="0" w:tplc="FFFFFFFF">
      <w:start w:val="1"/>
      <w:numFmt w:val="lowerLetter"/>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251812623">
    <w:abstractNumId w:val="20"/>
  </w:num>
  <w:num w:numId="2" w16cid:durableId="332026855">
    <w:abstractNumId w:val="25"/>
  </w:num>
  <w:num w:numId="3" w16cid:durableId="210577300">
    <w:abstractNumId w:val="15"/>
  </w:num>
  <w:num w:numId="4" w16cid:durableId="296761976">
    <w:abstractNumId w:val="10"/>
  </w:num>
  <w:num w:numId="5" w16cid:durableId="925115287">
    <w:abstractNumId w:val="12"/>
  </w:num>
  <w:num w:numId="6" w16cid:durableId="484515317">
    <w:abstractNumId w:val="9"/>
  </w:num>
  <w:num w:numId="7" w16cid:durableId="1880627785">
    <w:abstractNumId w:val="7"/>
  </w:num>
  <w:num w:numId="8" w16cid:durableId="933050752">
    <w:abstractNumId w:val="6"/>
  </w:num>
  <w:num w:numId="9" w16cid:durableId="876115876">
    <w:abstractNumId w:val="5"/>
  </w:num>
  <w:num w:numId="10" w16cid:durableId="1025862339">
    <w:abstractNumId w:val="4"/>
  </w:num>
  <w:num w:numId="11" w16cid:durableId="1562979659">
    <w:abstractNumId w:val="8"/>
  </w:num>
  <w:num w:numId="12" w16cid:durableId="452134230">
    <w:abstractNumId w:val="3"/>
  </w:num>
  <w:num w:numId="13" w16cid:durableId="410199845">
    <w:abstractNumId w:val="2"/>
  </w:num>
  <w:num w:numId="14" w16cid:durableId="1134062944">
    <w:abstractNumId w:val="1"/>
  </w:num>
  <w:num w:numId="15" w16cid:durableId="179979565">
    <w:abstractNumId w:val="0"/>
  </w:num>
  <w:num w:numId="16" w16cid:durableId="1914269795">
    <w:abstractNumId w:val="16"/>
  </w:num>
  <w:num w:numId="17" w16cid:durableId="1405831599">
    <w:abstractNumId w:val="23"/>
  </w:num>
  <w:num w:numId="18" w16cid:durableId="1953436591">
    <w:abstractNumId w:val="22"/>
  </w:num>
  <w:num w:numId="19" w16cid:durableId="613243726">
    <w:abstractNumId w:val="18"/>
  </w:num>
  <w:num w:numId="20" w16cid:durableId="1779254975">
    <w:abstractNumId w:val="21"/>
  </w:num>
  <w:num w:numId="21" w16cid:durableId="955253574">
    <w:abstractNumId w:val="20"/>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2" w16cid:durableId="1909149255">
    <w:abstractNumId w:val="20"/>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3" w16cid:durableId="953174073">
    <w:abstractNumId w:val="20"/>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4" w16cid:durableId="1061371452">
    <w:abstractNumId w:val="20"/>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5" w16cid:durableId="305822540">
    <w:abstractNumId w:val="20"/>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6" w16cid:durableId="1498231186">
    <w:abstractNumId w:val="14"/>
  </w:num>
  <w:num w:numId="27" w16cid:durableId="420372417">
    <w:abstractNumId w:val="11"/>
  </w:num>
  <w:num w:numId="28" w16cid:durableId="710149900">
    <w:abstractNumId w:val="24"/>
  </w:num>
  <w:num w:numId="29" w16cid:durableId="133107403">
    <w:abstractNumId w:val="20"/>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30" w16cid:durableId="1926331393">
    <w:abstractNumId w:val="20"/>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31" w16cid:durableId="219481184">
    <w:abstractNumId w:val="20"/>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32" w16cid:durableId="20553486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8558295">
    <w:abstractNumId w:val="17"/>
  </w:num>
  <w:num w:numId="34" w16cid:durableId="713039712">
    <w:abstractNumId w:val="13"/>
  </w:num>
  <w:num w:numId="35" w16cid:durableId="1104378317">
    <w:abstractNumId w:val="19"/>
  </w:num>
  <w:num w:numId="36" w16cid:durableId="1658611553">
    <w:abstractNumId w:val="20"/>
  </w:num>
  <w:num w:numId="37" w16cid:durableId="857503118">
    <w:abstractNumId w:val="20"/>
  </w:num>
  <w:num w:numId="38" w16cid:durableId="821047233">
    <w:abstractNumId w:val="20"/>
  </w:num>
  <w:num w:numId="39" w16cid:durableId="82651392">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6" w:nlCheck="1" w:checkStyle="1"/>
  <w:activeWritingStyle w:appName="MSWord" w:lang="en-GB" w:vendorID="64" w:dllVersion="6"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9D"/>
    <w:rsid w:val="00000426"/>
    <w:rsid w:val="00000675"/>
    <w:rsid w:val="0000075D"/>
    <w:rsid w:val="00001256"/>
    <w:rsid w:val="00002747"/>
    <w:rsid w:val="00002D03"/>
    <w:rsid w:val="0000455B"/>
    <w:rsid w:val="00004873"/>
    <w:rsid w:val="00004B99"/>
    <w:rsid w:val="00004D31"/>
    <w:rsid w:val="00005977"/>
    <w:rsid w:val="00006B2E"/>
    <w:rsid w:val="00006F54"/>
    <w:rsid w:val="000108CF"/>
    <w:rsid w:val="00010C7A"/>
    <w:rsid w:val="00011382"/>
    <w:rsid w:val="00011DE3"/>
    <w:rsid w:val="00012501"/>
    <w:rsid w:val="000140DE"/>
    <w:rsid w:val="0001467D"/>
    <w:rsid w:val="000149E6"/>
    <w:rsid w:val="00015312"/>
    <w:rsid w:val="0001678B"/>
    <w:rsid w:val="00016AF3"/>
    <w:rsid w:val="00016FC4"/>
    <w:rsid w:val="000204F7"/>
    <w:rsid w:val="000208C8"/>
    <w:rsid w:val="00020F25"/>
    <w:rsid w:val="00022951"/>
    <w:rsid w:val="00023F2D"/>
    <w:rsid w:val="000241FA"/>
    <w:rsid w:val="000247B0"/>
    <w:rsid w:val="00026253"/>
    <w:rsid w:val="000262AE"/>
    <w:rsid w:val="0002679A"/>
    <w:rsid w:val="0002687E"/>
    <w:rsid w:val="00026997"/>
    <w:rsid w:val="00026A5B"/>
    <w:rsid w:val="00027929"/>
    <w:rsid w:val="00030C45"/>
    <w:rsid w:val="000312EE"/>
    <w:rsid w:val="00031558"/>
    <w:rsid w:val="000315D0"/>
    <w:rsid w:val="00031D30"/>
    <w:rsid w:val="000320A8"/>
    <w:rsid w:val="00032600"/>
    <w:rsid w:val="00032FC6"/>
    <w:rsid w:val="00033215"/>
    <w:rsid w:val="00033E0B"/>
    <w:rsid w:val="00033F21"/>
    <w:rsid w:val="00034C39"/>
    <w:rsid w:val="00035589"/>
    <w:rsid w:val="00035EDE"/>
    <w:rsid w:val="00037592"/>
    <w:rsid w:val="00037629"/>
    <w:rsid w:val="00037E48"/>
    <w:rsid w:val="00040419"/>
    <w:rsid w:val="000405E0"/>
    <w:rsid w:val="0004061D"/>
    <w:rsid w:val="00040CC1"/>
    <w:rsid w:val="00041550"/>
    <w:rsid w:val="000424D4"/>
    <w:rsid w:val="00042818"/>
    <w:rsid w:val="00043307"/>
    <w:rsid w:val="000444ED"/>
    <w:rsid w:val="0004455E"/>
    <w:rsid w:val="00044E86"/>
    <w:rsid w:val="00045709"/>
    <w:rsid w:val="00045F79"/>
    <w:rsid w:val="00046B91"/>
    <w:rsid w:val="00047F1C"/>
    <w:rsid w:val="000509B4"/>
    <w:rsid w:val="00052DB1"/>
    <w:rsid w:val="00052EA7"/>
    <w:rsid w:val="0005351A"/>
    <w:rsid w:val="000557CE"/>
    <w:rsid w:val="00055CAF"/>
    <w:rsid w:val="00055DD0"/>
    <w:rsid w:val="00055E7E"/>
    <w:rsid w:val="000568E2"/>
    <w:rsid w:val="00056B2C"/>
    <w:rsid w:val="0005729A"/>
    <w:rsid w:val="0006035B"/>
    <w:rsid w:val="00061419"/>
    <w:rsid w:val="0006195F"/>
    <w:rsid w:val="00061B7B"/>
    <w:rsid w:val="000628AE"/>
    <w:rsid w:val="0006362A"/>
    <w:rsid w:val="00063A52"/>
    <w:rsid w:val="000640C6"/>
    <w:rsid w:val="00064C78"/>
    <w:rsid w:val="0006512A"/>
    <w:rsid w:val="00065492"/>
    <w:rsid w:val="00065652"/>
    <w:rsid w:val="000660F2"/>
    <w:rsid w:val="000705B5"/>
    <w:rsid w:val="00070C6B"/>
    <w:rsid w:val="0007145A"/>
    <w:rsid w:val="0007166E"/>
    <w:rsid w:val="00071886"/>
    <w:rsid w:val="00071BDF"/>
    <w:rsid w:val="0007215B"/>
    <w:rsid w:val="000742BC"/>
    <w:rsid w:val="00075027"/>
    <w:rsid w:val="000763EA"/>
    <w:rsid w:val="00076FC1"/>
    <w:rsid w:val="000770D3"/>
    <w:rsid w:val="0007720E"/>
    <w:rsid w:val="00080351"/>
    <w:rsid w:val="0008041D"/>
    <w:rsid w:val="0008122B"/>
    <w:rsid w:val="000812A2"/>
    <w:rsid w:val="000815F4"/>
    <w:rsid w:val="00082A0C"/>
    <w:rsid w:val="00082DCD"/>
    <w:rsid w:val="00083504"/>
    <w:rsid w:val="00083CF5"/>
    <w:rsid w:val="00084E09"/>
    <w:rsid w:val="0008710B"/>
    <w:rsid w:val="00087A8F"/>
    <w:rsid w:val="000910EE"/>
    <w:rsid w:val="00091F48"/>
    <w:rsid w:val="000930E9"/>
    <w:rsid w:val="0009371E"/>
    <w:rsid w:val="00094156"/>
    <w:rsid w:val="00094E27"/>
    <w:rsid w:val="00094E8F"/>
    <w:rsid w:val="00095C4A"/>
    <w:rsid w:val="00095FAC"/>
    <w:rsid w:val="000961F4"/>
    <w:rsid w:val="00096293"/>
    <w:rsid w:val="0009640C"/>
    <w:rsid w:val="000967F1"/>
    <w:rsid w:val="000969B3"/>
    <w:rsid w:val="00097348"/>
    <w:rsid w:val="00097D40"/>
    <w:rsid w:val="000A02D7"/>
    <w:rsid w:val="000A193D"/>
    <w:rsid w:val="000A2295"/>
    <w:rsid w:val="000A2C2E"/>
    <w:rsid w:val="000A3C5F"/>
    <w:rsid w:val="000A5380"/>
    <w:rsid w:val="000A53EF"/>
    <w:rsid w:val="000A6699"/>
    <w:rsid w:val="000A69AA"/>
    <w:rsid w:val="000B21D5"/>
    <w:rsid w:val="000B22A2"/>
    <w:rsid w:val="000B2D48"/>
    <w:rsid w:val="000B312F"/>
    <w:rsid w:val="000B553E"/>
    <w:rsid w:val="000B5F7F"/>
    <w:rsid w:val="000B7CD1"/>
    <w:rsid w:val="000B7E58"/>
    <w:rsid w:val="000C0A21"/>
    <w:rsid w:val="000C0CBF"/>
    <w:rsid w:val="000C1C79"/>
    <w:rsid w:val="000C2A52"/>
    <w:rsid w:val="000C2A55"/>
    <w:rsid w:val="000C46A9"/>
    <w:rsid w:val="000C54EC"/>
    <w:rsid w:val="000C5EF1"/>
    <w:rsid w:val="000C6259"/>
    <w:rsid w:val="000C646B"/>
    <w:rsid w:val="000C6658"/>
    <w:rsid w:val="000C6E55"/>
    <w:rsid w:val="000D0070"/>
    <w:rsid w:val="000D1413"/>
    <w:rsid w:val="000D2194"/>
    <w:rsid w:val="000D2C61"/>
    <w:rsid w:val="000D3022"/>
    <w:rsid w:val="000D33C0"/>
    <w:rsid w:val="000D3521"/>
    <w:rsid w:val="000D4790"/>
    <w:rsid w:val="000D480A"/>
    <w:rsid w:val="000D5103"/>
    <w:rsid w:val="000D5816"/>
    <w:rsid w:val="000D5884"/>
    <w:rsid w:val="000D62C0"/>
    <w:rsid w:val="000D62EF"/>
    <w:rsid w:val="000D6941"/>
    <w:rsid w:val="000D6B8C"/>
    <w:rsid w:val="000D6CB9"/>
    <w:rsid w:val="000D71B6"/>
    <w:rsid w:val="000E0405"/>
    <w:rsid w:val="000E0501"/>
    <w:rsid w:val="000E0FE7"/>
    <w:rsid w:val="000E10EC"/>
    <w:rsid w:val="000E22AB"/>
    <w:rsid w:val="000E278E"/>
    <w:rsid w:val="000E2CA2"/>
    <w:rsid w:val="000E329D"/>
    <w:rsid w:val="000E35C2"/>
    <w:rsid w:val="000E38FF"/>
    <w:rsid w:val="000E3912"/>
    <w:rsid w:val="000E6418"/>
    <w:rsid w:val="000E669A"/>
    <w:rsid w:val="000E7F76"/>
    <w:rsid w:val="000F00B2"/>
    <w:rsid w:val="000F0227"/>
    <w:rsid w:val="000F105A"/>
    <w:rsid w:val="000F18F1"/>
    <w:rsid w:val="000F2CBE"/>
    <w:rsid w:val="000F3C89"/>
    <w:rsid w:val="000F6CFF"/>
    <w:rsid w:val="000F7865"/>
    <w:rsid w:val="000F7939"/>
    <w:rsid w:val="000F7F84"/>
    <w:rsid w:val="0010218D"/>
    <w:rsid w:val="001022EB"/>
    <w:rsid w:val="00102DE5"/>
    <w:rsid w:val="001031DA"/>
    <w:rsid w:val="00103E0F"/>
    <w:rsid w:val="0010479A"/>
    <w:rsid w:val="00106988"/>
    <w:rsid w:val="00110E17"/>
    <w:rsid w:val="00111C41"/>
    <w:rsid w:val="00113390"/>
    <w:rsid w:val="00114E5E"/>
    <w:rsid w:val="00114F7B"/>
    <w:rsid w:val="001151A6"/>
    <w:rsid w:val="00115F73"/>
    <w:rsid w:val="00116BB4"/>
    <w:rsid w:val="0011736B"/>
    <w:rsid w:val="001202E3"/>
    <w:rsid w:val="00120625"/>
    <w:rsid w:val="001225FC"/>
    <w:rsid w:val="001226EB"/>
    <w:rsid w:val="00123277"/>
    <w:rsid w:val="00123699"/>
    <w:rsid w:val="00124ACB"/>
    <w:rsid w:val="00124AF4"/>
    <w:rsid w:val="00124B1E"/>
    <w:rsid w:val="0012555D"/>
    <w:rsid w:val="00125D64"/>
    <w:rsid w:val="00125FFD"/>
    <w:rsid w:val="00126A70"/>
    <w:rsid w:val="00126E6A"/>
    <w:rsid w:val="00127A62"/>
    <w:rsid w:val="00127CAF"/>
    <w:rsid w:val="00127FE8"/>
    <w:rsid w:val="0013029D"/>
    <w:rsid w:val="0013059D"/>
    <w:rsid w:val="001311E8"/>
    <w:rsid w:val="00131B1F"/>
    <w:rsid w:val="00134781"/>
    <w:rsid w:val="00134B18"/>
    <w:rsid w:val="00134C0B"/>
    <w:rsid w:val="001356C0"/>
    <w:rsid w:val="001357A6"/>
    <w:rsid w:val="00137C67"/>
    <w:rsid w:val="0014083A"/>
    <w:rsid w:val="001410CF"/>
    <w:rsid w:val="00141A55"/>
    <w:rsid w:val="00141AD7"/>
    <w:rsid w:val="00141F2F"/>
    <w:rsid w:val="001446A3"/>
    <w:rsid w:val="00144766"/>
    <w:rsid w:val="0014569B"/>
    <w:rsid w:val="00145FCF"/>
    <w:rsid w:val="0014705B"/>
    <w:rsid w:val="00150826"/>
    <w:rsid w:val="00150AAF"/>
    <w:rsid w:val="00150E5C"/>
    <w:rsid w:val="00150E6B"/>
    <w:rsid w:val="001511DA"/>
    <w:rsid w:val="00152C8E"/>
    <w:rsid w:val="00152DBD"/>
    <w:rsid w:val="001530FE"/>
    <w:rsid w:val="001536FB"/>
    <w:rsid w:val="001537B0"/>
    <w:rsid w:val="00154149"/>
    <w:rsid w:val="00154394"/>
    <w:rsid w:val="00154BAB"/>
    <w:rsid w:val="00154E14"/>
    <w:rsid w:val="00154F42"/>
    <w:rsid w:val="00155395"/>
    <w:rsid w:val="00155AAB"/>
    <w:rsid w:val="0015660D"/>
    <w:rsid w:val="0015742B"/>
    <w:rsid w:val="001608E6"/>
    <w:rsid w:val="0016170C"/>
    <w:rsid w:val="0016254B"/>
    <w:rsid w:val="001629DB"/>
    <w:rsid w:val="0016437D"/>
    <w:rsid w:val="00171793"/>
    <w:rsid w:val="00172E6C"/>
    <w:rsid w:val="00172EAC"/>
    <w:rsid w:val="00173159"/>
    <w:rsid w:val="001738EB"/>
    <w:rsid w:val="00173D27"/>
    <w:rsid w:val="00174739"/>
    <w:rsid w:val="00175AEB"/>
    <w:rsid w:val="0017648E"/>
    <w:rsid w:val="00176593"/>
    <w:rsid w:val="00176DA3"/>
    <w:rsid w:val="00177F39"/>
    <w:rsid w:val="001810E8"/>
    <w:rsid w:val="0018127C"/>
    <w:rsid w:val="001813CF"/>
    <w:rsid w:val="0018143B"/>
    <w:rsid w:val="00181B76"/>
    <w:rsid w:val="00181EC8"/>
    <w:rsid w:val="00181FC0"/>
    <w:rsid w:val="00183A5C"/>
    <w:rsid w:val="0018423E"/>
    <w:rsid w:val="00184349"/>
    <w:rsid w:val="00184CF3"/>
    <w:rsid w:val="00185539"/>
    <w:rsid w:val="00187160"/>
    <w:rsid w:val="00187CEF"/>
    <w:rsid w:val="0019161E"/>
    <w:rsid w:val="00192536"/>
    <w:rsid w:val="00193334"/>
    <w:rsid w:val="001950A3"/>
    <w:rsid w:val="00195F33"/>
    <w:rsid w:val="001979D4"/>
    <w:rsid w:val="00197C63"/>
    <w:rsid w:val="001A2358"/>
    <w:rsid w:val="001A2AFE"/>
    <w:rsid w:val="001A2CA8"/>
    <w:rsid w:val="001A2F22"/>
    <w:rsid w:val="001A33A0"/>
    <w:rsid w:val="001A5508"/>
    <w:rsid w:val="001A5EE1"/>
    <w:rsid w:val="001A6661"/>
    <w:rsid w:val="001A6BC9"/>
    <w:rsid w:val="001A7891"/>
    <w:rsid w:val="001A7B83"/>
    <w:rsid w:val="001A7FF9"/>
    <w:rsid w:val="001B0C3D"/>
    <w:rsid w:val="001B1617"/>
    <w:rsid w:val="001B1F1C"/>
    <w:rsid w:val="001B504B"/>
    <w:rsid w:val="001B621B"/>
    <w:rsid w:val="001C0EFA"/>
    <w:rsid w:val="001C1951"/>
    <w:rsid w:val="001C2987"/>
    <w:rsid w:val="001C29FC"/>
    <w:rsid w:val="001C2CCB"/>
    <w:rsid w:val="001C406A"/>
    <w:rsid w:val="001C5CAD"/>
    <w:rsid w:val="001C629E"/>
    <w:rsid w:val="001C68CE"/>
    <w:rsid w:val="001C766B"/>
    <w:rsid w:val="001C7738"/>
    <w:rsid w:val="001C7776"/>
    <w:rsid w:val="001C799D"/>
    <w:rsid w:val="001D079B"/>
    <w:rsid w:val="001D23B7"/>
    <w:rsid w:val="001D3874"/>
    <w:rsid w:val="001D5344"/>
    <w:rsid w:val="001D731A"/>
    <w:rsid w:val="001D7E75"/>
    <w:rsid w:val="001E0C0C"/>
    <w:rsid w:val="001E22D1"/>
    <w:rsid w:val="001E2C9E"/>
    <w:rsid w:val="001E4104"/>
    <w:rsid w:val="001E49E4"/>
    <w:rsid w:val="001E56D2"/>
    <w:rsid w:val="001E7C02"/>
    <w:rsid w:val="001E7D56"/>
    <w:rsid w:val="001F061C"/>
    <w:rsid w:val="001F0B37"/>
    <w:rsid w:val="001F116F"/>
    <w:rsid w:val="001F1F29"/>
    <w:rsid w:val="001F2A97"/>
    <w:rsid w:val="001F4B6B"/>
    <w:rsid w:val="001F62BD"/>
    <w:rsid w:val="001F62EA"/>
    <w:rsid w:val="001F71CB"/>
    <w:rsid w:val="001F75DE"/>
    <w:rsid w:val="0020015B"/>
    <w:rsid w:val="0020059C"/>
    <w:rsid w:val="00200BCF"/>
    <w:rsid w:val="00200D58"/>
    <w:rsid w:val="002013BE"/>
    <w:rsid w:val="002045DC"/>
    <w:rsid w:val="002063A4"/>
    <w:rsid w:val="00206F97"/>
    <w:rsid w:val="00207026"/>
    <w:rsid w:val="00207D2F"/>
    <w:rsid w:val="00210AE1"/>
    <w:rsid w:val="00210E88"/>
    <w:rsid w:val="0021145B"/>
    <w:rsid w:val="00211D7F"/>
    <w:rsid w:val="00211EF4"/>
    <w:rsid w:val="00214277"/>
    <w:rsid w:val="00214D6A"/>
    <w:rsid w:val="002156C2"/>
    <w:rsid w:val="00215C4D"/>
    <w:rsid w:val="00215FE4"/>
    <w:rsid w:val="00216290"/>
    <w:rsid w:val="00216E21"/>
    <w:rsid w:val="00216F4F"/>
    <w:rsid w:val="0022137F"/>
    <w:rsid w:val="0022355B"/>
    <w:rsid w:val="00223642"/>
    <w:rsid w:val="0022387C"/>
    <w:rsid w:val="00225841"/>
    <w:rsid w:val="0022624D"/>
    <w:rsid w:val="00226756"/>
    <w:rsid w:val="0022730F"/>
    <w:rsid w:val="0022762D"/>
    <w:rsid w:val="00227AAC"/>
    <w:rsid w:val="00232303"/>
    <w:rsid w:val="00232E05"/>
    <w:rsid w:val="00234806"/>
    <w:rsid w:val="00235115"/>
    <w:rsid w:val="00235439"/>
    <w:rsid w:val="00235BBE"/>
    <w:rsid w:val="00235EF2"/>
    <w:rsid w:val="00236BDC"/>
    <w:rsid w:val="00237893"/>
    <w:rsid w:val="002378D6"/>
    <w:rsid w:val="00240251"/>
    <w:rsid w:val="002408C6"/>
    <w:rsid w:val="00240DA4"/>
    <w:rsid w:val="00242835"/>
    <w:rsid w:val="00242C80"/>
    <w:rsid w:val="00242D2C"/>
    <w:rsid w:val="00243D36"/>
    <w:rsid w:val="002444B8"/>
    <w:rsid w:val="00247113"/>
    <w:rsid w:val="00247707"/>
    <w:rsid w:val="0025192A"/>
    <w:rsid w:val="00251E6A"/>
    <w:rsid w:val="002527F0"/>
    <w:rsid w:val="00252EA8"/>
    <w:rsid w:val="00252F5F"/>
    <w:rsid w:val="00253CAB"/>
    <w:rsid w:val="00253F22"/>
    <w:rsid w:val="002550C8"/>
    <w:rsid w:val="00255155"/>
    <w:rsid w:val="00260ADA"/>
    <w:rsid w:val="00260EE3"/>
    <w:rsid w:val="00261D36"/>
    <w:rsid w:val="0026298F"/>
    <w:rsid w:val="00263171"/>
    <w:rsid w:val="00263BA5"/>
    <w:rsid w:val="0026456C"/>
    <w:rsid w:val="0026698F"/>
    <w:rsid w:val="002669A7"/>
    <w:rsid w:val="0026739B"/>
    <w:rsid w:val="002679FE"/>
    <w:rsid w:val="00267CA6"/>
    <w:rsid w:val="00270640"/>
    <w:rsid w:val="002715DD"/>
    <w:rsid w:val="00271E10"/>
    <w:rsid w:val="00272951"/>
    <w:rsid w:val="00272BA1"/>
    <w:rsid w:val="00274FF3"/>
    <w:rsid w:val="00275E78"/>
    <w:rsid w:val="0027661F"/>
    <w:rsid w:val="00277919"/>
    <w:rsid w:val="002819DF"/>
    <w:rsid w:val="00281D47"/>
    <w:rsid w:val="0028205F"/>
    <w:rsid w:val="002834D2"/>
    <w:rsid w:val="002838B5"/>
    <w:rsid w:val="00283B3F"/>
    <w:rsid w:val="00286740"/>
    <w:rsid w:val="00286DB2"/>
    <w:rsid w:val="00287B42"/>
    <w:rsid w:val="0029031B"/>
    <w:rsid w:val="002906AB"/>
    <w:rsid w:val="00291582"/>
    <w:rsid w:val="00291B1D"/>
    <w:rsid w:val="0029230D"/>
    <w:rsid w:val="00292932"/>
    <w:rsid w:val="002929D8"/>
    <w:rsid w:val="002935C2"/>
    <w:rsid w:val="00294CF1"/>
    <w:rsid w:val="002952C2"/>
    <w:rsid w:val="00295392"/>
    <w:rsid w:val="0029558C"/>
    <w:rsid w:val="00295C0D"/>
    <w:rsid w:val="002978F0"/>
    <w:rsid w:val="002A0020"/>
    <w:rsid w:val="002A02A3"/>
    <w:rsid w:val="002A034E"/>
    <w:rsid w:val="002A0B98"/>
    <w:rsid w:val="002A178D"/>
    <w:rsid w:val="002A1CC2"/>
    <w:rsid w:val="002A237D"/>
    <w:rsid w:val="002A23EA"/>
    <w:rsid w:val="002A2818"/>
    <w:rsid w:val="002A2F76"/>
    <w:rsid w:val="002A369A"/>
    <w:rsid w:val="002A3B41"/>
    <w:rsid w:val="002A49C8"/>
    <w:rsid w:val="002A4C53"/>
    <w:rsid w:val="002A537B"/>
    <w:rsid w:val="002A5E6B"/>
    <w:rsid w:val="002A6663"/>
    <w:rsid w:val="002A68F2"/>
    <w:rsid w:val="002A6EA8"/>
    <w:rsid w:val="002A777B"/>
    <w:rsid w:val="002B001C"/>
    <w:rsid w:val="002B0672"/>
    <w:rsid w:val="002B1B4C"/>
    <w:rsid w:val="002B247F"/>
    <w:rsid w:val="002B3701"/>
    <w:rsid w:val="002B3784"/>
    <w:rsid w:val="002B5E10"/>
    <w:rsid w:val="002B71DF"/>
    <w:rsid w:val="002B7B37"/>
    <w:rsid w:val="002B7E53"/>
    <w:rsid w:val="002C0125"/>
    <w:rsid w:val="002C0C38"/>
    <w:rsid w:val="002C145D"/>
    <w:rsid w:val="002C1DAB"/>
    <w:rsid w:val="002C271B"/>
    <w:rsid w:val="002C291D"/>
    <w:rsid w:val="002C2C3E"/>
    <w:rsid w:val="002C30D7"/>
    <w:rsid w:val="002C3F8A"/>
    <w:rsid w:val="002C4986"/>
    <w:rsid w:val="002C4D3B"/>
    <w:rsid w:val="002C533E"/>
    <w:rsid w:val="002C5525"/>
    <w:rsid w:val="002C6F5E"/>
    <w:rsid w:val="002D0218"/>
    <w:rsid w:val="002D027F"/>
    <w:rsid w:val="002D28E0"/>
    <w:rsid w:val="002D5348"/>
    <w:rsid w:val="002D6585"/>
    <w:rsid w:val="002D701F"/>
    <w:rsid w:val="002D76B9"/>
    <w:rsid w:val="002D7A85"/>
    <w:rsid w:val="002D7B60"/>
    <w:rsid w:val="002E04C6"/>
    <w:rsid w:val="002E19D4"/>
    <w:rsid w:val="002E236D"/>
    <w:rsid w:val="002E245D"/>
    <w:rsid w:val="002E26D4"/>
    <w:rsid w:val="002E3C11"/>
    <w:rsid w:val="002E6014"/>
    <w:rsid w:val="002E6D3D"/>
    <w:rsid w:val="002E7CA9"/>
    <w:rsid w:val="002E7EC9"/>
    <w:rsid w:val="002F0293"/>
    <w:rsid w:val="002F0362"/>
    <w:rsid w:val="002F0D13"/>
    <w:rsid w:val="002F2290"/>
    <w:rsid w:val="002F394B"/>
    <w:rsid w:val="002F3BBF"/>
    <w:rsid w:val="002F4761"/>
    <w:rsid w:val="002F476F"/>
    <w:rsid w:val="002F53AD"/>
    <w:rsid w:val="002F5477"/>
    <w:rsid w:val="002F56C8"/>
    <w:rsid w:val="002F5C79"/>
    <w:rsid w:val="002F6213"/>
    <w:rsid w:val="002F6903"/>
    <w:rsid w:val="002F74B6"/>
    <w:rsid w:val="002F75FF"/>
    <w:rsid w:val="003005B4"/>
    <w:rsid w:val="003019E2"/>
    <w:rsid w:val="0030262B"/>
    <w:rsid w:val="00302D3E"/>
    <w:rsid w:val="00302DD0"/>
    <w:rsid w:val="003032A0"/>
    <w:rsid w:val="003037B5"/>
    <w:rsid w:val="00303AC3"/>
    <w:rsid w:val="003041A7"/>
    <w:rsid w:val="003056CD"/>
    <w:rsid w:val="003064EE"/>
    <w:rsid w:val="00306EB3"/>
    <w:rsid w:val="00310B00"/>
    <w:rsid w:val="00312C6E"/>
    <w:rsid w:val="00313969"/>
    <w:rsid w:val="0031413F"/>
    <w:rsid w:val="003148BB"/>
    <w:rsid w:val="00314D83"/>
    <w:rsid w:val="003158E1"/>
    <w:rsid w:val="00316016"/>
    <w:rsid w:val="00316255"/>
    <w:rsid w:val="003163A8"/>
    <w:rsid w:val="003174E3"/>
    <w:rsid w:val="0031773F"/>
    <w:rsid w:val="00317976"/>
    <w:rsid w:val="00317E16"/>
    <w:rsid w:val="003208C2"/>
    <w:rsid w:val="00321B81"/>
    <w:rsid w:val="00323583"/>
    <w:rsid w:val="00323885"/>
    <w:rsid w:val="00324F00"/>
    <w:rsid w:val="00324FCF"/>
    <w:rsid w:val="00325234"/>
    <w:rsid w:val="00325B91"/>
    <w:rsid w:val="00326E39"/>
    <w:rsid w:val="00327165"/>
    <w:rsid w:val="003271CC"/>
    <w:rsid w:val="003275B8"/>
    <w:rsid w:val="0032775A"/>
    <w:rsid w:val="00327AB2"/>
    <w:rsid w:val="00327B92"/>
    <w:rsid w:val="00331475"/>
    <w:rsid w:val="003326CD"/>
    <w:rsid w:val="003326F9"/>
    <w:rsid w:val="00332A19"/>
    <w:rsid w:val="00332B53"/>
    <w:rsid w:val="00333442"/>
    <w:rsid w:val="00333EDA"/>
    <w:rsid w:val="00334097"/>
    <w:rsid w:val="0033468C"/>
    <w:rsid w:val="0033474B"/>
    <w:rsid w:val="0033520B"/>
    <w:rsid w:val="00335B6E"/>
    <w:rsid w:val="00335C9A"/>
    <w:rsid w:val="00337D0C"/>
    <w:rsid w:val="00340091"/>
    <w:rsid w:val="00340453"/>
    <w:rsid w:val="00340764"/>
    <w:rsid w:val="00341634"/>
    <w:rsid w:val="00341E1D"/>
    <w:rsid w:val="00343222"/>
    <w:rsid w:val="0034417E"/>
    <w:rsid w:val="0034461C"/>
    <w:rsid w:val="00345378"/>
    <w:rsid w:val="00346E13"/>
    <w:rsid w:val="00347520"/>
    <w:rsid w:val="00347B1D"/>
    <w:rsid w:val="00350149"/>
    <w:rsid w:val="00350A71"/>
    <w:rsid w:val="0035127B"/>
    <w:rsid w:val="00351922"/>
    <w:rsid w:val="00351A93"/>
    <w:rsid w:val="00352205"/>
    <w:rsid w:val="00353F6D"/>
    <w:rsid w:val="0035435A"/>
    <w:rsid w:val="00355EA9"/>
    <w:rsid w:val="00356255"/>
    <w:rsid w:val="00357200"/>
    <w:rsid w:val="003578DE"/>
    <w:rsid w:val="00357BCE"/>
    <w:rsid w:val="00360A18"/>
    <w:rsid w:val="00360AFB"/>
    <w:rsid w:val="00360C66"/>
    <w:rsid w:val="00360FED"/>
    <w:rsid w:val="00362B7B"/>
    <w:rsid w:val="00362DAC"/>
    <w:rsid w:val="00363042"/>
    <w:rsid w:val="00365066"/>
    <w:rsid w:val="00365509"/>
    <w:rsid w:val="00365882"/>
    <w:rsid w:val="00365CA7"/>
    <w:rsid w:val="00365CF3"/>
    <w:rsid w:val="00365F6B"/>
    <w:rsid w:val="00366DD4"/>
    <w:rsid w:val="00367E43"/>
    <w:rsid w:val="0037054A"/>
    <w:rsid w:val="00370BF9"/>
    <w:rsid w:val="0037117C"/>
    <w:rsid w:val="003711A7"/>
    <w:rsid w:val="00371217"/>
    <w:rsid w:val="00371340"/>
    <w:rsid w:val="0037368A"/>
    <w:rsid w:val="00374808"/>
    <w:rsid w:val="003759E2"/>
    <w:rsid w:val="00375AA9"/>
    <w:rsid w:val="00377C6C"/>
    <w:rsid w:val="003804A0"/>
    <w:rsid w:val="00381196"/>
    <w:rsid w:val="00382586"/>
    <w:rsid w:val="00382E70"/>
    <w:rsid w:val="003834E0"/>
    <w:rsid w:val="0038407A"/>
    <w:rsid w:val="00384BDD"/>
    <w:rsid w:val="00385445"/>
    <w:rsid w:val="0038588D"/>
    <w:rsid w:val="00386348"/>
    <w:rsid w:val="003863CC"/>
    <w:rsid w:val="00386999"/>
    <w:rsid w:val="00387517"/>
    <w:rsid w:val="00387D7E"/>
    <w:rsid w:val="00390145"/>
    <w:rsid w:val="003902F9"/>
    <w:rsid w:val="0039152B"/>
    <w:rsid w:val="00392D2D"/>
    <w:rsid w:val="0039357D"/>
    <w:rsid w:val="00394379"/>
    <w:rsid w:val="00395665"/>
    <w:rsid w:val="00395CD8"/>
    <w:rsid w:val="00396257"/>
    <w:rsid w:val="00396603"/>
    <w:rsid w:val="00396D69"/>
    <w:rsid w:val="00397A98"/>
    <w:rsid w:val="00397EB8"/>
    <w:rsid w:val="003A07AB"/>
    <w:rsid w:val="003A086E"/>
    <w:rsid w:val="003A0D6F"/>
    <w:rsid w:val="003A261D"/>
    <w:rsid w:val="003A2EAB"/>
    <w:rsid w:val="003A37B8"/>
    <w:rsid w:val="003A4FD0"/>
    <w:rsid w:val="003A5022"/>
    <w:rsid w:val="003A5858"/>
    <w:rsid w:val="003A592F"/>
    <w:rsid w:val="003A644A"/>
    <w:rsid w:val="003A69D1"/>
    <w:rsid w:val="003A6A7E"/>
    <w:rsid w:val="003A755C"/>
    <w:rsid w:val="003A7705"/>
    <w:rsid w:val="003B03CF"/>
    <w:rsid w:val="003B048F"/>
    <w:rsid w:val="003B0589"/>
    <w:rsid w:val="003B0F8D"/>
    <w:rsid w:val="003B1545"/>
    <w:rsid w:val="003B229D"/>
    <w:rsid w:val="003B33BD"/>
    <w:rsid w:val="003B3C92"/>
    <w:rsid w:val="003B4461"/>
    <w:rsid w:val="003B46D9"/>
    <w:rsid w:val="003B4E9C"/>
    <w:rsid w:val="003B529D"/>
    <w:rsid w:val="003B5519"/>
    <w:rsid w:val="003B5545"/>
    <w:rsid w:val="003B661C"/>
    <w:rsid w:val="003C0335"/>
    <w:rsid w:val="003C035E"/>
    <w:rsid w:val="003C07A5"/>
    <w:rsid w:val="003C0DF8"/>
    <w:rsid w:val="003C1BA9"/>
    <w:rsid w:val="003C29D4"/>
    <w:rsid w:val="003C3267"/>
    <w:rsid w:val="003C3423"/>
    <w:rsid w:val="003C409D"/>
    <w:rsid w:val="003C463B"/>
    <w:rsid w:val="003C5529"/>
    <w:rsid w:val="003C5BA6"/>
    <w:rsid w:val="003C65C2"/>
    <w:rsid w:val="003C7008"/>
    <w:rsid w:val="003C7132"/>
    <w:rsid w:val="003D0399"/>
    <w:rsid w:val="003D0D75"/>
    <w:rsid w:val="003D14F9"/>
    <w:rsid w:val="003D223B"/>
    <w:rsid w:val="003D406A"/>
    <w:rsid w:val="003D7A8E"/>
    <w:rsid w:val="003D7C1C"/>
    <w:rsid w:val="003E0CE3"/>
    <w:rsid w:val="003E14E8"/>
    <w:rsid w:val="003E1EF2"/>
    <w:rsid w:val="003E304A"/>
    <w:rsid w:val="003E35E7"/>
    <w:rsid w:val="003E361D"/>
    <w:rsid w:val="003E4C3C"/>
    <w:rsid w:val="003E51CE"/>
    <w:rsid w:val="003E545F"/>
    <w:rsid w:val="003E76B5"/>
    <w:rsid w:val="003F00B1"/>
    <w:rsid w:val="003F0E85"/>
    <w:rsid w:val="003F1E46"/>
    <w:rsid w:val="003F2530"/>
    <w:rsid w:val="003F2837"/>
    <w:rsid w:val="003F3D6A"/>
    <w:rsid w:val="003F54D9"/>
    <w:rsid w:val="003F58E3"/>
    <w:rsid w:val="003F5D3A"/>
    <w:rsid w:val="003F6DB6"/>
    <w:rsid w:val="003F752B"/>
    <w:rsid w:val="00401C72"/>
    <w:rsid w:val="00401E9D"/>
    <w:rsid w:val="004022D7"/>
    <w:rsid w:val="004027C4"/>
    <w:rsid w:val="00402B47"/>
    <w:rsid w:val="0040457E"/>
    <w:rsid w:val="00404CB5"/>
    <w:rsid w:val="00405251"/>
    <w:rsid w:val="00405E52"/>
    <w:rsid w:val="004067A7"/>
    <w:rsid w:val="004069FD"/>
    <w:rsid w:val="00410C55"/>
    <w:rsid w:val="00410E10"/>
    <w:rsid w:val="00411A15"/>
    <w:rsid w:val="0041254A"/>
    <w:rsid w:val="00412971"/>
    <w:rsid w:val="00412F89"/>
    <w:rsid w:val="00413492"/>
    <w:rsid w:val="00415FBB"/>
    <w:rsid w:val="0041604D"/>
    <w:rsid w:val="0041621B"/>
    <w:rsid w:val="00416834"/>
    <w:rsid w:val="00416854"/>
    <w:rsid w:val="00416B29"/>
    <w:rsid w:val="00417121"/>
    <w:rsid w:val="00417175"/>
    <w:rsid w:val="00417579"/>
    <w:rsid w:val="00417725"/>
    <w:rsid w:val="0041779A"/>
    <w:rsid w:val="00417B99"/>
    <w:rsid w:val="004201B2"/>
    <w:rsid w:val="004201DC"/>
    <w:rsid w:val="00421CC4"/>
    <w:rsid w:val="00421CDA"/>
    <w:rsid w:val="00422249"/>
    <w:rsid w:val="00423934"/>
    <w:rsid w:val="004243EA"/>
    <w:rsid w:val="004265E1"/>
    <w:rsid w:val="00426A80"/>
    <w:rsid w:val="0042704F"/>
    <w:rsid w:val="0042739E"/>
    <w:rsid w:val="004302EE"/>
    <w:rsid w:val="0043257C"/>
    <w:rsid w:val="00433EE2"/>
    <w:rsid w:val="0043413F"/>
    <w:rsid w:val="00434D06"/>
    <w:rsid w:val="00434D70"/>
    <w:rsid w:val="00435BDA"/>
    <w:rsid w:val="00437386"/>
    <w:rsid w:val="004373A3"/>
    <w:rsid w:val="004379B3"/>
    <w:rsid w:val="00437F26"/>
    <w:rsid w:val="00441A74"/>
    <w:rsid w:val="00442D83"/>
    <w:rsid w:val="00443875"/>
    <w:rsid w:val="0044405F"/>
    <w:rsid w:val="00444097"/>
    <w:rsid w:val="004445DA"/>
    <w:rsid w:val="00445487"/>
    <w:rsid w:val="00446EA8"/>
    <w:rsid w:val="00447089"/>
    <w:rsid w:val="00447689"/>
    <w:rsid w:val="004476DF"/>
    <w:rsid w:val="00451078"/>
    <w:rsid w:val="0045123C"/>
    <w:rsid w:val="00454016"/>
    <w:rsid w:val="00454769"/>
    <w:rsid w:val="00454932"/>
    <w:rsid w:val="00454E6B"/>
    <w:rsid w:val="004550FA"/>
    <w:rsid w:val="004560D2"/>
    <w:rsid w:val="00456D58"/>
    <w:rsid w:val="004572F2"/>
    <w:rsid w:val="004578CC"/>
    <w:rsid w:val="00457AD4"/>
    <w:rsid w:val="00460FB0"/>
    <w:rsid w:val="00461F3F"/>
    <w:rsid w:val="004635F1"/>
    <w:rsid w:val="00463D73"/>
    <w:rsid w:val="004659FA"/>
    <w:rsid w:val="004660EF"/>
    <w:rsid w:val="0046640F"/>
    <w:rsid w:val="00466991"/>
    <w:rsid w:val="00466D6D"/>
    <w:rsid w:val="0047064C"/>
    <w:rsid w:val="00471E0C"/>
    <w:rsid w:val="00471F94"/>
    <w:rsid w:val="00472274"/>
    <w:rsid w:val="004722A9"/>
    <w:rsid w:val="00472F6B"/>
    <w:rsid w:val="004739F1"/>
    <w:rsid w:val="00473E24"/>
    <w:rsid w:val="00473FC7"/>
    <w:rsid w:val="00474B15"/>
    <w:rsid w:val="00474D90"/>
    <w:rsid w:val="004754AA"/>
    <w:rsid w:val="00477AFF"/>
    <w:rsid w:val="0048036C"/>
    <w:rsid w:val="00480A9E"/>
    <w:rsid w:val="00480D2A"/>
    <w:rsid w:val="00480E7D"/>
    <w:rsid w:val="00481823"/>
    <w:rsid w:val="00481F0B"/>
    <w:rsid w:val="00482A96"/>
    <w:rsid w:val="004851DF"/>
    <w:rsid w:val="00485959"/>
    <w:rsid w:val="00485FA4"/>
    <w:rsid w:val="004866C9"/>
    <w:rsid w:val="0048690E"/>
    <w:rsid w:val="00486FAE"/>
    <w:rsid w:val="00486FDB"/>
    <w:rsid w:val="00490EA9"/>
    <w:rsid w:val="004911CC"/>
    <w:rsid w:val="00491C1C"/>
    <w:rsid w:val="0049454F"/>
    <w:rsid w:val="00494B37"/>
    <w:rsid w:val="00494DA5"/>
    <w:rsid w:val="00494F62"/>
    <w:rsid w:val="004952BC"/>
    <w:rsid w:val="00495BFE"/>
    <w:rsid w:val="00497B5F"/>
    <w:rsid w:val="00497E1D"/>
    <w:rsid w:val="004A0657"/>
    <w:rsid w:val="004A10FE"/>
    <w:rsid w:val="004A1426"/>
    <w:rsid w:val="004A195F"/>
    <w:rsid w:val="004A1C5F"/>
    <w:rsid w:val="004A3DC5"/>
    <w:rsid w:val="004A42E1"/>
    <w:rsid w:val="004A443C"/>
    <w:rsid w:val="004A574A"/>
    <w:rsid w:val="004A5B52"/>
    <w:rsid w:val="004A5DC4"/>
    <w:rsid w:val="004A6355"/>
    <w:rsid w:val="004A7360"/>
    <w:rsid w:val="004B0A49"/>
    <w:rsid w:val="004B162C"/>
    <w:rsid w:val="004B1CBB"/>
    <w:rsid w:val="004B2386"/>
    <w:rsid w:val="004B2CA5"/>
    <w:rsid w:val="004B37BD"/>
    <w:rsid w:val="004B4407"/>
    <w:rsid w:val="004B5013"/>
    <w:rsid w:val="004B54D9"/>
    <w:rsid w:val="004B5675"/>
    <w:rsid w:val="004B571D"/>
    <w:rsid w:val="004B5DB2"/>
    <w:rsid w:val="004B6C39"/>
    <w:rsid w:val="004B72C8"/>
    <w:rsid w:val="004C0C83"/>
    <w:rsid w:val="004C106D"/>
    <w:rsid w:val="004C2484"/>
    <w:rsid w:val="004C2691"/>
    <w:rsid w:val="004C3BBE"/>
    <w:rsid w:val="004C3DBE"/>
    <w:rsid w:val="004C4FCD"/>
    <w:rsid w:val="004C5C96"/>
    <w:rsid w:val="004C63BE"/>
    <w:rsid w:val="004C70C5"/>
    <w:rsid w:val="004D06A4"/>
    <w:rsid w:val="004D16A9"/>
    <w:rsid w:val="004D1C33"/>
    <w:rsid w:val="004D2888"/>
    <w:rsid w:val="004D2D16"/>
    <w:rsid w:val="004D60EA"/>
    <w:rsid w:val="004D670C"/>
    <w:rsid w:val="004E05A1"/>
    <w:rsid w:val="004E170C"/>
    <w:rsid w:val="004E1A70"/>
    <w:rsid w:val="004E1D30"/>
    <w:rsid w:val="004E22D1"/>
    <w:rsid w:val="004E59D4"/>
    <w:rsid w:val="004E5AE5"/>
    <w:rsid w:val="004E71B4"/>
    <w:rsid w:val="004E79AC"/>
    <w:rsid w:val="004F020B"/>
    <w:rsid w:val="004F0A90"/>
    <w:rsid w:val="004F0B36"/>
    <w:rsid w:val="004F1A81"/>
    <w:rsid w:val="004F2107"/>
    <w:rsid w:val="004F2AD4"/>
    <w:rsid w:val="004F3763"/>
    <w:rsid w:val="004F44D2"/>
    <w:rsid w:val="004F7B45"/>
    <w:rsid w:val="0050072A"/>
    <w:rsid w:val="00501BFC"/>
    <w:rsid w:val="00503E6F"/>
    <w:rsid w:val="00504020"/>
    <w:rsid w:val="005040B8"/>
    <w:rsid w:val="005051B7"/>
    <w:rsid w:val="00505929"/>
    <w:rsid w:val="00506AE1"/>
    <w:rsid w:val="00506BBB"/>
    <w:rsid w:val="00507F29"/>
    <w:rsid w:val="0051046E"/>
    <w:rsid w:val="005104C9"/>
    <w:rsid w:val="005104E0"/>
    <w:rsid w:val="005109FC"/>
    <w:rsid w:val="0051174A"/>
    <w:rsid w:val="00511F0E"/>
    <w:rsid w:val="00511F62"/>
    <w:rsid w:val="0051228C"/>
    <w:rsid w:val="00512E36"/>
    <w:rsid w:val="0051369B"/>
    <w:rsid w:val="00513DBF"/>
    <w:rsid w:val="005149DF"/>
    <w:rsid w:val="00514B5E"/>
    <w:rsid w:val="00514F9F"/>
    <w:rsid w:val="005151AE"/>
    <w:rsid w:val="005165F6"/>
    <w:rsid w:val="00517A89"/>
    <w:rsid w:val="00517D50"/>
    <w:rsid w:val="00517D5A"/>
    <w:rsid w:val="00517D63"/>
    <w:rsid w:val="00517DDC"/>
    <w:rsid w:val="005202BD"/>
    <w:rsid w:val="005218D9"/>
    <w:rsid w:val="00522CBF"/>
    <w:rsid w:val="005230F8"/>
    <w:rsid w:val="0052386E"/>
    <w:rsid w:val="00523B45"/>
    <w:rsid w:val="00523C4A"/>
    <w:rsid w:val="00524F3E"/>
    <w:rsid w:val="00525DB1"/>
    <w:rsid w:val="005265BE"/>
    <w:rsid w:val="005305FD"/>
    <w:rsid w:val="005317EC"/>
    <w:rsid w:val="00531A0F"/>
    <w:rsid w:val="0053202A"/>
    <w:rsid w:val="00532E47"/>
    <w:rsid w:val="00533220"/>
    <w:rsid w:val="005353C9"/>
    <w:rsid w:val="0053584B"/>
    <w:rsid w:val="00536186"/>
    <w:rsid w:val="00536826"/>
    <w:rsid w:val="00536AED"/>
    <w:rsid w:val="00540A48"/>
    <w:rsid w:val="005431CD"/>
    <w:rsid w:val="0054343A"/>
    <w:rsid w:val="00544990"/>
    <w:rsid w:val="00544CBB"/>
    <w:rsid w:val="0054592A"/>
    <w:rsid w:val="00545D0C"/>
    <w:rsid w:val="00546DF1"/>
    <w:rsid w:val="00546E07"/>
    <w:rsid w:val="0054707D"/>
    <w:rsid w:val="00550295"/>
    <w:rsid w:val="00550518"/>
    <w:rsid w:val="0055097B"/>
    <w:rsid w:val="00551555"/>
    <w:rsid w:val="00551931"/>
    <w:rsid w:val="00551BF2"/>
    <w:rsid w:val="00551DB8"/>
    <w:rsid w:val="00552CD6"/>
    <w:rsid w:val="00553523"/>
    <w:rsid w:val="005537E7"/>
    <w:rsid w:val="00553853"/>
    <w:rsid w:val="00553CB8"/>
    <w:rsid w:val="00556A87"/>
    <w:rsid w:val="00556B73"/>
    <w:rsid w:val="00557C07"/>
    <w:rsid w:val="00557F74"/>
    <w:rsid w:val="005615AF"/>
    <w:rsid w:val="00561CCB"/>
    <w:rsid w:val="00561FD1"/>
    <w:rsid w:val="0056229F"/>
    <w:rsid w:val="005630D6"/>
    <w:rsid w:val="005635CB"/>
    <w:rsid w:val="00563DC9"/>
    <w:rsid w:val="00564D05"/>
    <w:rsid w:val="00566DA9"/>
    <w:rsid w:val="0057205D"/>
    <w:rsid w:val="0057315F"/>
    <w:rsid w:val="00573983"/>
    <w:rsid w:val="00573AA7"/>
    <w:rsid w:val="00573FF2"/>
    <w:rsid w:val="00574159"/>
    <w:rsid w:val="005747EB"/>
    <w:rsid w:val="00574C92"/>
    <w:rsid w:val="00575DF1"/>
    <w:rsid w:val="00576104"/>
    <w:rsid w:val="00576BB3"/>
    <w:rsid w:val="00580B89"/>
    <w:rsid w:val="00580CB5"/>
    <w:rsid w:val="005834E8"/>
    <w:rsid w:val="0058371F"/>
    <w:rsid w:val="0058635D"/>
    <w:rsid w:val="00586B2E"/>
    <w:rsid w:val="005900C7"/>
    <w:rsid w:val="00590B52"/>
    <w:rsid w:val="00592557"/>
    <w:rsid w:val="005927F6"/>
    <w:rsid w:val="0059305F"/>
    <w:rsid w:val="005934C1"/>
    <w:rsid w:val="005940BC"/>
    <w:rsid w:val="00594BA0"/>
    <w:rsid w:val="005963F4"/>
    <w:rsid w:val="00596864"/>
    <w:rsid w:val="005972B3"/>
    <w:rsid w:val="005A1552"/>
    <w:rsid w:val="005A19F4"/>
    <w:rsid w:val="005A2575"/>
    <w:rsid w:val="005A3D8B"/>
    <w:rsid w:val="005A46E4"/>
    <w:rsid w:val="005A4718"/>
    <w:rsid w:val="005A4F3D"/>
    <w:rsid w:val="005A50E0"/>
    <w:rsid w:val="005A5A2D"/>
    <w:rsid w:val="005A7ADE"/>
    <w:rsid w:val="005A7BFC"/>
    <w:rsid w:val="005B178E"/>
    <w:rsid w:val="005B3625"/>
    <w:rsid w:val="005B4237"/>
    <w:rsid w:val="005B6A1F"/>
    <w:rsid w:val="005B7686"/>
    <w:rsid w:val="005B7881"/>
    <w:rsid w:val="005C2BAD"/>
    <w:rsid w:val="005C3CC3"/>
    <w:rsid w:val="005C44E9"/>
    <w:rsid w:val="005C4B17"/>
    <w:rsid w:val="005C4C50"/>
    <w:rsid w:val="005C66C2"/>
    <w:rsid w:val="005C67C8"/>
    <w:rsid w:val="005C7A77"/>
    <w:rsid w:val="005C7E4E"/>
    <w:rsid w:val="005D0193"/>
    <w:rsid w:val="005D0249"/>
    <w:rsid w:val="005D10B8"/>
    <w:rsid w:val="005D1D89"/>
    <w:rsid w:val="005D2535"/>
    <w:rsid w:val="005D30C7"/>
    <w:rsid w:val="005D317B"/>
    <w:rsid w:val="005D331B"/>
    <w:rsid w:val="005D423B"/>
    <w:rsid w:val="005D5072"/>
    <w:rsid w:val="005D6E8C"/>
    <w:rsid w:val="005E1F46"/>
    <w:rsid w:val="005E44C0"/>
    <w:rsid w:val="005E467C"/>
    <w:rsid w:val="005E4899"/>
    <w:rsid w:val="005E5123"/>
    <w:rsid w:val="005E5190"/>
    <w:rsid w:val="005E5373"/>
    <w:rsid w:val="005E5EBB"/>
    <w:rsid w:val="005E7BF1"/>
    <w:rsid w:val="005E7D67"/>
    <w:rsid w:val="005F100C"/>
    <w:rsid w:val="005F1428"/>
    <w:rsid w:val="005F1D4E"/>
    <w:rsid w:val="005F231A"/>
    <w:rsid w:val="005F2969"/>
    <w:rsid w:val="005F336F"/>
    <w:rsid w:val="005F40FC"/>
    <w:rsid w:val="005F5140"/>
    <w:rsid w:val="005F5A2E"/>
    <w:rsid w:val="005F65F8"/>
    <w:rsid w:val="005F68DA"/>
    <w:rsid w:val="005F70C9"/>
    <w:rsid w:val="005F7368"/>
    <w:rsid w:val="005F75E6"/>
    <w:rsid w:val="005F7F15"/>
    <w:rsid w:val="006014DD"/>
    <w:rsid w:val="00602EC8"/>
    <w:rsid w:val="006035EA"/>
    <w:rsid w:val="0060398D"/>
    <w:rsid w:val="00603EF9"/>
    <w:rsid w:val="0060503A"/>
    <w:rsid w:val="0060503C"/>
    <w:rsid w:val="00606053"/>
    <w:rsid w:val="0060728B"/>
    <w:rsid w:val="006075E0"/>
    <w:rsid w:val="0060773B"/>
    <w:rsid w:val="00607D94"/>
    <w:rsid w:val="00610B0B"/>
    <w:rsid w:val="00610B87"/>
    <w:rsid w:val="0061109B"/>
    <w:rsid w:val="00611695"/>
    <w:rsid w:val="00611E24"/>
    <w:rsid w:val="00612977"/>
    <w:rsid w:val="006137C0"/>
    <w:rsid w:val="0061474D"/>
    <w:rsid w:val="006157B5"/>
    <w:rsid w:val="00616AA6"/>
    <w:rsid w:val="006215C9"/>
    <w:rsid w:val="00621887"/>
    <w:rsid w:val="00621C87"/>
    <w:rsid w:val="00622DAA"/>
    <w:rsid w:val="006233EA"/>
    <w:rsid w:val="00623A21"/>
    <w:rsid w:val="00623F52"/>
    <w:rsid w:val="00624549"/>
    <w:rsid w:val="00625409"/>
    <w:rsid w:val="0062596B"/>
    <w:rsid w:val="00625F87"/>
    <w:rsid w:val="0062674C"/>
    <w:rsid w:val="00626FC6"/>
    <w:rsid w:val="00627D12"/>
    <w:rsid w:val="00627EDC"/>
    <w:rsid w:val="006303B4"/>
    <w:rsid w:val="0063131B"/>
    <w:rsid w:val="006313E8"/>
    <w:rsid w:val="00633CEB"/>
    <w:rsid w:val="00633D3D"/>
    <w:rsid w:val="00633F3A"/>
    <w:rsid w:val="00634D14"/>
    <w:rsid w:val="00634E39"/>
    <w:rsid w:val="00635C72"/>
    <w:rsid w:val="00635D5E"/>
    <w:rsid w:val="006362C2"/>
    <w:rsid w:val="00636F3C"/>
    <w:rsid w:val="006376AC"/>
    <w:rsid w:val="00637C40"/>
    <w:rsid w:val="00640306"/>
    <w:rsid w:val="0064062B"/>
    <w:rsid w:val="00641703"/>
    <w:rsid w:val="00641A53"/>
    <w:rsid w:val="00642719"/>
    <w:rsid w:val="006431A6"/>
    <w:rsid w:val="006447E0"/>
    <w:rsid w:val="00644924"/>
    <w:rsid w:val="006459F6"/>
    <w:rsid w:val="006476D4"/>
    <w:rsid w:val="00647AB8"/>
    <w:rsid w:val="006501AD"/>
    <w:rsid w:val="00650279"/>
    <w:rsid w:val="006507FD"/>
    <w:rsid w:val="00651BFA"/>
    <w:rsid w:val="00652A73"/>
    <w:rsid w:val="006533B3"/>
    <w:rsid w:val="00654FE2"/>
    <w:rsid w:val="00655C6C"/>
    <w:rsid w:val="00656068"/>
    <w:rsid w:val="0065688A"/>
    <w:rsid w:val="00656A88"/>
    <w:rsid w:val="006578CE"/>
    <w:rsid w:val="0066150C"/>
    <w:rsid w:val="006616E7"/>
    <w:rsid w:val="0066183C"/>
    <w:rsid w:val="00662973"/>
    <w:rsid w:val="006637DE"/>
    <w:rsid w:val="0066389D"/>
    <w:rsid w:val="00663A80"/>
    <w:rsid w:val="00665A4B"/>
    <w:rsid w:val="00666421"/>
    <w:rsid w:val="00666A65"/>
    <w:rsid w:val="00670683"/>
    <w:rsid w:val="0067071F"/>
    <w:rsid w:val="00670DDA"/>
    <w:rsid w:val="006720A1"/>
    <w:rsid w:val="0067211A"/>
    <w:rsid w:val="006731FE"/>
    <w:rsid w:val="0067337D"/>
    <w:rsid w:val="006740E8"/>
    <w:rsid w:val="00674E9E"/>
    <w:rsid w:val="00675861"/>
    <w:rsid w:val="00676092"/>
    <w:rsid w:val="00676C51"/>
    <w:rsid w:val="00677B4E"/>
    <w:rsid w:val="00680806"/>
    <w:rsid w:val="00681B75"/>
    <w:rsid w:val="006826C5"/>
    <w:rsid w:val="0068273D"/>
    <w:rsid w:val="00682A7C"/>
    <w:rsid w:val="00683837"/>
    <w:rsid w:val="00686432"/>
    <w:rsid w:val="00687603"/>
    <w:rsid w:val="0069296A"/>
    <w:rsid w:val="00692E2A"/>
    <w:rsid w:val="00692E39"/>
    <w:rsid w:val="0069340F"/>
    <w:rsid w:val="006937A3"/>
    <w:rsid w:val="00694DFC"/>
    <w:rsid w:val="0069541F"/>
    <w:rsid w:val="00696087"/>
    <w:rsid w:val="006971E5"/>
    <w:rsid w:val="006A0D5E"/>
    <w:rsid w:val="006A1201"/>
    <w:rsid w:val="006A14ED"/>
    <w:rsid w:val="006A1F86"/>
    <w:rsid w:val="006A2D2E"/>
    <w:rsid w:val="006A2F1B"/>
    <w:rsid w:val="006A3860"/>
    <w:rsid w:val="006A38FC"/>
    <w:rsid w:val="006A445A"/>
    <w:rsid w:val="006A477B"/>
    <w:rsid w:val="006A48FE"/>
    <w:rsid w:val="006A57B8"/>
    <w:rsid w:val="006A6798"/>
    <w:rsid w:val="006A76F2"/>
    <w:rsid w:val="006B03E7"/>
    <w:rsid w:val="006B128A"/>
    <w:rsid w:val="006B2001"/>
    <w:rsid w:val="006B27E3"/>
    <w:rsid w:val="006B2DDD"/>
    <w:rsid w:val="006B35E1"/>
    <w:rsid w:val="006B6C54"/>
    <w:rsid w:val="006B75D5"/>
    <w:rsid w:val="006B75FB"/>
    <w:rsid w:val="006C2948"/>
    <w:rsid w:val="006C2A92"/>
    <w:rsid w:val="006C3DDA"/>
    <w:rsid w:val="006C44E3"/>
    <w:rsid w:val="006C5764"/>
    <w:rsid w:val="006C5EE2"/>
    <w:rsid w:val="006C60D9"/>
    <w:rsid w:val="006C706B"/>
    <w:rsid w:val="006C7521"/>
    <w:rsid w:val="006C76E2"/>
    <w:rsid w:val="006D0465"/>
    <w:rsid w:val="006D0BAE"/>
    <w:rsid w:val="006D16FF"/>
    <w:rsid w:val="006D1C31"/>
    <w:rsid w:val="006D3277"/>
    <w:rsid w:val="006D4CA0"/>
    <w:rsid w:val="006D5F44"/>
    <w:rsid w:val="006D68C5"/>
    <w:rsid w:val="006D6B04"/>
    <w:rsid w:val="006D6F6B"/>
    <w:rsid w:val="006D7EFB"/>
    <w:rsid w:val="006E0E17"/>
    <w:rsid w:val="006E1109"/>
    <w:rsid w:val="006E180C"/>
    <w:rsid w:val="006E21F0"/>
    <w:rsid w:val="006E3142"/>
    <w:rsid w:val="006E3B6E"/>
    <w:rsid w:val="006E47B3"/>
    <w:rsid w:val="006E62E4"/>
    <w:rsid w:val="006E6672"/>
    <w:rsid w:val="006E6722"/>
    <w:rsid w:val="006F0F2A"/>
    <w:rsid w:val="006F10F1"/>
    <w:rsid w:val="006F29CA"/>
    <w:rsid w:val="006F2BB9"/>
    <w:rsid w:val="006F37A9"/>
    <w:rsid w:val="006F37AA"/>
    <w:rsid w:val="006F4787"/>
    <w:rsid w:val="006F501F"/>
    <w:rsid w:val="006F5580"/>
    <w:rsid w:val="006F574D"/>
    <w:rsid w:val="00701075"/>
    <w:rsid w:val="0070123A"/>
    <w:rsid w:val="00701970"/>
    <w:rsid w:val="00702515"/>
    <w:rsid w:val="007027B9"/>
    <w:rsid w:val="007029F6"/>
    <w:rsid w:val="00702F24"/>
    <w:rsid w:val="00703005"/>
    <w:rsid w:val="007068BC"/>
    <w:rsid w:val="00706937"/>
    <w:rsid w:val="007078C4"/>
    <w:rsid w:val="00707FAB"/>
    <w:rsid w:val="00710ADE"/>
    <w:rsid w:val="00711223"/>
    <w:rsid w:val="007117E9"/>
    <w:rsid w:val="007118DF"/>
    <w:rsid w:val="007129A9"/>
    <w:rsid w:val="00713A77"/>
    <w:rsid w:val="00713D8F"/>
    <w:rsid w:val="0071485F"/>
    <w:rsid w:val="0071516E"/>
    <w:rsid w:val="0071530D"/>
    <w:rsid w:val="00715E88"/>
    <w:rsid w:val="00715F5D"/>
    <w:rsid w:val="00716B27"/>
    <w:rsid w:val="00717E48"/>
    <w:rsid w:val="00717F73"/>
    <w:rsid w:val="00720E48"/>
    <w:rsid w:val="00721BD6"/>
    <w:rsid w:val="007226CE"/>
    <w:rsid w:val="00722D76"/>
    <w:rsid w:val="0072508B"/>
    <w:rsid w:val="0072523F"/>
    <w:rsid w:val="007261A6"/>
    <w:rsid w:val="00727193"/>
    <w:rsid w:val="007271E3"/>
    <w:rsid w:val="00727888"/>
    <w:rsid w:val="00727D76"/>
    <w:rsid w:val="0073003E"/>
    <w:rsid w:val="007306FD"/>
    <w:rsid w:val="00730B6F"/>
    <w:rsid w:val="007310CB"/>
    <w:rsid w:val="0073220D"/>
    <w:rsid w:val="00732257"/>
    <w:rsid w:val="0073255E"/>
    <w:rsid w:val="007332B1"/>
    <w:rsid w:val="0073437A"/>
    <w:rsid w:val="00734837"/>
    <w:rsid w:val="007349D4"/>
    <w:rsid w:val="00734CAA"/>
    <w:rsid w:val="00736583"/>
    <w:rsid w:val="00736671"/>
    <w:rsid w:val="00736E0F"/>
    <w:rsid w:val="00737D29"/>
    <w:rsid w:val="00737E73"/>
    <w:rsid w:val="007416DA"/>
    <w:rsid w:val="00741964"/>
    <w:rsid w:val="0074204E"/>
    <w:rsid w:val="00742207"/>
    <w:rsid w:val="00742F74"/>
    <w:rsid w:val="00743593"/>
    <w:rsid w:val="00743820"/>
    <w:rsid w:val="00743E63"/>
    <w:rsid w:val="007450CE"/>
    <w:rsid w:val="007455DB"/>
    <w:rsid w:val="007457BE"/>
    <w:rsid w:val="00745BEB"/>
    <w:rsid w:val="00745C59"/>
    <w:rsid w:val="00746D09"/>
    <w:rsid w:val="0074782E"/>
    <w:rsid w:val="00751215"/>
    <w:rsid w:val="00752956"/>
    <w:rsid w:val="0075473A"/>
    <w:rsid w:val="0075489D"/>
    <w:rsid w:val="00755106"/>
    <w:rsid w:val="007552EF"/>
    <w:rsid w:val="0075533C"/>
    <w:rsid w:val="00757581"/>
    <w:rsid w:val="00757BF0"/>
    <w:rsid w:val="00760C64"/>
    <w:rsid w:val="00760C78"/>
    <w:rsid w:val="00760D98"/>
    <w:rsid w:val="0076114F"/>
    <w:rsid w:val="007611A0"/>
    <w:rsid w:val="007640EA"/>
    <w:rsid w:val="007647A9"/>
    <w:rsid w:val="007651DB"/>
    <w:rsid w:val="00765569"/>
    <w:rsid w:val="007658A0"/>
    <w:rsid w:val="00765EEF"/>
    <w:rsid w:val="007666AD"/>
    <w:rsid w:val="007666C4"/>
    <w:rsid w:val="00767330"/>
    <w:rsid w:val="00767447"/>
    <w:rsid w:val="00767C6B"/>
    <w:rsid w:val="0077027F"/>
    <w:rsid w:val="00770772"/>
    <w:rsid w:val="00771290"/>
    <w:rsid w:val="00771992"/>
    <w:rsid w:val="00772146"/>
    <w:rsid w:val="00772E3A"/>
    <w:rsid w:val="00774564"/>
    <w:rsid w:val="00775983"/>
    <w:rsid w:val="00775DAE"/>
    <w:rsid w:val="007771CA"/>
    <w:rsid w:val="00780993"/>
    <w:rsid w:val="00780A6B"/>
    <w:rsid w:val="007834D7"/>
    <w:rsid w:val="00783907"/>
    <w:rsid w:val="007839E2"/>
    <w:rsid w:val="007848CC"/>
    <w:rsid w:val="00784A52"/>
    <w:rsid w:val="00785278"/>
    <w:rsid w:val="00785AEB"/>
    <w:rsid w:val="00786208"/>
    <w:rsid w:val="00786306"/>
    <w:rsid w:val="0078670F"/>
    <w:rsid w:val="007904A5"/>
    <w:rsid w:val="00790B43"/>
    <w:rsid w:val="00790B93"/>
    <w:rsid w:val="007913D3"/>
    <w:rsid w:val="0079255E"/>
    <w:rsid w:val="00792F59"/>
    <w:rsid w:val="007954CA"/>
    <w:rsid w:val="00796D3F"/>
    <w:rsid w:val="007A00D2"/>
    <w:rsid w:val="007A12C7"/>
    <w:rsid w:val="007A1683"/>
    <w:rsid w:val="007A19C8"/>
    <w:rsid w:val="007A1A63"/>
    <w:rsid w:val="007A3276"/>
    <w:rsid w:val="007A36F8"/>
    <w:rsid w:val="007A3F71"/>
    <w:rsid w:val="007A43C9"/>
    <w:rsid w:val="007A4534"/>
    <w:rsid w:val="007A5C12"/>
    <w:rsid w:val="007A6AFA"/>
    <w:rsid w:val="007A7CB0"/>
    <w:rsid w:val="007B059E"/>
    <w:rsid w:val="007B16C7"/>
    <w:rsid w:val="007B5217"/>
    <w:rsid w:val="007B5AA7"/>
    <w:rsid w:val="007B5CCB"/>
    <w:rsid w:val="007B5F1D"/>
    <w:rsid w:val="007B60BD"/>
    <w:rsid w:val="007B68A3"/>
    <w:rsid w:val="007C0309"/>
    <w:rsid w:val="007C2541"/>
    <w:rsid w:val="007C2FF9"/>
    <w:rsid w:val="007C389C"/>
    <w:rsid w:val="007C4343"/>
    <w:rsid w:val="007C4676"/>
    <w:rsid w:val="007C5B45"/>
    <w:rsid w:val="007C6450"/>
    <w:rsid w:val="007C6637"/>
    <w:rsid w:val="007C747D"/>
    <w:rsid w:val="007C7CD3"/>
    <w:rsid w:val="007D00EC"/>
    <w:rsid w:val="007D03E4"/>
    <w:rsid w:val="007D2F71"/>
    <w:rsid w:val="007D4DC7"/>
    <w:rsid w:val="007D4F7B"/>
    <w:rsid w:val="007D66A8"/>
    <w:rsid w:val="007D68E7"/>
    <w:rsid w:val="007D74DC"/>
    <w:rsid w:val="007D773D"/>
    <w:rsid w:val="007E003F"/>
    <w:rsid w:val="007E069F"/>
    <w:rsid w:val="007E0ED0"/>
    <w:rsid w:val="007E2419"/>
    <w:rsid w:val="007E2863"/>
    <w:rsid w:val="007E2F5A"/>
    <w:rsid w:val="007E420D"/>
    <w:rsid w:val="007E4C29"/>
    <w:rsid w:val="007E4E42"/>
    <w:rsid w:val="007E50D5"/>
    <w:rsid w:val="007E5425"/>
    <w:rsid w:val="007E561B"/>
    <w:rsid w:val="007E700A"/>
    <w:rsid w:val="007E70E8"/>
    <w:rsid w:val="007E751D"/>
    <w:rsid w:val="007F0607"/>
    <w:rsid w:val="007F0725"/>
    <w:rsid w:val="007F131B"/>
    <w:rsid w:val="007F1488"/>
    <w:rsid w:val="007F1BA6"/>
    <w:rsid w:val="007F1F94"/>
    <w:rsid w:val="007F259C"/>
    <w:rsid w:val="007F2859"/>
    <w:rsid w:val="007F37C7"/>
    <w:rsid w:val="007F3DED"/>
    <w:rsid w:val="007F6E99"/>
    <w:rsid w:val="007F7A41"/>
    <w:rsid w:val="0080061B"/>
    <w:rsid w:val="00802E72"/>
    <w:rsid w:val="00804FB6"/>
    <w:rsid w:val="00805310"/>
    <w:rsid w:val="00805DB2"/>
    <w:rsid w:val="00805F1D"/>
    <w:rsid w:val="00806D53"/>
    <w:rsid w:val="00807F89"/>
    <w:rsid w:val="008102FE"/>
    <w:rsid w:val="00810B76"/>
    <w:rsid w:val="0081283D"/>
    <w:rsid w:val="00813148"/>
    <w:rsid w:val="00813ECD"/>
    <w:rsid w:val="00814A90"/>
    <w:rsid w:val="00815136"/>
    <w:rsid w:val="00815E6C"/>
    <w:rsid w:val="008164F2"/>
    <w:rsid w:val="008168B1"/>
    <w:rsid w:val="00816AD4"/>
    <w:rsid w:val="00816C61"/>
    <w:rsid w:val="008173D8"/>
    <w:rsid w:val="00821395"/>
    <w:rsid w:val="00821853"/>
    <w:rsid w:val="00821E77"/>
    <w:rsid w:val="00822B70"/>
    <w:rsid w:val="00822FED"/>
    <w:rsid w:val="0082313F"/>
    <w:rsid w:val="008237DF"/>
    <w:rsid w:val="00825D7E"/>
    <w:rsid w:val="0082650C"/>
    <w:rsid w:val="008265E7"/>
    <w:rsid w:val="00826EDE"/>
    <w:rsid w:val="00827046"/>
    <w:rsid w:val="00827214"/>
    <w:rsid w:val="00827B19"/>
    <w:rsid w:val="00827FFD"/>
    <w:rsid w:val="0083093B"/>
    <w:rsid w:val="008309A2"/>
    <w:rsid w:val="00830E26"/>
    <w:rsid w:val="00831AED"/>
    <w:rsid w:val="00832459"/>
    <w:rsid w:val="00835A5F"/>
    <w:rsid w:val="00836B2E"/>
    <w:rsid w:val="00836D75"/>
    <w:rsid w:val="00837269"/>
    <w:rsid w:val="00837774"/>
    <w:rsid w:val="008422F8"/>
    <w:rsid w:val="00843576"/>
    <w:rsid w:val="00843B64"/>
    <w:rsid w:val="00844475"/>
    <w:rsid w:val="008444AC"/>
    <w:rsid w:val="00846CC7"/>
    <w:rsid w:val="008470BD"/>
    <w:rsid w:val="008478FC"/>
    <w:rsid w:val="00847AF4"/>
    <w:rsid w:val="00847FEA"/>
    <w:rsid w:val="00850655"/>
    <w:rsid w:val="00851177"/>
    <w:rsid w:val="00851952"/>
    <w:rsid w:val="00852F1A"/>
    <w:rsid w:val="00852F21"/>
    <w:rsid w:val="008559F6"/>
    <w:rsid w:val="00855AD3"/>
    <w:rsid w:val="00856CDF"/>
    <w:rsid w:val="008572F8"/>
    <w:rsid w:val="0086020D"/>
    <w:rsid w:val="008609BC"/>
    <w:rsid w:val="00862D13"/>
    <w:rsid w:val="008638F8"/>
    <w:rsid w:val="0086395A"/>
    <w:rsid w:val="00864384"/>
    <w:rsid w:val="00866761"/>
    <w:rsid w:val="00867BFF"/>
    <w:rsid w:val="00870906"/>
    <w:rsid w:val="00870B0D"/>
    <w:rsid w:val="008718D3"/>
    <w:rsid w:val="00872254"/>
    <w:rsid w:val="00873C20"/>
    <w:rsid w:val="008741F3"/>
    <w:rsid w:val="0087537B"/>
    <w:rsid w:val="00875A6A"/>
    <w:rsid w:val="00877A0F"/>
    <w:rsid w:val="00877E3E"/>
    <w:rsid w:val="00880958"/>
    <w:rsid w:val="00882A34"/>
    <w:rsid w:val="00882B75"/>
    <w:rsid w:val="0088340B"/>
    <w:rsid w:val="00884351"/>
    <w:rsid w:val="0088480A"/>
    <w:rsid w:val="00885FB5"/>
    <w:rsid w:val="00886E25"/>
    <w:rsid w:val="0088757A"/>
    <w:rsid w:val="0089009C"/>
    <w:rsid w:val="00890259"/>
    <w:rsid w:val="00892332"/>
    <w:rsid w:val="008931A8"/>
    <w:rsid w:val="00893E4F"/>
    <w:rsid w:val="008943BB"/>
    <w:rsid w:val="0089483E"/>
    <w:rsid w:val="008957DD"/>
    <w:rsid w:val="00896DFE"/>
    <w:rsid w:val="00896F54"/>
    <w:rsid w:val="0089755F"/>
    <w:rsid w:val="00897D98"/>
    <w:rsid w:val="008A10C2"/>
    <w:rsid w:val="008A2149"/>
    <w:rsid w:val="008A26B4"/>
    <w:rsid w:val="008A5C09"/>
    <w:rsid w:val="008A6894"/>
    <w:rsid w:val="008A6DF2"/>
    <w:rsid w:val="008A7493"/>
    <w:rsid w:val="008A7807"/>
    <w:rsid w:val="008B0D6B"/>
    <w:rsid w:val="008B2205"/>
    <w:rsid w:val="008B236B"/>
    <w:rsid w:val="008B25FD"/>
    <w:rsid w:val="008B272C"/>
    <w:rsid w:val="008B2B8C"/>
    <w:rsid w:val="008B3832"/>
    <w:rsid w:val="008B396B"/>
    <w:rsid w:val="008B3D51"/>
    <w:rsid w:val="008B4CC9"/>
    <w:rsid w:val="008B54DF"/>
    <w:rsid w:val="008B5B07"/>
    <w:rsid w:val="008B6E7A"/>
    <w:rsid w:val="008C04F2"/>
    <w:rsid w:val="008C09DE"/>
    <w:rsid w:val="008C0B48"/>
    <w:rsid w:val="008C13F0"/>
    <w:rsid w:val="008C1B8B"/>
    <w:rsid w:val="008C1FDD"/>
    <w:rsid w:val="008C24C2"/>
    <w:rsid w:val="008C2CA0"/>
    <w:rsid w:val="008C4E9B"/>
    <w:rsid w:val="008C6D8B"/>
    <w:rsid w:val="008C7B71"/>
    <w:rsid w:val="008D0B5F"/>
    <w:rsid w:val="008D2159"/>
    <w:rsid w:val="008D24A7"/>
    <w:rsid w:val="008D2908"/>
    <w:rsid w:val="008D2C2F"/>
    <w:rsid w:val="008D2F5B"/>
    <w:rsid w:val="008D3700"/>
    <w:rsid w:val="008D3AE0"/>
    <w:rsid w:val="008D5D76"/>
    <w:rsid w:val="008D609F"/>
    <w:rsid w:val="008D6153"/>
    <w:rsid w:val="008D7548"/>
    <w:rsid w:val="008D7C99"/>
    <w:rsid w:val="008D7DA3"/>
    <w:rsid w:val="008E0AC8"/>
    <w:rsid w:val="008E0F93"/>
    <w:rsid w:val="008E0FCB"/>
    <w:rsid w:val="008E2675"/>
    <w:rsid w:val="008E368A"/>
    <w:rsid w:val="008E3F60"/>
    <w:rsid w:val="008E58BC"/>
    <w:rsid w:val="008E5C93"/>
    <w:rsid w:val="008E625D"/>
    <w:rsid w:val="008E674F"/>
    <w:rsid w:val="008E6FF4"/>
    <w:rsid w:val="008E78C2"/>
    <w:rsid w:val="008E7955"/>
    <w:rsid w:val="008F0B02"/>
    <w:rsid w:val="008F3A26"/>
    <w:rsid w:val="008F5013"/>
    <w:rsid w:val="008F665B"/>
    <w:rsid w:val="008F68AA"/>
    <w:rsid w:val="00900250"/>
    <w:rsid w:val="00901E4F"/>
    <w:rsid w:val="009034E2"/>
    <w:rsid w:val="00903F0E"/>
    <w:rsid w:val="00907107"/>
    <w:rsid w:val="0090765B"/>
    <w:rsid w:val="00907D78"/>
    <w:rsid w:val="00911285"/>
    <w:rsid w:val="009124BF"/>
    <w:rsid w:val="00912622"/>
    <w:rsid w:val="00916DCE"/>
    <w:rsid w:val="00916FA7"/>
    <w:rsid w:val="00917B1B"/>
    <w:rsid w:val="009200CE"/>
    <w:rsid w:val="00920B76"/>
    <w:rsid w:val="00920BB9"/>
    <w:rsid w:val="0092178C"/>
    <w:rsid w:val="009221AB"/>
    <w:rsid w:val="009226BF"/>
    <w:rsid w:val="00922AD4"/>
    <w:rsid w:val="0092422F"/>
    <w:rsid w:val="0092493F"/>
    <w:rsid w:val="00924EE9"/>
    <w:rsid w:val="00925858"/>
    <w:rsid w:val="0092723B"/>
    <w:rsid w:val="009300C9"/>
    <w:rsid w:val="009305DF"/>
    <w:rsid w:val="00930B03"/>
    <w:rsid w:val="00930B88"/>
    <w:rsid w:val="0093155C"/>
    <w:rsid w:val="00931B24"/>
    <w:rsid w:val="0093213B"/>
    <w:rsid w:val="0093299A"/>
    <w:rsid w:val="00932E16"/>
    <w:rsid w:val="00933FE3"/>
    <w:rsid w:val="00934AA7"/>
    <w:rsid w:val="00934CF0"/>
    <w:rsid w:val="00934DD1"/>
    <w:rsid w:val="009354F7"/>
    <w:rsid w:val="00936250"/>
    <w:rsid w:val="00936570"/>
    <w:rsid w:val="00936E95"/>
    <w:rsid w:val="009378DC"/>
    <w:rsid w:val="00940DCC"/>
    <w:rsid w:val="0094115A"/>
    <w:rsid w:val="009412BB"/>
    <w:rsid w:val="009415D8"/>
    <w:rsid w:val="0094179A"/>
    <w:rsid w:val="00942D67"/>
    <w:rsid w:val="00943322"/>
    <w:rsid w:val="00943F13"/>
    <w:rsid w:val="00943FFD"/>
    <w:rsid w:val="00944109"/>
    <w:rsid w:val="0094459E"/>
    <w:rsid w:val="00944DBC"/>
    <w:rsid w:val="00945864"/>
    <w:rsid w:val="009479FA"/>
    <w:rsid w:val="009505AD"/>
    <w:rsid w:val="00950977"/>
    <w:rsid w:val="009519CF"/>
    <w:rsid w:val="00951A7B"/>
    <w:rsid w:val="00951BF0"/>
    <w:rsid w:val="00953593"/>
    <w:rsid w:val="00953C56"/>
    <w:rsid w:val="00955248"/>
    <w:rsid w:val="009564A6"/>
    <w:rsid w:val="00956AC7"/>
    <w:rsid w:val="00957228"/>
    <w:rsid w:val="00957469"/>
    <w:rsid w:val="00957AFF"/>
    <w:rsid w:val="00957F43"/>
    <w:rsid w:val="009613F1"/>
    <w:rsid w:val="009617A0"/>
    <w:rsid w:val="00961A33"/>
    <w:rsid w:val="00962131"/>
    <w:rsid w:val="00962864"/>
    <w:rsid w:val="009628B9"/>
    <w:rsid w:val="0096426A"/>
    <w:rsid w:val="0096516A"/>
    <w:rsid w:val="00965A93"/>
    <w:rsid w:val="00967621"/>
    <w:rsid w:val="00967E6A"/>
    <w:rsid w:val="00971756"/>
    <w:rsid w:val="00971E51"/>
    <w:rsid w:val="00975057"/>
    <w:rsid w:val="0097529B"/>
    <w:rsid w:val="00975527"/>
    <w:rsid w:val="00975548"/>
    <w:rsid w:val="009755D6"/>
    <w:rsid w:val="009763D7"/>
    <w:rsid w:val="00977441"/>
    <w:rsid w:val="00980282"/>
    <w:rsid w:val="00980434"/>
    <w:rsid w:val="0098049A"/>
    <w:rsid w:val="00980797"/>
    <w:rsid w:val="009807C2"/>
    <w:rsid w:val="00980BA0"/>
    <w:rsid w:val="00981EC4"/>
    <w:rsid w:val="00982B4D"/>
    <w:rsid w:val="0098449B"/>
    <w:rsid w:val="00984ADD"/>
    <w:rsid w:val="00984C35"/>
    <w:rsid w:val="00985DC0"/>
    <w:rsid w:val="0098735F"/>
    <w:rsid w:val="0098766E"/>
    <w:rsid w:val="00987D0A"/>
    <w:rsid w:val="00990D45"/>
    <w:rsid w:val="009927CC"/>
    <w:rsid w:val="009935AC"/>
    <w:rsid w:val="00993838"/>
    <w:rsid w:val="00995805"/>
    <w:rsid w:val="0099581B"/>
    <w:rsid w:val="0099675A"/>
    <w:rsid w:val="0099689C"/>
    <w:rsid w:val="009A005E"/>
    <w:rsid w:val="009A09B2"/>
    <w:rsid w:val="009A0DBF"/>
    <w:rsid w:val="009A30F9"/>
    <w:rsid w:val="009A3279"/>
    <w:rsid w:val="009A3775"/>
    <w:rsid w:val="009A3A80"/>
    <w:rsid w:val="009A5B36"/>
    <w:rsid w:val="009A5D2B"/>
    <w:rsid w:val="009A6054"/>
    <w:rsid w:val="009A6FE9"/>
    <w:rsid w:val="009B02DD"/>
    <w:rsid w:val="009B18D4"/>
    <w:rsid w:val="009B2DAE"/>
    <w:rsid w:val="009B31BC"/>
    <w:rsid w:val="009B31CD"/>
    <w:rsid w:val="009B3690"/>
    <w:rsid w:val="009B4A0F"/>
    <w:rsid w:val="009B5644"/>
    <w:rsid w:val="009B5908"/>
    <w:rsid w:val="009B5A94"/>
    <w:rsid w:val="009B697C"/>
    <w:rsid w:val="009B729C"/>
    <w:rsid w:val="009C0031"/>
    <w:rsid w:val="009C0FEC"/>
    <w:rsid w:val="009C11D2"/>
    <w:rsid w:val="009C1356"/>
    <w:rsid w:val="009C13A4"/>
    <w:rsid w:val="009C1BA5"/>
    <w:rsid w:val="009C1E01"/>
    <w:rsid w:val="009C3525"/>
    <w:rsid w:val="009C45D1"/>
    <w:rsid w:val="009C54DC"/>
    <w:rsid w:val="009C6C70"/>
    <w:rsid w:val="009C6C7D"/>
    <w:rsid w:val="009D0605"/>
    <w:rsid w:val="009D0922"/>
    <w:rsid w:val="009D0B63"/>
    <w:rsid w:val="009D19FE"/>
    <w:rsid w:val="009D20A4"/>
    <w:rsid w:val="009D3B60"/>
    <w:rsid w:val="009D50C2"/>
    <w:rsid w:val="009D7FBB"/>
    <w:rsid w:val="009E189C"/>
    <w:rsid w:val="009E1900"/>
    <w:rsid w:val="009E1A50"/>
    <w:rsid w:val="009E1B5E"/>
    <w:rsid w:val="009E28BA"/>
    <w:rsid w:val="009E307E"/>
    <w:rsid w:val="009E343D"/>
    <w:rsid w:val="009E37D9"/>
    <w:rsid w:val="009E4638"/>
    <w:rsid w:val="009E47E3"/>
    <w:rsid w:val="009E5C61"/>
    <w:rsid w:val="009E71E0"/>
    <w:rsid w:val="009E75DE"/>
    <w:rsid w:val="009E7D39"/>
    <w:rsid w:val="009F0341"/>
    <w:rsid w:val="009F1233"/>
    <w:rsid w:val="009F1D90"/>
    <w:rsid w:val="009F46AF"/>
    <w:rsid w:val="009F5AF1"/>
    <w:rsid w:val="009F656F"/>
    <w:rsid w:val="009F76AB"/>
    <w:rsid w:val="009F7BA2"/>
    <w:rsid w:val="009F7D84"/>
    <w:rsid w:val="009F7DE4"/>
    <w:rsid w:val="00A014B0"/>
    <w:rsid w:val="00A02071"/>
    <w:rsid w:val="00A02943"/>
    <w:rsid w:val="00A02AA8"/>
    <w:rsid w:val="00A0300C"/>
    <w:rsid w:val="00A03A4A"/>
    <w:rsid w:val="00A03DB3"/>
    <w:rsid w:val="00A0442C"/>
    <w:rsid w:val="00A0444D"/>
    <w:rsid w:val="00A06579"/>
    <w:rsid w:val="00A06F8E"/>
    <w:rsid w:val="00A07870"/>
    <w:rsid w:val="00A07F19"/>
    <w:rsid w:val="00A109C0"/>
    <w:rsid w:val="00A10E59"/>
    <w:rsid w:val="00A12EB9"/>
    <w:rsid w:val="00A1348D"/>
    <w:rsid w:val="00A142D1"/>
    <w:rsid w:val="00A1489E"/>
    <w:rsid w:val="00A15E17"/>
    <w:rsid w:val="00A16819"/>
    <w:rsid w:val="00A17B1B"/>
    <w:rsid w:val="00A20CDD"/>
    <w:rsid w:val="00A216D1"/>
    <w:rsid w:val="00A218F5"/>
    <w:rsid w:val="00A21951"/>
    <w:rsid w:val="00A22DC4"/>
    <w:rsid w:val="00A232EE"/>
    <w:rsid w:val="00A23311"/>
    <w:rsid w:val="00A23481"/>
    <w:rsid w:val="00A23674"/>
    <w:rsid w:val="00A2470A"/>
    <w:rsid w:val="00A24899"/>
    <w:rsid w:val="00A25ED4"/>
    <w:rsid w:val="00A26FF2"/>
    <w:rsid w:val="00A30117"/>
    <w:rsid w:val="00A301F4"/>
    <w:rsid w:val="00A31496"/>
    <w:rsid w:val="00A321C0"/>
    <w:rsid w:val="00A32F89"/>
    <w:rsid w:val="00A40322"/>
    <w:rsid w:val="00A4175F"/>
    <w:rsid w:val="00A41D8C"/>
    <w:rsid w:val="00A4348A"/>
    <w:rsid w:val="00A44202"/>
    <w:rsid w:val="00A44411"/>
    <w:rsid w:val="00A448A9"/>
    <w:rsid w:val="00A44F1A"/>
    <w:rsid w:val="00A45036"/>
    <w:rsid w:val="00A46156"/>
    <w:rsid w:val="00A46563"/>
    <w:rsid w:val="00A46721"/>
    <w:rsid w:val="00A469FA"/>
    <w:rsid w:val="00A475F1"/>
    <w:rsid w:val="00A50E94"/>
    <w:rsid w:val="00A51397"/>
    <w:rsid w:val="00A52500"/>
    <w:rsid w:val="00A5272B"/>
    <w:rsid w:val="00A52DFF"/>
    <w:rsid w:val="00A52FEF"/>
    <w:rsid w:val="00A537F0"/>
    <w:rsid w:val="00A539A1"/>
    <w:rsid w:val="00A53C97"/>
    <w:rsid w:val="00A545C7"/>
    <w:rsid w:val="00A55B01"/>
    <w:rsid w:val="00A56B5B"/>
    <w:rsid w:val="00A56B9E"/>
    <w:rsid w:val="00A56C8A"/>
    <w:rsid w:val="00A570A4"/>
    <w:rsid w:val="00A57B18"/>
    <w:rsid w:val="00A57B24"/>
    <w:rsid w:val="00A57C0B"/>
    <w:rsid w:val="00A60367"/>
    <w:rsid w:val="00A603FF"/>
    <w:rsid w:val="00A60FF8"/>
    <w:rsid w:val="00A63289"/>
    <w:rsid w:val="00A63E87"/>
    <w:rsid w:val="00A657DD"/>
    <w:rsid w:val="00A666A6"/>
    <w:rsid w:val="00A6727B"/>
    <w:rsid w:val="00A675FD"/>
    <w:rsid w:val="00A678FA"/>
    <w:rsid w:val="00A71574"/>
    <w:rsid w:val="00A715A4"/>
    <w:rsid w:val="00A72437"/>
    <w:rsid w:val="00A72C01"/>
    <w:rsid w:val="00A738B2"/>
    <w:rsid w:val="00A73E1A"/>
    <w:rsid w:val="00A74B71"/>
    <w:rsid w:val="00A766A3"/>
    <w:rsid w:val="00A767CA"/>
    <w:rsid w:val="00A80611"/>
    <w:rsid w:val="00A827B6"/>
    <w:rsid w:val="00A83B26"/>
    <w:rsid w:val="00A84502"/>
    <w:rsid w:val="00A84B15"/>
    <w:rsid w:val="00A85F60"/>
    <w:rsid w:val="00A86B21"/>
    <w:rsid w:val="00A87016"/>
    <w:rsid w:val="00A91449"/>
    <w:rsid w:val="00A91527"/>
    <w:rsid w:val="00A91A3C"/>
    <w:rsid w:val="00A91BA0"/>
    <w:rsid w:val="00A91EB6"/>
    <w:rsid w:val="00A9491D"/>
    <w:rsid w:val="00A94CC4"/>
    <w:rsid w:val="00A9502C"/>
    <w:rsid w:val="00A95DD1"/>
    <w:rsid w:val="00A96B2A"/>
    <w:rsid w:val="00A97BFB"/>
    <w:rsid w:val="00AA094F"/>
    <w:rsid w:val="00AA0DE9"/>
    <w:rsid w:val="00AA1D0B"/>
    <w:rsid w:val="00AA201B"/>
    <w:rsid w:val="00AA39B9"/>
    <w:rsid w:val="00AA4414"/>
    <w:rsid w:val="00AA52D2"/>
    <w:rsid w:val="00AA6C16"/>
    <w:rsid w:val="00AA6D52"/>
    <w:rsid w:val="00AB1BC9"/>
    <w:rsid w:val="00AB1F69"/>
    <w:rsid w:val="00AB2831"/>
    <w:rsid w:val="00AB405C"/>
    <w:rsid w:val="00AB44FE"/>
    <w:rsid w:val="00AB5340"/>
    <w:rsid w:val="00AB62F2"/>
    <w:rsid w:val="00AB635F"/>
    <w:rsid w:val="00AB6944"/>
    <w:rsid w:val="00AC010E"/>
    <w:rsid w:val="00AC01CC"/>
    <w:rsid w:val="00AC0450"/>
    <w:rsid w:val="00AC0D23"/>
    <w:rsid w:val="00AC16B8"/>
    <w:rsid w:val="00AC3698"/>
    <w:rsid w:val="00AC45D8"/>
    <w:rsid w:val="00AC52C4"/>
    <w:rsid w:val="00AC548D"/>
    <w:rsid w:val="00AC59C1"/>
    <w:rsid w:val="00AC6B24"/>
    <w:rsid w:val="00AC7191"/>
    <w:rsid w:val="00AC7864"/>
    <w:rsid w:val="00AC7C96"/>
    <w:rsid w:val="00AD0F79"/>
    <w:rsid w:val="00AD11D3"/>
    <w:rsid w:val="00AD1CFB"/>
    <w:rsid w:val="00AD1DF7"/>
    <w:rsid w:val="00AD27F9"/>
    <w:rsid w:val="00AD2A0F"/>
    <w:rsid w:val="00AD38ED"/>
    <w:rsid w:val="00AD4260"/>
    <w:rsid w:val="00AD4F18"/>
    <w:rsid w:val="00AD5052"/>
    <w:rsid w:val="00AE0D08"/>
    <w:rsid w:val="00AE214F"/>
    <w:rsid w:val="00AE237D"/>
    <w:rsid w:val="00AE2912"/>
    <w:rsid w:val="00AE2A3D"/>
    <w:rsid w:val="00AE361F"/>
    <w:rsid w:val="00AE47F0"/>
    <w:rsid w:val="00AE502A"/>
    <w:rsid w:val="00AE510C"/>
    <w:rsid w:val="00AE57E0"/>
    <w:rsid w:val="00AE5A6C"/>
    <w:rsid w:val="00AE688F"/>
    <w:rsid w:val="00AE6EC3"/>
    <w:rsid w:val="00AF0150"/>
    <w:rsid w:val="00AF0D7D"/>
    <w:rsid w:val="00AF0DF7"/>
    <w:rsid w:val="00AF1CC6"/>
    <w:rsid w:val="00AF2939"/>
    <w:rsid w:val="00AF40C8"/>
    <w:rsid w:val="00AF48AB"/>
    <w:rsid w:val="00AF5242"/>
    <w:rsid w:val="00AF6002"/>
    <w:rsid w:val="00AF69E2"/>
    <w:rsid w:val="00AF6B62"/>
    <w:rsid w:val="00AF7199"/>
    <w:rsid w:val="00AF72D3"/>
    <w:rsid w:val="00AF7C07"/>
    <w:rsid w:val="00B0017E"/>
    <w:rsid w:val="00B011A6"/>
    <w:rsid w:val="00B01D28"/>
    <w:rsid w:val="00B0305E"/>
    <w:rsid w:val="00B050B4"/>
    <w:rsid w:val="00B054A4"/>
    <w:rsid w:val="00B056D6"/>
    <w:rsid w:val="00B05C94"/>
    <w:rsid w:val="00B107E5"/>
    <w:rsid w:val="00B10B66"/>
    <w:rsid w:val="00B10B71"/>
    <w:rsid w:val="00B14841"/>
    <w:rsid w:val="00B1530C"/>
    <w:rsid w:val="00B1605A"/>
    <w:rsid w:val="00B17D4C"/>
    <w:rsid w:val="00B20CC6"/>
    <w:rsid w:val="00B20E83"/>
    <w:rsid w:val="00B214D2"/>
    <w:rsid w:val="00B215B4"/>
    <w:rsid w:val="00B215D4"/>
    <w:rsid w:val="00B219C5"/>
    <w:rsid w:val="00B22005"/>
    <w:rsid w:val="00B22C93"/>
    <w:rsid w:val="00B22CA6"/>
    <w:rsid w:val="00B23A53"/>
    <w:rsid w:val="00B23B27"/>
    <w:rsid w:val="00B243A7"/>
    <w:rsid w:val="00B25135"/>
    <w:rsid w:val="00B257BD"/>
    <w:rsid w:val="00B25F9E"/>
    <w:rsid w:val="00B268F9"/>
    <w:rsid w:val="00B26F7C"/>
    <w:rsid w:val="00B27589"/>
    <w:rsid w:val="00B30F1C"/>
    <w:rsid w:val="00B32599"/>
    <w:rsid w:val="00B33676"/>
    <w:rsid w:val="00B37177"/>
    <w:rsid w:val="00B373F5"/>
    <w:rsid w:val="00B3761F"/>
    <w:rsid w:val="00B376F2"/>
    <w:rsid w:val="00B37723"/>
    <w:rsid w:val="00B37BDA"/>
    <w:rsid w:val="00B37EF9"/>
    <w:rsid w:val="00B405B7"/>
    <w:rsid w:val="00B4103A"/>
    <w:rsid w:val="00B42044"/>
    <w:rsid w:val="00B424FE"/>
    <w:rsid w:val="00B42CE4"/>
    <w:rsid w:val="00B4434A"/>
    <w:rsid w:val="00B452C3"/>
    <w:rsid w:val="00B45E6D"/>
    <w:rsid w:val="00B4724B"/>
    <w:rsid w:val="00B504B3"/>
    <w:rsid w:val="00B505F2"/>
    <w:rsid w:val="00B51CE4"/>
    <w:rsid w:val="00B520BC"/>
    <w:rsid w:val="00B52222"/>
    <w:rsid w:val="00B522EC"/>
    <w:rsid w:val="00B523A2"/>
    <w:rsid w:val="00B523E8"/>
    <w:rsid w:val="00B52601"/>
    <w:rsid w:val="00B5293B"/>
    <w:rsid w:val="00B52BAB"/>
    <w:rsid w:val="00B53BC2"/>
    <w:rsid w:val="00B54FE7"/>
    <w:rsid w:val="00B55BE2"/>
    <w:rsid w:val="00B56606"/>
    <w:rsid w:val="00B56949"/>
    <w:rsid w:val="00B578F2"/>
    <w:rsid w:val="00B57C47"/>
    <w:rsid w:val="00B6051F"/>
    <w:rsid w:val="00B62B83"/>
    <w:rsid w:val="00B63EA2"/>
    <w:rsid w:val="00B6401C"/>
    <w:rsid w:val="00B6489D"/>
    <w:rsid w:val="00B64C19"/>
    <w:rsid w:val="00B64D8C"/>
    <w:rsid w:val="00B66461"/>
    <w:rsid w:val="00B66901"/>
    <w:rsid w:val="00B709FB"/>
    <w:rsid w:val="00B70A27"/>
    <w:rsid w:val="00B70F65"/>
    <w:rsid w:val="00B711FB"/>
    <w:rsid w:val="00B71E6D"/>
    <w:rsid w:val="00B72070"/>
    <w:rsid w:val="00B73AE6"/>
    <w:rsid w:val="00B74D27"/>
    <w:rsid w:val="00B7517C"/>
    <w:rsid w:val="00B756FF"/>
    <w:rsid w:val="00B75782"/>
    <w:rsid w:val="00B7658E"/>
    <w:rsid w:val="00B779E1"/>
    <w:rsid w:val="00B81067"/>
    <w:rsid w:val="00B81CDC"/>
    <w:rsid w:val="00B81D05"/>
    <w:rsid w:val="00B82BBF"/>
    <w:rsid w:val="00B82F35"/>
    <w:rsid w:val="00B8370A"/>
    <w:rsid w:val="00B83B85"/>
    <w:rsid w:val="00B83B97"/>
    <w:rsid w:val="00B83E22"/>
    <w:rsid w:val="00B85028"/>
    <w:rsid w:val="00B859A3"/>
    <w:rsid w:val="00B8633A"/>
    <w:rsid w:val="00B86893"/>
    <w:rsid w:val="00B900DC"/>
    <w:rsid w:val="00B90544"/>
    <w:rsid w:val="00B90CB6"/>
    <w:rsid w:val="00B91EE1"/>
    <w:rsid w:val="00B9275A"/>
    <w:rsid w:val="00B943A5"/>
    <w:rsid w:val="00B96298"/>
    <w:rsid w:val="00B96B09"/>
    <w:rsid w:val="00B973C6"/>
    <w:rsid w:val="00BA0090"/>
    <w:rsid w:val="00BA070E"/>
    <w:rsid w:val="00BA0826"/>
    <w:rsid w:val="00BA1235"/>
    <w:rsid w:val="00BA1A67"/>
    <w:rsid w:val="00BA312B"/>
    <w:rsid w:val="00BA32E1"/>
    <w:rsid w:val="00BA42F2"/>
    <w:rsid w:val="00BA4698"/>
    <w:rsid w:val="00BA48F0"/>
    <w:rsid w:val="00BA53E5"/>
    <w:rsid w:val="00BA63BC"/>
    <w:rsid w:val="00BA6BB6"/>
    <w:rsid w:val="00BA7D46"/>
    <w:rsid w:val="00BB071B"/>
    <w:rsid w:val="00BB184A"/>
    <w:rsid w:val="00BB1903"/>
    <w:rsid w:val="00BB2195"/>
    <w:rsid w:val="00BB2CB5"/>
    <w:rsid w:val="00BB3A91"/>
    <w:rsid w:val="00BB49DE"/>
    <w:rsid w:val="00BB4C68"/>
    <w:rsid w:val="00BB4D0D"/>
    <w:rsid w:val="00BB5E51"/>
    <w:rsid w:val="00BB712F"/>
    <w:rsid w:val="00BB79CC"/>
    <w:rsid w:val="00BC07FE"/>
    <w:rsid w:val="00BC0897"/>
    <w:rsid w:val="00BC0BF1"/>
    <w:rsid w:val="00BC190D"/>
    <w:rsid w:val="00BC3AC1"/>
    <w:rsid w:val="00BC4B4E"/>
    <w:rsid w:val="00BC560A"/>
    <w:rsid w:val="00BD0163"/>
    <w:rsid w:val="00BD157D"/>
    <w:rsid w:val="00BD159E"/>
    <w:rsid w:val="00BD2910"/>
    <w:rsid w:val="00BD29B4"/>
    <w:rsid w:val="00BD2D73"/>
    <w:rsid w:val="00BD3741"/>
    <w:rsid w:val="00BD440F"/>
    <w:rsid w:val="00BD44EF"/>
    <w:rsid w:val="00BD4A66"/>
    <w:rsid w:val="00BD4B0E"/>
    <w:rsid w:val="00BD4EE2"/>
    <w:rsid w:val="00BD6654"/>
    <w:rsid w:val="00BD67D4"/>
    <w:rsid w:val="00BD7404"/>
    <w:rsid w:val="00BE0118"/>
    <w:rsid w:val="00BE0160"/>
    <w:rsid w:val="00BE184E"/>
    <w:rsid w:val="00BE1EA8"/>
    <w:rsid w:val="00BE2319"/>
    <w:rsid w:val="00BE260D"/>
    <w:rsid w:val="00BE2E4C"/>
    <w:rsid w:val="00BE472A"/>
    <w:rsid w:val="00BE525F"/>
    <w:rsid w:val="00BE5A96"/>
    <w:rsid w:val="00BE5B5F"/>
    <w:rsid w:val="00BE5CF4"/>
    <w:rsid w:val="00BE5D27"/>
    <w:rsid w:val="00BE6DD0"/>
    <w:rsid w:val="00BE747D"/>
    <w:rsid w:val="00BE7655"/>
    <w:rsid w:val="00BE7B76"/>
    <w:rsid w:val="00BF0196"/>
    <w:rsid w:val="00BF0277"/>
    <w:rsid w:val="00BF16B6"/>
    <w:rsid w:val="00BF1919"/>
    <w:rsid w:val="00BF1CA1"/>
    <w:rsid w:val="00BF1DB4"/>
    <w:rsid w:val="00BF22B2"/>
    <w:rsid w:val="00BF30DE"/>
    <w:rsid w:val="00BF3372"/>
    <w:rsid w:val="00BF3CAF"/>
    <w:rsid w:val="00BF5452"/>
    <w:rsid w:val="00BF702E"/>
    <w:rsid w:val="00BF721F"/>
    <w:rsid w:val="00BF7594"/>
    <w:rsid w:val="00C006DD"/>
    <w:rsid w:val="00C02555"/>
    <w:rsid w:val="00C03537"/>
    <w:rsid w:val="00C040A5"/>
    <w:rsid w:val="00C054F1"/>
    <w:rsid w:val="00C07430"/>
    <w:rsid w:val="00C07907"/>
    <w:rsid w:val="00C10628"/>
    <w:rsid w:val="00C117EF"/>
    <w:rsid w:val="00C136E7"/>
    <w:rsid w:val="00C13F9E"/>
    <w:rsid w:val="00C1400A"/>
    <w:rsid w:val="00C152AF"/>
    <w:rsid w:val="00C16EF0"/>
    <w:rsid w:val="00C17707"/>
    <w:rsid w:val="00C20895"/>
    <w:rsid w:val="00C209B5"/>
    <w:rsid w:val="00C2131D"/>
    <w:rsid w:val="00C24719"/>
    <w:rsid w:val="00C24DD3"/>
    <w:rsid w:val="00C25949"/>
    <w:rsid w:val="00C25A3C"/>
    <w:rsid w:val="00C2603A"/>
    <w:rsid w:val="00C26F55"/>
    <w:rsid w:val="00C30C63"/>
    <w:rsid w:val="00C30DEA"/>
    <w:rsid w:val="00C3184E"/>
    <w:rsid w:val="00C32B37"/>
    <w:rsid w:val="00C33ADF"/>
    <w:rsid w:val="00C3472D"/>
    <w:rsid w:val="00C3658C"/>
    <w:rsid w:val="00C36856"/>
    <w:rsid w:val="00C36B8B"/>
    <w:rsid w:val="00C41508"/>
    <w:rsid w:val="00C43491"/>
    <w:rsid w:val="00C43575"/>
    <w:rsid w:val="00C44546"/>
    <w:rsid w:val="00C44602"/>
    <w:rsid w:val="00C44C27"/>
    <w:rsid w:val="00C45A04"/>
    <w:rsid w:val="00C46184"/>
    <w:rsid w:val="00C46D4F"/>
    <w:rsid w:val="00C470E6"/>
    <w:rsid w:val="00C475F8"/>
    <w:rsid w:val="00C47DBF"/>
    <w:rsid w:val="00C506E2"/>
    <w:rsid w:val="00C52989"/>
    <w:rsid w:val="00C53666"/>
    <w:rsid w:val="00C55035"/>
    <w:rsid w:val="00C552FF"/>
    <w:rsid w:val="00C558DA"/>
    <w:rsid w:val="00C55AF3"/>
    <w:rsid w:val="00C57780"/>
    <w:rsid w:val="00C57F04"/>
    <w:rsid w:val="00C60713"/>
    <w:rsid w:val="00C609BD"/>
    <w:rsid w:val="00C60CBE"/>
    <w:rsid w:val="00C62023"/>
    <w:rsid w:val="00C6287E"/>
    <w:rsid w:val="00C63C0A"/>
    <w:rsid w:val="00C642CD"/>
    <w:rsid w:val="00C6547F"/>
    <w:rsid w:val="00C659D0"/>
    <w:rsid w:val="00C65F75"/>
    <w:rsid w:val="00C664D1"/>
    <w:rsid w:val="00C70AAC"/>
    <w:rsid w:val="00C70B49"/>
    <w:rsid w:val="00C712F7"/>
    <w:rsid w:val="00C740DD"/>
    <w:rsid w:val="00C749AA"/>
    <w:rsid w:val="00C74D45"/>
    <w:rsid w:val="00C75C7C"/>
    <w:rsid w:val="00C765AA"/>
    <w:rsid w:val="00C77303"/>
    <w:rsid w:val="00C7775A"/>
    <w:rsid w:val="00C809BA"/>
    <w:rsid w:val="00C80B3A"/>
    <w:rsid w:val="00C80CE9"/>
    <w:rsid w:val="00C81675"/>
    <w:rsid w:val="00C81951"/>
    <w:rsid w:val="00C81998"/>
    <w:rsid w:val="00C82104"/>
    <w:rsid w:val="00C83A8F"/>
    <w:rsid w:val="00C8428D"/>
    <w:rsid w:val="00C84377"/>
    <w:rsid w:val="00C84759"/>
    <w:rsid w:val="00C8750D"/>
    <w:rsid w:val="00C87E17"/>
    <w:rsid w:val="00C87E23"/>
    <w:rsid w:val="00C90B20"/>
    <w:rsid w:val="00C90B8A"/>
    <w:rsid w:val="00C90D80"/>
    <w:rsid w:val="00C90DD9"/>
    <w:rsid w:val="00C917D9"/>
    <w:rsid w:val="00C91AF5"/>
    <w:rsid w:val="00C91D4C"/>
    <w:rsid w:val="00C91D8E"/>
    <w:rsid w:val="00C92245"/>
    <w:rsid w:val="00C923B7"/>
    <w:rsid w:val="00C93F6F"/>
    <w:rsid w:val="00C94090"/>
    <w:rsid w:val="00C97150"/>
    <w:rsid w:val="00C9750C"/>
    <w:rsid w:val="00C97578"/>
    <w:rsid w:val="00C976B7"/>
    <w:rsid w:val="00CA03CA"/>
    <w:rsid w:val="00CA2254"/>
    <w:rsid w:val="00CA2C09"/>
    <w:rsid w:val="00CA3150"/>
    <w:rsid w:val="00CA31EF"/>
    <w:rsid w:val="00CA55B1"/>
    <w:rsid w:val="00CA6C7F"/>
    <w:rsid w:val="00CA7330"/>
    <w:rsid w:val="00CA78AF"/>
    <w:rsid w:val="00CA7BB2"/>
    <w:rsid w:val="00CB1AAA"/>
    <w:rsid w:val="00CB2FDF"/>
    <w:rsid w:val="00CB3F6A"/>
    <w:rsid w:val="00CB5FE4"/>
    <w:rsid w:val="00CB6F8C"/>
    <w:rsid w:val="00CB7617"/>
    <w:rsid w:val="00CB7E8C"/>
    <w:rsid w:val="00CC0260"/>
    <w:rsid w:val="00CC0417"/>
    <w:rsid w:val="00CC0B5E"/>
    <w:rsid w:val="00CC10A6"/>
    <w:rsid w:val="00CC1E3B"/>
    <w:rsid w:val="00CC1E4D"/>
    <w:rsid w:val="00CC1F68"/>
    <w:rsid w:val="00CC2C14"/>
    <w:rsid w:val="00CC3904"/>
    <w:rsid w:val="00CC4025"/>
    <w:rsid w:val="00CC4E38"/>
    <w:rsid w:val="00CC6C3C"/>
    <w:rsid w:val="00CC798A"/>
    <w:rsid w:val="00CD5EB8"/>
    <w:rsid w:val="00CD6AC7"/>
    <w:rsid w:val="00CD7044"/>
    <w:rsid w:val="00CE08B9"/>
    <w:rsid w:val="00CE0A97"/>
    <w:rsid w:val="00CE2A5C"/>
    <w:rsid w:val="00CE2E36"/>
    <w:rsid w:val="00CE31A9"/>
    <w:rsid w:val="00CE3528"/>
    <w:rsid w:val="00CE36FC"/>
    <w:rsid w:val="00CE4885"/>
    <w:rsid w:val="00CE49D7"/>
    <w:rsid w:val="00CE524C"/>
    <w:rsid w:val="00CE57CC"/>
    <w:rsid w:val="00CE6422"/>
    <w:rsid w:val="00CE7570"/>
    <w:rsid w:val="00CE7AD8"/>
    <w:rsid w:val="00CE7CFD"/>
    <w:rsid w:val="00CF0545"/>
    <w:rsid w:val="00CF08AC"/>
    <w:rsid w:val="00CF1219"/>
    <w:rsid w:val="00CF141F"/>
    <w:rsid w:val="00CF1AE0"/>
    <w:rsid w:val="00CF2BBD"/>
    <w:rsid w:val="00CF3302"/>
    <w:rsid w:val="00CF4777"/>
    <w:rsid w:val="00CF4CB2"/>
    <w:rsid w:val="00CF5AF8"/>
    <w:rsid w:val="00CF6C33"/>
    <w:rsid w:val="00CF6DF3"/>
    <w:rsid w:val="00CF7B01"/>
    <w:rsid w:val="00D01AB0"/>
    <w:rsid w:val="00D01B41"/>
    <w:rsid w:val="00D02517"/>
    <w:rsid w:val="00D02CB2"/>
    <w:rsid w:val="00D03BA5"/>
    <w:rsid w:val="00D04861"/>
    <w:rsid w:val="00D054CE"/>
    <w:rsid w:val="00D067BB"/>
    <w:rsid w:val="00D06883"/>
    <w:rsid w:val="00D068CA"/>
    <w:rsid w:val="00D070CC"/>
    <w:rsid w:val="00D103E7"/>
    <w:rsid w:val="00D1063E"/>
    <w:rsid w:val="00D11B42"/>
    <w:rsid w:val="00D1233D"/>
    <w:rsid w:val="00D123A3"/>
    <w:rsid w:val="00D1352A"/>
    <w:rsid w:val="00D13EDE"/>
    <w:rsid w:val="00D1438D"/>
    <w:rsid w:val="00D15415"/>
    <w:rsid w:val="00D15A88"/>
    <w:rsid w:val="00D169AF"/>
    <w:rsid w:val="00D16B2C"/>
    <w:rsid w:val="00D20076"/>
    <w:rsid w:val="00D2011A"/>
    <w:rsid w:val="00D21358"/>
    <w:rsid w:val="00D21434"/>
    <w:rsid w:val="00D2415A"/>
    <w:rsid w:val="00D25249"/>
    <w:rsid w:val="00D255A7"/>
    <w:rsid w:val="00D25AAC"/>
    <w:rsid w:val="00D271D9"/>
    <w:rsid w:val="00D27A70"/>
    <w:rsid w:val="00D30535"/>
    <w:rsid w:val="00D31DC5"/>
    <w:rsid w:val="00D34E8B"/>
    <w:rsid w:val="00D41015"/>
    <w:rsid w:val="00D41BDD"/>
    <w:rsid w:val="00D44172"/>
    <w:rsid w:val="00D4453B"/>
    <w:rsid w:val="00D45241"/>
    <w:rsid w:val="00D45CE4"/>
    <w:rsid w:val="00D45FE6"/>
    <w:rsid w:val="00D476E0"/>
    <w:rsid w:val="00D4796C"/>
    <w:rsid w:val="00D500BF"/>
    <w:rsid w:val="00D50197"/>
    <w:rsid w:val="00D50E0A"/>
    <w:rsid w:val="00D5105A"/>
    <w:rsid w:val="00D510EE"/>
    <w:rsid w:val="00D526D8"/>
    <w:rsid w:val="00D53112"/>
    <w:rsid w:val="00D57C0A"/>
    <w:rsid w:val="00D57E5F"/>
    <w:rsid w:val="00D60DCF"/>
    <w:rsid w:val="00D61D53"/>
    <w:rsid w:val="00D62CCD"/>
    <w:rsid w:val="00D63748"/>
    <w:rsid w:val="00D63B8C"/>
    <w:rsid w:val="00D64299"/>
    <w:rsid w:val="00D64C4A"/>
    <w:rsid w:val="00D64F55"/>
    <w:rsid w:val="00D669B9"/>
    <w:rsid w:val="00D673EB"/>
    <w:rsid w:val="00D712FD"/>
    <w:rsid w:val="00D71DB1"/>
    <w:rsid w:val="00D72CB6"/>
    <w:rsid w:val="00D739CC"/>
    <w:rsid w:val="00D74773"/>
    <w:rsid w:val="00D749D0"/>
    <w:rsid w:val="00D74F82"/>
    <w:rsid w:val="00D759E3"/>
    <w:rsid w:val="00D7657A"/>
    <w:rsid w:val="00D76EF2"/>
    <w:rsid w:val="00D77140"/>
    <w:rsid w:val="00D800C7"/>
    <w:rsid w:val="00D8093D"/>
    <w:rsid w:val="00D8108C"/>
    <w:rsid w:val="00D835B9"/>
    <w:rsid w:val="00D8412F"/>
    <w:rsid w:val="00D842AE"/>
    <w:rsid w:val="00D8577B"/>
    <w:rsid w:val="00D85C44"/>
    <w:rsid w:val="00D8677E"/>
    <w:rsid w:val="00D86F9E"/>
    <w:rsid w:val="00D903EC"/>
    <w:rsid w:val="00D904ED"/>
    <w:rsid w:val="00D914F0"/>
    <w:rsid w:val="00D91930"/>
    <w:rsid w:val="00D91F2B"/>
    <w:rsid w:val="00D9211C"/>
    <w:rsid w:val="00D92DE0"/>
    <w:rsid w:val="00D92FEF"/>
    <w:rsid w:val="00D930A3"/>
    <w:rsid w:val="00D93120"/>
    <w:rsid w:val="00D93472"/>
    <w:rsid w:val="00D93692"/>
    <w:rsid w:val="00D9372E"/>
    <w:rsid w:val="00D93A0F"/>
    <w:rsid w:val="00D94E90"/>
    <w:rsid w:val="00D95293"/>
    <w:rsid w:val="00D95CFC"/>
    <w:rsid w:val="00D96147"/>
    <w:rsid w:val="00D96B49"/>
    <w:rsid w:val="00DA1BCA"/>
    <w:rsid w:val="00DA236E"/>
    <w:rsid w:val="00DA265D"/>
    <w:rsid w:val="00DA272C"/>
    <w:rsid w:val="00DA3D87"/>
    <w:rsid w:val="00DA3FFA"/>
    <w:rsid w:val="00DA48F9"/>
    <w:rsid w:val="00DA7191"/>
    <w:rsid w:val="00DA7299"/>
    <w:rsid w:val="00DB0ABF"/>
    <w:rsid w:val="00DB0C71"/>
    <w:rsid w:val="00DB10DA"/>
    <w:rsid w:val="00DB2A64"/>
    <w:rsid w:val="00DB2C2C"/>
    <w:rsid w:val="00DB3683"/>
    <w:rsid w:val="00DB36B7"/>
    <w:rsid w:val="00DB3E23"/>
    <w:rsid w:val="00DB4056"/>
    <w:rsid w:val="00DB4DA0"/>
    <w:rsid w:val="00DB518A"/>
    <w:rsid w:val="00DB5660"/>
    <w:rsid w:val="00DB6A33"/>
    <w:rsid w:val="00DB7795"/>
    <w:rsid w:val="00DC0D48"/>
    <w:rsid w:val="00DC1D1C"/>
    <w:rsid w:val="00DC31E6"/>
    <w:rsid w:val="00DC37E9"/>
    <w:rsid w:val="00DC38F4"/>
    <w:rsid w:val="00DC399F"/>
    <w:rsid w:val="00DC3B79"/>
    <w:rsid w:val="00DC3CEF"/>
    <w:rsid w:val="00DC4246"/>
    <w:rsid w:val="00DC46FF"/>
    <w:rsid w:val="00DC5254"/>
    <w:rsid w:val="00DC6B17"/>
    <w:rsid w:val="00DC7589"/>
    <w:rsid w:val="00DD0373"/>
    <w:rsid w:val="00DD03A9"/>
    <w:rsid w:val="00DD0F92"/>
    <w:rsid w:val="00DD1A4F"/>
    <w:rsid w:val="00DD3107"/>
    <w:rsid w:val="00DD3708"/>
    <w:rsid w:val="00DD5EFF"/>
    <w:rsid w:val="00DD7804"/>
    <w:rsid w:val="00DD7C2C"/>
    <w:rsid w:val="00DE0B90"/>
    <w:rsid w:val="00DE2C58"/>
    <w:rsid w:val="00DE4457"/>
    <w:rsid w:val="00DE6E55"/>
    <w:rsid w:val="00DE734D"/>
    <w:rsid w:val="00DE7999"/>
    <w:rsid w:val="00DE7D0E"/>
    <w:rsid w:val="00DF01D6"/>
    <w:rsid w:val="00DF14BB"/>
    <w:rsid w:val="00DF1745"/>
    <w:rsid w:val="00DF242A"/>
    <w:rsid w:val="00DF5660"/>
    <w:rsid w:val="00DF57AC"/>
    <w:rsid w:val="00DF7E29"/>
    <w:rsid w:val="00E001F6"/>
    <w:rsid w:val="00E0154C"/>
    <w:rsid w:val="00E01C9A"/>
    <w:rsid w:val="00E01D2E"/>
    <w:rsid w:val="00E01ED7"/>
    <w:rsid w:val="00E02D30"/>
    <w:rsid w:val="00E03642"/>
    <w:rsid w:val="00E03CAF"/>
    <w:rsid w:val="00E03F95"/>
    <w:rsid w:val="00E04FD6"/>
    <w:rsid w:val="00E0574F"/>
    <w:rsid w:val="00E05822"/>
    <w:rsid w:val="00E06797"/>
    <w:rsid w:val="00E06B5D"/>
    <w:rsid w:val="00E10B12"/>
    <w:rsid w:val="00E122BC"/>
    <w:rsid w:val="00E1265B"/>
    <w:rsid w:val="00E13464"/>
    <w:rsid w:val="00E13B48"/>
    <w:rsid w:val="00E13CBE"/>
    <w:rsid w:val="00E1404F"/>
    <w:rsid w:val="00E142DA"/>
    <w:rsid w:val="00E14F55"/>
    <w:rsid w:val="00E17926"/>
    <w:rsid w:val="00E17CFA"/>
    <w:rsid w:val="00E20CF6"/>
    <w:rsid w:val="00E212EF"/>
    <w:rsid w:val="00E21C83"/>
    <w:rsid w:val="00E2216E"/>
    <w:rsid w:val="00E2424C"/>
    <w:rsid w:val="00E24627"/>
    <w:rsid w:val="00E24ADA"/>
    <w:rsid w:val="00E24EF3"/>
    <w:rsid w:val="00E256F6"/>
    <w:rsid w:val="00E25DDA"/>
    <w:rsid w:val="00E30252"/>
    <w:rsid w:val="00E3057C"/>
    <w:rsid w:val="00E30E49"/>
    <w:rsid w:val="00E32F59"/>
    <w:rsid w:val="00E33027"/>
    <w:rsid w:val="00E33215"/>
    <w:rsid w:val="00E3536C"/>
    <w:rsid w:val="00E36B8C"/>
    <w:rsid w:val="00E37164"/>
    <w:rsid w:val="00E37F15"/>
    <w:rsid w:val="00E4193A"/>
    <w:rsid w:val="00E41CEF"/>
    <w:rsid w:val="00E425A5"/>
    <w:rsid w:val="00E42A57"/>
    <w:rsid w:val="00E42ADE"/>
    <w:rsid w:val="00E439CC"/>
    <w:rsid w:val="00E43ACE"/>
    <w:rsid w:val="00E440CD"/>
    <w:rsid w:val="00E45573"/>
    <w:rsid w:val="00E4618A"/>
    <w:rsid w:val="00E46412"/>
    <w:rsid w:val="00E469F0"/>
    <w:rsid w:val="00E46D9A"/>
    <w:rsid w:val="00E509D1"/>
    <w:rsid w:val="00E524F3"/>
    <w:rsid w:val="00E52F91"/>
    <w:rsid w:val="00E53175"/>
    <w:rsid w:val="00E5445B"/>
    <w:rsid w:val="00E54B68"/>
    <w:rsid w:val="00E54B71"/>
    <w:rsid w:val="00E56069"/>
    <w:rsid w:val="00E565FF"/>
    <w:rsid w:val="00E57EDB"/>
    <w:rsid w:val="00E57F0B"/>
    <w:rsid w:val="00E600D6"/>
    <w:rsid w:val="00E636D7"/>
    <w:rsid w:val="00E63A1A"/>
    <w:rsid w:val="00E63C75"/>
    <w:rsid w:val="00E64691"/>
    <w:rsid w:val="00E65388"/>
    <w:rsid w:val="00E65394"/>
    <w:rsid w:val="00E66DF7"/>
    <w:rsid w:val="00E67833"/>
    <w:rsid w:val="00E678D4"/>
    <w:rsid w:val="00E70A25"/>
    <w:rsid w:val="00E72618"/>
    <w:rsid w:val="00E73357"/>
    <w:rsid w:val="00E7373D"/>
    <w:rsid w:val="00E74102"/>
    <w:rsid w:val="00E7443A"/>
    <w:rsid w:val="00E74544"/>
    <w:rsid w:val="00E7455B"/>
    <w:rsid w:val="00E74ACB"/>
    <w:rsid w:val="00E74BC6"/>
    <w:rsid w:val="00E77853"/>
    <w:rsid w:val="00E80CAE"/>
    <w:rsid w:val="00E81C12"/>
    <w:rsid w:val="00E82163"/>
    <w:rsid w:val="00E82320"/>
    <w:rsid w:val="00E8453F"/>
    <w:rsid w:val="00E8479F"/>
    <w:rsid w:val="00E84D54"/>
    <w:rsid w:val="00E85B7D"/>
    <w:rsid w:val="00E85D09"/>
    <w:rsid w:val="00E86DFB"/>
    <w:rsid w:val="00E87253"/>
    <w:rsid w:val="00E8726D"/>
    <w:rsid w:val="00E9121B"/>
    <w:rsid w:val="00E91714"/>
    <w:rsid w:val="00E93F63"/>
    <w:rsid w:val="00E9433F"/>
    <w:rsid w:val="00E94B48"/>
    <w:rsid w:val="00E96374"/>
    <w:rsid w:val="00E963FB"/>
    <w:rsid w:val="00E96526"/>
    <w:rsid w:val="00E96614"/>
    <w:rsid w:val="00E96DF8"/>
    <w:rsid w:val="00EA0140"/>
    <w:rsid w:val="00EA0945"/>
    <w:rsid w:val="00EA0A7C"/>
    <w:rsid w:val="00EA0AE2"/>
    <w:rsid w:val="00EA1787"/>
    <w:rsid w:val="00EA2513"/>
    <w:rsid w:val="00EA292F"/>
    <w:rsid w:val="00EA39E5"/>
    <w:rsid w:val="00EA465F"/>
    <w:rsid w:val="00EA4F22"/>
    <w:rsid w:val="00EA4FB3"/>
    <w:rsid w:val="00EA4FE6"/>
    <w:rsid w:val="00EA6695"/>
    <w:rsid w:val="00EA7EB0"/>
    <w:rsid w:val="00EB0471"/>
    <w:rsid w:val="00EB1203"/>
    <w:rsid w:val="00EB3106"/>
    <w:rsid w:val="00EB3E8D"/>
    <w:rsid w:val="00EB4F1F"/>
    <w:rsid w:val="00EB5204"/>
    <w:rsid w:val="00EB5561"/>
    <w:rsid w:val="00EB5688"/>
    <w:rsid w:val="00EB5E78"/>
    <w:rsid w:val="00EB673D"/>
    <w:rsid w:val="00EB6839"/>
    <w:rsid w:val="00EB6FA5"/>
    <w:rsid w:val="00EB7284"/>
    <w:rsid w:val="00EB7FB2"/>
    <w:rsid w:val="00EC0A50"/>
    <w:rsid w:val="00EC1C10"/>
    <w:rsid w:val="00EC1DF4"/>
    <w:rsid w:val="00EC268F"/>
    <w:rsid w:val="00EC2BB1"/>
    <w:rsid w:val="00EC3DBE"/>
    <w:rsid w:val="00EC4C86"/>
    <w:rsid w:val="00EC5A46"/>
    <w:rsid w:val="00EC605D"/>
    <w:rsid w:val="00EC63E2"/>
    <w:rsid w:val="00EC6A20"/>
    <w:rsid w:val="00EC732E"/>
    <w:rsid w:val="00ED0087"/>
    <w:rsid w:val="00ED0173"/>
    <w:rsid w:val="00ED0451"/>
    <w:rsid w:val="00ED1F3E"/>
    <w:rsid w:val="00ED4C04"/>
    <w:rsid w:val="00ED520A"/>
    <w:rsid w:val="00ED56EA"/>
    <w:rsid w:val="00ED6864"/>
    <w:rsid w:val="00EE1476"/>
    <w:rsid w:val="00EE1BA8"/>
    <w:rsid w:val="00EE1E98"/>
    <w:rsid w:val="00EE397B"/>
    <w:rsid w:val="00EE4483"/>
    <w:rsid w:val="00EE4593"/>
    <w:rsid w:val="00EE5261"/>
    <w:rsid w:val="00EE5D64"/>
    <w:rsid w:val="00EE6563"/>
    <w:rsid w:val="00EE6641"/>
    <w:rsid w:val="00EE68DC"/>
    <w:rsid w:val="00EE74AF"/>
    <w:rsid w:val="00EF0E0E"/>
    <w:rsid w:val="00EF1021"/>
    <w:rsid w:val="00EF162E"/>
    <w:rsid w:val="00EF1DFC"/>
    <w:rsid w:val="00EF22B3"/>
    <w:rsid w:val="00EF3399"/>
    <w:rsid w:val="00EF36F3"/>
    <w:rsid w:val="00EF39E8"/>
    <w:rsid w:val="00EF4120"/>
    <w:rsid w:val="00EF469A"/>
    <w:rsid w:val="00EF5239"/>
    <w:rsid w:val="00EF5DC7"/>
    <w:rsid w:val="00EF6394"/>
    <w:rsid w:val="00EF64EA"/>
    <w:rsid w:val="00EF76C2"/>
    <w:rsid w:val="00F00378"/>
    <w:rsid w:val="00F011E7"/>
    <w:rsid w:val="00F03012"/>
    <w:rsid w:val="00F03B69"/>
    <w:rsid w:val="00F072D9"/>
    <w:rsid w:val="00F0762E"/>
    <w:rsid w:val="00F07A50"/>
    <w:rsid w:val="00F07A87"/>
    <w:rsid w:val="00F10529"/>
    <w:rsid w:val="00F10792"/>
    <w:rsid w:val="00F111B0"/>
    <w:rsid w:val="00F113DA"/>
    <w:rsid w:val="00F11509"/>
    <w:rsid w:val="00F11D74"/>
    <w:rsid w:val="00F13BE1"/>
    <w:rsid w:val="00F13F51"/>
    <w:rsid w:val="00F1437E"/>
    <w:rsid w:val="00F14AFF"/>
    <w:rsid w:val="00F162ED"/>
    <w:rsid w:val="00F17BCD"/>
    <w:rsid w:val="00F206EC"/>
    <w:rsid w:val="00F207CD"/>
    <w:rsid w:val="00F20FDA"/>
    <w:rsid w:val="00F21F34"/>
    <w:rsid w:val="00F22222"/>
    <w:rsid w:val="00F2241A"/>
    <w:rsid w:val="00F224C8"/>
    <w:rsid w:val="00F23184"/>
    <w:rsid w:val="00F242FF"/>
    <w:rsid w:val="00F24E6D"/>
    <w:rsid w:val="00F2522C"/>
    <w:rsid w:val="00F25575"/>
    <w:rsid w:val="00F25F15"/>
    <w:rsid w:val="00F269F3"/>
    <w:rsid w:val="00F319FC"/>
    <w:rsid w:val="00F323B5"/>
    <w:rsid w:val="00F331CB"/>
    <w:rsid w:val="00F338EE"/>
    <w:rsid w:val="00F3484E"/>
    <w:rsid w:val="00F34FEE"/>
    <w:rsid w:val="00F365FE"/>
    <w:rsid w:val="00F36A01"/>
    <w:rsid w:val="00F372C1"/>
    <w:rsid w:val="00F37DC8"/>
    <w:rsid w:val="00F41509"/>
    <w:rsid w:val="00F42AD8"/>
    <w:rsid w:val="00F43837"/>
    <w:rsid w:val="00F439B3"/>
    <w:rsid w:val="00F43AA9"/>
    <w:rsid w:val="00F43BED"/>
    <w:rsid w:val="00F440F8"/>
    <w:rsid w:val="00F45AA8"/>
    <w:rsid w:val="00F5021A"/>
    <w:rsid w:val="00F502DD"/>
    <w:rsid w:val="00F507DC"/>
    <w:rsid w:val="00F511D5"/>
    <w:rsid w:val="00F516C2"/>
    <w:rsid w:val="00F52A1B"/>
    <w:rsid w:val="00F550CF"/>
    <w:rsid w:val="00F55D69"/>
    <w:rsid w:val="00F56136"/>
    <w:rsid w:val="00F5624F"/>
    <w:rsid w:val="00F5657E"/>
    <w:rsid w:val="00F572B5"/>
    <w:rsid w:val="00F5771E"/>
    <w:rsid w:val="00F57732"/>
    <w:rsid w:val="00F62482"/>
    <w:rsid w:val="00F62C92"/>
    <w:rsid w:val="00F62E68"/>
    <w:rsid w:val="00F638FC"/>
    <w:rsid w:val="00F63F7F"/>
    <w:rsid w:val="00F65053"/>
    <w:rsid w:val="00F650C3"/>
    <w:rsid w:val="00F6514A"/>
    <w:rsid w:val="00F65227"/>
    <w:rsid w:val="00F65987"/>
    <w:rsid w:val="00F65D85"/>
    <w:rsid w:val="00F66F99"/>
    <w:rsid w:val="00F67720"/>
    <w:rsid w:val="00F70157"/>
    <w:rsid w:val="00F7076D"/>
    <w:rsid w:val="00F71204"/>
    <w:rsid w:val="00F71429"/>
    <w:rsid w:val="00F7203C"/>
    <w:rsid w:val="00F722F8"/>
    <w:rsid w:val="00F72FC9"/>
    <w:rsid w:val="00F745EF"/>
    <w:rsid w:val="00F74966"/>
    <w:rsid w:val="00F74C7B"/>
    <w:rsid w:val="00F75453"/>
    <w:rsid w:val="00F7551B"/>
    <w:rsid w:val="00F772DB"/>
    <w:rsid w:val="00F77ACD"/>
    <w:rsid w:val="00F8091E"/>
    <w:rsid w:val="00F838FF"/>
    <w:rsid w:val="00F83CC7"/>
    <w:rsid w:val="00F85DAA"/>
    <w:rsid w:val="00F8615C"/>
    <w:rsid w:val="00F87484"/>
    <w:rsid w:val="00F87DCB"/>
    <w:rsid w:val="00F9005F"/>
    <w:rsid w:val="00F9070E"/>
    <w:rsid w:val="00F90E62"/>
    <w:rsid w:val="00F90FE9"/>
    <w:rsid w:val="00F9164F"/>
    <w:rsid w:val="00F92427"/>
    <w:rsid w:val="00F928B2"/>
    <w:rsid w:val="00F928D1"/>
    <w:rsid w:val="00F9570C"/>
    <w:rsid w:val="00F969E5"/>
    <w:rsid w:val="00F978AD"/>
    <w:rsid w:val="00F97AEE"/>
    <w:rsid w:val="00F97E54"/>
    <w:rsid w:val="00FA060A"/>
    <w:rsid w:val="00FA1C95"/>
    <w:rsid w:val="00FA1D8F"/>
    <w:rsid w:val="00FA262A"/>
    <w:rsid w:val="00FA28D4"/>
    <w:rsid w:val="00FA2FA9"/>
    <w:rsid w:val="00FA32F8"/>
    <w:rsid w:val="00FA44AD"/>
    <w:rsid w:val="00FA51F6"/>
    <w:rsid w:val="00FA6BB0"/>
    <w:rsid w:val="00FA6D7D"/>
    <w:rsid w:val="00FB0D76"/>
    <w:rsid w:val="00FB1215"/>
    <w:rsid w:val="00FB17C4"/>
    <w:rsid w:val="00FB1DFB"/>
    <w:rsid w:val="00FB1F1F"/>
    <w:rsid w:val="00FB474E"/>
    <w:rsid w:val="00FB4CEE"/>
    <w:rsid w:val="00FB60B8"/>
    <w:rsid w:val="00FC10F0"/>
    <w:rsid w:val="00FC31CD"/>
    <w:rsid w:val="00FC3703"/>
    <w:rsid w:val="00FC3E96"/>
    <w:rsid w:val="00FC583A"/>
    <w:rsid w:val="00FC5949"/>
    <w:rsid w:val="00FC6EF8"/>
    <w:rsid w:val="00FC743A"/>
    <w:rsid w:val="00FC78BD"/>
    <w:rsid w:val="00FC7BD7"/>
    <w:rsid w:val="00FD0448"/>
    <w:rsid w:val="00FD0515"/>
    <w:rsid w:val="00FD17AB"/>
    <w:rsid w:val="00FD1925"/>
    <w:rsid w:val="00FD2C6F"/>
    <w:rsid w:val="00FD2C74"/>
    <w:rsid w:val="00FD2D77"/>
    <w:rsid w:val="00FD2D8C"/>
    <w:rsid w:val="00FD3244"/>
    <w:rsid w:val="00FD39D5"/>
    <w:rsid w:val="00FD50F7"/>
    <w:rsid w:val="00FD5425"/>
    <w:rsid w:val="00FD5860"/>
    <w:rsid w:val="00FD6965"/>
    <w:rsid w:val="00FD6F0E"/>
    <w:rsid w:val="00FE028A"/>
    <w:rsid w:val="00FE0F9A"/>
    <w:rsid w:val="00FE1DEE"/>
    <w:rsid w:val="00FE352D"/>
    <w:rsid w:val="00FE40EB"/>
    <w:rsid w:val="00FE4D02"/>
    <w:rsid w:val="00FE4E18"/>
    <w:rsid w:val="00FE51C9"/>
    <w:rsid w:val="00FE59F0"/>
    <w:rsid w:val="00FE7B2F"/>
    <w:rsid w:val="00FE7D62"/>
    <w:rsid w:val="00FE7EC3"/>
    <w:rsid w:val="00FF0C35"/>
    <w:rsid w:val="00FF1440"/>
    <w:rsid w:val="00FF2450"/>
    <w:rsid w:val="00FF2852"/>
    <w:rsid w:val="00FF2913"/>
    <w:rsid w:val="00FF2FB6"/>
    <w:rsid w:val="00FF3819"/>
    <w:rsid w:val="00FF3910"/>
    <w:rsid w:val="00FF49F9"/>
    <w:rsid w:val="00FF6A20"/>
    <w:rsid w:val="00FF70CB"/>
    <w:rsid w:val="00FF769A"/>
    <w:rsid w:val="015869DE"/>
    <w:rsid w:val="03A1DD5D"/>
    <w:rsid w:val="0401CB22"/>
    <w:rsid w:val="06058E06"/>
    <w:rsid w:val="060BAF3F"/>
    <w:rsid w:val="06F23E64"/>
    <w:rsid w:val="073F424A"/>
    <w:rsid w:val="081260C2"/>
    <w:rsid w:val="0827F6E3"/>
    <w:rsid w:val="091965EA"/>
    <w:rsid w:val="09445564"/>
    <w:rsid w:val="0BB9434C"/>
    <w:rsid w:val="0BD128FF"/>
    <w:rsid w:val="0C6D860B"/>
    <w:rsid w:val="0EE34029"/>
    <w:rsid w:val="104B351A"/>
    <w:rsid w:val="114197EF"/>
    <w:rsid w:val="1199CB1F"/>
    <w:rsid w:val="1240EA15"/>
    <w:rsid w:val="12E64F67"/>
    <w:rsid w:val="144F80C7"/>
    <w:rsid w:val="145A31E8"/>
    <w:rsid w:val="15ABAEB2"/>
    <w:rsid w:val="15E7C282"/>
    <w:rsid w:val="1689791B"/>
    <w:rsid w:val="16C485F8"/>
    <w:rsid w:val="16E85D80"/>
    <w:rsid w:val="179173CA"/>
    <w:rsid w:val="19779C2B"/>
    <w:rsid w:val="1AF7BDC2"/>
    <w:rsid w:val="1B9F6AC5"/>
    <w:rsid w:val="1C821C8C"/>
    <w:rsid w:val="1C8369A0"/>
    <w:rsid w:val="20ADA813"/>
    <w:rsid w:val="24A28B40"/>
    <w:rsid w:val="24B8395F"/>
    <w:rsid w:val="25DCF25B"/>
    <w:rsid w:val="26BA32C6"/>
    <w:rsid w:val="27729950"/>
    <w:rsid w:val="2820DA95"/>
    <w:rsid w:val="296835A9"/>
    <w:rsid w:val="2BEBCCF8"/>
    <w:rsid w:val="2C1D7B6B"/>
    <w:rsid w:val="2E700C8B"/>
    <w:rsid w:val="343E84C7"/>
    <w:rsid w:val="350A15E2"/>
    <w:rsid w:val="36507DAB"/>
    <w:rsid w:val="373670E1"/>
    <w:rsid w:val="3C8E45EF"/>
    <w:rsid w:val="3D2D336B"/>
    <w:rsid w:val="3F37C10E"/>
    <w:rsid w:val="3F3C58BB"/>
    <w:rsid w:val="401AEDE6"/>
    <w:rsid w:val="448CACB6"/>
    <w:rsid w:val="44C77D35"/>
    <w:rsid w:val="46594E8A"/>
    <w:rsid w:val="46F5F918"/>
    <w:rsid w:val="472F32FB"/>
    <w:rsid w:val="4848FD6D"/>
    <w:rsid w:val="4A3A9240"/>
    <w:rsid w:val="4BC15D31"/>
    <w:rsid w:val="4C7A5E14"/>
    <w:rsid w:val="4D8ED785"/>
    <w:rsid w:val="4E41388D"/>
    <w:rsid w:val="5009352D"/>
    <w:rsid w:val="512082DA"/>
    <w:rsid w:val="519C33CB"/>
    <w:rsid w:val="523C89C2"/>
    <w:rsid w:val="54F39CDF"/>
    <w:rsid w:val="55A92D08"/>
    <w:rsid w:val="55D940A6"/>
    <w:rsid w:val="5685ADC0"/>
    <w:rsid w:val="5D586A32"/>
    <w:rsid w:val="5D82D5AC"/>
    <w:rsid w:val="5FEBDCA1"/>
    <w:rsid w:val="61F7A379"/>
    <w:rsid w:val="62EAD097"/>
    <w:rsid w:val="6406EE9A"/>
    <w:rsid w:val="64CCB928"/>
    <w:rsid w:val="6564E061"/>
    <w:rsid w:val="6B72B3D7"/>
    <w:rsid w:val="6B8B3446"/>
    <w:rsid w:val="6B9F3BD4"/>
    <w:rsid w:val="6BB329AB"/>
    <w:rsid w:val="6CE4A49D"/>
    <w:rsid w:val="6D1662B6"/>
    <w:rsid w:val="6FC28A9B"/>
    <w:rsid w:val="70296DA9"/>
    <w:rsid w:val="78354E6C"/>
    <w:rsid w:val="7839B22F"/>
    <w:rsid w:val="7880C782"/>
    <w:rsid w:val="789F6229"/>
    <w:rsid w:val="78F904F7"/>
    <w:rsid w:val="79854EFB"/>
    <w:rsid w:val="7A1FBB93"/>
    <w:rsid w:val="7C16C273"/>
    <w:rsid w:val="7D84B361"/>
    <w:rsid w:val="7F1A3B8C"/>
    <w:rsid w:val="7F750A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B0EE4"/>
  <w15:chartTrackingRefBased/>
  <w15:docId w15:val="{F91CB3D7-EB2B-490B-92EA-276758AB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39A1"/>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C20895"/>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C20895"/>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C20895"/>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C20895"/>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C20895"/>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C20895"/>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C20895"/>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C20895"/>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C20895"/>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C20895"/>
    <w:rPr>
      <w:rFonts w:ascii="Times New Roman" w:hAnsi="Times New Roman"/>
      <w:b/>
      <w:sz w:val="18"/>
      <w:lang w:val="en-GB"/>
    </w:rPr>
  </w:style>
  <w:style w:type="table" w:customStyle="1" w:styleId="Tabledocright">
    <w:name w:val="Table_doc_right"/>
    <w:basedOn w:val="TableNormal"/>
    <w:rsid w:val="00C20895"/>
    <w:pPr>
      <w:spacing w:before="40" w:after="40"/>
    </w:pPr>
    <w:rPr>
      <w:sz w:val="18"/>
      <w:szCs w:val="18"/>
    </w:rPr>
    <w:tblPr/>
  </w:style>
  <w:style w:type="paragraph" w:styleId="TOC6">
    <w:name w:val="toc 6"/>
    <w:basedOn w:val="Normal"/>
    <w:next w:val="Normal"/>
    <w:semiHidden/>
    <w:rsid w:val="00C20895"/>
    <w:pPr>
      <w:ind w:left="1000"/>
    </w:pPr>
    <w:rPr>
      <w:sz w:val="18"/>
      <w:szCs w:val="18"/>
    </w:rPr>
  </w:style>
  <w:style w:type="paragraph" w:styleId="TOC7">
    <w:name w:val="toc 7"/>
    <w:basedOn w:val="Normal"/>
    <w:next w:val="Normal"/>
    <w:autoRedefine/>
    <w:semiHidden/>
    <w:rsid w:val="00C20895"/>
    <w:pPr>
      <w:ind w:left="1200"/>
    </w:pPr>
    <w:rPr>
      <w:sz w:val="18"/>
      <w:szCs w:val="18"/>
    </w:rPr>
  </w:style>
  <w:style w:type="paragraph" w:styleId="TOC8">
    <w:name w:val="toc 8"/>
    <w:basedOn w:val="Normal"/>
    <w:next w:val="Normal"/>
    <w:autoRedefine/>
    <w:semiHidden/>
    <w:rsid w:val="00C20895"/>
    <w:pPr>
      <w:ind w:left="1400"/>
    </w:pPr>
    <w:rPr>
      <w:sz w:val="18"/>
      <w:szCs w:val="18"/>
    </w:rPr>
  </w:style>
  <w:style w:type="paragraph" w:styleId="TOC9">
    <w:name w:val="toc 9"/>
    <w:basedOn w:val="Normal"/>
    <w:next w:val="Normal"/>
    <w:autoRedefine/>
    <w:semiHidden/>
    <w:rsid w:val="00C20895"/>
    <w:pPr>
      <w:ind w:left="1600"/>
    </w:pPr>
    <w:rPr>
      <w:sz w:val="18"/>
      <w:szCs w:val="18"/>
    </w:rPr>
  </w:style>
  <w:style w:type="paragraph" w:customStyle="1" w:styleId="Titlefigure">
    <w:name w:val="Title_figure"/>
    <w:basedOn w:val="Titletable"/>
    <w:next w:val="NormalNonumber"/>
    <w:rsid w:val="00C20895"/>
    <w:pPr>
      <w:tabs>
        <w:tab w:val="clear" w:pos="4990"/>
      </w:tabs>
    </w:pPr>
    <w:rPr>
      <w:bCs w:val="0"/>
    </w:rPr>
  </w:style>
  <w:style w:type="paragraph" w:styleId="TableofFigures">
    <w:name w:val="table of figures"/>
    <w:basedOn w:val="Normal"/>
    <w:next w:val="Normal"/>
    <w:autoRedefine/>
    <w:semiHidden/>
    <w:rsid w:val="00C20895"/>
    <w:pPr>
      <w:ind w:left="1814" w:hanging="567"/>
    </w:pPr>
  </w:style>
  <w:style w:type="paragraph" w:customStyle="1" w:styleId="CH1">
    <w:name w:val="CH1"/>
    <w:basedOn w:val="Normal-pool"/>
    <w:next w:val="CH2"/>
    <w:qFormat/>
    <w:rsid w:val="00C20895"/>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C20895"/>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C20895"/>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C20895"/>
    <w:rPr>
      <w:rFonts w:ascii="Arial" w:hAnsi="Arial"/>
      <w:sz w:val="16"/>
    </w:rPr>
    <w:tblPr/>
  </w:style>
  <w:style w:type="paragraph" w:customStyle="1" w:styleId="CH5">
    <w:name w:val="CH5"/>
    <w:basedOn w:val="Normal-pool"/>
    <w:next w:val="Normalnumber"/>
    <w:unhideWhenUsed/>
    <w:rsid w:val="00C20895"/>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C20895"/>
    <w:pPr>
      <w:tabs>
        <w:tab w:val="left" w:pos="4321"/>
        <w:tab w:val="right" w:pos="8641"/>
      </w:tabs>
      <w:spacing w:before="60"/>
    </w:pPr>
    <w:rPr>
      <w:b/>
      <w:sz w:val="18"/>
    </w:rPr>
  </w:style>
  <w:style w:type="paragraph" w:customStyle="1" w:styleId="Footer-pool">
    <w:name w:val="Footer-pool"/>
    <w:basedOn w:val="Normal-pool"/>
    <w:next w:val="Normal-pool"/>
    <w:rsid w:val="00C20895"/>
    <w:pPr>
      <w:tabs>
        <w:tab w:val="right" w:pos="8641"/>
      </w:tabs>
      <w:spacing w:after="120"/>
    </w:pPr>
    <w:rPr>
      <w:b/>
      <w:sz w:val="18"/>
    </w:rPr>
  </w:style>
  <w:style w:type="paragraph" w:customStyle="1" w:styleId="Header-pool">
    <w:name w:val="Header-pool"/>
    <w:basedOn w:val="Normal"/>
    <w:next w:val="Normal"/>
    <w:rsid w:val="00C20895"/>
    <w:pPr>
      <w:pBdr>
        <w:bottom w:val="single" w:sz="4" w:space="1" w:color="auto"/>
      </w:pBdr>
      <w:tabs>
        <w:tab w:val="right" w:pos="9072"/>
      </w:tabs>
    </w:pPr>
    <w:rPr>
      <w:b/>
      <w:sz w:val="18"/>
    </w:rPr>
  </w:style>
  <w:style w:type="character" w:styleId="FootnoteReference">
    <w:name w:val="footnote reference"/>
    <w:aliases w:val="Footnote text,16 Point,Superscript 6 Point,Footnote Text1,Footnote Text2,number,Footnote reference number,Footnote symbol,note TESI,-E Fußnotenzeichen,SUPERS,stylish,ftref,Footnote Reference Superscript,-E Fuﬂnotenzeichen,fr,Ref,註腳內容"/>
    <w:uiPriority w:val="99"/>
    <w:unhideWhenUsed/>
    <w:qFormat/>
    <w:rsid w:val="00C20895"/>
    <w:rPr>
      <w:rFonts w:ascii="Times New Roman" w:hAnsi="Times New Roman"/>
      <w:color w:val="auto"/>
      <w:sz w:val="20"/>
      <w:szCs w:val="18"/>
      <w:vertAlign w:val="superscript"/>
      <w:lang w:val="en-GB"/>
    </w:rPr>
  </w:style>
  <w:style w:type="table" w:customStyle="1" w:styleId="AATable">
    <w:name w:val="AA_Table"/>
    <w:basedOn w:val="TableNormal"/>
    <w:semiHidden/>
    <w:rsid w:val="00C20895"/>
    <w:tblPr>
      <w:tblStyleRowBandSize w:val="1"/>
      <w:tblStyleColBandSize w:val="1"/>
      <w:jc w:val="right"/>
    </w:tblPr>
    <w:trPr>
      <w:jc w:val="right"/>
    </w:trPr>
    <w:tcPr>
      <w:tcBorders>
        <w:bottom w:val="single" w:sz="4" w:space="0" w:color="auto"/>
      </w:tcBorders>
    </w:tc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C20895"/>
    <w:pPr>
      <w:keepNext/>
      <w:keepLines/>
      <w:suppressAutoHyphens/>
    </w:pPr>
    <w:rPr>
      <w:b/>
    </w:rPr>
  </w:style>
  <w:style w:type="paragraph" w:customStyle="1" w:styleId="AATitle2">
    <w:name w:val="AA_Title2"/>
    <w:basedOn w:val="AATitle"/>
    <w:qFormat/>
    <w:rsid w:val="00C20895"/>
    <w:pPr>
      <w:keepNext w:val="0"/>
      <w:keepLines w:val="0"/>
      <w:tabs>
        <w:tab w:val="clear" w:pos="4990"/>
      </w:tabs>
      <w:spacing w:before="120" w:after="120"/>
    </w:pPr>
  </w:style>
  <w:style w:type="paragraph" w:customStyle="1" w:styleId="BBTitle">
    <w:name w:val="BB_Title"/>
    <w:basedOn w:val="Normal-pool"/>
    <w:link w:val="BBTitleChar"/>
    <w:qFormat/>
    <w:rsid w:val="00C20895"/>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C20895"/>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C20895"/>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C20895"/>
    <w:rPr>
      <w:color w:val="0000FF"/>
      <w:u w:val="none"/>
      <w:lang w:val="en-GB"/>
    </w:rPr>
  </w:style>
  <w:style w:type="numbering" w:customStyle="1" w:styleId="Normallist">
    <w:name w:val="Normal_list"/>
    <w:basedOn w:val="NoList"/>
    <w:rsid w:val="00C20895"/>
    <w:pPr>
      <w:numPr>
        <w:numId w:val="1"/>
      </w:numPr>
    </w:pPr>
  </w:style>
  <w:style w:type="paragraph" w:customStyle="1" w:styleId="NormalNonumber">
    <w:name w:val="Normal_No_number"/>
    <w:basedOn w:val="Normal-pool"/>
    <w:qFormat/>
    <w:rsid w:val="00C20895"/>
    <w:pPr>
      <w:spacing w:after="120"/>
      <w:ind w:left="1247"/>
    </w:pPr>
  </w:style>
  <w:style w:type="paragraph" w:customStyle="1" w:styleId="Normalnumber">
    <w:name w:val="Normal_number"/>
    <w:basedOn w:val="Normal"/>
    <w:link w:val="NormalnumberChar"/>
    <w:qFormat/>
    <w:rsid w:val="00C20895"/>
    <w:pPr>
      <w:numPr>
        <w:numId w:val="1"/>
      </w:numPr>
      <w:spacing w:after="120"/>
    </w:pPr>
  </w:style>
  <w:style w:type="paragraph" w:customStyle="1" w:styleId="Titletable">
    <w:name w:val="Title_table"/>
    <w:basedOn w:val="Normal-pool"/>
    <w:next w:val="NormalNonumber"/>
    <w:rsid w:val="00C20895"/>
    <w:pPr>
      <w:keepNext/>
      <w:keepLines/>
      <w:suppressAutoHyphens/>
      <w:spacing w:after="60"/>
      <w:ind w:left="1247"/>
    </w:pPr>
    <w:rPr>
      <w:b/>
      <w:bCs/>
    </w:rPr>
  </w:style>
  <w:style w:type="paragraph" w:styleId="TOC1">
    <w:name w:val="toc 1"/>
    <w:basedOn w:val="Normal"/>
    <w:next w:val="Normal"/>
    <w:autoRedefine/>
    <w:uiPriority w:val="39"/>
    <w:unhideWhenUsed/>
    <w:rsid w:val="00C20895"/>
    <w:pPr>
      <w:tabs>
        <w:tab w:val="right" w:leader="dot" w:pos="9486"/>
      </w:tabs>
      <w:spacing w:before="240"/>
      <w:ind w:left="1984" w:hanging="737"/>
    </w:pPr>
    <w:rPr>
      <w:bCs/>
    </w:rPr>
  </w:style>
  <w:style w:type="paragraph" w:styleId="TOC2">
    <w:name w:val="toc 2"/>
    <w:basedOn w:val="Normal"/>
    <w:next w:val="Normal"/>
    <w:uiPriority w:val="39"/>
    <w:unhideWhenUsed/>
    <w:rsid w:val="00C20895"/>
    <w:pPr>
      <w:tabs>
        <w:tab w:val="right" w:leader="dot" w:pos="9486"/>
      </w:tabs>
      <w:spacing w:before="60"/>
      <w:ind w:left="2608" w:hanging="737"/>
    </w:pPr>
  </w:style>
  <w:style w:type="paragraph" w:styleId="TOC3">
    <w:name w:val="toc 3"/>
    <w:basedOn w:val="Normal"/>
    <w:next w:val="Normal"/>
    <w:uiPriority w:val="39"/>
    <w:unhideWhenUsed/>
    <w:rsid w:val="00C20895"/>
    <w:pPr>
      <w:tabs>
        <w:tab w:val="right" w:leader="dot" w:pos="9486"/>
      </w:tabs>
      <w:ind w:left="3232" w:hanging="737"/>
    </w:pPr>
    <w:rPr>
      <w:iCs/>
    </w:rPr>
  </w:style>
  <w:style w:type="paragraph" w:styleId="TOC4">
    <w:name w:val="toc 4"/>
    <w:basedOn w:val="Normal"/>
    <w:next w:val="Normal"/>
    <w:uiPriority w:val="39"/>
    <w:unhideWhenUsed/>
    <w:rsid w:val="00C20895"/>
    <w:pPr>
      <w:tabs>
        <w:tab w:val="left" w:pos="1000"/>
        <w:tab w:val="right" w:leader="dot" w:pos="9486"/>
      </w:tabs>
      <w:ind w:left="3856" w:hanging="737"/>
    </w:pPr>
    <w:rPr>
      <w:szCs w:val="18"/>
    </w:rPr>
  </w:style>
  <w:style w:type="paragraph" w:styleId="TOC5">
    <w:name w:val="toc 5"/>
    <w:basedOn w:val="Normal"/>
    <w:next w:val="Normal"/>
    <w:uiPriority w:val="39"/>
    <w:rsid w:val="00C20895"/>
    <w:pPr>
      <w:tabs>
        <w:tab w:val="right" w:leader="dot" w:pos="9486"/>
      </w:tabs>
      <w:ind w:left="4479" w:hanging="737"/>
    </w:pPr>
    <w:rPr>
      <w:sz w:val="18"/>
      <w:szCs w:val="18"/>
    </w:rPr>
  </w:style>
  <w:style w:type="paragraph" w:customStyle="1" w:styleId="ZZAnxheader">
    <w:name w:val="ZZ_Anx_header"/>
    <w:basedOn w:val="Normal-pool"/>
    <w:rsid w:val="00C20895"/>
    <w:rPr>
      <w:b/>
      <w:bCs/>
      <w:sz w:val="28"/>
      <w:szCs w:val="22"/>
    </w:rPr>
  </w:style>
  <w:style w:type="paragraph" w:customStyle="1" w:styleId="ZZAnxtitle">
    <w:name w:val="ZZ_Anx_title"/>
    <w:basedOn w:val="Normal-pool"/>
    <w:rsid w:val="00C20895"/>
    <w:pPr>
      <w:spacing w:before="360" w:after="120"/>
      <w:ind w:left="1247"/>
    </w:pPr>
    <w:rPr>
      <w:b/>
      <w:bCs/>
      <w:sz w:val="28"/>
      <w:szCs w:val="26"/>
    </w:rPr>
  </w:style>
  <w:style w:type="paragraph" w:styleId="NormalWeb">
    <w:name w:val="Normal (Web)"/>
    <w:basedOn w:val="Normal"/>
    <w:uiPriority w:val="99"/>
    <w:semiHidden/>
    <w:unhideWhenUsed/>
    <w:rsid w:val="00C20895"/>
    <w:pPr>
      <w:spacing w:before="100" w:beforeAutospacing="1" w:after="100" w:afterAutospacing="1"/>
    </w:pPr>
    <w:rPr>
      <w:rFonts w:eastAsiaTheme="minorEastAsia"/>
      <w:sz w:val="24"/>
      <w:szCs w:val="24"/>
    </w:rPr>
  </w:style>
  <w:style w:type="paragraph" w:customStyle="1" w:styleId="Normal-pool-Table">
    <w:name w:val="Normal-pool-Table"/>
    <w:basedOn w:val="Normal-pool"/>
    <w:rsid w:val="00C20895"/>
    <w:pPr>
      <w:spacing w:before="40" w:after="40"/>
    </w:pPr>
    <w:rPr>
      <w:sz w:val="18"/>
    </w:rPr>
  </w:style>
  <w:style w:type="paragraph" w:customStyle="1" w:styleId="Footnote-Text">
    <w:name w:val="Footnote-Text"/>
    <w:basedOn w:val="Normal-pool"/>
    <w:rsid w:val="00C20895"/>
    <w:pPr>
      <w:spacing w:before="20" w:after="40"/>
      <w:ind w:left="1247"/>
    </w:pPr>
    <w:rPr>
      <w:sz w:val="18"/>
    </w:rPr>
  </w:style>
  <w:style w:type="paragraph" w:customStyle="1" w:styleId="AConvName">
    <w:name w:val="A_ConvName"/>
    <w:basedOn w:val="Normal-pool"/>
    <w:next w:val="Normal-pool"/>
    <w:rsid w:val="00C20895"/>
    <w:pPr>
      <w:spacing w:before="120" w:after="240"/>
    </w:pPr>
    <w:rPr>
      <w:rFonts w:ascii="Arial" w:hAnsi="Arial"/>
      <w:b/>
      <w:sz w:val="28"/>
    </w:rPr>
  </w:style>
  <w:style w:type="paragraph" w:customStyle="1" w:styleId="ASymbol">
    <w:name w:val="A_Symbol"/>
    <w:basedOn w:val="Normal-pool"/>
    <w:rsid w:val="00C20895"/>
    <w:pPr>
      <w:tabs>
        <w:tab w:val="clear" w:pos="624"/>
        <w:tab w:val="clear" w:pos="1247"/>
        <w:tab w:val="right" w:pos="2920"/>
      </w:tabs>
    </w:pPr>
    <w:rPr>
      <w:rFonts w:eastAsia="SimSun"/>
    </w:rPr>
  </w:style>
  <w:style w:type="paragraph" w:customStyle="1" w:styleId="AText">
    <w:name w:val="A_Text"/>
    <w:basedOn w:val="Normal-pool"/>
    <w:rsid w:val="00C20895"/>
    <w:pPr>
      <w:spacing w:before="120"/>
    </w:pPr>
  </w:style>
  <w:style w:type="paragraph" w:customStyle="1" w:styleId="ATwoLetters">
    <w:name w:val="A_TwoLetters"/>
    <w:basedOn w:val="Normal-pool"/>
    <w:next w:val="Normal-pool"/>
    <w:rsid w:val="00C20895"/>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C20895"/>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C20895"/>
    <w:rPr>
      <w:rFonts w:ascii="Tahoma" w:hAnsi="Tahoma" w:cs="Tahoma"/>
      <w:sz w:val="16"/>
      <w:szCs w:val="16"/>
    </w:rPr>
  </w:style>
  <w:style w:type="character" w:customStyle="1" w:styleId="BalloonTextChar">
    <w:name w:val="Balloon Text Char"/>
    <w:basedOn w:val="DefaultParagraphFont"/>
    <w:link w:val="BalloonText"/>
    <w:rsid w:val="00C20895"/>
    <w:rPr>
      <w:rFonts w:ascii="Tahoma" w:eastAsia="Times New Roman" w:hAnsi="Tahoma" w:cs="Tahoma"/>
      <w:sz w:val="16"/>
      <w:szCs w:val="16"/>
      <w:lang w:val="en-GB" w:eastAsia="en-US"/>
    </w:rPr>
  </w:style>
  <w:style w:type="character" w:styleId="CommentReference">
    <w:name w:val="annotation reference"/>
    <w:basedOn w:val="DefaultParagraphFont"/>
    <w:uiPriority w:val="99"/>
    <w:semiHidden/>
    <w:unhideWhenUsed/>
    <w:qFormat/>
    <w:rsid w:val="00C20895"/>
    <w:rPr>
      <w:sz w:val="16"/>
      <w:szCs w:val="16"/>
      <w:lang w:val="en-GB"/>
    </w:rPr>
  </w:style>
  <w:style w:type="paragraph" w:styleId="CommentText">
    <w:name w:val="annotation text"/>
    <w:basedOn w:val="Normal"/>
    <w:link w:val="CommentTextChar"/>
    <w:uiPriority w:val="99"/>
    <w:unhideWhenUsed/>
    <w:qFormat/>
    <w:rsid w:val="00C20895"/>
  </w:style>
  <w:style w:type="character" w:customStyle="1" w:styleId="CommentTextChar">
    <w:name w:val="Comment Text Char"/>
    <w:basedOn w:val="DefaultParagraphFont"/>
    <w:link w:val="CommentText"/>
    <w:uiPriority w:val="99"/>
    <w:qFormat/>
    <w:rsid w:val="00C20895"/>
    <w:rPr>
      <w:rFonts w:eastAsia="Times New Roman"/>
      <w:lang w:val="en-GB" w:eastAsia="en-US"/>
    </w:rPr>
  </w:style>
  <w:style w:type="paragraph" w:styleId="CommentSubject">
    <w:name w:val="annotation subject"/>
    <w:basedOn w:val="CommentText"/>
    <w:next w:val="CommentText"/>
    <w:link w:val="CommentSubjectChar"/>
    <w:semiHidden/>
    <w:unhideWhenUsed/>
    <w:rsid w:val="00C20895"/>
    <w:rPr>
      <w:b/>
      <w:bCs/>
    </w:rPr>
  </w:style>
  <w:style w:type="character" w:customStyle="1" w:styleId="CommentSubjectChar">
    <w:name w:val="Comment Subject Char"/>
    <w:basedOn w:val="CommentTextChar"/>
    <w:link w:val="CommentSubject"/>
    <w:semiHidden/>
    <w:rsid w:val="00C20895"/>
    <w:rPr>
      <w:rFonts w:eastAsia="Times New Roman"/>
      <w:b/>
      <w:bCs/>
      <w:lang w:val="en-GB" w:eastAsia="en-US"/>
    </w:rPr>
  </w:style>
  <w:style w:type="character" w:styleId="FollowedHyperlink">
    <w:name w:val="FollowedHyperlink"/>
    <w:uiPriority w:val="99"/>
    <w:semiHidden/>
    <w:rsid w:val="00C20895"/>
    <w:rPr>
      <w:color w:val="0000FF"/>
      <w:u w:val="none"/>
      <w:lang w:val="en-GB"/>
    </w:rPr>
  </w:style>
  <w:style w:type="character" w:customStyle="1" w:styleId="FooterChar">
    <w:name w:val="Footer Char"/>
    <w:basedOn w:val="DefaultParagraphFont"/>
    <w:link w:val="CH4"/>
    <w:rsid w:val="00C20895"/>
    <w:rPr>
      <w:rFonts w:eastAsia="Times New Roman"/>
      <w:b/>
      <w:lang w:val="en-GB" w:eastAsia="en-US"/>
    </w:rPr>
  </w:style>
  <w:style w:type="character" w:customStyle="1" w:styleId="HeaderChar">
    <w:name w:val="Header Char"/>
    <w:basedOn w:val="DefaultParagraphFont"/>
    <w:link w:val="Header"/>
    <w:semiHidden/>
    <w:rsid w:val="00C20895"/>
    <w:rPr>
      <w:rFonts w:eastAsia="Times New Roman"/>
      <w:b/>
      <w:sz w:val="18"/>
      <w:lang w:val="en-GB" w:eastAsia="en-US"/>
    </w:rPr>
  </w:style>
  <w:style w:type="character" w:customStyle="1" w:styleId="Heading1Char">
    <w:name w:val="Heading 1 Char"/>
    <w:basedOn w:val="DefaultParagraphFont"/>
    <w:link w:val="Heading1"/>
    <w:rsid w:val="00C20895"/>
    <w:rPr>
      <w:rFonts w:eastAsia="Times New Roman"/>
      <w:b/>
      <w:sz w:val="28"/>
      <w:szCs w:val="28"/>
      <w:lang w:val="en-GB" w:eastAsia="en-US"/>
    </w:rPr>
  </w:style>
  <w:style w:type="character" w:customStyle="1" w:styleId="Heading2Char">
    <w:name w:val="Heading 2 Char"/>
    <w:basedOn w:val="DefaultParagraphFont"/>
    <w:link w:val="Heading2"/>
    <w:rsid w:val="00C20895"/>
    <w:rPr>
      <w:rFonts w:eastAsia="Times New Roman"/>
      <w:b/>
      <w:sz w:val="24"/>
      <w:szCs w:val="24"/>
      <w:lang w:val="en-GB" w:eastAsia="en-US"/>
    </w:rPr>
  </w:style>
  <w:style w:type="character" w:customStyle="1" w:styleId="Heading3Char">
    <w:name w:val="Heading 3 Char"/>
    <w:basedOn w:val="DefaultParagraphFont"/>
    <w:link w:val="Heading3"/>
    <w:rsid w:val="00C20895"/>
    <w:rPr>
      <w:rFonts w:eastAsia="Times New Roman"/>
      <w:b/>
      <w:lang w:val="en-GB" w:eastAsia="en-US"/>
    </w:rPr>
  </w:style>
  <w:style w:type="character" w:customStyle="1" w:styleId="Heading4Char">
    <w:name w:val="Heading 4 Char"/>
    <w:basedOn w:val="DefaultParagraphFont"/>
    <w:link w:val="Heading4"/>
    <w:rsid w:val="00C20895"/>
    <w:rPr>
      <w:rFonts w:eastAsia="Times New Roman"/>
      <w:b/>
      <w:lang w:val="en-GB" w:eastAsia="en-US"/>
    </w:rPr>
  </w:style>
  <w:style w:type="character" w:customStyle="1" w:styleId="Heading5Char">
    <w:name w:val="Heading 5 Char"/>
    <w:basedOn w:val="DefaultParagraphFont"/>
    <w:link w:val="Heading5"/>
    <w:rsid w:val="00C20895"/>
    <w:rPr>
      <w:rFonts w:eastAsia="Times New Roman"/>
      <w:b/>
      <w:lang w:val="en-GB" w:eastAsia="en-US"/>
    </w:rPr>
  </w:style>
  <w:style w:type="character" w:customStyle="1" w:styleId="Heading6Char">
    <w:name w:val="Heading 6 Char"/>
    <w:basedOn w:val="DefaultParagraphFont"/>
    <w:link w:val="Heading6"/>
    <w:semiHidden/>
    <w:rsid w:val="00C20895"/>
    <w:rPr>
      <w:rFonts w:eastAsia="Times New Roman"/>
      <w:bCs/>
      <w:sz w:val="24"/>
      <w:lang w:val="en-GB" w:eastAsia="en-US"/>
    </w:rPr>
  </w:style>
  <w:style w:type="character" w:customStyle="1" w:styleId="Heading7Char">
    <w:name w:val="Heading 7 Char"/>
    <w:basedOn w:val="DefaultParagraphFont"/>
    <w:link w:val="Heading7"/>
    <w:semiHidden/>
    <w:rsid w:val="00C20895"/>
    <w:rPr>
      <w:rFonts w:eastAsia="Times New Roman"/>
      <w:b/>
      <w:snapToGrid w:val="0"/>
      <w:u w:val="single"/>
      <w:lang w:val="en-GB" w:eastAsia="en-US"/>
    </w:rPr>
  </w:style>
  <w:style w:type="character" w:customStyle="1" w:styleId="Heading8Char">
    <w:name w:val="Heading 8 Char"/>
    <w:basedOn w:val="DefaultParagraphFont"/>
    <w:link w:val="Heading8"/>
    <w:semiHidden/>
    <w:rsid w:val="00C20895"/>
    <w:rPr>
      <w:rFonts w:eastAsia="Times New Roman"/>
      <w:b/>
      <w:snapToGrid w:val="0"/>
      <w:u w:val="single"/>
      <w:lang w:val="en-GB" w:eastAsia="en-US"/>
    </w:rPr>
  </w:style>
  <w:style w:type="character" w:customStyle="1" w:styleId="Heading9Char">
    <w:name w:val="Heading 9 Char"/>
    <w:basedOn w:val="DefaultParagraphFont"/>
    <w:link w:val="Heading9"/>
    <w:semiHidden/>
    <w:rsid w:val="00C20895"/>
    <w:rPr>
      <w:rFonts w:eastAsia="Times New Roman"/>
      <w:snapToGrid w:val="0"/>
      <w:u w:val="single"/>
      <w:lang w:val="en-GB" w:eastAsia="en-US"/>
    </w:rPr>
  </w:style>
  <w:style w:type="paragraph" w:styleId="ListParagraph">
    <w:name w:val="List Paragraph"/>
    <w:aliases w:val="(i) Indent 2,List Paragraph (numbered (a)) Char,List Paragraph Char Char Char,List Paragraph (numbered (a)),Use Case List Paragraph,List Paragraph2,Numbered List Paragraph,Main numbered paragraph,Bullet paras,ANNEX"/>
    <w:basedOn w:val="Normal"/>
    <w:link w:val="ListParagraphChar"/>
    <w:uiPriority w:val="34"/>
    <w:qFormat/>
    <w:rsid w:val="00C20895"/>
    <w:pPr>
      <w:ind w:left="720"/>
      <w:contextualSpacing/>
    </w:pPr>
  </w:style>
  <w:style w:type="paragraph" w:styleId="NoSpacing">
    <w:name w:val="No Spacing"/>
    <w:uiPriority w:val="1"/>
    <w:semiHidden/>
    <w:qFormat/>
    <w:rsid w:val="00C20895"/>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C20895"/>
    <w:rPr>
      <w:rFonts w:eastAsia="Times New Roman"/>
      <w:lang w:val="en-GB" w:eastAsia="en-US"/>
    </w:rPr>
  </w:style>
  <w:style w:type="character" w:styleId="PlaceholderText">
    <w:name w:val="Placeholder Text"/>
    <w:basedOn w:val="DefaultParagraphFont"/>
    <w:uiPriority w:val="99"/>
    <w:semiHidden/>
    <w:rsid w:val="00C20895"/>
    <w:rPr>
      <w:color w:val="808080"/>
      <w:lang w:val="en-GB"/>
    </w:rPr>
  </w:style>
  <w:style w:type="table" w:styleId="TableGrid">
    <w:name w:val="Table Grid"/>
    <w:basedOn w:val="TableNormal"/>
    <w:rsid w:val="00C20895"/>
    <w:tblPr/>
  </w:style>
  <w:style w:type="paragraph" w:customStyle="1" w:styleId="ALogo">
    <w:name w:val="A_Logo"/>
    <w:basedOn w:val="Normal-pool"/>
    <w:link w:val="ALogoChar"/>
    <w:rsid w:val="00C20895"/>
    <w:pPr>
      <w:spacing w:before="120" w:after="240"/>
    </w:pPr>
  </w:style>
  <w:style w:type="character" w:customStyle="1" w:styleId="ALogoChar">
    <w:name w:val="A_Logo Char"/>
    <w:basedOn w:val="DefaultParagraphFont"/>
    <w:link w:val="ALogo"/>
    <w:rsid w:val="00C20895"/>
    <w:rPr>
      <w:rFonts w:eastAsia="Times New Roman"/>
      <w:lang w:val="en-GB" w:eastAsia="en-US"/>
    </w:rPr>
  </w:style>
  <w:style w:type="paragraph" w:customStyle="1" w:styleId="ASpacer">
    <w:name w:val="A_Spacer"/>
    <w:basedOn w:val="Normal-pool"/>
    <w:link w:val="ASpacerChar"/>
    <w:qFormat/>
    <w:rsid w:val="00C20895"/>
    <w:rPr>
      <w:sz w:val="2"/>
    </w:rPr>
  </w:style>
  <w:style w:type="character" w:customStyle="1" w:styleId="ASpacerChar">
    <w:name w:val="A_Spacer Char"/>
    <w:basedOn w:val="DefaultParagraphFont"/>
    <w:link w:val="ASpacer"/>
    <w:rsid w:val="00C20895"/>
    <w:rPr>
      <w:rFonts w:eastAsia="Times New Roman"/>
      <w:sz w:val="2"/>
      <w:lang w:val="en-GB" w:eastAsia="en-US"/>
    </w:rPr>
  </w:style>
  <w:style w:type="paragraph" w:customStyle="1" w:styleId="AATitle1">
    <w:name w:val="AA_Title1"/>
    <w:basedOn w:val="Normal-pool"/>
    <w:rsid w:val="00C20895"/>
  </w:style>
  <w:style w:type="character" w:customStyle="1" w:styleId="UnresolvedMention1">
    <w:name w:val="Unresolved Mention1"/>
    <w:basedOn w:val="DefaultParagraphFont"/>
    <w:uiPriority w:val="99"/>
    <w:semiHidden/>
    <w:rsid w:val="00C20895"/>
    <w:rPr>
      <w:color w:val="605E5C"/>
      <w:shd w:val="clear" w:color="auto" w:fill="E1DFDD"/>
      <w:lang w:val="en-GB"/>
    </w:rPr>
  </w:style>
  <w:style w:type="paragraph" w:customStyle="1" w:styleId="ANormal">
    <w:name w:val="A_Normal"/>
    <w:basedOn w:val="Normal-pool"/>
    <w:rsid w:val="00C20895"/>
  </w:style>
  <w:style w:type="paragraph" w:customStyle="1" w:styleId="AText0">
    <w:name w:val="A_Text0"/>
    <w:basedOn w:val="AText"/>
    <w:next w:val="AText"/>
    <w:qFormat/>
    <w:rsid w:val="00C20895"/>
    <w:pPr>
      <w:tabs>
        <w:tab w:val="clear" w:pos="4990"/>
      </w:tabs>
      <w:spacing w:before="0" w:after="120"/>
    </w:pPr>
  </w:style>
  <w:style w:type="paragraph" w:styleId="Footer">
    <w:name w:val="footer"/>
    <w:basedOn w:val="Normal"/>
    <w:link w:val="FooterChar1"/>
    <w:unhideWhenUsed/>
    <w:rsid w:val="00C20895"/>
    <w:pPr>
      <w:tabs>
        <w:tab w:val="clear" w:pos="1247"/>
        <w:tab w:val="right" w:pos="8641"/>
      </w:tabs>
    </w:pPr>
    <w:rPr>
      <w:b/>
      <w:sz w:val="18"/>
    </w:rPr>
  </w:style>
  <w:style w:type="character" w:customStyle="1" w:styleId="FooterChar1">
    <w:name w:val="Footer Char1"/>
    <w:basedOn w:val="DefaultParagraphFont"/>
    <w:link w:val="Footer"/>
    <w:rsid w:val="00C20895"/>
    <w:rPr>
      <w:rFonts w:eastAsia="Times New Roman"/>
      <w:b/>
      <w:sz w:val="18"/>
      <w:lang w:val="en-GB" w:eastAsia="en-US"/>
    </w:rPr>
  </w:style>
  <w:style w:type="paragraph" w:customStyle="1" w:styleId="Normal-pool">
    <w:name w:val="Normal-pool"/>
    <w:link w:val="Normal-poolChar"/>
    <w:qFormat/>
    <w:rsid w:val="00C20895"/>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C20895"/>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C20895"/>
    <w:pPr>
      <w:spacing w:before="60"/>
      <w:ind w:left="624"/>
    </w:pPr>
    <w:rPr>
      <w:rFonts w:eastAsiaTheme="minorEastAsia"/>
      <w:sz w:val="18"/>
    </w:rPr>
  </w:style>
  <w:style w:type="paragraph" w:styleId="Bibliography">
    <w:name w:val="Bibliography"/>
    <w:basedOn w:val="Normal"/>
    <w:next w:val="Normal"/>
    <w:uiPriority w:val="37"/>
    <w:semiHidden/>
    <w:rsid w:val="00C20895"/>
  </w:style>
  <w:style w:type="paragraph" w:styleId="BlockText">
    <w:name w:val="Block Text"/>
    <w:basedOn w:val="Normal"/>
    <w:semiHidden/>
    <w:unhideWhenUsed/>
    <w:rsid w:val="00C2089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20895"/>
    <w:pPr>
      <w:spacing w:after="120"/>
    </w:pPr>
  </w:style>
  <w:style w:type="character" w:customStyle="1" w:styleId="BodyTextChar">
    <w:name w:val="Body Text Char"/>
    <w:basedOn w:val="DefaultParagraphFont"/>
    <w:link w:val="BodyText"/>
    <w:semiHidden/>
    <w:rsid w:val="00C20895"/>
    <w:rPr>
      <w:rFonts w:eastAsia="Times New Roman"/>
      <w:lang w:val="en-GB" w:eastAsia="en-US"/>
    </w:rPr>
  </w:style>
  <w:style w:type="paragraph" w:styleId="BodyText2">
    <w:name w:val="Body Text 2"/>
    <w:basedOn w:val="Normal"/>
    <w:link w:val="BodyText2Char"/>
    <w:semiHidden/>
    <w:unhideWhenUsed/>
    <w:rsid w:val="00C20895"/>
    <w:pPr>
      <w:spacing w:after="120" w:line="480" w:lineRule="auto"/>
    </w:pPr>
  </w:style>
  <w:style w:type="character" w:customStyle="1" w:styleId="BodyText2Char">
    <w:name w:val="Body Text 2 Char"/>
    <w:basedOn w:val="DefaultParagraphFont"/>
    <w:link w:val="BodyText2"/>
    <w:semiHidden/>
    <w:rsid w:val="00C20895"/>
    <w:rPr>
      <w:rFonts w:eastAsia="Times New Roman"/>
      <w:lang w:val="en-GB" w:eastAsia="en-US"/>
    </w:rPr>
  </w:style>
  <w:style w:type="paragraph" w:styleId="BodyText3">
    <w:name w:val="Body Text 3"/>
    <w:basedOn w:val="Normal"/>
    <w:link w:val="BodyText3Char"/>
    <w:semiHidden/>
    <w:unhideWhenUsed/>
    <w:rsid w:val="00C20895"/>
    <w:pPr>
      <w:spacing w:after="120"/>
    </w:pPr>
    <w:rPr>
      <w:sz w:val="16"/>
      <w:szCs w:val="16"/>
    </w:rPr>
  </w:style>
  <w:style w:type="character" w:customStyle="1" w:styleId="BodyText3Char">
    <w:name w:val="Body Text 3 Char"/>
    <w:basedOn w:val="DefaultParagraphFont"/>
    <w:link w:val="BodyText3"/>
    <w:semiHidden/>
    <w:rsid w:val="00C20895"/>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C20895"/>
    <w:pPr>
      <w:spacing w:after="0"/>
      <w:ind w:firstLine="360"/>
    </w:pPr>
  </w:style>
  <w:style w:type="character" w:customStyle="1" w:styleId="BodyTextFirstIndentChar">
    <w:name w:val="Body Text First Indent Char"/>
    <w:basedOn w:val="BodyTextChar"/>
    <w:link w:val="BodyTextFirstIndent"/>
    <w:semiHidden/>
    <w:rsid w:val="00C20895"/>
    <w:rPr>
      <w:rFonts w:eastAsia="Times New Roman"/>
      <w:lang w:val="en-GB" w:eastAsia="en-US"/>
    </w:rPr>
  </w:style>
  <w:style w:type="paragraph" w:styleId="BodyTextIndent">
    <w:name w:val="Body Text Indent"/>
    <w:basedOn w:val="Normal"/>
    <w:link w:val="BodyTextIndentChar"/>
    <w:semiHidden/>
    <w:unhideWhenUsed/>
    <w:rsid w:val="00C20895"/>
    <w:pPr>
      <w:spacing w:after="120"/>
      <w:ind w:left="283"/>
    </w:pPr>
  </w:style>
  <w:style w:type="character" w:customStyle="1" w:styleId="BodyTextIndentChar">
    <w:name w:val="Body Text Indent Char"/>
    <w:basedOn w:val="DefaultParagraphFont"/>
    <w:link w:val="BodyTextIndent"/>
    <w:semiHidden/>
    <w:rsid w:val="00C20895"/>
    <w:rPr>
      <w:rFonts w:eastAsia="Times New Roman"/>
      <w:lang w:val="en-GB" w:eastAsia="en-US"/>
    </w:rPr>
  </w:style>
  <w:style w:type="paragraph" w:styleId="BodyTextFirstIndent2">
    <w:name w:val="Body Text First Indent 2"/>
    <w:basedOn w:val="BodyTextIndent"/>
    <w:link w:val="BodyTextFirstIndent2Char"/>
    <w:semiHidden/>
    <w:unhideWhenUsed/>
    <w:rsid w:val="00C20895"/>
    <w:pPr>
      <w:spacing w:after="0"/>
      <w:ind w:left="360" w:firstLine="360"/>
    </w:pPr>
  </w:style>
  <w:style w:type="character" w:customStyle="1" w:styleId="BodyTextFirstIndent2Char">
    <w:name w:val="Body Text First Indent 2 Char"/>
    <w:basedOn w:val="BodyTextIndentChar"/>
    <w:link w:val="BodyTextFirstIndent2"/>
    <w:semiHidden/>
    <w:rsid w:val="00C20895"/>
    <w:rPr>
      <w:rFonts w:eastAsia="Times New Roman"/>
      <w:lang w:val="en-GB" w:eastAsia="en-US"/>
    </w:rPr>
  </w:style>
  <w:style w:type="paragraph" w:styleId="BodyTextIndent2">
    <w:name w:val="Body Text Indent 2"/>
    <w:basedOn w:val="Normal"/>
    <w:link w:val="BodyTextIndent2Char"/>
    <w:semiHidden/>
    <w:unhideWhenUsed/>
    <w:rsid w:val="00C20895"/>
    <w:pPr>
      <w:spacing w:after="120" w:line="480" w:lineRule="auto"/>
      <w:ind w:left="283"/>
    </w:pPr>
  </w:style>
  <w:style w:type="character" w:customStyle="1" w:styleId="BodyTextIndent2Char">
    <w:name w:val="Body Text Indent 2 Char"/>
    <w:basedOn w:val="DefaultParagraphFont"/>
    <w:link w:val="BodyTextIndent2"/>
    <w:semiHidden/>
    <w:rsid w:val="00C20895"/>
    <w:rPr>
      <w:rFonts w:eastAsia="Times New Roman"/>
      <w:lang w:val="en-GB" w:eastAsia="en-US"/>
    </w:rPr>
  </w:style>
  <w:style w:type="paragraph" w:styleId="BodyTextIndent3">
    <w:name w:val="Body Text Indent 3"/>
    <w:basedOn w:val="Normal"/>
    <w:link w:val="BodyTextIndent3Char"/>
    <w:semiHidden/>
    <w:unhideWhenUsed/>
    <w:rsid w:val="00C20895"/>
    <w:pPr>
      <w:spacing w:after="120"/>
      <w:ind w:left="283"/>
    </w:pPr>
    <w:rPr>
      <w:sz w:val="16"/>
      <w:szCs w:val="16"/>
    </w:rPr>
  </w:style>
  <w:style w:type="character" w:customStyle="1" w:styleId="BodyTextIndent3Char">
    <w:name w:val="Body Text Indent 3 Char"/>
    <w:basedOn w:val="DefaultParagraphFont"/>
    <w:link w:val="BodyTextIndent3"/>
    <w:semiHidden/>
    <w:rsid w:val="00C20895"/>
    <w:rPr>
      <w:rFonts w:eastAsia="Times New Roman"/>
      <w:sz w:val="16"/>
      <w:szCs w:val="16"/>
      <w:lang w:val="en-GB" w:eastAsia="en-US"/>
    </w:rPr>
  </w:style>
  <w:style w:type="character" w:styleId="BookTitle">
    <w:name w:val="Book Title"/>
    <w:basedOn w:val="DefaultParagraphFont"/>
    <w:uiPriority w:val="33"/>
    <w:semiHidden/>
    <w:qFormat/>
    <w:rsid w:val="00C20895"/>
    <w:rPr>
      <w:b/>
      <w:bCs/>
      <w:i/>
      <w:iCs/>
      <w:spacing w:val="5"/>
      <w:lang w:val="en-GB"/>
    </w:rPr>
  </w:style>
  <w:style w:type="paragraph" w:styleId="Caption">
    <w:name w:val="caption"/>
    <w:basedOn w:val="Normal"/>
    <w:next w:val="Normal"/>
    <w:semiHidden/>
    <w:unhideWhenUsed/>
    <w:qFormat/>
    <w:rsid w:val="00C20895"/>
    <w:pPr>
      <w:spacing w:after="200"/>
    </w:pPr>
    <w:rPr>
      <w:i/>
      <w:iCs/>
      <w:color w:val="1F497D" w:themeColor="text2"/>
      <w:sz w:val="18"/>
      <w:szCs w:val="18"/>
    </w:rPr>
  </w:style>
  <w:style w:type="paragraph" w:styleId="Closing">
    <w:name w:val="Closing"/>
    <w:basedOn w:val="Normal"/>
    <w:link w:val="ClosingChar"/>
    <w:semiHidden/>
    <w:unhideWhenUsed/>
    <w:rsid w:val="00C20895"/>
    <w:pPr>
      <w:ind w:left="4252"/>
    </w:pPr>
  </w:style>
  <w:style w:type="character" w:customStyle="1" w:styleId="ClosingChar">
    <w:name w:val="Closing Char"/>
    <w:basedOn w:val="DefaultParagraphFont"/>
    <w:link w:val="Closing"/>
    <w:semiHidden/>
    <w:rsid w:val="00C20895"/>
    <w:rPr>
      <w:rFonts w:eastAsia="Times New Roman"/>
      <w:lang w:val="en-GB" w:eastAsia="en-US"/>
    </w:rPr>
  </w:style>
  <w:style w:type="table" w:styleId="ColorfulGrid">
    <w:name w:val="Colorful Grid"/>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semiHidden/>
    <w:unhideWhenUsed/>
    <w:rsid w:val="00C20895"/>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List">
    <w:name w:val="Colorful List"/>
    <w:basedOn w:val="TableNormal"/>
    <w:uiPriority w:val="72"/>
    <w:semiHidden/>
    <w:unhideWhenUsed/>
    <w:rsid w:val="00C20895"/>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1">
    <w:name w:val="Colorful List Accent 1"/>
    <w:basedOn w:val="TableNormal"/>
    <w:uiPriority w:val="72"/>
    <w:semiHidden/>
    <w:unhideWhenUsed/>
    <w:rsid w:val="00C20895"/>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2">
    <w:name w:val="Colorful List Accent 2"/>
    <w:basedOn w:val="TableNormal"/>
    <w:uiPriority w:val="72"/>
    <w:semiHidden/>
    <w:unhideWhenUsed/>
    <w:rsid w:val="00C20895"/>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3">
    <w:name w:val="Colorful List Accent 3"/>
    <w:basedOn w:val="TableNormal"/>
    <w:uiPriority w:val="72"/>
    <w:semiHidden/>
    <w:unhideWhenUsed/>
    <w:rsid w:val="00C20895"/>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color w:val="FFFFFF" w:themeColor="background1"/>
      </w:rPr>
    </w:tblStylePr>
    <w:tblStylePr w:type="lastRow">
      <w:rPr>
        <w:b/>
        <w:bCs/>
        <w:color w:val="664E82" w:themeColor="accent4" w:themeShade="CC"/>
      </w:rPr>
    </w:tblStylePr>
    <w:tblStylePr w:type="firstCol">
      <w:rPr>
        <w:b/>
        <w:bCs/>
      </w:rPr>
    </w:tblStylePr>
    <w:tblStylePr w:type="lastCol">
      <w:rPr>
        <w:b/>
        <w:bCs/>
      </w:rPr>
    </w:tblStylePr>
  </w:style>
  <w:style w:type="table" w:styleId="ColorfulList-Accent4">
    <w:name w:val="Colorful List Accent 4"/>
    <w:basedOn w:val="TableNormal"/>
    <w:uiPriority w:val="72"/>
    <w:semiHidden/>
    <w:unhideWhenUsed/>
    <w:rsid w:val="00C20895"/>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5">
    <w:name w:val="Colorful List Accent 5"/>
    <w:basedOn w:val="TableNormal"/>
    <w:uiPriority w:val="72"/>
    <w:semiHidden/>
    <w:unhideWhenUsed/>
    <w:rsid w:val="00C20895"/>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List-Accent6">
    <w:name w:val="Colorful List Accent 6"/>
    <w:basedOn w:val="TableNormal"/>
    <w:uiPriority w:val="72"/>
    <w:semiHidden/>
    <w:unhideWhenUsed/>
    <w:rsid w:val="00C20895"/>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style>
  <w:style w:type="table" w:styleId="ColorfulShading">
    <w:name w:val="Colorful Shading"/>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20895"/>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20895"/>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style>
  <w:style w:type="table" w:styleId="DarkList-Accent1">
    <w:name w:val="Dark List Accent 1"/>
    <w:basedOn w:val="TableNormal"/>
    <w:uiPriority w:val="70"/>
    <w:semiHidden/>
    <w:unhideWhenUsed/>
    <w:rsid w:val="00C20895"/>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style>
  <w:style w:type="table" w:styleId="DarkList-Accent2">
    <w:name w:val="Dark List Accent 2"/>
    <w:basedOn w:val="TableNormal"/>
    <w:uiPriority w:val="70"/>
    <w:semiHidden/>
    <w:unhideWhenUsed/>
    <w:rsid w:val="00C20895"/>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style>
  <w:style w:type="table" w:styleId="DarkList-Accent3">
    <w:name w:val="Dark List Accent 3"/>
    <w:basedOn w:val="TableNormal"/>
    <w:uiPriority w:val="70"/>
    <w:semiHidden/>
    <w:unhideWhenUsed/>
    <w:rsid w:val="00C20895"/>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style>
  <w:style w:type="table" w:styleId="DarkList-Accent4">
    <w:name w:val="Dark List Accent 4"/>
    <w:basedOn w:val="TableNormal"/>
    <w:uiPriority w:val="70"/>
    <w:semiHidden/>
    <w:unhideWhenUsed/>
    <w:rsid w:val="00C20895"/>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style>
  <w:style w:type="table" w:styleId="DarkList-Accent5">
    <w:name w:val="Dark List Accent 5"/>
    <w:basedOn w:val="TableNormal"/>
    <w:uiPriority w:val="70"/>
    <w:semiHidden/>
    <w:unhideWhenUsed/>
    <w:rsid w:val="00C20895"/>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style>
  <w:style w:type="table" w:styleId="DarkList-Accent6">
    <w:name w:val="Dark List Accent 6"/>
    <w:basedOn w:val="TableNormal"/>
    <w:uiPriority w:val="70"/>
    <w:semiHidden/>
    <w:unhideWhenUsed/>
    <w:rsid w:val="00C20895"/>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style>
  <w:style w:type="paragraph" w:styleId="Date">
    <w:name w:val="Date"/>
    <w:basedOn w:val="Normal"/>
    <w:next w:val="Normal"/>
    <w:link w:val="DateChar"/>
    <w:semiHidden/>
    <w:unhideWhenUsed/>
    <w:rsid w:val="00C20895"/>
  </w:style>
  <w:style w:type="character" w:customStyle="1" w:styleId="DateChar">
    <w:name w:val="Date Char"/>
    <w:basedOn w:val="DefaultParagraphFont"/>
    <w:link w:val="Date"/>
    <w:semiHidden/>
    <w:rsid w:val="00C20895"/>
    <w:rPr>
      <w:rFonts w:eastAsia="Times New Roman"/>
      <w:lang w:val="en-GB" w:eastAsia="en-US"/>
    </w:rPr>
  </w:style>
  <w:style w:type="paragraph" w:styleId="DocumentMap">
    <w:name w:val="Document Map"/>
    <w:basedOn w:val="Normal"/>
    <w:link w:val="DocumentMapChar"/>
    <w:semiHidden/>
    <w:unhideWhenUsed/>
    <w:rsid w:val="00C20895"/>
    <w:rPr>
      <w:rFonts w:ascii="Segoe UI" w:hAnsi="Segoe UI" w:cs="Segoe UI"/>
      <w:sz w:val="16"/>
      <w:szCs w:val="16"/>
    </w:rPr>
  </w:style>
  <w:style w:type="character" w:customStyle="1" w:styleId="DocumentMapChar">
    <w:name w:val="Document Map Char"/>
    <w:basedOn w:val="DefaultParagraphFont"/>
    <w:link w:val="DocumentMap"/>
    <w:semiHidden/>
    <w:rsid w:val="00C20895"/>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C20895"/>
  </w:style>
  <w:style w:type="character" w:customStyle="1" w:styleId="E-mailSignatureChar">
    <w:name w:val="E-mail Signature Char"/>
    <w:basedOn w:val="DefaultParagraphFont"/>
    <w:link w:val="E-mailSignature"/>
    <w:semiHidden/>
    <w:rsid w:val="00C20895"/>
    <w:rPr>
      <w:rFonts w:eastAsia="Times New Roman"/>
      <w:lang w:val="en-GB" w:eastAsia="en-US"/>
    </w:rPr>
  </w:style>
  <w:style w:type="character" w:styleId="Emphasis">
    <w:name w:val="Emphasis"/>
    <w:basedOn w:val="DefaultParagraphFont"/>
    <w:semiHidden/>
    <w:qFormat/>
    <w:rsid w:val="00C20895"/>
    <w:rPr>
      <w:i/>
      <w:iCs/>
      <w:lang w:val="en-GB"/>
    </w:rPr>
  </w:style>
  <w:style w:type="character" w:styleId="EndnoteReference">
    <w:name w:val="endnote reference"/>
    <w:basedOn w:val="DefaultParagraphFont"/>
    <w:semiHidden/>
    <w:unhideWhenUsed/>
    <w:rsid w:val="00C20895"/>
    <w:rPr>
      <w:vertAlign w:val="superscript"/>
      <w:lang w:val="en-GB"/>
    </w:rPr>
  </w:style>
  <w:style w:type="paragraph" w:styleId="EndnoteText">
    <w:name w:val="endnote text"/>
    <w:basedOn w:val="Normal"/>
    <w:link w:val="EndnoteTextChar"/>
    <w:semiHidden/>
    <w:unhideWhenUsed/>
    <w:rsid w:val="00C20895"/>
  </w:style>
  <w:style w:type="character" w:customStyle="1" w:styleId="EndnoteTextChar">
    <w:name w:val="Endnote Text Char"/>
    <w:basedOn w:val="DefaultParagraphFont"/>
    <w:link w:val="EndnoteText"/>
    <w:semiHidden/>
    <w:rsid w:val="00C20895"/>
    <w:rPr>
      <w:rFonts w:eastAsia="Times New Roman"/>
      <w:lang w:val="en-GB" w:eastAsia="en-US"/>
    </w:rPr>
  </w:style>
  <w:style w:type="paragraph" w:styleId="EnvelopeAddress">
    <w:name w:val="envelope address"/>
    <w:basedOn w:val="Normal"/>
    <w:semiHidden/>
    <w:unhideWhenUsed/>
    <w:rsid w:val="00C2089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20895"/>
    <w:rPr>
      <w:rFonts w:asciiTheme="majorHAnsi" w:eastAsiaTheme="majorEastAsia" w:hAnsiTheme="majorHAnsi" w:cstheme="majorBidi"/>
    </w:rPr>
  </w:style>
  <w:style w:type="paragraph" w:styleId="FootnoteText">
    <w:name w:val="footnote text"/>
    <w:basedOn w:val="Normal"/>
    <w:link w:val="FootnoteTextChar"/>
    <w:semiHidden/>
    <w:unhideWhenUsed/>
    <w:rsid w:val="00C20895"/>
  </w:style>
  <w:style w:type="character" w:customStyle="1" w:styleId="FootnoteTextChar">
    <w:name w:val="Footnote Text Char"/>
    <w:basedOn w:val="DefaultParagraphFont"/>
    <w:link w:val="FootnoteText"/>
    <w:semiHidden/>
    <w:rsid w:val="00C20895"/>
    <w:rPr>
      <w:rFonts w:eastAsia="Times New Roman"/>
      <w:lang w:val="en-GB" w:eastAsia="en-US"/>
    </w:rPr>
  </w:style>
  <w:style w:type="table" w:styleId="GridTable1Light">
    <w:name w:val="Grid Table 1 Light"/>
    <w:basedOn w:val="TableNormal"/>
    <w:uiPriority w:val="46"/>
    <w:rsid w:val="00C20895"/>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 w:type="table" w:styleId="GridTable1Light-Accent1">
    <w:name w:val="Grid Table 1 Light Accent 1"/>
    <w:basedOn w:val="TableNormal"/>
    <w:uiPriority w:val="46"/>
    <w:rsid w:val="00C20895"/>
    <w:tblPr>
      <w:tblStyleRowBandSize w:val="1"/>
      <w:tblStyleColBandSize w:val="1"/>
    </w:tblPr>
    <w:tcPr>
      <w:tcBorders>
        <w:top w:val="double" w:sz="2" w:space="0" w:color="95B3D7" w:themeColor="accent1" w:themeTint="99"/>
      </w:tcBorders>
    </w:tcPr>
    <w:tblStylePr w:type="firstRow">
      <w:rPr>
        <w:b/>
        <w:bCs/>
      </w:rPr>
      <w:tblPr/>
      <w:tcPr>
        <w:tcBorders>
          <w:bottom w:val="single" w:sz="12" w:space="0" w:color="95B3D7" w:themeColor="accent1" w:themeTint="99"/>
        </w:tcBorders>
      </w:tcPr>
    </w:tblStylePr>
    <w:tblStylePr w:type="lastRow">
      <w:rPr>
        <w:b/>
        <w:bCs/>
      </w:rPr>
    </w:tblStylePr>
    <w:tblStylePr w:type="firstCol">
      <w:rPr>
        <w:b/>
        <w:bCs/>
      </w:rPr>
    </w:tblStylePr>
    <w:tblStylePr w:type="lastCol">
      <w:rPr>
        <w:b/>
        <w:bCs/>
      </w:rPr>
    </w:tblStylePr>
  </w:style>
  <w:style w:type="table" w:styleId="GridTable1Light-Accent2">
    <w:name w:val="Grid Table 1 Light Accent 2"/>
    <w:basedOn w:val="TableNormal"/>
    <w:uiPriority w:val="46"/>
    <w:rsid w:val="00C20895"/>
    <w:tblPr>
      <w:tblStyleRowBandSize w:val="1"/>
      <w:tblStyleColBandSize w:val="1"/>
    </w:tblPr>
    <w:tcPr>
      <w:tcBorders>
        <w:top w:val="double" w:sz="2" w:space="0" w:color="D99594" w:themeColor="accent2" w:themeTint="99"/>
      </w:tcBorders>
    </w:tcPr>
    <w:tblStylePr w:type="firstRow">
      <w:rPr>
        <w:b/>
        <w:bCs/>
      </w:rPr>
      <w:tblPr/>
      <w:tcPr>
        <w:tcBorders>
          <w:bottom w:val="single" w:sz="12" w:space="0" w:color="D99594" w:themeColor="accent2" w:themeTint="99"/>
        </w:tcBorders>
      </w:tcPr>
    </w:tblStylePr>
    <w:tblStylePr w:type="lastRow">
      <w:rPr>
        <w:b/>
        <w:bCs/>
      </w:rPr>
    </w:tblStylePr>
    <w:tblStylePr w:type="firstCol">
      <w:rPr>
        <w:b/>
        <w:bCs/>
      </w:rPr>
    </w:tblStylePr>
    <w:tblStylePr w:type="lastCol">
      <w:rPr>
        <w:b/>
        <w:bCs/>
      </w:rPr>
    </w:tblStylePr>
  </w:style>
  <w:style w:type="table" w:styleId="GridTable1Light-Accent3">
    <w:name w:val="Grid Table 1 Light Accent 3"/>
    <w:basedOn w:val="TableNormal"/>
    <w:uiPriority w:val="46"/>
    <w:rsid w:val="00C20895"/>
    <w:tblPr>
      <w:tblStyleRowBandSize w:val="1"/>
      <w:tblStyleColBandSize w:val="1"/>
    </w:tblPr>
    <w:tcPr>
      <w:tcBorders>
        <w:top w:val="double" w:sz="2" w:space="0" w:color="C2D69B" w:themeColor="accent3" w:themeTint="99"/>
      </w:tcBorders>
    </w:tcPr>
    <w:tblStylePr w:type="firstRow">
      <w:rPr>
        <w:b/>
        <w:bCs/>
      </w:rPr>
      <w:tblPr/>
      <w:tcPr>
        <w:tcBorders>
          <w:bottom w:val="single" w:sz="12" w:space="0" w:color="C2D69B" w:themeColor="accent3" w:themeTint="99"/>
        </w:tcBorders>
      </w:tcPr>
    </w:tblStylePr>
    <w:tblStylePr w:type="lastRow">
      <w:rPr>
        <w:b/>
        <w:bCs/>
      </w:rPr>
    </w:tblStylePr>
    <w:tblStylePr w:type="firstCol">
      <w:rPr>
        <w:b/>
        <w:bCs/>
      </w:rPr>
    </w:tblStylePr>
    <w:tblStylePr w:type="lastCol">
      <w:rPr>
        <w:b/>
        <w:bCs/>
      </w:rPr>
    </w:tblStylePr>
  </w:style>
  <w:style w:type="table" w:styleId="GridTable1Light-Accent4">
    <w:name w:val="Grid Table 1 Light Accent 4"/>
    <w:basedOn w:val="TableNormal"/>
    <w:uiPriority w:val="46"/>
    <w:rsid w:val="00C20895"/>
    <w:tblPr>
      <w:tblStyleRowBandSize w:val="1"/>
      <w:tblStyleColBandSize w:val="1"/>
    </w:tblPr>
    <w:tcPr>
      <w:tcBorders>
        <w:top w:val="double" w:sz="2" w:space="0" w:color="B2A1C7" w:themeColor="accent4" w:themeTint="99"/>
      </w:tcBorders>
    </w:tcPr>
    <w:tblStylePr w:type="firstRow">
      <w:rPr>
        <w:b/>
        <w:bCs/>
      </w:rPr>
      <w:tblPr/>
      <w:tcPr>
        <w:tcBorders>
          <w:bottom w:val="single" w:sz="12" w:space="0" w:color="B2A1C7" w:themeColor="accent4" w:themeTint="99"/>
        </w:tcBorders>
      </w:tcPr>
    </w:tblStylePr>
    <w:tblStylePr w:type="lastRow">
      <w:rPr>
        <w:b/>
        <w:bCs/>
      </w:rPr>
    </w:tblStylePr>
    <w:tblStylePr w:type="firstCol">
      <w:rPr>
        <w:b/>
        <w:bCs/>
      </w:rPr>
    </w:tblStylePr>
    <w:tblStylePr w:type="lastCol">
      <w:rPr>
        <w:b/>
        <w:bCs/>
      </w:rPr>
    </w:tblStylePr>
  </w:style>
  <w:style w:type="table" w:styleId="GridTable1Light-Accent5">
    <w:name w:val="Grid Table 1 Light Accent 5"/>
    <w:basedOn w:val="TableNormal"/>
    <w:uiPriority w:val="46"/>
    <w:rsid w:val="00C20895"/>
    <w:tblPr>
      <w:tblStyleRowBandSize w:val="1"/>
      <w:tblStyleColBandSize w:val="1"/>
    </w:tblPr>
    <w:tcPr>
      <w:tcBorders>
        <w:top w:val="double" w:sz="2" w:space="0" w:color="92CDDC" w:themeColor="accent5" w:themeTint="99"/>
      </w:tcBorders>
    </w:tcPr>
    <w:tblStylePr w:type="firstRow">
      <w:rPr>
        <w:b/>
        <w:bCs/>
      </w:rPr>
      <w:tblPr/>
      <w:tcPr>
        <w:tcBorders>
          <w:bottom w:val="single" w:sz="12" w:space="0" w:color="92CDDC" w:themeColor="accent5" w:themeTint="99"/>
        </w:tcBorders>
      </w:tcPr>
    </w:tblStylePr>
    <w:tblStylePr w:type="lastRow">
      <w:rPr>
        <w:b/>
        <w:bCs/>
      </w:rPr>
    </w:tblStylePr>
    <w:tblStylePr w:type="firstCol">
      <w:rPr>
        <w:b/>
        <w:bCs/>
      </w:rPr>
    </w:tblStylePr>
    <w:tblStylePr w:type="lastCol">
      <w:rPr>
        <w:b/>
        <w:bCs/>
      </w:rPr>
    </w:tblStylePr>
  </w:style>
  <w:style w:type="table" w:styleId="GridTable1Light-Accent6">
    <w:name w:val="Grid Table 1 Light Accent 6"/>
    <w:basedOn w:val="TableNormal"/>
    <w:uiPriority w:val="46"/>
    <w:rsid w:val="00C20895"/>
    <w:tblPr>
      <w:tblStyleRowBandSize w:val="1"/>
      <w:tblStyleColBandSize w:val="1"/>
    </w:tblPr>
    <w:tcPr>
      <w:tcBorders>
        <w:top w:val="double" w:sz="2" w:space="0" w:color="FABF8F" w:themeColor="accent6" w:themeTint="99"/>
      </w:tcBorders>
    </w:tcPr>
    <w:tblStylePr w:type="firstRow">
      <w:rPr>
        <w:b/>
        <w:bCs/>
      </w:rPr>
      <w:tblPr/>
      <w:tcPr>
        <w:tcBorders>
          <w:bottom w:val="single" w:sz="12" w:space="0" w:color="FABF8F" w:themeColor="accent6" w:themeTint="99"/>
        </w:tcBorders>
      </w:tcPr>
    </w:tblStylePr>
    <w:tblStylePr w:type="lastRow">
      <w:rPr>
        <w:b/>
        <w:bCs/>
      </w:rPr>
    </w:tblStylePr>
    <w:tblStylePr w:type="firstCol">
      <w:rPr>
        <w:b/>
        <w:bCs/>
      </w:rPr>
    </w:tblStylePr>
    <w:tblStylePr w:type="lastCol">
      <w:rPr>
        <w:b/>
        <w:bCs/>
      </w:rPr>
    </w:tblStylePr>
  </w:style>
  <w:style w:type="table" w:styleId="GridTable2">
    <w:name w:val="Grid Table 2"/>
    <w:basedOn w:val="TableNormal"/>
    <w:uiPriority w:val="47"/>
    <w:rsid w:val="00C20895"/>
    <w:tblPr>
      <w:tblStyleRowBandSize w:val="1"/>
      <w:tblStyleColBandSize w:val="1"/>
    </w:tblPr>
    <w:tcPr>
      <w:tcBorders>
        <w:top w:val="double" w:sz="2" w:space="0" w:color="666666" w:themeColor="text1" w:themeTint="99"/>
        <w:bottom w:val="nil"/>
      </w:tcBorders>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1">
    <w:name w:val="Grid Table 2 Accent 1"/>
    <w:basedOn w:val="TableNormal"/>
    <w:uiPriority w:val="47"/>
    <w:rsid w:val="00C20895"/>
    <w:tblPr>
      <w:tblStyleRowBandSize w:val="1"/>
      <w:tblStyleColBandSize w:val="1"/>
    </w:tblPr>
    <w:tcPr>
      <w:tcBorders>
        <w:top w:val="double" w:sz="2" w:space="0" w:color="95B3D7" w:themeColor="accent1" w:themeTint="99"/>
        <w:bottom w:val="nil"/>
      </w:tcBorders>
      <w:shd w:val="clear" w:color="auto" w:fill="DBE5F1" w:themeFill="accent1" w:themeFillTint="33"/>
    </w:tc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2">
    <w:name w:val="Grid Table 2 Accent 2"/>
    <w:basedOn w:val="TableNormal"/>
    <w:uiPriority w:val="47"/>
    <w:rsid w:val="00C20895"/>
    <w:tblPr>
      <w:tblStyleRowBandSize w:val="1"/>
      <w:tblStyleColBandSize w:val="1"/>
    </w:tblPr>
    <w:tcPr>
      <w:tcBorders>
        <w:top w:val="double" w:sz="2" w:space="0" w:color="D99594" w:themeColor="accent2" w:themeTint="99"/>
        <w:bottom w:val="nil"/>
      </w:tcBorders>
      <w:shd w:val="clear" w:color="auto" w:fill="F2DBDB" w:themeFill="accent2" w:themeFillTint="33"/>
    </w:tc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3">
    <w:name w:val="Grid Table 2 Accent 3"/>
    <w:basedOn w:val="TableNormal"/>
    <w:uiPriority w:val="47"/>
    <w:rsid w:val="00C20895"/>
    <w:tblPr>
      <w:tblStyleRowBandSize w:val="1"/>
      <w:tblStyleColBandSize w:val="1"/>
    </w:tblPr>
    <w:tcPr>
      <w:tcBorders>
        <w:top w:val="double" w:sz="2" w:space="0" w:color="C2D69B" w:themeColor="accent3" w:themeTint="99"/>
        <w:bottom w:val="nil"/>
      </w:tcBorders>
      <w:shd w:val="clear" w:color="auto" w:fill="EAF1DD" w:themeFill="accent3" w:themeFillTint="33"/>
    </w:tc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4">
    <w:name w:val="Grid Table 2 Accent 4"/>
    <w:basedOn w:val="TableNormal"/>
    <w:uiPriority w:val="47"/>
    <w:rsid w:val="00C20895"/>
    <w:tblPr>
      <w:tblStyleRowBandSize w:val="1"/>
      <w:tblStyleColBandSize w:val="1"/>
    </w:tblPr>
    <w:tcPr>
      <w:tcBorders>
        <w:top w:val="double" w:sz="2" w:space="0" w:color="B2A1C7" w:themeColor="accent4" w:themeTint="99"/>
        <w:bottom w:val="nil"/>
      </w:tcBorders>
      <w:shd w:val="clear" w:color="auto" w:fill="E5DFEC" w:themeFill="accent4" w:themeFillTint="33"/>
    </w:tc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5">
    <w:name w:val="Grid Table 2 Accent 5"/>
    <w:basedOn w:val="TableNormal"/>
    <w:uiPriority w:val="47"/>
    <w:rsid w:val="00C20895"/>
    <w:tblPr>
      <w:tblStyleRowBandSize w:val="1"/>
      <w:tblStyleColBandSize w:val="1"/>
    </w:tblPr>
    <w:tcPr>
      <w:tcBorders>
        <w:top w:val="double" w:sz="2" w:space="0" w:color="92CDDC" w:themeColor="accent5" w:themeTint="99"/>
        <w:bottom w:val="nil"/>
      </w:tcBorders>
      <w:shd w:val="clear" w:color="auto" w:fill="DAEEF3" w:themeFill="accent5" w:themeFillTint="33"/>
    </w:tc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2-Accent6">
    <w:name w:val="Grid Table 2 Accent 6"/>
    <w:basedOn w:val="TableNormal"/>
    <w:uiPriority w:val="47"/>
    <w:rsid w:val="00C20895"/>
    <w:tblPr>
      <w:tblStyleRowBandSize w:val="1"/>
      <w:tblStyleColBandSize w:val="1"/>
    </w:tblPr>
    <w:tcPr>
      <w:tcBorders>
        <w:top w:val="double" w:sz="2" w:space="0" w:color="FABF8F" w:themeColor="accent6" w:themeTint="99"/>
        <w:bottom w:val="nil"/>
      </w:tcBorders>
      <w:shd w:val="clear" w:color="auto" w:fill="FDE9D9" w:themeFill="accent6" w:themeFillTint="33"/>
    </w:tc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StylePr>
    <w:tblStylePr w:type="firstCol">
      <w:rPr>
        <w:b/>
        <w:bCs/>
      </w:rPr>
    </w:tblStylePr>
    <w:tblStylePr w:type="lastCol">
      <w:rPr>
        <w:b/>
        <w:bCs/>
      </w:rPr>
    </w:tblStylePr>
  </w:style>
  <w:style w:type="table" w:styleId="GridTable3">
    <w:name w:val="Grid Table 3"/>
    <w:basedOn w:val="TableNormal"/>
    <w:uiPriority w:val="48"/>
    <w:rsid w:val="00C20895"/>
    <w:tblPr>
      <w:tblStyleRowBandSize w:val="1"/>
      <w:tblStyleColBandSize w:val="1"/>
    </w:tblPr>
    <w:tcPr>
      <w:tcBorders>
        <w:top w:val="nil"/>
        <w:bottom w:val="nil"/>
        <w:right w:val="nil"/>
      </w:tcBorders>
      <w:shd w:val="clear" w:color="auto" w:fill="CCCCCC" w:themeFill="tex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20895"/>
    <w:tblPr>
      <w:tblStyleRowBandSize w:val="1"/>
      <w:tblStyleColBandSize w:val="1"/>
    </w:tblPr>
    <w:tcPr>
      <w:tcBorders>
        <w:top w:val="nil"/>
        <w:bottom w:val="nil"/>
        <w:right w:val="nil"/>
      </w:tcBorders>
      <w:shd w:val="clear" w:color="auto" w:fill="DBE5F1"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20895"/>
    <w:tblPr>
      <w:tblStyleRowBandSize w:val="1"/>
      <w:tblStyleColBandSize w:val="1"/>
    </w:tblPr>
    <w:tcPr>
      <w:tcBorders>
        <w:top w:val="nil"/>
        <w:bottom w:val="nil"/>
        <w:right w:val="nil"/>
      </w:tcBorders>
      <w:shd w:val="clear" w:color="auto" w:fill="F2DBDB"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20895"/>
    <w:tblPr>
      <w:tblStyleRowBandSize w:val="1"/>
      <w:tblStyleColBandSize w:val="1"/>
    </w:tblPr>
    <w:tcPr>
      <w:tcBorders>
        <w:top w:val="nil"/>
        <w:bottom w:val="nil"/>
        <w:right w:val="nil"/>
      </w:tcBorders>
      <w:shd w:val="clear" w:color="auto" w:fill="EAF1DD"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20895"/>
    <w:tblPr>
      <w:tblStyleRowBandSize w:val="1"/>
      <w:tblStyleColBandSize w:val="1"/>
    </w:tblPr>
    <w:tcPr>
      <w:tcBorders>
        <w:top w:val="nil"/>
        <w:bottom w:val="nil"/>
        <w:right w:val="nil"/>
      </w:tcBorders>
      <w:shd w:val="clear" w:color="auto" w:fill="E5DFEC"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20895"/>
    <w:tblPr>
      <w:tblStyleRowBandSize w:val="1"/>
      <w:tblStyleColBandSize w:val="1"/>
    </w:tblPr>
    <w:tcPr>
      <w:tcBorders>
        <w:top w:val="nil"/>
        <w:bottom w:val="nil"/>
        <w:right w:val="nil"/>
      </w:tcBorders>
      <w:shd w:val="clear" w:color="auto" w:fill="DAEEF3" w:themeFill="accent5"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20895"/>
    <w:tblPr>
      <w:tblStyleRowBandSize w:val="1"/>
      <w:tblStyleColBandSize w:val="1"/>
    </w:tblPr>
    <w:tcPr>
      <w:tcBorders>
        <w:top w:val="nil"/>
        <w:bottom w:val="nil"/>
        <w:right w:val="nil"/>
      </w:tcBorders>
      <w:shd w:val="clear" w:color="auto" w:fill="FDE9D9" w:themeFill="accent6"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20895"/>
    <w:tblPr>
      <w:tblStyleRowBandSize w:val="1"/>
      <w:tblStyleColBandSize w:val="1"/>
    </w:tblPr>
    <w:tcPr>
      <w:tcBorders>
        <w:right w:val="single" w:sz="4" w:space="0" w:color="000000" w:themeColor="text1"/>
      </w:tcBorders>
      <w:shd w:val="clear" w:color="auto" w:fill="CCCCCC" w:themeFill="tex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C20895"/>
    <w:tblPr>
      <w:tblStyleRowBandSize w:val="1"/>
      <w:tblStyleColBandSize w:val="1"/>
    </w:tblPr>
    <w:tcPr>
      <w:tcBorders>
        <w:right w:val="single" w:sz="4" w:space="0" w:color="4F81BD" w:themeColor="accent1"/>
      </w:tcBorders>
      <w:shd w:val="clear" w:color="auto" w:fill="DBE5F1" w:themeFill="accen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2">
    <w:name w:val="Grid Table 4 Accent 2"/>
    <w:basedOn w:val="TableNormal"/>
    <w:uiPriority w:val="49"/>
    <w:rsid w:val="00C20895"/>
    <w:tblPr>
      <w:tblStyleRowBandSize w:val="1"/>
      <w:tblStyleColBandSize w:val="1"/>
    </w:tblPr>
    <w:tcPr>
      <w:tcBorders>
        <w:right w:val="single" w:sz="4" w:space="0" w:color="C0504D" w:themeColor="accent2"/>
      </w:tcBorders>
      <w:shd w:val="clear" w:color="auto" w:fill="F2DBDB" w:themeFill="accent2"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3">
    <w:name w:val="Grid Table 4 Accent 3"/>
    <w:basedOn w:val="TableNormal"/>
    <w:uiPriority w:val="49"/>
    <w:rsid w:val="00C20895"/>
    <w:tblPr>
      <w:tblStyleRowBandSize w:val="1"/>
      <w:tblStyleColBandSize w:val="1"/>
    </w:tblPr>
    <w:tcPr>
      <w:tcBorders>
        <w:right w:val="single" w:sz="4" w:space="0" w:color="9BBB59" w:themeColor="accent3"/>
      </w:tcBorders>
      <w:shd w:val="clear" w:color="auto" w:fill="EAF1DD"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4">
    <w:name w:val="Grid Table 4 Accent 4"/>
    <w:basedOn w:val="TableNormal"/>
    <w:uiPriority w:val="49"/>
    <w:rsid w:val="00C20895"/>
    <w:tblPr>
      <w:tblStyleRowBandSize w:val="1"/>
      <w:tblStyleColBandSize w:val="1"/>
    </w:tblPr>
    <w:tcPr>
      <w:tcBorders>
        <w:right w:val="single" w:sz="4" w:space="0" w:color="8064A2" w:themeColor="accent4"/>
      </w:tcBorders>
      <w:shd w:val="clear" w:color="auto" w:fill="E5DFEC" w:themeFill="accent4"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5">
    <w:name w:val="Grid Table 4 Accent 5"/>
    <w:basedOn w:val="TableNormal"/>
    <w:uiPriority w:val="49"/>
    <w:rsid w:val="00C20895"/>
    <w:tblPr>
      <w:tblStyleRowBandSize w:val="1"/>
      <w:tblStyleColBandSize w:val="1"/>
    </w:tblPr>
    <w:tcPr>
      <w:tcBorders>
        <w:right w:val="single" w:sz="4" w:space="0" w:color="4BACC6" w:themeColor="accent5"/>
      </w:tcBorders>
      <w:shd w:val="clear" w:color="auto" w:fill="DAEEF3" w:themeFill="accent5"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Accent6">
    <w:name w:val="Grid Table 4 Accent 6"/>
    <w:basedOn w:val="TableNormal"/>
    <w:uiPriority w:val="49"/>
    <w:rsid w:val="00C20895"/>
    <w:tblPr>
      <w:tblStyleRowBandSize w:val="1"/>
      <w:tblStyleColBandSize w:val="1"/>
    </w:tblPr>
    <w:tcPr>
      <w:tcBorders>
        <w:right w:val="single" w:sz="4" w:space="0" w:color="F79646" w:themeColor="accent6"/>
      </w:tcBorders>
      <w:shd w:val="clear" w:color="auto" w:fill="FDE9D9" w:themeFill="accent6"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5Dark">
    <w:name w:val="Grid Table 5 Dark"/>
    <w:basedOn w:val="TableNormal"/>
    <w:uiPriority w:val="50"/>
    <w:rsid w:val="00C2089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StylePr>
    <w:tblStylePr w:type="lastCol">
      <w:rPr>
        <w:b/>
        <w:bCs/>
        <w:color w:val="FFFFFF" w:themeColor="background1"/>
      </w:rPr>
    </w:tblStylePr>
  </w:style>
  <w:style w:type="table" w:styleId="GridTable5Dark-Accent1">
    <w:name w:val="Grid Table 5 Dark Accent 1"/>
    <w:basedOn w:val="TableNormal"/>
    <w:uiPriority w:val="50"/>
    <w:rsid w:val="00C2089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StylePr>
    <w:tblStylePr w:type="lastCol">
      <w:rPr>
        <w:b/>
        <w:bCs/>
        <w:color w:val="FFFFFF" w:themeColor="background1"/>
      </w:rPr>
    </w:tblStylePr>
  </w:style>
  <w:style w:type="table" w:styleId="GridTable5Dark-Accent2">
    <w:name w:val="Grid Table 5 Dark Accent 2"/>
    <w:basedOn w:val="TableNormal"/>
    <w:uiPriority w:val="50"/>
    <w:rsid w:val="00C2089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StylePr>
    <w:tblStylePr w:type="lastCol">
      <w:rPr>
        <w:b/>
        <w:bCs/>
        <w:color w:val="FFFFFF" w:themeColor="background1"/>
      </w:rPr>
    </w:tblStylePr>
  </w:style>
  <w:style w:type="table" w:styleId="GridTable5Dark-Accent3">
    <w:name w:val="Grid Table 5 Dark Accent 3"/>
    <w:basedOn w:val="TableNormal"/>
    <w:uiPriority w:val="50"/>
    <w:rsid w:val="00C2089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StylePr>
    <w:tblStylePr w:type="lastCol">
      <w:rPr>
        <w:b/>
        <w:bCs/>
        <w:color w:val="FFFFFF" w:themeColor="background1"/>
      </w:rPr>
    </w:tblStylePr>
  </w:style>
  <w:style w:type="table" w:styleId="GridTable5Dark-Accent4">
    <w:name w:val="Grid Table 5 Dark Accent 4"/>
    <w:basedOn w:val="TableNormal"/>
    <w:uiPriority w:val="50"/>
    <w:rsid w:val="00C20895"/>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tcBorders>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StylePr>
    <w:tblStylePr w:type="lastCol">
      <w:rPr>
        <w:b/>
        <w:bCs/>
        <w:color w:val="FFFFFF" w:themeColor="background1"/>
      </w:rPr>
    </w:tblStylePr>
  </w:style>
  <w:style w:type="table" w:styleId="GridTable5Dark-Accent5">
    <w:name w:val="Grid Table 5 Dark Accent 5"/>
    <w:basedOn w:val="TableNormal"/>
    <w:uiPriority w:val="50"/>
    <w:rsid w:val="00C20895"/>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style>
  <w:style w:type="table" w:styleId="GridTable5Dark-Accent6">
    <w:name w:val="Grid Table 5 Dark Accent 6"/>
    <w:basedOn w:val="TableNormal"/>
    <w:uiPriority w:val="50"/>
    <w:rsid w:val="00C20895"/>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style>
  <w:style w:type="table" w:styleId="GridTable6Colorful">
    <w:name w:val="Grid Table 6 Colorful"/>
    <w:basedOn w:val="TableNormal"/>
    <w:uiPriority w:val="51"/>
    <w:rsid w:val="00C208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208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208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208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208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208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208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208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208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208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208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208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208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208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rsid w:val="00C20895"/>
    <w:rPr>
      <w:color w:val="2B579A"/>
      <w:shd w:val="clear" w:color="auto" w:fill="E1DFDD"/>
      <w:lang w:val="en-GB"/>
    </w:rPr>
  </w:style>
  <w:style w:type="character" w:styleId="HTMLAcronym">
    <w:name w:val="HTML Acronym"/>
    <w:basedOn w:val="DefaultParagraphFont"/>
    <w:semiHidden/>
    <w:unhideWhenUsed/>
    <w:rsid w:val="00C20895"/>
    <w:rPr>
      <w:lang w:val="en-GB"/>
    </w:rPr>
  </w:style>
  <w:style w:type="paragraph" w:styleId="HTMLAddress">
    <w:name w:val="HTML Address"/>
    <w:basedOn w:val="Normal"/>
    <w:link w:val="HTMLAddressChar"/>
    <w:semiHidden/>
    <w:unhideWhenUsed/>
    <w:rsid w:val="00C20895"/>
    <w:rPr>
      <w:i/>
      <w:iCs/>
    </w:rPr>
  </w:style>
  <w:style w:type="character" w:customStyle="1" w:styleId="HTMLAddressChar">
    <w:name w:val="HTML Address Char"/>
    <w:basedOn w:val="DefaultParagraphFont"/>
    <w:link w:val="HTMLAddress"/>
    <w:semiHidden/>
    <w:rsid w:val="00C20895"/>
    <w:rPr>
      <w:rFonts w:eastAsia="Times New Roman"/>
      <w:i/>
      <w:iCs/>
      <w:lang w:val="en-GB" w:eastAsia="en-US"/>
    </w:rPr>
  </w:style>
  <w:style w:type="character" w:styleId="HTMLCite">
    <w:name w:val="HTML Cite"/>
    <w:basedOn w:val="DefaultParagraphFont"/>
    <w:semiHidden/>
    <w:unhideWhenUsed/>
    <w:rsid w:val="00C20895"/>
    <w:rPr>
      <w:i/>
      <w:iCs/>
      <w:lang w:val="en-GB"/>
    </w:rPr>
  </w:style>
  <w:style w:type="character" w:styleId="HTMLCode">
    <w:name w:val="HTML Code"/>
    <w:basedOn w:val="DefaultParagraphFont"/>
    <w:semiHidden/>
    <w:unhideWhenUsed/>
    <w:rsid w:val="00C20895"/>
    <w:rPr>
      <w:rFonts w:ascii="Consolas" w:hAnsi="Consolas"/>
      <w:sz w:val="20"/>
      <w:szCs w:val="20"/>
      <w:lang w:val="en-GB"/>
    </w:rPr>
  </w:style>
  <w:style w:type="character" w:styleId="HTMLDefinition">
    <w:name w:val="HTML Definition"/>
    <w:basedOn w:val="DefaultParagraphFont"/>
    <w:semiHidden/>
    <w:unhideWhenUsed/>
    <w:rsid w:val="00C20895"/>
    <w:rPr>
      <w:i/>
      <w:iCs/>
      <w:lang w:val="en-GB"/>
    </w:rPr>
  </w:style>
  <w:style w:type="character" w:styleId="HTMLKeyboard">
    <w:name w:val="HTML Keyboard"/>
    <w:basedOn w:val="DefaultParagraphFont"/>
    <w:semiHidden/>
    <w:unhideWhenUsed/>
    <w:rsid w:val="00C20895"/>
    <w:rPr>
      <w:rFonts w:ascii="Consolas" w:hAnsi="Consolas"/>
      <w:sz w:val="20"/>
      <w:szCs w:val="20"/>
      <w:lang w:val="en-GB"/>
    </w:rPr>
  </w:style>
  <w:style w:type="paragraph" w:styleId="HTMLPreformatted">
    <w:name w:val="HTML Preformatted"/>
    <w:basedOn w:val="Normal"/>
    <w:link w:val="HTMLPreformattedChar"/>
    <w:semiHidden/>
    <w:unhideWhenUsed/>
    <w:rsid w:val="00C20895"/>
    <w:rPr>
      <w:rFonts w:ascii="Consolas" w:hAnsi="Consolas"/>
    </w:rPr>
  </w:style>
  <w:style w:type="character" w:customStyle="1" w:styleId="HTMLPreformattedChar">
    <w:name w:val="HTML Preformatted Char"/>
    <w:basedOn w:val="DefaultParagraphFont"/>
    <w:link w:val="HTMLPreformatted"/>
    <w:semiHidden/>
    <w:rsid w:val="00C20895"/>
    <w:rPr>
      <w:rFonts w:ascii="Consolas" w:eastAsia="Times New Roman" w:hAnsi="Consolas"/>
      <w:lang w:val="en-GB" w:eastAsia="en-US"/>
    </w:rPr>
  </w:style>
  <w:style w:type="character" w:styleId="HTMLSample">
    <w:name w:val="HTML Sample"/>
    <w:basedOn w:val="DefaultParagraphFont"/>
    <w:semiHidden/>
    <w:unhideWhenUsed/>
    <w:rsid w:val="00C20895"/>
    <w:rPr>
      <w:rFonts w:ascii="Consolas" w:hAnsi="Consolas"/>
      <w:sz w:val="24"/>
      <w:szCs w:val="24"/>
      <w:lang w:val="en-GB"/>
    </w:rPr>
  </w:style>
  <w:style w:type="character" w:styleId="HTMLTypewriter">
    <w:name w:val="HTML Typewriter"/>
    <w:basedOn w:val="DefaultParagraphFont"/>
    <w:semiHidden/>
    <w:unhideWhenUsed/>
    <w:rsid w:val="00C20895"/>
    <w:rPr>
      <w:rFonts w:ascii="Consolas" w:hAnsi="Consolas"/>
      <w:sz w:val="20"/>
      <w:szCs w:val="20"/>
      <w:lang w:val="en-GB"/>
    </w:rPr>
  </w:style>
  <w:style w:type="character" w:styleId="HTMLVariable">
    <w:name w:val="HTML Variable"/>
    <w:basedOn w:val="DefaultParagraphFont"/>
    <w:semiHidden/>
    <w:unhideWhenUsed/>
    <w:rsid w:val="00C20895"/>
    <w:rPr>
      <w:i/>
      <w:iCs/>
      <w:lang w:val="en-GB"/>
    </w:rPr>
  </w:style>
  <w:style w:type="paragraph" w:styleId="Index1">
    <w:name w:val="index 1"/>
    <w:basedOn w:val="Normal"/>
    <w:next w:val="Normal"/>
    <w:autoRedefine/>
    <w:semiHidden/>
    <w:unhideWhenUsed/>
    <w:rsid w:val="00C20895"/>
    <w:pPr>
      <w:tabs>
        <w:tab w:val="clear" w:pos="1247"/>
      </w:tabs>
      <w:ind w:left="200" w:hanging="200"/>
    </w:pPr>
  </w:style>
  <w:style w:type="paragraph" w:styleId="Index2">
    <w:name w:val="index 2"/>
    <w:basedOn w:val="Normal"/>
    <w:next w:val="Normal"/>
    <w:autoRedefine/>
    <w:semiHidden/>
    <w:unhideWhenUsed/>
    <w:rsid w:val="00C20895"/>
    <w:pPr>
      <w:tabs>
        <w:tab w:val="clear" w:pos="1247"/>
      </w:tabs>
      <w:ind w:left="400" w:hanging="200"/>
    </w:pPr>
  </w:style>
  <w:style w:type="paragraph" w:styleId="Index3">
    <w:name w:val="index 3"/>
    <w:basedOn w:val="Normal"/>
    <w:next w:val="Normal"/>
    <w:autoRedefine/>
    <w:semiHidden/>
    <w:unhideWhenUsed/>
    <w:rsid w:val="00C20895"/>
    <w:pPr>
      <w:tabs>
        <w:tab w:val="clear" w:pos="1247"/>
      </w:tabs>
      <w:ind w:left="600" w:hanging="200"/>
    </w:pPr>
  </w:style>
  <w:style w:type="paragraph" w:styleId="Index4">
    <w:name w:val="index 4"/>
    <w:basedOn w:val="Normal"/>
    <w:next w:val="Normal"/>
    <w:autoRedefine/>
    <w:semiHidden/>
    <w:unhideWhenUsed/>
    <w:rsid w:val="00C20895"/>
    <w:pPr>
      <w:tabs>
        <w:tab w:val="clear" w:pos="1247"/>
      </w:tabs>
      <w:ind w:left="800" w:hanging="200"/>
    </w:pPr>
  </w:style>
  <w:style w:type="paragraph" w:styleId="Index5">
    <w:name w:val="index 5"/>
    <w:basedOn w:val="Normal"/>
    <w:next w:val="Normal"/>
    <w:autoRedefine/>
    <w:semiHidden/>
    <w:unhideWhenUsed/>
    <w:rsid w:val="00C20895"/>
    <w:pPr>
      <w:tabs>
        <w:tab w:val="clear" w:pos="1247"/>
      </w:tabs>
      <w:ind w:left="1000" w:hanging="200"/>
    </w:pPr>
  </w:style>
  <w:style w:type="paragraph" w:styleId="Index6">
    <w:name w:val="index 6"/>
    <w:basedOn w:val="Normal"/>
    <w:next w:val="Normal"/>
    <w:autoRedefine/>
    <w:semiHidden/>
    <w:unhideWhenUsed/>
    <w:rsid w:val="00C20895"/>
    <w:pPr>
      <w:tabs>
        <w:tab w:val="clear" w:pos="1247"/>
      </w:tabs>
      <w:ind w:left="1200" w:hanging="200"/>
    </w:pPr>
  </w:style>
  <w:style w:type="paragraph" w:styleId="Index7">
    <w:name w:val="index 7"/>
    <w:basedOn w:val="Normal"/>
    <w:next w:val="Normal"/>
    <w:autoRedefine/>
    <w:semiHidden/>
    <w:unhideWhenUsed/>
    <w:rsid w:val="00C20895"/>
    <w:pPr>
      <w:tabs>
        <w:tab w:val="clear" w:pos="1247"/>
      </w:tabs>
      <w:ind w:left="1400" w:hanging="200"/>
    </w:pPr>
  </w:style>
  <w:style w:type="paragraph" w:styleId="Index8">
    <w:name w:val="index 8"/>
    <w:basedOn w:val="Normal"/>
    <w:next w:val="Normal"/>
    <w:autoRedefine/>
    <w:semiHidden/>
    <w:unhideWhenUsed/>
    <w:rsid w:val="00C20895"/>
    <w:pPr>
      <w:tabs>
        <w:tab w:val="clear" w:pos="1247"/>
      </w:tabs>
      <w:ind w:left="1600" w:hanging="200"/>
    </w:pPr>
  </w:style>
  <w:style w:type="paragraph" w:styleId="Index9">
    <w:name w:val="index 9"/>
    <w:basedOn w:val="Normal"/>
    <w:next w:val="Normal"/>
    <w:autoRedefine/>
    <w:semiHidden/>
    <w:unhideWhenUsed/>
    <w:rsid w:val="00C20895"/>
    <w:pPr>
      <w:tabs>
        <w:tab w:val="clear" w:pos="1247"/>
      </w:tabs>
      <w:ind w:left="1800" w:hanging="200"/>
    </w:pPr>
  </w:style>
  <w:style w:type="paragraph" w:styleId="IndexHeading">
    <w:name w:val="index heading"/>
    <w:basedOn w:val="Normal"/>
    <w:next w:val="Index1"/>
    <w:semiHidden/>
    <w:unhideWhenUsed/>
    <w:rsid w:val="00C2089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20895"/>
    <w:rPr>
      <w:i/>
      <w:iCs/>
      <w:color w:val="4F81BD" w:themeColor="accent1"/>
      <w:lang w:val="en-GB"/>
    </w:rPr>
  </w:style>
  <w:style w:type="paragraph" w:styleId="IntenseQuote">
    <w:name w:val="Intense Quote"/>
    <w:basedOn w:val="Normal"/>
    <w:next w:val="Normal"/>
    <w:link w:val="IntenseQuoteChar"/>
    <w:uiPriority w:val="30"/>
    <w:semiHidden/>
    <w:qFormat/>
    <w:rsid w:val="00C2089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C20895"/>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C20895"/>
    <w:rPr>
      <w:b/>
      <w:bCs/>
      <w:smallCaps/>
      <w:color w:val="4F81BD" w:themeColor="accent1"/>
      <w:spacing w:val="5"/>
      <w:lang w:val="en-GB"/>
    </w:rPr>
  </w:style>
  <w:style w:type="table" w:styleId="LightGrid">
    <w:name w:val="Light Grid"/>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20895"/>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20895"/>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semiHidden/>
    <w:unhideWhenUsed/>
    <w:rsid w:val="00C20895"/>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semiHidden/>
    <w:unhideWhenUsed/>
    <w:rsid w:val="00C20895"/>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semiHidden/>
    <w:unhideWhenUsed/>
    <w:rsid w:val="00C20895"/>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semiHidden/>
    <w:unhideWhenUsed/>
    <w:rsid w:val="00C20895"/>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semiHidden/>
    <w:unhideWhenUsed/>
    <w:rsid w:val="00C20895"/>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semiHidden/>
    <w:unhideWhenUsed/>
    <w:rsid w:val="00C20895"/>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
    <w:name w:val="Light Shading"/>
    <w:basedOn w:val="TableNormal"/>
    <w:uiPriority w:val="60"/>
    <w:semiHidden/>
    <w:unhideWhenUsed/>
    <w:rsid w:val="00C20895"/>
    <w:rPr>
      <w:color w:val="000000" w:themeColor="text1" w:themeShade="BF"/>
    </w:rPr>
    <w:tblPr>
      <w:tblStyleRowBandSize w:val="1"/>
      <w:tblStyleColBandSize w:val="1"/>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20895"/>
    <w:rPr>
      <w:color w:val="365F91" w:themeColor="accent1" w:themeShade="BF"/>
    </w:rPr>
    <w:tblPr>
      <w:tblStyleRowBandSize w:val="1"/>
      <w:tblStyleColBandSize w:val="1"/>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20895"/>
    <w:rPr>
      <w:color w:val="943634" w:themeColor="accent2" w:themeShade="BF"/>
    </w:rPr>
    <w:tblPr>
      <w:tblStyleRowBandSize w:val="1"/>
      <w:tblStyleColBandSize w:val="1"/>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20895"/>
    <w:rPr>
      <w:color w:val="76923C" w:themeColor="accent3" w:themeShade="BF"/>
    </w:rPr>
    <w:tblPr>
      <w:tblStyleRowBandSize w:val="1"/>
      <w:tblStyleColBandSize w:val="1"/>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20895"/>
    <w:rPr>
      <w:color w:val="5F497A" w:themeColor="accent4" w:themeShade="BF"/>
    </w:rPr>
    <w:tblPr>
      <w:tblStyleRowBandSize w:val="1"/>
      <w:tblStyleColBandSize w:val="1"/>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20895"/>
    <w:rPr>
      <w:color w:val="31849B" w:themeColor="accent5" w:themeShade="BF"/>
    </w:rPr>
    <w:tblPr>
      <w:tblStyleRowBandSize w:val="1"/>
      <w:tblStyleColBandSize w:val="1"/>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20895"/>
    <w:rPr>
      <w:color w:val="E36C0A" w:themeColor="accent6" w:themeShade="BF"/>
    </w:rPr>
    <w:tblPr>
      <w:tblStyleRowBandSize w:val="1"/>
      <w:tblStyleColBandSize w:val="1"/>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C20895"/>
    <w:rPr>
      <w:lang w:val="en-GB"/>
    </w:rPr>
  </w:style>
  <w:style w:type="paragraph" w:styleId="List">
    <w:name w:val="List"/>
    <w:basedOn w:val="Normal"/>
    <w:semiHidden/>
    <w:unhideWhenUsed/>
    <w:rsid w:val="00C20895"/>
    <w:pPr>
      <w:ind w:left="283" w:hanging="283"/>
      <w:contextualSpacing/>
    </w:pPr>
  </w:style>
  <w:style w:type="paragraph" w:styleId="List2">
    <w:name w:val="List 2"/>
    <w:basedOn w:val="Normal"/>
    <w:semiHidden/>
    <w:unhideWhenUsed/>
    <w:rsid w:val="00C20895"/>
    <w:pPr>
      <w:ind w:left="566" w:hanging="283"/>
      <w:contextualSpacing/>
    </w:pPr>
  </w:style>
  <w:style w:type="paragraph" w:styleId="List3">
    <w:name w:val="List 3"/>
    <w:basedOn w:val="Normal"/>
    <w:semiHidden/>
    <w:unhideWhenUsed/>
    <w:rsid w:val="00C20895"/>
    <w:pPr>
      <w:ind w:left="849" w:hanging="283"/>
      <w:contextualSpacing/>
    </w:pPr>
  </w:style>
  <w:style w:type="paragraph" w:styleId="List4">
    <w:name w:val="List 4"/>
    <w:basedOn w:val="Normal"/>
    <w:semiHidden/>
    <w:unhideWhenUsed/>
    <w:rsid w:val="00C20895"/>
    <w:pPr>
      <w:ind w:left="1132" w:hanging="283"/>
      <w:contextualSpacing/>
    </w:pPr>
  </w:style>
  <w:style w:type="paragraph" w:styleId="List5">
    <w:name w:val="List 5"/>
    <w:basedOn w:val="Normal"/>
    <w:semiHidden/>
    <w:unhideWhenUsed/>
    <w:rsid w:val="00C20895"/>
    <w:pPr>
      <w:ind w:left="1415" w:hanging="283"/>
      <w:contextualSpacing/>
    </w:pPr>
  </w:style>
  <w:style w:type="paragraph" w:styleId="ListBullet">
    <w:name w:val="List Bullet"/>
    <w:basedOn w:val="Normal"/>
    <w:semiHidden/>
    <w:rsid w:val="00C20895"/>
    <w:pPr>
      <w:numPr>
        <w:numId w:val="6"/>
      </w:numPr>
      <w:contextualSpacing/>
    </w:pPr>
  </w:style>
  <w:style w:type="paragraph" w:styleId="ListBullet2">
    <w:name w:val="List Bullet 2"/>
    <w:basedOn w:val="Normal"/>
    <w:semiHidden/>
    <w:unhideWhenUsed/>
    <w:rsid w:val="00C20895"/>
    <w:pPr>
      <w:numPr>
        <w:numId w:val="7"/>
      </w:numPr>
      <w:contextualSpacing/>
    </w:pPr>
  </w:style>
  <w:style w:type="paragraph" w:styleId="ListBullet3">
    <w:name w:val="List Bullet 3"/>
    <w:basedOn w:val="Normal"/>
    <w:semiHidden/>
    <w:unhideWhenUsed/>
    <w:rsid w:val="00C20895"/>
    <w:pPr>
      <w:numPr>
        <w:numId w:val="8"/>
      </w:numPr>
      <w:contextualSpacing/>
    </w:pPr>
  </w:style>
  <w:style w:type="paragraph" w:styleId="ListBullet4">
    <w:name w:val="List Bullet 4"/>
    <w:basedOn w:val="Normal"/>
    <w:semiHidden/>
    <w:unhideWhenUsed/>
    <w:rsid w:val="00C20895"/>
    <w:pPr>
      <w:numPr>
        <w:numId w:val="9"/>
      </w:numPr>
      <w:contextualSpacing/>
    </w:pPr>
  </w:style>
  <w:style w:type="paragraph" w:styleId="ListBullet5">
    <w:name w:val="List Bullet 5"/>
    <w:basedOn w:val="Normal"/>
    <w:semiHidden/>
    <w:unhideWhenUsed/>
    <w:rsid w:val="00C20895"/>
    <w:pPr>
      <w:numPr>
        <w:numId w:val="10"/>
      </w:numPr>
      <w:contextualSpacing/>
    </w:pPr>
  </w:style>
  <w:style w:type="paragraph" w:styleId="ListContinue">
    <w:name w:val="List Continue"/>
    <w:basedOn w:val="Normal"/>
    <w:semiHidden/>
    <w:unhideWhenUsed/>
    <w:rsid w:val="00C20895"/>
    <w:pPr>
      <w:spacing w:after="120"/>
      <w:ind w:left="283"/>
      <w:contextualSpacing/>
    </w:pPr>
  </w:style>
  <w:style w:type="paragraph" w:styleId="ListContinue2">
    <w:name w:val="List Continue 2"/>
    <w:basedOn w:val="Normal"/>
    <w:semiHidden/>
    <w:unhideWhenUsed/>
    <w:rsid w:val="00C20895"/>
    <w:pPr>
      <w:spacing w:after="120"/>
      <w:ind w:left="566"/>
      <w:contextualSpacing/>
    </w:pPr>
  </w:style>
  <w:style w:type="paragraph" w:styleId="ListContinue3">
    <w:name w:val="List Continue 3"/>
    <w:basedOn w:val="Normal"/>
    <w:semiHidden/>
    <w:rsid w:val="00C20895"/>
    <w:pPr>
      <w:spacing w:after="120"/>
      <w:ind w:left="849"/>
      <w:contextualSpacing/>
    </w:pPr>
  </w:style>
  <w:style w:type="paragraph" w:styleId="ListContinue4">
    <w:name w:val="List Continue 4"/>
    <w:basedOn w:val="Normal"/>
    <w:semiHidden/>
    <w:rsid w:val="00C20895"/>
    <w:pPr>
      <w:spacing w:after="120"/>
      <w:ind w:left="1132"/>
      <w:contextualSpacing/>
    </w:pPr>
  </w:style>
  <w:style w:type="paragraph" w:styleId="ListContinue5">
    <w:name w:val="List Continue 5"/>
    <w:basedOn w:val="Normal"/>
    <w:semiHidden/>
    <w:rsid w:val="00C20895"/>
    <w:pPr>
      <w:spacing w:after="120"/>
      <w:ind w:left="1415"/>
      <w:contextualSpacing/>
    </w:pPr>
  </w:style>
  <w:style w:type="paragraph" w:styleId="ListNumber">
    <w:name w:val="List Number"/>
    <w:basedOn w:val="Normal"/>
    <w:semiHidden/>
    <w:rsid w:val="00C20895"/>
    <w:pPr>
      <w:numPr>
        <w:numId w:val="11"/>
      </w:numPr>
      <w:contextualSpacing/>
    </w:pPr>
  </w:style>
  <w:style w:type="paragraph" w:styleId="ListNumber2">
    <w:name w:val="List Number 2"/>
    <w:basedOn w:val="Normal"/>
    <w:semiHidden/>
    <w:unhideWhenUsed/>
    <w:rsid w:val="00C20895"/>
    <w:pPr>
      <w:numPr>
        <w:numId w:val="12"/>
      </w:numPr>
      <w:contextualSpacing/>
    </w:pPr>
  </w:style>
  <w:style w:type="paragraph" w:styleId="ListNumber3">
    <w:name w:val="List Number 3"/>
    <w:basedOn w:val="Normal"/>
    <w:semiHidden/>
    <w:unhideWhenUsed/>
    <w:rsid w:val="00C20895"/>
    <w:pPr>
      <w:numPr>
        <w:numId w:val="13"/>
      </w:numPr>
      <w:contextualSpacing/>
    </w:pPr>
  </w:style>
  <w:style w:type="paragraph" w:styleId="ListNumber4">
    <w:name w:val="List Number 4"/>
    <w:basedOn w:val="Normal"/>
    <w:semiHidden/>
    <w:unhideWhenUsed/>
    <w:rsid w:val="00C20895"/>
    <w:pPr>
      <w:numPr>
        <w:numId w:val="14"/>
      </w:numPr>
      <w:contextualSpacing/>
    </w:pPr>
  </w:style>
  <w:style w:type="paragraph" w:styleId="ListNumber5">
    <w:name w:val="List Number 5"/>
    <w:basedOn w:val="Normal"/>
    <w:semiHidden/>
    <w:unhideWhenUsed/>
    <w:rsid w:val="00C20895"/>
    <w:pPr>
      <w:numPr>
        <w:numId w:val="15"/>
      </w:numPr>
      <w:contextualSpacing/>
    </w:pPr>
  </w:style>
  <w:style w:type="table" w:styleId="ListTable1Light">
    <w:name w:val="List Table 1 Light"/>
    <w:basedOn w:val="TableNormal"/>
    <w:uiPriority w:val="46"/>
    <w:rsid w:val="00C2089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2089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2089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2089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2089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2089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2089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rsid w:val="00C20895"/>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C2089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2089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2089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2089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2089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2089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2089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208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208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208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208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208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208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208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20895"/>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2089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2089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2089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2089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2089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2089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2089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20895"/>
    <w:rPr>
      <w:color w:val="000000" w:themeColor="text1"/>
    </w:rPr>
    <w:tblPr>
      <w:tblStyleRowBandSize w:val="1"/>
      <w:tblStyleColBandSize w:val="1"/>
    </w:tblPr>
    <w:tcPr>
      <w:tcBorders>
        <w:left w:val="single" w:sz="4" w:space="0" w:color="000000" w:themeColor="text1"/>
        <w:righ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20895"/>
    <w:rPr>
      <w:color w:val="365F91" w:themeColor="accent1" w:themeShade="BF"/>
    </w:rPr>
    <w:tblPr>
      <w:tblStyleRowBandSize w:val="1"/>
      <w:tblStyleColBandSize w:val="1"/>
    </w:tblPr>
    <w:tcPr>
      <w:tcBorders>
        <w:top w:val="single" w:sz="4" w:space="0" w:color="4F81BD" w:themeColor="accent1"/>
        <w:left w:val="single" w:sz="4" w:space="0" w:color="4F81BD" w:themeColor="accent1"/>
      </w:tcBorders>
      <w:shd w:val="clear" w:color="auto" w:fill="DBE5F1" w:themeFill="accent1" w:themeFillTint="33"/>
    </w:tc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20895"/>
    <w:rPr>
      <w:color w:val="943634" w:themeColor="accent2" w:themeShade="BF"/>
    </w:rPr>
    <w:tblPr>
      <w:tblStyleRowBandSize w:val="1"/>
      <w:tblStyleColBandSize w:val="1"/>
    </w:tblPr>
    <w:tcPr>
      <w:tcBorders>
        <w:top w:val="single" w:sz="4" w:space="0" w:color="C0504D" w:themeColor="accent2"/>
        <w:left w:val="single" w:sz="4" w:space="0" w:color="C0504D" w:themeColor="accent2"/>
      </w:tcBorders>
      <w:shd w:val="clear" w:color="auto" w:fill="F2DBDB" w:themeFill="accent2" w:themeFillTint="33"/>
    </w:tc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20895"/>
    <w:rPr>
      <w:color w:val="76923C" w:themeColor="accent3" w:themeShade="BF"/>
    </w:rPr>
    <w:tblPr>
      <w:tblStyleRowBandSize w:val="1"/>
      <w:tblStyleColBandSize w:val="1"/>
    </w:tblPr>
    <w:tcPr>
      <w:tcBorders>
        <w:top w:val="single" w:sz="4" w:space="0" w:color="9BBB59" w:themeColor="accent3"/>
        <w:left w:val="single" w:sz="4" w:space="0" w:color="9BBB59" w:themeColor="accent3"/>
      </w:tcBorders>
      <w:shd w:val="clear" w:color="auto" w:fill="EAF1DD" w:themeFill="accent3" w:themeFillTint="33"/>
    </w:tc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20895"/>
    <w:rPr>
      <w:color w:val="5F497A" w:themeColor="accent4" w:themeShade="BF"/>
    </w:rPr>
    <w:tblPr>
      <w:tblStyleRowBandSize w:val="1"/>
      <w:tblStyleColBandSize w:val="1"/>
    </w:tblPr>
    <w:tcPr>
      <w:tcBorders>
        <w:top w:val="single" w:sz="4" w:space="0" w:color="8064A2" w:themeColor="accent4"/>
        <w:left w:val="single" w:sz="4" w:space="0" w:color="8064A2" w:themeColor="accent4"/>
      </w:tcBorders>
      <w:shd w:val="clear" w:color="auto" w:fill="E5DFEC" w:themeFill="accent4" w:themeFillTint="33"/>
    </w:tc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20895"/>
    <w:rPr>
      <w:color w:val="31849B" w:themeColor="accent5" w:themeShade="BF"/>
    </w:rPr>
    <w:tblPr>
      <w:tblStyleRowBandSize w:val="1"/>
      <w:tblStyleColBandSize w:val="1"/>
    </w:tblPr>
    <w:tcPr>
      <w:tcBorders>
        <w:top w:val="single" w:sz="4" w:space="0" w:color="4BACC6" w:themeColor="accent5"/>
        <w:left w:val="single" w:sz="4" w:space="0" w:color="4BACC6" w:themeColor="accent5"/>
      </w:tcBorders>
      <w:shd w:val="clear" w:color="auto" w:fill="DAEEF3" w:themeFill="accent5" w:themeFillTint="33"/>
    </w:tc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20895"/>
    <w:rPr>
      <w:color w:val="E36C0A" w:themeColor="accent6" w:themeShade="BF"/>
    </w:rPr>
    <w:tblPr>
      <w:tblStyleRowBandSize w:val="1"/>
      <w:tblStyleColBandSize w:val="1"/>
    </w:tblPr>
    <w:tcPr>
      <w:tcBorders>
        <w:top w:val="single" w:sz="4" w:space="0" w:color="F79646" w:themeColor="accent6"/>
        <w:left w:val="single" w:sz="4" w:space="0" w:color="F79646" w:themeColor="accent6"/>
      </w:tcBorders>
      <w:shd w:val="clear" w:color="auto" w:fill="FDE9D9" w:themeFill="accent6" w:themeFillTint="33"/>
    </w:tc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C20895"/>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C20895"/>
    <w:rPr>
      <w:rFonts w:ascii="Consolas" w:eastAsia="Times New Roman" w:hAnsi="Consolas"/>
      <w:lang w:val="en-GB" w:eastAsia="en-US"/>
    </w:rPr>
  </w:style>
  <w:style w:type="table" w:styleId="MediumGrid1">
    <w:name w:val="Medium Grid 1"/>
    <w:basedOn w:val="TableNormal"/>
    <w:uiPriority w:val="67"/>
    <w:semiHidden/>
    <w:unhideWhenUsed/>
    <w:rsid w:val="00C20895"/>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style>
  <w:style w:type="table" w:styleId="MediumGrid1-Accent1">
    <w:name w:val="Medium Grid 1 Accent 1"/>
    <w:basedOn w:val="TableNormal"/>
    <w:uiPriority w:val="67"/>
    <w:semiHidden/>
    <w:unhideWhenUsed/>
    <w:rsid w:val="00C20895"/>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style>
  <w:style w:type="table" w:styleId="MediumGrid1-Accent2">
    <w:name w:val="Medium Grid 1 Accent 2"/>
    <w:basedOn w:val="TableNormal"/>
    <w:uiPriority w:val="67"/>
    <w:semiHidden/>
    <w:unhideWhenUsed/>
    <w:rsid w:val="00C20895"/>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style>
  <w:style w:type="table" w:styleId="MediumGrid1-Accent3">
    <w:name w:val="Medium Grid 1 Accent 3"/>
    <w:basedOn w:val="TableNormal"/>
    <w:uiPriority w:val="67"/>
    <w:semiHidden/>
    <w:unhideWhenUsed/>
    <w:rsid w:val="00C20895"/>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style>
  <w:style w:type="table" w:styleId="MediumGrid1-Accent4">
    <w:name w:val="Medium Grid 1 Accent 4"/>
    <w:basedOn w:val="TableNormal"/>
    <w:uiPriority w:val="67"/>
    <w:semiHidden/>
    <w:unhideWhenUsed/>
    <w:rsid w:val="00C20895"/>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style>
  <w:style w:type="table" w:styleId="MediumGrid1-Accent5">
    <w:name w:val="Medium Grid 1 Accent 5"/>
    <w:basedOn w:val="TableNormal"/>
    <w:uiPriority w:val="67"/>
    <w:semiHidden/>
    <w:unhideWhenUsed/>
    <w:rsid w:val="00C20895"/>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style>
  <w:style w:type="table" w:styleId="MediumGrid1-Accent6">
    <w:name w:val="Medium Grid 1 Accent 6"/>
    <w:basedOn w:val="TableNormal"/>
    <w:uiPriority w:val="67"/>
    <w:semiHidden/>
    <w:unhideWhenUsed/>
    <w:rsid w:val="00C20895"/>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style>
  <w:style w:type="table" w:styleId="MediumGrid2">
    <w:name w:val="Medium Grid 2"/>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20895"/>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style>
  <w:style w:type="table" w:styleId="MediumGrid3-Accent1">
    <w:name w:val="Medium Grid 3 Accent 1"/>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style>
  <w:style w:type="table" w:styleId="MediumGrid3-Accent2">
    <w:name w:val="Medium Grid 3 Accent 2"/>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style>
  <w:style w:type="table" w:styleId="MediumGrid3-Accent3">
    <w:name w:val="Medium Grid 3 Accent 3"/>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style>
  <w:style w:type="table" w:styleId="MediumGrid3-Accent4">
    <w:name w:val="Medium Grid 3 Accent 4"/>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style>
  <w:style w:type="table" w:styleId="MediumGrid3-Accent5">
    <w:name w:val="Medium Grid 3 Accent 5"/>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style>
  <w:style w:type="table" w:styleId="MediumGrid3-Accent6">
    <w:name w:val="Medium Grid 3 Accent 6"/>
    <w:basedOn w:val="TableNormal"/>
    <w:uiPriority w:val="69"/>
    <w:semiHidden/>
    <w:unhideWhenUsed/>
    <w:rsid w:val="00C20895"/>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style>
  <w:style w:type="table" w:styleId="MediumList1">
    <w:name w:val="Medium List 1"/>
    <w:basedOn w:val="TableNormal"/>
    <w:uiPriority w:val="65"/>
    <w:semiHidden/>
    <w:unhideWhenUsed/>
    <w:rsid w:val="00C20895"/>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1">
    <w:name w:val="Medium List 1 Accent 1"/>
    <w:basedOn w:val="TableNormal"/>
    <w:uiPriority w:val="65"/>
    <w:semiHidden/>
    <w:unhideWhenUsed/>
    <w:rsid w:val="00C20895"/>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2">
    <w:name w:val="Medium List 1 Accent 2"/>
    <w:basedOn w:val="TableNormal"/>
    <w:uiPriority w:val="65"/>
    <w:semiHidden/>
    <w:unhideWhenUsed/>
    <w:rsid w:val="00C20895"/>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3">
    <w:name w:val="Medium List 1 Accent 3"/>
    <w:basedOn w:val="TableNormal"/>
    <w:uiPriority w:val="65"/>
    <w:semiHidden/>
    <w:unhideWhenUsed/>
    <w:rsid w:val="00C20895"/>
    <w:rPr>
      <w:color w:val="000000" w:themeColor="text1"/>
    </w:r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4">
    <w:name w:val="Medium List 1 Accent 4"/>
    <w:basedOn w:val="TableNormal"/>
    <w:uiPriority w:val="65"/>
    <w:semiHidden/>
    <w:unhideWhenUsed/>
    <w:rsid w:val="00C20895"/>
    <w:rPr>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5">
    <w:name w:val="Medium List 1 Accent 5"/>
    <w:basedOn w:val="TableNormal"/>
    <w:uiPriority w:val="65"/>
    <w:semiHidden/>
    <w:unhideWhenUsed/>
    <w:rsid w:val="00C20895"/>
    <w:rPr>
      <w:color w:val="000000" w:themeColor="text1"/>
    </w:r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StylePr>
    <w:tblStylePr w:type="firstCol">
      <w:rPr>
        <w:b/>
        <w:bCs/>
      </w:rPr>
    </w:tblStylePr>
    <w:tblStylePr w:type="lastCol">
      <w:rPr>
        <w:b/>
        <w:bCs/>
      </w:rPr>
    </w:tblStylePr>
  </w:style>
  <w:style w:type="table" w:styleId="MediumList1-Accent6">
    <w:name w:val="Medium List 1 Accent 6"/>
    <w:basedOn w:val="TableNormal"/>
    <w:uiPriority w:val="65"/>
    <w:semiHidden/>
    <w:unhideWhenUsed/>
    <w:rsid w:val="00C20895"/>
    <w:rPr>
      <w:color w:val="000000" w:themeColor="text1"/>
    </w:r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StylePr>
    <w:tblStylePr w:type="firstCol">
      <w:rPr>
        <w:b/>
        <w:bCs/>
      </w:rPr>
    </w:tblStylePr>
    <w:tblStylePr w:type="lastCol">
      <w:rPr>
        <w:b/>
        <w:bCs/>
      </w:rPr>
    </w:tblStylePr>
  </w:style>
  <w:style w:type="table" w:styleId="MediumList2">
    <w:name w:val="Medium List 2"/>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C0C0C0" w:themeFill="text1" w:themeFillTint="3F"/>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20895"/>
    <w:rPr>
      <w:rFonts w:asciiTheme="majorHAnsi" w:eastAsiaTheme="majorEastAsia" w:hAnsiTheme="majorHAnsi" w:cstheme="majorBidi"/>
      <w:color w:val="000000" w:themeColor="text1"/>
    </w:rPr>
    <w:tblPr>
      <w:tblStyleRowBandSize w:val="1"/>
      <w:tblStyleColBandSize w:val="1"/>
    </w:tblPr>
    <w:tcPr>
      <w:tcBorders>
        <w:left w:val="nil"/>
        <w:right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20895"/>
    <w:tblPr>
      <w:tblStyleRowBandSize w:val="1"/>
      <w:tblStyleColBandSize w:val="1"/>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semiHidden/>
    <w:unhideWhenUsed/>
    <w:rsid w:val="00C20895"/>
    <w:tblPr>
      <w:tblStyleRowBandSize w:val="1"/>
      <w:tblStyleColBandSize w:val="1"/>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3DFEE"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semiHidden/>
    <w:unhideWhenUsed/>
    <w:rsid w:val="00C20895"/>
    <w:tblPr>
      <w:tblStyleRowBandSize w:val="1"/>
      <w:tblStyleColBandSize w:val="1"/>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shd w:val="clear" w:color="auto" w:fill="EFD3D2"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semiHidden/>
    <w:unhideWhenUsed/>
    <w:rsid w:val="00C20895"/>
    <w:tblPr>
      <w:tblStyleRowBandSize w:val="1"/>
      <w:tblStyleColBandSize w:val="1"/>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shd w:val="clear" w:color="auto" w:fill="E6EED5"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semiHidden/>
    <w:unhideWhenUsed/>
    <w:rsid w:val="00C20895"/>
    <w:tblPr>
      <w:tblStyleRowBandSize w:val="1"/>
      <w:tblStyleColBandSize w:val="1"/>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shd w:val="clear" w:color="auto" w:fill="DFD8E8"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semiHidden/>
    <w:unhideWhenUsed/>
    <w:rsid w:val="00C20895"/>
    <w:tblPr>
      <w:tblStyleRowBandSize w:val="1"/>
      <w:tblStyleColBandSize w:val="1"/>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shd w:val="clear" w:color="auto" w:fill="D2EAF1"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semiHidden/>
    <w:unhideWhenUsed/>
    <w:rsid w:val="00C20895"/>
    <w:tblPr>
      <w:tblStyleRowBandSize w:val="1"/>
      <w:tblStyleColBandSize w:val="1"/>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shd w:val="clear" w:color="auto" w:fill="FDE4D0"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20895"/>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rsid w:val="00C20895"/>
    <w:rPr>
      <w:color w:val="2B579A"/>
      <w:shd w:val="clear" w:color="auto" w:fill="E1DFDD"/>
      <w:lang w:val="en-GB"/>
    </w:rPr>
  </w:style>
  <w:style w:type="paragraph" w:styleId="MessageHeader">
    <w:name w:val="Message Header"/>
    <w:basedOn w:val="Normal"/>
    <w:link w:val="MessageHeaderChar"/>
    <w:semiHidden/>
    <w:rsid w:val="00C2089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20895"/>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C20895"/>
    <w:pPr>
      <w:ind w:left="720"/>
    </w:pPr>
  </w:style>
  <w:style w:type="paragraph" w:styleId="NoteHeading">
    <w:name w:val="Note Heading"/>
    <w:basedOn w:val="Normal"/>
    <w:next w:val="Normal"/>
    <w:link w:val="NoteHeadingChar"/>
    <w:semiHidden/>
    <w:unhideWhenUsed/>
    <w:rsid w:val="00C20895"/>
  </w:style>
  <w:style w:type="character" w:customStyle="1" w:styleId="NoteHeadingChar">
    <w:name w:val="Note Heading Char"/>
    <w:basedOn w:val="DefaultParagraphFont"/>
    <w:link w:val="NoteHeading"/>
    <w:semiHidden/>
    <w:rsid w:val="00C20895"/>
    <w:rPr>
      <w:rFonts w:eastAsia="Times New Roman"/>
      <w:lang w:val="en-GB" w:eastAsia="en-US"/>
    </w:rPr>
  </w:style>
  <w:style w:type="table" w:styleId="PlainTable1">
    <w:name w:val="Plain Table 1"/>
    <w:basedOn w:val="TableNormal"/>
    <w:uiPriority w:val="41"/>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PlainTable2">
    <w:name w:val="Plain Table 2"/>
    <w:basedOn w:val="TableNormal"/>
    <w:uiPriority w:val="42"/>
    <w:rsid w:val="00C20895"/>
    <w:tblPr>
      <w:tblStyleRowBandSize w:val="1"/>
      <w:tblStyleColBandSize w:val="1"/>
    </w:tblPr>
    <w:tcPr>
      <w:tcBorders>
        <w:top w:val="single" w:sz="4" w:space="0" w:color="7F7F7F" w:themeColor="text1" w:themeTint="80"/>
        <w:bottom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style>
  <w:style w:type="table" w:styleId="PlainTable3">
    <w:name w:val="Plain Table 3"/>
    <w:basedOn w:val="TableNormal"/>
    <w:uiPriority w:val="43"/>
    <w:rsid w:val="00C20895"/>
    <w:tblPr>
      <w:tblStyleRowBandSize w:val="1"/>
      <w:tblStyleColBandSize w:val="1"/>
    </w:tblPr>
    <w:tcPr>
      <w:tcBorders>
        <w:bottom w:val="single" w:sz="4" w:space="0" w:color="7F7F7F" w:themeColor="text1" w:themeTint="80"/>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20895"/>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C20895"/>
    <w:tblPr>
      <w:tblStyleRowBandSize w:val="1"/>
      <w:tblStyleColBandSize w:val="1"/>
    </w:tblPr>
    <w:tcPr>
      <w:tcBorders>
        <w:top w:val="single" w:sz="4" w:space="0" w:color="7F7F7F" w:themeColor="text1" w:themeTint="80"/>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C20895"/>
    <w:rPr>
      <w:rFonts w:ascii="Consolas" w:hAnsi="Consolas"/>
      <w:sz w:val="21"/>
      <w:szCs w:val="21"/>
    </w:rPr>
  </w:style>
  <w:style w:type="character" w:customStyle="1" w:styleId="PlainTextChar">
    <w:name w:val="Plain Text Char"/>
    <w:basedOn w:val="DefaultParagraphFont"/>
    <w:link w:val="PlainText"/>
    <w:semiHidden/>
    <w:rsid w:val="00C20895"/>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C208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20895"/>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C20895"/>
  </w:style>
  <w:style w:type="character" w:customStyle="1" w:styleId="SalutationChar">
    <w:name w:val="Salutation Char"/>
    <w:basedOn w:val="DefaultParagraphFont"/>
    <w:link w:val="Salutation"/>
    <w:semiHidden/>
    <w:rsid w:val="00C20895"/>
    <w:rPr>
      <w:rFonts w:eastAsia="Times New Roman"/>
      <w:lang w:val="en-GB" w:eastAsia="en-US"/>
    </w:rPr>
  </w:style>
  <w:style w:type="paragraph" w:styleId="Signature">
    <w:name w:val="Signature"/>
    <w:basedOn w:val="Normal"/>
    <w:link w:val="SignatureChar"/>
    <w:semiHidden/>
    <w:unhideWhenUsed/>
    <w:rsid w:val="00C20895"/>
    <w:pPr>
      <w:ind w:left="4252"/>
    </w:pPr>
  </w:style>
  <w:style w:type="character" w:customStyle="1" w:styleId="SignatureChar">
    <w:name w:val="Signature Char"/>
    <w:basedOn w:val="DefaultParagraphFont"/>
    <w:link w:val="Signature"/>
    <w:semiHidden/>
    <w:rsid w:val="00C20895"/>
    <w:rPr>
      <w:rFonts w:eastAsia="Times New Roman"/>
      <w:lang w:val="en-GB" w:eastAsia="en-US"/>
    </w:rPr>
  </w:style>
  <w:style w:type="character" w:customStyle="1" w:styleId="SmartHyperlink1">
    <w:name w:val="Smart Hyperlink1"/>
    <w:basedOn w:val="DefaultParagraphFont"/>
    <w:uiPriority w:val="99"/>
    <w:semiHidden/>
    <w:rsid w:val="00C20895"/>
    <w:rPr>
      <w:u w:val="dotted"/>
      <w:lang w:val="en-GB"/>
    </w:rPr>
  </w:style>
  <w:style w:type="character" w:customStyle="1" w:styleId="SmartLink1">
    <w:name w:val="SmartLink1"/>
    <w:basedOn w:val="DefaultParagraphFont"/>
    <w:uiPriority w:val="99"/>
    <w:semiHidden/>
    <w:unhideWhenUsed/>
    <w:rsid w:val="00C20895"/>
    <w:rPr>
      <w:color w:val="0000FF"/>
      <w:u w:val="single"/>
      <w:shd w:val="clear" w:color="auto" w:fill="F3F2F1"/>
      <w:lang w:val="en-GB"/>
    </w:rPr>
  </w:style>
  <w:style w:type="character" w:styleId="Strong">
    <w:name w:val="Strong"/>
    <w:basedOn w:val="DefaultParagraphFont"/>
    <w:semiHidden/>
    <w:qFormat/>
    <w:rsid w:val="00C20895"/>
    <w:rPr>
      <w:b/>
      <w:bCs/>
      <w:lang w:val="en-GB"/>
    </w:rPr>
  </w:style>
  <w:style w:type="paragraph" w:styleId="Subtitle">
    <w:name w:val="Subtitle"/>
    <w:basedOn w:val="Normal"/>
    <w:next w:val="Normal"/>
    <w:link w:val="SubtitleChar"/>
    <w:semiHidden/>
    <w:qFormat/>
    <w:rsid w:val="00C208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C20895"/>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C20895"/>
    <w:rPr>
      <w:i/>
      <w:iCs/>
      <w:color w:val="404040" w:themeColor="text1" w:themeTint="BF"/>
      <w:lang w:val="en-GB"/>
    </w:rPr>
  </w:style>
  <w:style w:type="character" w:styleId="SubtleReference">
    <w:name w:val="Subtle Reference"/>
    <w:basedOn w:val="DefaultParagraphFont"/>
    <w:uiPriority w:val="31"/>
    <w:semiHidden/>
    <w:qFormat/>
    <w:rsid w:val="00C20895"/>
    <w:rPr>
      <w:smallCaps/>
      <w:color w:val="5A5A5A" w:themeColor="text1" w:themeTint="A5"/>
      <w:lang w:val="en-GB"/>
    </w:rPr>
  </w:style>
  <w:style w:type="table" w:styleId="Table3Deffects1">
    <w:name w:val="Table 3D effects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nwCell">
      <w:rPr>
        <w:b/>
        <w:bCs/>
        <w:color w:val="FFFFFF"/>
      </w:rPr>
    </w:tblStylePr>
  </w:style>
  <w:style w:type="table" w:styleId="TableColumns1">
    <w:name w:val="Table Columns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styleId="TableGrid1">
    <w:name w:val="Table Grid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lastRow">
      <w:rPr>
        <w:i/>
        <w:iCs/>
      </w:rPr>
    </w:tblStylePr>
    <w:tblStylePr w:type="lastCol">
      <w:rPr>
        <w:i/>
        <w:iCs/>
      </w:rPr>
    </w:tblStylePr>
  </w:style>
  <w:style w:type="table" w:styleId="TableGrid2">
    <w:name w:val="Table Grid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bottom w:val="single" w:sz="6" w:space="0" w:color="000000"/>
      </w:tcBorders>
      <w:shd w:val="clear" w:color="auto" w:fill="auto"/>
    </w:tcPr>
    <w:tblStylePr w:type="lastRow">
      <w:rPr>
        <w:b/>
        <w:bCs/>
      </w:rPr>
    </w:tblStylePr>
    <w:tblStylePr w:type="lastCol">
      <w:rPr>
        <w:b/>
        <w:bCs/>
      </w:rPr>
    </w:tblStylePr>
  </w:style>
  <w:style w:type="table" w:styleId="TableGrid4">
    <w:name w:val="Table Grid 4"/>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lastRow">
      <w:rPr>
        <w:b/>
        <w:bCs/>
      </w:rPr>
    </w:tblStylePr>
    <w:tblStylePr w:type="lastCol">
      <w:rPr>
        <w:b/>
        <w:bCs/>
      </w:rPr>
    </w:tblStylePr>
  </w:style>
  <w:style w:type="table" w:styleId="TableGrid6">
    <w:name w:val="Table Grid 6"/>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TableGridLight">
    <w:name w:val="Grid Table Light"/>
    <w:basedOn w:val="TableNormal"/>
    <w:uiPriority w:val="40"/>
    <w:rsid w:val="00C20895"/>
    <w:tblPr/>
  </w:style>
  <w:style w:type="table" w:styleId="TableList1">
    <w:name w:val="Table List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FFFFFF"/>
      </w:rPr>
    </w:tblStylePr>
  </w:style>
  <w:style w:type="table" w:styleId="TableList5">
    <w:name w:val="Table List 5"/>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firstCol">
      <w:rPr>
        <w:b/>
        <w:bCs/>
      </w:rPr>
    </w:tblStylePr>
  </w:style>
  <w:style w:type="table" w:styleId="TableList6">
    <w:name w:val="Table List 6"/>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bottom w:val="single" w:sz="12" w:space="0" w:color="000000"/>
        <w:right w:val="single" w:sz="12" w:space="0" w:color="000000"/>
      </w:tcBorders>
      <w:shd w:val="pct50" w:color="000000" w:fill="FFFFFF"/>
    </w:tcPr>
    <w:tblStylePr w:type="firstRow">
      <w:rPr>
        <w:b/>
        <w:bCs/>
      </w:rPr>
    </w:tblStylePr>
    <w:tblStylePr w:type="firstCol">
      <w:rPr>
        <w:b/>
        <w:bCs/>
      </w:rPr>
    </w:tblStylePr>
  </w:style>
  <w:style w:type="table" w:styleId="TableList7">
    <w:name w:val="Table List 7"/>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paragraph" w:styleId="TableofAuthorities">
    <w:name w:val="table of authorities"/>
    <w:basedOn w:val="Normal"/>
    <w:next w:val="Normal"/>
    <w:semiHidden/>
    <w:unhideWhenUsed/>
    <w:rsid w:val="00C20895"/>
    <w:pPr>
      <w:tabs>
        <w:tab w:val="clear" w:pos="1247"/>
      </w:tabs>
      <w:ind w:left="200" w:hanging="200"/>
    </w:pPr>
  </w:style>
  <w:style w:type="table" w:styleId="TableProfessional">
    <w:name w:val="Table Professional"/>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color w:val="auto"/>
      </w:rPr>
    </w:tblStylePr>
  </w:style>
  <w:style w:type="table" w:styleId="TableSimple1">
    <w:name w:val="Table Simple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shd w:val="clear" w:color="auto" w:fill="auto"/>
    </w:tcPr>
    <w:tblStylePr w:type="firstRow">
      <w:rPr>
        <w:b/>
        <w:bCs/>
        <w:color w:val="FFFFFF"/>
      </w:rPr>
    </w:tblStylePr>
  </w:style>
  <w:style w:type="table" w:styleId="TableSubtle1">
    <w:name w:val="Table Subtle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style>
  <w:style w:type="table" w:styleId="TableWeb1">
    <w:name w:val="Table Web 1"/>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styleId="TableWeb2">
    <w:name w:val="Table Web 2"/>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table" w:styleId="TableWeb3">
    <w:name w:val="Table Web 3"/>
    <w:basedOn w:val="TableNormal"/>
    <w:semiHidden/>
    <w:unhideWhenUsed/>
    <w:rsid w:val="00C20895"/>
    <w:pPr>
      <w:tabs>
        <w:tab w:val="left" w:pos="624"/>
        <w:tab w:val="left" w:pos="1247"/>
        <w:tab w:val="left" w:pos="1871"/>
        <w:tab w:val="left" w:pos="2495"/>
        <w:tab w:val="left" w:pos="3119"/>
        <w:tab w:val="left" w:pos="3742"/>
        <w:tab w:val="left" w:pos="4366"/>
      </w:tabs>
      <w:adjustRightInd w:val="0"/>
      <w:snapToGrid w:val="0"/>
    </w:pPr>
    <w:tblPr/>
    <w:tblStylePr w:type="firstRow">
      <w:rPr>
        <w:color w:val="auto"/>
      </w:rPr>
    </w:tblStylePr>
  </w:style>
  <w:style w:type="paragraph" w:styleId="Title">
    <w:name w:val="Title"/>
    <w:basedOn w:val="Normal"/>
    <w:next w:val="Normal"/>
    <w:link w:val="TitleChar"/>
    <w:semiHidden/>
    <w:qFormat/>
    <w:rsid w:val="00C208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C20895"/>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C2089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20895"/>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C20895"/>
    <w:rPr>
      <w:rFonts w:eastAsia="Times New Roman"/>
      <w:lang w:val="en-GB" w:eastAsia="en-US"/>
    </w:rPr>
  </w:style>
  <w:style w:type="character" w:customStyle="1" w:styleId="BBTitleChar">
    <w:name w:val="BB_Title Char"/>
    <w:link w:val="BBTitle"/>
    <w:rsid w:val="00C20895"/>
    <w:rPr>
      <w:rFonts w:eastAsia="Times New Roman"/>
      <w:b/>
      <w:sz w:val="28"/>
      <w:szCs w:val="28"/>
      <w:lang w:val="en-GB" w:eastAsia="en-US"/>
    </w:rPr>
  </w:style>
  <w:style w:type="paragraph" w:styleId="Revision">
    <w:name w:val="Revision"/>
    <w:hidden/>
    <w:uiPriority w:val="99"/>
    <w:semiHidden/>
    <w:rsid w:val="00C20895"/>
    <w:rPr>
      <w:rFonts w:eastAsia="Times New Roman"/>
      <w:lang w:val="en-GB" w:eastAsia="en-US"/>
    </w:rPr>
  </w:style>
  <w:style w:type="character" w:customStyle="1" w:styleId="CH2Char">
    <w:name w:val="CH2 Char"/>
    <w:link w:val="CH2"/>
    <w:locked/>
    <w:rsid w:val="00706937"/>
    <w:rPr>
      <w:rFonts w:eastAsia="Times New Roman"/>
      <w:b/>
      <w:sz w:val="24"/>
      <w:szCs w:val="24"/>
      <w:lang w:val="en-GB" w:eastAsia="en-US"/>
    </w:rPr>
  </w:style>
  <w:style w:type="character" w:customStyle="1" w:styleId="ListParagraphChar">
    <w:name w:val="List Paragraph Char"/>
    <w:aliases w:val="(i) Indent 2 Char,List Paragraph (numbered (a)) Char Char,List Paragraph Char Char Char Char,List Paragraph (numbered (a)) Char1,Use Case List Paragraph Char,List Paragraph2 Char,Numbered List Paragraph Char,Bullet paras Char"/>
    <w:basedOn w:val="DefaultParagraphFont"/>
    <w:link w:val="ListParagraph"/>
    <w:uiPriority w:val="34"/>
    <w:rsid w:val="00687603"/>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zone.unep.org/meetings/informal-meeting-facilitating-implementation-montreal-protocol/presentations" TargetMode="External"/><Relationship Id="rId2" Type="http://schemas.openxmlformats.org/officeDocument/2006/relationships/hyperlink" Target="https://ozone.unep.org/system/files/documents/IM_concept-note-and-provisional-programme_final-draft_for-posting.pdf" TargetMode="External"/><Relationship Id="rId1" Type="http://schemas.openxmlformats.org/officeDocument/2006/relationships/hyperlink" Target="https://ozone.unep.org/system/files/documents/IM_concept-note-and-provisional-programme_final-draft_for-posting.pdf" TargetMode="External"/><Relationship Id="rId4" Type="http://schemas.openxmlformats.org/officeDocument/2006/relationships/hyperlink" Target="https://ozone.unep.org/meetings/informal-meeting-facilitating-implementation-montreal-protocol/present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2025-11-17T05:24:43+00:00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2025-11-17T05:24:43+00:00</Date_x0020_Sent>
    <Personal_x0020_Information_x0020__x0028_PII_x0029_ xmlns="985ec44e-1bab-4c0b-9df0-6ba128686fc9">false</Personal_x0020_Information_x0020__x0028_PII_x0029_>
    <Date_x0020_Received xmlns="985ec44e-1bab-4c0b-9df0-6ba128686fc9">2025-11-17T05:24:43+00:00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2.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521576281b05bbd65f2fa2d480b3773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ecfe1576410a1c88a08dcd85e87051c"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http://schemas.microsoft.com/sharepoint/v3"/>
  </ds:schemaRefs>
</ds:datastoreItem>
</file>

<file path=customXml/itemProps2.xml><?xml version="1.0" encoding="utf-8"?>
<ds:datastoreItem xmlns:ds="http://schemas.openxmlformats.org/officeDocument/2006/customXml" ds:itemID="{38DE6529-D9AC-4424-87F5-04B204471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EC4C7418-26DE-49B7-88C4-251A365075AC}">
  <ds:schemaRefs>
    <ds:schemaRef ds:uri="http://schemas.openxmlformats.org/officeDocument/2006/bibliography"/>
  </ds:schemaRefs>
</ds:datastoreItem>
</file>

<file path=customXml/itemProps5.xml><?xml version="1.0" encoding="utf-8"?>
<ds:datastoreItem xmlns:ds="http://schemas.openxmlformats.org/officeDocument/2006/customXml" ds:itemID="{396331A6-FD66-4F0B-A802-42AF28F9FBE0}">
  <ds:schemaRefs>
    <ds:schemaRef ds:uri="Microsoft.SharePoint.Taxonomy.ContentTypeSync"/>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119</TotalTime>
  <Pages>52</Pages>
  <Words>37101</Words>
  <Characters>211477</Characters>
  <Application>Microsoft Office Word</Application>
  <DocSecurity>0</DocSecurity>
  <PresentationFormat/>
  <Lines>1762</Lines>
  <Paragraphs>496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248082</CharactersWithSpaces>
  <SharedDoc>false</SharedDoc>
  <HyperlinkBase/>
  <HLinks>
    <vt:vector size="54" baseType="variant">
      <vt:variant>
        <vt:i4>7602244</vt:i4>
      </vt:variant>
      <vt:variant>
        <vt:i4>0</vt:i4>
      </vt:variant>
      <vt:variant>
        <vt:i4>0</vt:i4>
      </vt:variant>
      <vt:variant>
        <vt:i4>5</vt:i4>
      </vt:variant>
      <vt:variant>
        <vt:lpwstr>https://ozone.unep.org/system/files/documents/IM_concept-note-and-provisional-programme_final-draft_for-posting.pdf</vt:lpwstr>
      </vt:variant>
      <vt:variant>
        <vt:lpwstr/>
      </vt:variant>
      <vt:variant>
        <vt:i4>5636132</vt:i4>
      </vt:variant>
      <vt:variant>
        <vt:i4>21</vt:i4>
      </vt:variant>
      <vt:variant>
        <vt:i4>0</vt:i4>
      </vt:variant>
      <vt:variant>
        <vt:i4>5</vt:i4>
      </vt:variant>
      <vt:variant>
        <vt:lpwstr>mailto:meg.seki@un.org</vt:lpwstr>
      </vt:variant>
      <vt:variant>
        <vt:lpwstr/>
      </vt:variant>
      <vt:variant>
        <vt:i4>5636132</vt:i4>
      </vt:variant>
      <vt:variant>
        <vt:i4>18</vt:i4>
      </vt:variant>
      <vt:variant>
        <vt:i4>0</vt:i4>
      </vt:variant>
      <vt:variant>
        <vt:i4>5</vt:i4>
      </vt:variant>
      <vt:variant>
        <vt:lpwstr>mailto:meg.seki@un.org</vt:lpwstr>
      </vt:variant>
      <vt:variant>
        <vt:lpwstr/>
      </vt:variant>
      <vt:variant>
        <vt:i4>7733270</vt:i4>
      </vt:variant>
      <vt:variant>
        <vt:i4>15</vt:i4>
      </vt:variant>
      <vt:variant>
        <vt:i4>0</vt:i4>
      </vt:variant>
      <vt:variant>
        <vt:i4>5</vt:i4>
      </vt:variant>
      <vt:variant>
        <vt:lpwstr>mailto:jacqueline.nyanjui@un.org</vt:lpwstr>
      </vt:variant>
      <vt:variant>
        <vt:lpwstr/>
      </vt:variant>
      <vt:variant>
        <vt:i4>8060974</vt:i4>
      </vt:variant>
      <vt:variant>
        <vt:i4>12</vt:i4>
      </vt:variant>
      <vt:variant>
        <vt:i4>0</vt:i4>
      </vt:variant>
      <vt:variant>
        <vt:i4>5</vt:i4>
      </vt:variant>
      <vt:variant>
        <vt:lpwstr>https://ozone.unep.org/treaties/montreal-protocol-substances-deplete-ozone-layer/rules-of-procedure</vt:lpwstr>
      </vt:variant>
      <vt:variant>
        <vt:lpwstr/>
      </vt:variant>
      <vt:variant>
        <vt:i4>5898301</vt:i4>
      </vt:variant>
      <vt:variant>
        <vt:i4>9</vt:i4>
      </vt:variant>
      <vt:variant>
        <vt:i4>0</vt:i4>
      </vt:variant>
      <vt:variant>
        <vt:i4>5</vt:i4>
      </vt:variant>
      <vt:variant>
        <vt:lpwstr>https://treaties.un.org/doc/Treaties/2016/10/20161015 03-23 PM/Ch_XXVII-2.f-English and French.pdf</vt:lpwstr>
      </vt:variant>
      <vt:variant>
        <vt:lpwstr/>
      </vt:variant>
      <vt:variant>
        <vt:i4>721019</vt:i4>
      </vt:variant>
      <vt:variant>
        <vt:i4>6</vt:i4>
      </vt:variant>
      <vt:variant>
        <vt:i4>0</vt:i4>
      </vt:variant>
      <vt:variant>
        <vt:i4>5</vt:i4>
      </vt:variant>
      <vt:variant>
        <vt:lpwstr>mailto:judy.ngungi@un.org</vt:lpwstr>
      </vt:variant>
      <vt:variant>
        <vt:lpwstr/>
      </vt:variant>
      <vt:variant>
        <vt:i4>721019</vt:i4>
      </vt:variant>
      <vt:variant>
        <vt:i4>3</vt:i4>
      </vt:variant>
      <vt:variant>
        <vt:i4>0</vt:i4>
      </vt:variant>
      <vt:variant>
        <vt:i4>5</vt:i4>
      </vt:variant>
      <vt:variant>
        <vt:lpwstr>mailto:judy.ngungi@un.org</vt:lpwstr>
      </vt:variant>
      <vt:variant>
        <vt:lpwstr/>
      </vt:variant>
      <vt:variant>
        <vt:i4>7864322</vt:i4>
      </vt:variant>
      <vt:variant>
        <vt:i4>0</vt:i4>
      </vt:variant>
      <vt:variant>
        <vt:i4>0</vt:i4>
      </vt:variant>
      <vt:variant>
        <vt:i4>5</vt:i4>
      </vt:variant>
      <vt:variant>
        <vt:lpwstr>mailto:sophia.mylona@un.org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Julius Njenga</cp:lastModifiedBy>
  <cp:revision>5</cp:revision>
  <cp:lastPrinted>2026-03-06T06:26:00Z</cp:lastPrinted>
  <dcterms:created xsi:type="dcterms:W3CDTF">2026-02-24T12:15:00Z</dcterms:created>
  <dcterms:modified xsi:type="dcterms:W3CDTF">2026-03-06T08:26:00Z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Office_x0020_of_x0020_Origin">
    <vt:lpwstr/>
  </property>
  <property fmtid="{D5CDD505-2E9C-101B-9397-08002B2CF9AE}" pid="12" name="lcf76f155ced4ddcb4097134ff3c332f">
    <vt:lpwstr/>
  </property>
  <property fmtid="{D5CDD505-2E9C-101B-9397-08002B2CF9AE}" pid="13" name="Office of Origin">
    <vt:lpwstr/>
  </property>
  <property fmtid="{D5CDD505-2E9C-101B-9397-08002B2CF9AE}" pid="14" name="ContentTypeId">
    <vt:lpwstr>0x010100AF687BC085C91946BC54CBDC5AB286CC00C98D0C8D73AF894E997C937D021D4600</vt:lpwstr>
  </property>
  <property fmtid="{D5CDD505-2E9C-101B-9397-08002B2CF9AE}" pid="15" name="TranslatedWith">
    <vt:lpwstr>Mercury</vt:lpwstr>
  </property>
  <property fmtid="{D5CDD505-2E9C-101B-9397-08002B2CF9AE}" pid="16" name="GeneratedBy">
    <vt:lpwstr>mariaisabel.bolivarperez@un.org</vt:lpwstr>
  </property>
  <property fmtid="{D5CDD505-2E9C-101B-9397-08002B2CF9AE}" pid="17" name="GeneratedDate">
    <vt:lpwstr>02/04/2026 15:48:41</vt:lpwstr>
  </property>
  <property fmtid="{D5CDD505-2E9C-101B-9397-08002B2CF9AE}" pid="18" name="OriginalDocID">
    <vt:lpwstr>55273506-0b1a-4ff0-91dd-620cddba5abf</vt:lpwstr>
  </property>
</Properties>
</file>