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701"/>
        <w:gridCol w:w="6378"/>
        <w:gridCol w:w="1417"/>
      </w:tblGrid>
      <w:tr w:rsidR="00B03929" w:rsidRPr="00B03929" w14:paraId="6A6315C3" w14:textId="77777777" w:rsidTr="004D6C0A">
        <w:trPr>
          <w:trHeight w:val="850"/>
        </w:trPr>
        <w:tc>
          <w:tcPr>
            <w:tcW w:w="1701" w:type="dxa"/>
          </w:tcPr>
          <w:p w14:paraId="23D43D7E" w14:textId="391F9D13" w:rsidR="00B03929" w:rsidRPr="00B03929" w:rsidRDefault="00B03929" w:rsidP="004D6C0A">
            <w:pPr>
              <w:pStyle w:val="AUnitedNations"/>
              <w:rPr>
                <w:lang w:val="es-ES_tradnl"/>
              </w:rPr>
            </w:pPr>
            <w:r w:rsidRPr="00B03929">
              <w:rPr>
                <w:lang w:val="es-ES_tradnl"/>
              </w:rPr>
              <w:t xml:space="preserve">NACIONES </w:t>
            </w:r>
            <w:r w:rsidRPr="00B03929">
              <w:rPr>
                <w:lang w:val="es-ES_tradnl"/>
              </w:rPr>
              <w:br/>
              <w:t>UNIDAS</w:t>
            </w:r>
          </w:p>
        </w:tc>
        <w:tc>
          <w:tcPr>
            <w:tcW w:w="6378" w:type="dxa"/>
          </w:tcPr>
          <w:p w14:paraId="2047D93A" w14:textId="77777777" w:rsidR="00B03929" w:rsidRPr="00B03929" w:rsidRDefault="00B03929" w:rsidP="004D6C0A">
            <w:pPr>
              <w:pStyle w:val="Normal-pool"/>
              <w:rPr>
                <w:lang w:val="es-ES_tradnl"/>
              </w:rPr>
            </w:pPr>
            <w:r w:rsidRPr="00B03929">
              <w:rPr>
                <w:noProof/>
                <w:lang w:val="es-ES_tradnl"/>
                <w14:ligatures w14:val="standardContextual"/>
              </w:rPr>
              <w:drawing>
                <wp:anchor distT="0" distB="0" distL="114300" distR="114300" simplePos="0" relativeHeight="251660288" behindDoc="0" locked="0" layoutInCell="1" allowOverlap="1" wp14:anchorId="37154B44" wp14:editId="46F5530F">
                  <wp:simplePos x="0" y="0"/>
                  <wp:positionH relativeFrom="column">
                    <wp:posOffset>2292</wp:posOffset>
                  </wp:positionH>
                  <wp:positionV relativeFrom="paragraph">
                    <wp:posOffset>-3451</wp:posOffset>
                  </wp:positionV>
                  <wp:extent cx="1305763" cy="573559"/>
                  <wp:effectExtent l="0" t="0" r="8890" b="0"/>
                  <wp:wrapNone/>
                  <wp:docPr id="220651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651132" name=""/>
                          <pic:cNvPicPr/>
                        </pic:nvPicPr>
                        <pic:blipFill>
                          <a:blip r:embed="rId11">
                            <a:extLst>
                              <a:ext uri="{28A0092B-C50C-407E-A947-70E740481C1C}">
                                <a14:useLocalDpi xmlns:a14="http://schemas.microsoft.com/office/drawing/2010/main" val="0"/>
                              </a:ext>
                            </a:extLst>
                          </a:blip>
                          <a:stretch>
                            <a:fillRect/>
                          </a:stretch>
                        </pic:blipFill>
                        <pic:spPr>
                          <a:xfrm>
                            <a:off x="0" y="0"/>
                            <a:ext cx="1305763" cy="573559"/>
                          </a:xfrm>
                          <a:prstGeom prst="rect">
                            <a:avLst/>
                          </a:prstGeom>
                        </pic:spPr>
                      </pic:pic>
                    </a:graphicData>
                  </a:graphic>
                </wp:anchor>
              </w:drawing>
            </w:r>
          </w:p>
        </w:tc>
        <w:tc>
          <w:tcPr>
            <w:tcW w:w="1417" w:type="dxa"/>
          </w:tcPr>
          <w:p w14:paraId="7F65405C" w14:textId="77777777" w:rsidR="00B03929" w:rsidRPr="00B03929" w:rsidRDefault="00B03929" w:rsidP="004D6C0A">
            <w:pPr>
              <w:pStyle w:val="Normal-pool"/>
              <w:rPr>
                <w:lang w:val="es-ES_tradnl"/>
              </w:rPr>
            </w:pPr>
          </w:p>
        </w:tc>
      </w:tr>
    </w:tbl>
    <w:p w14:paraId="7646BBEB" w14:textId="77777777" w:rsidR="00B03929" w:rsidRPr="00B03929" w:rsidRDefault="00B03929" w:rsidP="00B03929">
      <w:pPr>
        <w:pStyle w:val="ASpacer"/>
        <w:rPr>
          <w:lang w:val="es-ES_tradnl"/>
        </w:rPr>
      </w:pPr>
    </w:p>
    <w:tbl>
      <w:tblPr>
        <w:tblW w:w="9496" w:type="dxa"/>
        <w:tblLook w:val="0000" w:firstRow="0" w:lastRow="0" w:firstColumn="0" w:lastColumn="0" w:noHBand="0" w:noVBand="0"/>
      </w:tblPr>
      <w:tblGrid>
        <w:gridCol w:w="6378"/>
        <w:gridCol w:w="3118"/>
      </w:tblGrid>
      <w:tr w:rsidR="00B03929" w:rsidRPr="00B03929" w14:paraId="0D23244E" w14:textId="77777777" w:rsidTr="004D6C0A">
        <w:trPr>
          <w:trHeight w:val="340"/>
        </w:trPr>
        <w:tc>
          <w:tcPr>
            <w:tcW w:w="3358" w:type="pct"/>
            <w:vAlign w:val="bottom"/>
          </w:tcPr>
          <w:p w14:paraId="12A41DA9" w14:textId="77777777" w:rsidR="00B03929" w:rsidRPr="00B03929" w:rsidRDefault="00B03929" w:rsidP="004D6C0A">
            <w:pPr>
              <w:pStyle w:val="Normal-pool"/>
              <w:rPr>
                <w:lang w:val="es-ES_tradnl"/>
              </w:rPr>
            </w:pPr>
          </w:p>
        </w:tc>
        <w:tc>
          <w:tcPr>
            <w:tcW w:w="1642" w:type="pct"/>
            <w:noWrap/>
            <w:vAlign w:val="bottom"/>
          </w:tcPr>
          <w:p w14:paraId="3D129677" w14:textId="5F84DC38" w:rsidR="00B03929" w:rsidRPr="00B03929" w:rsidRDefault="00B03929" w:rsidP="004D6C0A">
            <w:pPr>
              <w:pStyle w:val="ASymbol"/>
              <w:rPr>
                <w:lang w:val="es-ES_tradnl"/>
              </w:rPr>
            </w:pPr>
            <w:r w:rsidRPr="00B03929">
              <w:rPr>
                <w:b/>
                <w:sz w:val="28"/>
                <w:lang w:val="es-ES_tradnl"/>
              </w:rPr>
              <w:t>UNEP</w:t>
            </w:r>
            <w:r w:rsidRPr="00B03929">
              <w:rPr>
                <w:lang w:val="es-ES_tradnl"/>
              </w:rPr>
              <w:t>/OzL.Pro.37/Bur.1/</w:t>
            </w:r>
            <w:r>
              <w:rPr>
                <w:lang w:val="es-ES_tradnl"/>
              </w:rPr>
              <w:t>2</w:t>
            </w:r>
          </w:p>
        </w:tc>
      </w:tr>
    </w:tbl>
    <w:p w14:paraId="18348C58" w14:textId="77777777" w:rsidR="00B03929" w:rsidRPr="00B03929" w:rsidRDefault="00B03929" w:rsidP="00B03929">
      <w:pPr>
        <w:pStyle w:val="ASpacer"/>
        <w:rPr>
          <w:lang w:val="es-ES_tradnl"/>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B03929" w:rsidRPr="00B03929" w14:paraId="659165E1" w14:textId="77777777" w:rsidTr="004D6C0A">
        <w:trPr>
          <w:trHeight w:val="2098"/>
        </w:trPr>
        <w:tc>
          <w:tcPr>
            <w:tcW w:w="5386" w:type="dxa"/>
          </w:tcPr>
          <w:p w14:paraId="32F8D4CD" w14:textId="77777777" w:rsidR="00B03929" w:rsidRPr="00B03929" w:rsidRDefault="00B03929" w:rsidP="004D6C0A">
            <w:pPr>
              <w:pStyle w:val="AConvName"/>
              <w:rPr>
                <w:lang w:val="es-ES_tradnl"/>
              </w:rPr>
            </w:pPr>
            <w:r w:rsidRPr="00B03929">
              <w:rPr>
                <w:lang w:val="es-ES_tradnl"/>
              </w:rPr>
              <w:t xml:space="preserve">Protocolo de Montreal relativo </w:t>
            </w:r>
            <w:r w:rsidRPr="00B03929">
              <w:rPr>
                <w:lang w:val="es-ES_tradnl"/>
              </w:rPr>
              <w:br/>
              <w:t xml:space="preserve">a las Sustancias que Agotan </w:t>
            </w:r>
            <w:r w:rsidRPr="00B03929">
              <w:rPr>
                <w:lang w:val="es-ES_tradnl"/>
              </w:rPr>
              <w:br/>
              <w:t>la Capa de Ozono</w:t>
            </w:r>
          </w:p>
        </w:tc>
        <w:tc>
          <w:tcPr>
            <w:tcW w:w="992" w:type="dxa"/>
          </w:tcPr>
          <w:p w14:paraId="0F08853B" w14:textId="77777777" w:rsidR="00B03929" w:rsidRPr="00B03929" w:rsidRDefault="00B03929" w:rsidP="004D6C0A">
            <w:pPr>
              <w:pStyle w:val="Normal-pool"/>
              <w:rPr>
                <w:lang w:val="es-ES_tradnl"/>
              </w:rPr>
            </w:pPr>
          </w:p>
        </w:tc>
        <w:tc>
          <w:tcPr>
            <w:tcW w:w="3118" w:type="dxa"/>
          </w:tcPr>
          <w:p w14:paraId="172CB71C" w14:textId="77777777" w:rsidR="00B03929" w:rsidRPr="00B03929" w:rsidRDefault="00B03929" w:rsidP="00B03929">
            <w:pPr>
              <w:pStyle w:val="AText"/>
              <w:rPr>
                <w:rFonts w:eastAsiaTheme="minorEastAsia"/>
                <w:lang w:val="es-ES_tradnl"/>
              </w:rPr>
            </w:pPr>
            <w:proofErr w:type="spellStart"/>
            <w:r w:rsidRPr="00B03929">
              <w:rPr>
                <w:rFonts w:eastAsiaTheme="minorEastAsia"/>
                <w:color w:val="000000"/>
                <w:lang w:val="es-ES_tradnl"/>
              </w:rPr>
              <w:t>Distr</w:t>
            </w:r>
            <w:proofErr w:type="spellEnd"/>
            <w:r w:rsidRPr="00B03929">
              <w:rPr>
                <w:rFonts w:eastAsiaTheme="minorEastAsia"/>
                <w:color w:val="000000"/>
                <w:lang w:val="es-ES_tradnl"/>
              </w:rPr>
              <w:t xml:space="preserve">. general </w:t>
            </w:r>
          </w:p>
          <w:p w14:paraId="29796346" w14:textId="77777777" w:rsidR="00B03929" w:rsidRPr="00B03929" w:rsidRDefault="00B03929" w:rsidP="00B03929">
            <w:pPr>
              <w:pStyle w:val="AText0"/>
              <w:rPr>
                <w:rFonts w:eastAsiaTheme="minorEastAsia"/>
                <w:lang w:val="es-ES_tradnl"/>
              </w:rPr>
            </w:pPr>
            <w:r w:rsidRPr="00B03929">
              <w:rPr>
                <w:rFonts w:eastAsiaTheme="minorEastAsia"/>
                <w:color w:val="000000"/>
                <w:lang w:val="es-ES_tradnl"/>
              </w:rPr>
              <w:t xml:space="preserve">28 de agosto de 2026 </w:t>
            </w:r>
          </w:p>
          <w:p w14:paraId="0ABF3CEF" w14:textId="5D4EC5F0" w:rsidR="00B03929" w:rsidRPr="00B03929" w:rsidRDefault="00B03929" w:rsidP="004D6C0A">
            <w:pPr>
              <w:pStyle w:val="AText"/>
              <w:rPr>
                <w:lang w:val="es-ES_tradnl"/>
              </w:rPr>
            </w:pPr>
            <w:r w:rsidRPr="00B03929">
              <w:rPr>
                <w:rFonts w:eastAsiaTheme="minorEastAsia"/>
                <w:color w:val="000000"/>
                <w:lang w:val="es-ES_tradnl"/>
              </w:rPr>
              <w:t>Original: inglés</w:t>
            </w:r>
            <w:r w:rsidRPr="00B03929">
              <w:rPr>
                <w:rFonts w:eastAsiaTheme="minorEastAsia"/>
                <w:color w:val="000000"/>
                <w:lang w:val="es-ES_tradnl"/>
              </w:rPr>
              <w:br/>
              <w:t>Chino, español e inglés únicamente</w:t>
            </w:r>
          </w:p>
        </w:tc>
      </w:tr>
    </w:tbl>
    <w:p w14:paraId="15FE4667" w14:textId="77777777" w:rsidR="00B03929" w:rsidRPr="00B03929" w:rsidRDefault="00B03929" w:rsidP="00B03929">
      <w:pPr>
        <w:pStyle w:val="ASpacer"/>
        <w:rPr>
          <w:lang w:val="es-ES_tradnl"/>
        </w:rP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B03929" w:rsidRPr="00B03929" w14:paraId="1076C2A1" w14:textId="77777777" w:rsidTr="004D6C0A">
        <w:trPr>
          <w:trHeight w:val="57"/>
        </w:trPr>
        <w:tc>
          <w:tcPr>
            <w:tcW w:w="5301" w:type="dxa"/>
          </w:tcPr>
          <w:p w14:paraId="56DF92D7" w14:textId="77777777" w:rsidR="00B03929" w:rsidRPr="00B03929" w:rsidRDefault="00B03929" w:rsidP="004D6C0A">
            <w:pPr>
              <w:pStyle w:val="AATitle"/>
              <w:rPr>
                <w:lang w:val="es-ES_tradnl"/>
              </w:rPr>
            </w:pPr>
            <w:r w:rsidRPr="00B03929">
              <w:rPr>
                <w:lang w:val="es-ES_tradnl"/>
              </w:rPr>
              <w:t xml:space="preserve">Mesa de la 37ª Reunión de las Partes en </w:t>
            </w:r>
            <w:r w:rsidRPr="00B03929">
              <w:rPr>
                <w:lang w:val="es-ES_tradnl"/>
              </w:rPr>
              <w:br/>
              <w:t xml:space="preserve">el Protocolo de Montreal relativo a las Sustancias </w:t>
            </w:r>
            <w:r w:rsidRPr="00B03929">
              <w:rPr>
                <w:lang w:val="es-ES_tradnl"/>
              </w:rPr>
              <w:br/>
              <w:t xml:space="preserve">que Agotan la Capa de Ozono </w:t>
            </w:r>
          </w:p>
          <w:p w14:paraId="5A112F80" w14:textId="77777777" w:rsidR="00B03929" w:rsidRPr="00B03929" w:rsidRDefault="00B03929" w:rsidP="004D6C0A">
            <w:pPr>
              <w:pStyle w:val="AATitle"/>
              <w:rPr>
                <w:lang w:val="es-ES_tradnl"/>
              </w:rPr>
            </w:pPr>
            <w:r w:rsidRPr="00B03929">
              <w:rPr>
                <w:lang w:val="es-ES_tradnl"/>
              </w:rPr>
              <w:t xml:space="preserve">Primera reunión </w:t>
            </w:r>
          </w:p>
          <w:p w14:paraId="605822D5" w14:textId="77777777" w:rsidR="00B03929" w:rsidRPr="00B03929" w:rsidRDefault="00B03929" w:rsidP="004D6C0A">
            <w:pPr>
              <w:pStyle w:val="AATitle1"/>
              <w:rPr>
                <w:lang w:val="es-ES_tradnl"/>
              </w:rPr>
            </w:pPr>
            <w:r w:rsidRPr="00B03929">
              <w:rPr>
                <w:lang w:val="es-ES_tradnl"/>
              </w:rPr>
              <w:t xml:space="preserve">Kigali, 31 de octubre de 2026 </w:t>
            </w:r>
          </w:p>
          <w:p w14:paraId="6A808A33" w14:textId="2DFE884D" w:rsidR="00B03929" w:rsidRPr="00B03929" w:rsidRDefault="00B03929" w:rsidP="00B03929">
            <w:pPr>
              <w:pStyle w:val="AATitle1"/>
              <w:rPr>
                <w:rFonts w:eastAsiaTheme="minorEastAsia"/>
                <w:lang w:val="es-ES_tradnl"/>
              </w:rPr>
            </w:pPr>
            <w:bookmarkStart w:id="0" w:name="CorNot1AgItem"/>
            <w:r w:rsidRPr="00B03929">
              <w:rPr>
                <w:rFonts w:eastAsiaTheme="minorEastAsia"/>
                <w:color w:val="000000"/>
                <w:lang w:val="es-ES_tradnl"/>
              </w:rPr>
              <w:t xml:space="preserve">Temas 3 a 5 del programa provisional </w:t>
            </w:r>
            <w:bookmarkEnd w:id="0"/>
          </w:p>
          <w:p w14:paraId="6042AD67" w14:textId="170E40F6" w:rsidR="00B03929" w:rsidRPr="00B03929" w:rsidRDefault="00B03929" w:rsidP="00B03929">
            <w:pPr>
              <w:pStyle w:val="AATitle2"/>
              <w:rPr>
                <w:lang w:val="es-ES_tradnl"/>
              </w:rPr>
            </w:pPr>
            <w:r w:rsidRPr="00B03929">
              <w:rPr>
                <w:bCs/>
                <w:color w:val="000000"/>
                <w:lang w:val="es-ES_tradnl"/>
              </w:rPr>
              <w:footnoteReference w:customMarkFollows="1" w:id="2"/>
              <w:t>Labor realizada hasta la fecha sobre la aplicación de las decisiones de la 37ª Reunión de las Partes en el Protocolo de</w:t>
            </w:r>
            <w:r w:rsidR="003769DB">
              <w:rPr>
                <w:bCs/>
                <w:color w:val="000000"/>
                <w:lang w:val="es-ES_tradnl"/>
              </w:rPr>
              <w:t> </w:t>
            </w:r>
            <w:r w:rsidRPr="00B03929">
              <w:rPr>
                <w:bCs/>
                <w:color w:val="000000"/>
                <w:lang w:val="es-ES_tradnl"/>
              </w:rPr>
              <w:t>Montreal</w:t>
            </w:r>
          </w:p>
          <w:p w14:paraId="79033150" w14:textId="04E2264E" w:rsidR="00B03929" w:rsidRPr="00B03929" w:rsidRDefault="00B03929" w:rsidP="00B03929">
            <w:pPr>
              <w:pStyle w:val="AATitle2"/>
              <w:rPr>
                <w:lang w:val="es-ES_tradnl"/>
              </w:rPr>
            </w:pPr>
            <w:r w:rsidRPr="00B03929">
              <w:rPr>
                <w:bCs/>
                <w:color w:val="000000"/>
                <w:lang w:val="es-ES_tradnl"/>
              </w:rPr>
              <w:t>Examen del programa de la 38ª Reunión de las Partes en el</w:t>
            </w:r>
            <w:r w:rsidR="003769DB">
              <w:rPr>
                <w:bCs/>
                <w:color w:val="000000"/>
                <w:lang w:val="es-ES_tradnl"/>
              </w:rPr>
              <w:t> </w:t>
            </w:r>
            <w:r w:rsidRPr="00B03929">
              <w:rPr>
                <w:bCs/>
                <w:color w:val="000000"/>
                <w:lang w:val="es-ES_tradnl"/>
              </w:rPr>
              <w:t>Protocolo de Montreal, presentación de una hoja de ruta para</w:t>
            </w:r>
            <w:r w:rsidR="003769DB">
              <w:rPr>
                <w:bCs/>
                <w:color w:val="000000"/>
                <w:lang w:val="es-ES_tradnl"/>
              </w:rPr>
              <w:t> </w:t>
            </w:r>
            <w:r w:rsidRPr="00B03929">
              <w:rPr>
                <w:bCs/>
                <w:color w:val="000000"/>
                <w:lang w:val="es-ES_tradnl"/>
              </w:rPr>
              <w:t>la organización de la reunión y reseña de los documentos</w:t>
            </w:r>
            <w:r w:rsidR="003769DB">
              <w:rPr>
                <w:bCs/>
                <w:color w:val="000000"/>
                <w:lang w:val="es-ES_tradnl"/>
              </w:rPr>
              <w:t> </w:t>
            </w:r>
            <w:r w:rsidRPr="00B03929">
              <w:rPr>
                <w:bCs/>
                <w:color w:val="000000"/>
                <w:lang w:val="es-ES_tradnl"/>
              </w:rPr>
              <w:t>de trabajo preparados para la reunión</w:t>
            </w:r>
          </w:p>
          <w:p w14:paraId="339B9C40" w14:textId="0A87D5A8" w:rsidR="00B03929" w:rsidRPr="00B03929" w:rsidRDefault="00B03929" w:rsidP="00B03929">
            <w:pPr>
              <w:pStyle w:val="AATitle2"/>
              <w:rPr>
                <w:lang w:val="es-ES_tradnl"/>
              </w:rPr>
            </w:pPr>
            <w:r w:rsidRPr="00B03929">
              <w:rPr>
                <w:bCs/>
                <w:color w:val="000000"/>
                <w:lang w:val="es-ES_tradnl"/>
              </w:rPr>
              <w:t>Otros asuntos</w:t>
            </w:r>
          </w:p>
        </w:tc>
        <w:tc>
          <w:tcPr>
            <w:tcW w:w="4195" w:type="dxa"/>
          </w:tcPr>
          <w:p w14:paraId="73C61093" w14:textId="77777777" w:rsidR="00B03929" w:rsidRPr="00B03929" w:rsidRDefault="00B03929" w:rsidP="004D6C0A">
            <w:pPr>
              <w:pStyle w:val="Normal-pool"/>
              <w:rPr>
                <w:lang w:val="es-ES_tradnl"/>
              </w:rPr>
            </w:pPr>
          </w:p>
        </w:tc>
      </w:tr>
    </w:tbl>
    <w:p w14:paraId="203F24A0" w14:textId="45F7D41E" w:rsidR="00594485" w:rsidRPr="00B03929" w:rsidRDefault="00594485" w:rsidP="002C3EB3">
      <w:pPr>
        <w:pStyle w:val="BBTitle"/>
        <w:rPr>
          <w:lang w:val="es-ES_tradnl"/>
        </w:rPr>
      </w:pPr>
      <w:r w:rsidRPr="00B03929">
        <w:rPr>
          <w:bCs/>
          <w:lang w:val="es-ES_tradnl"/>
        </w:rPr>
        <w:t>Cuestiones que examinará la Mesa de la 37ª Reunión de las Partes en el Protocolo de Montreal relativo a las Sustancias que</w:t>
      </w:r>
      <w:r w:rsidR="00B03929">
        <w:rPr>
          <w:bCs/>
          <w:lang w:val="es-ES_tradnl"/>
        </w:rPr>
        <w:t> </w:t>
      </w:r>
      <w:r w:rsidRPr="00B03929">
        <w:rPr>
          <w:bCs/>
          <w:lang w:val="es-ES_tradnl"/>
        </w:rPr>
        <w:t>Agotan la Capa de Ozono e información que se señala a</w:t>
      </w:r>
      <w:r w:rsidR="00B03929">
        <w:rPr>
          <w:bCs/>
          <w:lang w:val="es-ES_tradnl"/>
        </w:rPr>
        <w:t> </w:t>
      </w:r>
      <w:r w:rsidRPr="00B03929">
        <w:rPr>
          <w:bCs/>
          <w:lang w:val="es-ES_tradnl"/>
        </w:rPr>
        <w:t>su</w:t>
      </w:r>
      <w:r w:rsidR="00B03929">
        <w:rPr>
          <w:bCs/>
          <w:lang w:val="es-ES_tradnl"/>
        </w:rPr>
        <w:t> </w:t>
      </w:r>
      <w:r w:rsidRPr="00B03929">
        <w:rPr>
          <w:bCs/>
          <w:lang w:val="es-ES_tradnl"/>
        </w:rPr>
        <w:t>atención</w:t>
      </w:r>
    </w:p>
    <w:p w14:paraId="316CC4E6" w14:textId="4184BD23" w:rsidR="00594485" w:rsidRPr="00B03929" w:rsidRDefault="002C3EB3" w:rsidP="002C3EB3">
      <w:pPr>
        <w:pStyle w:val="CH2"/>
        <w:rPr>
          <w:lang w:val="es-ES_tradnl"/>
        </w:rPr>
      </w:pPr>
      <w:r w:rsidRPr="00B03929">
        <w:rPr>
          <w:lang w:val="es-ES_tradnl"/>
        </w:rPr>
        <w:tab/>
      </w:r>
      <w:r w:rsidRPr="00B03929">
        <w:rPr>
          <w:lang w:val="es-ES_tradnl"/>
        </w:rPr>
        <w:tab/>
      </w:r>
      <w:r w:rsidRPr="00B03929">
        <w:rPr>
          <w:bCs/>
          <w:lang w:val="es-ES_tradnl"/>
        </w:rPr>
        <w:t>Nota de la Secretaría</w:t>
      </w:r>
    </w:p>
    <w:p w14:paraId="34CA7CEE" w14:textId="449A3171" w:rsidR="00594485" w:rsidRPr="00B03929" w:rsidRDefault="004D611C" w:rsidP="00594485">
      <w:pPr>
        <w:pStyle w:val="CH1"/>
        <w:rPr>
          <w:lang w:val="es-ES_tradnl"/>
        </w:rPr>
      </w:pPr>
      <w:r w:rsidRPr="00B03929">
        <w:rPr>
          <w:bCs/>
          <w:lang w:val="es-ES_tradnl"/>
        </w:rPr>
        <w:tab/>
      </w:r>
      <w:r w:rsidR="00594485" w:rsidRPr="00B03929">
        <w:rPr>
          <w:bCs/>
          <w:lang w:val="es-ES_tradnl"/>
        </w:rPr>
        <w:t>I.</w:t>
      </w:r>
      <w:r w:rsidR="00594485" w:rsidRPr="00B03929">
        <w:rPr>
          <w:lang w:val="es-ES_tradnl"/>
        </w:rPr>
        <w:tab/>
      </w:r>
      <w:r w:rsidR="00594485" w:rsidRPr="00B03929">
        <w:rPr>
          <w:bCs/>
          <w:lang w:val="es-ES_tradnl"/>
        </w:rPr>
        <w:t>Introducción</w:t>
      </w:r>
    </w:p>
    <w:p w14:paraId="572773FA" w14:textId="146949D0" w:rsidR="00594485" w:rsidRPr="00B03929" w:rsidRDefault="00594485" w:rsidP="00594485">
      <w:pPr>
        <w:pStyle w:val="Normalnumber"/>
        <w:tabs>
          <w:tab w:val="clear" w:pos="1247"/>
          <w:tab w:val="clear" w:pos="1814"/>
          <w:tab w:val="clear" w:pos="2381"/>
          <w:tab w:val="clear" w:pos="2948"/>
          <w:tab w:val="clear" w:pos="3515"/>
          <w:tab w:val="num" w:pos="624"/>
        </w:tabs>
        <w:rPr>
          <w:lang w:val="es-ES_tradnl"/>
        </w:rPr>
      </w:pPr>
      <w:r w:rsidRPr="00B03929">
        <w:rPr>
          <w:lang w:val="es-ES_tradnl"/>
        </w:rPr>
        <w:t>La Mesa de la 37ª Reunión de las Partes en el Protocolo de Montreal relativo a las Sustancias que Agotan la Capa de Ozono se reunirá a las 16.00 horas del sábado 31 de octubre de 2026 en el Centro de Convenciones de Kigali. En la presente nota se ofrece información sobre los temas 3 a 5 del</w:t>
      </w:r>
      <w:r w:rsidR="00B03929">
        <w:rPr>
          <w:lang w:val="es-ES_tradnl"/>
        </w:rPr>
        <w:t> </w:t>
      </w:r>
      <w:r w:rsidRPr="00B03929">
        <w:rPr>
          <w:lang w:val="es-ES_tradnl"/>
        </w:rPr>
        <w:t>programa provisional de la reunión. En la sección II se resumen las medidas adoptadas por la Secretaría del Ozono en respuesta a las decisiones aprobadas por la 37ª Reunión de las Partes, así como las actividades o los resultados conexos. La sección III contiene información relativa al examen del programa de la 38ª Reunión de las Partes, una hoja de ruta para el desarrollo de la reunión y una sinopsis de los documentos preparados para esta. En la sección IV se cubren otros asuntos.</w:t>
      </w:r>
    </w:p>
    <w:p w14:paraId="1F991C88" w14:textId="65C8BA05" w:rsidR="00594485" w:rsidRPr="00B03929" w:rsidRDefault="004D611C" w:rsidP="00594485">
      <w:pPr>
        <w:pStyle w:val="CH1"/>
        <w:rPr>
          <w:lang w:val="es-ES_tradnl"/>
        </w:rPr>
      </w:pPr>
      <w:r w:rsidRPr="00B03929">
        <w:rPr>
          <w:bCs/>
          <w:lang w:val="es-ES_tradnl"/>
        </w:rPr>
        <w:tab/>
      </w:r>
      <w:r w:rsidR="00594485" w:rsidRPr="00B03929">
        <w:rPr>
          <w:bCs/>
          <w:lang w:val="es-ES_tradnl"/>
        </w:rPr>
        <w:t>II.</w:t>
      </w:r>
      <w:r w:rsidR="00594485" w:rsidRPr="00B03929">
        <w:rPr>
          <w:lang w:val="es-ES_tradnl"/>
        </w:rPr>
        <w:tab/>
      </w:r>
      <w:r w:rsidR="00594485" w:rsidRPr="00B03929">
        <w:rPr>
          <w:bCs/>
          <w:lang w:val="es-ES_tradnl"/>
        </w:rPr>
        <w:t>Labor realizada hasta la fecha sobre la aplicación de las decisiones de la 37ª Reunión de las Partes en el Protocolo de Montreal (tema</w:t>
      </w:r>
      <w:r w:rsidR="009B56B8" w:rsidRPr="00B03929">
        <w:rPr>
          <w:bCs/>
          <w:lang w:val="es-ES_tradnl"/>
        </w:rPr>
        <w:t> </w:t>
      </w:r>
      <w:r w:rsidR="00594485" w:rsidRPr="00B03929">
        <w:rPr>
          <w:bCs/>
          <w:lang w:val="es-ES_tradnl"/>
        </w:rPr>
        <w:t>3 del programa)</w:t>
      </w:r>
    </w:p>
    <w:p w14:paraId="4FE857A9" w14:textId="516196EE" w:rsidR="00594485" w:rsidRPr="00B03929" w:rsidRDefault="00594485" w:rsidP="00594485">
      <w:pPr>
        <w:pStyle w:val="Normalnumber"/>
        <w:tabs>
          <w:tab w:val="clear" w:pos="1247"/>
          <w:tab w:val="clear" w:pos="1814"/>
          <w:tab w:val="clear" w:pos="2381"/>
          <w:tab w:val="clear" w:pos="2948"/>
          <w:tab w:val="clear" w:pos="3515"/>
          <w:tab w:val="left" w:pos="624"/>
        </w:tabs>
        <w:rPr>
          <w:lang w:val="es-ES_tradnl"/>
        </w:rPr>
      </w:pPr>
      <w:r w:rsidRPr="00B03929">
        <w:rPr>
          <w:lang w:val="es-ES_tradnl"/>
        </w:rPr>
        <w:t xml:space="preserve">En el cuadro del anexo de la presente nota se ofrece una reseña en líneas generales de las decisiones adoptadas por la 37ª Reunión de las Partes y de las medidas que la Secretaría debía adoptar y que adoptó en respuesta a esas decisiones, así como de las actividades o los resultados conexos. La </w:t>
      </w:r>
      <w:r w:rsidRPr="00B03929">
        <w:rPr>
          <w:lang w:val="es-ES_tradnl"/>
        </w:rPr>
        <w:lastRenderedPageBreak/>
        <w:t>Secretaría realizará una presentación ante la Mesa en la que se expondrá el estado de aplicación de una serie de decisiones clave.</w:t>
      </w:r>
    </w:p>
    <w:p w14:paraId="1F77C876" w14:textId="2344599F" w:rsidR="00594485" w:rsidRPr="00B03929" w:rsidRDefault="004D611C" w:rsidP="00594485">
      <w:pPr>
        <w:pStyle w:val="CH1"/>
        <w:rPr>
          <w:lang w:val="es-ES_tradnl"/>
        </w:rPr>
      </w:pPr>
      <w:r w:rsidRPr="00B03929">
        <w:rPr>
          <w:bCs/>
          <w:lang w:val="es-ES_tradnl"/>
        </w:rPr>
        <w:tab/>
      </w:r>
      <w:r w:rsidR="00594485" w:rsidRPr="00B03929">
        <w:rPr>
          <w:bCs/>
          <w:lang w:val="es-ES_tradnl"/>
        </w:rPr>
        <w:t>III.</w:t>
      </w:r>
      <w:r w:rsidR="00594485" w:rsidRPr="00B03929">
        <w:rPr>
          <w:lang w:val="es-ES_tradnl"/>
        </w:rPr>
        <w:tab/>
      </w:r>
      <w:r w:rsidR="00594485" w:rsidRPr="00B03929">
        <w:rPr>
          <w:bCs/>
          <w:lang w:val="es-ES_tradnl"/>
        </w:rPr>
        <w:t>Examen del programa de la 38ª Reunión de las Partes en el Protocolo de Montreal, presentación de una hoja de ruta para la organización de la reunión y reseña de los documentos de trabajo preparados para la reunión (tema 4 del programa)</w:t>
      </w:r>
    </w:p>
    <w:p w14:paraId="51521714" w14:textId="56D5C76F" w:rsidR="00594485" w:rsidRPr="00B03929" w:rsidRDefault="00594485" w:rsidP="00594485">
      <w:pPr>
        <w:pStyle w:val="Normalnumber"/>
        <w:tabs>
          <w:tab w:val="clear" w:pos="1247"/>
          <w:tab w:val="clear" w:pos="1814"/>
          <w:tab w:val="clear" w:pos="2381"/>
          <w:tab w:val="clear" w:pos="2948"/>
          <w:tab w:val="clear" w:pos="3515"/>
          <w:tab w:val="left" w:pos="624"/>
        </w:tabs>
        <w:rPr>
          <w:lang w:val="es-ES_tradnl"/>
        </w:rPr>
      </w:pPr>
      <w:r w:rsidRPr="00B03929">
        <w:rPr>
          <w:lang w:val="es-ES_tradnl"/>
        </w:rPr>
        <w:t xml:space="preserve">La 38ª Reunión de las Partes en el Protocolo de Montreal se celebrará en Kigali del 2 al 6 de noviembre de 2026. De conformidad con la práctica establecida, la reunión se dividirá en 2 series: 1 serie de sesiones preparatorias de 3 días de duración y 1 serie de sesiones de alto nivel de 2 días de duración. </w:t>
      </w:r>
      <w:r w:rsidR="003220B2" w:rsidRPr="00B03929">
        <w:rPr>
          <w:lang w:val="es-ES_tradnl"/>
        </w:rPr>
        <w:t>L</w:t>
      </w:r>
      <w:r w:rsidRPr="00B03929">
        <w:rPr>
          <w:lang w:val="es-ES_tradnl"/>
        </w:rPr>
        <w:t xml:space="preserve">a serie de sesiones preparatorias </w:t>
      </w:r>
      <w:r w:rsidR="00A411FD" w:rsidRPr="00B03929">
        <w:rPr>
          <w:lang w:val="es-ES_tradnl"/>
        </w:rPr>
        <w:t>está programad</w:t>
      </w:r>
      <w:r w:rsidR="003220B2" w:rsidRPr="00B03929">
        <w:rPr>
          <w:lang w:val="es-ES_tradnl"/>
        </w:rPr>
        <w:t xml:space="preserve">a para </w:t>
      </w:r>
      <w:r w:rsidR="004668EC" w:rsidRPr="00B03929">
        <w:rPr>
          <w:lang w:val="es-ES_tradnl"/>
        </w:rPr>
        <w:t xml:space="preserve">que comience </w:t>
      </w:r>
      <w:r w:rsidRPr="00B03929">
        <w:rPr>
          <w:lang w:val="es-ES_tradnl"/>
        </w:rPr>
        <w:t>a las 10.00 horas del</w:t>
      </w:r>
      <w:r w:rsidR="00816A3D">
        <w:rPr>
          <w:lang w:val="es-ES_tradnl"/>
        </w:rPr>
        <w:t> </w:t>
      </w:r>
      <w:r w:rsidRPr="00B03929">
        <w:rPr>
          <w:lang w:val="es-ES_tradnl"/>
        </w:rPr>
        <w:t>lunes</w:t>
      </w:r>
      <w:r w:rsidR="001918E3" w:rsidRPr="00B03929">
        <w:rPr>
          <w:lang w:val="es-ES_tradnl"/>
        </w:rPr>
        <w:t> </w:t>
      </w:r>
      <w:r w:rsidRPr="00B03929">
        <w:rPr>
          <w:lang w:val="es-ES_tradnl"/>
        </w:rPr>
        <w:t xml:space="preserve">2 de noviembre, mientras que la serie de sesiones de alto nivel </w:t>
      </w:r>
      <w:r w:rsidR="003220B2" w:rsidRPr="00B03929">
        <w:rPr>
          <w:lang w:val="es-ES_tradnl"/>
        </w:rPr>
        <w:t>está programada para</w:t>
      </w:r>
      <w:r w:rsidR="004668EC" w:rsidRPr="00B03929">
        <w:rPr>
          <w:lang w:val="es-ES_tradnl"/>
        </w:rPr>
        <w:t xml:space="preserve"> que comience</w:t>
      </w:r>
      <w:r w:rsidR="003220B2" w:rsidRPr="00B03929">
        <w:rPr>
          <w:lang w:val="es-ES_tradnl"/>
        </w:rPr>
        <w:t xml:space="preserve"> </w:t>
      </w:r>
      <w:r w:rsidRPr="00B03929">
        <w:rPr>
          <w:lang w:val="es-ES_tradnl"/>
        </w:rPr>
        <w:t>a las 10.00 horas del jueves</w:t>
      </w:r>
      <w:r w:rsidR="00276513" w:rsidRPr="00B03929">
        <w:rPr>
          <w:lang w:val="es-ES_tradnl"/>
        </w:rPr>
        <w:t> </w:t>
      </w:r>
      <w:r w:rsidRPr="00B03929">
        <w:rPr>
          <w:lang w:val="es-ES_tradnl"/>
        </w:rPr>
        <w:t>5 de noviembre.</w:t>
      </w:r>
    </w:p>
    <w:p w14:paraId="554C4DA7" w14:textId="2E4147CC" w:rsidR="00594485" w:rsidRPr="00B03929" w:rsidRDefault="003F75B1" w:rsidP="00594485">
      <w:pPr>
        <w:pStyle w:val="Normalnumber"/>
        <w:tabs>
          <w:tab w:val="clear" w:pos="1247"/>
          <w:tab w:val="clear" w:pos="1814"/>
          <w:tab w:val="clear" w:pos="2381"/>
          <w:tab w:val="clear" w:pos="2948"/>
          <w:tab w:val="clear" w:pos="3515"/>
          <w:tab w:val="left" w:pos="624"/>
        </w:tabs>
        <w:rPr>
          <w:lang w:val="es-ES_tradnl"/>
        </w:rPr>
      </w:pPr>
      <w:r w:rsidRPr="00B03929">
        <w:rPr>
          <w:lang w:val="es-ES_tradnl"/>
        </w:rPr>
        <w:t>A finales de agosto de 2026 se distribuyó entre las Partes una versión anticipada del programa provisional de la 38ª Reunión de las Partes en el Protocolo de Montreal (UNEP/OzL.Pro.38/1)</w:t>
      </w:r>
      <w:r w:rsidR="009057C8" w:rsidRPr="00B03929">
        <w:rPr>
          <w:lang w:val="es-ES_tradnl"/>
        </w:rPr>
        <w:t>;</w:t>
      </w:r>
      <w:r w:rsidRPr="00B03929">
        <w:rPr>
          <w:lang w:val="es-ES_tradnl"/>
        </w:rPr>
        <w:t xml:space="preserve"> las anotaciones al programa provisional (UNEP/OzL.Pro.38/1/Add.1) se publicarán en octubre de 2026. A</w:t>
      </w:r>
      <w:r w:rsidR="00816A3D">
        <w:rPr>
          <w:lang w:val="es-ES_tradnl"/>
        </w:rPr>
        <w:t> </w:t>
      </w:r>
      <w:r w:rsidRPr="00B03929">
        <w:rPr>
          <w:lang w:val="es-ES_tradnl"/>
        </w:rPr>
        <w:t>finales de agosto de 2026 se publicó en el portal de la reunión</w:t>
      </w:r>
      <w:r w:rsidR="00594485" w:rsidRPr="00B03929">
        <w:rPr>
          <w:vertAlign w:val="superscript"/>
          <w:lang w:val="es-ES_tradnl"/>
        </w:rPr>
        <w:footnoteReference w:id="3"/>
      </w:r>
      <w:r w:rsidRPr="00B03929">
        <w:rPr>
          <w:lang w:val="es-ES_tradnl"/>
        </w:rPr>
        <w:t xml:space="preserve"> una versión anticipada de la nota de</w:t>
      </w:r>
      <w:r w:rsidR="00816A3D">
        <w:rPr>
          <w:lang w:val="es-ES_tradnl"/>
        </w:rPr>
        <w:t> </w:t>
      </w:r>
      <w:r w:rsidRPr="00B03929">
        <w:rPr>
          <w:lang w:val="es-ES_tradnl"/>
        </w:rPr>
        <w:t>la</w:t>
      </w:r>
      <w:r w:rsidR="00B03929">
        <w:rPr>
          <w:lang w:val="es-ES_tradnl"/>
        </w:rPr>
        <w:t> </w:t>
      </w:r>
      <w:r w:rsidRPr="00B03929">
        <w:rPr>
          <w:lang w:val="es-ES_tradnl"/>
        </w:rPr>
        <w:t>Secretaría que contenía información de antecedentes sobre los temas incluidos en el programa provisional (UNEP/OzL.Pro.38/2). En octubre de 2026 se publicará una adición a esa nota. En varios documentos que se publicarán en el portal y en los informes del Grupo de Evaluación Científica y el Grupo de Evaluación Tecnológica y Económica, que se publicarán como documentos de antecedentes, figura información detallada de las cuestiones del programa. Los documentos para la reunión se enumerarán en el documento con la signatura UNEP/OzL.Pro.38/INF/6.</w:t>
      </w:r>
      <w:bookmarkStart w:id="1" w:name="_Hlk51599407"/>
      <w:bookmarkEnd w:id="1"/>
    </w:p>
    <w:p w14:paraId="6B4BF561" w14:textId="5E4A913D" w:rsidR="00594485" w:rsidRPr="00B03929" w:rsidRDefault="00594485" w:rsidP="00594485">
      <w:pPr>
        <w:pStyle w:val="Normalnumber"/>
        <w:tabs>
          <w:tab w:val="num" w:pos="624"/>
        </w:tabs>
        <w:ind w:left="1248"/>
        <w:rPr>
          <w:lang w:val="es-ES_tradnl"/>
        </w:rPr>
      </w:pPr>
      <w:r w:rsidRPr="00B03929">
        <w:rPr>
          <w:lang w:val="es-ES_tradnl"/>
        </w:rPr>
        <w:t>El programa de la serie de sesiones preparatorias incluye las cuestiones que se prevé que se examinen durante la serie de sesiones de alto nivel para que las Partes adopten decisiones al respecto, entre las que se incluyen, entre otras, cuestiones relacionadas con el presupuesto del fondo fiduciario para el Protocolo de Montreal y los informes financieros. Además, conforme a lo que acordó el Grupo</w:t>
      </w:r>
      <w:r w:rsidR="00816A3D">
        <w:rPr>
          <w:lang w:val="es-ES_tradnl"/>
        </w:rPr>
        <w:t> </w:t>
      </w:r>
      <w:r w:rsidRPr="00B03929">
        <w:rPr>
          <w:lang w:val="es-ES_tradnl"/>
        </w:rPr>
        <w:t>de Trabajo de composición abierta de las Partes en el Protocolo de Montreal, se remitirá a</w:t>
      </w:r>
      <w:r w:rsidR="00816A3D">
        <w:rPr>
          <w:lang w:val="es-ES_tradnl"/>
        </w:rPr>
        <w:t> </w:t>
      </w:r>
      <w:r w:rsidRPr="00B03929">
        <w:rPr>
          <w:lang w:val="es-ES_tradnl"/>
        </w:rPr>
        <w:t>la</w:t>
      </w:r>
      <w:r w:rsidR="00816A3D">
        <w:rPr>
          <w:lang w:val="es-ES_tradnl"/>
        </w:rPr>
        <w:t> </w:t>
      </w:r>
      <w:r w:rsidRPr="00B03929">
        <w:rPr>
          <w:lang w:val="es-ES_tradnl"/>
        </w:rPr>
        <w:t>38ª</w:t>
      </w:r>
      <w:r w:rsidR="00816A3D">
        <w:rPr>
          <w:lang w:val="es-ES_tradnl"/>
        </w:rPr>
        <w:t> </w:t>
      </w:r>
      <w:r w:rsidRPr="00B03929">
        <w:rPr>
          <w:lang w:val="es-ES_tradnl"/>
        </w:rPr>
        <w:t>Reunión de las Partes, con vistas a su posible adopción, un proyecto de decisión sobre tecnologías de destrucción de sustancias controladas (véase el proyecto de decisión XXXVIII/[A] que</w:t>
      </w:r>
      <w:r w:rsidR="00816A3D">
        <w:rPr>
          <w:lang w:val="es-ES_tradnl"/>
        </w:rPr>
        <w:t> </w:t>
      </w:r>
      <w:r w:rsidRPr="00B03929">
        <w:rPr>
          <w:lang w:val="es-ES_tradnl"/>
        </w:rPr>
        <w:t>figura en la sección II del documento UNEP/OzL.Pro.38/3).</w:t>
      </w:r>
    </w:p>
    <w:p w14:paraId="5C1171CA" w14:textId="79F53511" w:rsidR="00594485" w:rsidRPr="00B03929" w:rsidRDefault="00594485" w:rsidP="00594485">
      <w:pPr>
        <w:pStyle w:val="Normalnumber"/>
        <w:tabs>
          <w:tab w:val="clear" w:pos="1247"/>
          <w:tab w:val="clear" w:pos="1814"/>
          <w:tab w:val="clear" w:pos="2381"/>
          <w:tab w:val="clear" w:pos="2948"/>
          <w:tab w:val="clear" w:pos="3515"/>
          <w:tab w:val="left" w:pos="624"/>
        </w:tabs>
        <w:rPr>
          <w:lang w:val="es-ES_tradnl"/>
        </w:rPr>
      </w:pPr>
      <w:r w:rsidRPr="00B03929">
        <w:rPr>
          <w:lang w:val="es-ES_tradnl"/>
        </w:rPr>
        <w:t>La Secretaría ofrecerá una presentación ante la Mesa sobre algunas de las cuestiones clave del</w:t>
      </w:r>
      <w:r w:rsidR="00816A3D">
        <w:rPr>
          <w:lang w:val="es-ES_tradnl"/>
        </w:rPr>
        <w:t> </w:t>
      </w:r>
      <w:r w:rsidRPr="00B03929">
        <w:rPr>
          <w:lang w:val="es-ES_tradnl"/>
        </w:rPr>
        <w:t>programa provisional y sobre los aspectos organizativos de la reunión.</w:t>
      </w:r>
    </w:p>
    <w:p w14:paraId="24472D6C" w14:textId="7BB857CC" w:rsidR="00594485" w:rsidRPr="00B03929" w:rsidRDefault="00594485" w:rsidP="00594485">
      <w:pPr>
        <w:pStyle w:val="Normalnumber"/>
        <w:tabs>
          <w:tab w:val="clear" w:pos="1247"/>
          <w:tab w:val="clear" w:pos="1814"/>
          <w:tab w:val="clear" w:pos="2381"/>
          <w:tab w:val="clear" w:pos="2948"/>
          <w:tab w:val="clear" w:pos="3515"/>
          <w:tab w:val="left" w:pos="624"/>
        </w:tabs>
        <w:rPr>
          <w:lang w:val="es-ES_tradnl"/>
        </w:rPr>
      </w:pPr>
      <w:r w:rsidRPr="00B03929">
        <w:rPr>
          <w:lang w:val="es-ES_tradnl"/>
        </w:rPr>
        <w:t>En lo referente a las cuestiones presupuestarias, la Secretaría ha elaborado las propuestas</w:t>
      </w:r>
      <w:r w:rsidR="00816A3D">
        <w:rPr>
          <w:lang w:val="es-ES_tradnl"/>
        </w:rPr>
        <w:t> </w:t>
      </w:r>
      <w:r w:rsidRPr="00B03929">
        <w:rPr>
          <w:lang w:val="es-ES_tradnl"/>
        </w:rPr>
        <w:t>de</w:t>
      </w:r>
      <w:r w:rsidR="00816A3D">
        <w:rPr>
          <w:lang w:val="es-ES_tradnl"/>
        </w:rPr>
        <w:t> </w:t>
      </w:r>
      <w:r w:rsidRPr="00B03929">
        <w:rPr>
          <w:lang w:val="es-ES_tradnl"/>
        </w:rPr>
        <w:t>presupuesto para 2027 y 2028 del fondo fiduciario para el Protocolo de Montreal (UNEP/OzL.Pro.38/4 y UNEP/OzL.Pro.38/INF/1). También se han publicado los estados financieros provisionales certificados de los fondos fiduciarios para el Convenio de Viena para la Protección de la</w:t>
      </w:r>
      <w:r w:rsidR="00816A3D">
        <w:rPr>
          <w:lang w:val="es-ES_tradnl"/>
        </w:rPr>
        <w:t> </w:t>
      </w:r>
      <w:r w:rsidRPr="00B03929">
        <w:rPr>
          <w:lang w:val="es-ES_tradnl"/>
        </w:rPr>
        <w:t>Capa de Ozono y del Protocolo de Montreal correspondientes al ejercicio económico de 2025 (UNEP/OzL.Pro.38/5).</w:t>
      </w:r>
    </w:p>
    <w:p w14:paraId="59A6564F" w14:textId="77777777" w:rsidR="00594485" w:rsidRPr="00B03929" w:rsidRDefault="00594485" w:rsidP="00594485">
      <w:pPr>
        <w:pStyle w:val="Normalnumber"/>
        <w:tabs>
          <w:tab w:val="clear" w:pos="1247"/>
          <w:tab w:val="clear" w:pos="1814"/>
          <w:tab w:val="clear" w:pos="2381"/>
          <w:tab w:val="clear" w:pos="2948"/>
          <w:tab w:val="clear" w:pos="3515"/>
          <w:tab w:val="left" w:pos="624"/>
        </w:tabs>
        <w:rPr>
          <w:lang w:val="es-ES_tradnl"/>
        </w:rPr>
      </w:pPr>
      <w:r w:rsidRPr="00B03929">
        <w:rPr>
          <w:lang w:val="es-ES_tradnl"/>
        </w:rPr>
        <w:t>De conformidad con la práctica establecida, la Copresidencia del Grupo de Trabajo de composición abierta de las Partes en el Protocolo de Montreal supervisará la serie de sesiones preparatorias de la reunión.</w:t>
      </w:r>
    </w:p>
    <w:p w14:paraId="5D49F8E0" w14:textId="045697FA" w:rsidR="00594485" w:rsidRPr="00B03929" w:rsidRDefault="00594485" w:rsidP="00594485">
      <w:pPr>
        <w:pStyle w:val="Normalnumber"/>
        <w:tabs>
          <w:tab w:val="clear" w:pos="1247"/>
          <w:tab w:val="clear" w:pos="1814"/>
          <w:tab w:val="clear" w:pos="2381"/>
          <w:tab w:val="clear" w:pos="2948"/>
          <w:tab w:val="clear" w:pos="3515"/>
          <w:tab w:val="left" w:pos="624"/>
        </w:tabs>
        <w:rPr>
          <w:lang w:val="es-ES_tradnl"/>
        </w:rPr>
      </w:pPr>
      <w:r w:rsidRPr="00B03929">
        <w:rPr>
          <w:lang w:val="es-ES_tradnl"/>
        </w:rPr>
        <w:t xml:space="preserve">La inauguración de la serie de sesiones de alto nivel, el 5 de noviembre de 2026, contará con la misma Presidencia que la 37ª Reunión de las Partes, que dirigirá la reunión hasta que las Partes elijan la </w:t>
      </w:r>
      <w:r w:rsidR="00883D9E" w:rsidRPr="00B03929">
        <w:rPr>
          <w:lang w:val="es-ES_tradnl"/>
        </w:rPr>
        <w:t>P</w:t>
      </w:r>
      <w:r w:rsidRPr="00B03929">
        <w:rPr>
          <w:lang w:val="es-ES_tradnl"/>
        </w:rPr>
        <w:t>residencia de la 38ª Reunión de las Partes. De conformidad con el artículo 21 del Reglamento y la práctica establecida de alternar los puestos de la presidencia y la relatoría entre los grupos regionales según el orden alfabético en inglés, se prevé la elección de la Presidencia de la 38ª Reunión de las Partes de entre los Estados de África, la Relatoría de entre los Estados de Europa Occidental y otros Estados y las tres Vicepresidencias de entre los Estados de Asia y el Pacífico, los Estados de Europa Oriental y los Estados de América Latina y el Caribe. A continuación, la Presidencia recién elegida de la 38ª Reunión de las Partes guiará a las Partes a lo largo del programa y se esforzará por resolver cualquier cuestión pendiente durante la reunión.</w:t>
      </w:r>
    </w:p>
    <w:p w14:paraId="79DDA3F4" w14:textId="15436A4D" w:rsidR="00594485" w:rsidRPr="00B03929" w:rsidRDefault="00781B45" w:rsidP="00594485">
      <w:pPr>
        <w:pStyle w:val="CH1"/>
        <w:rPr>
          <w:lang w:val="es-ES_tradnl"/>
        </w:rPr>
      </w:pPr>
      <w:r w:rsidRPr="00B03929">
        <w:rPr>
          <w:bCs/>
          <w:lang w:val="es-ES_tradnl"/>
        </w:rPr>
        <w:lastRenderedPageBreak/>
        <w:tab/>
      </w:r>
      <w:r w:rsidR="00594485" w:rsidRPr="00B03929">
        <w:rPr>
          <w:bCs/>
          <w:lang w:val="es-ES_tradnl"/>
        </w:rPr>
        <w:t>IV.</w:t>
      </w:r>
      <w:r w:rsidR="00594485" w:rsidRPr="00B03929">
        <w:rPr>
          <w:lang w:val="es-ES_tradnl"/>
        </w:rPr>
        <w:tab/>
      </w:r>
      <w:r w:rsidR="00594485" w:rsidRPr="00B03929">
        <w:rPr>
          <w:bCs/>
          <w:lang w:val="es-ES_tradnl"/>
        </w:rPr>
        <w:t>Otros asuntos (tema 5 del programa)</w:t>
      </w:r>
    </w:p>
    <w:p w14:paraId="46E7CE23" w14:textId="77777777" w:rsidR="00594485" w:rsidRPr="00B03929" w:rsidRDefault="00594485" w:rsidP="00594485">
      <w:pPr>
        <w:pStyle w:val="Normalnumber"/>
        <w:tabs>
          <w:tab w:val="clear" w:pos="1247"/>
          <w:tab w:val="clear" w:pos="1814"/>
          <w:tab w:val="clear" w:pos="2381"/>
          <w:tab w:val="clear" w:pos="2948"/>
          <w:tab w:val="clear" w:pos="3515"/>
          <w:tab w:val="left" w:pos="624"/>
        </w:tabs>
        <w:rPr>
          <w:lang w:val="es-ES_tradnl"/>
        </w:rPr>
      </w:pPr>
      <w:r w:rsidRPr="00B03929">
        <w:rPr>
          <w:lang w:val="es-ES_tradnl"/>
        </w:rPr>
        <w:t>En el momento en que se redactó la presente nota, no se había notificado a la Secretaría ninguna cuestión que alguna Parte desease plantear en el marco del tema del programa. Los miembros de la Mesa tal vez desearán plantear otras cuestiones durante la aprobación del programa de la reunión.</w:t>
      </w:r>
    </w:p>
    <w:p w14:paraId="45DBF05A" w14:textId="77777777" w:rsidR="00594485" w:rsidRPr="00B03929" w:rsidRDefault="00594485" w:rsidP="00EF38AA">
      <w:pPr>
        <w:pStyle w:val="Normal-pool"/>
        <w:rPr>
          <w:lang w:val="es-ES_tradnl"/>
        </w:rPr>
      </w:pPr>
      <w:r w:rsidRPr="00B03929">
        <w:rPr>
          <w:lang w:val="es-ES_tradnl"/>
        </w:rPr>
        <w:br w:type="page"/>
      </w:r>
    </w:p>
    <w:p w14:paraId="21A08C28" w14:textId="77777777" w:rsidR="00594485" w:rsidRPr="00B03929" w:rsidRDefault="00594485" w:rsidP="00594485">
      <w:pPr>
        <w:pStyle w:val="ZZAnxheader"/>
        <w:rPr>
          <w:lang w:val="es-ES_tradnl"/>
        </w:rPr>
      </w:pPr>
      <w:r w:rsidRPr="00B03929">
        <w:rPr>
          <w:lang w:val="es-ES_tradnl"/>
        </w:rPr>
        <w:lastRenderedPageBreak/>
        <w:t>Anexo</w:t>
      </w:r>
    </w:p>
    <w:p w14:paraId="272D9DBE" w14:textId="111FEBC9" w:rsidR="00594485" w:rsidRPr="00B03929" w:rsidRDefault="00594485" w:rsidP="00594485">
      <w:pPr>
        <w:pStyle w:val="ZZAnxtitle"/>
        <w:ind w:right="-57"/>
        <w:rPr>
          <w:lang w:val="es-ES_tradnl"/>
        </w:rPr>
      </w:pPr>
      <w:r w:rsidRPr="00B03929">
        <w:rPr>
          <w:lang w:val="es-ES_tradnl"/>
        </w:rPr>
        <w:t>Medidas adoptadas y actividades y resultados conexos en respuesta a</w:t>
      </w:r>
      <w:r w:rsidR="00816A3D">
        <w:rPr>
          <w:lang w:val="es-ES_tradnl"/>
        </w:rPr>
        <w:t> </w:t>
      </w:r>
      <w:r w:rsidRPr="00B03929">
        <w:rPr>
          <w:lang w:val="es-ES_tradnl"/>
        </w:rPr>
        <w:t>las decisiones aprobadas por la 37ª Reunión de las Partes en el Protocolo de Montreal a fecha de 27 de agosto de 2026</w:t>
      </w:r>
    </w:p>
    <w:tbl>
      <w:tblPr>
        <w:tblW w:w="5000" w:type="pct"/>
        <w:jc w:val="right"/>
        <w:tblLayout w:type="fixed"/>
        <w:tblLook w:val="0000" w:firstRow="0" w:lastRow="0" w:firstColumn="0" w:lastColumn="0" w:noHBand="0" w:noVBand="0"/>
      </w:tblPr>
      <w:tblGrid>
        <w:gridCol w:w="1134"/>
        <w:gridCol w:w="1985"/>
        <w:gridCol w:w="2977"/>
        <w:gridCol w:w="3401"/>
      </w:tblGrid>
      <w:tr w:rsidR="00594485" w:rsidRPr="00B03929" w14:paraId="0210C736" w14:textId="77777777" w:rsidTr="003D0CCC">
        <w:trPr>
          <w:cantSplit/>
          <w:trHeight w:val="57"/>
          <w:tblHeader/>
          <w:jc w:val="right"/>
        </w:trPr>
        <w:tc>
          <w:tcPr>
            <w:tcW w:w="1134" w:type="dxa"/>
            <w:tcBorders>
              <w:top w:val="single" w:sz="4" w:space="0" w:color="000000" w:themeColor="text1"/>
              <w:bottom w:val="single" w:sz="12" w:space="0" w:color="000000" w:themeColor="text1"/>
            </w:tcBorders>
            <w:vAlign w:val="bottom"/>
          </w:tcPr>
          <w:p w14:paraId="1C09593E" w14:textId="77777777" w:rsidR="00594485" w:rsidRPr="00B03929" w:rsidRDefault="00594485" w:rsidP="003D0CCC">
            <w:pPr>
              <w:pStyle w:val="Normal-pool-Table"/>
              <w:rPr>
                <w:i/>
                <w:iCs/>
                <w:szCs w:val="18"/>
                <w:lang w:val="es-ES_tradnl"/>
              </w:rPr>
            </w:pPr>
            <w:r w:rsidRPr="00B03929">
              <w:rPr>
                <w:i/>
                <w:iCs/>
                <w:color w:val="000000"/>
                <w:szCs w:val="18"/>
                <w:lang w:val="es-ES_tradnl"/>
              </w:rPr>
              <w:t>Núm. de decisión</w:t>
            </w:r>
          </w:p>
        </w:tc>
        <w:tc>
          <w:tcPr>
            <w:tcW w:w="1985" w:type="dxa"/>
            <w:tcBorders>
              <w:top w:val="single" w:sz="4" w:space="0" w:color="000000" w:themeColor="text1"/>
              <w:bottom w:val="single" w:sz="12" w:space="0" w:color="000000" w:themeColor="text1"/>
            </w:tcBorders>
            <w:vAlign w:val="bottom"/>
          </w:tcPr>
          <w:p w14:paraId="2DB1637C" w14:textId="77777777" w:rsidR="00594485" w:rsidRPr="00B03929" w:rsidRDefault="00594485" w:rsidP="003D0CCC">
            <w:pPr>
              <w:pStyle w:val="Normal-pool-Table"/>
              <w:rPr>
                <w:i/>
                <w:iCs/>
                <w:szCs w:val="18"/>
                <w:lang w:val="es-ES_tradnl"/>
              </w:rPr>
            </w:pPr>
            <w:r w:rsidRPr="00B03929">
              <w:rPr>
                <w:i/>
                <w:iCs/>
                <w:color w:val="000000"/>
                <w:szCs w:val="18"/>
                <w:lang w:val="es-ES_tradnl"/>
              </w:rPr>
              <w:t>Título</w:t>
            </w:r>
          </w:p>
        </w:tc>
        <w:tc>
          <w:tcPr>
            <w:tcW w:w="2977" w:type="dxa"/>
            <w:tcBorders>
              <w:top w:val="single" w:sz="4" w:space="0" w:color="000000" w:themeColor="text1"/>
              <w:bottom w:val="single" w:sz="12" w:space="0" w:color="000000" w:themeColor="text1"/>
            </w:tcBorders>
            <w:vAlign w:val="bottom"/>
          </w:tcPr>
          <w:p w14:paraId="09425C39" w14:textId="77777777" w:rsidR="00594485" w:rsidRPr="00B03929" w:rsidRDefault="00594485" w:rsidP="003D0CCC">
            <w:pPr>
              <w:pStyle w:val="Normal-pool-Table"/>
              <w:rPr>
                <w:b/>
                <w:i/>
                <w:iCs/>
                <w:szCs w:val="18"/>
                <w:lang w:val="es-ES_tradnl"/>
              </w:rPr>
            </w:pPr>
            <w:r w:rsidRPr="00B03929">
              <w:rPr>
                <w:i/>
                <w:iCs/>
                <w:color w:val="000000"/>
                <w:szCs w:val="18"/>
                <w:lang w:val="es-ES_tradnl"/>
              </w:rPr>
              <w:t>Medidas que la Secretaría debía adoptar</w:t>
            </w:r>
          </w:p>
        </w:tc>
        <w:tc>
          <w:tcPr>
            <w:tcW w:w="3401" w:type="dxa"/>
            <w:tcBorders>
              <w:top w:val="single" w:sz="4" w:space="0" w:color="000000" w:themeColor="text1"/>
              <w:bottom w:val="single" w:sz="12" w:space="0" w:color="000000" w:themeColor="text1"/>
            </w:tcBorders>
            <w:vAlign w:val="bottom"/>
          </w:tcPr>
          <w:p w14:paraId="51D8B7D2" w14:textId="1B0ABA54" w:rsidR="00594485" w:rsidRPr="00B03929" w:rsidRDefault="00594485" w:rsidP="003D0CCC">
            <w:pPr>
              <w:pStyle w:val="Normal-pool-Table"/>
              <w:rPr>
                <w:i/>
                <w:iCs/>
                <w:szCs w:val="18"/>
                <w:lang w:val="es-ES_tradnl"/>
              </w:rPr>
            </w:pPr>
            <w:r w:rsidRPr="00B03929">
              <w:rPr>
                <w:i/>
                <w:iCs/>
                <w:color w:val="000000"/>
                <w:szCs w:val="18"/>
                <w:lang w:val="es-ES_tradnl"/>
              </w:rPr>
              <w:t>Medidas adoptadas por la Secretaría, así como actividades y resultados conexos</w:t>
            </w:r>
          </w:p>
        </w:tc>
      </w:tr>
      <w:tr w:rsidR="00594485" w:rsidRPr="00B03929" w14:paraId="5D63C284" w14:textId="77777777" w:rsidTr="003D0CCC">
        <w:trPr>
          <w:cantSplit/>
          <w:trHeight w:val="57"/>
          <w:jc w:val="right"/>
        </w:trPr>
        <w:tc>
          <w:tcPr>
            <w:tcW w:w="1134" w:type="dxa"/>
            <w:tcBorders>
              <w:top w:val="single" w:sz="12" w:space="0" w:color="000000" w:themeColor="text1"/>
            </w:tcBorders>
          </w:tcPr>
          <w:p w14:paraId="58B726E0" w14:textId="77777777" w:rsidR="00594485" w:rsidRPr="00B03929" w:rsidRDefault="00594485" w:rsidP="003D0CCC">
            <w:pPr>
              <w:pStyle w:val="Normal-pool-Table"/>
              <w:rPr>
                <w:szCs w:val="18"/>
                <w:lang w:val="es-ES_tradnl"/>
              </w:rPr>
            </w:pPr>
            <w:r w:rsidRPr="00B03929">
              <w:rPr>
                <w:color w:val="000000"/>
                <w:szCs w:val="18"/>
                <w:lang w:val="es-ES_tradnl"/>
              </w:rPr>
              <w:t>XXXVII/1</w:t>
            </w:r>
          </w:p>
        </w:tc>
        <w:tc>
          <w:tcPr>
            <w:tcW w:w="1985" w:type="dxa"/>
            <w:tcBorders>
              <w:top w:val="single" w:sz="12" w:space="0" w:color="000000" w:themeColor="text1"/>
            </w:tcBorders>
          </w:tcPr>
          <w:p w14:paraId="055B4B6E" w14:textId="77777777" w:rsidR="00594485" w:rsidRPr="00B03929" w:rsidRDefault="00594485" w:rsidP="003D0CCC">
            <w:pPr>
              <w:pStyle w:val="Normal-pool-Table"/>
              <w:rPr>
                <w:szCs w:val="18"/>
                <w:lang w:val="es-ES_tradnl"/>
              </w:rPr>
            </w:pPr>
            <w:r w:rsidRPr="00B03929">
              <w:rPr>
                <w:color w:val="000000"/>
                <w:szCs w:val="18"/>
                <w:lang w:val="es-ES_tradnl"/>
              </w:rPr>
              <w:t>Mejora de la vigilancia atmosférica regional de las sustancias controladas por el Protocolo de Montreal relativo a las Sustancias que Agotan la Capa de Ozono</w:t>
            </w:r>
          </w:p>
        </w:tc>
        <w:tc>
          <w:tcPr>
            <w:tcW w:w="2977" w:type="dxa"/>
            <w:tcBorders>
              <w:top w:val="single" w:sz="12" w:space="0" w:color="000000" w:themeColor="text1"/>
            </w:tcBorders>
          </w:tcPr>
          <w:p w14:paraId="1A695C3B" w14:textId="730D5F24" w:rsidR="00594485" w:rsidRPr="00B03929" w:rsidRDefault="00594485" w:rsidP="003D0CCC">
            <w:pPr>
              <w:pStyle w:val="Normal-pool-Table"/>
              <w:ind w:right="-57"/>
              <w:rPr>
                <w:szCs w:val="18"/>
                <w:lang w:val="es-ES_tradnl"/>
              </w:rPr>
            </w:pPr>
            <w:r w:rsidRPr="00B03929">
              <w:rPr>
                <w:color w:val="000000"/>
                <w:szCs w:val="18"/>
                <w:lang w:val="es-ES_tradnl"/>
              </w:rPr>
              <w:t>En consulta con el Comité Asesor del fondo fiduciario general para financiar las actividades de investigación y observaciones sistemáticas de interés para el Convenio de Viena para la Protección de la Capa de Ozono, proseguir con la evaluación de la idoneidad de los posibles emplazamientos para la vigilancia de las emisiones de sustancias controladas situadas en las regiones y ubicaciones que se recog</w:t>
            </w:r>
            <w:r w:rsidR="00F35A98" w:rsidRPr="00B03929">
              <w:rPr>
                <w:color w:val="000000"/>
                <w:szCs w:val="18"/>
                <w:lang w:val="es-ES_tradnl"/>
              </w:rPr>
              <w:t>ía</w:t>
            </w:r>
            <w:r w:rsidRPr="00B03929">
              <w:rPr>
                <w:color w:val="000000"/>
                <w:szCs w:val="18"/>
                <w:lang w:val="es-ES_tradnl"/>
              </w:rPr>
              <w:t>n en la información presentada por el Comité Asesor a la 37ª Reunión de las Partes en el Protocolo de Montreal relativo a las Sustancias que Agotan la Capa de Ozono y que se identificaron con la participación voluntaria de las Partes afectadas y en consulta con ellas.</w:t>
            </w:r>
          </w:p>
        </w:tc>
        <w:tc>
          <w:tcPr>
            <w:tcW w:w="3401" w:type="dxa"/>
            <w:tcBorders>
              <w:top w:val="single" w:sz="12" w:space="0" w:color="000000" w:themeColor="text1"/>
            </w:tcBorders>
          </w:tcPr>
          <w:p w14:paraId="51DE6F61" w14:textId="5FE27290" w:rsidR="00594485" w:rsidRPr="00B03929" w:rsidRDefault="00594485" w:rsidP="003414CA">
            <w:pPr>
              <w:pStyle w:val="Normal-pool-Table"/>
              <w:ind w:right="57"/>
              <w:rPr>
                <w:szCs w:val="18"/>
                <w:lang w:val="es-ES_tradnl"/>
              </w:rPr>
            </w:pPr>
            <w:r w:rsidRPr="00B03929">
              <w:rPr>
                <w:color w:val="000000"/>
                <w:szCs w:val="18"/>
                <w:lang w:val="es-ES_tradnl"/>
              </w:rPr>
              <w:t>En la adición a la nota de la Secretaría, que contenía información de antecedentes sobre los temas incluidos en el programa provisional de la 48ª reunión del Grupo de Trabajo de composición abierta de las Partes en el Protocolo de Montreal (UNEP/OzL.Pro.WG.1/48/2/Add.1, párrs.</w:t>
            </w:r>
            <w:r w:rsidR="000D0CF5" w:rsidRPr="00B03929">
              <w:rPr>
                <w:color w:val="000000"/>
                <w:szCs w:val="18"/>
                <w:lang w:val="es-ES_tradnl"/>
              </w:rPr>
              <w:t> </w:t>
            </w:r>
            <w:r w:rsidRPr="00B03929">
              <w:rPr>
                <w:color w:val="000000"/>
                <w:szCs w:val="18"/>
                <w:lang w:val="es-ES_tradnl"/>
              </w:rPr>
              <w:t>84 a 87), y que se publicó antes de esa reunión, se ofrecía un breve resumen de los avances en la aplicación de la decisión. En la reunión, las actualizaciones se complementaron con una presentación a cargo de la Secretaría y de una Copresidencia del Comité Asesor.</w:t>
            </w:r>
          </w:p>
        </w:tc>
      </w:tr>
      <w:tr w:rsidR="00594485" w:rsidRPr="00B03929" w14:paraId="544997FD" w14:textId="77777777" w:rsidTr="003D0CCC">
        <w:trPr>
          <w:cantSplit/>
          <w:trHeight w:val="57"/>
          <w:jc w:val="right"/>
        </w:trPr>
        <w:tc>
          <w:tcPr>
            <w:tcW w:w="1134" w:type="dxa"/>
          </w:tcPr>
          <w:p w14:paraId="572A1978" w14:textId="77777777" w:rsidR="00594485" w:rsidRPr="00B03929" w:rsidRDefault="00594485" w:rsidP="003D0CCC">
            <w:pPr>
              <w:pStyle w:val="Normal-pool-Table"/>
              <w:rPr>
                <w:szCs w:val="18"/>
                <w:lang w:val="es-ES_tradnl"/>
              </w:rPr>
            </w:pPr>
          </w:p>
        </w:tc>
        <w:tc>
          <w:tcPr>
            <w:tcW w:w="1985" w:type="dxa"/>
          </w:tcPr>
          <w:p w14:paraId="051FF06E" w14:textId="77777777" w:rsidR="00594485" w:rsidRPr="00B03929" w:rsidRDefault="00594485" w:rsidP="003D0CCC">
            <w:pPr>
              <w:pStyle w:val="Normal-pool-Table"/>
              <w:rPr>
                <w:szCs w:val="18"/>
                <w:lang w:val="es-ES_tradnl"/>
              </w:rPr>
            </w:pPr>
          </w:p>
        </w:tc>
        <w:tc>
          <w:tcPr>
            <w:tcW w:w="2977" w:type="dxa"/>
          </w:tcPr>
          <w:p w14:paraId="35576BA7" w14:textId="24C76BAB" w:rsidR="00594485" w:rsidRPr="00B03929" w:rsidRDefault="00594485" w:rsidP="003D0CCC">
            <w:pPr>
              <w:pStyle w:val="Normal-pool-Table"/>
              <w:rPr>
                <w:szCs w:val="18"/>
                <w:lang w:val="es-ES_tradnl"/>
              </w:rPr>
            </w:pPr>
            <w:r w:rsidRPr="00B03929">
              <w:rPr>
                <w:color w:val="000000"/>
                <w:szCs w:val="18"/>
                <w:lang w:val="es-ES_tradnl"/>
              </w:rPr>
              <w:t xml:space="preserve">En consulta con las Partes interesadas que </w:t>
            </w:r>
            <w:r w:rsidR="00F567C7" w:rsidRPr="00B03929">
              <w:rPr>
                <w:color w:val="000000"/>
                <w:szCs w:val="18"/>
                <w:lang w:val="es-ES_tradnl"/>
              </w:rPr>
              <w:t>hubiesen</w:t>
            </w:r>
            <w:r w:rsidRPr="00B03929">
              <w:rPr>
                <w:color w:val="000000"/>
                <w:szCs w:val="18"/>
                <w:lang w:val="es-ES_tradnl"/>
              </w:rPr>
              <w:t xml:space="preserve"> manifestado su interés, preparar los posibles pasos siguientes en el establecimiento de actividades de vigilancia en esos emplazamientos, teniendo en cuenta la priorización presentada por el Comité Asesor en</w:t>
            </w:r>
            <w:r w:rsidR="00816A3D">
              <w:rPr>
                <w:color w:val="000000"/>
                <w:szCs w:val="18"/>
                <w:lang w:val="es-ES_tradnl"/>
              </w:rPr>
              <w:t> </w:t>
            </w:r>
            <w:r w:rsidRPr="00B03929">
              <w:rPr>
                <w:color w:val="000000"/>
                <w:szCs w:val="18"/>
                <w:lang w:val="es-ES_tradnl"/>
              </w:rPr>
              <w:t>la</w:t>
            </w:r>
            <w:r w:rsidR="00230166" w:rsidRPr="00B03929">
              <w:rPr>
                <w:color w:val="000000"/>
                <w:szCs w:val="18"/>
                <w:lang w:val="es-ES_tradnl"/>
              </w:rPr>
              <w:t> </w:t>
            </w:r>
            <w:r w:rsidRPr="00B03929">
              <w:rPr>
                <w:color w:val="000000"/>
                <w:szCs w:val="18"/>
                <w:lang w:val="es-ES_tradnl"/>
              </w:rPr>
              <w:t>37ª Reunión de las Partes y la</w:t>
            </w:r>
            <w:r w:rsidR="00816A3D">
              <w:rPr>
                <w:color w:val="000000"/>
                <w:szCs w:val="18"/>
                <w:lang w:val="es-ES_tradnl"/>
              </w:rPr>
              <w:t> </w:t>
            </w:r>
            <w:r w:rsidRPr="00B03929">
              <w:rPr>
                <w:color w:val="000000"/>
                <w:szCs w:val="18"/>
                <w:lang w:val="es-ES_tradnl"/>
              </w:rPr>
              <w:t>ejecución por etapas que se recog</w:t>
            </w:r>
            <w:r w:rsidR="00230166" w:rsidRPr="00B03929">
              <w:rPr>
                <w:color w:val="000000"/>
                <w:szCs w:val="18"/>
                <w:lang w:val="es-ES_tradnl"/>
              </w:rPr>
              <w:t>ía</w:t>
            </w:r>
            <w:r w:rsidR="00816A3D">
              <w:rPr>
                <w:color w:val="000000"/>
                <w:szCs w:val="18"/>
                <w:lang w:val="es-ES_tradnl"/>
              </w:rPr>
              <w:t> </w:t>
            </w:r>
            <w:r w:rsidRPr="00B03929">
              <w:rPr>
                <w:color w:val="000000"/>
                <w:szCs w:val="18"/>
                <w:lang w:val="es-ES_tradnl"/>
              </w:rPr>
              <w:t>en el documento UNEP/OzL.Pro.37/2/Add.1.</w:t>
            </w:r>
          </w:p>
        </w:tc>
        <w:tc>
          <w:tcPr>
            <w:tcW w:w="3401" w:type="dxa"/>
          </w:tcPr>
          <w:p w14:paraId="75C9A847" w14:textId="2D51A288" w:rsidR="00594485" w:rsidRPr="00B03929" w:rsidRDefault="00594485" w:rsidP="003D0CCC">
            <w:pPr>
              <w:pStyle w:val="Normal-pool-Table"/>
              <w:rPr>
                <w:szCs w:val="18"/>
                <w:lang w:val="es-ES_tradnl"/>
              </w:rPr>
            </w:pPr>
            <w:r w:rsidRPr="00B03929">
              <w:rPr>
                <w:color w:val="000000"/>
                <w:szCs w:val="18"/>
                <w:lang w:val="es-ES_tradnl"/>
              </w:rPr>
              <w:t xml:space="preserve">Tras consultar con la Secretaría, una Copresidencia del Comité Asesor mantuvo consultas oficiosas con representantes en los países y científicos en </w:t>
            </w:r>
            <w:r w:rsidR="0032632A" w:rsidRPr="00B03929">
              <w:rPr>
                <w:color w:val="000000"/>
                <w:szCs w:val="18"/>
                <w:lang w:val="es-ES_tradnl"/>
              </w:rPr>
              <w:t>1</w:t>
            </w:r>
            <w:r w:rsidRPr="00B03929">
              <w:rPr>
                <w:color w:val="000000"/>
                <w:szCs w:val="18"/>
                <w:lang w:val="es-ES_tradnl"/>
              </w:rPr>
              <w:t xml:space="preserve"> país de cada una de las </w:t>
            </w:r>
            <w:r w:rsidR="0032632A" w:rsidRPr="00B03929">
              <w:rPr>
                <w:color w:val="000000"/>
                <w:szCs w:val="18"/>
                <w:lang w:val="es-ES_tradnl"/>
              </w:rPr>
              <w:t>5</w:t>
            </w:r>
            <w:r w:rsidRPr="00B03929">
              <w:rPr>
                <w:color w:val="000000"/>
                <w:szCs w:val="18"/>
                <w:lang w:val="es-ES_tradnl"/>
              </w:rPr>
              <w:t xml:space="preserve"> regiones que el Comité Asesor había establecido como prioritarias (véase el párrafo 93 del informe de la 37ª Reunión</w:t>
            </w:r>
            <w:r w:rsidR="00816A3D">
              <w:rPr>
                <w:color w:val="000000"/>
                <w:szCs w:val="18"/>
                <w:lang w:val="es-ES_tradnl"/>
              </w:rPr>
              <w:t> </w:t>
            </w:r>
            <w:r w:rsidRPr="00B03929">
              <w:rPr>
                <w:color w:val="000000"/>
                <w:szCs w:val="18"/>
                <w:lang w:val="es-ES_tradnl"/>
              </w:rPr>
              <w:t xml:space="preserve">de las Partes, documento UNEP/OzL.Pro.37/9). Como resultado de las consultas oficiosas, y llegada la 48ª reunión del Grupo de Trabajo de composición abierta, la Secretaría había recibido manifestaciones de interés de tres Partes para continuar las conversaciones sobre la posibilidad de establecer una estación de vigilancia en sus países. En la </w:t>
            </w:r>
            <w:r w:rsidR="00BC60DC" w:rsidRPr="00B03929">
              <w:rPr>
                <w:color w:val="000000"/>
                <w:szCs w:val="18"/>
                <w:lang w:val="es-ES_tradnl"/>
              </w:rPr>
              <w:t>adición</w:t>
            </w:r>
            <w:r w:rsidRPr="00B03929">
              <w:rPr>
                <w:color w:val="000000"/>
                <w:szCs w:val="18"/>
                <w:lang w:val="es-ES_tradnl"/>
              </w:rPr>
              <w:t xml:space="preserve"> a la nota sobre cuestiones que examinará la 38ª Reunión de las Partes e información que se señala a su atención (UNEP/OzL.Pro.38/2/Add.1) se incluirá un informe de la Secretaría sobre los avances en los </w:t>
            </w:r>
            <w:r w:rsidR="003D4419" w:rsidRPr="00B03929">
              <w:rPr>
                <w:color w:val="000000"/>
                <w:szCs w:val="18"/>
                <w:lang w:val="es-ES_tradnl"/>
              </w:rPr>
              <w:t xml:space="preserve">posibles </w:t>
            </w:r>
            <w:r w:rsidRPr="00B03929">
              <w:rPr>
                <w:color w:val="000000"/>
                <w:szCs w:val="18"/>
                <w:lang w:val="es-ES_tradnl"/>
              </w:rPr>
              <w:t xml:space="preserve">pasos </w:t>
            </w:r>
            <w:r w:rsidR="003D4419" w:rsidRPr="00B03929">
              <w:rPr>
                <w:color w:val="000000"/>
                <w:szCs w:val="18"/>
                <w:lang w:val="es-ES_tradnl"/>
              </w:rPr>
              <w:t xml:space="preserve">siguientes en el establecimiento de </w:t>
            </w:r>
            <w:r w:rsidRPr="00B03929">
              <w:rPr>
                <w:color w:val="000000"/>
                <w:szCs w:val="18"/>
                <w:lang w:val="es-ES_tradnl"/>
              </w:rPr>
              <w:t>actividades de seguimiento en emplazamientos situados en</w:t>
            </w:r>
            <w:r w:rsidR="00816A3D">
              <w:rPr>
                <w:color w:val="000000"/>
                <w:szCs w:val="18"/>
                <w:lang w:val="es-ES_tradnl"/>
              </w:rPr>
              <w:t> </w:t>
            </w:r>
            <w:r w:rsidRPr="00B03929">
              <w:rPr>
                <w:color w:val="000000"/>
                <w:szCs w:val="18"/>
                <w:lang w:val="es-ES_tradnl"/>
              </w:rPr>
              <w:t>el territorio de las Partes que hayan manifestado su interés.</w:t>
            </w:r>
          </w:p>
        </w:tc>
      </w:tr>
      <w:tr w:rsidR="00594485" w:rsidRPr="00B03929" w14:paraId="2389AC10" w14:textId="77777777" w:rsidTr="003D0CCC">
        <w:trPr>
          <w:cantSplit/>
          <w:trHeight w:val="57"/>
          <w:jc w:val="right"/>
        </w:trPr>
        <w:tc>
          <w:tcPr>
            <w:tcW w:w="1134" w:type="dxa"/>
          </w:tcPr>
          <w:p w14:paraId="2658A9D7" w14:textId="77777777" w:rsidR="00594485" w:rsidRPr="00B03929" w:rsidRDefault="00594485" w:rsidP="003D0CCC">
            <w:pPr>
              <w:pStyle w:val="Normal-pool-Table"/>
              <w:rPr>
                <w:szCs w:val="18"/>
                <w:lang w:val="es-ES_tradnl"/>
              </w:rPr>
            </w:pPr>
          </w:p>
        </w:tc>
        <w:tc>
          <w:tcPr>
            <w:tcW w:w="1985" w:type="dxa"/>
          </w:tcPr>
          <w:p w14:paraId="32786A48" w14:textId="77777777" w:rsidR="00594485" w:rsidRPr="00B03929" w:rsidRDefault="00594485" w:rsidP="003D0CCC">
            <w:pPr>
              <w:pStyle w:val="Normal-pool-Table"/>
              <w:rPr>
                <w:szCs w:val="18"/>
                <w:lang w:val="es-ES_tradnl"/>
              </w:rPr>
            </w:pPr>
          </w:p>
        </w:tc>
        <w:tc>
          <w:tcPr>
            <w:tcW w:w="2977" w:type="dxa"/>
          </w:tcPr>
          <w:p w14:paraId="50922971" w14:textId="7FB8934F" w:rsidR="00594485" w:rsidRPr="00B03929" w:rsidRDefault="00594485" w:rsidP="003D0CCC">
            <w:pPr>
              <w:pStyle w:val="Normal-pool-Table"/>
              <w:rPr>
                <w:szCs w:val="18"/>
                <w:lang w:val="es-ES_tradnl"/>
              </w:rPr>
            </w:pPr>
            <w:r w:rsidRPr="00B03929">
              <w:rPr>
                <w:color w:val="000000"/>
                <w:szCs w:val="18"/>
                <w:lang w:val="es-ES_tradnl"/>
              </w:rPr>
              <w:t>Llevar a cabo las actividades descritas anteriormente con una partida presupuestaria para 2026 de 100.000 dólares de los Estados Unidos procedentes del saldo de caja del fondo fiduciario para el Protocolo de Montreal, con carácter excepcional.</w:t>
            </w:r>
          </w:p>
        </w:tc>
        <w:tc>
          <w:tcPr>
            <w:tcW w:w="3401" w:type="dxa"/>
          </w:tcPr>
          <w:p w14:paraId="124CB35D" w14:textId="542290CC" w:rsidR="00594485" w:rsidRPr="00B03929" w:rsidRDefault="00594485" w:rsidP="003D0CCC">
            <w:pPr>
              <w:pStyle w:val="Normal-pool-Table"/>
              <w:ind w:right="57"/>
              <w:rPr>
                <w:szCs w:val="18"/>
                <w:lang w:val="es-ES_tradnl"/>
              </w:rPr>
            </w:pPr>
            <w:r w:rsidRPr="00B03929">
              <w:rPr>
                <w:color w:val="000000"/>
                <w:szCs w:val="18"/>
                <w:lang w:val="es-ES_tradnl"/>
              </w:rPr>
              <w:t>Se publicará, en forma de adición a la nota</w:t>
            </w:r>
            <w:r w:rsidR="00816A3D">
              <w:rPr>
                <w:color w:val="000000"/>
                <w:szCs w:val="18"/>
                <w:lang w:val="es-ES_tradnl"/>
              </w:rPr>
              <w:t> </w:t>
            </w:r>
            <w:r w:rsidRPr="00B03929">
              <w:rPr>
                <w:color w:val="000000"/>
                <w:szCs w:val="18"/>
                <w:lang w:val="es-ES_tradnl"/>
              </w:rPr>
              <w:t>sobre las cuestiones que examinará la</w:t>
            </w:r>
            <w:r w:rsidR="00816A3D">
              <w:rPr>
                <w:color w:val="000000"/>
                <w:szCs w:val="18"/>
                <w:lang w:val="es-ES_tradnl"/>
              </w:rPr>
              <w:t> </w:t>
            </w:r>
            <w:r w:rsidRPr="00B03929">
              <w:rPr>
                <w:color w:val="000000"/>
                <w:szCs w:val="18"/>
                <w:lang w:val="es-ES_tradnl"/>
              </w:rPr>
              <w:t xml:space="preserve">38ª Reunión de las Partes </w:t>
            </w:r>
            <w:r w:rsidR="00B6516F" w:rsidRPr="00B03929">
              <w:rPr>
                <w:color w:val="000000"/>
                <w:szCs w:val="18"/>
                <w:lang w:val="es-ES_tradnl"/>
              </w:rPr>
              <w:t xml:space="preserve">e información que se señala a su atención </w:t>
            </w:r>
            <w:r w:rsidRPr="00B03929">
              <w:rPr>
                <w:color w:val="000000"/>
                <w:szCs w:val="18"/>
                <w:lang w:val="es-ES_tradnl"/>
              </w:rPr>
              <w:t>(UNEP/OzL.Pro.38/2/Add.1), un informe de la Secretaría sobre los avances en la aplicación de la presente decisión. El informe se complementará con una presentación que realizarán ante la 38ª Reunión de las Partes una Copresidencia del Grupo Asesor y un representante de la Secretaría del Ozono.</w:t>
            </w:r>
          </w:p>
        </w:tc>
      </w:tr>
      <w:tr w:rsidR="00594485" w:rsidRPr="00B03929" w14:paraId="2C5EDF6D" w14:textId="77777777" w:rsidTr="003D0CCC">
        <w:trPr>
          <w:cantSplit/>
          <w:trHeight w:val="57"/>
          <w:jc w:val="right"/>
        </w:trPr>
        <w:tc>
          <w:tcPr>
            <w:tcW w:w="1134" w:type="dxa"/>
          </w:tcPr>
          <w:p w14:paraId="739A9AE8" w14:textId="77777777" w:rsidR="00594485" w:rsidRPr="00B03929" w:rsidRDefault="00594485" w:rsidP="003D0CCC">
            <w:pPr>
              <w:pStyle w:val="Normal-pool-Table"/>
              <w:rPr>
                <w:szCs w:val="18"/>
                <w:lang w:val="es-ES_tradnl"/>
              </w:rPr>
            </w:pPr>
          </w:p>
        </w:tc>
        <w:tc>
          <w:tcPr>
            <w:tcW w:w="1985" w:type="dxa"/>
          </w:tcPr>
          <w:p w14:paraId="0D359FDC" w14:textId="77777777" w:rsidR="00594485" w:rsidRPr="00B03929" w:rsidRDefault="00594485" w:rsidP="003D0CCC">
            <w:pPr>
              <w:pStyle w:val="Normal-pool-Table"/>
              <w:rPr>
                <w:szCs w:val="18"/>
                <w:lang w:val="es-ES_tradnl"/>
              </w:rPr>
            </w:pPr>
          </w:p>
        </w:tc>
        <w:tc>
          <w:tcPr>
            <w:tcW w:w="2977" w:type="dxa"/>
          </w:tcPr>
          <w:p w14:paraId="5D426BD9" w14:textId="2F559EF5" w:rsidR="00594485" w:rsidRPr="00B03929" w:rsidRDefault="00594485" w:rsidP="003D0CCC">
            <w:pPr>
              <w:pStyle w:val="Normal-pool-Table"/>
              <w:rPr>
                <w:szCs w:val="18"/>
                <w:lang w:val="es-ES_tradnl"/>
              </w:rPr>
            </w:pPr>
            <w:r w:rsidRPr="00B03929">
              <w:rPr>
                <w:color w:val="000000"/>
                <w:szCs w:val="18"/>
                <w:lang w:val="es-ES_tradnl"/>
              </w:rPr>
              <w:t xml:space="preserve">Informar al Grupo de Trabajo de composición abierta de las Partes en su 48ª reunión y a la 38ª Reunión de las Partes sobre los avances y cualesquiera resultados de esas actividades, </w:t>
            </w:r>
            <w:r w:rsidR="003C18D0" w:rsidRPr="00B03929">
              <w:rPr>
                <w:color w:val="000000"/>
                <w:szCs w:val="18"/>
                <w:lang w:val="es-ES_tradnl"/>
              </w:rPr>
              <w:t>para su consideración</w:t>
            </w:r>
            <w:r w:rsidRPr="00B03929">
              <w:rPr>
                <w:color w:val="000000"/>
                <w:szCs w:val="18"/>
                <w:lang w:val="es-ES_tradnl"/>
              </w:rPr>
              <w:t xml:space="preserve"> por las Partes.</w:t>
            </w:r>
          </w:p>
        </w:tc>
        <w:tc>
          <w:tcPr>
            <w:tcW w:w="3401" w:type="dxa"/>
          </w:tcPr>
          <w:p w14:paraId="5830551F" w14:textId="5EFF088C" w:rsidR="00594485" w:rsidRPr="00B03929" w:rsidRDefault="00594485" w:rsidP="002748A1">
            <w:pPr>
              <w:pStyle w:val="Normal-pool-Table"/>
              <w:spacing w:after="120"/>
              <w:rPr>
                <w:szCs w:val="18"/>
                <w:lang w:val="es-ES_tradnl"/>
              </w:rPr>
            </w:pPr>
            <w:r w:rsidRPr="00B03929">
              <w:rPr>
                <w:color w:val="000000"/>
                <w:szCs w:val="18"/>
                <w:lang w:val="es-ES_tradnl"/>
              </w:rPr>
              <w:t>El representante de la Secretaría y un miembro del Comité Asesor presentaron ante el Grupo de Trabajo de composición abierta, en su 48ª reunión, un informe sobre los avances realizados en la aplicación de la decisión XXXVII/1, incluido el desarrollo de una herramienta de cálculo de costos en línea, las 10 regiones y ubicaciones en que, según había determinado el Comité Asesor, debían subsanarse las carencias en la vigilancia atmosférica regional de las sustancias controladas, la continuación de la evaluación de la idoneidad de las 5 regiones y ubicaciones prioritarias, el establecimiento de una ventanilla de financiación en el marco del Fondo Multilateral para la Aplicación del Protocolo de Montreal, y nuevas consideraciones.</w:t>
            </w:r>
          </w:p>
          <w:p w14:paraId="64A86CB2" w14:textId="7D0B0AB7" w:rsidR="00594485" w:rsidRPr="00B03929" w:rsidRDefault="00594485" w:rsidP="003D0CCC">
            <w:pPr>
              <w:pStyle w:val="Normal-pool-Table"/>
              <w:rPr>
                <w:szCs w:val="18"/>
                <w:lang w:val="es-ES_tradnl"/>
              </w:rPr>
            </w:pPr>
            <w:r w:rsidRPr="00B03929">
              <w:rPr>
                <w:color w:val="000000"/>
                <w:szCs w:val="18"/>
                <w:lang w:val="es-ES_tradnl"/>
              </w:rPr>
              <w:t xml:space="preserve">Se publicará, en forma de adición a la nota sobre las cuestiones que examinará la 38ª Reunión de las Partes </w:t>
            </w:r>
            <w:r w:rsidR="00C17072" w:rsidRPr="00B03929">
              <w:rPr>
                <w:color w:val="000000"/>
                <w:szCs w:val="18"/>
                <w:lang w:val="es-ES_tradnl"/>
              </w:rPr>
              <w:t>e información que</w:t>
            </w:r>
            <w:r w:rsidR="00816A3D">
              <w:rPr>
                <w:color w:val="000000"/>
                <w:szCs w:val="18"/>
                <w:lang w:val="es-ES_tradnl"/>
              </w:rPr>
              <w:t> </w:t>
            </w:r>
            <w:r w:rsidR="00C17072" w:rsidRPr="00B03929">
              <w:rPr>
                <w:color w:val="000000"/>
                <w:szCs w:val="18"/>
                <w:lang w:val="es-ES_tradnl"/>
              </w:rPr>
              <w:t>se</w:t>
            </w:r>
            <w:r w:rsidR="00816A3D">
              <w:rPr>
                <w:color w:val="000000"/>
                <w:szCs w:val="18"/>
                <w:lang w:val="es-ES_tradnl"/>
              </w:rPr>
              <w:t> </w:t>
            </w:r>
            <w:r w:rsidR="00C17072" w:rsidRPr="00B03929">
              <w:rPr>
                <w:color w:val="000000"/>
                <w:szCs w:val="18"/>
                <w:lang w:val="es-ES_tradnl"/>
              </w:rPr>
              <w:t xml:space="preserve">señala a su atención </w:t>
            </w:r>
            <w:r w:rsidRPr="00B03929">
              <w:rPr>
                <w:color w:val="000000"/>
                <w:szCs w:val="18"/>
                <w:lang w:val="es-ES_tradnl"/>
              </w:rPr>
              <w:t>(UNEP/OzL.Pro.38/2/Add.1), un informe de la Secretaría sobre los avances en la aplicación de la decisión. El informe se complementará con una presentación que realizarán ante la 38ª Reunión de las Partes una Copresidencia del Grupo Asesor y un representante de la Secretaría del Ozono.</w:t>
            </w:r>
          </w:p>
        </w:tc>
      </w:tr>
      <w:tr w:rsidR="00594485" w:rsidRPr="00B03929" w14:paraId="6D6B9276" w14:textId="77777777" w:rsidTr="003D0CCC">
        <w:trPr>
          <w:cantSplit/>
          <w:trHeight w:val="57"/>
          <w:jc w:val="right"/>
        </w:trPr>
        <w:tc>
          <w:tcPr>
            <w:tcW w:w="1134" w:type="dxa"/>
          </w:tcPr>
          <w:p w14:paraId="4EAE2E9D" w14:textId="77777777" w:rsidR="00594485" w:rsidRPr="00B03929" w:rsidRDefault="00594485" w:rsidP="003D0CCC">
            <w:pPr>
              <w:pStyle w:val="Normal-pool-Table"/>
              <w:rPr>
                <w:szCs w:val="18"/>
                <w:lang w:val="es-ES_tradnl"/>
              </w:rPr>
            </w:pPr>
            <w:r w:rsidRPr="00B03929">
              <w:rPr>
                <w:color w:val="000000"/>
                <w:szCs w:val="18"/>
                <w:lang w:val="es-ES_tradnl"/>
              </w:rPr>
              <w:t>XXXVII/2</w:t>
            </w:r>
          </w:p>
        </w:tc>
        <w:tc>
          <w:tcPr>
            <w:tcW w:w="1985" w:type="dxa"/>
          </w:tcPr>
          <w:p w14:paraId="0B3F2AF5" w14:textId="77777777" w:rsidR="00594485" w:rsidRPr="00B03929" w:rsidRDefault="00594485" w:rsidP="003D0CCC">
            <w:pPr>
              <w:pStyle w:val="Normal-pool-Table"/>
              <w:rPr>
                <w:szCs w:val="18"/>
                <w:lang w:val="es-ES_tradnl"/>
              </w:rPr>
            </w:pPr>
            <w:r w:rsidRPr="00B03929">
              <w:rPr>
                <w:color w:val="000000"/>
                <w:szCs w:val="18"/>
                <w:lang w:val="es-ES_tradnl"/>
              </w:rPr>
              <w:t>Emisiones de HFC-23</w:t>
            </w:r>
          </w:p>
        </w:tc>
        <w:tc>
          <w:tcPr>
            <w:tcW w:w="2977" w:type="dxa"/>
          </w:tcPr>
          <w:p w14:paraId="115FBE64" w14:textId="77777777" w:rsidR="00594485" w:rsidRPr="00B03929" w:rsidRDefault="00594485" w:rsidP="003D0CCC">
            <w:pPr>
              <w:pStyle w:val="Normal-pool-Table"/>
              <w:rPr>
                <w:szCs w:val="18"/>
                <w:lang w:val="es-ES_tradnl"/>
              </w:rPr>
            </w:pPr>
            <w:r w:rsidRPr="00B03929">
              <w:rPr>
                <w:color w:val="000000"/>
                <w:szCs w:val="18"/>
                <w:lang w:val="es-ES_tradnl"/>
              </w:rPr>
              <w:t>Notificar la decisión al Grupo de Evaluación Tecnológica y Económica y el Grupo de Evaluación Científica, con vistas a la adopción de las medidas necesarias.</w:t>
            </w:r>
          </w:p>
        </w:tc>
        <w:tc>
          <w:tcPr>
            <w:tcW w:w="3401" w:type="dxa"/>
          </w:tcPr>
          <w:p w14:paraId="2117BD73" w14:textId="41441F36" w:rsidR="00594485" w:rsidRPr="00B03929" w:rsidRDefault="00594485" w:rsidP="003D0CCC">
            <w:pPr>
              <w:pStyle w:val="Normal-pool-Table"/>
              <w:rPr>
                <w:szCs w:val="18"/>
                <w:lang w:val="es-ES_tradnl"/>
              </w:rPr>
            </w:pPr>
            <w:r w:rsidRPr="00B03929">
              <w:rPr>
                <w:color w:val="000000"/>
                <w:szCs w:val="18"/>
                <w:lang w:val="es-ES_tradnl"/>
              </w:rPr>
              <w:t xml:space="preserve">Se enviaron cartas a los grupos el 1 de diciembre de 2025. </w:t>
            </w:r>
          </w:p>
          <w:p w14:paraId="26CBA452" w14:textId="7F2E5F27" w:rsidR="00594485" w:rsidRPr="00B03929" w:rsidRDefault="00594485" w:rsidP="003D0CCC">
            <w:pPr>
              <w:pStyle w:val="Normal-pool-Table"/>
              <w:spacing w:before="120"/>
              <w:rPr>
                <w:bCs/>
                <w:szCs w:val="18"/>
                <w:lang w:val="es-ES_tradnl"/>
              </w:rPr>
            </w:pPr>
            <w:r w:rsidRPr="00B03929">
              <w:rPr>
                <w:color w:val="000000"/>
                <w:szCs w:val="18"/>
                <w:lang w:val="es-ES_tradnl"/>
              </w:rPr>
              <w:t>Los informes del Grupo de Evaluación Tecnológica y Económica y el Grupo de Evaluación Científica se presentarán y debatirán en la 38ª Reunión de las Partes, que se celebrará en noviembre de 2026.</w:t>
            </w:r>
          </w:p>
        </w:tc>
      </w:tr>
      <w:tr w:rsidR="00594485" w:rsidRPr="00B03929" w14:paraId="283D2919" w14:textId="77777777" w:rsidTr="003D0CCC">
        <w:trPr>
          <w:cantSplit/>
          <w:trHeight w:val="57"/>
          <w:jc w:val="right"/>
        </w:trPr>
        <w:tc>
          <w:tcPr>
            <w:tcW w:w="1134" w:type="dxa"/>
          </w:tcPr>
          <w:p w14:paraId="52DEAD4E" w14:textId="77777777" w:rsidR="00594485" w:rsidRPr="00B03929" w:rsidRDefault="00594485" w:rsidP="003D0CCC">
            <w:pPr>
              <w:pStyle w:val="Normal-pool-Table"/>
              <w:rPr>
                <w:szCs w:val="18"/>
                <w:lang w:val="es-ES_tradnl"/>
              </w:rPr>
            </w:pPr>
          </w:p>
        </w:tc>
        <w:tc>
          <w:tcPr>
            <w:tcW w:w="1985" w:type="dxa"/>
          </w:tcPr>
          <w:p w14:paraId="43AB6DAA" w14:textId="77777777" w:rsidR="00594485" w:rsidRPr="00B03929" w:rsidRDefault="00594485" w:rsidP="003D0CCC">
            <w:pPr>
              <w:pStyle w:val="Normal-pool-Table"/>
              <w:rPr>
                <w:szCs w:val="18"/>
                <w:lang w:val="es-ES_tradnl"/>
              </w:rPr>
            </w:pPr>
          </w:p>
        </w:tc>
        <w:tc>
          <w:tcPr>
            <w:tcW w:w="2977" w:type="dxa"/>
          </w:tcPr>
          <w:p w14:paraId="229AF4EA" w14:textId="77777777" w:rsidR="00594485" w:rsidRPr="00B03929" w:rsidRDefault="00594485" w:rsidP="003D0CCC">
            <w:pPr>
              <w:pStyle w:val="Normal-pool-Table"/>
              <w:rPr>
                <w:szCs w:val="18"/>
                <w:lang w:val="es-ES_tradnl"/>
              </w:rPr>
            </w:pPr>
            <w:r w:rsidRPr="00B03929">
              <w:rPr>
                <w:color w:val="000000"/>
                <w:szCs w:val="18"/>
                <w:lang w:val="es-ES_tradnl"/>
              </w:rPr>
              <w:t>Notificar a las Partes la decisión y recordarles las invitaciones que figuran en los párrafos 2 y 3 de esta.</w:t>
            </w:r>
          </w:p>
        </w:tc>
        <w:tc>
          <w:tcPr>
            <w:tcW w:w="3401" w:type="dxa"/>
          </w:tcPr>
          <w:p w14:paraId="35D42FDE" w14:textId="5D2B287B" w:rsidR="00594485" w:rsidRPr="00B03929" w:rsidRDefault="00594485" w:rsidP="003414CA">
            <w:pPr>
              <w:pStyle w:val="Normal-pool-Table"/>
              <w:rPr>
                <w:szCs w:val="18"/>
                <w:lang w:val="es-ES_tradnl"/>
              </w:rPr>
            </w:pPr>
            <w:r w:rsidRPr="00B03929">
              <w:rPr>
                <w:color w:val="000000"/>
                <w:szCs w:val="18"/>
                <w:lang w:val="es-ES_tradnl"/>
              </w:rPr>
              <w:t>Se enviaron una carta general a las Partes el</w:t>
            </w:r>
            <w:r w:rsidR="00DD0278" w:rsidRPr="00B03929">
              <w:rPr>
                <w:color w:val="000000"/>
                <w:szCs w:val="18"/>
                <w:lang w:val="es-ES_tradnl"/>
              </w:rPr>
              <w:t> </w:t>
            </w:r>
            <w:r w:rsidRPr="00B03929">
              <w:rPr>
                <w:color w:val="000000"/>
                <w:szCs w:val="18"/>
                <w:lang w:val="es-ES_tradnl"/>
              </w:rPr>
              <w:t>16 de enero de 2026 y cartas individualizadas a las Partes pertinentes el</w:t>
            </w:r>
            <w:r w:rsidR="00DD0278" w:rsidRPr="00B03929">
              <w:rPr>
                <w:color w:val="000000"/>
                <w:szCs w:val="18"/>
                <w:lang w:val="es-ES_tradnl"/>
              </w:rPr>
              <w:t> </w:t>
            </w:r>
            <w:r w:rsidRPr="00B03929">
              <w:rPr>
                <w:color w:val="000000"/>
                <w:szCs w:val="18"/>
                <w:lang w:val="es-ES_tradnl"/>
              </w:rPr>
              <w:t xml:space="preserve">29 de enero de 2026. </w:t>
            </w:r>
          </w:p>
        </w:tc>
      </w:tr>
      <w:tr w:rsidR="00594485" w:rsidRPr="00B03929" w14:paraId="41934C35" w14:textId="77777777" w:rsidTr="003D0CCC">
        <w:trPr>
          <w:cantSplit/>
          <w:trHeight w:val="57"/>
          <w:jc w:val="right"/>
        </w:trPr>
        <w:tc>
          <w:tcPr>
            <w:tcW w:w="1134" w:type="dxa"/>
          </w:tcPr>
          <w:p w14:paraId="4D5E6891" w14:textId="77777777" w:rsidR="00594485" w:rsidRPr="00B03929" w:rsidRDefault="00594485" w:rsidP="003D0CCC">
            <w:pPr>
              <w:pStyle w:val="Normal-pool-Table"/>
              <w:rPr>
                <w:szCs w:val="18"/>
                <w:lang w:val="es-ES_tradnl"/>
              </w:rPr>
            </w:pPr>
            <w:r w:rsidRPr="00B03929">
              <w:rPr>
                <w:color w:val="000000"/>
                <w:szCs w:val="18"/>
                <w:lang w:val="es-ES_tradnl"/>
              </w:rPr>
              <w:t>XXXVII/3</w:t>
            </w:r>
          </w:p>
        </w:tc>
        <w:tc>
          <w:tcPr>
            <w:tcW w:w="1985" w:type="dxa"/>
          </w:tcPr>
          <w:p w14:paraId="39DE5D44" w14:textId="77777777" w:rsidR="00594485" w:rsidRPr="00B03929" w:rsidRDefault="00594485" w:rsidP="003D0CCC">
            <w:pPr>
              <w:pStyle w:val="Normal-pool-Table"/>
              <w:rPr>
                <w:szCs w:val="18"/>
                <w:lang w:val="es-ES_tradnl"/>
              </w:rPr>
            </w:pPr>
            <w:r w:rsidRPr="00B03929">
              <w:rPr>
                <w:color w:val="000000"/>
                <w:szCs w:val="18"/>
                <w:lang w:val="es-ES_tradnl"/>
              </w:rPr>
              <w:t>Estudio sobre cantidades de sustancias reguladas usadas y no deseadas con arreglo al Protocolo de Montreal relativo a las Sustancias que Agotan la Capa de Ozono, incluidas las que están al final de su vida útil, y opciones para esas cantidades</w:t>
            </w:r>
          </w:p>
        </w:tc>
        <w:tc>
          <w:tcPr>
            <w:tcW w:w="2977" w:type="dxa"/>
          </w:tcPr>
          <w:p w14:paraId="22ACC455" w14:textId="77777777" w:rsidR="00594485" w:rsidRPr="00B03929" w:rsidRDefault="00594485" w:rsidP="003D0CCC">
            <w:pPr>
              <w:pStyle w:val="Normal-pool-Table"/>
              <w:rPr>
                <w:szCs w:val="18"/>
                <w:lang w:val="es-ES_tradnl"/>
              </w:rPr>
            </w:pPr>
            <w:r w:rsidRPr="00B03929">
              <w:rPr>
                <w:color w:val="000000"/>
                <w:szCs w:val="18"/>
                <w:lang w:val="es-ES_tradnl"/>
              </w:rPr>
              <w:t>Notificar la decisión al Grupo de Evaluación Tecnológica y Económica, con vistas a la adopción de las medidas necesarias.</w:t>
            </w:r>
          </w:p>
        </w:tc>
        <w:tc>
          <w:tcPr>
            <w:tcW w:w="3401" w:type="dxa"/>
          </w:tcPr>
          <w:p w14:paraId="58F4C76B" w14:textId="158C4436" w:rsidR="00594485" w:rsidRPr="00B03929" w:rsidRDefault="00594485" w:rsidP="003D0CCC">
            <w:pPr>
              <w:pStyle w:val="Normal-pool-Table"/>
              <w:rPr>
                <w:szCs w:val="18"/>
                <w:lang w:val="es-ES_tradnl"/>
              </w:rPr>
            </w:pPr>
            <w:r w:rsidRPr="00B03929">
              <w:rPr>
                <w:color w:val="000000"/>
                <w:szCs w:val="18"/>
                <w:lang w:val="es-ES_tradnl"/>
              </w:rPr>
              <w:t>Se envió una carta al Grupo de Evaluación Tecnológica y Económica el 1 de diciembre de 2025.</w:t>
            </w:r>
          </w:p>
        </w:tc>
      </w:tr>
      <w:tr w:rsidR="00594485" w:rsidRPr="00B03929" w14:paraId="0A7A2D4B" w14:textId="77777777" w:rsidTr="003D0CCC">
        <w:trPr>
          <w:cantSplit/>
          <w:trHeight w:val="57"/>
          <w:jc w:val="right"/>
        </w:trPr>
        <w:tc>
          <w:tcPr>
            <w:tcW w:w="1134" w:type="dxa"/>
          </w:tcPr>
          <w:p w14:paraId="4ADF5C27" w14:textId="77777777" w:rsidR="00594485" w:rsidRPr="00B03929" w:rsidRDefault="00594485" w:rsidP="003D0CCC">
            <w:pPr>
              <w:pStyle w:val="Normal-pool-Table"/>
              <w:rPr>
                <w:szCs w:val="18"/>
                <w:lang w:val="es-ES_tradnl"/>
              </w:rPr>
            </w:pPr>
          </w:p>
        </w:tc>
        <w:tc>
          <w:tcPr>
            <w:tcW w:w="1985" w:type="dxa"/>
          </w:tcPr>
          <w:p w14:paraId="75DF2845" w14:textId="77777777" w:rsidR="00594485" w:rsidRPr="00B03929" w:rsidRDefault="00594485" w:rsidP="003D0CCC">
            <w:pPr>
              <w:pStyle w:val="Normal-pool-Table"/>
              <w:rPr>
                <w:szCs w:val="18"/>
                <w:lang w:val="es-ES_tradnl"/>
              </w:rPr>
            </w:pPr>
          </w:p>
        </w:tc>
        <w:tc>
          <w:tcPr>
            <w:tcW w:w="2977" w:type="dxa"/>
          </w:tcPr>
          <w:p w14:paraId="0D18D2AF" w14:textId="77777777" w:rsidR="00594485" w:rsidRPr="00B03929" w:rsidRDefault="00594485" w:rsidP="003D0CCC">
            <w:pPr>
              <w:pStyle w:val="Normal-pool-Table"/>
              <w:rPr>
                <w:szCs w:val="18"/>
                <w:lang w:val="es-ES_tradnl"/>
              </w:rPr>
            </w:pPr>
            <w:r w:rsidRPr="00B03929">
              <w:rPr>
                <w:color w:val="000000"/>
                <w:szCs w:val="18"/>
                <w:lang w:val="es-ES_tradnl"/>
              </w:rPr>
              <w:t>Notificar la decisión a las Partes.</w:t>
            </w:r>
          </w:p>
        </w:tc>
        <w:tc>
          <w:tcPr>
            <w:tcW w:w="3401" w:type="dxa"/>
          </w:tcPr>
          <w:p w14:paraId="0C57418B" w14:textId="77777777" w:rsidR="00594485" w:rsidRPr="00B03929" w:rsidRDefault="00594485" w:rsidP="003D0CCC">
            <w:pPr>
              <w:pStyle w:val="Normal-pool-Table"/>
              <w:rPr>
                <w:szCs w:val="18"/>
                <w:lang w:val="es-ES_tradnl"/>
              </w:rPr>
            </w:pPr>
            <w:r w:rsidRPr="00B03929">
              <w:rPr>
                <w:color w:val="000000"/>
                <w:szCs w:val="18"/>
                <w:lang w:val="es-ES_tradnl"/>
              </w:rPr>
              <w:t>Se enviaron cartas a las Partes el 16 de enero de 2026.</w:t>
            </w:r>
          </w:p>
        </w:tc>
      </w:tr>
      <w:tr w:rsidR="00594485" w:rsidRPr="00B03929" w14:paraId="022C1C85" w14:textId="77777777" w:rsidTr="003D0CCC">
        <w:trPr>
          <w:cantSplit/>
          <w:trHeight w:val="57"/>
          <w:jc w:val="right"/>
        </w:trPr>
        <w:tc>
          <w:tcPr>
            <w:tcW w:w="1134" w:type="dxa"/>
          </w:tcPr>
          <w:p w14:paraId="0C2847C7" w14:textId="77777777" w:rsidR="00594485" w:rsidRPr="00B03929" w:rsidRDefault="00594485" w:rsidP="003D0CCC">
            <w:pPr>
              <w:pStyle w:val="Normal-pool-Table"/>
              <w:rPr>
                <w:szCs w:val="18"/>
                <w:lang w:val="es-ES_tradnl"/>
              </w:rPr>
            </w:pPr>
          </w:p>
        </w:tc>
        <w:tc>
          <w:tcPr>
            <w:tcW w:w="1985" w:type="dxa"/>
          </w:tcPr>
          <w:p w14:paraId="0056533F" w14:textId="77777777" w:rsidR="00594485" w:rsidRPr="00B03929" w:rsidRDefault="00594485" w:rsidP="003D0CCC">
            <w:pPr>
              <w:pStyle w:val="Normal-pool-Table"/>
              <w:rPr>
                <w:szCs w:val="18"/>
                <w:lang w:val="es-ES_tradnl"/>
              </w:rPr>
            </w:pPr>
          </w:p>
        </w:tc>
        <w:tc>
          <w:tcPr>
            <w:tcW w:w="2977" w:type="dxa"/>
          </w:tcPr>
          <w:p w14:paraId="0AC442F9" w14:textId="3A356832" w:rsidR="00594485" w:rsidRPr="00B03929" w:rsidRDefault="00594485" w:rsidP="003D0CCC">
            <w:pPr>
              <w:pStyle w:val="Normal-pool-Table"/>
              <w:rPr>
                <w:szCs w:val="18"/>
                <w:lang w:val="es-ES_tradnl"/>
              </w:rPr>
            </w:pPr>
            <w:r w:rsidRPr="00B03929">
              <w:rPr>
                <w:color w:val="000000"/>
                <w:szCs w:val="18"/>
                <w:lang w:val="es-ES_tradnl"/>
              </w:rPr>
              <w:t>Notificar la decisión al Comité Ejecutivo y la Secretaría del Fondo Multilateral, con vistas a la adopción de las medidas necesarias.</w:t>
            </w:r>
          </w:p>
        </w:tc>
        <w:tc>
          <w:tcPr>
            <w:tcW w:w="3401" w:type="dxa"/>
          </w:tcPr>
          <w:p w14:paraId="264A0EF2" w14:textId="69656C68" w:rsidR="00594485" w:rsidRPr="00B03929" w:rsidRDefault="00594485" w:rsidP="003D0CCC">
            <w:pPr>
              <w:pStyle w:val="Normal-pool-Table"/>
              <w:rPr>
                <w:szCs w:val="18"/>
                <w:lang w:val="es-ES_tradnl"/>
              </w:rPr>
            </w:pPr>
            <w:r w:rsidRPr="00B03929">
              <w:rPr>
                <w:color w:val="000000"/>
                <w:szCs w:val="18"/>
                <w:lang w:val="es-ES_tradnl"/>
              </w:rPr>
              <w:t>Se envió una carta a la Oficial Jefe de la Secretaría del Fondo Multilateral el 25 de noviembre de 2025.</w:t>
            </w:r>
          </w:p>
        </w:tc>
      </w:tr>
      <w:tr w:rsidR="00594485" w:rsidRPr="00B03929" w14:paraId="74476361" w14:textId="77777777" w:rsidTr="003D0CCC">
        <w:trPr>
          <w:cantSplit/>
          <w:trHeight w:val="57"/>
          <w:jc w:val="right"/>
        </w:trPr>
        <w:tc>
          <w:tcPr>
            <w:tcW w:w="1134" w:type="dxa"/>
          </w:tcPr>
          <w:p w14:paraId="714ED0E6" w14:textId="77777777" w:rsidR="00594485" w:rsidRPr="00B03929" w:rsidRDefault="00594485" w:rsidP="003D0CCC">
            <w:pPr>
              <w:pStyle w:val="Normal-pool-Table"/>
              <w:rPr>
                <w:szCs w:val="18"/>
                <w:lang w:val="es-ES_tradnl"/>
              </w:rPr>
            </w:pPr>
          </w:p>
        </w:tc>
        <w:tc>
          <w:tcPr>
            <w:tcW w:w="1985" w:type="dxa"/>
          </w:tcPr>
          <w:p w14:paraId="77B1010D" w14:textId="77777777" w:rsidR="00594485" w:rsidRPr="00B03929" w:rsidRDefault="00594485" w:rsidP="003D0CCC">
            <w:pPr>
              <w:pStyle w:val="Normal-pool-Table"/>
              <w:rPr>
                <w:szCs w:val="18"/>
                <w:lang w:val="es-ES_tradnl"/>
              </w:rPr>
            </w:pPr>
          </w:p>
        </w:tc>
        <w:tc>
          <w:tcPr>
            <w:tcW w:w="2977" w:type="dxa"/>
          </w:tcPr>
          <w:p w14:paraId="5C8241D6" w14:textId="4FDE900B" w:rsidR="00594485" w:rsidRPr="00B03929" w:rsidRDefault="00594485" w:rsidP="003D0CCC">
            <w:pPr>
              <w:pStyle w:val="Normal-pool-Table"/>
              <w:rPr>
                <w:szCs w:val="18"/>
                <w:lang w:val="es-ES_tradnl"/>
              </w:rPr>
            </w:pPr>
            <w:r w:rsidRPr="00B03929">
              <w:rPr>
                <w:color w:val="000000"/>
                <w:szCs w:val="18"/>
                <w:lang w:val="es-ES_tradnl"/>
              </w:rPr>
              <w:t xml:space="preserve">Poner a disposición de las Partes la información presentada por las Partes, con carácter voluntario, sobre las instalaciones de regeneración y destrucción existentes en sus respectivos países y, cuando se dispusiese de ella, la capacidad respectiva de esas instalaciones, en particular la información sobre instalaciones de regeneración y destrucción existentes que pudiesen aceptar refrigerantes usados de otros países y las condiciones asociadas a la exportación de refrigerantes usados para su eliminación en </w:t>
            </w:r>
            <w:r w:rsidR="00A067E7" w:rsidRPr="00B03929">
              <w:rPr>
                <w:color w:val="000000"/>
                <w:szCs w:val="18"/>
                <w:lang w:val="es-ES_tradnl"/>
              </w:rPr>
              <w:t>dichas</w:t>
            </w:r>
            <w:r w:rsidRPr="00B03929">
              <w:rPr>
                <w:color w:val="000000"/>
                <w:szCs w:val="18"/>
                <w:lang w:val="es-ES_tradnl"/>
              </w:rPr>
              <w:t xml:space="preserve"> instalaciones, teniendo en cuenta cualquier </w:t>
            </w:r>
            <w:r w:rsidR="00A067E7" w:rsidRPr="00B03929">
              <w:rPr>
                <w:color w:val="000000"/>
                <w:szCs w:val="18"/>
                <w:lang w:val="es-ES_tradnl"/>
              </w:rPr>
              <w:t xml:space="preserve">barrera </w:t>
            </w:r>
            <w:r w:rsidRPr="00B03929">
              <w:rPr>
                <w:color w:val="000000"/>
                <w:szCs w:val="18"/>
                <w:lang w:val="es-ES_tradnl"/>
              </w:rPr>
              <w:t>legislativ</w:t>
            </w:r>
            <w:r w:rsidR="00A067E7" w:rsidRPr="00B03929">
              <w:rPr>
                <w:color w:val="000000"/>
                <w:szCs w:val="18"/>
                <w:lang w:val="es-ES_tradnl"/>
              </w:rPr>
              <w:t>a</w:t>
            </w:r>
            <w:r w:rsidRPr="00B03929">
              <w:rPr>
                <w:color w:val="000000"/>
                <w:szCs w:val="18"/>
                <w:lang w:val="es-ES_tradnl"/>
              </w:rPr>
              <w:t xml:space="preserve"> a los movimientos transfronterizos.</w:t>
            </w:r>
          </w:p>
        </w:tc>
        <w:tc>
          <w:tcPr>
            <w:tcW w:w="3401" w:type="dxa"/>
          </w:tcPr>
          <w:p w14:paraId="0C24A129" w14:textId="77777777" w:rsidR="00594485" w:rsidRPr="00B03929" w:rsidRDefault="00594485" w:rsidP="003D0CCC">
            <w:pPr>
              <w:pStyle w:val="Normal-pool-Table"/>
              <w:rPr>
                <w:szCs w:val="18"/>
                <w:lang w:val="es-ES_tradnl"/>
              </w:rPr>
            </w:pPr>
            <w:r w:rsidRPr="00B03929">
              <w:rPr>
                <w:color w:val="000000"/>
                <w:szCs w:val="18"/>
                <w:lang w:val="es-ES_tradnl"/>
              </w:rPr>
              <w:t>La información presentada por las Partes está disponible en la página siguiente del sitio web de la Secretaría del Ozono: https://ozone.unep.org/countries/additional-reported-information/decision-xxxvii3.</w:t>
            </w:r>
          </w:p>
        </w:tc>
      </w:tr>
      <w:tr w:rsidR="00594485" w:rsidRPr="00B03929" w14:paraId="7C9812FA" w14:textId="77777777" w:rsidTr="003D0CCC">
        <w:trPr>
          <w:cantSplit/>
          <w:trHeight w:val="57"/>
          <w:jc w:val="right"/>
        </w:trPr>
        <w:tc>
          <w:tcPr>
            <w:tcW w:w="1134" w:type="dxa"/>
          </w:tcPr>
          <w:p w14:paraId="71BC76FF" w14:textId="77777777" w:rsidR="00594485" w:rsidRPr="00B03929" w:rsidRDefault="00594485" w:rsidP="003D0CCC">
            <w:pPr>
              <w:pStyle w:val="Normal-pool-Table"/>
              <w:rPr>
                <w:szCs w:val="18"/>
                <w:lang w:val="es-ES_tradnl"/>
              </w:rPr>
            </w:pPr>
            <w:r w:rsidRPr="00B03929">
              <w:rPr>
                <w:color w:val="000000"/>
                <w:szCs w:val="18"/>
                <w:lang w:val="es-ES_tradnl"/>
              </w:rPr>
              <w:t>XXXVII/4</w:t>
            </w:r>
          </w:p>
        </w:tc>
        <w:tc>
          <w:tcPr>
            <w:tcW w:w="1985" w:type="dxa"/>
          </w:tcPr>
          <w:p w14:paraId="662E1117" w14:textId="77777777" w:rsidR="00594485" w:rsidRPr="00B03929" w:rsidRDefault="00594485" w:rsidP="003D0CCC">
            <w:pPr>
              <w:pStyle w:val="Normal-pool-Table"/>
              <w:rPr>
                <w:szCs w:val="18"/>
                <w:lang w:val="es-ES_tradnl"/>
              </w:rPr>
            </w:pPr>
            <w:r w:rsidRPr="00B03929">
              <w:rPr>
                <w:color w:val="000000"/>
                <w:szCs w:val="18"/>
                <w:lang w:val="es-ES_tradnl"/>
              </w:rPr>
              <w:t>Halón 1301 y su uso continuado en la industria de la aviación, y gestión de otras sustancias controladas utilizadas para la supresión de incendios</w:t>
            </w:r>
          </w:p>
        </w:tc>
        <w:tc>
          <w:tcPr>
            <w:tcW w:w="2977" w:type="dxa"/>
          </w:tcPr>
          <w:p w14:paraId="10529452" w14:textId="3281C53C" w:rsidR="00594485" w:rsidRPr="00B03929" w:rsidRDefault="00594485" w:rsidP="003D0CCC">
            <w:pPr>
              <w:pStyle w:val="Normal-pool-Table"/>
              <w:rPr>
                <w:szCs w:val="18"/>
                <w:lang w:val="es-ES_tradnl"/>
              </w:rPr>
            </w:pPr>
            <w:r w:rsidRPr="00B03929">
              <w:rPr>
                <w:color w:val="000000"/>
                <w:szCs w:val="18"/>
                <w:lang w:val="es-ES_tradnl"/>
              </w:rPr>
              <w:t xml:space="preserve">Entablar contacto con la Secretaría de la Organización de Aviación Civil </w:t>
            </w:r>
            <w:r w:rsidR="003C2F56" w:rsidRPr="00B03929">
              <w:rPr>
                <w:color w:val="000000"/>
                <w:szCs w:val="18"/>
                <w:lang w:val="es-ES_tradnl"/>
              </w:rPr>
              <w:t xml:space="preserve">Internacional </w:t>
            </w:r>
            <w:r w:rsidRPr="00B03929">
              <w:rPr>
                <w:color w:val="000000"/>
                <w:szCs w:val="18"/>
                <w:lang w:val="es-ES_tradnl"/>
              </w:rPr>
              <w:t>(OACI) en relación con la cuestión de los agentes de supresión de incendios controlados en virtud del Protocolo de Montreal y facilitar el intercambio de información entre el Grupo de Evaluación Tecnológica y Económica, a través de su Comité de opciones técnicas sobre supresión de incendios, y los comités técnicos y grupos de trabajo pertinentes de la OACI con los fines establecidos en el párrafo 1 de la decisión:</w:t>
            </w:r>
          </w:p>
        </w:tc>
        <w:tc>
          <w:tcPr>
            <w:tcW w:w="3401" w:type="dxa"/>
          </w:tcPr>
          <w:p w14:paraId="4B10D605" w14:textId="40E4F71A" w:rsidR="00594485" w:rsidRPr="00B03929" w:rsidRDefault="00594485" w:rsidP="003D0CCC">
            <w:pPr>
              <w:pStyle w:val="Normal-pool-Table"/>
              <w:rPr>
                <w:szCs w:val="18"/>
                <w:lang w:val="es-ES_tradnl"/>
              </w:rPr>
            </w:pPr>
            <w:r w:rsidRPr="00B03929">
              <w:rPr>
                <w:color w:val="000000"/>
                <w:szCs w:val="18"/>
                <w:lang w:val="es-ES_tradnl"/>
              </w:rPr>
              <w:t>El 4 de febrero de 2026 se envió una carta a</w:t>
            </w:r>
            <w:r w:rsidR="00816A3D">
              <w:rPr>
                <w:color w:val="000000"/>
                <w:szCs w:val="18"/>
                <w:lang w:val="es-ES_tradnl"/>
              </w:rPr>
              <w:t> </w:t>
            </w:r>
            <w:r w:rsidRPr="00B03929">
              <w:rPr>
                <w:color w:val="000000"/>
                <w:szCs w:val="18"/>
                <w:lang w:val="es-ES_tradnl"/>
              </w:rPr>
              <w:t xml:space="preserve">la OACI en la que se le informaba de la decisión, se acogía con satisfacción la estrecha cooperación entre los órganos pertinentes de la OACI y el Grupo de Evaluación Tecnológica y Económica, así como su Comité de opciones técnicas sobre supresión de incendios, y se solicitaba la designación de un coordinador de la OACI para asuntos relacionados con la gestión de los halones y sus alternativas en la aviación civil. </w:t>
            </w:r>
          </w:p>
          <w:p w14:paraId="5FEF5B8D" w14:textId="093D6FD5" w:rsidR="00594485" w:rsidRPr="00B03929" w:rsidRDefault="00594485" w:rsidP="003D0CCC">
            <w:pPr>
              <w:pStyle w:val="Normal-pool-Table"/>
              <w:rPr>
                <w:szCs w:val="18"/>
                <w:lang w:val="es-ES_tradnl"/>
              </w:rPr>
            </w:pPr>
            <w:r w:rsidRPr="00B03929">
              <w:rPr>
                <w:color w:val="000000"/>
                <w:szCs w:val="18"/>
                <w:lang w:val="es-ES_tradnl"/>
              </w:rPr>
              <w:t>El 29 de abril de 2026, la OACI informó a la Secretaría del Ozono de la designación del coordinador de la OACI. La coordinación entre el Comité de opciones técnicas sobre supresión de incendios y los órganos pertinentes de la OACI sigue en curso.</w:t>
            </w:r>
          </w:p>
        </w:tc>
      </w:tr>
      <w:tr w:rsidR="00594485" w:rsidRPr="00B03929" w14:paraId="0801E7A8" w14:textId="77777777" w:rsidTr="003D0CCC">
        <w:trPr>
          <w:cantSplit/>
          <w:trHeight w:val="57"/>
          <w:jc w:val="right"/>
        </w:trPr>
        <w:tc>
          <w:tcPr>
            <w:tcW w:w="1134" w:type="dxa"/>
          </w:tcPr>
          <w:p w14:paraId="711CEA18" w14:textId="77777777" w:rsidR="00594485" w:rsidRPr="00B03929" w:rsidRDefault="00594485" w:rsidP="003D0CCC">
            <w:pPr>
              <w:pStyle w:val="Normal-pool-Table"/>
              <w:rPr>
                <w:szCs w:val="18"/>
                <w:lang w:val="es-ES_tradnl"/>
              </w:rPr>
            </w:pPr>
          </w:p>
        </w:tc>
        <w:tc>
          <w:tcPr>
            <w:tcW w:w="1985" w:type="dxa"/>
          </w:tcPr>
          <w:p w14:paraId="7D4D7C7F" w14:textId="77777777" w:rsidR="00594485" w:rsidRPr="00B03929" w:rsidRDefault="00594485" w:rsidP="003D0CCC">
            <w:pPr>
              <w:pStyle w:val="Normal-pool-Table"/>
              <w:rPr>
                <w:szCs w:val="18"/>
                <w:lang w:val="es-ES_tradnl"/>
              </w:rPr>
            </w:pPr>
          </w:p>
        </w:tc>
        <w:tc>
          <w:tcPr>
            <w:tcW w:w="2977" w:type="dxa"/>
          </w:tcPr>
          <w:p w14:paraId="20AE15FD" w14:textId="77777777" w:rsidR="00594485" w:rsidRPr="00B03929" w:rsidRDefault="00594485" w:rsidP="003D0CCC">
            <w:pPr>
              <w:pStyle w:val="Normal-pool-Table"/>
              <w:rPr>
                <w:szCs w:val="18"/>
                <w:lang w:val="es-ES_tradnl"/>
              </w:rPr>
            </w:pPr>
            <w:r w:rsidRPr="00B03929">
              <w:rPr>
                <w:color w:val="000000"/>
                <w:szCs w:val="18"/>
                <w:lang w:val="es-ES_tradnl"/>
              </w:rPr>
              <w:t>Notificar la decisión a las Partes.</w:t>
            </w:r>
          </w:p>
        </w:tc>
        <w:tc>
          <w:tcPr>
            <w:tcW w:w="3401" w:type="dxa"/>
          </w:tcPr>
          <w:p w14:paraId="518E5C82" w14:textId="77777777" w:rsidR="00594485" w:rsidRPr="00B03929" w:rsidRDefault="00594485" w:rsidP="003D0CCC">
            <w:pPr>
              <w:pStyle w:val="Normal-pool-Table"/>
              <w:rPr>
                <w:szCs w:val="18"/>
                <w:lang w:val="es-ES_tradnl"/>
              </w:rPr>
            </w:pPr>
            <w:r w:rsidRPr="00B03929">
              <w:rPr>
                <w:color w:val="000000"/>
                <w:szCs w:val="18"/>
                <w:lang w:val="es-ES_tradnl"/>
              </w:rPr>
              <w:t xml:space="preserve">Se enviaron cartas a las Partes el 16 de enero de 2026. </w:t>
            </w:r>
          </w:p>
          <w:p w14:paraId="5D7FB9A5" w14:textId="77777777" w:rsidR="00594485" w:rsidRPr="00B03929" w:rsidRDefault="00594485" w:rsidP="003D0CCC">
            <w:pPr>
              <w:pStyle w:val="Normal-pool-Table"/>
              <w:rPr>
                <w:szCs w:val="18"/>
                <w:lang w:val="es-ES_tradnl"/>
              </w:rPr>
            </w:pPr>
            <w:r w:rsidRPr="00B03929">
              <w:rPr>
                <w:color w:val="000000"/>
                <w:szCs w:val="18"/>
                <w:lang w:val="es-ES_tradnl"/>
              </w:rPr>
              <w:t>La información recibida de las Partes sobre el desarrollo de alternativas adecuadas para su uso como sustitutos en la supresión de incendios se remitió al Grupo de Evaluación Tecnológica y Económica para su examen y para su inclusión, a más tardar, en su informe sobre los progresos realizados de 2027.</w:t>
            </w:r>
          </w:p>
        </w:tc>
      </w:tr>
      <w:tr w:rsidR="00594485" w:rsidRPr="00B03929" w14:paraId="339C9EE9" w14:textId="77777777" w:rsidTr="003D0CCC">
        <w:trPr>
          <w:cantSplit/>
          <w:trHeight w:val="57"/>
          <w:jc w:val="right"/>
        </w:trPr>
        <w:tc>
          <w:tcPr>
            <w:tcW w:w="1134" w:type="dxa"/>
          </w:tcPr>
          <w:p w14:paraId="4C20BD0C" w14:textId="77777777" w:rsidR="00594485" w:rsidRPr="00B03929" w:rsidRDefault="00594485" w:rsidP="003D0CCC">
            <w:pPr>
              <w:pStyle w:val="Normal-pool-Table"/>
              <w:rPr>
                <w:szCs w:val="18"/>
                <w:lang w:val="es-ES_tradnl"/>
              </w:rPr>
            </w:pPr>
            <w:r w:rsidRPr="00B03929">
              <w:rPr>
                <w:color w:val="000000"/>
                <w:szCs w:val="18"/>
                <w:lang w:val="es-ES_tradnl"/>
              </w:rPr>
              <w:lastRenderedPageBreak/>
              <w:t>XXXVII/5</w:t>
            </w:r>
          </w:p>
        </w:tc>
        <w:tc>
          <w:tcPr>
            <w:tcW w:w="1985" w:type="dxa"/>
          </w:tcPr>
          <w:p w14:paraId="1F0144DC" w14:textId="77777777" w:rsidR="00594485" w:rsidRPr="00B03929" w:rsidRDefault="00594485" w:rsidP="003D0CCC">
            <w:pPr>
              <w:pStyle w:val="Normal-pool-Table"/>
              <w:rPr>
                <w:szCs w:val="18"/>
                <w:lang w:val="es-ES_tradnl"/>
              </w:rPr>
            </w:pPr>
            <w:r w:rsidRPr="00B03929">
              <w:rPr>
                <w:color w:val="000000"/>
                <w:szCs w:val="18"/>
                <w:lang w:val="es-ES_tradnl"/>
              </w:rPr>
              <w:t>Iniciativas nacionales y regionales para apoyar la aplicación de la Enmienda de Kigali al Protocolo de Montreal relativo a las Sustancias que Agotan la Capa de Ozono</w:t>
            </w:r>
          </w:p>
        </w:tc>
        <w:tc>
          <w:tcPr>
            <w:tcW w:w="2977" w:type="dxa"/>
          </w:tcPr>
          <w:p w14:paraId="0EBB7B0D" w14:textId="77777777" w:rsidR="00594485" w:rsidRPr="00B03929" w:rsidRDefault="00594485" w:rsidP="003D0CCC">
            <w:pPr>
              <w:pStyle w:val="Normal-pool-Table"/>
              <w:rPr>
                <w:szCs w:val="18"/>
                <w:lang w:val="es-ES_tradnl"/>
              </w:rPr>
            </w:pPr>
            <w:r w:rsidRPr="00B03929">
              <w:rPr>
                <w:color w:val="000000"/>
                <w:szCs w:val="18"/>
                <w:lang w:val="es-ES_tradnl"/>
              </w:rPr>
              <w:t>Notificar la decisión a las Partes y recopilar y resumir la información presentada por las Partes en relación con los centros de excelencia para la refrigeración sostenible y los centros de ensayo de eficiencia energética en el marco de la aplicación de la Enmienda de Kigali.</w:t>
            </w:r>
          </w:p>
        </w:tc>
        <w:tc>
          <w:tcPr>
            <w:tcW w:w="3401" w:type="dxa"/>
          </w:tcPr>
          <w:p w14:paraId="496C4E01" w14:textId="77777777" w:rsidR="00594485" w:rsidRPr="00B03929" w:rsidRDefault="00594485" w:rsidP="003D0CCC">
            <w:pPr>
              <w:pStyle w:val="Normal-pool-Table"/>
              <w:rPr>
                <w:szCs w:val="18"/>
                <w:lang w:val="es-ES_tradnl"/>
              </w:rPr>
            </w:pPr>
            <w:r w:rsidRPr="00B03929">
              <w:rPr>
                <w:color w:val="000000"/>
                <w:szCs w:val="18"/>
                <w:lang w:val="es-ES_tradnl"/>
              </w:rPr>
              <w:t>Se enviaron cartas a las Partes el 16 de enero de 2026.</w:t>
            </w:r>
          </w:p>
          <w:p w14:paraId="5AF9639D" w14:textId="14F7E139" w:rsidR="00594485" w:rsidRPr="00B03929" w:rsidRDefault="00594485" w:rsidP="003D0CCC">
            <w:pPr>
              <w:pStyle w:val="Normal-pool-Table"/>
              <w:spacing w:before="120"/>
              <w:rPr>
                <w:szCs w:val="18"/>
                <w:lang w:val="es-ES_tradnl"/>
              </w:rPr>
            </w:pPr>
            <w:r w:rsidRPr="00B03929">
              <w:rPr>
                <w:color w:val="000000"/>
                <w:szCs w:val="18"/>
                <w:lang w:val="es-ES_tradnl"/>
              </w:rPr>
              <w:t>El 30 de abril de 2026 se envió un recordatorio a las Partes en relación con la información solicitada en virtud de la decisión.</w:t>
            </w:r>
          </w:p>
          <w:p w14:paraId="2C6F636A" w14:textId="1926FE96" w:rsidR="00594485" w:rsidRPr="00B03929" w:rsidRDefault="00594485" w:rsidP="003D0CCC">
            <w:pPr>
              <w:pStyle w:val="Normal-pool-Table"/>
              <w:spacing w:before="120"/>
              <w:rPr>
                <w:szCs w:val="18"/>
                <w:lang w:val="es-ES_tradnl"/>
              </w:rPr>
            </w:pPr>
            <w:r w:rsidRPr="00B03929">
              <w:rPr>
                <w:color w:val="000000"/>
                <w:szCs w:val="18"/>
                <w:lang w:val="es-ES_tradnl"/>
              </w:rPr>
              <w:t>La información recibida de las Partes se ha publicado en el sitio web de la Secretaría (</w:t>
            </w:r>
            <w:hyperlink r:id="rId12" w:history="1">
              <w:r w:rsidR="004B28D5" w:rsidRPr="00B03929">
                <w:rPr>
                  <w:rStyle w:val="Hyperlink"/>
                  <w:szCs w:val="18"/>
                  <w:lang w:val="es-ES_tradnl"/>
                </w:rPr>
                <w:t>https://ozone.unep.org/decision-xxxvii5-ka-intiatives?q=countries/additional-reported-information/national-and-regional-initiatives-support-implementation-kigali-amendment-decision-xxxvii5</w:t>
              </w:r>
            </w:hyperlink>
            <w:r w:rsidRPr="00B03929">
              <w:rPr>
                <w:color w:val="000000"/>
                <w:szCs w:val="18"/>
                <w:lang w:val="es-ES_tradnl"/>
              </w:rPr>
              <w:t>).</w:t>
            </w:r>
            <w:hyperlink r:id="rId13" w:history="1"/>
          </w:p>
          <w:p w14:paraId="4845AA21" w14:textId="5F271EB9" w:rsidR="00594485" w:rsidRPr="00B03929" w:rsidRDefault="00594485" w:rsidP="003D0CCC">
            <w:pPr>
              <w:pStyle w:val="Normal-pool-Table"/>
              <w:spacing w:before="120"/>
              <w:rPr>
                <w:szCs w:val="18"/>
                <w:lang w:val="es-ES_tradnl"/>
              </w:rPr>
            </w:pPr>
            <w:r w:rsidRPr="00B03929">
              <w:rPr>
                <w:color w:val="000000"/>
                <w:szCs w:val="18"/>
                <w:lang w:val="es-ES_tradnl"/>
              </w:rPr>
              <w:t>La recopilación y el resumen de la información facilitada por las Partes en relación con los centros de excelencia para la refrigeración sostenible y los centros de ensayo de eficiencia energética, en el marco de la aplicación de la Enmienda de Kigali, se pondrán a disposición de la 38ª Reunión de las Partes en el mismo sitio web.</w:t>
            </w:r>
          </w:p>
        </w:tc>
      </w:tr>
      <w:tr w:rsidR="00594485" w:rsidRPr="00B03929" w14:paraId="26FB250A" w14:textId="77777777" w:rsidTr="003D0CCC">
        <w:trPr>
          <w:cantSplit/>
          <w:trHeight w:val="57"/>
          <w:jc w:val="right"/>
        </w:trPr>
        <w:tc>
          <w:tcPr>
            <w:tcW w:w="1134" w:type="dxa"/>
          </w:tcPr>
          <w:p w14:paraId="1A893234" w14:textId="77777777" w:rsidR="00594485" w:rsidRPr="00B03929" w:rsidRDefault="00594485" w:rsidP="003D0CCC">
            <w:pPr>
              <w:pStyle w:val="Normal-pool-Table"/>
              <w:rPr>
                <w:szCs w:val="18"/>
                <w:lang w:val="es-ES_tradnl"/>
              </w:rPr>
            </w:pPr>
            <w:r w:rsidRPr="00B03929">
              <w:rPr>
                <w:color w:val="000000"/>
                <w:szCs w:val="18"/>
                <w:lang w:val="es-ES_tradnl"/>
              </w:rPr>
              <w:t>XXXVII/6</w:t>
            </w:r>
          </w:p>
        </w:tc>
        <w:tc>
          <w:tcPr>
            <w:tcW w:w="1985" w:type="dxa"/>
          </w:tcPr>
          <w:p w14:paraId="1C57BB67" w14:textId="6B93AD36" w:rsidR="00594485" w:rsidRPr="00B03929" w:rsidRDefault="00594485" w:rsidP="003D0CCC">
            <w:pPr>
              <w:pStyle w:val="Normal-pool-Table"/>
              <w:rPr>
                <w:szCs w:val="18"/>
                <w:lang w:val="es-ES_tradnl"/>
              </w:rPr>
            </w:pPr>
            <w:r w:rsidRPr="00B03929">
              <w:rPr>
                <w:color w:val="000000"/>
                <w:szCs w:val="18"/>
                <w:lang w:val="es-ES_tradnl"/>
              </w:rPr>
              <w:t>Mandato para el estudio sobre la reposición del Fondo Multilateral para la Aplicación del Protocolo de Montreal relativo a las Sustancias que Agotan la Capa de Ozono para el período</w:t>
            </w:r>
            <w:r w:rsidR="00023998" w:rsidRPr="00B03929">
              <w:rPr>
                <w:color w:val="000000"/>
                <w:szCs w:val="18"/>
                <w:lang w:val="es-ES_tradnl"/>
              </w:rPr>
              <w:t> </w:t>
            </w:r>
            <w:r w:rsidRPr="00B03929">
              <w:rPr>
                <w:color w:val="000000"/>
                <w:szCs w:val="18"/>
                <w:lang w:val="es-ES_tradnl"/>
              </w:rPr>
              <w:t>2027–2029</w:t>
            </w:r>
          </w:p>
        </w:tc>
        <w:tc>
          <w:tcPr>
            <w:tcW w:w="2977" w:type="dxa"/>
          </w:tcPr>
          <w:p w14:paraId="6CBD0EF8" w14:textId="77777777" w:rsidR="00594485" w:rsidRPr="00B03929" w:rsidRDefault="00594485" w:rsidP="003D0CCC">
            <w:pPr>
              <w:pStyle w:val="Normal-pool-Table"/>
              <w:rPr>
                <w:szCs w:val="18"/>
                <w:lang w:val="es-ES_tradnl"/>
              </w:rPr>
            </w:pPr>
            <w:r w:rsidRPr="00B03929">
              <w:rPr>
                <w:color w:val="000000"/>
                <w:szCs w:val="18"/>
                <w:lang w:val="es-ES_tradnl"/>
              </w:rPr>
              <w:t>Notificar la decisión al Grupo de Evaluación Tecnológica y Económica, con vistas a la adopción de las medidas necesarias.</w:t>
            </w:r>
          </w:p>
        </w:tc>
        <w:tc>
          <w:tcPr>
            <w:tcW w:w="3401" w:type="dxa"/>
          </w:tcPr>
          <w:p w14:paraId="2BF434E9" w14:textId="5171E3DB" w:rsidR="00594485" w:rsidRPr="00B03929" w:rsidRDefault="00594485" w:rsidP="003D0CCC">
            <w:pPr>
              <w:pStyle w:val="Normal-pool-Table"/>
              <w:rPr>
                <w:szCs w:val="18"/>
                <w:lang w:val="es-ES_tradnl"/>
              </w:rPr>
            </w:pPr>
            <w:r w:rsidRPr="00B03929">
              <w:rPr>
                <w:color w:val="000000"/>
                <w:szCs w:val="18"/>
                <w:lang w:val="es-ES_tradnl"/>
              </w:rPr>
              <w:t>Se envió una carta al Grupo el 1 de diciembre de 2025.</w:t>
            </w:r>
          </w:p>
          <w:p w14:paraId="529E8903" w14:textId="1F583A86" w:rsidR="00594485" w:rsidRPr="00B03929" w:rsidRDefault="00594485" w:rsidP="003D0CCC">
            <w:pPr>
              <w:pStyle w:val="Normal-pool-Table"/>
              <w:spacing w:before="120"/>
              <w:rPr>
                <w:szCs w:val="18"/>
                <w:lang w:val="es-ES_tradnl"/>
              </w:rPr>
            </w:pPr>
            <w:r w:rsidRPr="00B03929">
              <w:rPr>
                <w:color w:val="000000"/>
                <w:szCs w:val="18"/>
                <w:lang w:val="es-ES_tradnl"/>
              </w:rPr>
              <w:t>El informe del equipo de tareas creado por el Grupo de Evaluación Tecnológica y Económica se publicó como volumen 2 del</w:t>
            </w:r>
            <w:r w:rsidR="00816A3D">
              <w:rPr>
                <w:color w:val="000000"/>
                <w:szCs w:val="18"/>
                <w:lang w:val="es-ES_tradnl"/>
              </w:rPr>
              <w:t> </w:t>
            </w:r>
            <w:r w:rsidRPr="00B03929">
              <w:rPr>
                <w:color w:val="000000"/>
                <w:szCs w:val="18"/>
                <w:lang w:val="es-ES_tradnl"/>
              </w:rPr>
              <w:t>informe de este Grupo de 2026, que se</w:t>
            </w:r>
            <w:r w:rsidR="00816A3D">
              <w:rPr>
                <w:color w:val="000000"/>
                <w:szCs w:val="18"/>
                <w:lang w:val="es-ES_tradnl"/>
              </w:rPr>
              <w:t> </w:t>
            </w:r>
            <w:r w:rsidRPr="00B03929">
              <w:rPr>
                <w:color w:val="000000"/>
                <w:szCs w:val="18"/>
                <w:lang w:val="es-ES_tradnl"/>
              </w:rPr>
              <w:t>presentó al Grupo de Trabajo de composición abierta y que este debatió en su 48ª reunión, celebrada en julio de 2026. Se prevé que el equipo de tareas publique un informe complementario para su examen en la 38ª Reunión de las Partes, basado en una lista de sugerencias para efectuar un análisis adicional acordadas por el Grupo de Trabajo de composición abierta en su 48ª reunión (véase la sección A del anexo II del informe de la 48ª reunión del Grupo de Trabajo de composición abierta, documento UNEP/OzL.Pro.WG.1/48/5).</w:t>
            </w:r>
          </w:p>
        </w:tc>
      </w:tr>
      <w:tr w:rsidR="00594485" w:rsidRPr="00B03929" w14:paraId="3D3B2B1A" w14:textId="77777777" w:rsidTr="003D0CCC">
        <w:trPr>
          <w:cantSplit/>
          <w:trHeight w:val="57"/>
          <w:jc w:val="right"/>
        </w:trPr>
        <w:tc>
          <w:tcPr>
            <w:tcW w:w="1134" w:type="dxa"/>
          </w:tcPr>
          <w:p w14:paraId="0BC8A828" w14:textId="77777777" w:rsidR="00594485" w:rsidRPr="00B03929" w:rsidRDefault="00594485" w:rsidP="003D0CCC">
            <w:pPr>
              <w:pStyle w:val="Normal-pool-Table"/>
              <w:rPr>
                <w:szCs w:val="18"/>
                <w:lang w:val="es-ES_tradnl"/>
              </w:rPr>
            </w:pPr>
            <w:r w:rsidRPr="00B03929">
              <w:rPr>
                <w:color w:val="000000"/>
                <w:szCs w:val="18"/>
                <w:lang w:val="es-ES_tradnl"/>
              </w:rPr>
              <w:t>XXXVII/7</w:t>
            </w:r>
          </w:p>
        </w:tc>
        <w:tc>
          <w:tcPr>
            <w:tcW w:w="1985" w:type="dxa"/>
          </w:tcPr>
          <w:p w14:paraId="2BE7D0DD" w14:textId="77777777" w:rsidR="00594485" w:rsidRPr="00B03929" w:rsidRDefault="00594485" w:rsidP="003D0CCC">
            <w:pPr>
              <w:pStyle w:val="Normal-pool-Table"/>
              <w:rPr>
                <w:szCs w:val="18"/>
                <w:lang w:val="es-ES_tradnl"/>
              </w:rPr>
            </w:pPr>
            <w:r w:rsidRPr="00B03929">
              <w:rPr>
                <w:color w:val="000000"/>
                <w:szCs w:val="18"/>
                <w:lang w:val="es-ES_tradnl"/>
              </w:rPr>
              <w:t>Garantizar la viabilidad de las operaciones del Protocolo de Montreal</w:t>
            </w:r>
          </w:p>
        </w:tc>
        <w:tc>
          <w:tcPr>
            <w:tcW w:w="2977" w:type="dxa"/>
          </w:tcPr>
          <w:p w14:paraId="167B3B19" w14:textId="6D3EADE7" w:rsidR="00594485" w:rsidRPr="00B03929" w:rsidRDefault="00594485" w:rsidP="002748A1">
            <w:pPr>
              <w:pStyle w:val="Normal-pool-Table"/>
              <w:rPr>
                <w:szCs w:val="18"/>
                <w:lang w:val="es-ES_tradnl"/>
              </w:rPr>
            </w:pPr>
            <w:r w:rsidRPr="00B03929">
              <w:rPr>
                <w:color w:val="000000"/>
                <w:szCs w:val="18"/>
                <w:lang w:val="es-ES_tradnl"/>
              </w:rPr>
              <w:t>Preparar un informe,</w:t>
            </w:r>
            <w:r w:rsidR="00831836" w:rsidRPr="00B03929">
              <w:rPr>
                <w:color w:val="000000"/>
                <w:szCs w:val="18"/>
                <w:lang w:val="es-ES_tradnl"/>
              </w:rPr>
              <w:t xml:space="preserve"> para</w:t>
            </w:r>
            <w:r w:rsidRPr="00B03929">
              <w:rPr>
                <w:color w:val="000000"/>
                <w:szCs w:val="18"/>
                <w:lang w:val="es-ES_tradnl"/>
              </w:rPr>
              <w:t xml:space="preserve"> su examen por el Grupo de Trabajo de composición abierta en su 48ª reunión, en el que se abord</w:t>
            </w:r>
            <w:r w:rsidR="009A652E" w:rsidRPr="00B03929">
              <w:rPr>
                <w:color w:val="000000"/>
                <w:szCs w:val="18"/>
                <w:lang w:val="es-ES_tradnl"/>
              </w:rPr>
              <w:t>as</w:t>
            </w:r>
            <w:r w:rsidRPr="00B03929">
              <w:rPr>
                <w:color w:val="000000"/>
                <w:szCs w:val="18"/>
                <w:lang w:val="es-ES_tradnl"/>
              </w:rPr>
              <w:t>en las opciones para modificar de forma efectiva y eficaz (incluyendo la estimación de los costos resultantes) el calendario y la duración de las Reuniones de las Partes en el Protocolo de Montreal y las reuniones del Grupo de Trabajo de composición abierta, el Comité de Aplicación establecido con arreglo al Procedimiento relativo al Incumplimiento del Protocolo de Montreal y los grupos de evaluación, así como el apoyo que la Secretaría del Ozono presta a esas reuniones, y en el que se reco</w:t>
            </w:r>
            <w:r w:rsidR="0070782B" w:rsidRPr="00B03929">
              <w:rPr>
                <w:color w:val="000000"/>
                <w:szCs w:val="18"/>
                <w:lang w:val="es-ES_tradnl"/>
              </w:rPr>
              <w:t>giese</w:t>
            </w:r>
            <w:r w:rsidRPr="00B03929">
              <w:rPr>
                <w:color w:val="000000"/>
                <w:szCs w:val="18"/>
                <w:lang w:val="es-ES_tradnl"/>
              </w:rPr>
              <w:t>n también las opciones de modificar el calendario de las decisiones relativas a las reposiciones.</w:t>
            </w:r>
          </w:p>
        </w:tc>
        <w:tc>
          <w:tcPr>
            <w:tcW w:w="3401" w:type="dxa"/>
          </w:tcPr>
          <w:p w14:paraId="1096FBA3" w14:textId="2C71E4C6" w:rsidR="00594485" w:rsidRPr="00B03929" w:rsidRDefault="00594485" w:rsidP="003D0CCC">
            <w:pPr>
              <w:pStyle w:val="Normal-pool-Table"/>
              <w:rPr>
                <w:szCs w:val="18"/>
                <w:lang w:val="es-ES_tradnl"/>
              </w:rPr>
            </w:pPr>
            <w:r w:rsidRPr="00B03929">
              <w:rPr>
                <w:color w:val="000000"/>
                <w:szCs w:val="18"/>
                <w:lang w:val="es-ES_tradnl"/>
              </w:rPr>
              <w:t>En la 48ª reunión del Grupo de Trabajo de composición abierta, celebrada en julio de</w:t>
            </w:r>
            <w:r w:rsidR="003E5134" w:rsidRPr="00B03929">
              <w:rPr>
                <w:color w:val="000000"/>
                <w:szCs w:val="18"/>
                <w:lang w:val="es-ES_tradnl"/>
              </w:rPr>
              <w:t> </w:t>
            </w:r>
            <w:r w:rsidRPr="00B03929">
              <w:rPr>
                <w:color w:val="000000"/>
                <w:szCs w:val="18"/>
                <w:lang w:val="es-ES_tradnl"/>
              </w:rPr>
              <w:t>2026, se puso a disposición del Grupo una nota sobre cómo garantizar la viabilidad de las operaciones del Protocolo de Montreal: hipótesis, opciones y estimaciones de gastos. También se puso a su disposición una adición a esa nota.</w:t>
            </w:r>
          </w:p>
          <w:p w14:paraId="0B404F9F" w14:textId="5C551913" w:rsidR="00594485" w:rsidRPr="00B03929" w:rsidRDefault="00594485" w:rsidP="003D0CCC">
            <w:pPr>
              <w:pStyle w:val="Normal-pool-Table"/>
              <w:rPr>
                <w:szCs w:val="18"/>
                <w:lang w:val="es-ES_tradnl"/>
              </w:rPr>
            </w:pPr>
            <w:r w:rsidRPr="00B03929">
              <w:rPr>
                <w:color w:val="000000"/>
                <w:szCs w:val="18"/>
                <w:lang w:val="es-ES_tradnl"/>
              </w:rPr>
              <w:t>La Secretaría elaborará un informe complementario para su examen en la 38ª Reunión de las Partes, basado en una lista de preguntas formuladas por las Partes durante la 48ª reunión del Grupo de Trabajo de composición abierta y en cualquier pregunta adicional</w:t>
            </w:r>
            <w:r w:rsidR="002755CA" w:rsidRPr="00B03929">
              <w:rPr>
                <w:color w:val="000000"/>
                <w:szCs w:val="18"/>
                <w:lang w:val="es-ES_tradnl"/>
              </w:rPr>
              <w:t xml:space="preserve"> recibida</w:t>
            </w:r>
            <w:r w:rsidRPr="00B03929">
              <w:rPr>
                <w:color w:val="000000"/>
                <w:szCs w:val="18"/>
                <w:lang w:val="es-ES_tradnl"/>
              </w:rPr>
              <w:t xml:space="preserve"> hasta finales de</w:t>
            </w:r>
            <w:r w:rsidR="00816A3D">
              <w:rPr>
                <w:color w:val="000000"/>
                <w:szCs w:val="18"/>
                <w:lang w:val="es-ES_tradnl"/>
              </w:rPr>
              <w:t> </w:t>
            </w:r>
            <w:r w:rsidRPr="00B03929">
              <w:rPr>
                <w:color w:val="000000"/>
                <w:szCs w:val="18"/>
                <w:lang w:val="es-ES_tradnl"/>
              </w:rPr>
              <w:t>agosto de 2026.</w:t>
            </w:r>
          </w:p>
        </w:tc>
      </w:tr>
      <w:tr w:rsidR="00594485" w:rsidRPr="00B03929" w14:paraId="7DBAE05F" w14:textId="77777777" w:rsidTr="003D0CCC">
        <w:trPr>
          <w:cantSplit/>
          <w:trHeight w:val="57"/>
          <w:jc w:val="right"/>
        </w:trPr>
        <w:tc>
          <w:tcPr>
            <w:tcW w:w="1134" w:type="dxa"/>
          </w:tcPr>
          <w:p w14:paraId="21F161F5" w14:textId="77777777" w:rsidR="00594485" w:rsidRPr="00B03929" w:rsidRDefault="00594485" w:rsidP="003D0CCC">
            <w:pPr>
              <w:pStyle w:val="Normal-pool-Table"/>
              <w:rPr>
                <w:szCs w:val="18"/>
                <w:lang w:val="es-ES_tradnl"/>
              </w:rPr>
            </w:pPr>
            <w:r w:rsidRPr="00B03929">
              <w:rPr>
                <w:color w:val="000000"/>
                <w:szCs w:val="18"/>
                <w:lang w:val="es-ES_tradnl"/>
              </w:rPr>
              <w:lastRenderedPageBreak/>
              <w:t>XXXVII/8</w:t>
            </w:r>
          </w:p>
        </w:tc>
        <w:tc>
          <w:tcPr>
            <w:tcW w:w="1985" w:type="dxa"/>
          </w:tcPr>
          <w:p w14:paraId="4447C1DB" w14:textId="77777777" w:rsidR="00594485" w:rsidRPr="00B03929" w:rsidRDefault="00594485" w:rsidP="003D0CCC">
            <w:pPr>
              <w:pStyle w:val="Normal-pool-Table"/>
              <w:rPr>
                <w:szCs w:val="18"/>
                <w:lang w:val="es-ES_tradnl"/>
              </w:rPr>
            </w:pPr>
            <w:r w:rsidRPr="00B03929">
              <w:rPr>
                <w:color w:val="000000"/>
                <w:szCs w:val="18"/>
                <w:lang w:val="es-ES_tradnl"/>
              </w:rPr>
              <w:t>Datos e información proporcionados por las Partes de conformidad con el artículo 7 del Protocolo de Montreal relativo a las Sustancias que Agotan la Capa de Ozono</w:t>
            </w:r>
          </w:p>
        </w:tc>
        <w:tc>
          <w:tcPr>
            <w:tcW w:w="2977" w:type="dxa"/>
          </w:tcPr>
          <w:p w14:paraId="0FE4BDD6" w14:textId="77777777" w:rsidR="00594485" w:rsidRPr="00B03929" w:rsidRDefault="00594485" w:rsidP="003D0CCC">
            <w:pPr>
              <w:pStyle w:val="Normal-pool-Table"/>
              <w:rPr>
                <w:szCs w:val="18"/>
                <w:lang w:val="es-ES_tradnl"/>
              </w:rPr>
            </w:pPr>
            <w:r w:rsidRPr="00B03929">
              <w:rPr>
                <w:color w:val="000000"/>
                <w:szCs w:val="18"/>
                <w:lang w:val="es-ES_tradnl"/>
              </w:rPr>
              <w:t>Notificar la decisión a las Partes pertinentes, con vistas a la adopción de las medidas necesarias.</w:t>
            </w:r>
          </w:p>
        </w:tc>
        <w:tc>
          <w:tcPr>
            <w:tcW w:w="3401" w:type="dxa"/>
          </w:tcPr>
          <w:p w14:paraId="555374F6" w14:textId="5E1983ED" w:rsidR="00594485" w:rsidRPr="00B03929" w:rsidRDefault="00594485" w:rsidP="003D0CCC">
            <w:pPr>
              <w:pStyle w:val="Normal-pool-Table"/>
              <w:rPr>
                <w:szCs w:val="18"/>
                <w:lang w:val="es-ES_tradnl"/>
              </w:rPr>
            </w:pPr>
            <w:r w:rsidRPr="00B03929">
              <w:rPr>
                <w:color w:val="000000"/>
                <w:szCs w:val="18"/>
                <w:lang w:val="es-ES_tradnl"/>
              </w:rPr>
              <w:t>Se enviaron cartas a las Partes pertinentes el</w:t>
            </w:r>
            <w:r w:rsidR="00526BFF" w:rsidRPr="00B03929">
              <w:rPr>
                <w:color w:val="000000"/>
                <w:szCs w:val="18"/>
                <w:lang w:val="es-ES_tradnl"/>
              </w:rPr>
              <w:t> </w:t>
            </w:r>
            <w:r w:rsidRPr="00B03929">
              <w:rPr>
                <w:color w:val="000000"/>
                <w:szCs w:val="18"/>
                <w:lang w:val="es-ES_tradnl"/>
              </w:rPr>
              <w:t>1 de diciembre de 2025. De las 4 Partes mencionadas en la decisión, 3 han presentado la información pendiente.</w:t>
            </w:r>
          </w:p>
        </w:tc>
      </w:tr>
      <w:tr w:rsidR="00594485" w:rsidRPr="00B03929" w14:paraId="16EF2273" w14:textId="77777777" w:rsidTr="003D0CCC">
        <w:trPr>
          <w:cantSplit/>
          <w:trHeight w:val="57"/>
          <w:jc w:val="right"/>
        </w:trPr>
        <w:tc>
          <w:tcPr>
            <w:tcW w:w="1134" w:type="dxa"/>
          </w:tcPr>
          <w:p w14:paraId="053EA902" w14:textId="77777777" w:rsidR="00594485" w:rsidRPr="00B03929" w:rsidRDefault="00594485" w:rsidP="003D0CCC">
            <w:pPr>
              <w:pStyle w:val="Normal-pool-Table"/>
              <w:rPr>
                <w:szCs w:val="18"/>
                <w:lang w:val="es-ES_tradnl"/>
              </w:rPr>
            </w:pPr>
            <w:r w:rsidRPr="00B03929">
              <w:rPr>
                <w:color w:val="000000"/>
                <w:szCs w:val="18"/>
                <w:lang w:val="es-ES_tradnl"/>
              </w:rPr>
              <w:t>XXXVII/9</w:t>
            </w:r>
          </w:p>
        </w:tc>
        <w:tc>
          <w:tcPr>
            <w:tcW w:w="1985" w:type="dxa"/>
          </w:tcPr>
          <w:p w14:paraId="4FE65504" w14:textId="11B56B44" w:rsidR="00594485" w:rsidRPr="00B03929" w:rsidRDefault="00594485" w:rsidP="003D0CCC">
            <w:pPr>
              <w:pStyle w:val="Normal-pool-Table"/>
              <w:rPr>
                <w:szCs w:val="18"/>
                <w:lang w:val="es-ES_tradnl"/>
              </w:rPr>
            </w:pPr>
            <w:r w:rsidRPr="00B03929">
              <w:rPr>
                <w:color w:val="000000"/>
                <w:szCs w:val="18"/>
                <w:lang w:val="es-ES_tradnl"/>
              </w:rPr>
              <w:t xml:space="preserve">Solicitudes de modificación de los datos de referencia presentadas por Bosnia y Herzegovina, el Brasil, Guinea, las Islas Marshall, Kiribati, Marruecos, Nauru, Nigeria, Niue, Tuvalu y Vanuatu </w:t>
            </w:r>
          </w:p>
        </w:tc>
        <w:tc>
          <w:tcPr>
            <w:tcW w:w="2977" w:type="dxa"/>
          </w:tcPr>
          <w:p w14:paraId="5258697F" w14:textId="77777777" w:rsidR="00594485" w:rsidRPr="00B03929" w:rsidRDefault="00594485" w:rsidP="003D0CCC">
            <w:pPr>
              <w:pStyle w:val="Normal-pool-Table"/>
              <w:rPr>
                <w:szCs w:val="18"/>
                <w:lang w:val="es-ES_tradnl"/>
              </w:rPr>
            </w:pPr>
            <w:r w:rsidRPr="00B03929">
              <w:rPr>
                <w:color w:val="000000"/>
                <w:szCs w:val="18"/>
                <w:lang w:val="es-ES_tradnl"/>
              </w:rPr>
              <w:t>Notificar la decisión a las Partes pertinentes.</w:t>
            </w:r>
          </w:p>
        </w:tc>
        <w:tc>
          <w:tcPr>
            <w:tcW w:w="3401" w:type="dxa"/>
          </w:tcPr>
          <w:p w14:paraId="24D40E52" w14:textId="77777777" w:rsidR="00594485" w:rsidRPr="00B03929" w:rsidRDefault="00594485" w:rsidP="003D0CCC">
            <w:pPr>
              <w:pStyle w:val="Normal-pool-Table"/>
              <w:rPr>
                <w:szCs w:val="18"/>
                <w:lang w:val="es-ES_tradnl"/>
              </w:rPr>
            </w:pPr>
            <w:r w:rsidRPr="00B03929">
              <w:rPr>
                <w:color w:val="000000"/>
                <w:szCs w:val="18"/>
                <w:lang w:val="es-ES_tradnl"/>
              </w:rPr>
              <w:t>Actualizar los datos de referencia en el sistema en noviembre de 2025.</w:t>
            </w:r>
          </w:p>
          <w:p w14:paraId="763629D1" w14:textId="5EF6631A" w:rsidR="00594485" w:rsidRPr="00B03929" w:rsidRDefault="00594485" w:rsidP="003D0CCC">
            <w:pPr>
              <w:pStyle w:val="Normal-pool-Table"/>
              <w:rPr>
                <w:szCs w:val="18"/>
                <w:lang w:val="es-ES_tradnl"/>
              </w:rPr>
            </w:pPr>
            <w:r w:rsidRPr="00B03929">
              <w:rPr>
                <w:color w:val="000000"/>
                <w:szCs w:val="18"/>
                <w:lang w:val="es-ES_tradnl"/>
              </w:rPr>
              <w:t>Se enviaron cartas a las Partes pertinentes el</w:t>
            </w:r>
            <w:r w:rsidR="005F5550" w:rsidRPr="00B03929">
              <w:rPr>
                <w:color w:val="000000"/>
                <w:szCs w:val="18"/>
                <w:lang w:val="es-ES_tradnl"/>
              </w:rPr>
              <w:t> </w:t>
            </w:r>
            <w:r w:rsidRPr="00B03929">
              <w:rPr>
                <w:color w:val="000000"/>
                <w:szCs w:val="18"/>
                <w:lang w:val="es-ES_tradnl"/>
              </w:rPr>
              <w:t>28 de noviembre de 2025.</w:t>
            </w:r>
          </w:p>
        </w:tc>
      </w:tr>
      <w:tr w:rsidR="00594485" w:rsidRPr="00B03929" w14:paraId="73A9C386" w14:textId="77777777" w:rsidTr="003D0CCC">
        <w:trPr>
          <w:cantSplit/>
          <w:trHeight w:val="57"/>
          <w:jc w:val="right"/>
        </w:trPr>
        <w:tc>
          <w:tcPr>
            <w:tcW w:w="1134" w:type="dxa"/>
          </w:tcPr>
          <w:p w14:paraId="6F09626D" w14:textId="77777777" w:rsidR="00594485" w:rsidRPr="00B03929" w:rsidRDefault="00594485" w:rsidP="003D0CCC">
            <w:pPr>
              <w:pStyle w:val="Normal-pool-Table"/>
              <w:rPr>
                <w:szCs w:val="18"/>
                <w:lang w:val="es-ES_tradnl"/>
              </w:rPr>
            </w:pPr>
            <w:r w:rsidRPr="00B03929">
              <w:rPr>
                <w:color w:val="000000"/>
                <w:szCs w:val="18"/>
                <w:lang w:val="es-ES_tradnl"/>
              </w:rPr>
              <w:t>XXXVII/10</w:t>
            </w:r>
          </w:p>
        </w:tc>
        <w:tc>
          <w:tcPr>
            <w:tcW w:w="1985" w:type="dxa"/>
          </w:tcPr>
          <w:p w14:paraId="5611E8D5" w14:textId="77777777" w:rsidR="00594485" w:rsidRPr="00B03929" w:rsidRDefault="00594485" w:rsidP="003D0CCC">
            <w:pPr>
              <w:pStyle w:val="Normal-pool-Table"/>
              <w:rPr>
                <w:szCs w:val="18"/>
                <w:lang w:val="es-ES_tradnl"/>
              </w:rPr>
            </w:pPr>
            <w:r w:rsidRPr="00B03929">
              <w:rPr>
                <w:color w:val="000000"/>
                <w:szCs w:val="18"/>
                <w:lang w:val="es-ES_tradnl"/>
              </w:rPr>
              <w:t>Situación del establecimiento de sistemas de concesión de licencias de conformidad con el artículo 4B, párrafo 2 bis, del Protocolo de Montreal relativo a las Sustancias que Agotan la Capa de Ozono</w:t>
            </w:r>
          </w:p>
        </w:tc>
        <w:tc>
          <w:tcPr>
            <w:tcW w:w="2977" w:type="dxa"/>
            <w:shd w:val="clear" w:color="auto" w:fill="FFFFFF" w:themeFill="background1"/>
          </w:tcPr>
          <w:p w14:paraId="081E0953" w14:textId="77777777" w:rsidR="00594485" w:rsidRPr="00B03929" w:rsidRDefault="00594485" w:rsidP="003D0CCC">
            <w:pPr>
              <w:pStyle w:val="Normal-pool-Table"/>
              <w:rPr>
                <w:szCs w:val="18"/>
                <w:lang w:val="es-ES_tradnl"/>
              </w:rPr>
            </w:pPr>
            <w:r w:rsidRPr="00B03929">
              <w:rPr>
                <w:color w:val="000000"/>
                <w:szCs w:val="18"/>
                <w:lang w:val="es-ES_tradnl"/>
              </w:rPr>
              <w:t>Notificar la decisión a las Partes pertinentes.</w:t>
            </w:r>
          </w:p>
        </w:tc>
        <w:tc>
          <w:tcPr>
            <w:tcW w:w="3401" w:type="dxa"/>
          </w:tcPr>
          <w:p w14:paraId="035875BF" w14:textId="419F21AB" w:rsidR="00594485" w:rsidRPr="00B03929" w:rsidRDefault="00594485" w:rsidP="003D0CCC">
            <w:pPr>
              <w:pStyle w:val="Normal-pool-Table"/>
              <w:rPr>
                <w:szCs w:val="18"/>
                <w:lang w:val="es-ES_tradnl"/>
              </w:rPr>
            </w:pPr>
            <w:r w:rsidRPr="00B03929">
              <w:rPr>
                <w:color w:val="000000"/>
                <w:szCs w:val="18"/>
                <w:lang w:val="es-ES_tradnl"/>
              </w:rPr>
              <w:t>Se enviaron cartas a las Partes pertinentes el</w:t>
            </w:r>
            <w:r w:rsidR="00F0614F" w:rsidRPr="00B03929">
              <w:rPr>
                <w:color w:val="000000"/>
                <w:szCs w:val="18"/>
                <w:lang w:val="es-ES_tradnl"/>
              </w:rPr>
              <w:t> </w:t>
            </w:r>
            <w:r w:rsidRPr="00B03929">
              <w:rPr>
                <w:color w:val="000000"/>
                <w:szCs w:val="18"/>
                <w:lang w:val="es-ES_tradnl"/>
              </w:rPr>
              <w:t>28 de noviembre de 2025.</w:t>
            </w:r>
          </w:p>
        </w:tc>
      </w:tr>
      <w:tr w:rsidR="00594485" w:rsidRPr="00B03929" w14:paraId="1F4C8201" w14:textId="77777777" w:rsidTr="003D0CCC">
        <w:trPr>
          <w:cantSplit/>
          <w:trHeight w:val="57"/>
          <w:jc w:val="right"/>
        </w:trPr>
        <w:tc>
          <w:tcPr>
            <w:tcW w:w="1134" w:type="dxa"/>
          </w:tcPr>
          <w:p w14:paraId="52BEF326" w14:textId="77777777" w:rsidR="00594485" w:rsidRPr="00B03929" w:rsidRDefault="00594485" w:rsidP="003D0CCC">
            <w:pPr>
              <w:pStyle w:val="Normal-pool-Table"/>
              <w:rPr>
                <w:szCs w:val="18"/>
                <w:lang w:val="es-ES_tradnl"/>
              </w:rPr>
            </w:pPr>
            <w:r w:rsidRPr="00B03929">
              <w:rPr>
                <w:color w:val="000000"/>
                <w:szCs w:val="18"/>
                <w:lang w:val="es-ES_tradnl"/>
              </w:rPr>
              <w:t>XXXVII/11</w:t>
            </w:r>
          </w:p>
        </w:tc>
        <w:tc>
          <w:tcPr>
            <w:tcW w:w="1985" w:type="dxa"/>
          </w:tcPr>
          <w:p w14:paraId="0282E23C" w14:textId="77777777" w:rsidR="00594485" w:rsidRPr="00B03929" w:rsidRDefault="00594485" w:rsidP="003D0CCC">
            <w:pPr>
              <w:pStyle w:val="Normal-pool-Table"/>
              <w:rPr>
                <w:szCs w:val="18"/>
                <w:lang w:val="es-ES_tradnl"/>
              </w:rPr>
            </w:pPr>
            <w:r w:rsidRPr="00B03929">
              <w:rPr>
                <w:color w:val="000000"/>
                <w:szCs w:val="18"/>
                <w:lang w:val="es-ES_tradnl"/>
              </w:rPr>
              <w:t xml:space="preserve">Cumplimiento por Libia de los compromisos contraídos en virtud de su plan de acción para volver a la situación de cumplimiento </w:t>
            </w:r>
          </w:p>
        </w:tc>
        <w:tc>
          <w:tcPr>
            <w:tcW w:w="2977" w:type="dxa"/>
          </w:tcPr>
          <w:p w14:paraId="722DBAB6" w14:textId="77777777" w:rsidR="00594485" w:rsidRPr="00B03929" w:rsidRDefault="00594485" w:rsidP="003D0CCC">
            <w:pPr>
              <w:pStyle w:val="Normal-pool-Table"/>
              <w:rPr>
                <w:szCs w:val="18"/>
                <w:lang w:val="es-ES_tradnl"/>
              </w:rPr>
            </w:pPr>
            <w:r w:rsidRPr="00B03929">
              <w:rPr>
                <w:color w:val="000000"/>
                <w:szCs w:val="18"/>
                <w:lang w:val="es-ES_tradnl"/>
              </w:rPr>
              <w:t>Notificar la decisión a Libia.</w:t>
            </w:r>
          </w:p>
        </w:tc>
        <w:tc>
          <w:tcPr>
            <w:tcW w:w="3401" w:type="dxa"/>
          </w:tcPr>
          <w:p w14:paraId="5F60CAAF" w14:textId="2D9C3C9D" w:rsidR="00594485" w:rsidRPr="00B03929" w:rsidRDefault="00594485" w:rsidP="003D0CCC">
            <w:pPr>
              <w:pStyle w:val="Normal-pool-Table"/>
              <w:rPr>
                <w:szCs w:val="18"/>
                <w:lang w:val="es-ES_tradnl"/>
              </w:rPr>
            </w:pPr>
            <w:r w:rsidRPr="00B03929">
              <w:rPr>
                <w:color w:val="000000"/>
                <w:szCs w:val="18"/>
                <w:lang w:val="es-ES_tradnl"/>
              </w:rPr>
              <w:t>Se envió una carta el 28 de noviembre de</w:t>
            </w:r>
            <w:r w:rsidR="00607887" w:rsidRPr="00B03929">
              <w:rPr>
                <w:color w:val="000000"/>
                <w:szCs w:val="18"/>
                <w:lang w:val="es-ES_tradnl"/>
              </w:rPr>
              <w:t> </w:t>
            </w:r>
            <w:r w:rsidRPr="00B03929">
              <w:rPr>
                <w:color w:val="000000"/>
                <w:szCs w:val="18"/>
                <w:lang w:val="es-ES_tradnl"/>
              </w:rPr>
              <w:t>2025.</w:t>
            </w:r>
          </w:p>
        </w:tc>
      </w:tr>
      <w:tr w:rsidR="00594485" w:rsidRPr="00B03929" w14:paraId="3886686C" w14:textId="77777777" w:rsidTr="003D0CCC">
        <w:trPr>
          <w:cantSplit/>
          <w:trHeight w:val="57"/>
          <w:jc w:val="right"/>
        </w:trPr>
        <w:tc>
          <w:tcPr>
            <w:tcW w:w="1134" w:type="dxa"/>
          </w:tcPr>
          <w:p w14:paraId="55241F74" w14:textId="77777777" w:rsidR="00594485" w:rsidRPr="00B03929" w:rsidRDefault="00594485" w:rsidP="003D0CCC">
            <w:pPr>
              <w:pStyle w:val="Normal-pool-Table"/>
              <w:rPr>
                <w:szCs w:val="18"/>
                <w:lang w:val="es-ES_tradnl"/>
              </w:rPr>
            </w:pPr>
            <w:r w:rsidRPr="00B03929">
              <w:rPr>
                <w:color w:val="000000"/>
                <w:szCs w:val="18"/>
                <w:lang w:val="es-ES_tradnl"/>
              </w:rPr>
              <w:t>XXXVII/12</w:t>
            </w:r>
          </w:p>
        </w:tc>
        <w:tc>
          <w:tcPr>
            <w:tcW w:w="1985" w:type="dxa"/>
          </w:tcPr>
          <w:p w14:paraId="65D77CBB" w14:textId="77777777" w:rsidR="00594485" w:rsidRPr="00B03929" w:rsidRDefault="00594485" w:rsidP="003D0CCC">
            <w:pPr>
              <w:pStyle w:val="Normal-pool-Table"/>
              <w:rPr>
                <w:szCs w:val="18"/>
                <w:lang w:val="es-ES_tradnl"/>
              </w:rPr>
            </w:pPr>
            <w:r w:rsidRPr="00B03929">
              <w:rPr>
                <w:color w:val="000000"/>
                <w:szCs w:val="18"/>
                <w:lang w:val="es-ES_tradnl"/>
              </w:rPr>
              <w:t>Incumplimiento del Protocolo de Montreal relativo a las Sustancias que Agotan la Capa de Ozono por la República Popular Democrática de Corea</w:t>
            </w:r>
          </w:p>
        </w:tc>
        <w:tc>
          <w:tcPr>
            <w:tcW w:w="2977" w:type="dxa"/>
          </w:tcPr>
          <w:p w14:paraId="16D8F8BD" w14:textId="77777777" w:rsidR="00594485" w:rsidRPr="00B03929" w:rsidRDefault="00594485" w:rsidP="003D0CCC">
            <w:pPr>
              <w:pStyle w:val="Normal-pool-Table"/>
              <w:rPr>
                <w:szCs w:val="18"/>
                <w:lang w:val="es-ES_tradnl"/>
              </w:rPr>
            </w:pPr>
            <w:r w:rsidRPr="00B03929">
              <w:rPr>
                <w:color w:val="000000"/>
                <w:szCs w:val="18"/>
                <w:lang w:val="es-ES_tradnl"/>
              </w:rPr>
              <w:t>Notificar la decisión a la República Popular Democrática de Corea.</w:t>
            </w:r>
          </w:p>
        </w:tc>
        <w:tc>
          <w:tcPr>
            <w:tcW w:w="3401" w:type="dxa"/>
          </w:tcPr>
          <w:p w14:paraId="1CCB263B" w14:textId="148CFF0C" w:rsidR="00594485" w:rsidRPr="00B03929" w:rsidRDefault="00594485" w:rsidP="003D0CCC">
            <w:pPr>
              <w:pStyle w:val="Normal-pool-Table"/>
              <w:rPr>
                <w:szCs w:val="18"/>
                <w:lang w:val="es-ES_tradnl"/>
              </w:rPr>
            </w:pPr>
            <w:r w:rsidRPr="00B03929">
              <w:rPr>
                <w:color w:val="000000"/>
                <w:szCs w:val="18"/>
                <w:lang w:val="es-ES_tradnl"/>
              </w:rPr>
              <w:t>Se envió una carta el 28 de noviembre de</w:t>
            </w:r>
            <w:r w:rsidR="009F2A83" w:rsidRPr="00B03929">
              <w:rPr>
                <w:color w:val="000000"/>
                <w:szCs w:val="18"/>
                <w:lang w:val="es-ES_tradnl"/>
              </w:rPr>
              <w:t> </w:t>
            </w:r>
            <w:r w:rsidRPr="00B03929">
              <w:rPr>
                <w:color w:val="000000"/>
                <w:szCs w:val="18"/>
                <w:lang w:val="es-ES_tradnl"/>
              </w:rPr>
              <w:t>2025.</w:t>
            </w:r>
          </w:p>
        </w:tc>
      </w:tr>
      <w:tr w:rsidR="00594485" w:rsidRPr="00B03929" w14:paraId="7D185A36" w14:textId="77777777" w:rsidTr="003D0CCC">
        <w:trPr>
          <w:cantSplit/>
          <w:trHeight w:val="57"/>
          <w:jc w:val="right"/>
        </w:trPr>
        <w:tc>
          <w:tcPr>
            <w:tcW w:w="1134" w:type="dxa"/>
          </w:tcPr>
          <w:p w14:paraId="1760B98C" w14:textId="77777777" w:rsidR="00594485" w:rsidRPr="00B03929" w:rsidRDefault="00594485" w:rsidP="003D0CCC">
            <w:pPr>
              <w:pStyle w:val="Normal-pool-Table"/>
              <w:rPr>
                <w:szCs w:val="18"/>
                <w:lang w:val="es-ES_tradnl"/>
              </w:rPr>
            </w:pPr>
            <w:r w:rsidRPr="00B03929">
              <w:rPr>
                <w:color w:val="000000"/>
                <w:szCs w:val="18"/>
                <w:lang w:val="es-ES_tradnl"/>
              </w:rPr>
              <w:t>XXXVII/13</w:t>
            </w:r>
          </w:p>
        </w:tc>
        <w:tc>
          <w:tcPr>
            <w:tcW w:w="1985" w:type="dxa"/>
          </w:tcPr>
          <w:p w14:paraId="74BB002E" w14:textId="77777777" w:rsidR="00594485" w:rsidRPr="00B03929" w:rsidRDefault="00594485" w:rsidP="003D0CCC">
            <w:pPr>
              <w:pStyle w:val="Normal-pool-Table"/>
              <w:rPr>
                <w:szCs w:val="18"/>
                <w:lang w:val="es-ES_tradnl"/>
              </w:rPr>
            </w:pPr>
            <w:r w:rsidRPr="00B03929">
              <w:rPr>
                <w:color w:val="000000"/>
                <w:szCs w:val="18"/>
                <w:lang w:val="es-ES_tradnl"/>
              </w:rPr>
              <w:t>Incumplimiento del Protocolo de Montreal relativo a las Sustancias que Agotan la Capa de Ozono por Malí</w:t>
            </w:r>
          </w:p>
        </w:tc>
        <w:tc>
          <w:tcPr>
            <w:tcW w:w="2977" w:type="dxa"/>
          </w:tcPr>
          <w:p w14:paraId="4502DA20" w14:textId="77777777" w:rsidR="00594485" w:rsidRPr="00B03929" w:rsidRDefault="00594485" w:rsidP="003D0CCC">
            <w:pPr>
              <w:pStyle w:val="Normal-pool-Table"/>
              <w:rPr>
                <w:szCs w:val="18"/>
                <w:lang w:val="es-ES_tradnl"/>
              </w:rPr>
            </w:pPr>
            <w:r w:rsidRPr="00B03929">
              <w:rPr>
                <w:color w:val="000000"/>
                <w:szCs w:val="18"/>
                <w:lang w:val="es-ES_tradnl"/>
              </w:rPr>
              <w:t>Notificar la decisión a Malí.</w:t>
            </w:r>
          </w:p>
        </w:tc>
        <w:tc>
          <w:tcPr>
            <w:tcW w:w="3401" w:type="dxa"/>
          </w:tcPr>
          <w:p w14:paraId="1976C961" w14:textId="1DB51D3F" w:rsidR="00594485" w:rsidRPr="00B03929" w:rsidRDefault="00594485" w:rsidP="003D0CCC">
            <w:pPr>
              <w:pStyle w:val="Normal-pool-Table"/>
              <w:rPr>
                <w:szCs w:val="18"/>
                <w:lang w:val="es-ES_tradnl"/>
              </w:rPr>
            </w:pPr>
            <w:r w:rsidRPr="00B03929">
              <w:rPr>
                <w:color w:val="000000"/>
                <w:szCs w:val="18"/>
                <w:lang w:val="es-ES_tradnl"/>
              </w:rPr>
              <w:t>Se envió una carta el 28 de noviembre de</w:t>
            </w:r>
            <w:r w:rsidR="009E657E" w:rsidRPr="00B03929">
              <w:rPr>
                <w:color w:val="000000"/>
                <w:szCs w:val="18"/>
                <w:lang w:val="es-ES_tradnl"/>
              </w:rPr>
              <w:t> </w:t>
            </w:r>
            <w:r w:rsidRPr="00B03929">
              <w:rPr>
                <w:color w:val="000000"/>
                <w:szCs w:val="18"/>
                <w:lang w:val="es-ES_tradnl"/>
              </w:rPr>
              <w:t>2025.</w:t>
            </w:r>
          </w:p>
        </w:tc>
      </w:tr>
      <w:tr w:rsidR="00594485" w:rsidRPr="00B03929" w14:paraId="1C60F609" w14:textId="77777777" w:rsidTr="003D0CCC">
        <w:trPr>
          <w:cantSplit/>
          <w:trHeight w:val="57"/>
          <w:jc w:val="right"/>
        </w:trPr>
        <w:tc>
          <w:tcPr>
            <w:tcW w:w="1134" w:type="dxa"/>
          </w:tcPr>
          <w:p w14:paraId="2A49D0DD" w14:textId="77777777" w:rsidR="00594485" w:rsidRPr="00B03929" w:rsidRDefault="00594485" w:rsidP="003D0CCC">
            <w:pPr>
              <w:pStyle w:val="Normal-pool-Table"/>
              <w:rPr>
                <w:szCs w:val="18"/>
                <w:lang w:val="es-ES_tradnl"/>
              </w:rPr>
            </w:pPr>
            <w:r w:rsidRPr="00B03929">
              <w:rPr>
                <w:color w:val="000000"/>
                <w:szCs w:val="18"/>
                <w:lang w:val="es-ES_tradnl"/>
              </w:rPr>
              <w:t>XXXVII/14</w:t>
            </w:r>
          </w:p>
        </w:tc>
        <w:tc>
          <w:tcPr>
            <w:tcW w:w="1985" w:type="dxa"/>
          </w:tcPr>
          <w:p w14:paraId="6CDE82E0" w14:textId="77777777" w:rsidR="00594485" w:rsidRPr="00B03929" w:rsidRDefault="00594485" w:rsidP="003D0CCC">
            <w:pPr>
              <w:pStyle w:val="Normal-pool-Table"/>
              <w:rPr>
                <w:szCs w:val="18"/>
                <w:lang w:val="es-ES_tradnl"/>
              </w:rPr>
            </w:pPr>
            <w:r w:rsidRPr="00B03929">
              <w:rPr>
                <w:color w:val="000000"/>
                <w:szCs w:val="18"/>
                <w:lang w:val="es-ES_tradnl"/>
              </w:rPr>
              <w:t xml:space="preserve">Incumplimiento del Protocolo de Montreal relativo a las Sustancias que Agotan la Capa de Ozono por San Vicente y las Granadinas </w:t>
            </w:r>
          </w:p>
        </w:tc>
        <w:tc>
          <w:tcPr>
            <w:tcW w:w="2977" w:type="dxa"/>
          </w:tcPr>
          <w:p w14:paraId="2F4FCE5A" w14:textId="77777777" w:rsidR="00594485" w:rsidRPr="00B03929" w:rsidRDefault="00594485" w:rsidP="003D0CCC">
            <w:pPr>
              <w:pStyle w:val="Normal-pool-Table"/>
              <w:rPr>
                <w:szCs w:val="18"/>
                <w:lang w:val="es-ES_tradnl"/>
              </w:rPr>
            </w:pPr>
            <w:r w:rsidRPr="00B03929">
              <w:rPr>
                <w:color w:val="000000"/>
                <w:szCs w:val="18"/>
                <w:lang w:val="es-ES_tradnl"/>
              </w:rPr>
              <w:t>Notificar la decisión a San Vicente y las Granadinas.</w:t>
            </w:r>
          </w:p>
        </w:tc>
        <w:tc>
          <w:tcPr>
            <w:tcW w:w="3401" w:type="dxa"/>
          </w:tcPr>
          <w:p w14:paraId="23AC19A8" w14:textId="0EE1E2CE" w:rsidR="00594485" w:rsidRPr="00B03929" w:rsidRDefault="00594485" w:rsidP="003D0CCC">
            <w:pPr>
              <w:pStyle w:val="Normal-pool-Table"/>
              <w:rPr>
                <w:szCs w:val="18"/>
                <w:lang w:val="es-ES_tradnl"/>
              </w:rPr>
            </w:pPr>
            <w:r w:rsidRPr="00B03929">
              <w:rPr>
                <w:color w:val="000000"/>
                <w:szCs w:val="18"/>
                <w:lang w:val="es-ES_tradnl"/>
              </w:rPr>
              <w:t>Se envió una carta el 28 de noviembre de</w:t>
            </w:r>
            <w:r w:rsidR="00A33E4E" w:rsidRPr="00B03929">
              <w:rPr>
                <w:color w:val="000000"/>
                <w:szCs w:val="18"/>
                <w:lang w:val="es-ES_tradnl"/>
              </w:rPr>
              <w:t> </w:t>
            </w:r>
            <w:r w:rsidRPr="00B03929">
              <w:rPr>
                <w:color w:val="000000"/>
                <w:szCs w:val="18"/>
                <w:lang w:val="es-ES_tradnl"/>
              </w:rPr>
              <w:t>2025.</w:t>
            </w:r>
          </w:p>
        </w:tc>
      </w:tr>
      <w:tr w:rsidR="00594485" w:rsidRPr="00B03929" w14:paraId="32956A93" w14:textId="77777777" w:rsidTr="003D0CCC">
        <w:trPr>
          <w:cantSplit/>
          <w:trHeight w:val="57"/>
          <w:jc w:val="right"/>
        </w:trPr>
        <w:tc>
          <w:tcPr>
            <w:tcW w:w="1134" w:type="dxa"/>
          </w:tcPr>
          <w:p w14:paraId="4ECB6CFE" w14:textId="77777777" w:rsidR="00594485" w:rsidRPr="00B03929" w:rsidRDefault="00594485" w:rsidP="003D0CCC">
            <w:pPr>
              <w:pStyle w:val="Normal-pool-Table"/>
              <w:rPr>
                <w:szCs w:val="18"/>
                <w:lang w:val="es-ES_tradnl"/>
              </w:rPr>
            </w:pPr>
            <w:r w:rsidRPr="00B03929">
              <w:rPr>
                <w:color w:val="000000"/>
                <w:szCs w:val="18"/>
                <w:lang w:val="es-ES_tradnl"/>
              </w:rPr>
              <w:t>XXXVII/15</w:t>
            </w:r>
          </w:p>
        </w:tc>
        <w:tc>
          <w:tcPr>
            <w:tcW w:w="1985" w:type="dxa"/>
          </w:tcPr>
          <w:p w14:paraId="6D212F2D" w14:textId="77777777" w:rsidR="00594485" w:rsidRPr="00B03929" w:rsidRDefault="00594485" w:rsidP="003D0CCC">
            <w:pPr>
              <w:pStyle w:val="Normal-pool-Table"/>
              <w:rPr>
                <w:szCs w:val="18"/>
                <w:lang w:val="es-ES_tradnl"/>
              </w:rPr>
            </w:pPr>
            <w:r w:rsidRPr="00B03929">
              <w:rPr>
                <w:color w:val="000000"/>
                <w:szCs w:val="18"/>
                <w:lang w:val="es-ES_tradnl"/>
              </w:rPr>
              <w:t xml:space="preserve">Incumplimiento del Protocolo de Montreal relativo a las Sustancias que Agotan la Capa de Ozono por Tayikistán </w:t>
            </w:r>
          </w:p>
        </w:tc>
        <w:tc>
          <w:tcPr>
            <w:tcW w:w="2977" w:type="dxa"/>
            <w:shd w:val="clear" w:color="auto" w:fill="FFFFFF" w:themeFill="background1"/>
          </w:tcPr>
          <w:p w14:paraId="2D1BC88F" w14:textId="77777777" w:rsidR="00594485" w:rsidRPr="00B03929" w:rsidRDefault="00594485" w:rsidP="003D0CCC">
            <w:pPr>
              <w:pStyle w:val="Normal-pool-Table"/>
              <w:rPr>
                <w:szCs w:val="18"/>
                <w:lang w:val="es-ES_tradnl"/>
              </w:rPr>
            </w:pPr>
            <w:r w:rsidRPr="00B03929">
              <w:rPr>
                <w:color w:val="000000"/>
                <w:szCs w:val="18"/>
                <w:lang w:val="es-ES_tradnl"/>
              </w:rPr>
              <w:t>Notificar la decisión a Tayikistán.</w:t>
            </w:r>
          </w:p>
        </w:tc>
        <w:tc>
          <w:tcPr>
            <w:tcW w:w="3401" w:type="dxa"/>
          </w:tcPr>
          <w:p w14:paraId="1DE9EF7E" w14:textId="01F2D491" w:rsidR="00594485" w:rsidRPr="00B03929" w:rsidRDefault="00594485" w:rsidP="003D0CCC">
            <w:pPr>
              <w:pStyle w:val="Normal-pool-Table"/>
              <w:rPr>
                <w:szCs w:val="18"/>
                <w:lang w:val="es-ES_tradnl"/>
              </w:rPr>
            </w:pPr>
            <w:r w:rsidRPr="00B03929">
              <w:rPr>
                <w:color w:val="000000"/>
                <w:szCs w:val="18"/>
                <w:lang w:val="es-ES_tradnl"/>
              </w:rPr>
              <w:t>Se enviaron cartas el 28 de noviembre de</w:t>
            </w:r>
            <w:r w:rsidR="00A33E4E" w:rsidRPr="00B03929">
              <w:rPr>
                <w:color w:val="000000"/>
                <w:szCs w:val="18"/>
                <w:lang w:val="es-ES_tradnl"/>
              </w:rPr>
              <w:t> </w:t>
            </w:r>
            <w:r w:rsidRPr="00B03929">
              <w:rPr>
                <w:color w:val="000000"/>
                <w:szCs w:val="18"/>
                <w:lang w:val="es-ES_tradnl"/>
              </w:rPr>
              <w:t>2025.</w:t>
            </w:r>
          </w:p>
        </w:tc>
      </w:tr>
      <w:tr w:rsidR="00594485" w:rsidRPr="00B03929" w14:paraId="4A1E925B" w14:textId="77777777" w:rsidTr="003D0CCC">
        <w:trPr>
          <w:cantSplit/>
          <w:trHeight w:val="57"/>
          <w:jc w:val="right"/>
        </w:trPr>
        <w:tc>
          <w:tcPr>
            <w:tcW w:w="1134" w:type="dxa"/>
          </w:tcPr>
          <w:p w14:paraId="29264CEA" w14:textId="77777777" w:rsidR="00594485" w:rsidRPr="00B03929" w:rsidRDefault="00594485" w:rsidP="003D0CCC">
            <w:pPr>
              <w:pStyle w:val="Normal-pool-Table"/>
              <w:rPr>
                <w:szCs w:val="18"/>
                <w:lang w:val="es-ES_tradnl"/>
              </w:rPr>
            </w:pPr>
            <w:r w:rsidRPr="00B03929">
              <w:rPr>
                <w:color w:val="000000"/>
                <w:szCs w:val="18"/>
                <w:lang w:val="es-ES_tradnl"/>
              </w:rPr>
              <w:t>XXXVII/16</w:t>
            </w:r>
          </w:p>
        </w:tc>
        <w:tc>
          <w:tcPr>
            <w:tcW w:w="1985" w:type="dxa"/>
          </w:tcPr>
          <w:p w14:paraId="3D6179BC" w14:textId="77777777" w:rsidR="00594485" w:rsidRPr="00B03929" w:rsidRDefault="00594485" w:rsidP="003D0CCC">
            <w:pPr>
              <w:pStyle w:val="Normal-pool-Table"/>
              <w:rPr>
                <w:szCs w:val="18"/>
                <w:lang w:val="es-ES_tradnl"/>
              </w:rPr>
            </w:pPr>
            <w:r w:rsidRPr="00B03929">
              <w:rPr>
                <w:color w:val="000000"/>
                <w:szCs w:val="18"/>
                <w:lang w:val="es-ES_tradnl"/>
              </w:rPr>
              <w:t>Incumplimiento del Protocolo de Montreal relativo a las Sustancias que Agotan la Capa de Ozono por Zambia</w:t>
            </w:r>
          </w:p>
        </w:tc>
        <w:tc>
          <w:tcPr>
            <w:tcW w:w="2977" w:type="dxa"/>
          </w:tcPr>
          <w:p w14:paraId="5F87FB22" w14:textId="77777777" w:rsidR="00594485" w:rsidRPr="00B03929" w:rsidRDefault="00594485" w:rsidP="003D0CCC">
            <w:pPr>
              <w:pStyle w:val="Normal-pool-Table"/>
              <w:rPr>
                <w:szCs w:val="18"/>
                <w:lang w:val="es-ES_tradnl"/>
              </w:rPr>
            </w:pPr>
            <w:r w:rsidRPr="00B03929">
              <w:rPr>
                <w:color w:val="000000"/>
                <w:szCs w:val="18"/>
                <w:lang w:val="es-ES_tradnl"/>
              </w:rPr>
              <w:t>Notificar la decisión a Zambia.</w:t>
            </w:r>
          </w:p>
        </w:tc>
        <w:tc>
          <w:tcPr>
            <w:tcW w:w="3401" w:type="dxa"/>
          </w:tcPr>
          <w:p w14:paraId="7EBA3F62" w14:textId="0DF549C2" w:rsidR="00594485" w:rsidRPr="00B03929" w:rsidRDefault="00594485" w:rsidP="003D0CCC">
            <w:pPr>
              <w:pStyle w:val="Normal-pool-Table"/>
              <w:rPr>
                <w:szCs w:val="18"/>
                <w:lang w:val="es-ES_tradnl"/>
              </w:rPr>
            </w:pPr>
            <w:r w:rsidRPr="00B03929">
              <w:rPr>
                <w:color w:val="000000"/>
                <w:szCs w:val="18"/>
                <w:lang w:val="es-ES_tradnl"/>
              </w:rPr>
              <w:t>Se envió una carta el 28 de noviembre de</w:t>
            </w:r>
            <w:r w:rsidR="00A33E4E" w:rsidRPr="00B03929">
              <w:rPr>
                <w:color w:val="000000"/>
                <w:szCs w:val="18"/>
                <w:lang w:val="es-ES_tradnl"/>
              </w:rPr>
              <w:t> </w:t>
            </w:r>
            <w:r w:rsidRPr="00B03929">
              <w:rPr>
                <w:color w:val="000000"/>
                <w:szCs w:val="18"/>
                <w:lang w:val="es-ES_tradnl"/>
              </w:rPr>
              <w:t>2025.</w:t>
            </w:r>
          </w:p>
        </w:tc>
      </w:tr>
      <w:tr w:rsidR="00594485" w:rsidRPr="00B03929" w14:paraId="59B86BA5" w14:textId="77777777" w:rsidTr="003D0CCC">
        <w:trPr>
          <w:cantSplit/>
          <w:trHeight w:val="57"/>
          <w:jc w:val="right"/>
        </w:trPr>
        <w:tc>
          <w:tcPr>
            <w:tcW w:w="1134" w:type="dxa"/>
          </w:tcPr>
          <w:p w14:paraId="11E17B5D" w14:textId="77777777" w:rsidR="00594485" w:rsidRPr="00B03929" w:rsidRDefault="00594485" w:rsidP="003D0CCC">
            <w:pPr>
              <w:pStyle w:val="Normal-pool-Table"/>
              <w:rPr>
                <w:szCs w:val="18"/>
                <w:lang w:val="es-ES_tradnl"/>
              </w:rPr>
            </w:pPr>
            <w:r w:rsidRPr="00B03929">
              <w:rPr>
                <w:color w:val="000000"/>
                <w:szCs w:val="18"/>
                <w:lang w:val="es-ES_tradnl"/>
              </w:rPr>
              <w:lastRenderedPageBreak/>
              <w:t>XXXVII/17</w:t>
            </w:r>
          </w:p>
        </w:tc>
        <w:tc>
          <w:tcPr>
            <w:tcW w:w="1985" w:type="dxa"/>
          </w:tcPr>
          <w:p w14:paraId="12464B25" w14:textId="77777777" w:rsidR="00594485" w:rsidRPr="00B03929" w:rsidRDefault="00594485" w:rsidP="003D0CCC">
            <w:pPr>
              <w:pStyle w:val="Normal-pool-Table"/>
              <w:rPr>
                <w:szCs w:val="18"/>
                <w:lang w:val="es-ES_tradnl"/>
              </w:rPr>
            </w:pPr>
            <w:r w:rsidRPr="00B03929">
              <w:rPr>
                <w:color w:val="000000"/>
                <w:szCs w:val="18"/>
                <w:lang w:val="es-ES_tradnl"/>
              </w:rPr>
              <w:t>Estado de ratificación de la Enmienda de Kigali al Protocolo de Montreal relativo a las Sustancias que Agotan la Capa de Ozono</w:t>
            </w:r>
          </w:p>
        </w:tc>
        <w:tc>
          <w:tcPr>
            <w:tcW w:w="2977" w:type="dxa"/>
          </w:tcPr>
          <w:p w14:paraId="2DBD924D" w14:textId="77777777" w:rsidR="00594485" w:rsidRPr="00B03929" w:rsidRDefault="00594485" w:rsidP="003D0CCC">
            <w:pPr>
              <w:pStyle w:val="Normal-pool-Table"/>
              <w:rPr>
                <w:szCs w:val="18"/>
                <w:lang w:val="es-ES_tradnl"/>
              </w:rPr>
            </w:pPr>
            <w:r w:rsidRPr="00B03929">
              <w:rPr>
                <w:color w:val="000000"/>
                <w:szCs w:val="18"/>
                <w:lang w:val="es-ES_tradnl"/>
              </w:rPr>
              <w:t>Notificar a las Partes que aún no hubiesen ratificado la Enmienda de Kigali.</w:t>
            </w:r>
          </w:p>
        </w:tc>
        <w:tc>
          <w:tcPr>
            <w:tcW w:w="3401" w:type="dxa"/>
          </w:tcPr>
          <w:p w14:paraId="5CA24EDD" w14:textId="77E0C845" w:rsidR="00594485" w:rsidRPr="00B03929" w:rsidRDefault="00594485" w:rsidP="003D0CCC">
            <w:pPr>
              <w:pStyle w:val="Normal-pool-Table"/>
              <w:rPr>
                <w:szCs w:val="18"/>
                <w:lang w:val="es-ES_tradnl"/>
              </w:rPr>
            </w:pPr>
            <w:r w:rsidRPr="00B03929">
              <w:rPr>
                <w:color w:val="000000"/>
                <w:szCs w:val="18"/>
                <w:lang w:val="es-ES_tradnl"/>
              </w:rPr>
              <w:t>Se envió una notificación el 27 de noviembre de 2025 a las Partes en el Protocolo de Montreal que aún no habían ratificado la Enmienda de Kigali y se ha llevado un seguimiento periódico de las Partes desde ese momento. Desde la adopción de la decisión XXXVII/17, otras cinco Partes en el Protocolo de Montreal han ratificado la Enmienda de Kigali.</w:t>
            </w:r>
          </w:p>
        </w:tc>
      </w:tr>
      <w:tr w:rsidR="00594485" w:rsidRPr="00B03929" w14:paraId="6D848182" w14:textId="77777777" w:rsidTr="003D0CCC">
        <w:trPr>
          <w:cantSplit/>
          <w:trHeight w:val="57"/>
          <w:jc w:val="right"/>
        </w:trPr>
        <w:tc>
          <w:tcPr>
            <w:tcW w:w="1134" w:type="dxa"/>
          </w:tcPr>
          <w:p w14:paraId="13068058" w14:textId="77777777" w:rsidR="00594485" w:rsidRPr="00B03929" w:rsidRDefault="00594485" w:rsidP="003D0CCC">
            <w:pPr>
              <w:pStyle w:val="Normal-pool-Table"/>
              <w:rPr>
                <w:szCs w:val="18"/>
                <w:lang w:val="es-ES_tradnl"/>
              </w:rPr>
            </w:pPr>
            <w:r w:rsidRPr="00B03929">
              <w:rPr>
                <w:color w:val="000000"/>
                <w:szCs w:val="18"/>
                <w:lang w:val="es-ES_tradnl"/>
              </w:rPr>
              <w:t>XXXVII/18</w:t>
            </w:r>
          </w:p>
        </w:tc>
        <w:tc>
          <w:tcPr>
            <w:tcW w:w="1985" w:type="dxa"/>
          </w:tcPr>
          <w:p w14:paraId="7B767CEB" w14:textId="77777777" w:rsidR="00594485" w:rsidRPr="00B03929" w:rsidRDefault="00594485" w:rsidP="003D0CCC">
            <w:pPr>
              <w:pStyle w:val="Normal-pool-Table"/>
              <w:rPr>
                <w:szCs w:val="18"/>
                <w:lang w:val="es-ES_tradnl"/>
              </w:rPr>
            </w:pPr>
            <w:r w:rsidRPr="00B03929">
              <w:rPr>
                <w:color w:val="000000"/>
                <w:szCs w:val="18"/>
                <w:lang w:val="es-ES_tradnl"/>
              </w:rPr>
              <w:t>Cambios en la composición del Grupo de Evaluación Tecnológica y Económica</w:t>
            </w:r>
          </w:p>
        </w:tc>
        <w:tc>
          <w:tcPr>
            <w:tcW w:w="2977" w:type="dxa"/>
          </w:tcPr>
          <w:p w14:paraId="0BA3321E" w14:textId="77777777" w:rsidR="00594485" w:rsidRPr="00B03929" w:rsidRDefault="00594485" w:rsidP="003D0CCC">
            <w:pPr>
              <w:pStyle w:val="Normal-pool-Table"/>
              <w:rPr>
                <w:szCs w:val="18"/>
                <w:lang w:val="es-ES_tradnl"/>
              </w:rPr>
            </w:pPr>
            <w:r w:rsidRPr="00B03929">
              <w:rPr>
                <w:color w:val="000000"/>
                <w:szCs w:val="18"/>
                <w:lang w:val="es-ES_tradnl"/>
              </w:rPr>
              <w:t>Notificar la decisión a la Copresidencia del Comité de opciones técnicas sobre el bromuro de metilo, la Copresidencia del Comité de opciones técnicas médicas y sobre productos químicos y a la Copresidencia del Comité de opciones técnicas sobre espumas flexibles y rígidas, y actualizar el sitio web de la Secretaría para reflejar los cambios en la composición de los grupos.</w:t>
            </w:r>
          </w:p>
        </w:tc>
        <w:tc>
          <w:tcPr>
            <w:tcW w:w="3401" w:type="dxa"/>
          </w:tcPr>
          <w:p w14:paraId="0EC66E5C" w14:textId="1011B25E" w:rsidR="00594485" w:rsidRPr="00B03929" w:rsidRDefault="00594485" w:rsidP="003D0CCC">
            <w:pPr>
              <w:pStyle w:val="Normal-pool-Table"/>
              <w:rPr>
                <w:szCs w:val="18"/>
                <w:lang w:val="es-ES_tradnl"/>
              </w:rPr>
            </w:pPr>
            <w:r w:rsidRPr="00B03929">
              <w:rPr>
                <w:color w:val="000000"/>
                <w:szCs w:val="18"/>
                <w:lang w:val="es-ES_tradnl"/>
              </w:rPr>
              <w:t>Se enviaron notificaciones el 1 de diciembre de 2025 y se actualizaron en consecuencia las páginas pertinentes del sitio web de la Secretaría.</w:t>
            </w:r>
          </w:p>
        </w:tc>
      </w:tr>
      <w:tr w:rsidR="00594485" w:rsidRPr="00B03929" w14:paraId="2CE082F8" w14:textId="77777777" w:rsidTr="003D0CCC">
        <w:trPr>
          <w:cantSplit/>
          <w:trHeight w:val="57"/>
          <w:jc w:val="right"/>
        </w:trPr>
        <w:tc>
          <w:tcPr>
            <w:tcW w:w="1134" w:type="dxa"/>
          </w:tcPr>
          <w:p w14:paraId="0F693A03" w14:textId="77777777" w:rsidR="00594485" w:rsidRPr="00B03929" w:rsidRDefault="00594485" w:rsidP="003D0CCC">
            <w:pPr>
              <w:pStyle w:val="Normal-pool-Table"/>
              <w:rPr>
                <w:szCs w:val="18"/>
                <w:lang w:val="es-ES_tradnl"/>
              </w:rPr>
            </w:pPr>
            <w:r w:rsidRPr="00B03929">
              <w:rPr>
                <w:color w:val="000000"/>
                <w:szCs w:val="18"/>
                <w:lang w:val="es-ES_tradnl"/>
              </w:rPr>
              <w:t>XXXVII/19</w:t>
            </w:r>
          </w:p>
        </w:tc>
        <w:tc>
          <w:tcPr>
            <w:tcW w:w="1985" w:type="dxa"/>
          </w:tcPr>
          <w:p w14:paraId="52E33A37" w14:textId="3B870DDA" w:rsidR="00594485" w:rsidRPr="00B03929" w:rsidRDefault="00594485" w:rsidP="003D0CCC">
            <w:pPr>
              <w:pStyle w:val="Normal-pool-Table"/>
              <w:rPr>
                <w:szCs w:val="18"/>
                <w:lang w:val="es-ES_tradnl"/>
              </w:rPr>
            </w:pPr>
            <w:r w:rsidRPr="00B03929">
              <w:rPr>
                <w:color w:val="000000"/>
                <w:szCs w:val="18"/>
                <w:lang w:val="es-ES_tradnl"/>
              </w:rPr>
              <w:t>Composición del Comité Ejecutivo del Fondo Multilateral para la Aplicación del Protocolo de Montreal</w:t>
            </w:r>
          </w:p>
        </w:tc>
        <w:tc>
          <w:tcPr>
            <w:tcW w:w="2977" w:type="dxa"/>
          </w:tcPr>
          <w:p w14:paraId="723D2180" w14:textId="77777777" w:rsidR="00594485" w:rsidRPr="00B03929" w:rsidRDefault="00594485" w:rsidP="003D0CCC">
            <w:pPr>
              <w:pStyle w:val="Normal-pool-Table"/>
              <w:rPr>
                <w:szCs w:val="18"/>
                <w:lang w:val="es-ES_tradnl"/>
              </w:rPr>
            </w:pPr>
            <w:r w:rsidRPr="00B03929">
              <w:rPr>
                <w:color w:val="000000"/>
                <w:szCs w:val="18"/>
                <w:lang w:val="es-ES_tradnl"/>
              </w:rPr>
              <w:t xml:space="preserve">Actualizar el sitio web de la Secretaría a fin de incluir a los miembros seleccionados para que prestasen servicio en el Comité Ejecutivo (Australia, Austria, Bélgica, Brasil, Camerún, Cuba, Estados Unidos de América, Francia, India, Japón, Kazajstán, Kuwait, </w:t>
            </w:r>
            <w:proofErr w:type="spellStart"/>
            <w:r w:rsidRPr="00B03929">
              <w:rPr>
                <w:color w:val="000000"/>
                <w:szCs w:val="18"/>
                <w:lang w:val="es-ES_tradnl"/>
              </w:rPr>
              <w:t>Lesotho</w:t>
            </w:r>
            <w:proofErr w:type="spellEnd"/>
            <w:r w:rsidRPr="00B03929">
              <w:rPr>
                <w:color w:val="000000"/>
                <w:szCs w:val="18"/>
                <w:lang w:val="es-ES_tradnl"/>
              </w:rPr>
              <w:t xml:space="preserve"> y México).</w:t>
            </w:r>
          </w:p>
        </w:tc>
        <w:tc>
          <w:tcPr>
            <w:tcW w:w="3401" w:type="dxa"/>
          </w:tcPr>
          <w:p w14:paraId="2E3B1D51" w14:textId="3C4A383C" w:rsidR="00594485" w:rsidRPr="00B03929" w:rsidRDefault="00594485" w:rsidP="003D0CCC">
            <w:pPr>
              <w:pStyle w:val="Normal-pool-Table"/>
              <w:rPr>
                <w:lang w:val="es-ES_tradnl"/>
              </w:rPr>
            </w:pPr>
            <w:r w:rsidRPr="00B03929">
              <w:rPr>
                <w:color w:val="000000"/>
                <w:lang w:val="es-ES_tradnl"/>
              </w:rPr>
              <w:t>El sitio web de la Secretaría se actualizó el</w:t>
            </w:r>
            <w:r w:rsidR="0045257E" w:rsidRPr="00B03929">
              <w:rPr>
                <w:color w:val="000000"/>
                <w:lang w:val="es-ES_tradnl"/>
              </w:rPr>
              <w:t> </w:t>
            </w:r>
            <w:r w:rsidRPr="00B03929">
              <w:rPr>
                <w:color w:val="000000"/>
                <w:lang w:val="es-ES_tradnl"/>
              </w:rPr>
              <w:t>25 de noviembre de 2025. Se enviaron notificaciones a la Presidencia y la Vicepresidencia del Comité el 26 de noviembre de 2025. El Comité Ejecutivo se</w:t>
            </w:r>
            <w:r w:rsidR="00816A3D">
              <w:rPr>
                <w:color w:val="000000"/>
                <w:lang w:val="es-ES_tradnl"/>
              </w:rPr>
              <w:t> </w:t>
            </w:r>
            <w:r w:rsidRPr="00B03929">
              <w:rPr>
                <w:color w:val="000000"/>
                <w:lang w:val="es-ES_tradnl"/>
              </w:rPr>
              <w:t>reunió del 22 al 26 de junio de 2026 y se</w:t>
            </w:r>
            <w:r w:rsidR="00816A3D">
              <w:rPr>
                <w:color w:val="000000"/>
                <w:lang w:val="es-ES_tradnl"/>
              </w:rPr>
              <w:t> </w:t>
            </w:r>
            <w:r w:rsidRPr="00B03929">
              <w:rPr>
                <w:color w:val="000000"/>
                <w:lang w:val="es-ES_tradnl"/>
              </w:rPr>
              <w:t>reunirá nuevamente del 7 al 11 de diciembre de 2026.</w:t>
            </w:r>
          </w:p>
        </w:tc>
      </w:tr>
      <w:tr w:rsidR="00594485" w:rsidRPr="00B03929" w14:paraId="7118745D" w14:textId="77777777" w:rsidTr="003D0CCC">
        <w:trPr>
          <w:cantSplit/>
          <w:trHeight w:val="57"/>
          <w:jc w:val="right"/>
        </w:trPr>
        <w:tc>
          <w:tcPr>
            <w:tcW w:w="1134" w:type="dxa"/>
          </w:tcPr>
          <w:p w14:paraId="3C0D3611" w14:textId="77777777" w:rsidR="00594485" w:rsidRPr="00B03929" w:rsidRDefault="00594485" w:rsidP="003D0CCC">
            <w:pPr>
              <w:pStyle w:val="Normal-pool-Table"/>
              <w:rPr>
                <w:szCs w:val="18"/>
                <w:lang w:val="es-ES_tradnl"/>
              </w:rPr>
            </w:pPr>
            <w:r w:rsidRPr="00B03929">
              <w:rPr>
                <w:color w:val="000000"/>
                <w:szCs w:val="18"/>
                <w:lang w:val="es-ES_tradnl"/>
              </w:rPr>
              <w:t>XXXVII/20</w:t>
            </w:r>
          </w:p>
        </w:tc>
        <w:tc>
          <w:tcPr>
            <w:tcW w:w="1985" w:type="dxa"/>
          </w:tcPr>
          <w:p w14:paraId="61DFF913" w14:textId="77777777" w:rsidR="00594485" w:rsidRPr="00B03929" w:rsidRDefault="00594485" w:rsidP="003D0CCC">
            <w:pPr>
              <w:pStyle w:val="Normal-pool-Table"/>
              <w:rPr>
                <w:szCs w:val="18"/>
                <w:lang w:val="es-ES_tradnl"/>
              </w:rPr>
            </w:pPr>
            <w:r w:rsidRPr="00B03929">
              <w:rPr>
                <w:color w:val="000000"/>
                <w:szCs w:val="18"/>
                <w:lang w:val="es-ES_tradnl"/>
              </w:rPr>
              <w:t>Copresidencias del Grupo de Trabajo de composición abierta de las Partes en el Protocolo de Montreal relativo a las Sustancias que Agotan la Capa de Ozono</w:t>
            </w:r>
          </w:p>
        </w:tc>
        <w:tc>
          <w:tcPr>
            <w:tcW w:w="2977" w:type="dxa"/>
          </w:tcPr>
          <w:p w14:paraId="68633201" w14:textId="77777777" w:rsidR="00594485" w:rsidRPr="00B03929" w:rsidRDefault="00594485" w:rsidP="003D0CCC">
            <w:pPr>
              <w:pStyle w:val="Normal-pool-Table"/>
              <w:rPr>
                <w:szCs w:val="18"/>
                <w:lang w:val="es-ES_tradnl"/>
              </w:rPr>
            </w:pPr>
            <w:r w:rsidRPr="00B03929">
              <w:rPr>
                <w:color w:val="000000"/>
                <w:szCs w:val="18"/>
                <w:lang w:val="es-ES_tradnl"/>
              </w:rPr>
              <w:t>Notificar la decisión a las Copresidentas designadas, Annie Gabriel (Australia) y Leila Akello Gonasa (Uganda).</w:t>
            </w:r>
          </w:p>
        </w:tc>
        <w:tc>
          <w:tcPr>
            <w:tcW w:w="3401" w:type="dxa"/>
          </w:tcPr>
          <w:p w14:paraId="408243FA" w14:textId="29B7A693" w:rsidR="00594485" w:rsidRPr="00B03929" w:rsidRDefault="00594485" w:rsidP="007B15DA">
            <w:pPr>
              <w:pStyle w:val="Normal-pool-Table"/>
              <w:spacing w:after="120"/>
              <w:rPr>
                <w:szCs w:val="18"/>
                <w:lang w:val="es-ES_tradnl"/>
              </w:rPr>
            </w:pPr>
            <w:r w:rsidRPr="00B03929">
              <w:rPr>
                <w:color w:val="000000"/>
                <w:szCs w:val="18"/>
                <w:lang w:val="es-ES_tradnl"/>
              </w:rPr>
              <w:t xml:space="preserve">Se enviaron cartas a las Copresidentas el 26 de noviembre de 2025. </w:t>
            </w:r>
          </w:p>
          <w:p w14:paraId="6076B213" w14:textId="18F5A4DB" w:rsidR="00594485" w:rsidRPr="00B03929" w:rsidRDefault="00594485" w:rsidP="007B15DA">
            <w:pPr>
              <w:pStyle w:val="Normal-pool-Table"/>
              <w:spacing w:after="120"/>
              <w:rPr>
                <w:szCs w:val="18"/>
                <w:lang w:val="es-ES_tradnl"/>
              </w:rPr>
            </w:pPr>
            <w:r w:rsidRPr="00B03929">
              <w:rPr>
                <w:color w:val="000000"/>
                <w:szCs w:val="18"/>
                <w:lang w:val="es-ES_tradnl"/>
              </w:rPr>
              <w:t>El 7 de junio de 2026, la Secretaría del Ozono informó a las Partes de que la Sra.</w:t>
            </w:r>
            <w:r w:rsidR="00816A3D">
              <w:rPr>
                <w:color w:val="000000"/>
                <w:szCs w:val="18"/>
                <w:lang w:val="es-ES_tradnl"/>
              </w:rPr>
              <w:t> </w:t>
            </w:r>
            <w:r w:rsidRPr="00B03929">
              <w:rPr>
                <w:color w:val="000000"/>
                <w:szCs w:val="18"/>
                <w:lang w:val="es-ES_tradnl"/>
              </w:rPr>
              <w:t xml:space="preserve">Akello no podría asistir a la 48ª reunión del Grupo de Trabajo de composición abierta debido a las restricciones a los viajes. En consecuencia, el Grupo de Trabajo de composición abierta, en su 48ª reunión, eligió a </w:t>
            </w:r>
            <w:proofErr w:type="spellStart"/>
            <w:r w:rsidRPr="00B03929">
              <w:rPr>
                <w:color w:val="000000"/>
                <w:szCs w:val="18"/>
                <w:lang w:val="es-ES_tradnl"/>
              </w:rPr>
              <w:t>Igobe</w:t>
            </w:r>
            <w:proofErr w:type="spellEnd"/>
            <w:r w:rsidRPr="00B03929">
              <w:rPr>
                <w:color w:val="000000"/>
                <w:szCs w:val="18"/>
                <w:lang w:val="es-ES_tradnl"/>
              </w:rPr>
              <w:t xml:space="preserve"> Mbulawa, de Botswana, para el cargo de Copresidenta.</w:t>
            </w:r>
          </w:p>
          <w:p w14:paraId="449A5E17" w14:textId="466F51CA" w:rsidR="00594485" w:rsidRPr="00B03929" w:rsidRDefault="00594485" w:rsidP="003D0CCC">
            <w:pPr>
              <w:pStyle w:val="Normal-pool-Table"/>
              <w:rPr>
                <w:szCs w:val="18"/>
                <w:lang w:val="es-ES_tradnl"/>
              </w:rPr>
            </w:pPr>
            <w:r w:rsidRPr="00B03929">
              <w:rPr>
                <w:color w:val="000000"/>
                <w:szCs w:val="18"/>
                <w:lang w:val="es-ES_tradnl"/>
              </w:rPr>
              <w:t>La 48ª reunión del Grupo de Trabajo de composición abierta se celebró de forma presencial en julio de 2025 y estuvo presidida por la Sra. Gabriel y la Sra.</w:t>
            </w:r>
            <w:r w:rsidR="00816A3D">
              <w:rPr>
                <w:color w:val="000000"/>
                <w:szCs w:val="18"/>
                <w:lang w:val="es-ES_tradnl"/>
              </w:rPr>
              <w:t> </w:t>
            </w:r>
            <w:r w:rsidRPr="00B03929">
              <w:rPr>
                <w:color w:val="000000"/>
                <w:szCs w:val="18"/>
                <w:lang w:val="es-ES_tradnl"/>
              </w:rPr>
              <w:t>Mbulawa.</w:t>
            </w:r>
          </w:p>
        </w:tc>
      </w:tr>
      <w:tr w:rsidR="00594485" w:rsidRPr="00B03929" w14:paraId="0BB849DD" w14:textId="77777777" w:rsidTr="003D0CCC">
        <w:trPr>
          <w:cantSplit/>
          <w:trHeight w:val="57"/>
          <w:jc w:val="right"/>
        </w:trPr>
        <w:tc>
          <w:tcPr>
            <w:tcW w:w="1134" w:type="dxa"/>
          </w:tcPr>
          <w:p w14:paraId="52351616" w14:textId="77777777" w:rsidR="00594485" w:rsidRPr="00B03929" w:rsidRDefault="00594485" w:rsidP="003D0CCC">
            <w:pPr>
              <w:pStyle w:val="Normal-pool-Table"/>
              <w:rPr>
                <w:szCs w:val="18"/>
                <w:lang w:val="es-ES_tradnl"/>
              </w:rPr>
            </w:pPr>
            <w:r w:rsidRPr="00B03929">
              <w:rPr>
                <w:color w:val="000000"/>
                <w:szCs w:val="18"/>
                <w:lang w:val="es-ES_tradnl"/>
              </w:rPr>
              <w:lastRenderedPageBreak/>
              <w:t>XXXVII/21</w:t>
            </w:r>
          </w:p>
        </w:tc>
        <w:tc>
          <w:tcPr>
            <w:tcW w:w="1985" w:type="dxa"/>
          </w:tcPr>
          <w:p w14:paraId="599D1F09" w14:textId="77777777" w:rsidR="00594485" w:rsidRPr="00B03929" w:rsidRDefault="00594485" w:rsidP="003D0CCC">
            <w:pPr>
              <w:pStyle w:val="Normal-pool-Table"/>
              <w:rPr>
                <w:szCs w:val="18"/>
                <w:lang w:val="es-ES_tradnl"/>
              </w:rPr>
            </w:pPr>
            <w:r w:rsidRPr="00B03929">
              <w:rPr>
                <w:color w:val="000000"/>
                <w:szCs w:val="18"/>
                <w:lang w:val="es-ES_tradnl"/>
              </w:rPr>
              <w:t>Reunión Extraordinaria de las Partes en 2026 en relación con la composición del Comité de Aplicación establecido con arreglo al Procedimiento relativo al Incumplimiento del Protocolo de Montreal relativo a las Sustancias que Agotan la Capa de Ozono</w:t>
            </w:r>
          </w:p>
        </w:tc>
        <w:tc>
          <w:tcPr>
            <w:tcW w:w="2977" w:type="dxa"/>
          </w:tcPr>
          <w:p w14:paraId="7BBC7C53" w14:textId="742DAF1A" w:rsidR="00594485" w:rsidRPr="00B03929" w:rsidRDefault="00594485" w:rsidP="003D0CCC">
            <w:pPr>
              <w:pStyle w:val="Normal-pool-Table"/>
              <w:rPr>
                <w:szCs w:val="18"/>
                <w:lang w:val="es-ES_tradnl"/>
              </w:rPr>
            </w:pPr>
            <w:r w:rsidRPr="00B03929">
              <w:rPr>
                <w:color w:val="000000"/>
                <w:szCs w:val="18"/>
                <w:lang w:val="es-ES_tradnl"/>
              </w:rPr>
              <w:t>Organizar una reunión extraordinaria de las Partes durante la 48ª reunión del Grupo de Trabajo de composición abierta, con el fin de que las Partes pudiesen adoptar una decisión sobre la composición pendiente del Comité de Aplicación para 2026, antes de la</w:t>
            </w:r>
            <w:r w:rsidR="00502990" w:rsidRPr="00B03929">
              <w:rPr>
                <w:color w:val="000000"/>
                <w:szCs w:val="18"/>
                <w:lang w:val="es-ES_tradnl"/>
              </w:rPr>
              <w:t> </w:t>
            </w:r>
            <w:r w:rsidRPr="00B03929">
              <w:rPr>
                <w:color w:val="000000"/>
                <w:szCs w:val="18"/>
                <w:lang w:val="es-ES_tradnl"/>
              </w:rPr>
              <w:t>76ª reunión de ese Comité.</w:t>
            </w:r>
          </w:p>
        </w:tc>
        <w:tc>
          <w:tcPr>
            <w:tcW w:w="3401" w:type="dxa"/>
          </w:tcPr>
          <w:p w14:paraId="08FA771D" w14:textId="2A35910A" w:rsidR="00594485" w:rsidRPr="00B03929" w:rsidRDefault="00594485" w:rsidP="003D0CCC">
            <w:pPr>
              <w:pStyle w:val="Normal-pool-Table"/>
              <w:rPr>
                <w:szCs w:val="18"/>
                <w:lang w:val="es-ES_tradnl"/>
              </w:rPr>
            </w:pPr>
            <w:r w:rsidRPr="00B03929">
              <w:rPr>
                <w:color w:val="000000"/>
                <w:szCs w:val="18"/>
                <w:lang w:val="es-ES_tradnl"/>
              </w:rPr>
              <w:t xml:space="preserve">La Sexta Reunión Extraordinaria de las Partes se celebró en el Centro de Conferencias de las Naciones Unidas, en Bangkok, el 14 de julio de 2026. La Sexta Reunión Extraordinaria de las Partes adoptó la decisión </w:t>
            </w:r>
            <w:proofErr w:type="spellStart"/>
            <w:r w:rsidRPr="00B03929">
              <w:rPr>
                <w:color w:val="000000"/>
                <w:szCs w:val="18"/>
                <w:lang w:val="es-ES_tradnl"/>
              </w:rPr>
              <w:t>Ex.VI</w:t>
            </w:r>
            <w:proofErr w:type="spellEnd"/>
            <w:r w:rsidRPr="00B03929">
              <w:rPr>
                <w:color w:val="000000"/>
                <w:szCs w:val="18"/>
                <w:lang w:val="es-ES_tradnl"/>
              </w:rPr>
              <w:t xml:space="preserve">/1 sobre la composición del Comité de Aplicación, en la que </w:t>
            </w:r>
            <w:r w:rsidR="001F0312" w:rsidRPr="00B03929">
              <w:rPr>
                <w:color w:val="000000"/>
                <w:szCs w:val="18"/>
                <w:lang w:val="es-ES_tradnl"/>
              </w:rPr>
              <w:t xml:space="preserve">hizo </w:t>
            </w:r>
            <w:r w:rsidRPr="00B03929">
              <w:rPr>
                <w:color w:val="000000"/>
                <w:szCs w:val="18"/>
                <w:lang w:val="es-ES_tradnl"/>
              </w:rPr>
              <w:t>nota</w:t>
            </w:r>
            <w:r w:rsidR="001F0312" w:rsidRPr="00B03929">
              <w:rPr>
                <w:color w:val="000000"/>
                <w:szCs w:val="18"/>
                <w:lang w:val="es-ES_tradnl"/>
              </w:rPr>
              <w:t>r</w:t>
            </w:r>
            <w:r w:rsidRPr="00B03929">
              <w:rPr>
                <w:color w:val="000000"/>
                <w:szCs w:val="18"/>
                <w:lang w:val="es-ES_tradnl"/>
              </w:rPr>
              <w:t xml:space="preserve"> con aprecio la labor realizada por este Comité en 2025</w:t>
            </w:r>
            <w:r w:rsidR="0008499E" w:rsidRPr="00B03929">
              <w:rPr>
                <w:color w:val="000000"/>
                <w:szCs w:val="18"/>
                <w:lang w:val="es-ES_tradnl"/>
              </w:rPr>
              <w:t>;</w:t>
            </w:r>
            <w:r w:rsidRPr="00B03929">
              <w:rPr>
                <w:color w:val="000000"/>
                <w:szCs w:val="18"/>
                <w:lang w:val="es-ES_tradnl"/>
              </w:rPr>
              <w:t xml:space="preserve"> confirmó los puestos de la Arabia Saudita, Benin, Montenegro, el Reino de los Países Bajos y la República Dominicana como miembros del Comité hasta el 31 de diciembre de 2026, y seleccionó a Azerbaiyán, el Ecuador, Kenya, el Líbano y Noruega como miembros del Comité hasta el 31 de diciembre de 2027,</w:t>
            </w:r>
            <w:r w:rsidR="00AD1C3C" w:rsidRPr="00B03929">
              <w:rPr>
                <w:color w:val="000000"/>
                <w:szCs w:val="18"/>
                <w:lang w:val="es-ES_tradnl"/>
              </w:rPr>
              <w:t xml:space="preserve"> y</w:t>
            </w:r>
            <w:r w:rsidRPr="00B03929">
              <w:rPr>
                <w:color w:val="000000"/>
                <w:szCs w:val="18"/>
                <w:lang w:val="es-ES_tradnl"/>
              </w:rPr>
              <w:t xml:space="preserve"> tomó nota de la elección de Linda Kosgei (Kenya) como Presidenta y de Sandrine Benard (Noruega) como Vicepresidenta y Relatora del Comité hasta el 31 de diciembre de 2026. La 76ª reunión del Comité de Aplicación se celebró los días 18 y 19 de julio de 2026 en Bangkok.</w:t>
            </w:r>
          </w:p>
        </w:tc>
      </w:tr>
      <w:tr w:rsidR="00594485" w:rsidRPr="00B03929" w14:paraId="515994F8" w14:textId="77777777" w:rsidTr="003D0CCC">
        <w:trPr>
          <w:cantSplit/>
          <w:trHeight w:val="57"/>
          <w:jc w:val="right"/>
        </w:trPr>
        <w:tc>
          <w:tcPr>
            <w:tcW w:w="1134" w:type="dxa"/>
          </w:tcPr>
          <w:p w14:paraId="37F64AD9" w14:textId="77777777" w:rsidR="00594485" w:rsidRPr="00B03929" w:rsidRDefault="00594485" w:rsidP="003D0CCC">
            <w:pPr>
              <w:pStyle w:val="Normal-pool-Table"/>
              <w:rPr>
                <w:szCs w:val="18"/>
                <w:lang w:val="es-ES_tradnl"/>
              </w:rPr>
            </w:pPr>
            <w:r w:rsidRPr="00B03929">
              <w:rPr>
                <w:color w:val="000000"/>
                <w:szCs w:val="18"/>
                <w:lang w:val="es-ES_tradnl"/>
              </w:rPr>
              <w:t>XXXVII/22</w:t>
            </w:r>
          </w:p>
        </w:tc>
        <w:tc>
          <w:tcPr>
            <w:tcW w:w="1985" w:type="dxa"/>
          </w:tcPr>
          <w:p w14:paraId="7EA23D12" w14:textId="77777777" w:rsidR="00594485" w:rsidRPr="00B03929" w:rsidRDefault="00594485" w:rsidP="003D0CCC">
            <w:pPr>
              <w:pStyle w:val="Normal-pool-Table"/>
              <w:rPr>
                <w:szCs w:val="18"/>
                <w:lang w:val="es-ES_tradnl"/>
              </w:rPr>
            </w:pPr>
            <w:r w:rsidRPr="00B03929">
              <w:rPr>
                <w:color w:val="000000"/>
                <w:szCs w:val="18"/>
                <w:lang w:val="es-ES_tradnl"/>
              </w:rPr>
              <w:t>38ª Reunión de las Partes en el Protocolo de Montreal relativo a las Sustancias que Agotan la Capa de Ozono</w:t>
            </w:r>
          </w:p>
        </w:tc>
        <w:tc>
          <w:tcPr>
            <w:tcW w:w="2977" w:type="dxa"/>
          </w:tcPr>
          <w:p w14:paraId="310DDE5D" w14:textId="77777777" w:rsidR="00594485" w:rsidRPr="00B03929" w:rsidRDefault="00594485" w:rsidP="003D0CCC">
            <w:pPr>
              <w:pStyle w:val="Normal-pool-Table"/>
              <w:rPr>
                <w:szCs w:val="18"/>
                <w:lang w:val="es-ES_tradnl"/>
              </w:rPr>
            </w:pPr>
            <w:r w:rsidRPr="00B03929">
              <w:rPr>
                <w:color w:val="000000"/>
                <w:szCs w:val="18"/>
                <w:lang w:val="es-ES_tradnl"/>
              </w:rPr>
              <w:t>Notificar la decisión a todas las Partes y trabajar en la logística para celebrar la reunión.</w:t>
            </w:r>
          </w:p>
        </w:tc>
        <w:tc>
          <w:tcPr>
            <w:tcW w:w="3401" w:type="dxa"/>
          </w:tcPr>
          <w:p w14:paraId="7C187551" w14:textId="6B4F2DEB" w:rsidR="00594485" w:rsidRPr="00B03929" w:rsidRDefault="00594485" w:rsidP="003D0CCC">
            <w:pPr>
              <w:pStyle w:val="Normal-pool-Table"/>
              <w:rPr>
                <w:szCs w:val="18"/>
                <w:lang w:val="es-ES_tradnl"/>
              </w:rPr>
            </w:pPr>
            <w:r w:rsidRPr="00B03929">
              <w:rPr>
                <w:color w:val="000000"/>
                <w:szCs w:val="18"/>
                <w:lang w:val="es-ES_tradnl"/>
              </w:rPr>
              <w:t>La Secretaría está organizando la 38ª Reunión de las Partes, que se celebrará del</w:t>
            </w:r>
            <w:r w:rsidR="004E7525" w:rsidRPr="00B03929">
              <w:rPr>
                <w:color w:val="000000"/>
                <w:szCs w:val="18"/>
                <w:lang w:val="es-ES_tradnl"/>
              </w:rPr>
              <w:t> </w:t>
            </w:r>
            <w:r w:rsidRPr="00B03929">
              <w:rPr>
                <w:color w:val="000000"/>
                <w:szCs w:val="18"/>
                <w:lang w:val="es-ES_tradnl"/>
              </w:rPr>
              <w:t>2 al 6 de noviembre de 2026 en Kigali. El 20 de julio de 2026 se enviaron invitaciones a todas las Partes.</w:t>
            </w:r>
          </w:p>
        </w:tc>
      </w:tr>
      <w:tr w:rsidR="00594485" w:rsidRPr="00B03929" w14:paraId="56BBDBA3" w14:textId="77777777" w:rsidTr="003D0CCC">
        <w:trPr>
          <w:cantSplit/>
          <w:trHeight w:val="57"/>
          <w:jc w:val="right"/>
        </w:trPr>
        <w:tc>
          <w:tcPr>
            <w:tcW w:w="1134" w:type="dxa"/>
          </w:tcPr>
          <w:p w14:paraId="74B4C156" w14:textId="356CE2B5" w:rsidR="00594485" w:rsidRPr="00B03929" w:rsidRDefault="00594485" w:rsidP="003D0CCC">
            <w:pPr>
              <w:pStyle w:val="Normal-pool-Table"/>
              <w:rPr>
                <w:szCs w:val="18"/>
                <w:lang w:val="es-ES_tradnl"/>
              </w:rPr>
            </w:pPr>
            <w:r w:rsidRPr="00B03929">
              <w:rPr>
                <w:color w:val="000000"/>
                <w:szCs w:val="18"/>
                <w:lang w:val="es-ES_tradnl"/>
              </w:rPr>
              <w:lastRenderedPageBreak/>
              <w:t>XXXVII/23</w:t>
            </w:r>
          </w:p>
        </w:tc>
        <w:tc>
          <w:tcPr>
            <w:tcW w:w="1985" w:type="dxa"/>
          </w:tcPr>
          <w:p w14:paraId="5569F8E0" w14:textId="2D842D62" w:rsidR="00594485" w:rsidRPr="00B03929" w:rsidRDefault="00594485" w:rsidP="003D0CCC">
            <w:pPr>
              <w:pStyle w:val="Normal-pool-Table"/>
              <w:rPr>
                <w:szCs w:val="18"/>
                <w:lang w:val="es-ES_tradnl"/>
              </w:rPr>
            </w:pPr>
            <w:r w:rsidRPr="00B03929">
              <w:rPr>
                <w:color w:val="000000"/>
                <w:szCs w:val="18"/>
                <w:lang w:val="es-ES_tradnl"/>
              </w:rPr>
              <w:t xml:space="preserve">Informes financieros y presupuestos </w:t>
            </w:r>
            <w:r w:rsidR="0011713D" w:rsidRPr="00B03929">
              <w:rPr>
                <w:color w:val="000000"/>
                <w:szCs w:val="18"/>
                <w:lang w:val="es-ES_tradnl"/>
              </w:rPr>
              <w:t>d</w:t>
            </w:r>
            <w:r w:rsidRPr="00B03929">
              <w:rPr>
                <w:color w:val="000000"/>
                <w:szCs w:val="18"/>
                <w:lang w:val="es-ES_tradnl"/>
              </w:rPr>
              <w:t>el Protocolo de Montreal relativo a las Sustancias que Agotan la Capa de Ozono</w:t>
            </w:r>
          </w:p>
        </w:tc>
        <w:tc>
          <w:tcPr>
            <w:tcW w:w="2977" w:type="dxa"/>
          </w:tcPr>
          <w:p w14:paraId="5D7D944C" w14:textId="6B45C1A5" w:rsidR="00594485" w:rsidRPr="00B03929" w:rsidRDefault="00594485" w:rsidP="003D0CCC">
            <w:pPr>
              <w:pStyle w:val="Normal-pool-Table"/>
              <w:rPr>
                <w:szCs w:val="18"/>
                <w:lang w:val="es-ES_tradnl"/>
              </w:rPr>
            </w:pPr>
            <w:r w:rsidRPr="00B03929">
              <w:rPr>
                <w:color w:val="000000"/>
                <w:szCs w:val="18"/>
                <w:lang w:val="es-ES_tradnl"/>
              </w:rPr>
              <w:t>Notificar la decisión a todas las Partes e iniciar conversaciones con aquellas</w:t>
            </w:r>
            <w:r w:rsidR="00AC6D1A" w:rsidRPr="00B03929">
              <w:rPr>
                <w:color w:val="000000"/>
                <w:szCs w:val="18"/>
                <w:lang w:val="es-ES_tradnl"/>
              </w:rPr>
              <w:t xml:space="preserve"> que llevasen dos años o más sin pagar sus cuotas</w:t>
            </w:r>
            <w:r w:rsidRPr="00B03929">
              <w:rPr>
                <w:color w:val="000000"/>
                <w:szCs w:val="18"/>
                <w:lang w:val="es-ES_tradnl"/>
              </w:rPr>
              <w:t xml:space="preserve">, con </w:t>
            </w:r>
            <w:r w:rsidR="00AC6D1A" w:rsidRPr="00B03929">
              <w:rPr>
                <w:color w:val="000000"/>
                <w:szCs w:val="18"/>
                <w:lang w:val="es-ES_tradnl"/>
              </w:rPr>
              <w:t xml:space="preserve">miras a hallar </w:t>
            </w:r>
            <w:r w:rsidRPr="00B03929">
              <w:rPr>
                <w:color w:val="000000"/>
                <w:szCs w:val="18"/>
                <w:lang w:val="es-ES_tradnl"/>
              </w:rPr>
              <w:t xml:space="preserve">una solución, e informar </w:t>
            </w:r>
            <w:r w:rsidR="00AC6D1A" w:rsidRPr="00B03929">
              <w:rPr>
                <w:color w:val="000000"/>
                <w:szCs w:val="18"/>
                <w:lang w:val="es-ES_tradnl"/>
              </w:rPr>
              <w:t xml:space="preserve">a la 38ª Reunión de las Partes </w:t>
            </w:r>
            <w:r w:rsidR="00C7560B" w:rsidRPr="00B03929">
              <w:rPr>
                <w:color w:val="000000"/>
                <w:szCs w:val="18"/>
                <w:lang w:val="es-ES_tradnl"/>
              </w:rPr>
              <w:t xml:space="preserve">sobre </w:t>
            </w:r>
            <w:r w:rsidRPr="00B03929">
              <w:rPr>
                <w:color w:val="000000"/>
                <w:szCs w:val="18"/>
                <w:lang w:val="es-ES_tradnl"/>
              </w:rPr>
              <w:t>el resultado de esas conversaciones.</w:t>
            </w:r>
          </w:p>
          <w:p w14:paraId="35AF092B" w14:textId="59613220" w:rsidR="00594485" w:rsidRPr="00B03929" w:rsidRDefault="00594485" w:rsidP="003D0CCC">
            <w:pPr>
              <w:pStyle w:val="Normal-pool-Table"/>
              <w:spacing w:before="120"/>
              <w:rPr>
                <w:szCs w:val="18"/>
                <w:lang w:val="es-ES_tradnl"/>
              </w:rPr>
            </w:pPr>
            <w:r w:rsidRPr="00B03929">
              <w:rPr>
                <w:color w:val="000000"/>
                <w:szCs w:val="18"/>
                <w:lang w:val="es-ES_tradnl"/>
              </w:rPr>
              <w:t>Aportar información periódica sobre las contribuciones afectadas e incluir esa información, cuando procediese, en los proyectos de presupuesto del fondo fiduciario para el Protocolo de Montreal a fin de consignar con más transparencia sus ingresos y gastos reales.</w:t>
            </w:r>
          </w:p>
          <w:p w14:paraId="16FF7D22" w14:textId="77777777" w:rsidR="00594485" w:rsidRPr="00B03929" w:rsidRDefault="00594485" w:rsidP="003D0CCC">
            <w:pPr>
              <w:pStyle w:val="Normal-pool-Table"/>
              <w:spacing w:before="120"/>
              <w:rPr>
                <w:szCs w:val="18"/>
                <w:lang w:val="es-ES_tradnl"/>
              </w:rPr>
            </w:pPr>
            <w:r w:rsidRPr="00B03929">
              <w:rPr>
                <w:color w:val="000000"/>
                <w:szCs w:val="18"/>
                <w:lang w:val="es-ES_tradnl"/>
              </w:rPr>
              <w:t>Preparar notas descriptivas para la presentación de los presupuestos en el futuro.</w:t>
            </w:r>
          </w:p>
          <w:p w14:paraId="627031E7" w14:textId="00CCD4A3" w:rsidR="00594485" w:rsidRPr="00B03929" w:rsidRDefault="00594485" w:rsidP="003D0CCC">
            <w:pPr>
              <w:pStyle w:val="Normal-pool-Table"/>
              <w:spacing w:before="360"/>
              <w:rPr>
                <w:szCs w:val="18"/>
                <w:lang w:val="es-ES_tradnl"/>
              </w:rPr>
            </w:pPr>
            <w:r w:rsidRPr="00B03929">
              <w:rPr>
                <w:color w:val="000000"/>
                <w:szCs w:val="18"/>
                <w:lang w:val="es-ES_tradnl"/>
              </w:rPr>
              <w:t xml:space="preserve">Asegurar la plena utilización de los recursos de apoyo a los programas que la Secretaría tendría a su disposición en 2026 y años subsiguientes y, cuando fuese posible, compensar esos recursos de apoyo a los programas con los componentes administrativos del presupuesto aprobado. Indicar en los futuros informes financieros del fondo fiduciario el monto del saldo de caja y el estado de las cuotas al fondo fiduciario. </w:t>
            </w:r>
          </w:p>
          <w:p w14:paraId="05375FBC" w14:textId="53C45354" w:rsidR="00594485" w:rsidRPr="00B03929" w:rsidRDefault="00594485" w:rsidP="003D0CCC">
            <w:pPr>
              <w:pStyle w:val="Normal-pool-Table"/>
              <w:spacing w:before="1320"/>
              <w:rPr>
                <w:szCs w:val="18"/>
                <w:lang w:val="es-ES_tradnl"/>
              </w:rPr>
            </w:pPr>
            <w:r w:rsidRPr="00B03929">
              <w:rPr>
                <w:color w:val="000000"/>
                <w:szCs w:val="18"/>
                <w:lang w:val="es-ES_tradnl"/>
              </w:rPr>
              <w:t xml:space="preserve">Preparar presupuestos y programas de trabajo para los años 2027 y 2028, basados en las necesidades previstas, para </w:t>
            </w:r>
            <w:r w:rsidR="00FB0CF5" w:rsidRPr="00B03929">
              <w:rPr>
                <w:color w:val="000000"/>
                <w:szCs w:val="18"/>
                <w:lang w:val="es-ES_tradnl"/>
              </w:rPr>
              <w:t>2</w:t>
            </w:r>
            <w:r w:rsidRPr="00B03929">
              <w:rPr>
                <w:color w:val="000000"/>
                <w:szCs w:val="18"/>
                <w:lang w:val="es-ES_tradnl"/>
              </w:rPr>
              <w:t xml:space="preserve"> hipótesis presupuestarias: a)</w:t>
            </w:r>
            <w:r w:rsidR="00FB0CF5" w:rsidRPr="00B03929">
              <w:rPr>
                <w:color w:val="000000"/>
                <w:szCs w:val="18"/>
                <w:lang w:val="es-ES_tradnl"/>
              </w:rPr>
              <w:t xml:space="preserve"> 1</w:t>
            </w:r>
            <w:r w:rsidRPr="00B03929">
              <w:rPr>
                <w:color w:val="000000"/>
                <w:szCs w:val="18"/>
                <w:lang w:val="es-ES_tradnl"/>
              </w:rPr>
              <w:t xml:space="preserve"> hipótesis de crecimiento nominal nulo basado en el presupuesto aprobado para 2026; b) </w:t>
            </w:r>
            <w:r w:rsidR="00FB0CF5" w:rsidRPr="00B03929">
              <w:rPr>
                <w:color w:val="000000"/>
                <w:szCs w:val="18"/>
                <w:lang w:val="es-ES_tradnl"/>
              </w:rPr>
              <w:t>1</w:t>
            </w:r>
            <w:r w:rsidRPr="00B03929">
              <w:rPr>
                <w:color w:val="000000"/>
                <w:szCs w:val="18"/>
                <w:lang w:val="es-ES_tradnl"/>
              </w:rPr>
              <w:t xml:space="preserve"> hipótesis basada en recomendaciones de ajustes a la hipótesis de crecimiento nominal nulo, en la que se indicasen los consiguientes costos o ahorros conexos.</w:t>
            </w:r>
          </w:p>
        </w:tc>
        <w:tc>
          <w:tcPr>
            <w:tcW w:w="3401" w:type="dxa"/>
          </w:tcPr>
          <w:p w14:paraId="38606998" w14:textId="737297A4" w:rsidR="00594485" w:rsidRPr="00B03929" w:rsidRDefault="00594485" w:rsidP="003D0CCC">
            <w:pPr>
              <w:pStyle w:val="Normal-pool-Table"/>
              <w:rPr>
                <w:szCs w:val="18"/>
                <w:lang w:val="es-ES_tradnl"/>
              </w:rPr>
            </w:pPr>
            <w:r w:rsidRPr="00B03929">
              <w:rPr>
                <w:color w:val="000000"/>
                <w:szCs w:val="18"/>
                <w:lang w:val="es-ES_tradnl"/>
              </w:rPr>
              <w:t xml:space="preserve">Se enviaron cartas en septiembre de 2026 a las Partes </w:t>
            </w:r>
            <w:r w:rsidR="0040301C" w:rsidRPr="00B03929">
              <w:rPr>
                <w:color w:val="000000"/>
                <w:szCs w:val="18"/>
                <w:lang w:val="es-ES_tradnl"/>
              </w:rPr>
              <w:t>que llevasen dos años o más sin pagar sus cuotas</w:t>
            </w:r>
            <w:r w:rsidRPr="00B03929">
              <w:rPr>
                <w:color w:val="000000"/>
                <w:szCs w:val="18"/>
                <w:lang w:val="es-ES_tradnl"/>
              </w:rPr>
              <w:t>. El resultado de las conversaciones con esas Partes se presentará en la 38ª Reunión de las Partes.</w:t>
            </w:r>
          </w:p>
          <w:p w14:paraId="0A9460EB" w14:textId="77777777" w:rsidR="004144F2" w:rsidRPr="00B03929" w:rsidRDefault="00594485" w:rsidP="004144F2">
            <w:pPr>
              <w:pStyle w:val="Normal-pool-Table"/>
              <w:spacing w:before="520"/>
              <w:rPr>
                <w:szCs w:val="18"/>
                <w:lang w:val="es-ES_tradnl"/>
              </w:rPr>
            </w:pPr>
            <w:r w:rsidRPr="00B03929">
              <w:rPr>
                <w:color w:val="000000"/>
                <w:szCs w:val="18"/>
                <w:lang w:val="es-ES_tradnl"/>
              </w:rPr>
              <w:t>Los estados financieros provisionales certificados y la ejecución presupuestaria de</w:t>
            </w:r>
            <w:r w:rsidR="0088197C" w:rsidRPr="00B03929">
              <w:rPr>
                <w:color w:val="000000"/>
                <w:szCs w:val="18"/>
                <w:lang w:val="es-ES_tradnl"/>
              </w:rPr>
              <w:t> </w:t>
            </w:r>
            <w:r w:rsidRPr="00B03929">
              <w:rPr>
                <w:color w:val="000000"/>
                <w:szCs w:val="18"/>
                <w:lang w:val="es-ES_tradnl"/>
              </w:rPr>
              <w:t xml:space="preserve">2025 del fondo fiduciario (UNEP/OzL.Pro.38/5) contienen información sobre las contribuciones afectadas. </w:t>
            </w:r>
          </w:p>
          <w:p w14:paraId="052FEC64" w14:textId="2DA413B2" w:rsidR="00594485" w:rsidRPr="00B03929" w:rsidRDefault="00594485" w:rsidP="004144F2">
            <w:pPr>
              <w:pStyle w:val="Normal-pool-Table"/>
              <w:spacing w:before="520"/>
              <w:rPr>
                <w:szCs w:val="18"/>
                <w:lang w:val="es-ES_tradnl"/>
              </w:rPr>
            </w:pPr>
            <w:r w:rsidRPr="00B03929">
              <w:rPr>
                <w:color w:val="000000"/>
                <w:lang w:val="es-ES_tradnl"/>
              </w:rPr>
              <w:t>Las notas descriptivas de las actividades que se realizarán en 2027 se presentan en el documento UNEP/OzL.Pro.38/INF/1.</w:t>
            </w:r>
          </w:p>
          <w:p w14:paraId="1A8C5BEC" w14:textId="77777777" w:rsidR="00594485" w:rsidRPr="00B03929" w:rsidRDefault="00594485" w:rsidP="003D0CCC">
            <w:pPr>
              <w:pStyle w:val="Normal-pool-Table"/>
              <w:spacing w:before="140"/>
              <w:rPr>
                <w:szCs w:val="18"/>
                <w:lang w:val="es-ES_tradnl"/>
              </w:rPr>
            </w:pPr>
            <w:r w:rsidRPr="00B03929">
              <w:rPr>
                <w:color w:val="000000"/>
                <w:szCs w:val="18"/>
                <w:lang w:val="es-ES_tradnl"/>
              </w:rPr>
              <w:t>Se prevé la plena utilización de los recursos de apoyo a los programas antes de que finalice el año.</w:t>
            </w:r>
          </w:p>
          <w:p w14:paraId="15AF2AEE" w14:textId="33BF5447" w:rsidR="00594485" w:rsidRPr="00B03929" w:rsidRDefault="00594485" w:rsidP="00B22CC8">
            <w:pPr>
              <w:pStyle w:val="Normal-pool-Table"/>
              <w:spacing w:before="120" w:after="420"/>
              <w:rPr>
                <w:szCs w:val="18"/>
                <w:lang w:val="es-ES_tradnl"/>
              </w:rPr>
            </w:pPr>
            <w:r w:rsidRPr="00B03929">
              <w:rPr>
                <w:color w:val="000000"/>
                <w:szCs w:val="18"/>
                <w:lang w:val="es-ES_tradnl"/>
              </w:rPr>
              <w:t>El estado financiero provisional certificado correspondiente a 2025 (UNEP/OzL.Pro.38/5) incluye información sobre los importes de efectivo disponible y la situación de las contribuciones a los dos fondos fiduciarios a 31 de diciembre de</w:t>
            </w:r>
            <w:r w:rsidR="00A54308" w:rsidRPr="00B03929">
              <w:rPr>
                <w:color w:val="000000"/>
                <w:szCs w:val="18"/>
                <w:lang w:val="es-ES_tradnl"/>
              </w:rPr>
              <w:t> </w:t>
            </w:r>
            <w:r w:rsidRPr="00B03929">
              <w:rPr>
                <w:color w:val="000000"/>
                <w:szCs w:val="18"/>
                <w:lang w:val="es-ES_tradnl"/>
              </w:rPr>
              <w:t>2025. La Secretaría facilitó información actualizada sobre la situación de las contribuciones y el saldo de caja a 30 de abril de 2026 en el documento UNEP/OzL.Pro.WG.1/48/INF/1. En la nota de la Secretaría sobre la cuestión (UNEP/OzL.Pro.38/INF/2) se ofrecerá más información actualizada a 30 de septiembre de 2026 para el examen de las Partes.</w:t>
            </w:r>
          </w:p>
          <w:p w14:paraId="7C0E96CB" w14:textId="31A947AC" w:rsidR="00594485" w:rsidRPr="00B03929" w:rsidRDefault="00594485" w:rsidP="00B22CC8">
            <w:pPr>
              <w:pStyle w:val="Normal-pool-Table"/>
              <w:spacing w:before="160" w:after="120"/>
              <w:rPr>
                <w:szCs w:val="18"/>
                <w:lang w:val="es-ES_tradnl"/>
              </w:rPr>
            </w:pPr>
            <w:r w:rsidRPr="00B03929">
              <w:rPr>
                <w:color w:val="000000"/>
                <w:szCs w:val="18"/>
                <w:lang w:val="es-ES_tradnl"/>
              </w:rPr>
              <w:t>En el documento UNEP/OzL.Pro.38/4 se presentan dos hipótesis presupuestarias para</w:t>
            </w:r>
            <w:r w:rsidR="00DD1E77" w:rsidRPr="00B03929">
              <w:rPr>
                <w:color w:val="000000"/>
                <w:szCs w:val="18"/>
                <w:lang w:val="es-ES_tradnl"/>
              </w:rPr>
              <w:t> </w:t>
            </w:r>
            <w:r w:rsidRPr="00B03929">
              <w:rPr>
                <w:color w:val="000000"/>
                <w:szCs w:val="18"/>
                <w:lang w:val="es-ES_tradnl"/>
              </w:rPr>
              <w:t>2027 y 2028, conforme a lo solicitado en la decisión.</w:t>
            </w:r>
          </w:p>
        </w:tc>
      </w:tr>
    </w:tbl>
    <w:p w14:paraId="7FE5D9A6" w14:textId="77777777" w:rsidR="00594485" w:rsidRPr="00B03929" w:rsidRDefault="00594485" w:rsidP="00594485">
      <w:pPr>
        <w:pStyle w:val="Normal-pool"/>
        <w:rPr>
          <w:rFonts w:eastAsiaTheme="minorEastAsia"/>
          <w:sz w:val="2"/>
          <w:szCs w:val="2"/>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8"/>
        <w:gridCol w:w="1898"/>
      </w:tblGrid>
      <w:tr w:rsidR="00594485" w:rsidRPr="00B03929" w14:paraId="659C05C3" w14:textId="77777777" w:rsidTr="003D0CCC">
        <w:tc>
          <w:tcPr>
            <w:tcW w:w="1897" w:type="dxa"/>
          </w:tcPr>
          <w:p w14:paraId="2FDBA28D" w14:textId="77777777" w:rsidR="00594485" w:rsidRPr="00B03929" w:rsidRDefault="00594485" w:rsidP="003D0CCC">
            <w:pPr>
              <w:pStyle w:val="Normal-pool"/>
              <w:spacing w:before="520"/>
              <w:rPr>
                <w:rFonts w:eastAsiaTheme="minorEastAsia"/>
                <w:lang w:val="es-ES_tradnl"/>
              </w:rPr>
            </w:pPr>
          </w:p>
        </w:tc>
        <w:tc>
          <w:tcPr>
            <w:tcW w:w="1897" w:type="dxa"/>
          </w:tcPr>
          <w:p w14:paraId="17F7CEC5" w14:textId="77777777" w:rsidR="00594485" w:rsidRPr="00B03929" w:rsidRDefault="00594485" w:rsidP="003D0CCC">
            <w:pPr>
              <w:pStyle w:val="Normal-pool"/>
              <w:spacing w:before="520"/>
              <w:rPr>
                <w:rFonts w:eastAsiaTheme="minorEastAsia"/>
                <w:lang w:val="es-ES_tradnl"/>
              </w:rPr>
            </w:pPr>
          </w:p>
        </w:tc>
        <w:tc>
          <w:tcPr>
            <w:tcW w:w="1897" w:type="dxa"/>
            <w:tcBorders>
              <w:bottom w:val="single" w:sz="4" w:space="0" w:color="auto"/>
            </w:tcBorders>
          </w:tcPr>
          <w:p w14:paraId="18C4235A" w14:textId="77777777" w:rsidR="00594485" w:rsidRPr="00B03929" w:rsidRDefault="00594485" w:rsidP="003D0CCC">
            <w:pPr>
              <w:pStyle w:val="Normal-pool"/>
              <w:spacing w:before="520"/>
              <w:rPr>
                <w:rFonts w:eastAsiaTheme="minorEastAsia"/>
                <w:lang w:val="es-ES_tradnl"/>
              </w:rPr>
            </w:pPr>
          </w:p>
        </w:tc>
        <w:tc>
          <w:tcPr>
            <w:tcW w:w="1898" w:type="dxa"/>
          </w:tcPr>
          <w:p w14:paraId="378CE79F" w14:textId="77777777" w:rsidR="00594485" w:rsidRPr="00B03929" w:rsidRDefault="00594485" w:rsidP="003D0CCC">
            <w:pPr>
              <w:pStyle w:val="Normal-pool"/>
              <w:spacing w:before="520"/>
              <w:rPr>
                <w:rFonts w:eastAsiaTheme="minorEastAsia"/>
                <w:lang w:val="es-ES_tradnl"/>
              </w:rPr>
            </w:pPr>
          </w:p>
        </w:tc>
        <w:tc>
          <w:tcPr>
            <w:tcW w:w="1898" w:type="dxa"/>
          </w:tcPr>
          <w:p w14:paraId="339E93E2" w14:textId="77777777" w:rsidR="00594485" w:rsidRPr="00B03929" w:rsidRDefault="00594485" w:rsidP="003D0CCC">
            <w:pPr>
              <w:pStyle w:val="Normal-pool"/>
              <w:spacing w:before="520"/>
              <w:rPr>
                <w:rFonts w:eastAsiaTheme="minorEastAsia"/>
                <w:lang w:val="es-ES_tradnl"/>
              </w:rPr>
            </w:pPr>
          </w:p>
        </w:tc>
      </w:tr>
    </w:tbl>
    <w:p w14:paraId="6123E961" w14:textId="283F89FE" w:rsidR="00EF75A2" w:rsidRPr="00B03929" w:rsidRDefault="00EF75A2" w:rsidP="00EF75A2">
      <w:pPr>
        <w:pStyle w:val="Normal-pool"/>
        <w:rPr>
          <w:rFonts w:eastAsiaTheme="minorEastAsia"/>
          <w:lang w:val="es-ES_tradnl"/>
        </w:rPr>
      </w:pPr>
    </w:p>
    <w:sectPr w:rsidR="00EF75A2" w:rsidRPr="00B03929" w:rsidSect="00EF75A2">
      <w:headerReference w:type="even" r:id="rId14"/>
      <w:headerReference w:type="default" r:id="rId15"/>
      <w:footerReference w:type="even" r:id="rId16"/>
      <w:footerReference w:type="default" r:id="rId17"/>
      <w:footerReference w:type="first" r:id="rId18"/>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D632B" w14:textId="77777777" w:rsidR="00392546" w:rsidRPr="00EF75A2" w:rsidRDefault="00392546">
      <w:r w:rsidRPr="00EF75A2">
        <w:separator/>
      </w:r>
    </w:p>
  </w:endnote>
  <w:endnote w:type="continuationSeparator" w:id="0">
    <w:p w14:paraId="6EB160E1" w14:textId="77777777" w:rsidR="00392546" w:rsidRPr="00EF75A2" w:rsidRDefault="00392546">
      <w:r w:rsidRPr="00EF75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4B22" w14:textId="4F918763" w:rsidR="007A36F8" w:rsidRPr="00EF75A2" w:rsidRDefault="00EF75A2" w:rsidP="00EF75A2">
    <w:pPr>
      <w:pStyle w:val="Footer-pool"/>
    </w:pPr>
    <w:r w:rsidRPr="00EF75A2">
      <w:rPr>
        <w:rStyle w:val="PageNumber"/>
        <w:b/>
      </w:rPr>
      <w:fldChar w:fldCharType="begin"/>
    </w:r>
    <w:r w:rsidRPr="00EF75A2">
      <w:rPr>
        <w:rStyle w:val="PageNumber"/>
        <w:b/>
      </w:rPr>
      <w:instrText xml:space="preserve"> PAGE </w:instrText>
    </w:r>
    <w:r w:rsidRPr="00EF75A2">
      <w:rPr>
        <w:rStyle w:val="PageNumber"/>
        <w:b/>
      </w:rPr>
      <w:fldChar w:fldCharType="separate"/>
    </w:r>
    <w:r w:rsidRPr="00EF75A2">
      <w:rPr>
        <w:rStyle w:val="PageNumber"/>
        <w:b/>
        <w:noProof/>
      </w:rPr>
      <w:t>1</w:t>
    </w:r>
    <w:r w:rsidRPr="00EF75A2">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2C9C2" w14:textId="7337270D" w:rsidR="007A36F8" w:rsidRPr="008762C6" w:rsidRDefault="00EF75A2" w:rsidP="00EF75A2">
    <w:pPr>
      <w:pStyle w:val="Footer-pool"/>
      <w:jc w:val="right"/>
      <w:rPr>
        <w:b w:val="0"/>
        <w:bCs/>
      </w:rPr>
    </w:pPr>
    <w:r w:rsidRPr="008762C6">
      <w:rPr>
        <w:rStyle w:val="PageNumber"/>
        <w:b/>
        <w:bCs/>
      </w:rPr>
      <w:fldChar w:fldCharType="begin"/>
    </w:r>
    <w:r w:rsidRPr="008762C6">
      <w:rPr>
        <w:rStyle w:val="PageNumber"/>
        <w:b/>
        <w:bCs/>
      </w:rPr>
      <w:instrText xml:space="preserve"> PAGE \* MERGEFORMAT </w:instrText>
    </w:r>
    <w:r w:rsidRPr="008762C6">
      <w:rPr>
        <w:rStyle w:val="PageNumber"/>
        <w:b/>
        <w:bCs/>
      </w:rPr>
      <w:fldChar w:fldCharType="separate"/>
    </w:r>
    <w:r w:rsidRPr="008762C6">
      <w:rPr>
        <w:rStyle w:val="PageNumber"/>
        <w:b/>
        <w:bCs/>
        <w:noProof/>
      </w:rPr>
      <w:t>1</w:t>
    </w:r>
    <w:r w:rsidRPr="008762C6">
      <w:rPr>
        <w:rStyle w:val="PageNumbe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F4C75" w14:textId="15CE1F69" w:rsidR="00EF75A2" w:rsidRPr="00EF75A2" w:rsidRDefault="002563AD" w:rsidP="00EF75A2">
    <w:pPr>
      <w:pStyle w:val="Footer-jobnumber"/>
    </w:pPr>
    <w:bookmarkStart w:id="2" w:name="FooterJobDate"/>
    <w:r>
      <w:rPr>
        <w:lang w:val="es-ES"/>
      </w:rPr>
      <w:t>UNON_DCS_2611860[S]</w:t>
    </w:r>
    <w:r>
      <w:rPr>
        <w:lang w:val="es-ES"/>
      </w:rPr>
      <w:tab/>
      <w:t>2</w:t>
    </w:r>
    <w:r w:rsidR="00B03929">
      <w:rPr>
        <w:lang w:val="es-ES"/>
      </w:rPr>
      <w:t>9</w:t>
    </w:r>
    <w:r>
      <w:rPr>
        <w:lang w:val="es-ES"/>
      </w:rPr>
      <w:t>0926</w:t>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45999" w14:textId="77777777" w:rsidR="00392546" w:rsidRPr="00EF75A2" w:rsidRDefault="00392546" w:rsidP="00C70B49">
      <w:pPr>
        <w:pStyle w:val="Footnote-Separator"/>
        <w:rPr>
          <w:szCs w:val="18"/>
        </w:rPr>
      </w:pPr>
      <w:r w:rsidRPr="00EF75A2">
        <w:separator/>
      </w:r>
    </w:p>
  </w:footnote>
  <w:footnote w:type="continuationSeparator" w:id="0">
    <w:p w14:paraId="4EDEFB30" w14:textId="77777777" w:rsidR="00392546" w:rsidRPr="00EF75A2" w:rsidRDefault="00392546" w:rsidP="00C70B49">
      <w:pPr>
        <w:pStyle w:val="Footnote-Separator"/>
      </w:pPr>
      <w:r w:rsidRPr="00EF75A2">
        <w:continuationSeparator/>
      </w:r>
    </w:p>
  </w:footnote>
  <w:footnote w:type="continuationNotice" w:id="1">
    <w:p w14:paraId="3DF3157D" w14:textId="77777777" w:rsidR="00392546" w:rsidRPr="00EF75A2" w:rsidRDefault="00392546" w:rsidP="00C70B49">
      <w:pPr>
        <w:pStyle w:val="ASpacer"/>
      </w:pPr>
    </w:p>
  </w:footnote>
  <w:footnote w:id="2">
    <w:p w14:paraId="181C50CC" w14:textId="77777777" w:rsidR="00B03929" w:rsidRPr="005463F7" w:rsidRDefault="00B03929" w:rsidP="00B03929">
      <w:pPr>
        <w:pStyle w:val="Footnote-Text"/>
      </w:pPr>
      <w:r w:rsidRPr="00781B45">
        <w:rPr>
          <w:lang w:val="en-US"/>
        </w:rPr>
        <w:t>* UNEP/OzL.Pro.37/Bur.1/1.</w:t>
      </w:r>
    </w:p>
  </w:footnote>
  <w:footnote w:id="3">
    <w:p w14:paraId="6EA4C9D5" w14:textId="23692F2C" w:rsidR="00594485" w:rsidRPr="00532246" w:rsidRDefault="00594485" w:rsidP="00594485">
      <w:pPr>
        <w:pStyle w:val="Footnote-Text"/>
        <w:rPr>
          <w:szCs w:val="18"/>
        </w:rPr>
      </w:pPr>
      <w:r w:rsidRPr="005463F7">
        <w:rPr>
          <w:rStyle w:val="FootnoteReference"/>
          <w:sz w:val="18"/>
          <w:lang w:val="es-ES"/>
        </w:rPr>
        <w:footnoteRef/>
      </w:r>
      <w:r w:rsidRPr="004D611C">
        <w:t xml:space="preserve"> </w:t>
      </w:r>
      <w:hyperlink r:id="rId1" w:history="1">
        <w:r w:rsidR="00781B45" w:rsidRPr="004612EF">
          <w:rPr>
            <w:rStyle w:val="Hyperlink"/>
          </w:rPr>
          <w:t>https://ozone.unep.org/meetings/thirty-eighth-meeting-parties/pre-session-documents</w:t>
        </w:r>
      </w:hyperlink>
      <w:r w:rsidRPr="004D611C">
        <w:t>.</w:t>
      </w:r>
      <w:hyperlink r:id="rId2" w:history="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5F6F5" w14:textId="6012ED3D" w:rsidR="007A36F8" w:rsidRPr="00EF75A2" w:rsidRDefault="0064033F" w:rsidP="00EF75A2">
    <w:pPr>
      <w:pStyle w:val="Header-pool"/>
    </w:pPr>
    <w:r>
      <w:rPr>
        <w:bCs/>
        <w:lang w:val="es-ES"/>
      </w:rPr>
      <w:t>UNEP/OzL.Pro.37/Bur.1/2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B8E58" w14:textId="72D212CE" w:rsidR="007A36F8" w:rsidRPr="00EF75A2" w:rsidRDefault="0064033F" w:rsidP="00EF75A2">
    <w:pPr>
      <w:pStyle w:val="Header-pool"/>
      <w:jc w:val="right"/>
    </w:pPr>
    <w:r>
      <w:rPr>
        <w:bCs/>
        <w:lang w:val="es-ES"/>
      </w:rPr>
      <w:t>UNEP/OzL.Pro.37/Bur.1/2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CCCA91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B54FB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66607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D3038A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1AA64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BEF0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FAAC8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58669D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6F43B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0D7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2" w15:restartNumberingAfterBreak="0">
    <w:nsid w:val="2FC95EA4"/>
    <w:multiLevelType w:val="hybridMultilevel"/>
    <w:tmpl w:val="2118D69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4"/>
  </w:num>
  <w:num w:numId="2" w16cid:durableId="1242644713">
    <w:abstractNumId w:val="15"/>
  </w:num>
  <w:num w:numId="3" w16cid:durableId="1933662228">
    <w:abstractNumId w:val="13"/>
  </w:num>
  <w:num w:numId="4" w16cid:durableId="1991909117">
    <w:abstractNumId w:val="10"/>
  </w:num>
  <w:num w:numId="5" w16cid:durableId="1138956019">
    <w:abstractNumId w:val="11"/>
  </w:num>
  <w:num w:numId="6" w16cid:durableId="1834176260">
    <w:abstractNumId w:val="9"/>
  </w:num>
  <w:num w:numId="7" w16cid:durableId="1513762984">
    <w:abstractNumId w:val="7"/>
  </w:num>
  <w:num w:numId="8" w16cid:durableId="291139543">
    <w:abstractNumId w:val="6"/>
  </w:num>
  <w:num w:numId="9" w16cid:durableId="1068071234">
    <w:abstractNumId w:val="5"/>
  </w:num>
  <w:num w:numId="10" w16cid:durableId="1868372813">
    <w:abstractNumId w:val="4"/>
  </w:num>
  <w:num w:numId="11" w16cid:durableId="1664895792">
    <w:abstractNumId w:val="8"/>
  </w:num>
  <w:num w:numId="12" w16cid:durableId="1803621643">
    <w:abstractNumId w:val="3"/>
  </w:num>
  <w:num w:numId="13" w16cid:durableId="1189489241">
    <w:abstractNumId w:val="2"/>
  </w:num>
  <w:num w:numId="14" w16cid:durableId="2040809821">
    <w:abstractNumId w:val="1"/>
  </w:num>
  <w:num w:numId="15" w16cid:durableId="559171358">
    <w:abstractNumId w:val="0"/>
  </w:num>
  <w:num w:numId="16" w16cid:durableId="1549878397">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es-ES" w:vendorID="64" w:dllVersion="0" w:nlCheck="1" w:checkStyle="0"/>
  <w:activeWritingStyle w:appName="MSWord" w:lang="es-ES_tradnl"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3E8"/>
    <w:rsid w:val="00000CC2"/>
    <w:rsid w:val="000149E6"/>
    <w:rsid w:val="00016AF3"/>
    <w:rsid w:val="00020521"/>
    <w:rsid w:val="000208C8"/>
    <w:rsid w:val="00023998"/>
    <w:rsid w:val="000247B0"/>
    <w:rsid w:val="00026997"/>
    <w:rsid w:val="00033E0B"/>
    <w:rsid w:val="000356BF"/>
    <w:rsid w:val="00035EDE"/>
    <w:rsid w:val="0004669D"/>
    <w:rsid w:val="000509B4"/>
    <w:rsid w:val="00056B2C"/>
    <w:rsid w:val="0006035B"/>
    <w:rsid w:val="000609A8"/>
    <w:rsid w:val="0007166E"/>
    <w:rsid w:val="00071886"/>
    <w:rsid w:val="000742BC"/>
    <w:rsid w:val="0008041D"/>
    <w:rsid w:val="00082A0C"/>
    <w:rsid w:val="00082DCD"/>
    <w:rsid w:val="000833E9"/>
    <w:rsid w:val="00083504"/>
    <w:rsid w:val="0008499E"/>
    <w:rsid w:val="0008518D"/>
    <w:rsid w:val="0008710B"/>
    <w:rsid w:val="0009640C"/>
    <w:rsid w:val="000A193C"/>
    <w:rsid w:val="000A3442"/>
    <w:rsid w:val="000A7D2D"/>
    <w:rsid w:val="000B0EA0"/>
    <w:rsid w:val="000B21D5"/>
    <w:rsid w:val="000B22A2"/>
    <w:rsid w:val="000C0F7D"/>
    <w:rsid w:val="000C2A52"/>
    <w:rsid w:val="000C3CAB"/>
    <w:rsid w:val="000C46A9"/>
    <w:rsid w:val="000D0CF5"/>
    <w:rsid w:val="000D33C0"/>
    <w:rsid w:val="000D5884"/>
    <w:rsid w:val="000D6941"/>
    <w:rsid w:val="000D71B6"/>
    <w:rsid w:val="000D7A5C"/>
    <w:rsid w:val="000E0405"/>
    <w:rsid w:val="000E2698"/>
    <w:rsid w:val="000F0FD5"/>
    <w:rsid w:val="000F6CFF"/>
    <w:rsid w:val="0010553B"/>
    <w:rsid w:val="0010702F"/>
    <w:rsid w:val="00112125"/>
    <w:rsid w:val="00115F73"/>
    <w:rsid w:val="0011713D"/>
    <w:rsid w:val="001202E3"/>
    <w:rsid w:val="00123699"/>
    <w:rsid w:val="0013059D"/>
    <w:rsid w:val="0013418D"/>
    <w:rsid w:val="0014083A"/>
    <w:rsid w:val="00141A55"/>
    <w:rsid w:val="00141F2F"/>
    <w:rsid w:val="00142824"/>
    <w:rsid w:val="001446A3"/>
    <w:rsid w:val="001459D3"/>
    <w:rsid w:val="001500D8"/>
    <w:rsid w:val="00155395"/>
    <w:rsid w:val="0015708F"/>
    <w:rsid w:val="001679D3"/>
    <w:rsid w:val="00171715"/>
    <w:rsid w:val="00172E6C"/>
    <w:rsid w:val="00173D27"/>
    <w:rsid w:val="00174739"/>
    <w:rsid w:val="00174E5D"/>
    <w:rsid w:val="00175C26"/>
    <w:rsid w:val="0018127C"/>
    <w:rsid w:val="00181EC8"/>
    <w:rsid w:val="00181FC0"/>
    <w:rsid w:val="00184349"/>
    <w:rsid w:val="00187D34"/>
    <w:rsid w:val="0019161E"/>
    <w:rsid w:val="001918E3"/>
    <w:rsid w:val="00195F33"/>
    <w:rsid w:val="00197C63"/>
    <w:rsid w:val="001A505B"/>
    <w:rsid w:val="001A5348"/>
    <w:rsid w:val="001A5EE1"/>
    <w:rsid w:val="001A7FF9"/>
    <w:rsid w:val="001B1617"/>
    <w:rsid w:val="001B504B"/>
    <w:rsid w:val="001B6163"/>
    <w:rsid w:val="001B7328"/>
    <w:rsid w:val="001C29FC"/>
    <w:rsid w:val="001D0744"/>
    <w:rsid w:val="001D3791"/>
    <w:rsid w:val="001D3874"/>
    <w:rsid w:val="001D5344"/>
    <w:rsid w:val="001D7E75"/>
    <w:rsid w:val="001E22D1"/>
    <w:rsid w:val="001E56D2"/>
    <w:rsid w:val="001E7D56"/>
    <w:rsid w:val="001F0312"/>
    <w:rsid w:val="001F75DE"/>
    <w:rsid w:val="00200D58"/>
    <w:rsid w:val="002013BE"/>
    <w:rsid w:val="002063A4"/>
    <w:rsid w:val="00206F97"/>
    <w:rsid w:val="00207E95"/>
    <w:rsid w:val="0021145B"/>
    <w:rsid w:val="00212CC7"/>
    <w:rsid w:val="00214277"/>
    <w:rsid w:val="002201A2"/>
    <w:rsid w:val="00222D30"/>
    <w:rsid w:val="00223FD9"/>
    <w:rsid w:val="0022762D"/>
    <w:rsid w:val="00230166"/>
    <w:rsid w:val="00230C42"/>
    <w:rsid w:val="00232303"/>
    <w:rsid w:val="00234806"/>
    <w:rsid w:val="002378D6"/>
    <w:rsid w:val="002439A5"/>
    <w:rsid w:val="00243D36"/>
    <w:rsid w:val="00247707"/>
    <w:rsid w:val="00251001"/>
    <w:rsid w:val="002563AD"/>
    <w:rsid w:val="00263171"/>
    <w:rsid w:val="002639E4"/>
    <w:rsid w:val="0026473D"/>
    <w:rsid w:val="002748A1"/>
    <w:rsid w:val="00274C23"/>
    <w:rsid w:val="002755CA"/>
    <w:rsid w:val="00276513"/>
    <w:rsid w:val="00277919"/>
    <w:rsid w:val="002864ED"/>
    <w:rsid w:val="00286740"/>
    <w:rsid w:val="00287B42"/>
    <w:rsid w:val="00290A1C"/>
    <w:rsid w:val="002929D8"/>
    <w:rsid w:val="002935C2"/>
    <w:rsid w:val="002A0284"/>
    <w:rsid w:val="002A237D"/>
    <w:rsid w:val="002A4C53"/>
    <w:rsid w:val="002B0672"/>
    <w:rsid w:val="002B1B4C"/>
    <w:rsid w:val="002B247F"/>
    <w:rsid w:val="002B520E"/>
    <w:rsid w:val="002C145D"/>
    <w:rsid w:val="002C1FD9"/>
    <w:rsid w:val="002C2C3E"/>
    <w:rsid w:val="002C3EB3"/>
    <w:rsid w:val="002C4F99"/>
    <w:rsid w:val="002C533E"/>
    <w:rsid w:val="002C5525"/>
    <w:rsid w:val="002D027F"/>
    <w:rsid w:val="002D171D"/>
    <w:rsid w:val="002D7A85"/>
    <w:rsid w:val="002D7B60"/>
    <w:rsid w:val="002E19D4"/>
    <w:rsid w:val="002E764D"/>
    <w:rsid w:val="002F0362"/>
    <w:rsid w:val="002F4761"/>
    <w:rsid w:val="002F5C79"/>
    <w:rsid w:val="003019E2"/>
    <w:rsid w:val="00301DC6"/>
    <w:rsid w:val="0031413F"/>
    <w:rsid w:val="003148BB"/>
    <w:rsid w:val="00317976"/>
    <w:rsid w:val="00321098"/>
    <w:rsid w:val="003220B2"/>
    <w:rsid w:val="00323885"/>
    <w:rsid w:val="0032632A"/>
    <w:rsid w:val="00331475"/>
    <w:rsid w:val="00336C98"/>
    <w:rsid w:val="003414CA"/>
    <w:rsid w:val="00351A93"/>
    <w:rsid w:val="00355EA9"/>
    <w:rsid w:val="003577B9"/>
    <w:rsid w:val="003578DE"/>
    <w:rsid w:val="003636B6"/>
    <w:rsid w:val="00363C1B"/>
    <w:rsid w:val="00365F6B"/>
    <w:rsid w:val="003662F1"/>
    <w:rsid w:val="00370BF9"/>
    <w:rsid w:val="00371340"/>
    <w:rsid w:val="0037360F"/>
    <w:rsid w:val="003759E2"/>
    <w:rsid w:val="00376586"/>
    <w:rsid w:val="003765E0"/>
    <w:rsid w:val="003769DB"/>
    <w:rsid w:val="00383A84"/>
    <w:rsid w:val="00384146"/>
    <w:rsid w:val="00386999"/>
    <w:rsid w:val="00390145"/>
    <w:rsid w:val="0039102D"/>
    <w:rsid w:val="00392546"/>
    <w:rsid w:val="00394379"/>
    <w:rsid w:val="00396257"/>
    <w:rsid w:val="00397EB8"/>
    <w:rsid w:val="003A07AB"/>
    <w:rsid w:val="003A086E"/>
    <w:rsid w:val="003A37B8"/>
    <w:rsid w:val="003A4FD0"/>
    <w:rsid w:val="003A69D1"/>
    <w:rsid w:val="003A7705"/>
    <w:rsid w:val="003B1545"/>
    <w:rsid w:val="003B7F00"/>
    <w:rsid w:val="003C035E"/>
    <w:rsid w:val="003C18D0"/>
    <w:rsid w:val="003C2503"/>
    <w:rsid w:val="003C2F56"/>
    <w:rsid w:val="003C3267"/>
    <w:rsid w:val="003C409D"/>
    <w:rsid w:val="003C5BA6"/>
    <w:rsid w:val="003D4419"/>
    <w:rsid w:val="003D74C5"/>
    <w:rsid w:val="003E163D"/>
    <w:rsid w:val="003E5134"/>
    <w:rsid w:val="003E561E"/>
    <w:rsid w:val="003F0E85"/>
    <w:rsid w:val="003F6B55"/>
    <w:rsid w:val="003F75B1"/>
    <w:rsid w:val="0040301C"/>
    <w:rsid w:val="00404CB5"/>
    <w:rsid w:val="00405251"/>
    <w:rsid w:val="004053E8"/>
    <w:rsid w:val="00410C55"/>
    <w:rsid w:val="004144F2"/>
    <w:rsid w:val="00415917"/>
    <w:rsid w:val="0041604D"/>
    <w:rsid w:val="00416568"/>
    <w:rsid w:val="00416701"/>
    <w:rsid w:val="00416854"/>
    <w:rsid w:val="00417725"/>
    <w:rsid w:val="0041779A"/>
    <w:rsid w:val="00417B1A"/>
    <w:rsid w:val="00417B99"/>
    <w:rsid w:val="00423D66"/>
    <w:rsid w:val="004243EA"/>
    <w:rsid w:val="00426AFD"/>
    <w:rsid w:val="00431E00"/>
    <w:rsid w:val="00437F26"/>
    <w:rsid w:val="0044161A"/>
    <w:rsid w:val="00444097"/>
    <w:rsid w:val="00445487"/>
    <w:rsid w:val="00445E65"/>
    <w:rsid w:val="0045257E"/>
    <w:rsid w:val="00454769"/>
    <w:rsid w:val="00456D58"/>
    <w:rsid w:val="0046265D"/>
    <w:rsid w:val="004668EC"/>
    <w:rsid w:val="00466991"/>
    <w:rsid w:val="0047064C"/>
    <w:rsid w:val="00471F4D"/>
    <w:rsid w:val="0047400E"/>
    <w:rsid w:val="00474D90"/>
    <w:rsid w:val="00477AFF"/>
    <w:rsid w:val="004804D4"/>
    <w:rsid w:val="00481F0B"/>
    <w:rsid w:val="0048268E"/>
    <w:rsid w:val="00484195"/>
    <w:rsid w:val="00485E08"/>
    <w:rsid w:val="00492249"/>
    <w:rsid w:val="00495BFE"/>
    <w:rsid w:val="004A42E1"/>
    <w:rsid w:val="004B162C"/>
    <w:rsid w:val="004B28D5"/>
    <w:rsid w:val="004B6252"/>
    <w:rsid w:val="004C3664"/>
    <w:rsid w:val="004C3DBE"/>
    <w:rsid w:val="004C5C96"/>
    <w:rsid w:val="004D06A4"/>
    <w:rsid w:val="004D60EA"/>
    <w:rsid w:val="004D611C"/>
    <w:rsid w:val="004E59D4"/>
    <w:rsid w:val="004E7525"/>
    <w:rsid w:val="004E7532"/>
    <w:rsid w:val="004E79AC"/>
    <w:rsid w:val="004F1A81"/>
    <w:rsid w:val="004F60C7"/>
    <w:rsid w:val="004F619B"/>
    <w:rsid w:val="00502990"/>
    <w:rsid w:val="005218D9"/>
    <w:rsid w:val="0052318D"/>
    <w:rsid w:val="00524551"/>
    <w:rsid w:val="00525754"/>
    <w:rsid w:val="00526BFF"/>
    <w:rsid w:val="00532246"/>
    <w:rsid w:val="00532E47"/>
    <w:rsid w:val="00536186"/>
    <w:rsid w:val="005364BE"/>
    <w:rsid w:val="00536826"/>
    <w:rsid w:val="005443F6"/>
    <w:rsid w:val="00544CBB"/>
    <w:rsid w:val="00550518"/>
    <w:rsid w:val="00552CD6"/>
    <w:rsid w:val="00553020"/>
    <w:rsid w:val="00560453"/>
    <w:rsid w:val="0057315F"/>
    <w:rsid w:val="00575DF1"/>
    <w:rsid w:val="00576104"/>
    <w:rsid w:val="005777BB"/>
    <w:rsid w:val="005940BC"/>
    <w:rsid w:val="00594485"/>
    <w:rsid w:val="00594BA0"/>
    <w:rsid w:val="005A52DF"/>
    <w:rsid w:val="005B4B40"/>
    <w:rsid w:val="005C67C8"/>
    <w:rsid w:val="005D0249"/>
    <w:rsid w:val="005D1F31"/>
    <w:rsid w:val="005D6E8C"/>
    <w:rsid w:val="005E4031"/>
    <w:rsid w:val="005E5200"/>
    <w:rsid w:val="005F100C"/>
    <w:rsid w:val="005F5550"/>
    <w:rsid w:val="005F68DA"/>
    <w:rsid w:val="005F75E6"/>
    <w:rsid w:val="006014DD"/>
    <w:rsid w:val="00602044"/>
    <w:rsid w:val="00607216"/>
    <w:rsid w:val="0060773B"/>
    <w:rsid w:val="00607887"/>
    <w:rsid w:val="00607CF6"/>
    <w:rsid w:val="00607D94"/>
    <w:rsid w:val="00612F23"/>
    <w:rsid w:val="006148B0"/>
    <w:rsid w:val="006157B5"/>
    <w:rsid w:val="006220C6"/>
    <w:rsid w:val="00626FC6"/>
    <w:rsid w:val="0062787E"/>
    <w:rsid w:val="006303B4"/>
    <w:rsid w:val="00633CEB"/>
    <w:rsid w:val="00633D3D"/>
    <w:rsid w:val="00633F3A"/>
    <w:rsid w:val="0064033F"/>
    <w:rsid w:val="00641703"/>
    <w:rsid w:val="006431A6"/>
    <w:rsid w:val="006459F6"/>
    <w:rsid w:val="00645EC6"/>
    <w:rsid w:val="006501AD"/>
    <w:rsid w:val="00651BFA"/>
    <w:rsid w:val="006533B3"/>
    <w:rsid w:val="00654190"/>
    <w:rsid w:val="00662FAB"/>
    <w:rsid w:val="00663A80"/>
    <w:rsid w:val="00665A4B"/>
    <w:rsid w:val="0067256E"/>
    <w:rsid w:val="006731FE"/>
    <w:rsid w:val="00674E7B"/>
    <w:rsid w:val="0067680E"/>
    <w:rsid w:val="00680938"/>
    <w:rsid w:val="00692E2A"/>
    <w:rsid w:val="00697DFD"/>
    <w:rsid w:val="006A0EA1"/>
    <w:rsid w:val="006A76F2"/>
    <w:rsid w:val="006B1C1B"/>
    <w:rsid w:val="006C3DDA"/>
    <w:rsid w:val="006C5210"/>
    <w:rsid w:val="006D3277"/>
    <w:rsid w:val="006D7EFB"/>
    <w:rsid w:val="006E0C53"/>
    <w:rsid w:val="006E0F7A"/>
    <w:rsid w:val="006E4C23"/>
    <w:rsid w:val="006E50A9"/>
    <w:rsid w:val="006E6672"/>
    <w:rsid w:val="006E6722"/>
    <w:rsid w:val="006F10F1"/>
    <w:rsid w:val="007027B9"/>
    <w:rsid w:val="00702CCD"/>
    <w:rsid w:val="0070782B"/>
    <w:rsid w:val="0071186F"/>
    <w:rsid w:val="00713D8F"/>
    <w:rsid w:val="00715E88"/>
    <w:rsid w:val="0072508B"/>
    <w:rsid w:val="00732257"/>
    <w:rsid w:val="007347B2"/>
    <w:rsid w:val="00734CAA"/>
    <w:rsid w:val="00736583"/>
    <w:rsid w:val="00742F34"/>
    <w:rsid w:val="0075473A"/>
    <w:rsid w:val="00755106"/>
    <w:rsid w:val="0075533C"/>
    <w:rsid w:val="007565E7"/>
    <w:rsid w:val="00756958"/>
    <w:rsid w:val="00757581"/>
    <w:rsid w:val="007611A0"/>
    <w:rsid w:val="007658A0"/>
    <w:rsid w:val="00771992"/>
    <w:rsid w:val="00781B45"/>
    <w:rsid w:val="00783907"/>
    <w:rsid w:val="00786094"/>
    <w:rsid w:val="00796D3F"/>
    <w:rsid w:val="007A1683"/>
    <w:rsid w:val="007A21A1"/>
    <w:rsid w:val="007A36F8"/>
    <w:rsid w:val="007A5C12"/>
    <w:rsid w:val="007A7CB0"/>
    <w:rsid w:val="007B15DA"/>
    <w:rsid w:val="007B68A3"/>
    <w:rsid w:val="007B6926"/>
    <w:rsid w:val="007C2541"/>
    <w:rsid w:val="007C568E"/>
    <w:rsid w:val="007C7E5B"/>
    <w:rsid w:val="007D20D6"/>
    <w:rsid w:val="007D66A8"/>
    <w:rsid w:val="007D773D"/>
    <w:rsid w:val="007E003F"/>
    <w:rsid w:val="007F3E92"/>
    <w:rsid w:val="007F7002"/>
    <w:rsid w:val="0080156A"/>
    <w:rsid w:val="00802E72"/>
    <w:rsid w:val="00804473"/>
    <w:rsid w:val="00805F1D"/>
    <w:rsid w:val="00814453"/>
    <w:rsid w:val="008164F2"/>
    <w:rsid w:val="00816A3D"/>
    <w:rsid w:val="00821395"/>
    <w:rsid w:val="00830E26"/>
    <w:rsid w:val="00831836"/>
    <w:rsid w:val="00836C61"/>
    <w:rsid w:val="00840071"/>
    <w:rsid w:val="008418A9"/>
    <w:rsid w:val="00843576"/>
    <w:rsid w:val="00843B64"/>
    <w:rsid w:val="008470BD"/>
    <w:rsid w:val="008478FC"/>
    <w:rsid w:val="00850429"/>
    <w:rsid w:val="00867BFF"/>
    <w:rsid w:val="00870C19"/>
    <w:rsid w:val="00871E0B"/>
    <w:rsid w:val="008757E7"/>
    <w:rsid w:val="00875833"/>
    <w:rsid w:val="008762C6"/>
    <w:rsid w:val="0088197C"/>
    <w:rsid w:val="00883D9E"/>
    <w:rsid w:val="0088480A"/>
    <w:rsid w:val="008859FA"/>
    <w:rsid w:val="0088757A"/>
    <w:rsid w:val="00887D88"/>
    <w:rsid w:val="008912F2"/>
    <w:rsid w:val="008957DD"/>
    <w:rsid w:val="00897D98"/>
    <w:rsid w:val="008A26B4"/>
    <w:rsid w:val="008A52A3"/>
    <w:rsid w:val="008A6DF2"/>
    <w:rsid w:val="008A7807"/>
    <w:rsid w:val="008B0D6B"/>
    <w:rsid w:val="008B3832"/>
    <w:rsid w:val="008B4CC9"/>
    <w:rsid w:val="008B7149"/>
    <w:rsid w:val="008C13F0"/>
    <w:rsid w:val="008C1B8B"/>
    <w:rsid w:val="008D3AE0"/>
    <w:rsid w:val="008D754E"/>
    <w:rsid w:val="008D7C99"/>
    <w:rsid w:val="008E0FCB"/>
    <w:rsid w:val="008E48B4"/>
    <w:rsid w:val="0090229E"/>
    <w:rsid w:val="009038AE"/>
    <w:rsid w:val="009057C8"/>
    <w:rsid w:val="00907142"/>
    <w:rsid w:val="00907D78"/>
    <w:rsid w:val="0092178C"/>
    <w:rsid w:val="0092493F"/>
    <w:rsid w:val="00930B88"/>
    <w:rsid w:val="009378DC"/>
    <w:rsid w:val="009404F1"/>
    <w:rsid w:val="00940DCC"/>
    <w:rsid w:val="0094179A"/>
    <w:rsid w:val="00943DCC"/>
    <w:rsid w:val="0094459E"/>
    <w:rsid w:val="00944DBC"/>
    <w:rsid w:val="00950977"/>
    <w:rsid w:val="00951A7B"/>
    <w:rsid w:val="009564A6"/>
    <w:rsid w:val="0096198F"/>
    <w:rsid w:val="00961A33"/>
    <w:rsid w:val="009628B9"/>
    <w:rsid w:val="00963438"/>
    <w:rsid w:val="00967621"/>
    <w:rsid w:val="00967E6A"/>
    <w:rsid w:val="00980797"/>
    <w:rsid w:val="00981009"/>
    <w:rsid w:val="00985C42"/>
    <w:rsid w:val="00991164"/>
    <w:rsid w:val="009935AC"/>
    <w:rsid w:val="009A03EF"/>
    <w:rsid w:val="009A6054"/>
    <w:rsid w:val="009A652E"/>
    <w:rsid w:val="009B4A0F"/>
    <w:rsid w:val="009B56B8"/>
    <w:rsid w:val="009C0260"/>
    <w:rsid w:val="009C0FEC"/>
    <w:rsid w:val="009C11D2"/>
    <w:rsid w:val="009C5936"/>
    <w:rsid w:val="009C5ADF"/>
    <w:rsid w:val="009C6C70"/>
    <w:rsid w:val="009C76A2"/>
    <w:rsid w:val="009D0922"/>
    <w:rsid w:val="009D0B63"/>
    <w:rsid w:val="009D1D89"/>
    <w:rsid w:val="009E1A50"/>
    <w:rsid w:val="009E307E"/>
    <w:rsid w:val="009E47E3"/>
    <w:rsid w:val="009E60DA"/>
    <w:rsid w:val="009E657E"/>
    <w:rsid w:val="009F2A83"/>
    <w:rsid w:val="00A03A4A"/>
    <w:rsid w:val="00A067E7"/>
    <w:rsid w:val="00A07648"/>
    <w:rsid w:val="00A07870"/>
    <w:rsid w:val="00A07C5B"/>
    <w:rsid w:val="00A07F19"/>
    <w:rsid w:val="00A131A4"/>
    <w:rsid w:val="00A1348D"/>
    <w:rsid w:val="00A142D1"/>
    <w:rsid w:val="00A1489E"/>
    <w:rsid w:val="00A232EE"/>
    <w:rsid w:val="00A33E4E"/>
    <w:rsid w:val="00A411FD"/>
    <w:rsid w:val="00A4175F"/>
    <w:rsid w:val="00A44411"/>
    <w:rsid w:val="00A469FA"/>
    <w:rsid w:val="00A50E94"/>
    <w:rsid w:val="00A528D0"/>
    <w:rsid w:val="00A54308"/>
    <w:rsid w:val="00A55B01"/>
    <w:rsid w:val="00A56B5B"/>
    <w:rsid w:val="00A603FF"/>
    <w:rsid w:val="00A657DD"/>
    <w:rsid w:val="00A666A6"/>
    <w:rsid w:val="00A675FD"/>
    <w:rsid w:val="00A7117B"/>
    <w:rsid w:val="00A72437"/>
    <w:rsid w:val="00A73360"/>
    <w:rsid w:val="00A80611"/>
    <w:rsid w:val="00A84B15"/>
    <w:rsid w:val="00A87016"/>
    <w:rsid w:val="00A87A7E"/>
    <w:rsid w:val="00A93493"/>
    <w:rsid w:val="00AA40D7"/>
    <w:rsid w:val="00AB138F"/>
    <w:rsid w:val="00AB1F69"/>
    <w:rsid w:val="00AB2777"/>
    <w:rsid w:val="00AB5340"/>
    <w:rsid w:val="00AC010E"/>
    <w:rsid w:val="00AC01CC"/>
    <w:rsid w:val="00AC16B8"/>
    <w:rsid w:val="00AC6D1A"/>
    <w:rsid w:val="00AC7C96"/>
    <w:rsid w:val="00AD1C3C"/>
    <w:rsid w:val="00AD64FD"/>
    <w:rsid w:val="00AE237D"/>
    <w:rsid w:val="00AE2A3D"/>
    <w:rsid w:val="00AE502A"/>
    <w:rsid w:val="00AE66FC"/>
    <w:rsid w:val="00AF0DF7"/>
    <w:rsid w:val="00AF19F4"/>
    <w:rsid w:val="00AF7C07"/>
    <w:rsid w:val="00B020DC"/>
    <w:rsid w:val="00B0245C"/>
    <w:rsid w:val="00B03929"/>
    <w:rsid w:val="00B057DF"/>
    <w:rsid w:val="00B11ACE"/>
    <w:rsid w:val="00B15A9E"/>
    <w:rsid w:val="00B21F5C"/>
    <w:rsid w:val="00B22C93"/>
    <w:rsid w:val="00B22CC8"/>
    <w:rsid w:val="00B26563"/>
    <w:rsid w:val="00B27589"/>
    <w:rsid w:val="00B35CF9"/>
    <w:rsid w:val="00B36275"/>
    <w:rsid w:val="00B37EF9"/>
    <w:rsid w:val="00B405B7"/>
    <w:rsid w:val="00B45E6D"/>
    <w:rsid w:val="00B52222"/>
    <w:rsid w:val="00B523A2"/>
    <w:rsid w:val="00B53325"/>
    <w:rsid w:val="00B54FE7"/>
    <w:rsid w:val="00B57C47"/>
    <w:rsid w:val="00B61936"/>
    <w:rsid w:val="00B6516F"/>
    <w:rsid w:val="00B66901"/>
    <w:rsid w:val="00B71E6D"/>
    <w:rsid w:val="00B72070"/>
    <w:rsid w:val="00B76F58"/>
    <w:rsid w:val="00B779E1"/>
    <w:rsid w:val="00B859A3"/>
    <w:rsid w:val="00B873A1"/>
    <w:rsid w:val="00B9097D"/>
    <w:rsid w:val="00B91EE1"/>
    <w:rsid w:val="00BA0090"/>
    <w:rsid w:val="00BA1A67"/>
    <w:rsid w:val="00BB1402"/>
    <w:rsid w:val="00BB15E1"/>
    <w:rsid w:val="00BB1A46"/>
    <w:rsid w:val="00BB49DE"/>
    <w:rsid w:val="00BC07FE"/>
    <w:rsid w:val="00BC2911"/>
    <w:rsid w:val="00BC60DC"/>
    <w:rsid w:val="00BC7446"/>
    <w:rsid w:val="00BD0163"/>
    <w:rsid w:val="00BD159E"/>
    <w:rsid w:val="00BE575C"/>
    <w:rsid w:val="00BE5B5F"/>
    <w:rsid w:val="00BF1928"/>
    <w:rsid w:val="00BF4971"/>
    <w:rsid w:val="00C06FAE"/>
    <w:rsid w:val="00C113C6"/>
    <w:rsid w:val="00C14821"/>
    <w:rsid w:val="00C16EDF"/>
    <w:rsid w:val="00C17072"/>
    <w:rsid w:val="00C20C49"/>
    <w:rsid w:val="00C26F55"/>
    <w:rsid w:val="00C27EB8"/>
    <w:rsid w:val="00C30C63"/>
    <w:rsid w:val="00C32B37"/>
    <w:rsid w:val="00C36B8B"/>
    <w:rsid w:val="00C375EA"/>
    <w:rsid w:val="00C47D09"/>
    <w:rsid w:val="00C47DBF"/>
    <w:rsid w:val="00C53666"/>
    <w:rsid w:val="00C552FF"/>
    <w:rsid w:val="00C558DA"/>
    <w:rsid w:val="00C55AF3"/>
    <w:rsid w:val="00C60713"/>
    <w:rsid w:val="00C70B49"/>
    <w:rsid w:val="00C7560B"/>
    <w:rsid w:val="00C75C7C"/>
    <w:rsid w:val="00C81951"/>
    <w:rsid w:val="00C81AA1"/>
    <w:rsid w:val="00C83A8F"/>
    <w:rsid w:val="00C84759"/>
    <w:rsid w:val="00C93A95"/>
    <w:rsid w:val="00C95FEF"/>
    <w:rsid w:val="00C97578"/>
    <w:rsid w:val="00CA6C7F"/>
    <w:rsid w:val="00CA78AF"/>
    <w:rsid w:val="00CB021B"/>
    <w:rsid w:val="00CB1336"/>
    <w:rsid w:val="00CB6F8C"/>
    <w:rsid w:val="00CC0260"/>
    <w:rsid w:val="00CC10A6"/>
    <w:rsid w:val="00CD5EB8"/>
    <w:rsid w:val="00CD6AC7"/>
    <w:rsid w:val="00CD7044"/>
    <w:rsid w:val="00CD7347"/>
    <w:rsid w:val="00CE08B9"/>
    <w:rsid w:val="00CE43B6"/>
    <w:rsid w:val="00CE524C"/>
    <w:rsid w:val="00CF11BB"/>
    <w:rsid w:val="00CF141F"/>
    <w:rsid w:val="00CF4777"/>
    <w:rsid w:val="00CF5AF8"/>
    <w:rsid w:val="00D067BB"/>
    <w:rsid w:val="00D070CC"/>
    <w:rsid w:val="00D1031C"/>
    <w:rsid w:val="00D1352A"/>
    <w:rsid w:val="00D13EDE"/>
    <w:rsid w:val="00D169AF"/>
    <w:rsid w:val="00D25249"/>
    <w:rsid w:val="00D255A7"/>
    <w:rsid w:val="00D44172"/>
    <w:rsid w:val="00D47421"/>
    <w:rsid w:val="00D526D8"/>
    <w:rsid w:val="00D63B8C"/>
    <w:rsid w:val="00D645A2"/>
    <w:rsid w:val="00D666AD"/>
    <w:rsid w:val="00D712FD"/>
    <w:rsid w:val="00D72CB6"/>
    <w:rsid w:val="00D739CC"/>
    <w:rsid w:val="00D74D68"/>
    <w:rsid w:val="00D8093D"/>
    <w:rsid w:val="00D8108C"/>
    <w:rsid w:val="00D842AE"/>
    <w:rsid w:val="00D9211C"/>
    <w:rsid w:val="00D92DE0"/>
    <w:rsid w:val="00D92FEF"/>
    <w:rsid w:val="00D93A0F"/>
    <w:rsid w:val="00DA1BCA"/>
    <w:rsid w:val="00DA32D8"/>
    <w:rsid w:val="00DA3FFA"/>
    <w:rsid w:val="00DA7299"/>
    <w:rsid w:val="00DB36B7"/>
    <w:rsid w:val="00DB3E23"/>
    <w:rsid w:val="00DC1C50"/>
    <w:rsid w:val="00DC46FF"/>
    <w:rsid w:val="00DC5254"/>
    <w:rsid w:val="00DD0278"/>
    <w:rsid w:val="00DD1A4F"/>
    <w:rsid w:val="00DD1E77"/>
    <w:rsid w:val="00DD3107"/>
    <w:rsid w:val="00DD5EFF"/>
    <w:rsid w:val="00DD7C2C"/>
    <w:rsid w:val="00DE6BD4"/>
    <w:rsid w:val="00DE6E55"/>
    <w:rsid w:val="00DF5660"/>
    <w:rsid w:val="00DF5F21"/>
    <w:rsid w:val="00E00269"/>
    <w:rsid w:val="00E0574F"/>
    <w:rsid w:val="00E06797"/>
    <w:rsid w:val="00E122BC"/>
    <w:rsid w:val="00E1265B"/>
    <w:rsid w:val="00E13B48"/>
    <w:rsid w:val="00E1404F"/>
    <w:rsid w:val="00E212EF"/>
    <w:rsid w:val="00E21C83"/>
    <w:rsid w:val="00E24ADA"/>
    <w:rsid w:val="00E256F6"/>
    <w:rsid w:val="00E32F59"/>
    <w:rsid w:val="00E34FF6"/>
    <w:rsid w:val="00E37F15"/>
    <w:rsid w:val="00E40A8D"/>
    <w:rsid w:val="00E440CD"/>
    <w:rsid w:val="00E46D9A"/>
    <w:rsid w:val="00E509D1"/>
    <w:rsid w:val="00E554C4"/>
    <w:rsid w:val="00E565FF"/>
    <w:rsid w:val="00E56A44"/>
    <w:rsid w:val="00E600D6"/>
    <w:rsid w:val="00E63C75"/>
    <w:rsid w:val="00E65388"/>
    <w:rsid w:val="00E67585"/>
    <w:rsid w:val="00E67833"/>
    <w:rsid w:val="00E74ACB"/>
    <w:rsid w:val="00E7707C"/>
    <w:rsid w:val="00E81DA3"/>
    <w:rsid w:val="00E85B7D"/>
    <w:rsid w:val="00E86666"/>
    <w:rsid w:val="00E9057C"/>
    <w:rsid w:val="00E9121B"/>
    <w:rsid w:val="00E9296E"/>
    <w:rsid w:val="00E94B48"/>
    <w:rsid w:val="00E96614"/>
    <w:rsid w:val="00E97038"/>
    <w:rsid w:val="00EA0AE2"/>
    <w:rsid w:val="00EA292F"/>
    <w:rsid w:val="00EA39E5"/>
    <w:rsid w:val="00EB13A6"/>
    <w:rsid w:val="00EB1CAD"/>
    <w:rsid w:val="00EB3106"/>
    <w:rsid w:val="00EC5A46"/>
    <w:rsid w:val="00EC63E2"/>
    <w:rsid w:val="00EC6CC6"/>
    <w:rsid w:val="00ED0087"/>
    <w:rsid w:val="00ED1525"/>
    <w:rsid w:val="00ED1F3E"/>
    <w:rsid w:val="00ED7204"/>
    <w:rsid w:val="00EE1BA8"/>
    <w:rsid w:val="00EE1E98"/>
    <w:rsid w:val="00EE397B"/>
    <w:rsid w:val="00EE4483"/>
    <w:rsid w:val="00EE5261"/>
    <w:rsid w:val="00EF22B3"/>
    <w:rsid w:val="00EF2C84"/>
    <w:rsid w:val="00EF38AA"/>
    <w:rsid w:val="00EF469A"/>
    <w:rsid w:val="00EF75A2"/>
    <w:rsid w:val="00F03B69"/>
    <w:rsid w:val="00F0614F"/>
    <w:rsid w:val="00F07A50"/>
    <w:rsid w:val="00F113DA"/>
    <w:rsid w:val="00F1184F"/>
    <w:rsid w:val="00F23184"/>
    <w:rsid w:val="00F25F15"/>
    <w:rsid w:val="00F319FC"/>
    <w:rsid w:val="00F35A98"/>
    <w:rsid w:val="00F37DC8"/>
    <w:rsid w:val="00F4191A"/>
    <w:rsid w:val="00F4225A"/>
    <w:rsid w:val="00F439B3"/>
    <w:rsid w:val="00F45AA8"/>
    <w:rsid w:val="00F502DD"/>
    <w:rsid w:val="00F511D5"/>
    <w:rsid w:val="00F52A1B"/>
    <w:rsid w:val="00F567C7"/>
    <w:rsid w:val="00F638FC"/>
    <w:rsid w:val="00F650C3"/>
    <w:rsid w:val="00F65D85"/>
    <w:rsid w:val="00F71619"/>
    <w:rsid w:val="00F7203C"/>
    <w:rsid w:val="00F75453"/>
    <w:rsid w:val="00F8091E"/>
    <w:rsid w:val="00F8615C"/>
    <w:rsid w:val="00F969E5"/>
    <w:rsid w:val="00F97AEE"/>
    <w:rsid w:val="00F97E54"/>
    <w:rsid w:val="00FA1C95"/>
    <w:rsid w:val="00FA5304"/>
    <w:rsid w:val="00FA6BB0"/>
    <w:rsid w:val="00FB0117"/>
    <w:rsid w:val="00FB0CF5"/>
    <w:rsid w:val="00FB1DFB"/>
    <w:rsid w:val="00FB7C5E"/>
    <w:rsid w:val="00FD2D77"/>
    <w:rsid w:val="00FD5860"/>
    <w:rsid w:val="00FD5CF4"/>
    <w:rsid w:val="00FE352D"/>
    <w:rsid w:val="00FE40EB"/>
    <w:rsid w:val="00FE4D02"/>
    <w:rsid w:val="00FE51C9"/>
    <w:rsid w:val="00FE7B2F"/>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92B9F"/>
  <w15:chartTrackingRefBased/>
  <w15:docId w15:val="{B4BFE913-E729-4D94-B47C-1176B97D5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EF75A2"/>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CE43B6"/>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CE43B6"/>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CE43B6"/>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CE43B6"/>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CE43B6"/>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CE43B6"/>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CE43B6"/>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CE43B6"/>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CE43B6"/>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CE43B6"/>
    <w:rPr>
      <w:rFonts w:ascii="Times New Roman" w:hAnsi="Times New Roman"/>
      <w:b/>
      <w:sz w:val="18"/>
      <w:lang w:val="en-GB"/>
    </w:rPr>
  </w:style>
  <w:style w:type="table" w:customStyle="1" w:styleId="Tabledocright">
    <w:name w:val="Table_doc_right"/>
    <w:basedOn w:val="TableNormal"/>
    <w:rsid w:val="00CE43B6"/>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CE43B6"/>
    <w:pPr>
      <w:ind w:left="1000"/>
    </w:pPr>
    <w:rPr>
      <w:sz w:val="18"/>
      <w:szCs w:val="18"/>
    </w:rPr>
  </w:style>
  <w:style w:type="paragraph" w:styleId="TOC7">
    <w:name w:val="toc 7"/>
    <w:basedOn w:val="Normal"/>
    <w:next w:val="Normal"/>
    <w:autoRedefine/>
    <w:semiHidden/>
    <w:rsid w:val="00CE43B6"/>
    <w:pPr>
      <w:ind w:left="1200"/>
    </w:pPr>
    <w:rPr>
      <w:sz w:val="18"/>
      <w:szCs w:val="18"/>
    </w:rPr>
  </w:style>
  <w:style w:type="paragraph" w:styleId="TOC8">
    <w:name w:val="toc 8"/>
    <w:basedOn w:val="Normal"/>
    <w:next w:val="Normal"/>
    <w:autoRedefine/>
    <w:semiHidden/>
    <w:rsid w:val="00CE43B6"/>
    <w:pPr>
      <w:ind w:left="1400"/>
    </w:pPr>
    <w:rPr>
      <w:sz w:val="18"/>
      <w:szCs w:val="18"/>
    </w:rPr>
  </w:style>
  <w:style w:type="paragraph" w:styleId="TOC9">
    <w:name w:val="toc 9"/>
    <w:basedOn w:val="Normal"/>
    <w:next w:val="Normal"/>
    <w:autoRedefine/>
    <w:semiHidden/>
    <w:rsid w:val="00CE43B6"/>
    <w:pPr>
      <w:ind w:left="1600"/>
    </w:pPr>
    <w:rPr>
      <w:sz w:val="18"/>
      <w:szCs w:val="18"/>
    </w:rPr>
  </w:style>
  <w:style w:type="paragraph" w:customStyle="1" w:styleId="Titlefigure">
    <w:name w:val="Title_figure"/>
    <w:basedOn w:val="Titletable"/>
    <w:next w:val="NormalNonumber"/>
    <w:rsid w:val="00CE43B6"/>
    <w:pPr>
      <w:tabs>
        <w:tab w:val="clear" w:pos="4990"/>
      </w:tabs>
    </w:pPr>
    <w:rPr>
      <w:bCs w:val="0"/>
    </w:rPr>
  </w:style>
  <w:style w:type="paragraph" w:styleId="TableofFigures">
    <w:name w:val="table of figures"/>
    <w:basedOn w:val="Normal"/>
    <w:next w:val="Normal"/>
    <w:autoRedefine/>
    <w:semiHidden/>
    <w:rsid w:val="00CE43B6"/>
    <w:pPr>
      <w:ind w:left="1814" w:hanging="567"/>
    </w:pPr>
  </w:style>
  <w:style w:type="paragraph" w:customStyle="1" w:styleId="CH1">
    <w:name w:val="CH1"/>
    <w:basedOn w:val="Normal-pool"/>
    <w:next w:val="CH2"/>
    <w:qFormat/>
    <w:rsid w:val="00CE43B6"/>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CE43B6"/>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CE43B6"/>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CE43B6"/>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CE43B6"/>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CE43B6"/>
    <w:pPr>
      <w:tabs>
        <w:tab w:val="left" w:pos="4321"/>
        <w:tab w:val="right" w:pos="8641"/>
      </w:tabs>
      <w:spacing w:before="60"/>
    </w:pPr>
    <w:rPr>
      <w:b/>
      <w:sz w:val="18"/>
    </w:rPr>
  </w:style>
  <w:style w:type="paragraph" w:customStyle="1" w:styleId="Footer-pool">
    <w:name w:val="Footer-pool"/>
    <w:basedOn w:val="Normal-pool"/>
    <w:next w:val="Normal-pool"/>
    <w:rsid w:val="00CE43B6"/>
    <w:pPr>
      <w:tabs>
        <w:tab w:val="right" w:pos="8641"/>
      </w:tabs>
      <w:spacing w:after="120"/>
    </w:pPr>
    <w:rPr>
      <w:b/>
      <w:sz w:val="18"/>
    </w:rPr>
  </w:style>
  <w:style w:type="paragraph" w:customStyle="1" w:styleId="Header-pool">
    <w:name w:val="Header-pool"/>
    <w:basedOn w:val="Normal"/>
    <w:next w:val="Normal"/>
    <w:rsid w:val="00CE43B6"/>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 Reference1,11 pt,Ref. de nota de rodapé1,stylish,Footnote"/>
    <w:link w:val="BVIfnrCharCharCharChar"/>
    <w:unhideWhenUsed/>
    <w:qFormat/>
    <w:rsid w:val="00CE43B6"/>
    <w:rPr>
      <w:rFonts w:ascii="Times New Roman" w:hAnsi="Times New Roman"/>
      <w:color w:val="auto"/>
      <w:sz w:val="20"/>
      <w:szCs w:val="18"/>
      <w:vertAlign w:val="superscript"/>
      <w:lang w:val="en-GB"/>
    </w:rPr>
  </w:style>
  <w:style w:type="table" w:customStyle="1" w:styleId="AATable">
    <w:name w:val="AA_Table"/>
    <w:basedOn w:val="TableNormal"/>
    <w:semiHidden/>
    <w:rsid w:val="00CE43B6"/>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CE43B6"/>
    <w:pPr>
      <w:keepNext/>
      <w:keepLines/>
      <w:suppressAutoHyphens/>
    </w:pPr>
    <w:rPr>
      <w:b/>
    </w:rPr>
  </w:style>
  <w:style w:type="paragraph" w:customStyle="1" w:styleId="AATitle2">
    <w:name w:val="AA_Title2"/>
    <w:basedOn w:val="AATitle"/>
    <w:qFormat/>
    <w:rsid w:val="00CE43B6"/>
    <w:pPr>
      <w:keepNext w:val="0"/>
      <w:keepLines w:val="0"/>
      <w:tabs>
        <w:tab w:val="clear" w:pos="4990"/>
      </w:tabs>
      <w:spacing w:before="120" w:after="120"/>
    </w:pPr>
  </w:style>
  <w:style w:type="paragraph" w:customStyle="1" w:styleId="BBTitle">
    <w:name w:val="BB_Title"/>
    <w:basedOn w:val="Normal-pool"/>
    <w:qFormat/>
    <w:rsid w:val="00CE43B6"/>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CE43B6"/>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CE43B6"/>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CE43B6"/>
    <w:rPr>
      <w:color w:val="0000FF"/>
      <w:u w:val="none"/>
      <w:lang w:val="en-GB"/>
    </w:rPr>
  </w:style>
  <w:style w:type="numbering" w:customStyle="1" w:styleId="Normallist">
    <w:name w:val="Normal_list"/>
    <w:basedOn w:val="NoList"/>
    <w:rsid w:val="00CE43B6"/>
    <w:pPr>
      <w:numPr>
        <w:numId w:val="1"/>
      </w:numPr>
    </w:pPr>
  </w:style>
  <w:style w:type="paragraph" w:customStyle="1" w:styleId="NormalNonumber">
    <w:name w:val="Normal_No_number"/>
    <w:basedOn w:val="Normal-pool"/>
    <w:qFormat/>
    <w:rsid w:val="00CE43B6"/>
    <w:pPr>
      <w:spacing w:after="120"/>
      <w:ind w:left="1247"/>
    </w:pPr>
  </w:style>
  <w:style w:type="paragraph" w:customStyle="1" w:styleId="Normalnumber">
    <w:name w:val="Normal_number"/>
    <w:basedOn w:val="Normal"/>
    <w:link w:val="NormalnumberChar"/>
    <w:qFormat/>
    <w:rsid w:val="00CE43B6"/>
    <w:pPr>
      <w:numPr>
        <w:numId w:val="1"/>
      </w:numPr>
      <w:tabs>
        <w:tab w:val="clear" w:pos="624"/>
      </w:tabs>
      <w:spacing w:after="120"/>
      <w:ind w:left="1247"/>
    </w:pPr>
  </w:style>
  <w:style w:type="paragraph" w:customStyle="1" w:styleId="Titletable">
    <w:name w:val="Title_table"/>
    <w:basedOn w:val="Normal-pool"/>
    <w:next w:val="NormalNonumber"/>
    <w:rsid w:val="00CE43B6"/>
    <w:pPr>
      <w:keepNext/>
      <w:keepLines/>
      <w:suppressAutoHyphens/>
      <w:spacing w:after="60"/>
      <w:ind w:left="1247"/>
    </w:pPr>
    <w:rPr>
      <w:b/>
      <w:bCs/>
    </w:rPr>
  </w:style>
  <w:style w:type="paragraph" w:styleId="TOC1">
    <w:name w:val="toc 1"/>
    <w:basedOn w:val="Normal"/>
    <w:next w:val="Normal"/>
    <w:autoRedefine/>
    <w:uiPriority w:val="39"/>
    <w:unhideWhenUsed/>
    <w:rsid w:val="00CE43B6"/>
    <w:pPr>
      <w:tabs>
        <w:tab w:val="right" w:leader="dot" w:pos="9486"/>
      </w:tabs>
      <w:spacing w:before="240"/>
      <w:ind w:left="1984" w:hanging="737"/>
    </w:pPr>
    <w:rPr>
      <w:bCs/>
    </w:rPr>
  </w:style>
  <w:style w:type="paragraph" w:styleId="TOC2">
    <w:name w:val="toc 2"/>
    <w:basedOn w:val="Normal"/>
    <w:next w:val="Normal"/>
    <w:uiPriority w:val="39"/>
    <w:unhideWhenUsed/>
    <w:rsid w:val="00CE43B6"/>
    <w:pPr>
      <w:tabs>
        <w:tab w:val="right" w:leader="dot" w:pos="9486"/>
      </w:tabs>
      <w:spacing w:before="60"/>
      <w:ind w:left="2608" w:hanging="737"/>
    </w:pPr>
  </w:style>
  <w:style w:type="paragraph" w:styleId="TOC3">
    <w:name w:val="toc 3"/>
    <w:basedOn w:val="Normal"/>
    <w:next w:val="Normal"/>
    <w:uiPriority w:val="39"/>
    <w:unhideWhenUsed/>
    <w:rsid w:val="00CE43B6"/>
    <w:pPr>
      <w:tabs>
        <w:tab w:val="right" w:leader="dot" w:pos="9486"/>
      </w:tabs>
      <w:ind w:left="3232" w:hanging="737"/>
    </w:pPr>
    <w:rPr>
      <w:iCs/>
    </w:rPr>
  </w:style>
  <w:style w:type="paragraph" w:styleId="TOC4">
    <w:name w:val="toc 4"/>
    <w:basedOn w:val="Normal"/>
    <w:next w:val="Normal"/>
    <w:uiPriority w:val="39"/>
    <w:unhideWhenUsed/>
    <w:rsid w:val="00CE43B6"/>
    <w:pPr>
      <w:tabs>
        <w:tab w:val="left" w:pos="1000"/>
        <w:tab w:val="right" w:leader="dot" w:pos="9486"/>
      </w:tabs>
      <w:ind w:left="3856" w:hanging="737"/>
    </w:pPr>
    <w:rPr>
      <w:szCs w:val="18"/>
    </w:rPr>
  </w:style>
  <w:style w:type="paragraph" w:styleId="TOC5">
    <w:name w:val="toc 5"/>
    <w:basedOn w:val="Normal"/>
    <w:next w:val="Normal"/>
    <w:uiPriority w:val="39"/>
    <w:rsid w:val="00CE43B6"/>
    <w:pPr>
      <w:tabs>
        <w:tab w:val="right" w:leader="dot" w:pos="9486"/>
      </w:tabs>
      <w:ind w:left="4479" w:hanging="737"/>
    </w:pPr>
    <w:rPr>
      <w:sz w:val="18"/>
      <w:szCs w:val="18"/>
    </w:rPr>
  </w:style>
  <w:style w:type="paragraph" w:customStyle="1" w:styleId="ZZAnxheader">
    <w:name w:val="ZZ_Anx_header"/>
    <w:basedOn w:val="Normal-pool"/>
    <w:rsid w:val="00CE43B6"/>
    <w:rPr>
      <w:b/>
      <w:bCs/>
      <w:sz w:val="28"/>
      <w:szCs w:val="22"/>
    </w:rPr>
  </w:style>
  <w:style w:type="paragraph" w:customStyle="1" w:styleId="ZZAnxtitle">
    <w:name w:val="ZZ_Anx_title"/>
    <w:basedOn w:val="Normal-pool"/>
    <w:rsid w:val="00CE43B6"/>
    <w:pPr>
      <w:spacing w:before="360" w:after="120"/>
      <w:ind w:left="1247"/>
    </w:pPr>
    <w:rPr>
      <w:b/>
      <w:bCs/>
      <w:sz w:val="28"/>
      <w:szCs w:val="26"/>
    </w:rPr>
  </w:style>
  <w:style w:type="paragraph" w:styleId="NormalWeb">
    <w:name w:val="Normal (Web)"/>
    <w:basedOn w:val="Normal"/>
    <w:uiPriority w:val="99"/>
    <w:semiHidden/>
    <w:unhideWhenUsed/>
    <w:rsid w:val="00CE43B6"/>
    <w:pPr>
      <w:spacing w:before="100" w:beforeAutospacing="1" w:after="100" w:afterAutospacing="1"/>
    </w:pPr>
    <w:rPr>
      <w:rFonts w:eastAsiaTheme="minorEastAsia"/>
      <w:sz w:val="24"/>
      <w:szCs w:val="24"/>
    </w:rPr>
  </w:style>
  <w:style w:type="paragraph" w:customStyle="1" w:styleId="Normal-pool-Table">
    <w:name w:val="Normal-pool-Table"/>
    <w:basedOn w:val="Normal-pool"/>
    <w:rsid w:val="00CE43B6"/>
    <w:pPr>
      <w:spacing w:before="40" w:after="40"/>
    </w:pPr>
    <w:rPr>
      <w:sz w:val="18"/>
    </w:rPr>
  </w:style>
  <w:style w:type="paragraph" w:customStyle="1" w:styleId="Footnote-Text">
    <w:name w:val="Footnote-Text"/>
    <w:basedOn w:val="Normal-pool"/>
    <w:rsid w:val="00CE43B6"/>
    <w:pPr>
      <w:spacing w:before="20" w:after="40"/>
      <w:ind w:left="1247"/>
    </w:pPr>
    <w:rPr>
      <w:sz w:val="18"/>
    </w:rPr>
  </w:style>
  <w:style w:type="paragraph" w:customStyle="1" w:styleId="AConvName">
    <w:name w:val="A_ConvName"/>
    <w:basedOn w:val="Normal-pool"/>
    <w:next w:val="Normal-pool"/>
    <w:rsid w:val="00CE43B6"/>
    <w:pPr>
      <w:spacing w:before="120" w:after="240"/>
    </w:pPr>
    <w:rPr>
      <w:rFonts w:ascii="Arial" w:hAnsi="Arial"/>
      <w:b/>
      <w:sz w:val="28"/>
    </w:rPr>
  </w:style>
  <w:style w:type="paragraph" w:customStyle="1" w:styleId="ASymbol">
    <w:name w:val="A_Symbol"/>
    <w:basedOn w:val="Normal-pool"/>
    <w:rsid w:val="00CE43B6"/>
    <w:pPr>
      <w:tabs>
        <w:tab w:val="clear" w:pos="624"/>
        <w:tab w:val="clear" w:pos="1247"/>
        <w:tab w:val="right" w:pos="2920"/>
      </w:tabs>
    </w:pPr>
    <w:rPr>
      <w:rFonts w:eastAsia="SimSun"/>
    </w:rPr>
  </w:style>
  <w:style w:type="paragraph" w:customStyle="1" w:styleId="AText">
    <w:name w:val="A_Text"/>
    <w:basedOn w:val="Normal-pool"/>
    <w:rsid w:val="00CE43B6"/>
    <w:pPr>
      <w:spacing w:before="120"/>
    </w:pPr>
  </w:style>
  <w:style w:type="paragraph" w:customStyle="1" w:styleId="ATwoLetters">
    <w:name w:val="A_TwoLetters"/>
    <w:basedOn w:val="Normal-pool"/>
    <w:next w:val="Normal-pool"/>
    <w:rsid w:val="00CE43B6"/>
    <w:pPr>
      <w:tabs>
        <w:tab w:val="clear" w:pos="1247"/>
      </w:tabs>
      <w:jc w:val="right"/>
    </w:pPr>
    <w:rPr>
      <w:rFonts w:ascii="Arial" w:hAnsi="Arial" w:cs="Arial"/>
      <w:b/>
      <w:sz w:val="64"/>
      <w:szCs w:val="64"/>
    </w:rPr>
  </w:style>
  <w:style w:type="paragraph" w:customStyle="1" w:styleId="AUnitedNations">
    <w:name w:val="A_United_Nations"/>
    <w:basedOn w:val="Normal-pool"/>
    <w:next w:val="Normal-pool"/>
    <w:rsid w:val="00CE43B6"/>
    <w:pPr>
      <w:tabs>
        <w:tab w:val="clear" w:pos="1247"/>
      </w:tabs>
      <w:spacing w:before="20" w:after="20"/>
    </w:pPr>
    <w:rPr>
      <w:rFonts w:ascii="Arial" w:hAnsi="Arial" w:cs="Times New Roman Bold"/>
      <w:b/>
      <w:color w:val="000000" w:themeColor="text1"/>
      <w:sz w:val="27"/>
    </w:rPr>
  </w:style>
  <w:style w:type="paragraph" w:styleId="BalloonText">
    <w:name w:val="Balloon Text"/>
    <w:basedOn w:val="Normal"/>
    <w:link w:val="BalloonTextChar"/>
    <w:unhideWhenUsed/>
    <w:rsid w:val="00CE43B6"/>
    <w:rPr>
      <w:rFonts w:ascii="Tahoma" w:hAnsi="Tahoma" w:cs="Tahoma"/>
      <w:sz w:val="16"/>
      <w:szCs w:val="16"/>
    </w:rPr>
  </w:style>
  <w:style w:type="character" w:customStyle="1" w:styleId="BalloonTextChar">
    <w:name w:val="Balloon Text Char"/>
    <w:basedOn w:val="DefaultParagraphFont"/>
    <w:link w:val="BalloonText"/>
    <w:rsid w:val="00CE43B6"/>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CE43B6"/>
    <w:rPr>
      <w:sz w:val="16"/>
      <w:szCs w:val="16"/>
      <w:lang w:val="en-GB"/>
    </w:rPr>
  </w:style>
  <w:style w:type="paragraph" w:styleId="CommentText">
    <w:name w:val="annotation text"/>
    <w:basedOn w:val="Normal"/>
    <w:link w:val="CommentTextChar"/>
    <w:unhideWhenUsed/>
    <w:rsid w:val="00CE43B6"/>
  </w:style>
  <w:style w:type="character" w:customStyle="1" w:styleId="CommentTextChar">
    <w:name w:val="Comment Text Char"/>
    <w:basedOn w:val="DefaultParagraphFont"/>
    <w:link w:val="CommentText"/>
    <w:rsid w:val="00CE43B6"/>
    <w:rPr>
      <w:rFonts w:eastAsia="Times New Roman"/>
      <w:lang w:val="en-GB" w:eastAsia="en-US"/>
    </w:rPr>
  </w:style>
  <w:style w:type="paragraph" w:styleId="CommentSubject">
    <w:name w:val="annotation subject"/>
    <w:basedOn w:val="CommentText"/>
    <w:next w:val="CommentText"/>
    <w:link w:val="CommentSubjectChar"/>
    <w:semiHidden/>
    <w:unhideWhenUsed/>
    <w:rsid w:val="00CE43B6"/>
    <w:rPr>
      <w:b/>
      <w:bCs/>
    </w:rPr>
  </w:style>
  <w:style w:type="character" w:customStyle="1" w:styleId="CommentSubjectChar">
    <w:name w:val="Comment Subject Char"/>
    <w:basedOn w:val="CommentTextChar"/>
    <w:link w:val="CommentSubject"/>
    <w:semiHidden/>
    <w:rsid w:val="00CE43B6"/>
    <w:rPr>
      <w:rFonts w:eastAsia="Times New Roman"/>
      <w:b/>
      <w:bCs/>
      <w:lang w:val="en-GB" w:eastAsia="en-US"/>
    </w:rPr>
  </w:style>
  <w:style w:type="character" w:styleId="FollowedHyperlink">
    <w:name w:val="FollowedHyperlink"/>
    <w:uiPriority w:val="99"/>
    <w:semiHidden/>
    <w:rsid w:val="00CE43B6"/>
    <w:rPr>
      <w:color w:val="0000FF"/>
      <w:u w:val="none"/>
      <w:lang w:val="en-GB"/>
    </w:rPr>
  </w:style>
  <w:style w:type="character" w:customStyle="1" w:styleId="FooterChar">
    <w:name w:val="Footer Char"/>
    <w:basedOn w:val="DefaultParagraphFont"/>
    <w:link w:val="CH4"/>
    <w:rsid w:val="00CE43B6"/>
    <w:rPr>
      <w:rFonts w:eastAsia="Times New Roman"/>
      <w:b/>
      <w:lang w:val="en-GB" w:eastAsia="en-US"/>
    </w:rPr>
  </w:style>
  <w:style w:type="character" w:customStyle="1" w:styleId="HeaderChar">
    <w:name w:val="Header Char"/>
    <w:basedOn w:val="DefaultParagraphFont"/>
    <w:link w:val="Header"/>
    <w:semiHidden/>
    <w:rsid w:val="00CE43B6"/>
    <w:rPr>
      <w:rFonts w:eastAsia="Times New Roman"/>
      <w:b/>
      <w:sz w:val="18"/>
      <w:lang w:val="en-GB" w:eastAsia="en-US"/>
    </w:rPr>
  </w:style>
  <w:style w:type="character" w:customStyle="1" w:styleId="Heading1Char">
    <w:name w:val="Heading 1 Char"/>
    <w:basedOn w:val="DefaultParagraphFont"/>
    <w:link w:val="Heading1"/>
    <w:rsid w:val="00CE43B6"/>
    <w:rPr>
      <w:rFonts w:eastAsia="Times New Roman"/>
      <w:b/>
      <w:sz w:val="28"/>
      <w:szCs w:val="28"/>
      <w:lang w:val="en-GB" w:eastAsia="en-US"/>
    </w:rPr>
  </w:style>
  <w:style w:type="character" w:customStyle="1" w:styleId="Heading2Char">
    <w:name w:val="Heading 2 Char"/>
    <w:basedOn w:val="DefaultParagraphFont"/>
    <w:link w:val="Heading2"/>
    <w:rsid w:val="00CE43B6"/>
    <w:rPr>
      <w:rFonts w:eastAsia="Times New Roman"/>
      <w:b/>
      <w:sz w:val="24"/>
      <w:szCs w:val="24"/>
      <w:lang w:val="en-GB" w:eastAsia="en-US"/>
    </w:rPr>
  </w:style>
  <w:style w:type="character" w:customStyle="1" w:styleId="Heading3Char">
    <w:name w:val="Heading 3 Char"/>
    <w:basedOn w:val="DefaultParagraphFont"/>
    <w:link w:val="Heading3"/>
    <w:rsid w:val="00CE43B6"/>
    <w:rPr>
      <w:rFonts w:eastAsia="Times New Roman"/>
      <w:b/>
      <w:lang w:val="en-GB" w:eastAsia="en-US"/>
    </w:rPr>
  </w:style>
  <w:style w:type="character" w:customStyle="1" w:styleId="Heading4Char">
    <w:name w:val="Heading 4 Char"/>
    <w:basedOn w:val="DefaultParagraphFont"/>
    <w:link w:val="Heading4"/>
    <w:rsid w:val="00CE43B6"/>
    <w:rPr>
      <w:rFonts w:eastAsia="Times New Roman"/>
      <w:b/>
      <w:lang w:val="en-GB" w:eastAsia="en-US"/>
    </w:rPr>
  </w:style>
  <w:style w:type="character" w:customStyle="1" w:styleId="Heading5Char">
    <w:name w:val="Heading 5 Char"/>
    <w:basedOn w:val="DefaultParagraphFont"/>
    <w:link w:val="Heading5"/>
    <w:rsid w:val="00CE43B6"/>
    <w:rPr>
      <w:rFonts w:eastAsia="Times New Roman"/>
      <w:b/>
      <w:lang w:val="en-GB" w:eastAsia="en-US"/>
    </w:rPr>
  </w:style>
  <w:style w:type="character" w:customStyle="1" w:styleId="Heading6Char">
    <w:name w:val="Heading 6 Char"/>
    <w:basedOn w:val="DefaultParagraphFont"/>
    <w:link w:val="Heading6"/>
    <w:semiHidden/>
    <w:rsid w:val="00CE43B6"/>
    <w:rPr>
      <w:rFonts w:eastAsia="Times New Roman"/>
      <w:bCs/>
      <w:sz w:val="24"/>
      <w:lang w:val="en-GB" w:eastAsia="en-US"/>
    </w:rPr>
  </w:style>
  <w:style w:type="character" w:customStyle="1" w:styleId="Heading7Char">
    <w:name w:val="Heading 7 Char"/>
    <w:basedOn w:val="DefaultParagraphFont"/>
    <w:link w:val="Heading7"/>
    <w:semiHidden/>
    <w:rsid w:val="00CE43B6"/>
    <w:rPr>
      <w:rFonts w:eastAsia="Times New Roman"/>
      <w:b/>
      <w:snapToGrid w:val="0"/>
      <w:u w:val="single"/>
      <w:lang w:val="en-GB" w:eastAsia="en-US"/>
    </w:rPr>
  </w:style>
  <w:style w:type="character" w:customStyle="1" w:styleId="Heading8Char">
    <w:name w:val="Heading 8 Char"/>
    <w:basedOn w:val="DefaultParagraphFont"/>
    <w:link w:val="Heading8"/>
    <w:semiHidden/>
    <w:rsid w:val="00CE43B6"/>
    <w:rPr>
      <w:rFonts w:eastAsia="Times New Roman"/>
      <w:b/>
      <w:snapToGrid w:val="0"/>
      <w:u w:val="single"/>
      <w:lang w:val="en-GB" w:eastAsia="en-US"/>
    </w:rPr>
  </w:style>
  <w:style w:type="character" w:customStyle="1" w:styleId="Heading9Char">
    <w:name w:val="Heading 9 Char"/>
    <w:basedOn w:val="DefaultParagraphFont"/>
    <w:link w:val="Heading9"/>
    <w:semiHidden/>
    <w:rsid w:val="00CE43B6"/>
    <w:rPr>
      <w:rFonts w:eastAsia="Times New Roman"/>
      <w:snapToGrid w:val="0"/>
      <w:u w:val="single"/>
      <w:lang w:val="en-GB" w:eastAsia="en-US"/>
    </w:rPr>
  </w:style>
  <w:style w:type="paragraph" w:styleId="ListParagraph">
    <w:name w:val="List Paragraph"/>
    <w:basedOn w:val="Normal"/>
    <w:uiPriority w:val="34"/>
    <w:semiHidden/>
    <w:qFormat/>
    <w:rsid w:val="00CE43B6"/>
    <w:pPr>
      <w:ind w:left="720"/>
      <w:contextualSpacing/>
    </w:pPr>
  </w:style>
  <w:style w:type="paragraph" w:styleId="NoSpacing">
    <w:name w:val="No Spacing"/>
    <w:uiPriority w:val="1"/>
    <w:semiHidden/>
    <w:qFormat/>
    <w:rsid w:val="00CE43B6"/>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CE43B6"/>
    <w:rPr>
      <w:rFonts w:eastAsia="Times New Roman"/>
      <w:lang w:val="en-GB" w:eastAsia="en-US"/>
    </w:rPr>
  </w:style>
  <w:style w:type="character" w:styleId="PlaceholderText">
    <w:name w:val="Placeholder Text"/>
    <w:basedOn w:val="DefaultParagraphFont"/>
    <w:uiPriority w:val="99"/>
    <w:semiHidden/>
    <w:rsid w:val="00CE43B6"/>
    <w:rPr>
      <w:color w:val="808080"/>
      <w:lang w:val="en-GB"/>
    </w:rPr>
  </w:style>
  <w:style w:type="table" w:styleId="TableGrid">
    <w:name w:val="Table Grid"/>
    <w:basedOn w:val="TableNormal"/>
    <w:rsid w:val="00CE43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CE43B6"/>
    <w:pPr>
      <w:spacing w:before="120" w:after="240"/>
    </w:pPr>
  </w:style>
  <w:style w:type="character" w:customStyle="1" w:styleId="ALogoChar">
    <w:name w:val="A_Logo Char"/>
    <w:basedOn w:val="DefaultParagraphFont"/>
    <w:link w:val="ALogo"/>
    <w:rsid w:val="00CE43B6"/>
    <w:rPr>
      <w:rFonts w:eastAsia="Times New Roman"/>
      <w:lang w:val="en-GB" w:eastAsia="en-US"/>
    </w:rPr>
  </w:style>
  <w:style w:type="paragraph" w:customStyle="1" w:styleId="ASpacer">
    <w:name w:val="A_Spacer"/>
    <w:basedOn w:val="Normal-pool"/>
    <w:link w:val="ASpacerChar"/>
    <w:qFormat/>
    <w:rsid w:val="00CE43B6"/>
    <w:rPr>
      <w:sz w:val="2"/>
    </w:rPr>
  </w:style>
  <w:style w:type="character" w:customStyle="1" w:styleId="ASpacerChar">
    <w:name w:val="A_Spacer Char"/>
    <w:basedOn w:val="DefaultParagraphFont"/>
    <w:link w:val="ASpacer"/>
    <w:rsid w:val="00CE43B6"/>
    <w:rPr>
      <w:rFonts w:eastAsia="Times New Roman"/>
      <w:sz w:val="2"/>
      <w:lang w:val="en-GB" w:eastAsia="en-US"/>
    </w:rPr>
  </w:style>
  <w:style w:type="paragraph" w:customStyle="1" w:styleId="AATitle1">
    <w:name w:val="AA_Title1"/>
    <w:basedOn w:val="Normal-pool"/>
    <w:rsid w:val="00CE43B6"/>
  </w:style>
  <w:style w:type="character" w:styleId="UnresolvedMention">
    <w:name w:val="Unresolved Mention"/>
    <w:basedOn w:val="DefaultParagraphFont"/>
    <w:uiPriority w:val="99"/>
    <w:semiHidden/>
    <w:rsid w:val="00CE43B6"/>
    <w:rPr>
      <w:color w:val="605E5C"/>
      <w:shd w:val="clear" w:color="auto" w:fill="E1DFDD"/>
      <w:lang w:val="en-GB"/>
    </w:rPr>
  </w:style>
  <w:style w:type="paragraph" w:customStyle="1" w:styleId="ANormal">
    <w:name w:val="A_Normal"/>
    <w:basedOn w:val="Normal-pool"/>
    <w:rsid w:val="00CE43B6"/>
  </w:style>
  <w:style w:type="paragraph" w:customStyle="1" w:styleId="AText0">
    <w:name w:val="A_Text0"/>
    <w:basedOn w:val="AText"/>
    <w:next w:val="AText"/>
    <w:qFormat/>
    <w:rsid w:val="00CE43B6"/>
    <w:pPr>
      <w:tabs>
        <w:tab w:val="clear" w:pos="4990"/>
      </w:tabs>
      <w:spacing w:before="0" w:after="120"/>
    </w:pPr>
  </w:style>
  <w:style w:type="paragraph" w:styleId="Footer">
    <w:name w:val="footer"/>
    <w:basedOn w:val="Normal"/>
    <w:link w:val="FooterChar1"/>
    <w:unhideWhenUsed/>
    <w:rsid w:val="00CE43B6"/>
    <w:pPr>
      <w:tabs>
        <w:tab w:val="clear" w:pos="1247"/>
        <w:tab w:val="right" w:pos="8641"/>
      </w:tabs>
    </w:pPr>
    <w:rPr>
      <w:b/>
      <w:sz w:val="18"/>
    </w:rPr>
  </w:style>
  <w:style w:type="character" w:customStyle="1" w:styleId="FooterChar1">
    <w:name w:val="Footer Char1"/>
    <w:basedOn w:val="DefaultParagraphFont"/>
    <w:link w:val="Footer"/>
    <w:rsid w:val="00CE43B6"/>
    <w:rPr>
      <w:rFonts w:eastAsia="Times New Roman"/>
      <w:b/>
      <w:sz w:val="18"/>
      <w:lang w:val="en-GB" w:eastAsia="en-US"/>
    </w:rPr>
  </w:style>
  <w:style w:type="paragraph" w:customStyle="1" w:styleId="Normal-pool">
    <w:name w:val="Normal-pool"/>
    <w:qFormat/>
    <w:rsid w:val="00CE43B6"/>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CE43B6"/>
    <w:pPr>
      <w:tabs>
        <w:tab w:val="clear" w:pos="624"/>
        <w:tab w:val="clear" w:pos="1247"/>
        <w:tab w:val="clear" w:pos="1871"/>
        <w:tab w:val="clear" w:pos="3119"/>
        <w:tab w:val="clear" w:pos="3742"/>
        <w:tab w:val="clear" w:pos="4366"/>
        <w:tab w:val="clear" w:pos="4990"/>
      </w:tabs>
    </w:pPr>
  </w:style>
  <w:style w:type="paragraph" w:customStyle="1" w:styleId="Footnote-Separator">
    <w:name w:val="Footnote-Separator"/>
    <w:basedOn w:val="Normal-pool"/>
    <w:next w:val="Normal"/>
    <w:unhideWhenUsed/>
    <w:rsid w:val="00CE43B6"/>
    <w:pPr>
      <w:spacing w:before="60"/>
      <w:ind w:left="624"/>
    </w:pPr>
    <w:rPr>
      <w:rFonts w:eastAsiaTheme="minorEastAsia"/>
      <w:sz w:val="18"/>
    </w:rPr>
  </w:style>
  <w:style w:type="paragraph" w:styleId="Bibliography">
    <w:name w:val="Bibliography"/>
    <w:basedOn w:val="Normal"/>
    <w:next w:val="Normal"/>
    <w:uiPriority w:val="37"/>
    <w:semiHidden/>
    <w:rsid w:val="00CE43B6"/>
  </w:style>
  <w:style w:type="paragraph" w:styleId="BlockText">
    <w:name w:val="Block Text"/>
    <w:basedOn w:val="Normal"/>
    <w:semiHidden/>
    <w:unhideWhenUsed/>
    <w:rsid w:val="00CE43B6"/>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CE43B6"/>
    <w:pPr>
      <w:spacing w:after="120"/>
    </w:pPr>
  </w:style>
  <w:style w:type="character" w:customStyle="1" w:styleId="BodyTextChar">
    <w:name w:val="Body Text Char"/>
    <w:basedOn w:val="DefaultParagraphFont"/>
    <w:link w:val="BodyText"/>
    <w:semiHidden/>
    <w:rsid w:val="00CE43B6"/>
    <w:rPr>
      <w:rFonts w:eastAsia="Times New Roman"/>
      <w:lang w:val="en-GB" w:eastAsia="en-US"/>
    </w:rPr>
  </w:style>
  <w:style w:type="paragraph" w:styleId="BodyText2">
    <w:name w:val="Body Text 2"/>
    <w:basedOn w:val="Normal"/>
    <w:link w:val="BodyText2Char"/>
    <w:semiHidden/>
    <w:unhideWhenUsed/>
    <w:rsid w:val="00CE43B6"/>
    <w:pPr>
      <w:spacing w:after="120" w:line="480" w:lineRule="auto"/>
    </w:pPr>
  </w:style>
  <w:style w:type="character" w:customStyle="1" w:styleId="BodyText2Char">
    <w:name w:val="Body Text 2 Char"/>
    <w:basedOn w:val="DefaultParagraphFont"/>
    <w:link w:val="BodyText2"/>
    <w:semiHidden/>
    <w:rsid w:val="00CE43B6"/>
    <w:rPr>
      <w:rFonts w:eastAsia="Times New Roman"/>
      <w:lang w:val="en-GB" w:eastAsia="en-US"/>
    </w:rPr>
  </w:style>
  <w:style w:type="paragraph" w:styleId="BodyText3">
    <w:name w:val="Body Text 3"/>
    <w:basedOn w:val="Normal"/>
    <w:link w:val="BodyText3Char"/>
    <w:semiHidden/>
    <w:unhideWhenUsed/>
    <w:rsid w:val="00CE43B6"/>
    <w:pPr>
      <w:spacing w:after="120"/>
    </w:pPr>
    <w:rPr>
      <w:sz w:val="16"/>
      <w:szCs w:val="16"/>
    </w:rPr>
  </w:style>
  <w:style w:type="character" w:customStyle="1" w:styleId="BodyText3Char">
    <w:name w:val="Body Text 3 Char"/>
    <w:basedOn w:val="DefaultParagraphFont"/>
    <w:link w:val="BodyText3"/>
    <w:semiHidden/>
    <w:rsid w:val="00CE43B6"/>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CE43B6"/>
    <w:pPr>
      <w:spacing w:after="0"/>
      <w:ind w:firstLine="360"/>
    </w:pPr>
  </w:style>
  <w:style w:type="character" w:customStyle="1" w:styleId="BodyTextFirstIndentChar">
    <w:name w:val="Body Text First Indent Char"/>
    <w:basedOn w:val="BodyTextChar"/>
    <w:link w:val="BodyTextFirstIndent"/>
    <w:semiHidden/>
    <w:rsid w:val="00CE43B6"/>
    <w:rPr>
      <w:rFonts w:eastAsia="Times New Roman"/>
      <w:lang w:val="en-GB" w:eastAsia="en-US"/>
    </w:rPr>
  </w:style>
  <w:style w:type="paragraph" w:styleId="BodyTextIndent">
    <w:name w:val="Body Text Indent"/>
    <w:basedOn w:val="Normal"/>
    <w:link w:val="BodyTextIndentChar"/>
    <w:semiHidden/>
    <w:unhideWhenUsed/>
    <w:rsid w:val="00CE43B6"/>
    <w:pPr>
      <w:spacing w:after="120"/>
      <w:ind w:left="283"/>
    </w:pPr>
  </w:style>
  <w:style w:type="character" w:customStyle="1" w:styleId="BodyTextIndentChar">
    <w:name w:val="Body Text Indent Char"/>
    <w:basedOn w:val="DefaultParagraphFont"/>
    <w:link w:val="BodyTextIndent"/>
    <w:semiHidden/>
    <w:rsid w:val="00CE43B6"/>
    <w:rPr>
      <w:rFonts w:eastAsia="Times New Roman"/>
      <w:lang w:val="en-GB" w:eastAsia="en-US"/>
    </w:rPr>
  </w:style>
  <w:style w:type="paragraph" w:styleId="BodyTextFirstIndent2">
    <w:name w:val="Body Text First Indent 2"/>
    <w:basedOn w:val="BodyTextIndent"/>
    <w:link w:val="BodyTextFirstIndent2Char"/>
    <w:semiHidden/>
    <w:unhideWhenUsed/>
    <w:rsid w:val="00CE43B6"/>
    <w:pPr>
      <w:spacing w:after="0"/>
      <w:ind w:left="360" w:firstLine="360"/>
    </w:pPr>
  </w:style>
  <w:style w:type="character" w:customStyle="1" w:styleId="BodyTextFirstIndent2Char">
    <w:name w:val="Body Text First Indent 2 Char"/>
    <w:basedOn w:val="BodyTextIndentChar"/>
    <w:link w:val="BodyTextFirstIndent2"/>
    <w:semiHidden/>
    <w:rsid w:val="00CE43B6"/>
    <w:rPr>
      <w:rFonts w:eastAsia="Times New Roman"/>
      <w:lang w:val="en-GB" w:eastAsia="en-US"/>
    </w:rPr>
  </w:style>
  <w:style w:type="paragraph" w:styleId="BodyTextIndent2">
    <w:name w:val="Body Text Indent 2"/>
    <w:basedOn w:val="Normal"/>
    <w:link w:val="BodyTextIndent2Char"/>
    <w:semiHidden/>
    <w:unhideWhenUsed/>
    <w:rsid w:val="00CE43B6"/>
    <w:pPr>
      <w:spacing w:after="120" w:line="480" w:lineRule="auto"/>
      <w:ind w:left="283"/>
    </w:pPr>
  </w:style>
  <w:style w:type="character" w:customStyle="1" w:styleId="BodyTextIndent2Char">
    <w:name w:val="Body Text Indent 2 Char"/>
    <w:basedOn w:val="DefaultParagraphFont"/>
    <w:link w:val="BodyTextIndent2"/>
    <w:semiHidden/>
    <w:rsid w:val="00CE43B6"/>
    <w:rPr>
      <w:rFonts w:eastAsia="Times New Roman"/>
      <w:lang w:val="en-GB" w:eastAsia="en-US"/>
    </w:rPr>
  </w:style>
  <w:style w:type="paragraph" w:styleId="BodyTextIndent3">
    <w:name w:val="Body Text Indent 3"/>
    <w:basedOn w:val="Normal"/>
    <w:link w:val="BodyTextIndent3Char"/>
    <w:semiHidden/>
    <w:unhideWhenUsed/>
    <w:rsid w:val="00CE43B6"/>
    <w:pPr>
      <w:spacing w:after="120"/>
      <w:ind w:left="283"/>
    </w:pPr>
    <w:rPr>
      <w:sz w:val="16"/>
      <w:szCs w:val="16"/>
    </w:rPr>
  </w:style>
  <w:style w:type="character" w:customStyle="1" w:styleId="BodyTextIndent3Char">
    <w:name w:val="Body Text Indent 3 Char"/>
    <w:basedOn w:val="DefaultParagraphFont"/>
    <w:link w:val="BodyTextIndent3"/>
    <w:semiHidden/>
    <w:rsid w:val="00CE43B6"/>
    <w:rPr>
      <w:rFonts w:eastAsia="Times New Roman"/>
      <w:sz w:val="16"/>
      <w:szCs w:val="16"/>
      <w:lang w:val="en-GB" w:eastAsia="en-US"/>
    </w:rPr>
  </w:style>
  <w:style w:type="character" w:styleId="BookTitle">
    <w:name w:val="Book Title"/>
    <w:basedOn w:val="DefaultParagraphFont"/>
    <w:uiPriority w:val="33"/>
    <w:semiHidden/>
    <w:qFormat/>
    <w:rsid w:val="00CE43B6"/>
    <w:rPr>
      <w:b/>
      <w:bCs/>
      <w:i/>
      <w:iCs/>
      <w:spacing w:val="5"/>
      <w:lang w:val="en-GB"/>
    </w:rPr>
  </w:style>
  <w:style w:type="paragraph" w:styleId="Caption">
    <w:name w:val="caption"/>
    <w:basedOn w:val="Normal"/>
    <w:next w:val="Normal"/>
    <w:semiHidden/>
    <w:unhideWhenUsed/>
    <w:qFormat/>
    <w:rsid w:val="00CE43B6"/>
    <w:pPr>
      <w:spacing w:after="200"/>
    </w:pPr>
    <w:rPr>
      <w:i/>
      <w:iCs/>
      <w:color w:val="1F497D" w:themeColor="text2"/>
      <w:sz w:val="18"/>
      <w:szCs w:val="18"/>
    </w:rPr>
  </w:style>
  <w:style w:type="paragraph" w:styleId="Closing">
    <w:name w:val="Closing"/>
    <w:basedOn w:val="Normal"/>
    <w:link w:val="ClosingChar"/>
    <w:semiHidden/>
    <w:unhideWhenUsed/>
    <w:rsid w:val="00CE43B6"/>
    <w:pPr>
      <w:ind w:left="4252"/>
    </w:pPr>
  </w:style>
  <w:style w:type="character" w:customStyle="1" w:styleId="ClosingChar">
    <w:name w:val="Closing Char"/>
    <w:basedOn w:val="DefaultParagraphFont"/>
    <w:link w:val="Closing"/>
    <w:semiHidden/>
    <w:rsid w:val="00CE43B6"/>
    <w:rPr>
      <w:rFonts w:eastAsia="Times New Roman"/>
      <w:lang w:val="en-GB" w:eastAsia="en-US"/>
    </w:rPr>
  </w:style>
  <w:style w:type="table" w:styleId="ColorfulGrid">
    <w:name w:val="Colorful Grid"/>
    <w:basedOn w:val="TableNormal"/>
    <w:uiPriority w:val="73"/>
    <w:semiHidden/>
    <w:unhideWhenUsed/>
    <w:rsid w:val="00CE43B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E43B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CE43B6"/>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CE43B6"/>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CE43B6"/>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CE43B6"/>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CE43B6"/>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CE43B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E43B6"/>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CE43B6"/>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CE43B6"/>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CE43B6"/>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CE43B6"/>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CE43B6"/>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CE43B6"/>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E43B6"/>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E43B6"/>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E43B6"/>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CE43B6"/>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E43B6"/>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E43B6"/>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CE43B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E43B6"/>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CE43B6"/>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CE43B6"/>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CE43B6"/>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CE43B6"/>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CE43B6"/>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CE43B6"/>
  </w:style>
  <w:style w:type="character" w:customStyle="1" w:styleId="DateChar">
    <w:name w:val="Date Char"/>
    <w:basedOn w:val="DefaultParagraphFont"/>
    <w:link w:val="Date"/>
    <w:semiHidden/>
    <w:rsid w:val="00CE43B6"/>
    <w:rPr>
      <w:rFonts w:eastAsia="Times New Roman"/>
      <w:lang w:val="en-GB" w:eastAsia="en-US"/>
    </w:rPr>
  </w:style>
  <w:style w:type="paragraph" w:styleId="DocumentMap">
    <w:name w:val="Document Map"/>
    <w:basedOn w:val="Normal"/>
    <w:link w:val="DocumentMapChar"/>
    <w:semiHidden/>
    <w:unhideWhenUsed/>
    <w:rsid w:val="00CE43B6"/>
    <w:rPr>
      <w:rFonts w:ascii="Segoe UI" w:hAnsi="Segoe UI" w:cs="Segoe UI"/>
      <w:sz w:val="16"/>
      <w:szCs w:val="16"/>
    </w:rPr>
  </w:style>
  <w:style w:type="character" w:customStyle="1" w:styleId="DocumentMapChar">
    <w:name w:val="Document Map Char"/>
    <w:basedOn w:val="DefaultParagraphFont"/>
    <w:link w:val="DocumentMap"/>
    <w:semiHidden/>
    <w:rsid w:val="00CE43B6"/>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CE43B6"/>
  </w:style>
  <w:style w:type="character" w:customStyle="1" w:styleId="E-mailSignatureChar">
    <w:name w:val="E-mail Signature Char"/>
    <w:basedOn w:val="DefaultParagraphFont"/>
    <w:link w:val="E-mailSignature"/>
    <w:semiHidden/>
    <w:rsid w:val="00CE43B6"/>
    <w:rPr>
      <w:rFonts w:eastAsia="Times New Roman"/>
      <w:lang w:val="en-GB" w:eastAsia="en-US"/>
    </w:rPr>
  </w:style>
  <w:style w:type="character" w:styleId="Emphasis">
    <w:name w:val="Emphasis"/>
    <w:basedOn w:val="DefaultParagraphFont"/>
    <w:semiHidden/>
    <w:qFormat/>
    <w:rsid w:val="00CE43B6"/>
    <w:rPr>
      <w:i/>
      <w:iCs/>
      <w:lang w:val="en-GB"/>
    </w:rPr>
  </w:style>
  <w:style w:type="character" w:styleId="EndnoteReference">
    <w:name w:val="endnote reference"/>
    <w:basedOn w:val="DefaultParagraphFont"/>
    <w:semiHidden/>
    <w:unhideWhenUsed/>
    <w:rsid w:val="00CE43B6"/>
    <w:rPr>
      <w:vertAlign w:val="superscript"/>
      <w:lang w:val="en-GB"/>
    </w:rPr>
  </w:style>
  <w:style w:type="paragraph" w:styleId="EndnoteText">
    <w:name w:val="endnote text"/>
    <w:basedOn w:val="Normal"/>
    <w:link w:val="EndnoteTextChar"/>
    <w:semiHidden/>
    <w:unhideWhenUsed/>
    <w:rsid w:val="00CE43B6"/>
  </w:style>
  <w:style w:type="character" w:customStyle="1" w:styleId="EndnoteTextChar">
    <w:name w:val="Endnote Text Char"/>
    <w:basedOn w:val="DefaultParagraphFont"/>
    <w:link w:val="EndnoteText"/>
    <w:semiHidden/>
    <w:rsid w:val="00CE43B6"/>
    <w:rPr>
      <w:rFonts w:eastAsia="Times New Roman"/>
      <w:lang w:val="en-GB" w:eastAsia="en-US"/>
    </w:rPr>
  </w:style>
  <w:style w:type="paragraph" w:styleId="EnvelopeAddress">
    <w:name w:val="envelope address"/>
    <w:basedOn w:val="Normal"/>
    <w:semiHidden/>
    <w:unhideWhenUsed/>
    <w:rsid w:val="00CE43B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CE43B6"/>
    <w:rPr>
      <w:rFonts w:asciiTheme="majorHAnsi" w:eastAsiaTheme="majorEastAsia" w:hAnsiTheme="majorHAnsi" w:cstheme="majorBidi"/>
    </w:rPr>
  </w:style>
  <w:style w:type="paragraph" w:styleId="FootnoteText">
    <w:name w:val="footnote text"/>
    <w:basedOn w:val="Normal"/>
    <w:link w:val="FootnoteTextChar"/>
    <w:semiHidden/>
    <w:unhideWhenUsed/>
    <w:rsid w:val="00CE43B6"/>
  </w:style>
  <w:style w:type="character" w:customStyle="1" w:styleId="FootnoteTextChar">
    <w:name w:val="Footnote Text Char"/>
    <w:basedOn w:val="DefaultParagraphFont"/>
    <w:link w:val="FootnoteText"/>
    <w:semiHidden/>
    <w:rsid w:val="00CE43B6"/>
    <w:rPr>
      <w:rFonts w:eastAsia="Times New Roman"/>
      <w:lang w:val="en-GB" w:eastAsia="en-US"/>
    </w:rPr>
  </w:style>
  <w:style w:type="table" w:styleId="GridTable1Light">
    <w:name w:val="Grid Table 1 Light"/>
    <w:basedOn w:val="TableNormal"/>
    <w:uiPriority w:val="46"/>
    <w:rsid w:val="00CE43B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E43B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E43B6"/>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E43B6"/>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E43B6"/>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E43B6"/>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E43B6"/>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E43B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E43B6"/>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CE43B6"/>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CE43B6"/>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CE43B6"/>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CE43B6"/>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CE43B6"/>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CE43B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E43B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CE43B6"/>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CE43B6"/>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CE43B6"/>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CE43B6"/>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CE43B6"/>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CE43B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E43B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CE43B6"/>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CE43B6"/>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E43B6"/>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CE43B6"/>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CE43B6"/>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CE43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E43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CE43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CE43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CE43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CE43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CE43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CE43B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E43B6"/>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CE43B6"/>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CE43B6"/>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CE43B6"/>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CE43B6"/>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CE43B6"/>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CE43B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E43B6"/>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CE43B6"/>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CE43B6"/>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CE43B6"/>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CE43B6"/>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CE43B6"/>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CE43B6"/>
    <w:rPr>
      <w:color w:val="2B579A"/>
      <w:shd w:val="clear" w:color="auto" w:fill="E1DFDD"/>
      <w:lang w:val="en-GB"/>
    </w:rPr>
  </w:style>
  <w:style w:type="character" w:styleId="HTMLAcronym">
    <w:name w:val="HTML Acronym"/>
    <w:basedOn w:val="DefaultParagraphFont"/>
    <w:semiHidden/>
    <w:unhideWhenUsed/>
    <w:rsid w:val="00CE43B6"/>
    <w:rPr>
      <w:lang w:val="en-GB"/>
    </w:rPr>
  </w:style>
  <w:style w:type="paragraph" w:styleId="HTMLAddress">
    <w:name w:val="HTML Address"/>
    <w:basedOn w:val="Normal"/>
    <w:link w:val="HTMLAddressChar"/>
    <w:semiHidden/>
    <w:unhideWhenUsed/>
    <w:rsid w:val="00CE43B6"/>
    <w:rPr>
      <w:i/>
      <w:iCs/>
    </w:rPr>
  </w:style>
  <w:style w:type="character" w:customStyle="1" w:styleId="HTMLAddressChar">
    <w:name w:val="HTML Address Char"/>
    <w:basedOn w:val="DefaultParagraphFont"/>
    <w:link w:val="HTMLAddress"/>
    <w:semiHidden/>
    <w:rsid w:val="00CE43B6"/>
    <w:rPr>
      <w:rFonts w:eastAsia="Times New Roman"/>
      <w:i/>
      <w:iCs/>
      <w:lang w:val="en-GB" w:eastAsia="en-US"/>
    </w:rPr>
  </w:style>
  <w:style w:type="character" w:styleId="HTMLCite">
    <w:name w:val="HTML Cite"/>
    <w:basedOn w:val="DefaultParagraphFont"/>
    <w:semiHidden/>
    <w:unhideWhenUsed/>
    <w:rsid w:val="00CE43B6"/>
    <w:rPr>
      <w:i/>
      <w:iCs/>
      <w:lang w:val="en-GB"/>
    </w:rPr>
  </w:style>
  <w:style w:type="character" w:styleId="HTMLCode">
    <w:name w:val="HTML Code"/>
    <w:basedOn w:val="DefaultParagraphFont"/>
    <w:semiHidden/>
    <w:unhideWhenUsed/>
    <w:rsid w:val="00CE43B6"/>
    <w:rPr>
      <w:rFonts w:ascii="Consolas" w:hAnsi="Consolas" w:cs="Consolas"/>
      <w:sz w:val="20"/>
      <w:szCs w:val="20"/>
      <w:lang w:val="en-GB"/>
    </w:rPr>
  </w:style>
  <w:style w:type="character" w:styleId="HTMLDefinition">
    <w:name w:val="HTML Definition"/>
    <w:basedOn w:val="DefaultParagraphFont"/>
    <w:semiHidden/>
    <w:unhideWhenUsed/>
    <w:rsid w:val="00CE43B6"/>
    <w:rPr>
      <w:i/>
      <w:iCs/>
      <w:lang w:val="en-GB"/>
    </w:rPr>
  </w:style>
  <w:style w:type="character" w:styleId="HTMLKeyboard">
    <w:name w:val="HTML Keyboard"/>
    <w:basedOn w:val="DefaultParagraphFont"/>
    <w:semiHidden/>
    <w:unhideWhenUsed/>
    <w:rsid w:val="00CE43B6"/>
    <w:rPr>
      <w:rFonts w:ascii="Consolas" w:hAnsi="Consolas" w:cs="Consolas"/>
      <w:sz w:val="20"/>
      <w:szCs w:val="20"/>
      <w:lang w:val="en-GB"/>
    </w:rPr>
  </w:style>
  <w:style w:type="paragraph" w:styleId="HTMLPreformatted">
    <w:name w:val="HTML Preformatted"/>
    <w:basedOn w:val="Normal"/>
    <w:link w:val="HTMLPreformattedChar"/>
    <w:semiHidden/>
    <w:unhideWhenUsed/>
    <w:rsid w:val="00CE43B6"/>
    <w:rPr>
      <w:rFonts w:ascii="Consolas" w:hAnsi="Consolas" w:cs="Consolas"/>
    </w:rPr>
  </w:style>
  <w:style w:type="character" w:customStyle="1" w:styleId="HTMLPreformattedChar">
    <w:name w:val="HTML Preformatted Char"/>
    <w:basedOn w:val="DefaultParagraphFont"/>
    <w:link w:val="HTMLPreformatted"/>
    <w:semiHidden/>
    <w:rsid w:val="00CE43B6"/>
    <w:rPr>
      <w:rFonts w:ascii="Consolas" w:eastAsia="Times New Roman" w:hAnsi="Consolas" w:cs="Consolas"/>
      <w:lang w:val="en-GB" w:eastAsia="en-US"/>
    </w:rPr>
  </w:style>
  <w:style w:type="character" w:styleId="HTMLSample">
    <w:name w:val="HTML Sample"/>
    <w:basedOn w:val="DefaultParagraphFont"/>
    <w:semiHidden/>
    <w:unhideWhenUsed/>
    <w:rsid w:val="00CE43B6"/>
    <w:rPr>
      <w:rFonts w:ascii="Consolas" w:hAnsi="Consolas" w:cs="Consolas"/>
      <w:sz w:val="24"/>
      <w:szCs w:val="24"/>
      <w:lang w:val="en-GB"/>
    </w:rPr>
  </w:style>
  <w:style w:type="character" w:styleId="HTMLTypewriter">
    <w:name w:val="HTML Typewriter"/>
    <w:basedOn w:val="DefaultParagraphFont"/>
    <w:semiHidden/>
    <w:unhideWhenUsed/>
    <w:rsid w:val="00CE43B6"/>
    <w:rPr>
      <w:rFonts w:ascii="Consolas" w:hAnsi="Consolas" w:cs="Consolas"/>
      <w:sz w:val="20"/>
      <w:szCs w:val="20"/>
      <w:lang w:val="en-GB"/>
    </w:rPr>
  </w:style>
  <w:style w:type="character" w:styleId="HTMLVariable">
    <w:name w:val="HTML Variable"/>
    <w:basedOn w:val="DefaultParagraphFont"/>
    <w:semiHidden/>
    <w:unhideWhenUsed/>
    <w:rsid w:val="00CE43B6"/>
    <w:rPr>
      <w:i/>
      <w:iCs/>
      <w:lang w:val="en-GB"/>
    </w:rPr>
  </w:style>
  <w:style w:type="paragraph" w:styleId="Index1">
    <w:name w:val="index 1"/>
    <w:basedOn w:val="Normal"/>
    <w:next w:val="Normal"/>
    <w:autoRedefine/>
    <w:semiHidden/>
    <w:unhideWhenUsed/>
    <w:rsid w:val="00CE43B6"/>
    <w:pPr>
      <w:tabs>
        <w:tab w:val="clear" w:pos="1247"/>
      </w:tabs>
      <w:ind w:left="200" w:hanging="200"/>
    </w:pPr>
  </w:style>
  <w:style w:type="paragraph" w:styleId="Index2">
    <w:name w:val="index 2"/>
    <w:basedOn w:val="Normal"/>
    <w:next w:val="Normal"/>
    <w:autoRedefine/>
    <w:semiHidden/>
    <w:unhideWhenUsed/>
    <w:rsid w:val="00CE43B6"/>
    <w:pPr>
      <w:tabs>
        <w:tab w:val="clear" w:pos="1247"/>
      </w:tabs>
      <w:ind w:left="400" w:hanging="200"/>
    </w:pPr>
  </w:style>
  <w:style w:type="paragraph" w:styleId="Index3">
    <w:name w:val="index 3"/>
    <w:basedOn w:val="Normal"/>
    <w:next w:val="Normal"/>
    <w:autoRedefine/>
    <w:semiHidden/>
    <w:unhideWhenUsed/>
    <w:rsid w:val="00CE43B6"/>
    <w:pPr>
      <w:tabs>
        <w:tab w:val="clear" w:pos="1247"/>
      </w:tabs>
      <w:ind w:left="600" w:hanging="200"/>
    </w:pPr>
  </w:style>
  <w:style w:type="paragraph" w:styleId="Index4">
    <w:name w:val="index 4"/>
    <w:basedOn w:val="Normal"/>
    <w:next w:val="Normal"/>
    <w:autoRedefine/>
    <w:semiHidden/>
    <w:unhideWhenUsed/>
    <w:rsid w:val="00CE43B6"/>
    <w:pPr>
      <w:tabs>
        <w:tab w:val="clear" w:pos="1247"/>
      </w:tabs>
      <w:ind w:left="800" w:hanging="200"/>
    </w:pPr>
  </w:style>
  <w:style w:type="paragraph" w:styleId="Index5">
    <w:name w:val="index 5"/>
    <w:basedOn w:val="Normal"/>
    <w:next w:val="Normal"/>
    <w:autoRedefine/>
    <w:semiHidden/>
    <w:unhideWhenUsed/>
    <w:rsid w:val="00CE43B6"/>
    <w:pPr>
      <w:tabs>
        <w:tab w:val="clear" w:pos="1247"/>
      </w:tabs>
      <w:ind w:left="1000" w:hanging="200"/>
    </w:pPr>
  </w:style>
  <w:style w:type="paragraph" w:styleId="Index6">
    <w:name w:val="index 6"/>
    <w:basedOn w:val="Normal"/>
    <w:next w:val="Normal"/>
    <w:autoRedefine/>
    <w:semiHidden/>
    <w:unhideWhenUsed/>
    <w:rsid w:val="00CE43B6"/>
    <w:pPr>
      <w:tabs>
        <w:tab w:val="clear" w:pos="1247"/>
      </w:tabs>
      <w:ind w:left="1200" w:hanging="200"/>
    </w:pPr>
  </w:style>
  <w:style w:type="paragraph" w:styleId="Index7">
    <w:name w:val="index 7"/>
    <w:basedOn w:val="Normal"/>
    <w:next w:val="Normal"/>
    <w:autoRedefine/>
    <w:semiHidden/>
    <w:unhideWhenUsed/>
    <w:rsid w:val="00CE43B6"/>
    <w:pPr>
      <w:tabs>
        <w:tab w:val="clear" w:pos="1247"/>
      </w:tabs>
      <w:ind w:left="1400" w:hanging="200"/>
    </w:pPr>
  </w:style>
  <w:style w:type="paragraph" w:styleId="Index8">
    <w:name w:val="index 8"/>
    <w:basedOn w:val="Normal"/>
    <w:next w:val="Normal"/>
    <w:autoRedefine/>
    <w:semiHidden/>
    <w:unhideWhenUsed/>
    <w:rsid w:val="00CE43B6"/>
    <w:pPr>
      <w:tabs>
        <w:tab w:val="clear" w:pos="1247"/>
      </w:tabs>
      <w:ind w:left="1600" w:hanging="200"/>
    </w:pPr>
  </w:style>
  <w:style w:type="paragraph" w:styleId="Index9">
    <w:name w:val="index 9"/>
    <w:basedOn w:val="Normal"/>
    <w:next w:val="Normal"/>
    <w:autoRedefine/>
    <w:semiHidden/>
    <w:unhideWhenUsed/>
    <w:rsid w:val="00CE43B6"/>
    <w:pPr>
      <w:tabs>
        <w:tab w:val="clear" w:pos="1247"/>
      </w:tabs>
      <w:ind w:left="1800" w:hanging="200"/>
    </w:pPr>
  </w:style>
  <w:style w:type="paragraph" w:styleId="IndexHeading">
    <w:name w:val="index heading"/>
    <w:basedOn w:val="Normal"/>
    <w:next w:val="Index1"/>
    <w:semiHidden/>
    <w:unhideWhenUsed/>
    <w:rsid w:val="00CE43B6"/>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CE43B6"/>
    <w:rPr>
      <w:i/>
      <w:iCs/>
      <w:color w:val="4F81BD" w:themeColor="accent1"/>
      <w:lang w:val="en-GB"/>
    </w:rPr>
  </w:style>
  <w:style w:type="paragraph" w:styleId="IntenseQuote">
    <w:name w:val="Intense Quote"/>
    <w:basedOn w:val="Normal"/>
    <w:next w:val="Normal"/>
    <w:link w:val="IntenseQuoteChar"/>
    <w:uiPriority w:val="30"/>
    <w:semiHidden/>
    <w:qFormat/>
    <w:rsid w:val="00CE43B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CE43B6"/>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CE43B6"/>
    <w:rPr>
      <w:b/>
      <w:bCs/>
      <w:smallCaps/>
      <w:color w:val="4F81BD" w:themeColor="accent1"/>
      <w:spacing w:val="5"/>
      <w:lang w:val="en-GB"/>
    </w:rPr>
  </w:style>
  <w:style w:type="table" w:styleId="LightGrid">
    <w:name w:val="Light Grid"/>
    <w:basedOn w:val="TableNormal"/>
    <w:uiPriority w:val="62"/>
    <w:semiHidden/>
    <w:unhideWhenUsed/>
    <w:rsid w:val="00CE43B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E43B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CE43B6"/>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CE43B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CE43B6"/>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CE43B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CE43B6"/>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CE43B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E43B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CE43B6"/>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CE43B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CE43B6"/>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CE43B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CE43B6"/>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CE43B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E43B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CE43B6"/>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CE43B6"/>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CE43B6"/>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CE43B6"/>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CE43B6"/>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CE43B6"/>
    <w:rPr>
      <w:lang w:val="en-GB"/>
    </w:rPr>
  </w:style>
  <w:style w:type="paragraph" w:styleId="List">
    <w:name w:val="List"/>
    <w:basedOn w:val="Normal"/>
    <w:semiHidden/>
    <w:unhideWhenUsed/>
    <w:rsid w:val="00CE43B6"/>
    <w:pPr>
      <w:ind w:left="283" w:hanging="283"/>
      <w:contextualSpacing/>
    </w:pPr>
  </w:style>
  <w:style w:type="paragraph" w:styleId="List2">
    <w:name w:val="List 2"/>
    <w:basedOn w:val="Normal"/>
    <w:semiHidden/>
    <w:unhideWhenUsed/>
    <w:rsid w:val="00CE43B6"/>
    <w:pPr>
      <w:ind w:left="566" w:hanging="283"/>
      <w:contextualSpacing/>
    </w:pPr>
  </w:style>
  <w:style w:type="paragraph" w:styleId="List3">
    <w:name w:val="List 3"/>
    <w:basedOn w:val="Normal"/>
    <w:semiHidden/>
    <w:unhideWhenUsed/>
    <w:rsid w:val="00CE43B6"/>
    <w:pPr>
      <w:ind w:left="849" w:hanging="283"/>
      <w:contextualSpacing/>
    </w:pPr>
  </w:style>
  <w:style w:type="paragraph" w:styleId="List4">
    <w:name w:val="List 4"/>
    <w:basedOn w:val="Normal"/>
    <w:semiHidden/>
    <w:unhideWhenUsed/>
    <w:rsid w:val="00CE43B6"/>
    <w:pPr>
      <w:ind w:left="1132" w:hanging="283"/>
      <w:contextualSpacing/>
    </w:pPr>
  </w:style>
  <w:style w:type="paragraph" w:styleId="List5">
    <w:name w:val="List 5"/>
    <w:basedOn w:val="Normal"/>
    <w:semiHidden/>
    <w:unhideWhenUsed/>
    <w:rsid w:val="00CE43B6"/>
    <w:pPr>
      <w:ind w:left="1415" w:hanging="283"/>
      <w:contextualSpacing/>
    </w:pPr>
  </w:style>
  <w:style w:type="paragraph" w:styleId="ListBullet">
    <w:name w:val="List Bullet"/>
    <w:basedOn w:val="Normal"/>
    <w:semiHidden/>
    <w:rsid w:val="00CE43B6"/>
    <w:pPr>
      <w:numPr>
        <w:numId w:val="6"/>
      </w:numPr>
      <w:contextualSpacing/>
    </w:pPr>
  </w:style>
  <w:style w:type="paragraph" w:styleId="ListBullet2">
    <w:name w:val="List Bullet 2"/>
    <w:basedOn w:val="Normal"/>
    <w:semiHidden/>
    <w:unhideWhenUsed/>
    <w:rsid w:val="00CE43B6"/>
    <w:pPr>
      <w:numPr>
        <w:numId w:val="7"/>
      </w:numPr>
      <w:contextualSpacing/>
    </w:pPr>
  </w:style>
  <w:style w:type="paragraph" w:styleId="ListBullet3">
    <w:name w:val="List Bullet 3"/>
    <w:basedOn w:val="Normal"/>
    <w:semiHidden/>
    <w:unhideWhenUsed/>
    <w:rsid w:val="00CE43B6"/>
    <w:pPr>
      <w:numPr>
        <w:numId w:val="8"/>
      </w:numPr>
      <w:contextualSpacing/>
    </w:pPr>
  </w:style>
  <w:style w:type="paragraph" w:styleId="ListBullet4">
    <w:name w:val="List Bullet 4"/>
    <w:basedOn w:val="Normal"/>
    <w:semiHidden/>
    <w:unhideWhenUsed/>
    <w:rsid w:val="00CE43B6"/>
    <w:pPr>
      <w:numPr>
        <w:numId w:val="9"/>
      </w:numPr>
      <w:contextualSpacing/>
    </w:pPr>
  </w:style>
  <w:style w:type="paragraph" w:styleId="ListBullet5">
    <w:name w:val="List Bullet 5"/>
    <w:basedOn w:val="Normal"/>
    <w:semiHidden/>
    <w:unhideWhenUsed/>
    <w:rsid w:val="00CE43B6"/>
    <w:pPr>
      <w:numPr>
        <w:numId w:val="10"/>
      </w:numPr>
      <w:contextualSpacing/>
    </w:pPr>
  </w:style>
  <w:style w:type="paragraph" w:styleId="ListContinue">
    <w:name w:val="List Continue"/>
    <w:basedOn w:val="Normal"/>
    <w:semiHidden/>
    <w:unhideWhenUsed/>
    <w:rsid w:val="00CE43B6"/>
    <w:pPr>
      <w:spacing w:after="120"/>
      <w:ind w:left="283"/>
      <w:contextualSpacing/>
    </w:pPr>
  </w:style>
  <w:style w:type="paragraph" w:styleId="ListContinue2">
    <w:name w:val="List Continue 2"/>
    <w:basedOn w:val="Normal"/>
    <w:semiHidden/>
    <w:unhideWhenUsed/>
    <w:rsid w:val="00CE43B6"/>
    <w:pPr>
      <w:spacing w:after="120"/>
      <w:ind w:left="566"/>
      <w:contextualSpacing/>
    </w:pPr>
  </w:style>
  <w:style w:type="paragraph" w:styleId="ListContinue3">
    <w:name w:val="List Continue 3"/>
    <w:basedOn w:val="Normal"/>
    <w:semiHidden/>
    <w:rsid w:val="00CE43B6"/>
    <w:pPr>
      <w:spacing w:after="120"/>
      <w:ind w:left="849"/>
      <w:contextualSpacing/>
    </w:pPr>
  </w:style>
  <w:style w:type="paragraph" w:styleId="ListContinue4">
    <w:name w:val="List Continue 4"/>
    <w:basedOn w:val="Normal"/>
    <w:semiHidden/>
    <w:rsid w:val="00CE43B6"/>
    <w:pPr>
      <w:spacing w:after="120"/>
      <w:ind w:left="1132"/>
      <w:contextualSpacing/>
    </w:pPr>
  </w:style>
  <w:style w:type="paragraph" w:styleId="ListContinue5">
    <w:name w:val="List Continue 5"/>
    <w:basedOn w:val="Normal"/>
    <w:semiHidden/>
    <w:rsid w:val="00CE43B6"/>
    <w:pPr>
      <w:spacing w:after="120"/>
      <w:ind w:left="1415"/>
      <w:contextualSpacing/>
    </w:pPr>
  </w:style>
  <w:style w:type="paragraph" w:styleId="ListNumber">
    <w:name w:val="List Number"/>
    <w:basedOn w:val="Normal"/>
    <w:semiHidden/>
    <w:rsid w:val="00CE43B6"/>
    <w:pPr>
      <w:numPr>
        <w:numId w:val="11"/>
      </w:numPr>
      <w:contextualSpacing/>
    </w:pPr>
  </w:style>
  <w:style w:type="paragraph" w:styleId="ListNumber2">
    <w:name w:val="List Number 2"/>
    <w:basedOn w:val="Normal"/>
    <w:semiHidden/>
    <w:unhideWhenUsed/>
    <w:rsid w:val="00CE43B6"/>
    <w:pPr>
      <w:numPr>
        <w:numId w:val="12"/>
      </w:numPr>
      <w:contextualSpacing/>
    </w:pPr>
  </w:style>
  <w:style w:type="paragraph" w:styleId="ListNumber3">
    <w:name w:val="List Number 3"/>
    <w:basedOn w:val="Normal"/>
    <w:semiHidden/>
    <w:unhideWhenUsed/>
    <w:rsid w:val="00CE43B6"/>
    <w:pPr>
      <w:numPr>
        <w:numId w:val="13"/>
      </w:numPr>
      <w:contextualSpacing/>
    </w:pPr>
  </w:style>
  <w:style w:type="paragraph" w:styleId="ListNumber4">
    <w:name w:val="List Number 4"/>
    <w:basedOn w:val="Normal"/>
    <w:semiHidden/>
    <w:unhideWhenUsed/>
    <w:rsid w:val="00CE43B6"/>
    <w:pPr>
      <w:numPr>
        <w:numId w:val="14"/>
      </w:numPr>
      <w:contextualSpacing/>
    </w:pPr>
  </w:style>
  <w:style w:type="paragraph" w:styleId="ListNumber5">
    <w:name w:val="List Number 5"/>
    <w:basedOn w:val="Normal"/>
    <w:semiHidden/>
    <w:unhideWhenUsed/>
    <w:rsid w:val="00CE43B6"/>
    <w:pPr>
      <w:numPr>
        <w:numId w:val="15"/>
      </w:numPr>
      <w:contextualSpacing/>
    </w:pPr>
  </w:style>
  <w:style w:type="table" w:styleId="ListTable1Light">
    <w:name w:val="List Table 1 Light"/>
    <w:basedOn w:val="TableNormal"/>
    <w:uiPriority w:val="46"/>
    <w:rsid w:val="00CE43B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E43B6"/>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CE43B6"/>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CE43B6"/>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CE43B6"/>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CE43B6"/>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CE43B6"/>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CE43B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E43B6"/>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CE43B6"/>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CE43B6"/>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CE43B6"/>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CE43B6"/>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CE43B6"/>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CE43B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E43B6"/>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CE43B6"/>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CE43B6"/>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CE43B6"/>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CE43B6"/>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CE43B6"/>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CE43B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E43B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CE43B6"/>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CE43B6"/>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CE43B6"/>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CE43B6"/>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CE43B6"/>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CE43B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E43B6"/>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E43B6"/>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E43B6"/>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E43B6"/>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E43B6"/>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E43B6"/>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E43B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E43B6"/>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CE43B6"/>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CE43B6"/>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CE43B6"/>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CE43B6"/>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CE43B6"/>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CE43B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E43B6"/>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E43B6"/>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E43B6"/>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E43B6"/>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E43B6"/>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E43B6"/>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CE43B6"/>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cs="Consolas"/>
      <w:lang w:val="en-GB" w:eastAsia="en-US"/>
    </w:rPr>
  </w:style>
  <w:style w:type="character" w:customStyle="1" w:styleId="MacroTextChar">
    <w:name w:val="Macro Text Char"/>
    <w:basedOn w:val="DefaultParagraphFont"/>
    <w:link w:val="MacroText"/>
    <w:semiHidden/>
    <w:rsid w:val="00CE43B6"/>
    <w:rPr>
      <w:rFonts w:ascii="Consolas" w:eastAsia="Times New Roman" w:hAnsi="Consolas" w:cs="Consolas"/>
      <w:lang w:val="en-GB" w:eastAsia="en-US"/>
    </w:rPr>
  </w:style>
  <w:style w:type="table" w:styleId="MediumGrid1">
    <w:name w:val="Medium Grid 1"/>
    <w:basedOn w:val="TableNormal"/>
    <w:uiPriority w:val="67"/>
    <w:semiHidden/>
    <w:unhideWhenUsed/>
    <w:rsid w:val="00CE43B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E43B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CE43B6"/>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CE43B6"/>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CE43B6"/>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CE43B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CE43B6"/>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E43B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E43B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CE43B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CE43B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CE43B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CE43B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CE43B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CE43B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E43B6"/>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CE43B6"/>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CE43B6"/>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CE43B6"/>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CE43B6"/>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CE43B6"/>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E43B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E43B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E43B6"/>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E43B6"/>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E43B6"/>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E43B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E43B6"/>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E43B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E43B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E43B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E43B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E43B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E43B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E43B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CE43B6"/>
    <w:rPr>
      <w:color w:val="2B579A"/>
      <w:shd w:val="clear" w:color="auto" w:fill="E1DFDD"/>
      <w:lang w:val="en-GB"/>
    </w:rPr>
  </w:style>
  <w:style w:type="paragraph" w:styleId="MessageHeader">
    <w:name w:val="Message Header"/>
    <w:basedOn w:val="Normal"/>
    <w:link w:val="MessageHeaderChar"/>
    <w:semiHidden/>
    <w:rsid w:val="00CE43B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CE43B6"/>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CE43B6"/>
    <w:pPr>
      <w:ind w:left="720"/>
    </w:pPr>
  </w:style>
  <w:style w:type="paragraph" w:styleId="NoteHeading">
    <w:name w:val="Note Heading"/>
    <w:basedOn w:val="Normal"/>
    <w:next w:val="Normal"/>
    <w:link w:val="NoteHeadingChar"/>
    <w:semiHidden/>
    <w:unhideWhenUsed/>
    <w:rsid w:val="00CE43B6"/>
  </w:style>
  <w:style w:type="character" w:customStyle="1" w:styleId="NoteHeadingChar">
    <w:name w:val="Note Heading Char"/>
    <w:basedOn w:val="DefaultParagraphFont"/>
    <w:link w:val="NoteHeading"/>
    <w:semiHidden/>
    <w:rsid w:val="00CE43B6"/>
    <w:rPr>
      <w:rFonts w:eastAsia="Times New Roman"/>
      <w:lang w:val="en-GB" w:eastAsia="en-US"/>
    </w:rPr>
  </w:style>
  <w:style w:type="table" w:styleId="PlainTable1">
    <w:name w:val="Plain Table 1"/>
    <w:basedOn w:val="TableNormal"/>
    <w:uiPriority w:val="41"/>
    <w:rsid w:val="00CE43B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E43B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E43B6"/>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E43B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E43B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CE43B6"/>
    <w:rPr>
      <w:rFonts w:ascii="Consolas" w:hAnsi="Consolas" w:cs="Consolas"/>
      <w:sz w:val="21"/>
      <w:szCs w:val="21"/>
    </w:rPr>
  </w:style>
  <w:style w:type="character" w:customStyle="1" w:styleId="PlainTextChar">
    <w:name w:val="Plain Text Char"/>
    <w:basedOn w:val="DefaultParagraphFont"/>
    <w:link w:val="PlainText"/>
    <w:semiHidden/>
    <w:rsid w:val="00CE43B6"/>
    <w:rPr>
      <w:rFonts w:ascii="Consolas" w:eastAsia="Times New Roman" w:hAnsi="Consolas" w:cs="Consolas"/>
      <w:sz w:val="21"/>
      <w:szCs w:val="21"/>
      <w:lang w:val="en-GB" w:eastAsia="en-US"/>
    </w:rPr>
  </w:style>
  <w:style w:type="paragraph" w:styleId="Quote">
    <w:name w:val="Quote"/>
    <w:basedOn w:val="Normal"/>
    <w:next w:val="Normal"/>
    <w:link w:val="QuoteChar"/>
    <w:uiPriority w:val="29"/>
    <w:semiHidden/>
    <w:qFormat/>
    <w:rsid w:val="00CE43B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CE43B6"/>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CE43B6"/>
  </w:style>
  <w:style w:type="character" w:customStyle="1" w:styleId="SalutationChar">
    <w:name w:val="Salutation Char"/>
    <w:basedOn w:val="DefaultParagraphFont"/>
    <w:link w:val="Salutation"/>
    <w:semiHidden/>
    <w:rsid w:val="00CE43B6"/>
    <w:rPr>
      <w:rFonts w:eastAsia="Times New Roman"/>
      <w:lang w:val="en-GB" w:eastAsia="en-US"/>
    </w:rPr>
  </w:style>
  <w:style w:type="paragraph" w:styleId="Signature">
    <w:name w:val="Signature"/>
    <w:basedOn w:val="Normal"/>
    <w:link w:val="SignatureChar"/>
    <w:semiHidden/>
    <w:unhideWhenUsed/>
    <w:rsid w:val="00CE43B6"/>
    <w:pPr>
      <w:ind w:left="4252"/>
    </w:pPr>
  </w:style>
  <w:style w:type="character" w:customStyle="1" w:styleId="SignatureChar">
    <w:name w:val="Signature Char"/>
    <w:basedOn w:val="DefaultParagraphFont"/>
    <w:link w:val="Signature"/>
    <w:semiHidden/>
    <w:rsid w:val="00CE43B6"/>
    <w:rPr>
      <w:rFonts w:eastAsia="Times New Roman"/>
      <w:lang w:val="en-GB" w:eastAsia="en-US"/>
    </w:rPr>
  </w:style>
  <w:style w:type="character" w:styleId="SmartHyperlink">
    <w:name w:val="Smart Hyperlink"/>
    <w:basedOn w:val="DefaultParagraphFont"/>
    <w:uiPriority w:val="99"/>
    <w:semiHidden/>
    <w:rsid w:val="00CE43B6"/>
    <w:rPr>
      <w:u w:val="dotted"/>
      <w:lang w:val="en-GB"/>
    </w:rPr>
  </w:style>
  <w:style w:type="character" w:styleId="SmartLink">
    <w:name w:val="Smart Link"/>
    <w:basedOn w:val="DefaultParagraphFont"/>
    <w:uiPriority w:val="99"/>
    <w:semiHidden/>
    <w:unhideWhenUsed/>
    <w:rsid w:val="00CE43B6"/>
    <w:rPr>
      <w:color w:val="0000FF"/>
      <w:u w:val="single"/>
      <w:shd w:val="clear" w:color="auto" w:fill="F3F2F1"/>
      <w:lang w:val="en-GB"/>
    </w:rPr>
  </w:style>
  <w:style w:type="character" w:styleId="Strong">
    <w:name w:val="Strong"/>
    <w:basedOn w:val="DefaultParagraphFont"/>
    <w:semiHidden/>
    <w:qFormat/>
    <w:rsid w:val="00CE43B6"/>
    <w:rPr>
      <w:b/>
      <w:bCs/>
      <w:lang w:val="en-GB"/>
    </w:rPr>
  </w:style>
  <w:style w:type="paragraph" w:styleId="Subtitle">
    <w:name w:val="Subtitle"/>
    <w:basedOn w:val="Normal"/>
    <w:next w:val="Normal"/>
    <w:link w:val="SubtitleChar"/>
    <w:semiHidden/>
    <w:qFormat/>
    <w:rsid w:val="00CE43B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CE43B6"/>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CE43B6"/>
    <w:rPr>
      <w:i/>
      <w:iCs/>
      <w:color w:val="404040" w:themeColor="text1" w:themeTint="BF"/>
      <w:lang w:val="en-GB"/>
    </w:rPr>
  </w:style>
  <w:style w:type="character" w:styleId="SubtleReference">
    <w:name w:val="Subtle Reference"/>
    <w:basedOn w:val="DefaultParagraphFont"/>
    <w:uiPriority w:val="31"/>
    <w:semiHidden/>
    <w:qFormat/>
    <w:rsid w:val="00CE43B6"/>
    <w:rPr>
      <w:smallCaps/>
      <w:color w:val="5A5A5A" w:themeColor="text1" w:themeTint="A5"/>
      <w:lang w:val="en-GB"/>
    </w:rPr>
  </w:style>
  <w:style w:type="table" w:styleId="Table3Deffects1">
    <w:name w:val="Table 3D effects 1"/>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E43B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CE43B6"/>
    <w:pPr>
      <w:tabs>
        <w:tab w:val="clear" w:pos="1247"/>
      </w:tabs>
      <w:ind w:left="200" w:hanging="200"/>
    </w:pPr>
  </w:style>
  <w:style w:type="table" w:styleId="TableProfessional">
    <w:name w:val="Table Professional"/>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CE43B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CE43B6"/>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CE43B6"/>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CE43B6"/>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2C4F99"/>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paragraph" w:styleId="Revision">
    <w:name w:val="Revision"/>
    <w:hidden/>
    <w:uiPriority w:val="99"/>
    <w:semiHidden/>
    <w:rsid w:val="00426AFD"/>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zone.unep.org/decision-xxxvii5-ka-intiatives?q=countries/additional-reported-information/national-and-regional-initiatives-support-implementation-kigali-amendment-decision-xxxvii5"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zone.unep.org/decision-xxxvii5-ka-intiatives?q=countries/additional-reported-information/national-and-regional-initiatives-support-implementation-kigali-amendment-decision-xxxvii5"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ozone.unep.org/meetings/thirty-eighth-meeting-parties/pre-session-documents" TargetMode="External"/><Relationship Id="rId1" Type="http://schemas.openxmlformats.org/officeDocument/2006/relationships/hyperlink" Target="https://ozone.unep.org/meetings/thirty-eighth-meeting-parties/pre-session-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BAU\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20" ma:contentTypeDescription="Create a new document." ma:contentTypeScope="" ma:versionID="48e23393f98525ab4c1cba1b579a804e">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00fc5e8c2686de992f3520d1be067e0c"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4b29a07-ae0c-4297-aad9-2f7ae2e24b8e">
      <Terms xmlns="http://schemas.microsoft.com/office/infopath/2007/PartnerControls"/>
    </lcf76f155ced4ddcb4097134ff3c332f>
    <TaxCatchAll xmlns="985ec44e-1bab-4c0b-9df0-6ba128686fc9" xsi:nil="true"/>
    <sizeofdoc xmlns="44b29a07-ae0c-4297-aad9-2f7ae2e24b8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10D32F-D73C-4801-8212-6077E6C30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3.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44b29a07-ae0c-4297-aad9-2f7ae2e24b8e"/>
    <ds:schemaRef ds:uri="985ec44e-1bab-4c0b-9df0-6ba128686fc9"/>
  </ds:schemaRefs>
</ds:datastoreItem>
</file>

<file path=customXml/itemProps4.xml><?xml version="1.0" encoding="utf-8"?>
<ds:datastoreItem xmlns:ds="http://schemas.openxmlformats.org/officeDocument/2006/customXml" ds:itemID="{6840362A-3EB0-4F16-A636-13A68E2CB392}">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PlainPage_EN.dotx</Template>
  <TotalTime>0</TotalTime>
  <Pages>11</Pages>
  <Words>4675</Words>
  <Characters>25713</Characters>
  <Application>Microsoft Office Word</Application>
  <DocSecurity>0</DocSecurity>
  <PresentationFormat/>
  <Lines>214</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30328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Talvi Laev</dc:creator>
  <cp:keywords/>
  <dc:description/>
  <cp:lastModifiedBy>Jimena Vallejo Montes</cp:lastModifiedBy>
  <cp:revision>2</cp:revision>
  <cp:lastPrinted>2026-09-29T09:09:00Z</cp:lastPrinted>
  <dcterms:created xsi:type="dcterms:W3CDTF">2026-09-29T09:10:00Z</dcterms:created>
  <dcterms:modified xsi:type="dcterms:W3CDTF">2026-09-29T09:10:00Z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UNEP-OZL-PRO-BUR</vt:lpwstr>
  </property>
  <property fmtid="{D5CDD505-2E9C-101B-9397-08002B2CF9AE}" pid="5" name="UNONDCSTES-NoSymbol">
    <vt:lpwstr>1</vt:lpwstr>
  </property>
  <property fmtid="{D5CDD505-2E9C-101B-9397-08002B2CF9AE}" pid="6" name="UNONDCSTES-LangDistr">
    <vt:lpwstr>EN_CH-EN-SP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Order">
    <vt:r8>22800</vt:r8>
  </property>
  <property fmtid="{D5CDD505-2E9C-101B-9397-08002B2CF9AE}" pid="11" name="MediaServiceImageTags">
    <vt:lpwstr/>
  </property>
  <property fmtid="{D5CDD505-2E9C-101B-9397-08002B2CF9AE}" pid="12" name="xd_ProgID">
    <vt:lpwstr/>
  </property>
  <property fmtid="{D5CDD505-2E9C-101B-9397-08002B2CF9AE}" pid="13" name="ContentTypeId">
    <vt:lpwstr>0x010100A8527E0A0837F64083645E115EB57567</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TranslatedWith">
    <vt:lpwstr>Mercury</vt:lpwstr>
  </property>
  <property fmtid="{D5CDD505-2E9C-101B-9397-08002B2CF9AE}" pid="20" name="GeneratedBy">
    <vt:lpwstr>mariaisabel.bolivarperez@un.org</vt:lpwstr>
  </property>
  <property fmtid="{D5CDD505-2E9C-101B-9397-08002B2CF9AE}" pid="21" name="GeneratedDate">
    <vt:lpwstr>09/21/2026 12:38:00</vt:lpwstr>
  </property>
  <property fmtid="{D5CDD505-2E9C-101B-9397-08002B2CF9AE}" pid="22" name="OriginalDocID">
    <vt:lpwstr>54bad75d-234c-40b5-83d8-7aea15913644</vt:lpwstr>
  </property>
</Properties>
</file>