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A01800" w:rsidRPr="00A01800" w14:paraId="3232A37E" w14:textId="77777777" w:rsidTr="00A01800">
        <w:trPr>
          <w:trHeight w:val="850"/>
        </w:trPr>
        <w:tc>
          <w:tcPr>
            <w:tcW w:w="1559" w:type="dxa"/>
          </w:tcPr>
          <w:p w14:paraId="05D58D9B" w14:textId="5E214DC0" w:rsidR="00A01800" w:rsidRPr="00A01800" w:rsidRDefault="00A01800" w:rsidP="00A01800">
            <w:pPr>
              <w:pStyle w:val="AUnitedNations"/>
              <w:rPr>
                <w:rFonts w:eastAsiaTheme="minorEastAsia"/>
              </w:rPr>
            </w:pPr>
            <w:r w:rsidRPr="00A01800">
              <w:rPr>
                <w:rFonts w:eastAsiaTheme="minorEastAsia"/>
              </w:rPr>
              <w:t xml:space="preserve">United </w:t>
            </w:r>
            <w:r w:rsidRPr="00A01800">
              <w:rPr>
                <w:rFonts w:eastAsiaTheme="minorEastAsia"/>
              </w:rPr>
              <w:br/>
              <w:t>Nations</w:t>
            </w:r>
          </w:p>
        </w:tc>
        <w:tc>
          <w:tcPr>
            <w:tcW w:w="6520" w:type="dxa"/>
          </w:tcPr>
          <w:p w14:paraId="6CA61686" w14:textId="1265BB6F" w:rsidR="00A01800" w:rsidRPr="00A01800" w:rsidRDefault="00A01800" w:rsidP="00A01800">
            <w:pPr>
              <w:pStyle w:val="Normal-pool"/>
              <w:rPr>
                <w:rFonts w:eastAsiaTheme="minorEastAsia"/>
              </w:rPr>
            </w:pPr>
            <w:r w:rsidRPr="00A01800">
              <w:rPr>
                <w:rFonts w:eastAsiaTheme="minorEastAsia"/>
                <w:noProof/>
              </w:rPr>
              <w:drawing>
                <wp:anchor distT="0" distB="0" distL="114300" distR="114300" simplePos="0" relativeHeight="251658240" behindDoc="0" locked="0" layoutInCell="1" allowOverlap="1" wp14:anchorId="63D43F54" wp14:editId="7CC104CE">
                  <wp:simplePos x="0" y="0"/>
                  <wp:positionH relativeFrom="column">
                    <wp:posOffset>-3175</wp:posOffset>
                  </wp:positionH>
                  <wp:positionV relativeFrom="paragraph">
                    <wp:posOffset>1905</wp:posOffset>
                  </wp:positionV>
                  <wp:extent cx="1269153" cy="573559"/>
                  <wp:effectExtent l="0" t="0" r="7620" b="0"/>
                  <wp:wrapNone/>
                  <wp:docPr id="908082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82826"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3ABAFAC1" w14:textId="77777777" w:rsidR="00A01800" w:rsidRPr="00A01800" w:rsidRDefault="00A01800" w:rsidP="00A01800">
            <w:pPr>
              <w:pStyle w:val="Normal-pool"/>
              <w:rPr>
                <w:rFonts w:eastAsiaTheme="minorEastAsia"/>
              </w:rPr>
            </w:pPr>
          </w:p>
        </w:tc>
      </w:tr>
    </w:tbl>
    <w:p w14:paraId="75957F20" w14:textId="77777777" w:rsidR="006533B3" w:rsidRPr="00A01800" w:rsidRDefault="006533B3" w:rsidP="00A01800">
      <w:pPr>
        <w:pStyle w:val="ASpacer"/>
        <w:rPr>
          <w:rFonts w:eastAsiaTheme="minorEastAsia"/>
        </w:rPr>
      </w:pPr>
    </w:p>
    <w:tbl>
      <w:tblPr>
        <w:tblW w:w="9496" w:type="dxa"/>
        <w:tblLook w:val="0000" w:firstRow="0" w:lastRow="0" w:firstColumn="0" w:lastColumn="0" w:noHBand="0" w:noVBand="0"/>
      </w:tblPr>
      <w:tblGrid>
        <w:gridCol w:w="6378"/>
        <w:gridCol w:w="3118"/>
      </w:tblGrid>
      <w:tr w:rsidR="00A01800" w:rsidRPr="00A01800" w14:paraId="4DDB6EE0" w14:textId="77777777" w:rsidTr="00A01800">
        <w:trPr>
          <w:trHeight w:val="340"/>
        </w:trPr>
        <w:tc>
          <w:tcPr>
            <w:tcW w:w="3358" w:type="pct"/>
            <w:vAlign w:val="bottom"/>
          </w:tcPr>
          <w:p w14:paraId="4726117D" w14:textId="77777777" w:rsidR="00A01800" w:rsidRPr="00A01800" w:rsidRDefault="00A01800" w:rsidP="00A01800">
            <w:pPr>
              <w:pStyle w:val="Normal-pool"/>
              <w:rPr>
                <w:rFonts w:eastAsiaTheme="minorEastAsia"/>
              </w:rPr>
            </w:pPr>
          </w:p>
        </w:tc>
        <w:tc>
          <w:tcPr>
            <w:tcW w:w="1642" w:type="pct"/>
            <w:noWrap/>
            <w:vAlign w:val="bottom"/>
          </w:tcPr>
          <w:p w14:paraId="1A79CDDE" w14:textId="4B4EDF1C" w:rsidR="00A01800" w:rsidRPr="00A01800" w:rsidRDefault="00A01800" w:rsidP="00A01800">
            <w:pPr>
              <w:pStyle w:val="ASymbol"/>
            </w:pPr>
            <w:r w:rsidRPr="00A01800">
              <w:rPr>
                <w:b/>
                <w:sz w:val="28"/>
              </w:rPr>
              <w:t>UNEP</w:t>
            </w:r>
            <w:r w:rsidRPr="00A01800">
              <w:t>/OzL.Pro.</w:t>
            </w:r>
            <w:bookmarkStart w:id="0" w:name="Symbol1A"/>
            <w:r w:rsidRPr="00A01800">
              <w:t>38</w:t>
            </w:r>
            <w:bookmarkStart w:id="1" w:name="Symbol1B"/>
            <w:bookmarkEnd w:id="0"/>
            <w:r w:rsidR="00CE3A80">
              <w:t>/2</w:t>
            </w:r>
            <w:bookmarkStart w:id="2" w:name="Symbol1C"/>
            <w:bookmarkEnd w:id="1"/>
            <w:r w:rsidR="00CE3A80">
              <w:t>/Add.2</w:t>
            </w:r>
            <w:bookmarkEnd w:id="2"/>
          </w:p>
        </w:tc>
      </w:tr>
    </w:tbl>
    <w:p w14:paraId="6648EC23" w14:textId="77777777" w:rsidR="00A01800" w:rsidRPr="00A01800" w:rsidRDefault="00A01800" w:rsidP="00A01800">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A01800" w:rsidRPr="00A01800" w14:paraId="19253B11" w14:textId="77777777" w:rsidTr="00A01800">
        <w:trPr>
          <w:trHeight w:val="2098"/>
        </w:trPr>
        <w:tc>
          <w:tcPr>
            <w:tcW w:w="5386" w:type="dxa"/>
          </w:tcPr>
          <w:p w14:paraId="6EA8DFF0" w14:textId="338621A3" w:rsidR="00A01800" w:rsidRPr="00A01800" w:rsidRDefault="00A01800" w:rsidP="00A01800">
            <w:pPr>
              <w:pStyle w:val="AConvName"/>
              <w:rPr>
                <w:rFonts w:eastAsiaTheme="minorEastAsia"/>
              </w:rPr>
            </w:pPr>
            <w:r w:rsidRPr="00A01800">
              <w:rPr>
                <w:rFonts w:eastAsiaTheme="minorEastAsia"/>
              </w:rPr>
              <w:t xml:space="preserve">Montreal Protocol </w:t>
            </w:r>
            <w:r w:rsidRPr="00A01800">
              <w:rPr>
                <w:rFonts w:eastAsiaTheme="minorEastAsia"/>
              </w:rPr>
              <w:br/>
              <w:t xml:space="preserve">on Substances that </w:t>
            </w:r>
            <w:r w:rsidRPr="00A01800">
              <w:rPr>
                <w:rFonts w:eastAsiaTheme="minorEastAsia"/>
              </w:rPr>
              <w:br/>
              <w:t>Deplete the Ozone Layer</w:t>
            </w:r>
          </w:p>
        </w:tc>
        <w:tc>
          <w:tcPr>
            <w:tcW w:w="992" w:type="dxa"/>
          </w:tcPr>
          <w:p w14:paraId="5FA3E8B5" w14:textId="77777777" w:rsidR="00A01800" w:rsidRPr="00A01800" w:rsidRDefault="00A01800" w:rsidP="00A01800">
            <w:pPr>
              <w:pStyle w:val="Normal-pool"/>
              <w:rPr>
                <w:rFonts w:eastAsiaTheme="minorEastAsia"/>
              </w:rPr>
            </w:pPr>
          </w:p>
        </w:tc>
        <w:tc>
          <w:tcPr>
            <w:tcW w:w="3118" w:type="dxa"/>
          </w:tcPr>
          <w:p w14:paraId="088251BF" w14:textId="3E0765A5" w:rsidR="00A01800" w:rsidRPr="00A01800" w:rsidRDefault="00A01800" w:rsidP="00A01800">
            <w:pPr>
              <w:pStyle w:val="AText"/>
              <w:rPr>
                <w:rFonts w:eastAsiaTheme="minorEastAsia"/>
              </w:rPr>
            </w:pPr>
            <w:r w:rsidRPr="00A01800">
              <w:rPr>
                <w:rFonts w:eastAsiaTheme="minorEastAsia"/>
              </w:rPr>
              <w:t xml:space="preserve">Distr.: </w:t>
            </w:r>
            <w:bookmarkStart w:id="3" w:name="Distribution"/>
            <w:r w:rsidR="004A7B24">
              <w:rPr>
                <w:rFonts w:eastAsiaTheme="minorEastAsia"/>
              </w:rPr>
              <w:t>General</w:t>
            </w:r>
            <w:bookmarkEnd w:id="3"/>
            <w:r w:rsidRPr="00A01800">
              <w:rPr>
                <w:rFonts w:eastAsiaTheme="minorEastAsia"/>
              </w:rPr>
              <w:t xml:space="preserve"> </w:t>
            </w:r>
          </w:p>
          <w:p w14:paraId="62C447C4" w14:textId="7D894495" w:rsidR="00A01800" w:rsidRPr="00A01800" w:rsidRDefault="004A7B24" w:rsidP="00A01800">
            <w:pPr>
              <w:pStyle w:val="AText0"/>
              <w:rPr>
                <w:rFonts w:eastAsiaTheme="minorEastAsia"/>
              </w:rPr>
            </w:pPr>
            <w:bookmarkStart w:id="4" w:name="DistributionDate"/>
            <w:r>
              <w:rPr>
                <w:rFonts w:eastAsiaTheme="minorEastAsia"/>
              </w:rPr>
              <w:t>25 September 2026</w:t>
            </w:r>
            <w:bookmarkEnd w:id="4"/>
            <w:r w:rsidR="00A01800" w:rsidRPr="00A01800">
              <w:rPr>
                <w:rFonts w:eastAsiaTheme="minorEastAsia"/>
              </w:rPr>
              <w:t xml:space="preserve"> </w:t>
            </w:r>
          </w:p>
          <w:p w14:paraId="2E233E99" w14:textId="012C40B4" w:rsidR="00A01800" w:rsidRPr="00A01800" w:rsidRDefault="00A01800" w:rsidP="00A01800">
            <w:pPr>
              <w:pStyle w:val="AText"/>
              <w:rPr>
                <w:rFonts w:eastAsiaTheme="minorEastAsia"/>
              </w:rPr>
            </w:pPr>
            <w:bookmarkStart w:id="5" w:name="DistributionLang"/>
            <w:r w:rsidRPr="00A01800">
              <w:rPr>
                <w:rFonts w:eastAsiaTheme="minorEastAsia"/>
              </w:rPr>
              <w:t>Original: English</w:t>
            </w:r>
            <w:bookmarkEnd w:id="5"/>
          </w:p>
        </w:tc>
      </w:tr>
    </w:tbl>
    <w:p w14:paraId="6D2D739A" w14:textId="77777777" w:rsidR="00A01800" w:rsidRPr="00A01800" w:rsidRDefault="00A01800" w:rsidP="00A01800">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A01800" w:rsidRPr="00A01800" w14:paraId="1C2FAD4F" w14:textId="77777777" w:rsidTr="00A01800">
        <w:trPr>
          <w:trHeight w:val="57"/>
        </w:trPr>
        <w:tc>
          <w:tcPr>
            <w:tcW w:w="5301" w:type="dxa"/>
          </w:tcPr>
          <w:tbl>
            <w:tblPr>
              <w:tblW w:w="9496" w:type="dxa"/>
              <w:tblLayout w:type="fixed"/>
              <w:tblCellMar>
                <w:left w:w="0" w:type="dxa"/>
                <w:right w:w="0" w:type="dxa"/>
              </w:tblCellMar>
              <w:tblLook w:val="0000" w:firstRow="0" w:lastRow="0" w:firstColumn="0" w:lastColumn="0" w:noHBand="0" w:noVBand="0"/>
            </w:tblPr>
            <w:tblGrid>
              <w:gridCol w:w="5301"/>
              <w:gridCol w:w="4195"/>
            </w:tblGrid>
            <w:tr w:rsidR="00535219" w:rsidRPr="00A01800" w14:paraId="427FB8A1" w14:textId="77777777" w:rsidTr="0064366F">
              <w:trPr>
                <w:trHeight w:val="57"/>
              </w:trPr>
              <w:tc>
                <w:tcPr>
                  <w:tcW w:w="5301" w:type="dxa"/>
                </w:tcPr>
                <w:p w14:paraId="589FB43D" w14:textId="77777777" w:rsidR="00535219" w:rsidRPr="00A01800" w:rsidRDefault="00535219" w:rsidP="00535219">
                  <w:pPr>
                    <w:pStyle w:val="AATitle"/>
                    <w:rPr>
                      <w:rFonts w:eastAsiaTheme="minorEastAsia"/>
                    </w:rPr>
                  </w:pPr>
                  <w:bookmarkStart w:id="6" w:name="CorNot1Text"/>
                  <w:r w:rsidRPr="00A01800">
                    <w:rPr>
                      <w:rFonts w:eastAsiaTheme="minorEastAsia"/>
                    </w:rPr>
                    <w:t xml:space="preserve">Thirty-Eighth Meeting of the Parties to </w:t>
                  </w:r>
                  <w:r w:rsidRPr="00A01800">
                    <w:rPr>
                      <w:rFonts w:eastAsiaTheme="minorEastAsia"/>
                    </w:rPr>
                    <w:br/>
                    <w:t xml:space="preserve">the Montreal Protocol on Substances </w:t>
                  </w:r>
                  <w:r w:rsidRPr="00A01800">
                    <w:rPr>
                      <w:rFonts w:eastAsiaTheme="minorEastAsia"/>
                    </w:rPr>
                    <w:br/>
                    <w:t>that Deplete the Ozone Layer</w:t>
                  </w:r>
                  <w:bookmarkEnd w:id="6"/>
                  <w:r w:rsidRPr="00A01800">
                    <w:rPr>
                      <w:rFonts w:eastAsiaTheme="minorEastAsia"/>
                    </w:rPr>
                    <w:t xml:space="preserve"> </w:t>
                  </w:r>
                </w:p>
                <w:p w14:paraId="01D26B5F" w14:textId="77777777" w:rsidR="00535219" w:rsidRPr="00A01800" w:rsidRDefault="00535219" w:rsidP="00535219">
                  <w:pPr>
                    <w:pStyle w:val="AATitle1"/>
                    <w:rPr>
                      <w:rFonts w:eastAsiaTheme="minorEastAsia"/>
                    </w:rPr>
                  </w:pPr>
                  <w:bookmarkStart w:id="7" w:name="CorNot1VenueDate"/>
                  <w:r w:rsidRPr="00A01800">
                    <w:rPr>
                      <w:rFonts w:eastAsiaTheme="minorEastAsia"/>
                    </w:rPr>
                    <w:t>Kigali, 2–6 November 2026</w:t>
                  </w:r>
                  <w:bookmarkEnd w:id="7"/>
                  <w:r w:rsidRPr="00A01800">
                    <w:rPr>
                      <w:rFonts w:eastAsiaTheme="minorEastAsia"/>
                    </w:rPr>
                    <w:t xml:space="preserve"> </w:t>
                  </w:r>
                </w:p>
                <w:p w14:paraId="006DBB83" w14:textId="37F8F002" w:rsidR="00535219" w:rsidRPr="00A01800" w:rsidRDefault="00535219" w:rsidP="00535219">
                  <w:pPr>
                    <w:pStyle w:val="Normal-pool"/>
                    <w:rPr>
                      <w:rFonts w:eastAsiaTheme="minorEastAsia"/>
                    </w:rPr>
                  </w:pPr>
                  <w:bookmarkStart w:id="8" w:name="CorNot1AgItem"/>
                  <w:r>
                    <w:rPr>
                      <w:rFonts w:eastAsiaTheme="minorEastAsia"/>
                    </w:rPr>
                    <w:t>Item 4 (a) of the provisional agenda</w:t>
                  </w:r>
                  <w:bookmarkStart w:id="9" w:name="_Hlk192513396"/>
                  <w:bookmarkEnd w:id="8"/>
                  <w:r>
                    <w:rPr>
                      <w:rFonts w:eastAsiaTheme="minorEastAsia"/>
                    </w:rPr>
                    <w:t xml:space="preserve"> for the preparatory segment</w:t>
                  </w:r>
                  <w:r w:rsidRPr="00872E50">
                    <w:rPr>
                      <w:szCs w:val="18"/>
                    </w:rPr>
                    <w:footnoteReference w:customMarkFollows="1" w:id="2"/>
                    <w:t>*</w:t>
                  </w:r>
                  <w:bookmarkEnd w:id="9"/>
                  <w:r>
                    <w:rPr>
                      <w:szCs w:val="18"/>
                    </w:rPr>
                    <w:t xml:space="preserve"> </w:t>
                  </w:r>
                </w:p>
                <w:p w14:paraId="0CBF3336" w14:textId="4638CCA6" w:rsidR="00535219" w:rsidRPr="00A01800" w:rsidRDefault="00535219" w:rsidP="00535219">
                  <w:pPr>
                    <w:pStyle w:val="AATitle2"/>
                    <w:rPr>
                      <w:rFonts w:eastAsiaTheme="minorEastAsia"/>
                    </w:rPr>
                  </w:pPr>
                  <w:bookmarkStart w:id="10" w:name="CorNot1AgTitle"/>
                  <w:r>
                    <w:rPr>
                      <w:rFonts w:eastAsiaTheme="minorEastAsia"/>
                    </w:rPr>
                    <w:t>Replenishment of the Multilateral Fund for the Implementation of the Montreal Protocol for the triennium 2027–2029: supplementary report of the Technology and Economic Assessment Panel replenishment task force</w:t>
                  </w:r>
                  <w:bookmarkEnd w:id="10"/>
                </w:p>
              </w:tc>
              <w:tc>
                <w:tcPr>
                  <w:tcW w:w="4195" w:type="dxa"/>
                </w:tcPr>
                <w:p w14:paraId="1E1C65F2" w14:textId="77777777" w:rsidR="00535219" w:rsidRPr="00A01800" w:rsidRDefault="00535219" w:rsidP="00535219">
                  <w:pPr>
                    <w:pStyle w:val="Normal-pool"/>
                    <w:rPr>
                      <w:rFonts w:eastAsiaTheme="minorEastAsia"/>
                    </w:rPr>
                  </w:pPr>
                </w:p>
              </w:tc>
            </w:tr>
          </w:tbl>
          <w:p w14:paraId="4B4CC9C8" w14:textId="5E114C0F" w:rsidR="00A01800" w:rsidRPr="00535219" w:rsidRDefault="00A01800" w:rsidP="00535219">
            <w:pPr>
              <w:pStyle w:val="Normal-pool"/>
              <w:rPr>
                <w:rFonts w:eastAsiaTheme="minorEastAsia"/>
                <w:b/>
                <w:bCs/>
              </w:rPr>
            </w:pPr>
          </w:p>
        </w:tc>
        <w:tc>
          <w:tcPr>
            <w:tcW w:w="4195" w:type="dxa"/>
          </w:tcPr>
          <w:p w14:paraId="5BE5DBD7" w14:textId="77777777" w:rsidR="00A01800" w:rsidRPr="00A01800" w:rsidRDefault="00A01800" w:rsidP="00A01800">
            <w:pPr>
              <w:pStyle w:val="Normal-pool"/>
              <w:rPr>
                <w:rFonts w:eastAsiaTheme="minorEastAsia"/>
              </w:rPr>
            </w:pPr>
          </w:p>
        </w:tc>
      </w:tr>
    </w:tbl>
    <w:p w14:paraId="4A6D0ACA" w14:textId="77777777" w:rsidR="004A7B24" w:rsidRPr="00DB1617" w:rsidRDefault="004A7B24" w:rsidP="00DB1617">
      <w:pPr>
        <w:pStyle w:val="BBTitle"/>
      </w:pPr>
      <w:bookmarkStart w:id="11" w:name="_Hlk208933435"/>
      <w:r w:rsidRPr="00DB1617">
        <w:t>Issues for discussion by and information for the attention of the Thirty-Eighth Meeting of the Parties to the Montreal Protocol</w:t>
      </w:r>
    </w:p>
    <w:p w14:paraId="5443D41A" w14:textId="77777777" w:rsidR="004A7B24" w:rsidRPr="004A7B24" w:rsidRDefault="004A7B24" w:rsidP="004A7B24">
      <w:pPr>
        <w:pStyle w:val="CH2"/>
      </w:pPr>
      <w:r w:rsidRPr="004A7B24">
        <w:tab/>
      </w:r>
      <w:r w:rsidRPr="004A7B24">
        <w:tab/>
        <w:t>Note by the Secretariat</w:t>
      </w:r>
    </w:p>
    <w:p w14:paraId="492CD8CA" w14:textId="77777777" w:rsidR="004A7B24" w:rsidRPr="00A312DF" w:rsidRDefault="004A7B24" w:rsidP="004A7B24">
      <w:pPr>
        <w:pStyle w:val="CH2"/>
        <w:rPr>
          <w:sz w:val="20"/>
          <w:szCs w:val="20"/>
        </w:rPr>
      </w:pPr>
      <w:r w:rsidRPr="00A312DF">
        <w:rPr>
          <w:sz w:val="20"/>
          <w:szCs w:val="20"/>
        </w:rPr>
        <w:tab/>
      </w:r>
      <w:r w:rsidRPr="00A312DF">
        <w:rPr>
          <w:sz w:val="20"/>
          <w:szCs w:val="20"/>
        </w:rPr>
        <w:tab/>
        <w:t>Addendum</w:t>
      </w:r>
    </w:p>
    <w:p w14:paraId="58859413" w14:textId="77777777" w:rsidR="004A7B24" w:rsidRPr="00CE3A80" w:rsidRDefault="004A7B24" w:rsidP="00CE3A80">
      <w:pPr>
        <w:pStyle w:val="CH1"/>
      </w:pPr>
      <w:r w:rsidRPr="00CE3A80">
        <w:tab/>
        <w:t>I.</w:t>
      </w:r>
      <w:r w:rsidRPr="00CE3A80">
        <w:tab/>
        <w:t>Introduction</w:t>
      </w:r>
    </w:p>
    <w:p w14:paraId="178E7CD0" w14:textId="00ECEA99" w:rsidR="004A7B24" w:rsidRPr="004A7B24" w:rsidRDefault="004A7B24" w:rsidP="004A7B24">
      <w:pPr>
        <w:pStyle w:val="Normalnumber"/>
        <w:tabs>
          <w:tab w:val="clear" w:pos="1247"/>
          <w:tab w:val="clear" w:pos="1814"/>
          <w:tab w:val="clear" w:pos="2381"/>
          <w:tab w:val="clear" w:pos="2948"/>
          <w:tab w:val="clear" w:pos="3515"/>
          <w:tab w:val="left" w:pos="624"/>
        </w:tabs>
      </w:pPr>
      <w:r w:rsidRPr="004A7B24">
        <w:t>The present addendum to the note by the Secretariat on issues for discussion by and information for the attention of the Thirty-Eighth Meeting of the Parties to the Montreal Protocol on Substances that Deplete the Ozone Layer contains information that has become available since the preparation of the first addendum to that note (UNEP/OzL.Pro.38/2/Add.1), in particular regarding item 4 (a) of the provisional agenda for the preparatory segment</w:t>
      </w:r>
      <w:r w:rsidR="00164D1D">
        <w:t>,</w:t>
      </w:r>
      <w:r w:rsidRPr="004A7B24">
        <w:t xml:space="preserve"> on the supplementary report of the Technology and Economic Assessment Panel replenishment task force.</w:t>
      </w:r>
    </w:p>
    <w:p w14:paraId="5056FE38" w14:textId="1BF0A456" w:rsidR="004A7B24" w:rsidRPr="005A192B" w:rsidRDefault="004A7B24" w:rsidP="009046CF">
      <w:pPr>
        <w:pStyle w:val="CH1"/>
        <w:ind w:right="-57"/>
      </w:pPr>
      <w:r w:rsidRPr="005A192B">
        <w:tab/>
        <w:t>II.</w:t>
      </w:r>
      <w:r w:rsidRPr="005A192B">
        <w:tab/>
      </w:r>
      <w:bookmarkStart w:id="12" w:name="_Hlk113803212"/>
      <w:r w:rsidRPr="005A192B">
        <w:t xml:space="preserve">Replenishment of the Multilateral Fund </w:t>
      </w:r>
      <w:r w:rsidRPr="00B3351C">
        <w:t>f</w:t>
      </w:r>
      <w:r w:rsidRPr="005A192B">
        <w:t xml:space="preserve">or the Implementation of the Montreal Protocol for the triennium 2027–2029: </w:t>
      </w:r>
      <w:r w:rsidR="00164D1D">
        <w:t>s</w:t>
      </w:r>
      <w:r w:rsidRPr="005A192B">
        <w:t>upplementary report of the Technology and Economic Assessment Panel replenishment task force (item 4 (a) of the provisional agenda for the preparatory segment)</w:t>
      </w:r>
    </w:p>
    <w:p w14:paraId="34638F33" w14:textId="70DE11EF" w:rsidR="004A7B24" w:rsidRPr="00DE49EF" w:rsidRDefault="004A7B24" w:rsidP="00B90362">
      <w:pPr>
        <w:pStyle w:val="Normalnumber"/>
        <w:tabs>
          <w:tab w:val="clear" w:pos="1247"/>
          <w:tab w:val="clear" w:pos="1814"/>
          <w:tab w:val="clear" w:pos="2381"/>
          <w:tab w:val="clear" w:pos="2948"/>
          <w:tab w:val="clear" w:pos="3515"/>
          <w:tab w:val="left" w:pos="624"/>
        </w:tabs>
      </w:pPr>
      <w:r w:rsidRPr="00DE49EF">
        <w:t>As is indicated in the note by the Secretariat on issues for discussion by and information for the attention of the Thirty-Eighth Meeting of the Parties (</w:t>
      </w:r>
      <w:bookmarkStart w:id="13" w:name="_Hlk145960666"/>
      <w:r w:rsidRPr="00DE49EF">
        <w:t>UNEP/OzL.Pro.38/2</w:t>
      </w:r>
      <w:bookmarkEnd w:id="13"/>
      <w:r w:rsidRPr="00DE49EF">
        <w:t xml:space="preserve">, paras. 28–31), the replenishment task force of the Technology and Economic Assessment Panel took into consideration the suggestions of the Open-ended Working Group of the Parties to the Montreal </w:t>
      </w:r>
      <w:r w:rsidRPr="001A065E">
        <w:t xml:space="preserve">Protocol at its </w:t>
      </w:r>
      <w:r w:rsidR="00B90362">
        <w:t>forty</w:t>
      </w:r>
      <w:r w:rsidR="00B90362">
        <w:noBreakHyphen/>
      </w:r>
      <w:r w:rsidRPr="001A065E">
        <w:t xml:space="preserve">eighth meeting (reproduced in annex I to that note) and prepared its September 2026 supplementary report on </w:t>
      </w:r>
      <w:r w:rsidR="00164D1D">
        <w:t xml:space="preserve">the </w:t>
      </w:r>
      <w:r w:rsidRPr="001A065E">
        <w:t>assessment of the funding requirement for the replenishment of the Multilateral Fund</w:t>
      </w:r>
      <w:r>
        <w:t xml:space="preserve"> for the period 2027–2029. The </w:t>
      </w:r>
      <w:r w:rsidR="007C2714">
        <w:t xml:space="preserve">full </w:t>
      </w:r>
      <w:r>
        <w:t>report is</w:t>
      </w:r>
      <w:r w:rsidRPr="00DE49EF">
        <w:t xml:space="preserve"> available on the meeting portal for the </w:t>
      </w:r>
      <w:r w:rsidRPr="00DE49EF">
        <w:lastRenderedPageBreak/>
        <w:t>Thirty-Eighth Meeting of the Parties</w:t>
      </w:r>
      <w:r w:rsidR="00164D1D">
        <w:t>,</w:t>
      </w:r>
      <w:r w:rsidRPr="008E4E88">
        <w:rPr>
          <w:vertAlign w:val="superscript"/>
        </w:rPr>
        <w:footnoteReference w:id="3"/>
      </w:r>
      <w:r w:rsidRPr="00DE49EF">
        <w:t xml:space="preserve"> </w:t>
      </w:r>
      <w:r>
        <w:t xml:space="preserve">and </w:t>
      </w:r>
      <w:r w:rsidR="008E4E88">
        <w:t xml:space="preserve">the </w:t>
      </w:r>
      <w:r w:rsidRPr="00DE49EF">
        <w:t>executive summary</w:t>
      </w:r>
      <w:r w:rsidR="008E4E88">
        <w:t xml:space="preserve"> of the report</w:t>
      </w:r>
      <w:r w:rsidR="007C2714">
        <w:t>,</w:t>
      </w:r>
      <w:r w:rsidRPr="00DE49EF">
        <w:t xml:space="preserve"> </w:t>
      </w:r>
      <w:r w:rsidR="007C2714" w:rsidRPr="00DE49EF">
        <w:t xml:space="preserve">as received from the Panel </w:t>
      </w:r>
      <w:r w:rsidR="00521C68">
        <w:t xml:space="preserve">and </w:t>
      </w:r>
      <w:r w:rsidR="007C2714" w:rsidRPr="00DE49EF">
        <w:t>without formal editing by the Secretariat</w:t>
      </w:r>
      <w:r w:rsidR="007C2714">
        <w:t>,</w:t>
      </w:r>
      <w:r w:rsidR="007C2714" w:rsidRPr="00DE49EF">
        <w:t xml:space="preserve"> </w:t>
      </w:r>
      <w:r w:rsidRPr="00DE49EF">
        <w:t xml:space="preserve">is set out in </w:t>
      </w:r>
      <w:r w:rsidR="00521C68">
        <w:t xml:space="preserve">the </w:t>
      </w:r>
      <w:r w:rsidRPr="00DE49EF">
        <w:t>annex to the present addendum</w:t>
      </w:r>
      <w:bookmarkStart w:id="14" w:name="_Hlk145430201"/>
      <w:r w:rsidRPr="00DE49EF">
        <w:t xml:space="preserve">. </w:t>
      </w:r>
    </w:p>
    <w:bookmarkEnd w:id="14"/>
    <w:p w14:paraId="6A795DBC" w14:textId="50F05C69" w:rsidR="004A7B24" w:rsidRDefault="004A7B24" w:rsidP="00B90362">
      <w:pPr>
        <w:pStyle w:val="Normalnumber"/>
        <w:tabs>
          <w:tab w:val="clear" w:pos="1247"/>
          <w:tab w:val="clear" w:pos="1814"/>
          <w:tab w:val="clear" w:pos="2381"/>
          <w:tab w:val="clear" w:pos="2948"/>
          <w:tab w:val="clear" w:pos="3515"/>
          <w:tab w:val="left" w:pos="624"/>
        </w:tabs>
        <w:ind w:left="1247"/>
      </w:pPr>
      <w:r w:rsidRPr="009C57CA">
        <w:t xml:space="preserve">The supplementary report </w:t>
      </w:r>
      <w:r>
        <w:t xml:space="preserve">contains </w:t>
      </w:r>
      <w:r w:rsidRPr="009C57CA">
        <w:t xml:space="preserve">updates </w:t>
      </w:r>
      <w:r>
        <w:t xml:space="preserve">to </w:t>
      </w:r>
      <w:r w:rsidRPr="009C57CA">
        <w:t xml:space="preserve">the May 2026 </w:t>
      </w:r>
      <w:r>
        <w:t>report</w:t>
      </w:r>
      <w:r w:rsidR="008927E8">
        <w:t xml:space="preserve"> (</w:t>
      </w:r>
      <w:r w:rsidR="000C32BC">
        <w:t xml:space="preserve">referred to </w:t>
      </w:r>
      <w:r w:rsidR="000C38D1">
        <w:t xml:space="preserve">below </w:t>
      </w:r>
      <w:r w:rsidR="000C32BC">
        <w:t xml:space="preserve">as </w:t>
      </w:r>
      <w:r w:rsidR="008927E8">
        <w:t xml:space="preserve">the </w:t>
      </w:r>
      <w:r w:rsidRPr="008E4E88">
        <w:t>“updated May report”</w:t>
      </w:r>
      <w:r w:rsidR="008927E8">
        <w:t>)</w:t>
      </w:r>
      <w:r w:rsidRPr="008E4E88">
        <w:t>,</w:t>
      </w:r>
      <w:r>
        <w:t xml:space="preserve"> the details of which are discussed in chapter 2 of the report</w:t>
      </w:r>
      <w:r w:rsidR="00852BBB">
        <w:t>.</w:t>
      </w:r>
      <w:r>
        <w:t xml:space="preserve"> </w:t>
      </w:r>
      <w:r w:rsidR="00852BBB">
        <w:t>A</w:t>
      </w:r>
      <w:r>
        <w:t xml:space="preserve">dditional scenarios suggested </w:t>
      </w:r>
      <w:r w:rsidRPr="002B61EA">
        <w:t>by the Open-ended Working Group</w:t>
      </w:r>
      <w:r>
        <w:t xml:space="preserve"> </w:t>
      </w:r>
      <w:r w:rsidR="00852BBB">
        <w:t xml:space="preserve">are </w:t>
      </w:r>
      <w:r>
        <w:t>set out in chapters 3, 4 and 5 of the report</w:t>
      </w:r>
      <w:r w:rsidRPr="009C57CA">
        <w:t>.</w:t>
      </w:r>
    </w:p>
    <w:p w14:paraId="4D0DD6B4" w14:textId="45C785B9" w:rsidR="004A7B24" w:rsidRPr="009B0EFB" w:rsidRDefault="004A7B24" w:rsidP="004A7B24">
      <w:pPr>
        <w:pStyle w:val="Normalnumber"/>
        <w:tabs>
          <w:tab w:val="clear" w:pos="1247"/>
          <w:tab w:val="clear" w:pos="1814"/>
          <w:tab w:val="clear" w:pos="2381"/>
          <w:tab w:val="clear" w:pos="2948"/>
          <w:tab w:val="clear" w:pos="3515"/>
          <w:tab w:val="left" w:pos="624"/>
        </w:tabs>
        <w:ind w:left="1247"/>
      </w:pPr>
      <w:r>
        <w:t>The</w:t>
      </w:r>
      <w:r w:rsidRPr="009C57CA">
        <w:t xml:space="preserve"> </w:t>
      </w:r>
      <w:r w:rsidRPr="008E4E88">
        <w:t>updated May</w:t>
      </w:r>
      <w:r w:rsidR="00F53193">
        <w:t xml:space="preserve"> </w:t>
      </w:r>
      <w:r w:rsidRPr="008E4E88">
        <w:t>report</w:t>
      </w:r>
      <w:r w:rsidRPr="009C57CA">
        <w:t xml:space="preserve"> </w:t>
      </w:r>
      <w:r w:rsidR="00852BBB">
        <w:t>includes</w:t>
      </w:r>
      <w:r w:rsidR="00852BBB" w:rsidRPr="009C57CA">
        <w:t xml:space="preserve"> </w:t>
      </w:r>
      <w:r w:rsidRPr="009C57CA">
        <w:t xml:space="preserve">information that became </w:t>
      </w:r>
      <w:r w:rsidRPr="00463DF8">
        <w:t>available after the preparation of the May 2026 report, including decisions taken by the Executive</w:t>
      </w:r>
      <w:r w:rsidRPr="0022658D">
        <w:t xml:space="preserve"> Committee of the Multilateral Fund at its ninety</w:t>
      </w:r>
      <w:r>
        <w:t>-</w:t>
      </w:r>
      <w:r w:rsidRPr="0022658D">
        <w:t>eighth</w:t>
      </w:r>
      <w:r>
        <w:t xml:space="preserve"> meeting, </w:t>
      </w:r>
      <w:r w:rsidRPr="0022658D">
        <w:t xml:space="preserve">held </w:t>
      </w:r>
      <w:r w:rsidRPr="009F2DF5">
        <w:t xml:space="preserve">from </w:t>
      </w:r>
      <w:r w:rsidRPr="00B57919">
        <w:t xml:space="preserve">22 </w:t>
      </w:r>
      <w:r w:rsidRPr="009F2DF5">
        <w:t xml:space="preserve">to </w:t>
      </w:r>
      <w:r w:rsidRPr="00B57919">
        <w:t>26</w:t>
      </w:r>
      <w:r w:rsidRPr="009F2DF5">
        <w:t xml:space="preserve"> June 202</w:t>
      </w:r>
      <w:r w:rsidRPr="00B57919">
        <w:t>6</w:t>
      </w:r>
      <w:r w:rsidRPr="009F2DF5">
        <w:t>; Article</w:t>
      </w:r>
      <w:r w:rsidRPr="006A4A5F">
        <w:t xml:space="preserve"> 7 </w:t>
      </w:r>
      <w:r>
        <w:t xml:space="preserve">consumption data </w:t>
      </w:r>
      <w:r w:rsidRPr="006A4A5F">
        <w:t xml:space="preserve">and </w:t>
      </w:r>
      <w:r>
        <w:t>c</w:t>
      </w:r>
      <w:r w:rsidRPr="006A4A5F">
        <w:t xml:space="preserve">ountry </w:t>
      </w:r>
      <w:r>
        <w:t>p</w:t>
      </w:r>
      <w:r w:rsidRPr="006A4A5F">
        <w:t>rogramme data</w:t>
      </w:r>
      <w:r>
        <w:t xml:space="preserve"> submitted, respectively, to the Ozone Secretariat and the Multilateral Fund secretariat by parties operating under </w:t>
      </w:r>
      <w:r w:rsidRPr="00463DF8">
        <w:t>paragraph 1 of Article 5 of the Montreal Protocol (Article 5 parties) as at 17</w:t>
      </w:r>
      <w:r w:rsidR="00B90362">
        <w:t> </w:t>
      </w:r>
      <w:r w:rsidRPr="00463DF8">
        <w:t xml:space="preserve">July 2026; updated information on approved </w:t>
      </w:r>
      <w:r w:rsidR="00463DF8">
        <w:t>hydrochlorofluorocarbon (</w:t>
      </w:r>
      <w:r w:rsidRPr="00463DF8">
        <w:t>HCFC</w:t>
      </w:r>
      <w:r w:rsidR="00463DF8">
        <w:t>)</w:t>
      </w:r>
      <w:r w:rsidRPr="00463DF8">
        <w:t xml:space="preserve"> phase-out management plans and Kigali </w:t>
      </w:r>
      <w:r w:rsidR="00463DF8">
        <w:t>hydrofluorocarbon (</w:t>
      </w:r>
      <w:r w:rsidRPr="00463DF8">
        <w:t>HFC</w:t>
      </w:r>
      <w:r w:rsidR="00463DF8">
        <w:t>)</w:t>
      </w:r>
      <w:r w:rsidRPr="00463DF8">
        <w:t xml:space="preserve"> implementation plans; and the status of ratification of the Kigali Amendment as at 10 August 2026. In addition, the updated May</w:t>
      </w:r>
      <w:r w:rsidRPr="00CE7DB5">
        <w:t xml:space="preserve"> report incorporates ongoing operating costs for HFC-23 mitigation, low- and high-end energy-efficiency funding scenarios and</w:t>
      </w:r>
      <w:r>
        <w:t xml:space="preserve"> </w:t>
      </w:r>
      <w:r w:rsidRPr="00CE7DB5">
        <w:t xml:space="preserve">applicable project management unit costs for </w:t>
      </w:r>
      <w:r w:rsidRPr="00F937C7">
        <w:t>non-low</w:t>
      </w:r>
      <w:r w:rsidR="00CB532B">
        <w:t>-</w:t>
      </w:r>
      <w:r w:rsidRPr="00F937C7">
        <w:t>volume</w:t>
      </w:r>
      <w:r w:rsidR="00CB532B">
        <w:t>-</w:t>
      </w:r>
      <w:r w:rsidRPr="00F937C7">
        <w:t>consuming countries</w:t>
      </w:r>
      <w:r>
        <w:t xml:space="preserve"> </w:t>
      </w:r>
      <w:r w:rsidR="00CB532B">
        <w:t xml:space="preserve">that </w:t>
      </w:r>
      <w:r>
        <w:t>were not included in the May 2026 report</w:t>
      </w:r>
      <w:r w:rsidRPr="00CE7DB5">
        <w:t>. The distribution of funding across different levels of country consumption to address the compliance needs of Article 5 parties is inherently reflected in all modelling estimates presented by the task force to date.</w:t>
      </w:r>
    </w:p>
    <w:p w14:paraId="26F29654" w14:textId="64DEE2D4" w:rsidR="004A7B24" w:rsidRPr="00072BF5" w:rsidRDefault="004A7B24" w:rsidP="004A7B24">
      <w:pPr>
        <w:pStyle w:val="Normalnumber"/>
        <w:tabs>
          <w:tab w:val="clear" w:pos="1247"/>
          <w:tab w:val="clear" w:pos="1814"/>
          <w:tab w:val="clear" w:pos="2381"/>
          <w:tab w:val="clear" w:pos="2948"/>
          <w:tab w:val="clear" w:pos="3515"/>
          <w:tab w:val="left" w:pos="624"/>
        </w:tabs>
        <w:ind w:left="1247"/>
      </w:pPr>
      <w:r>
        <w:t xml:space="preserve">In preparing its supplementary report, the </w:t>
      </w:r>
      <w:r w:rsidRPr="006A076B">
        <w:t>t</w:t>
      </w:r>
      <w:r>
        <w:t xml:space="preserve">ask force continued to rely on the consolidated business plan of the Multilateral Fund for 2026–2028. It also maintained the estimates for institutional strengthening and standard activities </w:t>
      </w:r>
      <w:r w:rsidRPr="00954651">
        <w:t>(i.e. costs related to the Compliance Assistance Programme of the United Nations Environment Programme, other implementing agencies, the Multilateral Fund secretariat and the Fund Treasurer)</w:t>
      </w:r>
      <w:r>
        <w:t xml:space="preserve">, while continuing to apply </w:t>
      </w:r>
      <w:r w:rsidRPr="00072BF5">
        <w:t>average agency support costs of 9.6 per</w:t>
      </w:r>
      <w:r w:rsidR="005A192B">
        <w:t> </w:t>
      </w:r>
      <w:r w:rsidRPr="00072BF5">
        <w:t>cent and a 15 per cent deduction for foreign ownership in manufacturing sectors.</w:t>
      </w:r>
    </w:p>
    <w:p w14:paraId="437DCD50" w14:textId="46F3F804" w:rsidR="004A7B24" w:rsidRDefault="004A7B24" w:rsidP="004A7B24">
      <w:pPr>
        <w:pStyle w:val="Normalnumber"/>
        <w:tabs>
          <w:tab w:val="clear" w:pos="1247"/>
          <w:tab w:val="clear" w:pos="1814"/>
          <w:tab w:val="clear" w:pos="2381"/>
          <w:tab w:val="clear" w:pos="2948"/>
          <w:tab w:val="clear" w:pos="3515"/>
          <w:tab w:val="left" w:pos="624"/>
        </w:tabs>
        <w:ind w:left="1247"/>
      </w:pPr>
      <w:r>
        <w:t>Based on the updates</w:t>
      </w:r>
      <w:r w:rsidR="00791836">
        <w:t xml:space="preserve"> above</w:t>
      </w:r>
      <w:r>
        <w:t xml:space="preserve">, the revised range for the </w:t>
      </w:r>
      <w:r w:rsidRPr="00654C61">
        <w:t xml:space="preserve">replenishment </w:t>
      </w:r>
      <w:r w:rsidRPr="009077FD">
        <w:t>requirement for the triennium 2027</w:t>
      </w:r>
      <w:r w:rsidR="00CB532B">
        <w:t>–</w:t>
      </w:r>
      <w:r w:rsidRPr="009077FD">
        <w:t>2029, including support costs, is estimated at $1.230</w:t>
      </w:r>
      <w:r w:rsidR="00CB532B">
        <w:t xml:space="preserve"> billion</w:t>
      </w:r>
      <w:r w:rsidRPr="009077FD">
        <w:t>–</w:t>
      </w:r>
      <w:r w:rsidR="00CB532B">
        <w:t>$</w:t>
      </w:r>
      <w:r w:rsidRPr="009077FD">
        <w:t>1.692 billion</w:t>
      </w:r>
      <w:r w:rsidR="00791836">
        <w:t xml:space="preserve"> in the </w:t>
      </w:r>
      <w:r w:rsidR="004B3287">
        <w:t xml:space="preserve">updated May </w:t>
      </w:r>
      <w:r w:rsidR="00791836">
        <w:t>report</w:t>
      </w:r>
      <w:r w:rsidRPr="009077FD">
        <w:t>, compared with $1.282</w:t>
      </w:r>
      <w:r w:rsidR="00791836">
        <w:t xml:space="preserve"> billion</w:t>
      </w:r>
      <w:r w:rsidRPr="009077FD">
        <w:t>–</w:t>
      </w:r>
      <w:r w:rsidR="00CB532B">
        <w:t>$</w:t>
      </w:r>
      <w:r w:rsidRPr="009077FD">
        <w:t>1.755 billion in the May 2026 report. The updated ranges of the total estimated</w:t>
      </w:r>
      <w:r>
        <w:t xml:space="preserve"> funding requirement for all three trienniums</w:t>
      </w:r>
      <w:r w:rsidR="00CB532B">
        <w:t>,</w:t>
      </w:r>
      <w:r>
        <w:t xml:space="preserve"> along </w:t>
      </w:r>
      <w:r w:rsidR="00CB532B">
        <w:t xml:space="preserve">with </w:t>
      </w:r>
      <w:r>
        <w:t>the corresponding estimates in the May 2026 report</w:t>
      </w:r>
      <w:r w:rsidR="00CB532B">
        <w:t>,</w:t>
      </w:r>
      <w:r>
        <w:t xml:space="preserve"> are presented in table 1. </w:t>
      </w:r>
    </w:p>
    <w:p w14:paraId="7246778A" w14:textId="19824A6F" w:rsidR="004A7B24" w:rsidRPr="000F0886" w:rsidRDefault="004A7B24" w:rsidP="002C65EC">
      <w:pPr>
        <w:pStyle w:val="Titletable"/>
        <w:spacing w:before="240"/>
      </w:pPr>
      <w:r w:rsidRPr="00F80A9A">
        <w:rPr>
          <w:b w:val="0"/>
          <w:bCs w:val="0"/>
          <w:lang w:eastAsia="en-GB"/>
        </w:rPr>
        <w:t>Table 1</w:t>
      </w:r>
      <w:r w:rsidR="00F80A9A" w:rsidRPr="00F80A9A">
        <w:rPr>
          <w:b w:val="0"/>
          <w:bCs w:val="0"/>
          <w:lang w:eastAsia="en-GB"/>
        </w:rPr>
        <w:t xml:space="preserve"> </w:t>
      </w:r>
      <w:r w:rsidR="00F80A9A" w:rsidRPr="00F80A9A">
        <w:rPr>
          <w:b w:val="0"/>
          <w:bCs w:val="0"/>
          <w:lang w:eastAsia="en-GB"/>
        </w:rPr>
        <w:br/>
      </w:r>
      <w:r>
        <w:t>Updated ranges of</w:t>
      </w:r>
      <w:r w:rsidRPr="000F0886">
        <w:t xml:space="preserve"> total funding requirements for the replenishment of the Multilateral Fund for the </w:t>
      </w:r>
      <w:r>
        <w:t>trienniums</w:t>
      </w:r>
      <w:r w:rsidRPr="000F0886">
        <w:t xml:space="preserve"> 202</w:t>
      </w:r>
      <w:r>
        <w:t>7</w:t>
      </w:r>
      <w:r w:rsidRPr="000F0886">
        <w:t>–202</w:t>
      </w:r>
      <w:r>
        <w:t xml:space="preserve">9, </w:t>
      </w:r>
      <w:r w:rsidRPr="00246A3B">
        <w:t>20</w:t>
      </w:r>
      <w:r>
        <w:t>30</w:t>
      </w:r>
      <w:r w:rsidRPr="00246A3B">
        <w:t>–20</w:t>
      </w:r>
      <w:r>
        <w:t xml:space="preserve">32 and </w:t>
      </w:r>
      <w:r w:rsidRPr="00246A3B">
        <w:t>20</w:t>
      </w:r>
      <w:r>
        <w:t>33</w:t>
      </w:r>
      <w:r w:rsidRPr="00246A3B">
        <w:t>–20</w:t>
      </w:r>
      <w:r>
        <w:t>35</w:t>
      </w:r>
      <w:r w:rsidRPr="000F0886">
        <w:t xml:space="preserve"> </w:t>
      </w:r>
    </w:p>
    <w:p w14:paraId="1464D1F6" w14:textId="77777777" w:rsidR="004A7B24" w:rsidRPr="00F80A9A" w:rsidRDefault="004A7B24" w:rsidP="00F80A9A">
      <w:pPr>
        <w:pStyle w:val="Titletable"/>
        <w:rPr>
          <w:b w:val="0"/>
          <w:bCs w:val="0"/>
          <w:sz w:val="18"/>
          <w:szCs w:val="18"/>
          <w:lang w:eastAsia="en-GB"/>
        </w:rPr>
      </w:pPr>
      <w:r w:rsidRPr="00F80A9A">
        <w:rPr>
          <w:b w:val="0"/>
          <w:bCs w:val="0"/>
          <w:sz w:val="18"/>
          <w:szCs w:val="18"/>
        </w:rPr>
        <w:t>(Millions of United States dollars)</w:t>
      </w:r>
      <w:r w:rsidRPr="00F80A9A">
        <w:rPr>
          <w:b w:val="0"/>
          <w:bCs w:val="0"/>
          <w:sz w:val="18"/>
          <w:szCs w:val="18"/>
          <w:lang w:eastAsia="en-GB"/>
        </w:rPr>
        <w:t xml:space="preserve"> </w:t>
      </w:r>
    </w:p>
    <w:tbl>
      <w:tblPr>
        <w:tblW w:w="8307" w:type="dxa"/>
        <w:jc w:val="right"/>
        <w:tblLook w:val="04A0" w:firstRow="1" w:lastRow="0" w:firstColumn="1" w:lastColumn="0" w:noHBand="0" w:noVBand="1"/>
      </w:tblPr>
      <w:tblGrid>
        <w:gridCol w:w="4679"/>
        <w:gridCol w:w="1814"/>
        <w:gridCol w:w="1814"/>
      </w:tblGrid>
      <w:tr w:rsidR="004A7B24" w:rsidRPr="00FC781B" w14:paraId="35A3FCBA" w14:textId="77777777" w:rsidTr="00F80A9A">
        <w:trPr>
          <w:trHeight w:val="65"/>
          <w:jc w:val="right"/>
        </w:trPr>
        <w:tc>
          <w:tcPr>
            <w:tcW w:w="2816" w:type="pct"/>
            <w:tcBorders>
              <w:top w:val="single" w:sz="4" w:space="0" w:color="auto"/>
              <w:bottom w:val="single" w:sz="12" w:space="0" w:color="auto"/>
            </w:tcBorders>
            <w:noWrap/>
            <w:vAlign w:val="bottom"/>
          </w:tcPr>
          <w:p w14:paraId="7AD78256" w14:textId="77777777" w:rsidR="004A7B24" w:rsidRPr="00EE5312" w:rsidRDefault="004A7B24" w:rsidP="002C65EC">
            <w:pPr>
              <w:pStyle w:val="Normal-pool-Table"/>
              <w:spacing w:before="20"/>
              <w:rPr>
                <w:b/>
                <w:bCs/>
              </w:rPr>
            </w:pPr>
            <w:r w:rsidRPr="00FC781B">
              <w:rPr>
                <w:i/>
                <w:iCs/>
                <w:lang w:eastAsia="zh-CN"/>
              </w:rPr>
              <w:t>Triennium</w:t>
            </w:r>
          </w:p>
        </w:tc>
        <w:tc>
          <w:tcPr>
            <w:tcW w:w="1092" w:type="pct"/>
            <w:tcBorders>
              <w:top w:val="single" w:sz="4" w:space="0" w:color="auto"/>
              <w:bottom w:val="single" w:sz="12" w:space="0" w:color="auto"/>
            </w:tcBorders>
            <w:noWrap/>
            <w:vAlign w:val="bottom"/>
          </w:tcPr>
          <w:p w14:paraId="38B01162" w14:textId="77777777" w:rsidR="004A7B24" w:rsidRPr="00AD47C9" w:rsidRDefault="004A7B24" w:rsidP="002C65EC">
            <w:pPr>
              <w:pStyle w:val="Normal-pool-Table"/>
              <w:spacing w:before="20"/>
              <w:jc w:val="right"/>
              <w:rPr>
                <w:bCs/>
                <w:i/>
                <w:iCs/>
              </w:rPr>
            </w:pPr>
            <w:r w:rsidRPr="00AD47C9">
              <w:rPr>
                <w:bCs/>
                <w:i/>
                <w:iCs/>
              </w:rPr>
              <w:t>May 2026 report</w:t>
            </w:r>
            <w:r w:rsidRPr="00EC5E1F">
              <w:rPr>
                <w:bCs/>
                <w:i/>
                <w:iCs/>
                <w:vertAlign w:val="superscript"/>
              </w:rPr>
              <w:t>a</w:t>
            </w:r>
          </w:p>
        </w:tc>
        <w:tc>
          <w:tcPr>
            <w:tcW w:w="1092" w:type="pct"/>
            <w:tcBorders>
              <w:top w:val="single" w:sz="4" w:space="0" w:color="auto"/>
              <w:bottom w:val="single" w:sz="12" w:space="0" w:color="auto"/>
            </w:tcBorders>
            <w:noWrap/>
            <w:vAlign w:val="bottom"/>
          </w:tcPr>
          <w:p w14:paraId="5597A50E" w14:textId="02F8F7D5" w:rsidR="004A7B24" w:rsidRPr="00AD47C9" w:rsidRDefault="004A7B24" w:rsidP="002C65EC">
            <w:pPr>
              <w:pStyle w:val="Normal-pool-Table"/>
              <w:spacing w:before="20"/>
              <w:jc w:val="right"/>
              <w:rPr>
                <w:bCs/>
                <w:i/>
                <w:iCs/>
              </w:rPr>
            </w:pPr>
            <w:r w:rsidRPr="00AD47C9">
              <w:rPr>
                <w:bCs/>
                <w:i/>
                <w:iCs/>
              </w:rPr>
              <w:t xml:space="preserve">Updated May </w:t>
            </w:r>
            <w:r>
              <w:rPr>
                <w:bCs/>
                <w:i/>
                <w:iCs/>
              </w:rPr>
              <w:t>r</w:t>
            </w:r>
            <w:r w:rsidRPr="00AD47C9">
              <w:rPr>
                <w:bCs/>
                <w:i/>
                <w:iCs/>
              </w:rPr>
              <w:t>eport</w:t>
            </w:r>
            <w:r w:rsidRPr="00690390">
              <w:rPr>
                <w:bCs/>
                <w:i/>
                <w:iCs/>
                <w:vertAlign w:val="superscript"/>
              </w:rPr>
              <w:t>b</w:t>
            </w:r>
          </w:p>
        </w:tc>
      </w:tr>
      <w:tr w:rsidR="004A7B24" w:rsidRPr="00BE1B16" w14:paraId="19EC3554" w14:textId="77777777" w:rsidTr="00F80A9A">
        <w:trPr>
          <w:trHeight w:val="65"/>
          <w:jc w:val="right"/>
        </w:trPr>
        <w:tc>
          <w:tcPr>
            <w:tcW w:w="2816" w:type="pct"/>
            <w:tcBorders>
              <w:top w:val="single" w:sz="12" w:space="0" w:color="auto"/>
            </w:tcBorders>
            <w:noWrap/>
            <w:hideMark/>
          </w:tcPr>
          <w:p w14:paraId="6F2341F6" w14:textId="77777777" w:rsidR="004A7B24" w:rsidRPr="00EE5312" w:rsidRDefault="004A7B24" w:rsidP="002C65EC">
            <w:pPr>
              <w:pStyle w:val="Normal-pool-Table"/>
              <w:spacing w:before="20"/>
              <w:rPr>
                <w:b/>
                <w:bCs/>
              </w:rPr>
            </w:pPr>
            <w:r w:rsidRPr="00EE5312">
              <w:rPr>
                <w:b/>
                <w:bCs/>
              </w:rPr>
              <w:t>20</w:t>
            </w:r>
            <w:r>
              <w:rPr>
                <w:b/>
                <w:bCs/>
              </w:rPr>
              <w:t>27</w:t>
            </w:r>
            <w:r w:rsidRPr="00EE5312">
              <w:rPr>
                <w:b/>
                <w:bCs/>
              </w:rPr>
              <w:t>–20</w:t>
            </w:r>
            <w:r>
              <w:rPr>
                <w:b/>
                <w:bCs/>
              </w:rPr>
              <w:t>29</w:t>
            </w:r>
          </w:p>
        </w:tc>
        <w:tc>
          <w:tcPr>
            <w:tcW w:w="1092" w:type="pct"/>
            <w:tcBorders>
              <w:top w:val="single" w:sz="12" w:space="0" w:color="auto"/>
            </w:tcBorders>
            <w:noWrap/>
          </w:tcPr>
          <w:p w14:paraId="36A664C4" w14:textId="77777777" w:rsidR="004A7B24" w:rsidRPr="00BE1B16" w:rsidRDefault="004A7B24" w:rsidP="002C65EC">
            <w:pPr>
              <w:pStyle w:val="Normal-pool-Table"/>
              <w:spacing w:before="20"/>
              <w:jc w:val="right"/>
              <w:rPr>
                <w:b/>
              </w:rPr>
            </w:pPr>
          </w:p>
        </w:tc>
        <w:tc>
          <w:tcPr>
            <w:tcW w:w="1092" w:type="pct"/>
            <w:tcBorders>
              <w:top w:val="single" w:sz="12" w:space="0" w:color="auto"/>
            </w:tcBorders>
            <w:noWrap/>
          </w:tcPr>
          <w:p w14:paraId="28748A59" w14:textId="77777777" w:rsidR="004A7B24" w:rsidRPr="00BE1B16" w:rsidRDefault="004A7B24" w:rsidP="002C65EC">
            <w:pPr>
              <w:pStyle w:val="Normal-pool-Table"/>
              <w:spacing w:before="20"/>
              <w:jc w:val="right"/>
              <w:rPr>
                <w:b/>
              </w:rPr>
            </w:pPr>
          </w:p>
        </w:tc>
      </w:tr>
      <w:tr w:rsidR="004A7B24" w:rsidRPr="00BE1B16" w14:paraId="62EF33A1" w14:textId="77777777" w:rsidTr="00F80A9A">
        <w:trPr>
          <w:trHeight w:val="65"/>
          <w:jc w:val="right"/>
        </w:trPr>
        <w:tc>
          <w:tcPr>
            <w:tcW w:w="2816" w:type="pct"/>
            <w:noWrap/>
          </w:tcPr>
          <w:p w14:paraId="15C68573" w14:textId="77777777" w:rsidR="004A7B24" w:rsidRPr="00FC781B" w:rsidRDefault="004A7B24" w:rsidP="002C65EC">
            <w:pPr>
              <w:pStyle w:val="Normal-pool-Table"/>
              <w:spacing w:before="20"/>
              <w:ind w:left="113"/>
            </w:pPr>
            <w:r w:rsidRPr="00FC781B">
              <w:t>HCFC activities</w:t>
            </w:r>
          </w:p>
        </w:tc>
        <w:tc>
          <w:tcPr>
            <w:tcW w:w="1092" w:type="pct"/>
            <w:noWrap/>
          </w:tcPr>
          <w:p w14:paraId="7BFA4D83" w14:textId="77777777" w:rsidR="004A7B24" w:rsidRPr="00BE1B16" w:rsidRDefault="004A7B24" w:rsidP="002C65EC">
            <w:pPr>
              <w:pStyle w:val="Normal-pool-Table"/>
              <w:spacing w:before="20"/>
              <w:jc w:val="right"/>
              <w:rPr>
                <w:bCs/>
              </w:rPr>
            </w:pPr>
            <w:r>
              <w:rPr>
                <w:bCs/>
              </w:rPr>
              <w:t>451</w:t>
            </w:r>
            <w:r w:rsidRPr="000F2601">
              <w:rPr>
                <w:bCs/>
              </w:rPr>
              <w:t>–</w:t>
            </w:r>
            <w:r>
              <w:rPr>
                <w:bCs/>
              </w:rPr>
              <w:t>573</w:t>
            </w:r>
          </w:p>
        </w:tc>
        <w:tc>
          <w:tcPr>
            <w:tcW w:w="1092" w:type="pct"/>
            <w:noWrap/>
          </w:tcPr>
          <w:p w14:paraId="4C7C9865" w14:textId="77777777" w:rsidR="004A7B24" w:rsidRPr="00BE1B16" w:rsidRDefault="004A7B24" w:rsidP="002C65EC">
            <w:pPr>
              <w:pStyle w:val="Normal-pool-Table"/>
              <w:spacing w:before="20"/>
              <w:ind w:left="9"/>
              <w:jc w:val="right"/>
              <w:rPr>
                <w:bCs/>
              </w:rPr>
            </w:pPr>
            <w:r w:rsidRPr="000F2601">
              <w:rPr>
                <w:bCs/>
              </w:rPr>
              <w:t>4</w:t>
            </w:r>
            <w:r>
              <w:rPr>
                <w:bCs/>
              </w:rPr>
              <w:t>37</w:t>
            </w:r>
            <w:r w:rsidRPr="000F2601">
              <w:rPr>
                <w:bCs/>
              </w:rPr>
              <w:t>–5</w:t>
            </w:r>
            <w:r>
              <w:rPr>
                <w:bCs/>
              </w:rPr>
              <w:t>64</w:t>
            </w:r>
          </w:p>
        </w:tc>
      </w:tr>
      <w:tr w:rsidR="004A7B24" w:rsidRPr="00BE1B16" w14:paraId="6936D14D" w14:textId="77777777" w:rsidTr="00F80A9A">
        <w:trPr>
          <w:trHeight w:val="65"/>
          <w:jc w:val="right"/>
        </w:trPr>
        <w:tc>
          <w:tcPr>
            <w:tcW w:w="2816" w:type="pct"/>
            <w:noWrap/>
          </w:tcPr>
          <w:p w14:paraId="0D9C98A2" w14:textId="77777777" w:rsidR="004A7B24" w:rsidRPr="00835733" w:rsidRDefault="004A7B24" w:rsidP="002C65EC">
            <w:pPr>
              <w:pStyle w:val="Normal-pool-Table"/>
              <w:spacing w:before="20"/>
              <w:ind w:left="113"/>
            </w:pPr>
            <w:r w:rsidRPr="00835733">
              <w:t>HFC activities</w:t>
            </w:r>
          </w:p>
        </w:tc>
        <w:tc>
          <w:tcPr>
            <w:tcW w:w="1092" w:type="pct"/>
            <w:noWrap/>
          </w:tcPr>
          <w:p w14:paraId="4B983CF7" w14:textId="77777777" w:rsidR="004A7B24" w:rsidRPr="00BE1B16" w:rsidRDefault="004A7B24" w:rsidP="002C65EC">
            <w:pPr>
              <w:pStyle w:val="Normal-pool-Table"/>
              <w:spacing w:before="20"/>
              <w:jc w:val="right"/>
              <w:rPr>
                <w:bCs/>
              </w:rPr>
            </w:pPr>
            <w:r>
              <w:rPr>
                <w:bCs/>
                <w:lang w:val="en-US"/>
              </w:rPr>
              <w:t>702</w:t>
            </w:r>
            <w:r w:rsidRPr="00BE1B16">
              <w:rPr>
                <w:bCs/>
                <w:lang w:val="en-US"/>
              </w:rPr>
              <w:t>–</w:t>
            </w:r>
            <w:r>
              <w:rPr>
                <w:bCs/>
                <w:lang w:val="en-US"/>
              </w:rPr>
              <w:t>1 053</w:t>
            </w:r>
          </w:p>
        </w:tc>
        <w:tc>
          <w:tcPr>
            <w:tcW w:w="1092" w:type="pct"/>
            <w:noWrap/>
          </w:tcPr>
          <w:p w14:paraId="2A67BFD3" w14:textId="77777777" w:rsidR="004A7B24" w:rsidRPr="00BE1B16" w:rsidRDefault="004A7B24" w:rsidP="002C65EC">
            <w:pPr>
              <w:pStyle w:val="Normal-pool-Table"/>
              <w:spacing w:before="20"/>
              <w:ind w:left="9"/>
              <w:jc w:val="right"/>
              <w:rPr>
                <w:bCs/>
              </w:rPr>
            </w:pPr>
            <w:r w:rsidRPr="00384187">
              <w:rPr>
                <w:bCs/>
                <w:lang w:val="en-US"/>
              </w:rPr>
              <w:t>664–999</w:t>
            </w:r>
          </w:p>
        </w:tc>
      </w:tr>
      <w:tr w:rsidR="004A7B24" w:rsidRPr="00BE1B16" w14:paraId="11BDA841" w14:textId="77777777" w:rsidTr="00F80A9A">
        <w:trPr>
          <w:trHeight w:val="65"/>
          <w:jc w:val="right"/>
        </w:trPr>
        <w:tc>
          <w:tcPr>
            <w:tcW w:w="2816" w:type="pct"/>
            <w:tcBorders>
              <w:bottom w:val="single" w:sz="4" w:space="0" w:color="auto"/>
            </w:tcBorders>
            <w:noWrap/>
          </w:tcPr>
          <w:p w14:paraId="77085408" w14:textId="77777777" w:rsidR="004A7B24" w:rsidRPr="00563C23" w:rsidRDefault="004A7B24" w:rsidP="002C65EC">
            <w:pPr>
              <w:pStyle w:val="Normal-pool-Table"/>
              <w:spacing w:before="20"/>
              <w:ind w:left="113"/>
              <w:rPr>
                <w:b/>
              </w:rPr>
            </w:pPr>
            <w:r w:rsidRPr="00563C23">
              <w:t xml:space="preserve">Institutional strengthening and standard activities </w:t>
            </w:r>
          </w:p>
        </w:tc>
        <w:tc>
          <w:tcPr>
            <w:tcW w:w="1092" w:type="pct"/>
            <w:tcBorders>
              <w:bottom w:val="single" w:sz="4" w:space="0" w:color="auto"/>
            </w:tcBorders>
            <w:noWrap/>
          </w:tcPr>
          <w:p w14:paraId="158CA7AD" w14:textId="77777777" w:rsidR="004A7B24" w:rsidRPr="00BE1B16" w:rsidRDefault="004A7B24" w:rsidP="002C65EC">
            <w:pPr>
              <w:pStyle w:val="Normal-pool-Table"/>
              <w:spacing w:before="20"/>
              <w:jc w:val="right"/>
              <w:rPr>
                <w:bCs/>
                <w:lang w:val="en-US"/>
              </w:rPr>
            </w:pPr>
            <w:r w:rsidRPr="00BE1B16">
              <w:rPr>
                <w:bCs/>
                <w:lang w:val="en-US"/>
              </w:rPr>
              <w:t>1</w:t>
            </w:r>
            <w:r>
              <w:rPr>
                <w:bCs/>
                <w:lang w:val="en-US"/>
              </w:rPr>
              <w:t>29</w:t>
            </w:r>
          </w:p>
        </w:tc>
        <w:tc>
          <w:tcPr>
            <w:tcW w:w="1092" w:type="pct"/>
            <w:tcBorders>
              <w:bottom w:val="single" w:sz="4" w:space="0" w:color="auto"/>
            </w:tcBorders>
            <w:noWrap/>
          </w:tcPr>
          <w:p w14:paraId="5009598F" w14:textId="77777777" w:rsidR="004A7B24" w:rsidRPr="00BE1B16" w:rsidRDefault="004A7B24" w:rsidP="002C65EC">
            <w:pPr>
              <w:pStyle w:val="Normal-pool-Table"/>
              <w:spacing w:before="20"/>
              <w:ind w:left="9"/>
              <w:jc w:val="right"/>
              <w:rPr>
                <w:bCs/>
                <w:lang w:val="en-US"/>
              </w:rPr>
            </w:pPr>
            <w:r>
              <w:rPr>
                <w:bCs/>
                <w:lang w:val="en-US"/>
              </w:rPr>
              <w:t>129</w:t>
            </w:r>
          </w:p>
        </w:tc>
      </w:tr>
      <w:tr w:rsidR="004A7B24" w:rsidRPr="00BE1B16" w14:paraId="4A974D11" w14:textId="77777777" w:rsidTr="00F80A9A">
        <w:trPr>
          <w:trHeight w:val="65"/>
          <w:jc w:val="right"/>
        </w:trPr>
        <w:tc>
          <w:tcPr>
            <w:tcW w:w="2816" w:type="pct"/>
            <w:tcBorders>
              <w:top w:val="single" w:sz="4" w:space="0" w:color="auto"/>
              <w:bottom w:val="single" w:sz="8" w:space="0" w:color="auto"/>
            </w:tcBorders>
            <w:noWrap/>
          </w:tcPr>
          <w:p w14:paraId="33EC8F45" w14:textId="77777777" w:rsidR="004A7B24" w:rsidRPr="00835733" w:rsidRDefault="004A7B24" w:rsidP="002C65EC">
            <w:pPr>
              <w:pStyle w:val="Normal-pool-Table"/>
              <w:spacing w:before="20"/>
            </w:pPr>
            <w:r>
              <w:rPr>
                <w:b/>
              </w:rPr>
              <w:t>T</w:t>
            </w:r>
            <w:r w:rsidRPr="00563C23">
              <w:rPr>
                <w:b/>
              </w:rPr>
              <w:t>otal</w:t>
            </w:r>
          </w:p>
        </w:tc>
        <w:tc>
          <w:tcPr>
            <w:tcW w:w="1092" w:type="pct"/>
            <w:tcBorders>
              <w:top w:val="single" w:sz="4" w:space="0" w:color="auto"/>
              <w:bottom w:val="single" w:sz="8" w:space="0" w:color="auto"/>
            </w:tcBorders>
            <w:noWrap/>
          </w:tcPr>
          <w:p w14:paraId="154112C0" w14:textId="77777777" w:rsidR="004A7B24" w:rsidRPr="00BE1B16" w:rsidRDefault="004A7B24" w:rsidP="002C65EC">
            <w:pPr>
              <w:pStyle w:val="Normal-pool-Table"/>
              <w:spacing w:before="20"/>
              <w:jc w:val="right"/>
              <w:rPr>
                <w:b/>
                <w:bCs/>
                <w:lang w:val="en-US"/>
              </w:rPr>
            </w:pPr>
            <w:r w:rsidRPr="00BE1B16">
              <w:rPr>
                <w:b/>
                <w:bCs/>
                <w:lang w:val="en-US"/>
              </w:rPr>
              <w:t xml:space="preserve">1 </w:t>
            </w:r>
            <w:r>
              <w:rPr>
                <w:b/>
                <w:bCs/>
                <w:lang w:val="en-US"/>
              </w:rPr>
              <w:t>282</w:t>
            </w:r>
            <w:r w:rsidRPr="00BE1B16">
              <w:rPr>
                <w:b/>
                <w:bCs/>
                <w:lang w:val="en-US"/>
              </w:rPr>
              <w:t xml:space="preserve">–1 </w:t>
            </w:r>
            <w:r>
              <w:rPr>
                <w:b/>
                <w:bCs/>
                <w:lang w:val="en-US"/>
              </w:rPr>
              <w:t>755</w:t>
            </w:r>
          </w:p>
        </w:tc>
        <w:tc>
          <w:tcPr>
            <w:tcW w:w="1092" w:type="pct"/>
            <w:tcBorders>
              <w:top w:val="single" w:sz="4" w:space="0" w:color="auto"/>
              <w:bottom w:val="single" w:sz="8" w:space="0" w:color="auto"/>
            </w:tcBorders>
            <w:noWrap/>
          </w:tcPr>
          <w:p w14:paraId="7C790A91" w14:textId="77777777" w:rsidR="004A7B24" w:rsidRPr="00BE1B16" w:rsidRDefault="004A7B24" w:rsidP="002C65EC">
            <w:pPr>
              <w:pStyle w:val="Normal-pool-Table"/>
              <w:spacing w:before="20"/>
              <w:ind w:left="9"/>
              <w:jc w:val="right"/>
              <w:rPr>
                <w:b/>
                <w:bCs/>
                <w:lang w:val="en-US"/>
              </w:rPr>
            </w:pPr>
            <w:r w:rsidRPr="00BE1B16">
              <w:rPr>
                <w:b/>
                <w:bCs/>
                <w:lang w:val="en-US"/>
              </w:rPr>
              <w:t>1 2</w:t>
            </w:r>
            <w:r>
              <w:rPr>
                <w:b/>
                <w:bCs/>
                <w:lang w:val="en-US"/>
              </w:rPr>
              <w:t>30</w:t>
            </w:r>
            <w:r w:rsidRPr="00BE1B16">
              <w:rPr>
                <w:b/>
                <w:bCs/>
                <w:lang w:val="en-US"/>
              </w:rPr>
              <w:t xml:space="preserve">–1 </w:t>
            </w:r>
            <w:r>
              <w:rPr>
                <w:b/>
                <w:bCs/>
                <w:lang w:val="en-US"/>
              </w:rPr>
              <w:t>692</w:t>
            </w:r>
          </w:p>
        </w:tc>
      </w:tr>
      <w:tr w:rsidR="004A7B24" w:rsidRPr="00FC781B" w14:paraId="1A54269C" w14:textId="77777777" w:rsidTr="00F80A9A">
        <w:trPr>
          <w:trHeight w:val="65"/>
          <w:jc w:val="right"/>
        </w:trPr>
        <w:tc>
          <w:tcPr>
            <w:tcW w:w="2816" w:type="pct"/>
            <w:tcBorders>
              <w:top w:val="single" w:sz="12" w:space="0" w:color="auto"/>
            </w:tcBorders>
            <w:noWrap/>
            <w:hideMark/>
          </w:tcPr>
          <w:p w14:paraId="297470B3" w14:textId="77777777" w:rsidR="004A7B24" w:rsidRPr="00EE5312" w:rsidRDefault="004A7B24" w:rsidP="002C65EC">
            <w:pPr>
              <w:pStyle w:val="Normal-pool-Table"/>
              <w:spacing w:before="20"/>
              <w:rPr>
                <w:b/>
                <w:bCs/>
              </w:rPr>
            </w:pPr>
            <w:r w:rsidRPr="00EE5312">
              <w:rPr>
                <w:b/>
                <w:bCs/>
              </w:rPr>
              <w:t>2030–2032</w:t>
            </w:r>
          </w:p>
        </w:tc>
        <w:tc>
          <w:tcPr>
            <w:tcW w:w="1092" w:type="pct"/>
            <w:tcBorders>
              <w:top w:val="single" w:sz="12" w:space="0" w:color="auto"/>
            </w:tcBorders>
            <w:noWrap/>
          </w:tcPr>
          <w:p w14:paraId="73144F9A" w14:textId="77777777" w:rsidR="004A7B24" w:rsidRPr="00BE1B16" w:rsidRDefault="004A7B24" w:rsidP="002C65EC">
            <w:pPr>
              <w:pStyle w:val="Normal-pool-Table"/>
              <w:spacing w:before="20"/>
              <w:jc w:val="right"/>
              <w:rPr>
                <w:b/>
              </w:rPr>
            </w:pPr>
          </w:p>
        </w:tc>
        <w:tc>
          <w:tcPr>
            <w:tcW w:w="1092" w:type="pct"/>
            <w:tcBorders>
              <w:top w:val="single" w:sz="12" w:space="0" w:color="auto"/>
            </w:tcBorders>
            <w:noWrap/>
          </w:tcPr>
          <w:p w14:paraId="6D3EB935" w14:textId="77777777" w:rsidR="004A7B24" w:rsidRPr="00BE1B16" w:rsidRDefault="004A7B24" w:rsidP="002C65EC">
            <w:pPr>
              <w:pStyle w:val="Normal-pool-Table"/>
              <w:spacing w:before="20"/>
              <w:jc w:val="right"/>
              <w:rPr>
                <w:b/>
              </w:rPr>
            </w:pPr>
          </w:p>
        </w:tc>
      </w:tr>
      <w:tr w:rsidR="004A7B24" w:rsidRPr="00C54D94" w14:paraId="0C2EC63D" w14:textId="77777777" w:rsidTr="00F80A9A">
        <w:trPr>
          <w:trHeight w:val="65"/>
          <w:jc w:val="right"/>
        </w:trPr>
        <w:tc>
          <w:tcPr>
            <w:tcW w:w="2816" w:type="pct"/>
            <w:noWrap/>
          </w:tcPr>
          <w:p w14:paraId="2959E7FE" w14:textId="77777777" w:rsidR="004A7B24" w:rsidRPr="00FC781B" w:rsidRDefault="004A7B24" w:rsidP="002C65EC">
            <w:pPr>
              <w:pStyle w:val="Normal-pool-Table"/>
              <w:spacing w:before="20"/>
              <w:ind w:left="113"/>
            </w:pPr>
            <w:r w:rsidRPr="00FC781B">
              <w:t>HCFC activities</w:t>
            </w:r>
          </w:p>
        </w:tc>
        <w:tc>
          <w:tcPr>
            <w:tcW w:w="1092" w:type="pct"/>
            <w:noWrap/>
          </w:tcPr>
          <w:p w14:paraId="7925D363" w14:textId="77777777" w:rsidR="004A7B24" w:rsidRPr="00C54D94" w:rsidRDefault="004A7B24" w:rsidP="002C65EC">
            <w:pPr>
              <w:pStyle w:val="Normal-pool-Table"/>
              <w:spacing w:before="20"/>
              <w:jc w:val="right"/>
              <w:rPr>
                <w:bCs/>
              </w:rPr>
            </w:pPr>
            <w:r w:rsidRPr="00C54D94">
              <w:rPr>
                <w:bCs/>
              </w:rPr>
              <w:t>83–96</w:t>
            </w:r>
          </w:p>
        </w:tc>
        <w:tc>
          <w:tcPr>
            <w:tcW w:w="1092" w:type="pct"/>
            <w:noWrap/>
          </w:tcPr>
          <w:p w14:paraId="3B2B6E2F" w14:textId="77777777" w:rsidR="004A7B24" w:rsidRPr="00C54D94" w:rsidRDefault="004A7B24" w:rsidP="002C65EC">
            <w:pPr>
              <w:pStyle w:val="Normal-pool-Table"/>
              <w:spacing w:before="20"/>
              <w:ind w:left="9"/>
              <w:jc w:val="right"/>
              <w:rPr>
                <w:bCs/>
              </w:rPr>
            </w:pPr>
            <w:r w:rsidRPr="00C54D94">
              <w:rPr>
                <w:bCs/>
              </w:rPr>
              <w:t>88–102</w:t>
            </w:r>
          </w:p>
        </w:tc>
      </w:tr>
      <w:tr w:rsidR="004A7B24" w:rsidRPr="00C54D94" w14:paraId="0983DBC5" w14:textId="77777777" w:rsidTr="00F80A9A">
        <w:trPr>
          <w:trHeight w:val="65"/>
          <w:jc w:val="right"/>
        </w:trPr>
        <w:tc>
          <w:tcPr>
            <w:tcW w:w="2816" w:type="pct"/>
            <w:noWrap/>
          </w:tcPr>
          <w:p w14:paraId="7977B85F" w14:textId="77777777" w:rsidR="004A7B24" w:rsidRPr="00835733" w:rsidRDefault="004A7B24" w:rsidP="002C65EC">
            <w:pPr>
              <w:pStyle w:val="Normal-pool-Table"/>
              <w:spacing w:before="20"/>
              <w:ind w:left="113"/>
            </w:pPr>
            <w:r w:rsidRPr="00835733">
              <w:t>HFC activities</w:t>
            </w:r>
          </w:p>
        </w:tc>
        <w:tc>
          <w:tcPr>
            <w:tcW w:w="1092" w:type="pct"/>
            <w:noWrap/>
          </w:tcPr>
          <w:p w14:paraId="00E906C8" w14:textId="77777777" w:rsidR="004A7B24" w:rsidRPr="00C54D94" w:rsidRDefault="004A7B24" w:rsidP="002C65EC">
            <w:pPr>
              <w:pStyle w:val="Normal-pool-Table"/>
              <w:spacing w:before="20"/>
              <w:jc w:val="right"/>
              <w:rPr>
                <w:bCs/>
              </w:rPr>
            </w:pPr>
            <w:r w:rsidRPr="00C54D94">
              <w:rPr>
                <w:bCs/>
                <w:lang w:val="en-US"/>
              </w:rPr>
              <w:t>877–1 085</w:t>
            </w:r>
          </w:p>
        </w:tc>
        <w:tc>
          <w:tcPr>
            <w:tcW w:w="1092" w:type="pct"/>
            <w:noWrap/>
          </w:tcPr>
          <w:p w14:paraId="06B5DA49" w14:textId="77777777" w:rsidR="004A7B24" w:rsidRPr="00C54D94" w:rsidRDefault="004A7B24" w:rsidP="002C65EC">
            <w:pPr>
              <w:pStyle w:val="Normal-pool-Table"/>
              <w:spacing w:before="20"/>
              <w:ind w:left="9"/>
              <w:jc w:val="right"/>
              <w:rPr>
                <w:bCs/>
              </w:rPr>
            </w:pPr>
            <w:r w:rsidRPr="00C54D94">
              <w:rPr>
                <w:bCs/>
                <w:lang w:val="en-US"/>
              </w:rPr>
              <w:t>861–1 076</w:t>
            </w:r>
          </w:p>
        </w:tc>
      </w:tr>
      <w:tr w:rsidR="004A7B24" w:rsidRPr="00C54D94" w14:paraId="50127B88" w14:textId="77777777" w:rsidTr="00F80A9A">
        <w:trPr>
          <w:trHeight w:val="65"/>
          <w:jc w:val="right"/>
        </w:trPr>
        <w:tc>
          <w:tcPr>
            <w:tcW w:w="2816" w:type="pct"/>
            <w:tcBorders>
              <w:bottom w:val="single" w:sz="4" w:space="0" w:color="auto"/>
            </w:tcBorders>
            <w:noWrap/>
          </w:tcPr>
          <w:p w14:paraId="2292CADB" w14:textId="77777777" w:rsidR="004A7B24" w:rsidRPr="00563C23" w:rsidRDefault="004A7B24" w:rsidP="002C65EC">
            <w:pPr>
              <w:pStyle w:val="Normal-pool-Table"/>
              <w:spacing w:before="20"/>
              <w:ind w:left="113"/>
              <w:rPr>
                <w:b/>
              </w:rPr>
            </w:pPr>
            <w:r w:rsidRPr="00563C23">
              <w:t xml:space="preserve">Institutional strengthening and standard activities </w:t>
            </w:r>
          </w:p>
        </w:tc>
        <w:tc>
          <w:tcPr>
            <w:tcW w:w="1092" w:type="pct"/>
            <w:tcBorders>
              <w:bottom w:val="single" w:sz="4" w:space="0" w:color="auto"/>
            </w:tcBorders>
            <w:noWrap/>
          </w:tcPr>
          <w:p w14:paraId="747CEAD1" w14:textId="77777777" w:rsidR="004A7B24" w:rsidRPr="00C54D94" w:rsidRDefault="004A7B24" w:rsidP="002C65EC">
            <w:pPr>
              <w:pStyle w:val="Normal-pool-Table"/>
              <w:spacing w:before="20"/>
              <w:jc w:val="right"/>
              <w:rPr>
                <w:bCs/>
                <w:lang w:val="en-US"/>
              </w:rPr>
            </w:pPr>
            <w:r w:rsidRPr="00C54D94">
              <w:rPr>
                <w:bCs/>
                <w:lang w:val="en-US"/>
              </w:rPr>
              <w:t>137</w:t>
            </w:r>
          </w:p>
        </w:tc>
        <w:tc>
          <w:tcPr>
            <w:tcW w:w="1092" w:type="pct"/>
            <w:tcBorders>
              <w:bottom w:val="single" w:sz="4" w:space="0" w:color="auto"/>
            </w:tcBorders>
            <w:noWrap/>
          </w:tcPr>
          <w:p w14:paraId="77493F68" w14:textId="77777777" w:rsidR="004A7B24" w:rsidRPr="00C54D94" w:rsidRDefault="004A7B24" w:rsidP="002C65EC">
            <w:pPr>
              <w:pStyle w:val="Normal-pool-Table"/>
              <w:spacing w:before="20"/>
              <w:ind w:left="9"/>
              <w:jc w:val="right"/>
              <w:rPr>
                <w:bCs/>
                <w:lang w:val="en-US"/>
              </w:rPr>
            </w:pPr>
            <w:r w:rsidRPr="00C54D94">
              <w:rPr>
                <w:bCs/>
                <w:lang w:val="en-US"/>
              </w:rPr>
              <w:t>137</w:t>
            </w:r>
          </w:p>
        </w:tc>
      </w:tr>
      <w:tr w:rsidR="004A7B24" w:rsidRPr="00C54D94" w14:paraId="103F632F" w14:textId="77777777" w:rsidTr="00F80A9A">
        <w:trPr>
          <w:trHeight w:val="65"/>
          <w:jc w:val="right"/>
        </w:trPr>
        <w:tc>
          <w:tcPr>
            <w:tcW w:w="2816" w:type="pct"/>
            <w:tcBorders>
              <w:top w:val="single" w:sz="4" w:space="0" w:color="auto"/>
              <w:bottom w:val="single" w:sz="8" w:space="0" w:color="auto"/>
            </w:tcBorders>
            <w:noWrap/>
          </w:tcPr>
          <w:p w14:paraId="7019E8E5" w14:textId="77777777" w:rsidR="004A7B24" w:rsidRPr="00835733" w:rsidRDefault="004A7B24" w:rsidP="002C65EC">
            <w:pPr>
              <w:pStyle w:val="Normal-pool-Table"/>
              <w:spacing w:before="20"/>
            </w:pPr>
            <w:r>
              <w:rPr>
                <w:b/>
              </w:rPr>
              <w:t>T</w:t>
            </w:r>
            <w:r w:rsidRPr="00563C23">
              <w:rPr>
                <w:b/>
              </w:rPr>
              <w:t>otal</w:t>
            </w:r>
          </w:p>
        </w:tc>
        <w:tc>
          <w:tcPr>
            <w:tcW w:w="1092" w:type="pct"/>
            <w:tcBorders>
              <w:top w:val="single" w:sz="4" w:space="0" w:color="auto"/>
              <w:bottom w:val="single" w:sz="8" w:space="0" w:color="auto"/>
            </w:tcBorders>
            <w:noWrap/>
          </w:tcPr>
          <w:p w14:paraId="2D0886E3" w14:textId="77777777" w:rsidR="004A7B24" w:rsidRPr="00C54D94" w:rsidRDefault="004A7B24" w:rsidP="002C65EC">
            <w:pPr>
              <w:pStyle w:val="Normal-pool-Table"/>
              <w:spacing w:before="20"/>
              <w:jc w:val="right"/>
              <w:rPr>
                <w:b/>
                <w:bCs/>
                <w:lang w:val="en-US"/>
              </w:rPr>
            </w:pPr>
            <w:r w:rsidRPr="00C54D94">
              <w:rPr>
                <w:b/>
                <w:bCs/>
                <w:lang w:val="en-US"/>
              </w:rPr>
              <w:t>1 097–1 318</w:t>
            </w:r>
          </w:p>
        </w:tc>
        <w:tc>
          <w:tcPr>
            <w:tcW w:w="1092" w:type="pct"/>
            <w:tcBorders>
              <w:top w:val="single" w:sz="4" w:space="0" w:color="auto"/>
              <w:bottom w:val="single" w:sz="8" w:space="0" w:color="auto"/>
            </w:tcBorders>
            <w:noWrap/>
          </w:tcPr>
          <w:p w14:paraId="3B2B894F" w14:textId="77777777" w:rsidR="004A7B24" w:rsidRPr="00C54D94" w:rsidRDefault="004A7B24" w:rsidP="002C65EC">
            <w:pPr>
              <w:pStyle w:val="Normal-pool-Table"/>
              <w:spacing w:before="20"/>
              <w:ind w:left="9"/>
              <w:jc w:val="right"/>
              <w:rPr>
                <w:b/>
                <w:bCs/>
                <w:lang w:val="en-US"/>
              </w:rPr>
            </w:pPr>
            <w:r w:rsidRPr="00C54D94">
              <w:rPr>
                <w:b/>
                <w:bCs/>
                <w:lang w:val="en-US"/>
              </w:rPr>
              <w:t>1 086–1 315</w:t>
            </w:r>
          </w:p>
        </w:tc>
      </w:tr>
      <w:tr w:rsidR="004A7B24" w:rsidRPr="00C54D94" w14:paraId="7ABFACF4" w14:textId="77777777" w:rsidTr="00F80A9A">
        <w:trPr>
          <w:trHeight w:val="65"/>
          <w:jc w:val="right"/>
        </w:trPr>
        <w:tc>
          <w:tcPr>
            <w:tcW w:w="2816" w:type="pct"/>
            <w:tcBorders>
              <w:top w:val="single" w:sz="8" w:space="0" w:color="auto"/>
            </w:tcBorders>
            <w:noWrap/>
            <w:hideMark/>
          </w:tcPr>
          <w:p w14:paraId="6ACCC07D" w14:textId="77777777" w:rsidR="004A7B24" w:rsidRPr="00EE5312" w:rsidRDefault="004A7B24" w:rsidP="002C65EC">
            <w:pPr>
              <w:pStyle w:val="Normal-pool-Table"/>
              <w:spacing w:before="20"/>
              <w:rPr>
                <w:b/>
                <w:bCs/>
              </w:rPr>
            </w:pPr>
            <w:r w:rsidRPr="00EE5312">
              <w:rPr>
                <w:b/>
                <w:bCs/>
              </w:rPr>
              <w:t>2033–2035</w:t>
            </w:r>
          </w:p>
        </w:tc>
        <w:tc>
          <w:tcPr>
            <w:tcW w:w="1092" w:type="pct"/>
            <w:tcBorders>
              <w:top w:val="single" w:sz="8" w:space="0" w:color="auto"/>
            </w:tcBorders>
            <w:noWrap/>
          </w:tcPr>
          <w:p w14:paraId="4C016103" w14:textId="77777777" w:rsidR="004A7B24" w:rsidRPr="00C54D94" w:rsidRDefault="004A7B24" w:rsidP="002C65EC">
            <w:pPr>
              <w:pStyle w:val="Normal-pool-Table"/>
              <w:spacing w:before="20"/>
              <w:jc w:val="right"/>
              <w:rPr>
                <w:b/>
              </w:rPr>
            </w:pPr>
          </w:p>
        </w:tc>
        <w:tc>
          <w:tcPr>
            <w:tcW w:w="1092" w:type="pct"/>
            <w:tcBorders>
              <w:top w:val="single" w:sz="8" w:space="0" w:color="auto"/>
            </w:tcBorders>
            <w:noWrap/>
          </w:tcPr>
          <w:p w14:paraId="6BF3959E" w14:textId="77777777" w:rsidR="004A7B24" w:rsidRPr="00C54D94" w:rsidRDefault="004A7B24" w:rsidP="002C65EC">
            <w:pPr>
              <w:pStyle w:val="Normal-pool-Table"/>
              <w:spacing w:before="20"/>
              <w:jc w:val="right"/>
              <w:rPr>
                <w:b/>
              </w:rPr>
            </w:pPr>
          </w:p>
        </w:tc>
      </w:tr>
      <w:tr w:rsidR="004A7B24" w:rsidRPr="00C54D94" w14:paraId="68113E0A" w14:textId="77777777" w:rsidTr="00F80A9A">
        <w:trPr>
          <w:trHeight w:val="65"/>
          <w:jc w:val="right"/>
        </w:trPr>
        <w:tc>
          <w:tcPr>
            <w:tcW w:w="2816" w:type="pct"/>
            <w:noWrap/>
          </w:tcPr>
          <w:p w14:paraId="265B15D6" w14:textId="77777777" w:rsidR="004A7B24" w:rsidRPr="00835733" w:rsidRDefault="004A7B24" w:rsidP="002C65EC">
            <w:pPr>
              <w:pStyle w:val="Normal-pool-Table"/>
              <w:spacing w:before="20"/>
              <w:ind w:left="113"/>
            </w:pPr>
            <w:r w:rsidRPr="00835733">
              <w:t>HCFC activities</w:t>
            </w:r>
          </w:p>
        </w:tc>
        <w:tc>
          <w:tcPr>
            <w:tcW w:w="1092" w:type="pct"/>
            <w:noWrap/>
          </w:tcPr>
          <w:p w14:paraId="0F617CB3" w14:textId="77777777" w:rsidR="004A7B24" w:rsidRPr="00C54D94" w:rsidRDefault="004A7B24" w:rsidP="002C65EC">
            <w:pPr>
              <w:pStyle w:val="Normal-pool-Table"/>
              <w:spacing w:before="20"/>
              <w:jc w:val="right"/>
              <w:rPr>
                <w:bCs/>
              </w:rPr>
            </w:pPr>
            <w:r w:rsidRPr="00C54D94">
              <w:rPr>
                <w:bCs/>
              </w:rPr>
              <w:sym w:font="Symbol" w:char="F02D"/>
            </w:r>
          </w:p>
        </w:tc>
        <w:tc>
          <w:tcPr>
            <w:tcW w:w="1092" w:type="pct"/>
            <w:noWrap/>
          </w:tcPr>
          <w:p w14:paraId="29F99D38" w14:textId="77777777" w:rsidR="004A7B24" w:rsidRPr="00C54D94" w:rsidRDefault="004A7B24" w:rsidP="002C65EC">
            <w:pPr>
              <w:pStyle w:val="Normal-pool-Table"/>
              <w:spacing w:before="20"/>
              <w:jc w:val="right"/>
              <w:rPr>
                <w:bCs/>
              </w:rPr>
            </w:pPr>
            <w:r w:rsidRPr="00C54D94">
              <w:rPr>
                <w:bCs/>
              </w:rPr>
              <w:sym w:font="Symbol" w:char="F02D"/>
            </w:r>
          </w:p>
        </w:tc>
      </w:tr>
      <w:tr w:rsidR="004A7B24" w:rsidRPr="00C54D94" w14:paraId="46CF91EC" w14:textId="77777777" w:rsidTr="00F80A9A">
        <w:trPr>
          <w:trHeight w:val="65"/>
          <w:jc w:val="right"/>
        </w:trPr>
        <w:tc>
          <w:tcPr>
            <w:tcW w:w="2816" w:type="pct"/>
            <w:noWrap/>
          </w:tcPr>
          <w:p w14:paraId="7885F785" w14:textId="77777777" w:rsidR="004A7B24" w:rsidRPr="00835733" w:rsidRDefault="004A7B24" w:rsidP="002C65EC">
            <w:pPr>
              <w:pStyle w:val="Normal-pool-Table"/>
              <w:spacing w:before="20"/>
              <w:ind w:left="113"/>
            </w:pPr>
            <w:r w:rsidRPr="00835733">
              <w:t>HFC activities</w:t>
            </w:r>
          </w:p>
        </w:tc>
        <w:tc>
          <w:tcPr>
            <w:tcW w:w="1092" w:type="pct"/>
            <w:noWrap/>
          </w:tcPr>
          <w:p w14:paraId="4675AD1D" w14:textId="77777777" w:rsidR="004A7B24" w:rsidRPr="00C54D94" w:rsidRDefault="004A7B24" w:rsidP="002C65EC">
            <w:pPr>
              <w:pStyle w:val="Normal-pool-Table"/>
              <w:spacing w:before="20"/>
              <w:jc w:val="right"/>
              <w:rPr>
                <w:bCs/>
              </w:rPr>
            </w:pPr>
            <w:r w:rsidRPr="00C54D94">
              <w:rPr>
                <w:bCs/>
                <w:lang w:val="en-US"/>
              </w:rPr>
              <w:t>488–600</w:t>
            </w:r>
          </w:p>
        </w:tc>
        <w:tc>
          <w:tcPr>
            <w:tcW w:w="1092" w:type="pct"/>
            <w:noWrap/>
          </w:tcPr>
          <w:p w14:paraId="2B7F1EDB" w14:textId="77777777" w:rsidR="004A7B24" w:rsidRPr="00C54D94" w:rsidRDefault="004A7B24" w:rsidP="002C65EC">
            <w:pPr>
              <w:pStyle w:val="Normal-pool-Table"/>
              <w:spacing w:before="20"/>
              <w:jc w:val="right"/>
              <w:rPr>
                <w:bCs/>
              </w:rPr>
            </w:pPr>
            <w:r w:rsidRPr="00C54D94">
              <w:rPr>
                <w:bCs/>
              </w:rPr>
              <w:t>454–587</w:t>
            </w:r>
          </w:p>
        </w:tc>
      </w:tr>
      <w:tr w:rsidR="004A7B24" w:rsidRPr="00C54D94" w14:paraId="116FF08F" w14:textId="77777777" w:rsidTr="00F80A9A">
        <w:trPr>
          <w:trHeight w:val="65"/>
          <w:jc w:val="right"/>
        </w:trPr>
        <w:tc>
          <w:tcPr>
            <w:tcW w:w="2816" w:type="pct"/>
            <w:tcBorders>
              <w:bottom w:val="single" w:sz="4" w:space="0" w:color="auto"/>
            </w:tcBorders>
            <w:noWrap/>
          </w:tcPr>
          <w:p w14:paraId="241DE6D3" w14:textId="77777777" w:rsidR="004A7B24" w:rsidRPr="00835733" w:rsidRDefault="004A7B24" w:rsidP="002C65EC">
            <w:pPr>
              <w:pStyle w:val="Normal-pool-Table"/>
              <w:spacing w:before="20"/>
              <w:ind w:left="113"/>
            </w:pPr>
            <w:r w:rsidRPr="00563C23">
              <w:t xml:space="preserve">Institutional strengthening and standard activities </w:t>
            </w:r>
          </w:p>
        </w:tc>
        <w:tc>
          <w:tcPr>
            <w:tcW w:w="1092" w:type="pct"/>
            <w:tcBorders>
              <w:bottom w:val="single" w:sz="4" w:space="0" w:color="auto"/>
            </w:tcBorders>
            <w:noWrap/>
          </w:tcPr>
          <w:p w14:paraId="2A2CE932" w14:textId="77777777" w:rsidR="004A7B24" w:rsidRPr="00C54D94" w:rsidRDefault="004A7B24" w:rsidP="002C65EC">
            <w:pPr>
              <w:pStyle w:val="Normal-pool-Table"/>
              <w:spacing w:before="20"/>
              <w:jc w:val="right"/>
              <w:rPr>
                <w:bCs/>
                <w:lang w:val="en-US"/>
              </w:rPr>
            </w:pPr>
            <w:r w:rsidRPr="00C54D94">
              <w:rPr>
                <w:bCs/>
                <w:lang w:val="en-US"/>
              </w:rPr>
              <w:t>145</w:t>
            </w:r>
          </w:p>
        </w:tc>
        <w:tc>
          <w:tcPr>
            <w:tcW w:w="1092" w:type="pct"/>
            <w:tcBorders>
              <w:bottom w:val="single" w:sz="4" w:space="0" w:color="auto"/>
            </w:tcBorders>
            <w:noWrap/>
          </w:tcPr>
          <w:p w14:paraId="17FAF404" w14:textId="77777777" w:rsidR="004A7B24" w:rsidRPr="00C54D94" w:rsidRDefault="004A7B24" w:rsidP="002C65EC">
            <w:pPr>
              <w:pStyle w:val="Normal-pool-Table"/>
              <w:spacing w:before="20"/>
              <w:jc w:val="right"/>
              <w:rPr>
                <w:bCs/>
              </w:rPr>
            </w:pPr>
            <w:r w:rsidRPr="00C54D94">
              <w:rPr>
                <w:bCs/>
              </w:rPr>
              <w:t>145</w:t>
            </w:r>
          </w:p>
        </w:tc>
      </w:tr>
      <w:tr w:rsidR="004A7B24" w:rsidRPr="00C54D94" w14:paraId="2A438E3C" w14:textId="77777777" w:rsidTr="00F80A9A">
        <w:trPr>
          <w:trHeight w:val="65"/>
          <w:jc w:val="right"/>
        </w:trPr>
        <w:tc>
          <w:tcPr>
            <w:tcW w:w="2816" w:type="pct"/>
            <w:tcBorders>
              <w:top w:val="single" w:sz="4" w:space="0" w:color="auto"/>
              <w:bottom w:val="single" w:sz="12" w:space="0" w:color="auto"/>
            </w:tcBorders>
            <w:noWrap/>
          </w:tcPr>
          <w:p w14:paraId="0E6C4CC8" w14:textId="77777777" w:rsidR="004A7B24" w:rsidRPr="00835733" w:rsidRDefault="004A7B24" w:rsidP="002C65EC">
            <w:pPr>
              <w:pStyle w:val="Normal-pool-Table"/>
              <w:spacing w:before="20"/>
            </w:pPr>
            <w:r>
              <w:rPr>
                <w:b/>
              </w:rPr>
              <w:t>T</w:t>
            </w:r>
            <w:r w:rsidRPr="00563C23">
              <w:rPr>
                <w:b/>
              </w:rPr>
              <w:t>otal</w:t>
            </w:r>
          </w:p>
        </w:tc>
        <w:tc>
          <w:tcPr>
            <w:tcW w:w="1092" w:type="pct"/>
            <w:tcBorders>
              <w:top w:val="single" w:sz="4" w:space="0" w:color="auto"/>
              <w:bottom w:val="single" w:sz="12" w:space="0" w:color="auto"/>
            </w:tcBorders>
            <w:noWrap/>
          </w:tcPr>
          <w:p w14:paraId="6BCA5C49" w14:textId="77777777" w:rsidR="004A7B24" w:rsidRPr="00C54D94" w:rsidRDefault="004A7B24" w:rsidP="002C65EC">
            <w:pPr>
              <w:pStyle w:val="Normal-pool-Table"/>
              <w:spacing w:before="20"/>
              <w:jc w:val="right"/>
              <w:rPr>
                <w:b/>
                <w:bCs/>
                <w:lang w:val="en-US"/>
              </w:rPr>
            </w:pPr>
            <w:r w:rsidRPr="00C54D94">
              <w:rPr>
                <w:b/>
                <w:bCs/>
                <w:lang w:val="en-US"/>
              </w:rPr>
              <w:t>633–745</w:t>
            </w:r>
          </w:p>
        </w:tc>
        <w:tc>
          <w:tcPr>
            <w:tcW w:w="1092" w:type="pct"/>
            <w:tcBorders>
              <w:top w:val="single" w:sz="4" w:space="0" w:color="auto"/>
              <w:bottom w:val="single" w:sz="12" w:space="0" w:color="auto"/>
            </w:tcBorders>
            <w:noWrap/>
          </w:tcPr>
          <w:p w14:paraId="4D434F3C" w14:textId="187E7AA9" w:rsidR="004A7B24" w:rsidRPr="00C54D94" w:rsidRDefault="004A7B24" w:rsidP="002C65EC">
            <w:pPr>
              <w:pStyle w:val="Normal-pool-Table"/>
              <w:spacing w:before="20"/>
              <w:jc w:val="right"/>
              <w:rPr>
                <w:b/>
                <w:bCs/>
              </w:rPr>
            </w:pPr>
            <w:r w:rsidRPr="00C54D94">
              <w:rPr>
                <w:b/>
                <w:bCs/>
              </w:rPr>
              <w:t>5</w:t>
            </w:r>
            <w:r w:rsidR="002B3476">
              <w:rPr>
                <w:b/>
                <w:bCs/>
              </w:rPr>
              <w:t>99</w:t>
            </w:r>
            <w:r w:rsidRPr="00C54D94">
              <w:rPr>
                <w:b/>
                <w:bCs/>
              </w:rPr>
              <w:t>–732</w:t>
            </w:r>
          </w:p>
        </w:tc>
      </w:tr>
    </w:tbl>
    <w:p w14:paraId="7CB45AAD" w14:textId="77777777" w:rsidR="004A7B24" w:rsidRPr="00F80A9A" w:rsidRDefault="004A7B24" w:rsidP="00AE63D6">
      <w:pPr>
        <w:pStyle w:val="Normal-pool"/>
        <w:tabs>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ind w:left="1247"/>
        <w:rPr>
          <w:sz w:val="17"/>
          <w:szCs w:val="17"/>
        </w:rPr>
      </w:pPr>
      <w:r w:rsidRPr="00F80A9A">
        <w:rPr>
          <w:i/>
          <w:sz w:val="17"/>
          <w:szCs w:val="17"/>
        </w:rPr>
        <w:tab/>
        <w:t>Abbreviations</w:t>
      </w:r>
      <w:r w:rsidRPr="00F80A9A">
        <w:rPr>
          <w:sz w:val="17"/>
          <w:szCs w:val="17"/>
        </w:rPr>
        <w:t>: HCFC – hydrochlorofluorocarbon; HFC – hydrofluorocarbon.</w:t>
      </w:r>
    </w:p>
    <w:p w14:paraId="2E07989C" w14:textId="47346AA1" w:rsidR="004A7B24" w:rsidRPr="00F80A9A" w:rsidRDefault="004A7B24" w:rsidP="00F80A9A">
      <w:pPr>
        <w:tabs>
          <w:tab w:val="clear" w:pos="2381"/>
          <w:tab w:val="left" w:pos="624"/>
          <w:tab w:val="left" w:pos="1843"/>
        </w:tabs>
        <w:spacing w:before="60"/>
        <w:ind w:left="1247"/>
        <w:rPr>
          <w:sz w:val="17"/>
          <w:szCs w:val="17"/>
          <w:lang w:eastAsia="en-GB"/>
        </w:rPr>
      </w:pPr>
      <w:r w:rsidRPr="00F80A9A">
        <w:rPr>
          <w:sz w:val="17"/>
          <w:szCs w:val="17"/>
          <w:lang w:eastAsia="en-GB"/>
        </w:rPr>
        <w:tab/>
      </w:r>
      <w:r w:rsidRPr="0031268E">
        <w:rPr>
          <w:i/>
          <w:iCs/>
          <w:sz w:val="17"/>
          <w:szCs w:val="17"/>
          <w:vertAlign w:val="superscript"/>
          <w:lang w:eastAsia="en-GB"/>
        </w:rPr>
        <w:t>a</w:t>
      </w:r>
      <w:r w:rsidRPr="00F80A9A">
        <w:rPr>
          <w:sz w:val="17"/>
          <w:szCs w:val="17"/>
          <w:vertAlign w:val="superscript"/>
          <w:lang w:eastAsia="en-GB"/>
        </w:rPr>
        <w:t xml:space="preserve"> </w:t>
      </w:r>
      <w:r w:rsidRPr="00F80A9A">
        <w:rPr>
          <w:sz w:val="17"/>
          <w:szCs w:val="17"/>
          <w:lang w:eastAsia="en-GB"/>
        </w:rPr>
        <w:t xml:space="preserve">Including decisions taken by the Executive Committee at its ninety-seventh meeting </w:t>
      </w:r>
      <w:r w:rsidR="00CB532B">
        <w:rPr>
          <w:sz w:val="17"/>
          <w:szCs w:val="17"/>
          <w:lang w:eastAsia="en-GB"/>
        </w:rPr>
        <w:t xml:space="preserve">and </w:t>
      </w:r>
      <w:r w:rsidRPr="00F80A9A">
        <w:rPr>
          <w:sz w:val="17"/>
          <w:szCs w:val="17"/>
          <w:lang w:eastAsia="en-GB"/>
        </w:rPr>
        <w:t>information received by the task force as at 8 April 2026</w:t>
      </w:r>
      <w:r w:rsidR="00CB532B">
        <w:rPr>
          <w:sz w:val="17"/>
          <w:szCs w:val="17"/>
          <w:lang w:eastAsia="en-GB"/>
        </w:rPr>
        <w:t>,</w:t>
      </w:r>
      <w:r w:rsidRPr="00F80A9A">
        <w:rPr>
          <w:sz w:val="17"/>
          <w:szCs w:val="17"/>
          <w:lang w:eastAsia="en-GB"/>
        </w:rPr>
        <w:t xml:space="preserve"> and assuming ratification of the Kigali Amendment by all Article 5 parties.</w:t>
      </w:r>
    </w:p>
    <w:p w14:paraId="7A31B260" w14:textId="7D3F7362" w:rsidR="00CB532B" w:rsidRPr="003E137A" w:rsidRDefault="003E137A" w:rsidP="00B90362">
      <w:pPr>
        <w:pStyle w:val="Normal-pool"/>
        <w:tabs>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ind w:left="1247"/>
        <w:rPr>
          <w:sz w:val="17"/>
          <w:szCs w:val="17"/>
          <w:lang w:eastAsia="en-GB"/>
        </w:rPr>
      </w:pPr>
      <w:r>
        <w:rPr>
          <w:sz w:val="17"/>
          <w:szCs w:val="17"/>
          <w:lang w:eastAsia="en-GB"/>
        </w:rPr>
        <w:tab/>
      </w:r>
      <w:r w:rsidR="004A7B24" w:rsidRPr="003E137A">
        <w:rPr>
          <w:sz w:val="17"/>
          <w:szCs w:val="17"/>
          <w:lang w:eastAsia="en-GB"/>
        </w:rPr>
        <w:t xml:space="preserve"> </w:t>
      </w:r>
      <w:r w:rsidR="004A7B24" w:rsidRPr="0031268E">
        <w:rPr>
          <w:i/>
          <w:iCs/>
          <w:sz w:val="17"/>
          <w:szCs w:val="17"/>
          <w:vertAlign w:val="superscript"/>
          <w:lang w:eastAsia="en-GB"/>
        </w:rPr>
        <w:t>b</w:t>
      </w:r>
      <w:r w:rsidR="004A7B24" w:rsidRPr="003E137A">
        <w:rPr>
          <w:sz w:val="17"/>
          <w:szCs w:val="17"/>
          <w:vertAlign w:val="superscript"/>
          <w:lang w:eastAsia="en-GB"/>
        </w:rPr>
        <w:t xml:space="preserve"> </w:t>
      </w:r>
      <w:r w:rsidR="004A7B24" w:rsidRPr="003E137A">
        <w:rPr>
          <w:sz w:val="17"/>
          <w:szCs w:val="17"/>
          <w:lang w:eastAsia="en-GB"/>
        </w:rPr>
        <w:t xml:space="preserve">Including decisions taken by the Executive Committee at its ninety-eighth meeting </w:t>
      </w:r>
      <w:r w:rsidR="00CB532B">
        <w:rPr>
          <w:sz w:val="17"/>
          <w:szCs w:val="17"/>
          <w:lang w:eastAsia="en-GB"/>
        </w:rPr>
        <w:t xml:space="preserve">and </w:t>
      </w:r>
      <w:r w:rsidR="004A7B24" w:rsidRPr="003E137A">
        <w:rPr>
          <w:sz w:val="17"/>
          <w:szCs w:val="17"/>
          <w:lang w:eastAsia="en-GB"/>
        </w:rPr>
        <w:t>information received by the task force as at 15 August 2026</w:t>
      </w:r>
      <w:r w:rsidR="00CB532B">
        <w:rPr>
          <w:sz w:val="17"/>
          <w:szCs w:val="17"/>
          <w:lang w:eastAsia="en-GB"/>
        </w:rPr>
        <w:t>,</w:t>
      </w:r>
      <w:r w:rsidR="004A7B24" w:rsidRPr="003E137A">
        <w:rPr>
          <w:sz w:val="17"/>
          <w:szCs w:val="17"/>
          <w:lang w:eastAsia="en-GB"/>
        </w:rPr>
        <w:t xml:space="preserve"> and assuming ratification of the Kigali Amendment by all Article 5 parties.</w:t>
      </w:r>
    </w:p>
    <w:p w14:paraId="7A4B545A" w14:textId="278FCDDF" w:rsidR="004A7B24" w:rsidRPr="00857131" w:rsidRDefault="004A7B24" w:rsidP="003E137A">
      <w:pPr>
        <w:pStyle w:val="Normalnumber"/>
        <w:tabs>
          <w:tab w:val="clear" w:pos="1247"/>
          <w:tab w:val="clear" w:pos="1814"/>
          <w:tab w:val="clear" w:pos="2381"/>
          <w:tab w:val="clear" w:pos="2948"/>
          <w:tab w:val="clear" w:pos="3515"/>
          <w:tab w:val="left" w:pos="624"/>
        </w:tabs>
        <w:ind w:left="1247"/>
      </w:pPr>
      <w:r w:rsidRPr="00857131">
        <w:lastRenderedPageBreak/>
        <w:t xml:space="preserve">Having established the updated funding estimates for the </w:t>
      </w:r>
      <w:r w:rsidR="00384187">
        <w:t xml:space="preserve">triennium </w:t>
      </w:r>
      <w:r w:rsidRPr="00857131">
        <w:t>2027</w:t>
      </w:r>
      <w:r>
        <w:t>–</w:t>
      </w:r>
      <w:r w:rsidRPr="00857131">
        <w:t>2029, the task force used th</w:t>
      </w:r>
      <w:r w:rsidR="00CB532B">
        <w:t>o</w:t>
      </w:r>
      <w:r>
        <w:t>se estimates</w:t>
      </w:r>
      <w:r w:rsidRPr="00857131">
        <w:t xml:space="preserve"> as a basis for new scenarios</w:t>
      </w:r>
      <w:r w:rsidR="0093763E">
        <w:t>,</w:t>
      </w:r>
      <w:r w:rsidRPr="00857131">
        <w:t xml:space="preserve"> set out in chapter 3 of its supplementary report. The scenarios apply historical cost-effectiveness factors </w:t>
      </w:r>
      <w:r w:rsidRPr="00463DF8">
        <w:t xml:space="preserve">for </w:t>
      </w:r>
      <w:r w:rsidR="0010164F" w:rsidRPr="00463DF8">
        <w:t>HCFC phase-out management plan</w:t>
      </w:r>
      <w:r w:rsidRPr="00463DF8">
        <w:t xml:space="preserve">s and </w:t>
      </w:r>
      <w:r w:rsidR="0010164F" w:rsidRPr="00463DF8">
        <w:t>Kigali HFC implementation plan</w:t>
      </w:r>
      <w:r w:rsidRPr="00463DF8">
        <w:t>s, as</w:t>
      </w:r>
      <w:r w:rsidRPr="00857131">
        <w:t xml:space="preserve"> well as </w:t>
      </w:r>
      <w:r w:rsidR="005A192B">
        <w:t>party</w:t>
      </w:r>
      <w:r w:rsidR="005A192B">
        <w:noBreakHyphen/>
      </w:r>
      <w:r w:rsidR="00C6517F" w:rsidRPr="00857131">
        <w:t xml:space="preserve">specific </w:t>
      </w:r>
      <w:r w:rsidRPr="00857131">
        <w:t xml:space="preserve">cost-effectiveness factors and average funding levels over the past six years for </w:t>
      </w:r>
      <w:r w:rsidR="0010164F">
        <w:t>HCFC phase-out management plan</w:t>
      </w:r>
      <w:r w:rsidRPr="00857131">
        <w:t xml:space="preserve">s. For </w:t>
      </w:r>
      <w:r w:rsidR="0010164F">
        <w:t>Kigali HFC implementation plan</w:t>
      </w:r>
      <w:r w:rsidRPr="00857131">
        <w:t xml:space="preserve">s, the task force was unable to apply the latter approaches owing to </w:t>
      </w:r>
      <w:r w:rsidR="0093763E">
        <w:t>a</w:t>
      </w:r>
      <w:r w:rsidR="0093763E" w:rsidRPr="00857131">
        <w:t xml:space="preserve"> </w:t>
      </w:r>
      <w:r w:rsidRPr="00857131">
        <w:t xml:space="preserve">lack of sufficient information. Additional new scenarios for </w:t>
      </w:r>
      <w:r w:rsidR="0010164F">
        <w:t>Kigali HFC implementation plan</w:t>
      </w:r>
      <w:r w:rsidRPr="00857131">
        <w:t>s</w:t>
      </w:r>
      <w:r w:rsidR="0093763E">
        <w:t>,</w:t>
      </w:r>
      <w:r w:rsidRPr="00857131">
        <w:t xml:space="preserve"> </w:t>
      </w:r>
      <w:r w:rsidR="0093763E" w:rsidRPr="00857131">
        <w:t>based on different resource allocation schedules</w:t>
      </w:r>
      <w:r w:rsidR="0093763E">
        <w:t>,</w:t>
      </w:r>
      <w:r w:rsidR="0093763E" w:rsidRPr="00857131">
        <w:t xml:space="preserve"> </w:t>
      </w:r>
      <w:r w:rsidRPr="00857131">
        <w:t>are also presented in the report. The task force identifies the scenarios that involve significant changes to the methodology applied and notes that the resulting estimates are therefore not directly comparable with those presented in its May 2026 report.</w:t>
      </w:r>
    </w:p>
    <w:p w14:paraId="36EFF74F" w14:textId="1996CF11" w:rsidR="004A7B24" w:rsidRPr="00857131" w:rsidRDefault="004A7B24" w:rsidP="003E137A">
      <w:pPr>
        <w:pStyle w:val="Normalnumber"/>
        <w:tabs>
          <w:tab w:val="clear" w:pos="1247"/>
          <w:tab w:val="clear" w:pos="1814"/>
          <w:tab w:val="clear" w:pos="2381"/>
          <w:tab w:val="clear" w:pos="2948"/>
          <w:tab w:val="clear" w:pos="3515"/>
          <w:tab w:val="left" w:pos="624"/>
        </w:tabs>
        <w:ind w:left="1247"/>
      </w:pPr>
      <w:r w:rsidRPr="00857131">
        <w:t xml:space="preserve">For HCFCs, applying the new scenarios to the updated estimates reduces the lower end of the funding range from $437 million in the </w:t>
      </w:r>
      <w:r>
        <w:t>u</w:t>
      </w:r>
      <w:r w:rsidRPr="00857131">
        <w:t xml:space="preserve">pdated May report to $230 million under the scenario </w:t>
      </w:r>
      <w:r w:rsidR="00F743AA">
        <w:t>involving</w:t>
      </w:r>
      <w:r w:rsidR="00F743AA" w:rsidRPr="00857131">
        <w:t xml:space="preserve"> </w:t>
      </w:r>
      <w:r w:rsidRPr="00857131">
        <w:t xml:space="preserve">the largest reduction. The upper end remains unchanged at $564 million, </w:t>
      </w:r>
      <w:r w:rsidR="00CF39B0">
        <w:t>resulting in</w:t>
      </w:r>
      <w:r w:rsidR="00CF39B0" w:rsidRPr="00857131">
        <w:t xml:space="preserve"> </w:t>
      </w:r>
      <w:r w:rsidRPr="00857131">
        <w:t xml:space="preserve">an overall HCFC funding </w:t>
      </w:r>
      <w:r w:rsidRPr="009242FA">
        <w:t>range of $230</w:t>
      </w:r>
      <w:r w:rsidR="00CB532B" w:rsidRPr="009242FA">
        <w:t xml:space="preserve"> million</w:t>
      </w:r>
      <w:r w:rsidRPr="009242FA">
        <w:t>–</w:t>
      </w:r>
      <w:r w:rsidR="00CF39B0" w:rsidRPr="009242FA">
        <w:t>$</w:t>
      </w:r>
      <w:r w:rsidRPr="009242FA">
        <w:t>564 million</w:t>
      </w:r>
      <w:r w:rsidR="00452E11">
        <w:t xml:space="preserve"> for the </w:t>
      </w:r>
      <w:r w:rsidR="009F6567">
        <w:t xml:space="preserve">triennium </w:t>
      </w:r>
      <w:r w:rsidR="00452E11">
        <w:t>2027</w:t>
      </w:r>
      <w:r w:rsidR="00C2128E" w:rsidRPr="00C2128E">
        <w:t>–</w:t>
      </w:r>
      <w:r w:rsidR="00452E11">
        <w:t>2029</w:t>
      </w:r>
      <w:r w:rsidRPr="009242FA">
        <w:t>.</w:t>
      </w:r>
      <w:r w:rsidRPr="00857131">
        <w:t xml:space="preserve"> </w:t>
      </w:r>
    </w:p>
    <w:p w14:paraId="2F56FD54" w14:textId="66B6426B" w:rsidR="004A7B24" w:rsidRPr="00857131" w:rsidRDefault="004A7B24" w:rsidP="003E137A">
      <w:pPr>
        <w:pStyle w:val="Normalnumber"/>
        <w:tabs>
          <w:tab w:val="clear" w:pos="1247"/>
          <w:tab w:val="clear" w:pos="1814"/>
          <w:tab w:val="clear" w:pos="2381"/>
          <w:tab w:val="clear" w:pos="2948"/>
          <w:tab w:val="clear" w:pos="3515"/>
          <w:tab w:val="left" w:pos="624"/>
        </w:tabs>
        <w:ind w:left="1247"/>
      </w:pPr>
      <w:r w:rsidRPr="00857131">
        <w:t>For HFCs, the scenario applying historical cost-effectiveness factors reduces the lower end of the funding range from $</w:t>
      </w:r>
      <w:r w:rsidRPr="00AC2156">
        <w:t>66</w:t>
      </w:r>
      <w:r w:rsidR="00BB29C9" w:rsidRPr="00AC2156">
        <w:t>4</w:t>
      </w:r>
      <w:r w:rsidRPr="00857131">
        <w:t xml:space="preserve"> million in the </w:t>
      </w:r>
      <w:r>
        <w:t>u</w:t>
      </w:r>
      <w:r w:rsidRPr="00857131">
        <w:t>pdated May</w:t>
      </w:r>
      <w:r>
        <w:t xml:space="preserve"> report</w:t>
      </w:r>
      <w:r w:rsidRPr="00857131">
        <w:t xml:space="preserve"> to $625 million. </w:t>
      </w:r>
      <w:r w:rsidR="0038070E">
        <w:t>The upper end remains unchanged at $99</w:t>
      </w:r>
      <w:r w:rsidR="008A7E6C">
        <w:t>9</w:t>
      </w:r>
      <w:r w:rsidR="0038070E">
        <w:t xml:space="preserve"> million, and t</w:t>
      </w:r>
      <w:r w:rsidRPr="00857131">
        <w:t>he resulting HFC funding range is therefore $625</w:t>
      </w:r>
      <w:r w:rsidR="00CF39B0">
        <w:t xml:space="preserve"> </w:t>
      </w:r>
      <w:r w:rsidR="00CF39B0" w:rsidRPr="00815105">
        <w:t>million</w:t>
      </w:r>
      <w:r w:rsidRPr="00815105">
        <w:t>–</w:t>
      </w:r>
      <w:r w:rsidR="00CF39B0" w:rsidRPr="00815105">
        <w:t>$</w:t>
      </w:r>
      <w:r w:rsidRPr="00E74138">
        <w:t>99</w:t>
      </w:r>
      <w:r w:rsidR="008A7E6C" w:rsidRPr="00E74138">
        <w:t>9</w:t>
      </w:r>
      <w:r w:rsidRPr="00857131">
        <w:t xml:space="preserve"> million </w:t>
      </w:r>
      <w:r w:rsidR="00796330" w:rsidRPr="00796330">
        <w:t xml:space="preserve">for the </w:t>
      </w:r>
      <w:r w:rsidR="009C3C3B" w:rsidRPr="00796330">
        <w:t xml:space="preserve">triennium </w:t>
      </w:r>
      <w:r w:rsidR="00796330" w:rsidRPr="00796330">
        <w:t xml:space="preserve">2027–2029 </w:t>
      </w:r>
      <w:r w:rsidRPr="00857131">
        <w:t xml:space="preserve">under </w:t>
      </w:r>
      <w:r>
        <w:t xml:space="preserve">the </w:t>
      </w:r>
      <w:r w:rsidRPr="00857131">
        <w:t xml:space="preserve">scenario leading to the largest reduction. </w:t>
      </w:r>
    </w:p>
    <w:p w14:paraId="5D423571" w14:textId="48548E1A" w:rsidR="004A7B24" w:rsidRPr="007052F0" w:rsidRDefault="004A7B24" w:rsidP="003E137A">
      <w:pPr>
        <w:pStyle w:val="Normalnumber"/>
        <w:tabs>
          <w:tab w:val="clear" w:pos="1247"/>
          <w:tab w:val="clear" w:pos="1814"/>
          <w:tab w:val="clear" w:pos="2381"/>
          <w:tab w:val="clear" w:pos="2948"/>
          <w:tab w:val="clear" w:pos="3515"/>
          <w:tab w:val="left" w:pos="624"/>
        </w:tabs>
        <w:ind w:left="1247"/>
      </w:pPr>
      <w:r w:rsidRPr="00857131">
        <w:t xml:space="preserve">When the largest reductions from the </w:t>
      </w:r>
      <w:r w:rsidRPr="00815105">
        <w:t>new scenarios are combined, the overall replenishment range is reduced to $984 million–$1.6</w:t>
      </w:r>
      <w:r w:rsidRPr="00E74138">
        <w:t>92</w:t>
      </w:r>
      <w:r w:rsidRPr="00815105">
        <w:t xml:space="preserve"> b</w:t>
      </w:r>
      <w:r w:rsidRPr="00857131">
        <w:t>illion</w:t>
      </w:r>
      <w:r w:rsidR="002B6C81">
        <w:t xml:space="preserve">, compared </w:t>
      </w:r>
      <w:r w:rsidR="00A930F4">
        <w:t>with</w:t>
      </w:r>
      <w:r w:rsidR="009E74FD">
        <w:t xml:space="preserve"> the </w:t>
      </w:r>
      <w:r w:rsidR="005946FB">
        <w:t>updated May report estimate of $</w:t>
      </w:r>
      <w:r w:rsidR="003C32CD">
        <w:t>1.230</w:t>
      </w:r>
      <w:r w:rsidR="007C540A">
        <w:t xml:space="preserve"> billion</w:t>
      </w:r>
      <w:r w:rsidR="007C540A" w:rsidRPr="007C540A">
        <w:t>–$1.692 billion</w:t>
      </w:r>
      <w:r w:rsidRPr="00857131">
        <w:t>. An additional new scenario based on the most recently reported HFC consumption</w:t>
      </w:r>
      <w:r>
        <w:t xml:space="preserve"> data reduces the lower end of the range to $838 million. The task force cautions, </w:t>
      </w:r>
      <w:r w:rsidRPr="007052F0">
        <w:t xml:space="preserve">however, that this scenario incorporates methodological changes and the resulting lower estimate should be viewed as indicative of a lower funding trend rather than as directly comparable with the </w:t>
      </w:r>
      <w:r w:rsidR="00AB4B06">
        <w:t xml:space="preserve">updated </w:t>
      </w:r>
      <w:r w:rsidRPr="007052F0">
        <w:t>May estimate.</w:t>
      </w:r>
    </w:p>
    <w:p w14:paraId="50091547" w14:textId="77777777" w:rsidR="004A7B24" w:rsidRPr="007052F0" w:rsidRDefault="004A7B24" w:rsidP="004A7B24">
      <w:pPr>
        <w:pStyle w:val="Normalnumber"/>
        <w:tabs>
          <w:tab w:val="clear" w:pos="1247"/>
          <w:tab w:val="clear" w:pos="1814"/>
          <w:tab w:val="clear" w:pos="2381"/>
          <w:tab w:val="clear" w:pos="2948"/>
          <w:tab w:val="clear" w:pos="3515"/>
          <w:tab w:val="left" w:pos="624"/>
        </w:tabs>
        <w:ind w:left="1247"/>
      </w:pPr>
      <w:r w:rsidRPr="007052F0">
        <w:t>The updated ranges of the total funding requirement for the period 2027</w:t>
      </w:r>
      <w:r>
        <w:t>–</w:t>
      </w:r>
      <w:r w:rsidRPr="007052F0">
        <w:t>2029 based on the new scenarios are shown in table 2.</w:t>
      </w:r>
    </w:p>
    <w:p w14:paraId="28258446" w14:textId="01999FC6" w:rsidR="004A7B24" w:rsidRPr="000F0886" w:rsidRDefault="004A7B24" w:rsidP="003E137A">
      <w:pPr>
        <w:pStyle w:val="Titletable"/>
        <w:spacing w:before="240"/>
      </w:pPr>
      <w:r w:rsidRPr="003E137A">
        <w:rPr>
          <w:b w:val="0"/>
          <w:bCs w:val="0"/>
          <w:lang w:eastAsia="en-GB"/>
        </w:rPr>
        <w:t>Table 2</w:t>
      </w:r>
      <w:r w:rsidR="003E137A" w:rsidRPr="003E137A">
        <w:rPr>
          <w:b w:val="0"/>
          <w:bCs w:val="0"/>
          <w:lang w:eastAsia="en-GB"/>
        </w:rPr>
        <w:t xml:space="preserve"> </w:t>
      </w:r>
      <w:r w:rsidR="003E137A" w:rsidRPr="003E137A">
        <w:rPr>
          <w:b w:val="0"/>
          <w:bCs w:val="0"/>
          <w:lang w:eastAsia="en-GB"/>
        </w:rPr>
        <w:br/>
      </w:r>
      <w:r>
        <w:t>Updated ranges of</w:t>
      </w:r>
      <w:r w:rsidRPr="000F0886">
        <w:t xml:space="preserve"> total funding requirement for the replenishment of the Multilateral Fund for the </w:t>
      </w:r>
      <w:r>
        <w:t xml:space="preserve">period </w:t>
      </w:r>
      <w:r w:rsidRPr="000F0886">
        <w:t>202</w:t>
      </w:r>
      <w:r>
        <w:t>7</w:t>
      </w:r>
      <w:r w:rsidRPr="000F0886">
        <w:t>–202</w:t>
      </w:r>
      <w:r>
        <w:t>9 based on new scenarios</w:t>
      </w:r>
      <w:r w:rsidRPr="000F0886">
        <w:t xml:space="preserve"> </w:t>
      </w:r>
    </w:p>
    <w:p w14:paraId="42502BE0" w14:textId="77777777" w:rsidR="004A7B24" w:rsidRPr="003E137A" w:rsidRDefault="004A7B24" w:rsidP="003E137A">
      <w:pPr>
        <w:pStyle w:val="Titletable"/>
        <w:rPr>
          <w:b w:val="0"/>
          <w:bCs w:val="0"/>
          <w:lang w:eastAsia="en-GB"/>
        </w:rPr>
      </w:pPr>
      <w:r w:rsidRPr="003E137A">
        <w:rPr>
          <w:b w:val="0"/>
          <w:bCs w:val="0"/>
          <w:sz w:val="18"/>
        </w:rPr>
        <w:t>(Millions of United States dollars)</w:t>
      </w:r>
      <w:r w:rsidRPr="003E137A">
        <w:rPr>
          <w:b w:val="0"/>
          <w:bCs w:val="0"/>
          <w:lang w:eastAsia="en-GB"/>
        </w:rPr>
        <w:t xml:space="preserve"> </w:t>
      </w:r>
    </w:p>
    <w:tbl>
      <w:tblPr>
        <w:tblW w:w="8307" w:type="dxa"/>
        <w:jc w:val="right"/>
        <w:tblLayout w:type="fixed"/>
        <w:tblLook w:val="04A0" w:firstRow="1" w:lastRow="0" w:firstColumn="1" w:lastColumn="0" w:noHBand="0" w:noVBand="1"/>
      </w:tblPr>
      <w:tblGrid>
        <w:gridCol w:w="1842"/>
        <w:gridCol w:w="1135"/>
        <w:gridCol w:w="1135"/>
        <w:gridCol w:w="1985"/>
        <w:gridCol w:w="2210"/>
      </w:tblGrid>
      <w:tr w:rsidR="004A7B24" w:rsidRPr="00FC781B" w14:paraId="66989E49" w14:textId="77777777" w:rsidTr="00B26CC6">
        <w:trPr>
          <w:trHeight w:val="57"/>
          <w:jc w:val="right"/>
        </w:trPr>
        <w:tc>
          <w:tcPr>
            <w:tcW w:w="1109" w:type="pct"/>
            <w:vMerge w:val="restart"/>
            <w:tcBorders>
              <w:top w:val="single" w:sz="8" w:space="0" w:color="auto"/>
            </w:tcBorders>
            <w:noWrap/>
            <w:vAlign w:val="bottom"/>
          </w:tcPr>
          <w:p w14:paraId="18AFFDEE" w14:textId="77777777" w:rsidR="004A7B24" w:rsidRPr="00570921" w:rsidRDefault="004A7B24" w:rsidP="002C65EC">
            <w:pPr>
              <w:pStyle w:val="Normal-pool-Table"/>
              <w:rPr>
                <w:i/>
                <w:iCs/>
              </w:rPr>
            </w:pPr>
            <w:r w:rsidRPr="00570921">
              <w:rPr>
                <w:i/>
                <w:iCs/>
                <w:lang w:eastAsia="zh-CN"/>
              </w:rPr>
              <w:t xml:space="preserve">Triennium </w:t>
            </w:r>
            <w:r w:rsidRPr="00570921">
              <w:rPr>
                <w:i/>
                <w:iCs/>
              </w:rPr>
              <w:t>2027–2029</w:t>
            </w:r>
          </w:p>
        </w:tc>
        <w:tc>
          <w:tcPr>
            <w:tcW w:w="683" w:type="pct"/>
            <w:vMerge w:val="restart"/>
            <w:tcBorders>
              <w:top w:val="single" w:sz="8" w:space="0" w:color="auto"/>
            </w:tcBorders>
            <w:noWrap/>
            <w:vAlign w:val="bottom"/>
          </w:tcPr>
          <w:p w14:paraId="3C8456FD" w14:textId="10AC72D3" w:rsidR="004A7B24" w:rsidRPr="00AD47C9" w:rsidRDefault="004A7B24" w:rsidP="002C65EC">
            <w:pPr>
              <w:pStyle w:val="Normal-pool-Table"/>
              <w:ind w:left="-252"/>
              <w:jc w:val="right"/>
              <w:rPr>
                <w:bCs/>
                <w:i/>
                <w:iCs/>
              </w:rPr>
            </w:pPr>
            <w:r w:rsidRPr="00AD47C9">
              <w:rPr>
                <w:bCs/>
                <w:i/>
                <w:iCs/>
              </w:rPr>
              <w:t>May 2026 report</w:t>
            </w:r>
            <w:r w:rsidRPr="00EC5E1F">
              <w:rPr>
                <w:bCs/>
                <w:i/>
                <w:iCs/>
                <w:vertAlign w:val="superscript"/>
              </w:rPr>
              <w:t>a</w:t>
            </w:r>
          </w:p>
        </w:tc>
        <w:tc>
          <w:tcPr>
            <w:tcW w:w="683" w:type="pct"/>
            <w:vMerge w:val="restart"/>
            <w:tcBorders>
              <w:top w:val="single" w:sz="8" w:space="0" w:color="auto"/>
            </w:tcBorders>
            <w:noWrap/>
            <w:vAlign w:val="bottom"/>
          </w:tcPr>
          <w:p w14:paraId="677ECE15" w14:textId="6DEA6923" w:rsidR="004A7B24" w:rsidRPr="00AD47C9" w:rsidRDefault="004A7B24" w:rsidP="002C65EC">
            <w:pPr>
              <w:pStyle w:val="Normal-pool-Table"/>
              <w:jc w:val="right"/>
              <w:rPr>
                <w:bCs/>
                <w:i/>
                <w:iCs/>
              </w:rPr>
            </w:pPr>
            <w:r w:rsidRPr="00AD47C9">
              <w:rPr>
                <w:bCs/>
                <w:i/>
                <w:iCs/>
              </w:rPr>
              <w:t>Updated May</w:t>
            </w:r>
            <w:r w:rsidR="003E137A">
              <w:rPr>
                <w:bCs/>
                <w:i/>
                <w:iCs/>
              </w:rPr>
              <w:t xml:space="preserve"> </w:t>
            </w:r>
            <w:r>
              <w:rPr>
                <w:bCs/>
                <w:i/>
                <w:iCs/>
              </w:rPr>
              <w:t>r</w:t>
            </w:r>
            <w:r w:rsidRPr="00AD47C9">
              <w:rPr>
                <w:bCs/>
                <w:i/>
                <w:iCs/>
              </w:rPr>
              <w:t>eport</w:t>
            </w:r>
            <w:r w:rsidRPr="00690390">
              <w:rPr>
                <w:bCs/>
                <w:i/>
                <w:iCs/>
                <w:vertAlign w:val="superscript"/>
              </w:rPr>
              <w:t>b</w:t>
            </w:r>
          </w:p>
        </w:tc>
        <w:tc>
          <w:tcPr>
            <w:tcW w:w="2525" w:type="pct"/>
            <w:gridSpan w:val="2"/>
            <w:tcBorders>
              <w:top w:val="single" w:sz="8" w:space="0" w:color="auto"/>
              <w:bottom w:val="single" w:sz="4" w:space="0" w:color="auto"/>
            </w:tcBorders>
            <w:vAlign w:val="bottom"/>
          </w:tcPr>
          <w:p w14:paraId="06B4F145" w14:textId="77777777" w:rsidR="004A7B24" w:rsidRPr="00AD47C9" w:rsidRDefault="004A7B24" w:rsidP="002C65EC">
            <w:pPr>
              <w:pStyle w:val="Normal-pool-Table"/>
              <w:jc w:val="center"/>
              <w:rPr>
                <w:bCs/>
                <w:i/>
                <w:iCs/>
              </w:rPr>
            </w:pPr>
            <w:r>
              <w:rPr>
                <w:bCs/>
                <w:i/>
                <w:iCs/>
              </w:rPr>
              <w:t>Supplementary report estimates</w:t>
            </w:r>
          </w:p>
        </w:tc>
      </w:tr>
      <w:tr w:rsidR="004A7B24" w:rsidRPr="00FC781B" w14:paraId="4534822F" w14:textId="77777777" w:rsidTr="00B26CC6">
        <w:trPr>
          <w:trHeight w:val="57"/>
          <w:jc w:val="right"/>
        </w:trPr>
        <w:tc>
          <w:tcPr>
            <w:tcW w:w="1109" w:type="pct"/>
            <w:vMerge/>
            <w:tcBorders>
              <w:bottom w:val="single" w:sz="12" w:space="0" w:color="auto"/>
            </w:tcBorders>
            <w:noWrap/>
            <w:vAlign w:val="bottom"/>
          </w:tcPr>
          <w:p w14:paraId="07FD3588" w14:textId="77777777" w:rsidR="004A7B24" w:rsidRPr="00570921" w:rsidRDefault="004A7B24" w:rsidP="002C65EC">
            <w:pPr>
              <w:pStyle w:val="Normal-pool-Table"/>
              <w:rPr>
                <w:i/>
                <w:iCs/>
                <w:lang w:eastAsia="zh-CN"/>
              </w:rPr>
            </w:pPr>
          </w:p>
        </w:tc>
        <w:tc>
          <w:tcPr>
            <w:tcW w:w="683" w:type="pct"/>
            <w:vMerge/>
            <w:tcBorders>
              <w:bottom w:val="single" w:sz="12" w:space="0" w:color="auto"/>
            </w:tcBorders>
            <w:noWrap/>
            <w:vAlign w:val="bottom"/>
          </w:tcPr>
          <w:p w14:paraId="17FB622C" w14:textId="77777777" w:rsidR="004A7B24" w:rsidRPr="00AD47C9" w:rsidRDefault="004A7B24" w:rsidP="002C65EC">
            <w:pPr>
              <w:pStyle w:val="Normal-pool-Table"/>
              <w:ind w:left="-252"/>
              <w:jc w:val="right"/>
              <w:rPr>
                <w:bCs/>
                <w:i/>
                <w:iCs/>
              </w:rPr>
            </w:pPr>
          </w:p>
        </w:tc>
        <w:tc>
          <w:tcPr>
            <w:tcW w:w="683" w:type="pct"/>
            <w:vMerge/>
            <w:tcBorders>
              <w:bottom w:val="single" w:sz="12" w:space="0" w:color="auto"/>
            </w:tcBorders>
            <w:noWrap/>
            <w:vAlign w:val="bottom"/>
          </w:tcPr>
          <w:p w14:paraId="21F1FB91" w14:textId="77777777" w:rsidR="004A7B24" w:rsidRPr="00AD47C9" w:rsidRDefault="004A7B24" w:rsidP="002C65EC">
            <w:pPr>
              <w:pStyle w:val="Normal-pool-Table"/>
              <w:jc w:val="right"/>
              <w:rPr>
                <w:bCs/>
                <w:i/>
                <w:iCs/>
              </w:rPr>
            </w:pPr>
          </w:p>
        </w:tc>
        <w:tc>
          <w:tcPr>
            <w:tcW w:w="1195" w:type="pct"/>
            <w:tcBorders>
              <w:top w:val="single" w:sz="4" w:space="0" w:color="auto"/>
              <w:bottom w:val="single" w:sz="12" w:space="0" w:color="auto"/>
            </w:tcBorders>
            <w:vAlign w:val="bottom"/>
          </w:tcPr>
          <w:p w14:paraId="69C5F116" w14:textId="77777777" w:rsidR="007654D2" w:rsidRDefault="004A7B24" w:rsidP="002C65EC">
            <w:pPr>
              <w:pStyle w:val="Normal-pool-Table"/>
              <w:jc w:val="right"/>
              <w:rPr>
                <w:bCs/>
                <w:i/>
                <w:iCs/>
              </w:rPr>
            </w:pPr>
            <w:r>
              <w:rPr>
                <w:bCs/>
                <w:i/>
                <w:iCs/>
              </w:rPr>
              <w:t>New scenario</w:t>
            </w:r>
            <w:r w:rsidR="003E137A">
              <w:rPr>
                <w:bCs/>
                <w:i/>
                <w:iCs/>
              </w:rPr>
              <w:t xml:space="preserve"> </w:t>
            </w:r>
          </w:p>
          <w:p w14:paraId="705D52B8" w14:textId="51E9A554" w:rsidR="004A7B24" w:rsidRDefault="004A7B24" w:rsidP="002C65EC">
            <w:pPr>
              <w:pStyle w:val="Normal-pool-Table"/>
              <w:jc w:val="right"/>
              <w:rPr>
                <w:bCs/>
                <w:i/>
                <w:iCs/>
              </w:rPr>
            </w:pPr>
            <w:r>
              <w:rPr>
                <w:bCs/>
                <w:i/>
                <w:iCs/>
              </w:rPr>
              <w:t>(applying highest</w:t>
            </w:r>
            <w:r w:rsidR="003E137A">
              <w:rPr>
                <w:bCs/>
                <w:i/>
                <w:iCs/>
              </w:rPr>
              <w:t xml:space="preserve"> </w:t>
            </w:r>
            <w:r>
              <w:rPr>
                <w:bCs/>
                <w:i/>
                <w:iCs/>
              </w:rPr>
              <w:t>reduction to low</w:t>
            </w:r>
            <w:r w:rsidR="00CB532B">
              <w:rPr>
                <w:bCs/>
                <w:i/>
                <w:iCs/>
              </w:rPr>
              <w:t xml:space="preserve"> </w:t>
            </w:r>
            <w:r>
              <w:rPr>
                <w:bCs/>
                <w:i/>
                <w:iCs/>
              </w:rPr>
              <w:t>end)</w:t>
            </w:r>
            <w:r w:rsidRPr="00D64107">
              <w:rPr>
                <w:bCs/>
                <w:i/>
                <w:iCs/>
                <w:vertAlign w:val="superscript"/>
              </w:rPr>
              <w:t>c</w:t>
            </w:r>
          </w:p>
        </w:tc>
        <w:tc>
          <w:tcPr>
            <w:tcW w:w="1330" w:type="pct"/>
            <w:tcBorders>
              <w:top w:val="single" w:sz="4" w:space="0" w:color="auto"/>
              <w:bottom w:val="single" w:sz="12" w:space="0" w:color="auto"/>
            </w:tcBorders>
            <w:vAlign w:val="bottom"/>
          </w:tcPr>
          <w:p w14:paraId="1A1F7E14" w14:textId="72F43866" w:rsidR="004A7B24" w:rsidRDefault="004A7B24" w:rsidP="002C65EC">
            <w:pPr>
              <w:pStyle w:val="Normal-pool-Table"/>
              <w:ind w:left="-112"/>
              <w:jc w:val="right"/>
              <w:rPr>
                <w:bCs/>
                <w:i/>
                <w:iCs/>
              </w:rPr>
            </w:pPr>
            <w:r>
              <w:rPr>
                <w:bCs/>
                <w:i/>
                <w:iCs/>
              </w:rPr>
              <w:t>Additional new scenario</w:t>
            </w:r>
            <w:r w:rsidR="003E137A">
              <w:rPr>
                <w:bCs/>
                <w:i/>
                <w:iCs/>
              </w:rPr>
              <w:t xml:space="preserve"> </w:t>
            </w:r>
            <w:r>
              <w:rPr>
                <w:bCs/>
                <w:i/>
                <w:iCs/>
              </w:rPr>
              <w:t>(applying most recently</w:t>
            </w:r>
            <w:r w:rsidR="003E137A">
              <w:rPr>
                <w:bCs/>
                <w:i/>
                <w:iCs/>
              </w:rPr>
              <w:t xml:space="preserve"> </w:t>
            </w:r>
            <w:r>
              <w:rPr>
                <w:bCs/>
                <w:i/>
                <w:iCs/>
              </w:rPr>
              <w:t>reported HFC consumption)</w:t>
            </w:r>
          </w:p>
        </w:tc>
      </w:tr>
      <w:tr w:rsidR="004A7B24" w:rsidRPr="00BE1B16" w14:paraId="23869A0C" w14:textId="77777777" w:rsidTr="00B26CC6">
        <w:trPr>
          <w:trHeight w:val="57"/>
          <w:jc w:val="right"/>
        </w:trPr>
        <w:tc>
          <w:tcPr>
            <w:tcW w:w="1109" w:type="pct"/>
            <w:noWrap/>
            <w:vAlign w:val="center"/>
          </w:tcPr>
          <w:p w14:paraId="0A731267" w14:textId="77777777" w:rsidR="004A7B24" w:rsidRPr="00FC781B" w:rsidRDefault="004A7B24" w:rsidP="002C65EC">
            <w:pPr>
              <w:pStyle w:val="Normal-pool-Table"/>
              <w:ind w:left="113"/>
            </w:pPr>
            <w:r w:rsidRPr="00FC781B">
              <w:t>HCFC activities</w:t>
            </w:r>
          </w:p>
        </w:tc>
        <w:tc>
          <w:tcPr>
            <w:tcW w:w="683" w:type="pct"/>
            <w:noWrap/>
            <w:vAlign w:val="center"/>
          </w:tcPr>
          <w:p w14:paraId="7B95BE46" w14:textId="77777777" w:rsidR="004A7B24" w:rsidRPr="00BE1B16" w:rsidRDefault="004A7B24" w:rsidP="002C65EC">
            <w:pPr>
              <w:pStyle w:val="Normal-pool-Table"/>
              <w:ind w:left="-252"/>
              <w:jc w:val="right"/>
              <w:rPr>
                <w:bCs/>
              </w:rPr>
            </w:pPr>
            <w:r>
              <w:rPr>
                <w:bCs/>
              </w:rPr>
              <w:t>451</w:t>
            </w:r>
            <w:r w:rsidRPr="000F2601">
              <w:rPr>
                <w:bCs/>
              </w:rPr>
              <w:t>–</w:t>
            </w:r>
            <w:r>
              <w:rPr>
                <w:bCs/>
              </w:rPr>
              <w:t>573</w:t>
            </w:r>
          </w:p>
        </w:tc>
        <w:tc>
          <w:tcPr>
            <w:tcW w:w="683" w:type="pct"/>
            <w:noWrap/>
            <w:vAlign w:val="center"/>
          </w:tcPr>
          <w:p w14:paraId="3AB180DC" w14:textId="77777777" w:rsidR="004A7B24" w:rsidRPr="00BE1B16" w:rsidRDefault="004A7B24" w:rsidP="002C65EC">
            <w:pPr>
              <w:pStyle w:val="Normal-pool-Table"/>
              <w:ind w:left="9"/>
              <w:jc w:val="right"/>
              <w:rPr>
                <w:bCs/>
              </w:rPr>
            </w:pPr>
            <w:r w:rsidRPr="000F2601">
              <w:rPr>
                <w:bCs/>
              </w:rPr>
              <w:t>4</w:t>
            </w:r>
            <w:r>
              <w:rPr>
                <w:bCs/>
              </w:rPr>
              <w:t>37</w:t>
            </w:r>
            <w:r w:rsidRPr="000F2601">
              <w:rPr>
                <w:bCs/>
              </w:rPr>
              <w:t>–5</w:t>
            </w:r>
            <w:r>
              <w:rPr>
                <w:bCs/>
              </w:rPr>
              <w:t>64</w:t>
            </w:r>
          </w:p>
        </w:tc>
        <w:tc>
          <w:tcPr>
            <w:tcW w:w="1195" w:type="pct"/>
            <w:vAlign w:val="center"/>
          </w:tcPr>
          <w:p w14:paraId="46A95475" w14:textId="77777777" w:rsidR="004A7B24" w:rsidRPr="00815105" w:rsidRDefault="004A7B24" w:rsidP="002C65EC">
            <w:pPr>
              <w:pStyle w:val="Normal-pool-Table"/>
              <w:ind w:left="9"/>
              <w:jc w:val="right"/>
              <w:rPr>
                <w:bCs/>
              </w:rPr>
            </w:pPr>
            <w:r w:rsidRPr="00815105">
              <w:rPr>
                <w:bCs/>
              </w:rPr>
              <w:t>230–564</w:t>
            </w:r>
          </w:p>
        </w:tc>
        <w:tc>
          <w:tcPr>
            <w:tcW w:w="1330" w:type="pct"/>
            <w:vAlign w:val="center"/>
          </w:tcPr>
          <w:p w14:paraId="6919F2DB" w14:textId="77777777" w:rsidR="004A7B24" w:rsidRPr="00815105" w:rsidRDefault="004A7B24" w:rsidP="002C65EC">
            <w:pPr>
              <w:pStyle w:val="Normal-pool-Table"/>
              <w:ind w:left="9"/>
              <w:jc w:val="right"/>
              <w:rPr>
                <w:bCs/>
              </w:rPr>
            </w:pPr>
            <w:r w:rsidRPr="00815105">
              <w:rPr>
                <w:bCs/>
              </w:rPr>
              <w:t>230–564</w:t>
            </w:r>
          </w:p>
        </w:tc>
      </w:tr>
      <w:tr w:rsidR="004A7B24" w:rsidRPr="00BE1B16" w14:paraId="35AB58FD" w14:textId="77777777" w:rsidTr="00B26CC6">
        <w:trPr>
          <w:trHeight w:val="57"/>
          <w:jc w:val="right"/>
        </w:trPr>
        <w:tc>
          <w:tcPr>
            <w:tcW w:w="1109" w:type="pct"/>
            <w:noWrap/>
            <w:vAlign w:val="center"/>
          </w:tcPr>
          <w:p w14:paraId="7DD073B4" w14:textId="77777777" w:rsidR="004A7B24" w:rsidRPr="00835733" w:rsidRDefault="004A7B24" w:rsidP="002C65EC">
            <w:pPr>
              <w:pStyle w:val="Normal-pool-Table"/>
              <w:ind w:left="113"/>
            </w:pPr>
            <w:r w:rsidRPr="00835733">
              <w:t>HFC activities</w:t>
            </w:r>
          </w:p>
        </w:tc>
        <w:tc>
          <w:tcPr>
            <w:tcW w:w="683" w:type="pct"/>
            <w:noWrap/>
            <w:vAlign w:val="center"/>
          </w:tcPr>
          <w:p w14:paraId="40F3CD2E" w14:textId="77777777" w:rsidR="004A7B24" w:rsidRPr="00815105" w:rsidRDefault="004A7B24" w:rsidP="002C65EC">
            <w:pPr>
              <w:pStyle w:val="Normal-pool-Table"/>
              <w:ind w:left="-252"/>
              <w:jc w:val="right"/>
              <w:rPr>
                <w:bCs/>
              </w:rPr>
            </w:pPr>
            <w:r w:rsidRPr="00815105">
              <w:rPr>
                <w:bCs/>
                <w:lang w:val="en-US"/>
              </w:rPr>
              <w:t>702–1 053</w:t>
            </w:r>
          </w:p>
        </w:tc>
        <w:tc>
          <w:tcPr>
            <w:tcW w:w="683" w:type="pct"/>
            <w:noWrap/>
            <w:vAlign w:val="center"/>
          </w:tcPr>
          <w:p w14:paraId="6413433D" w14:textId="254705B5" w:rsidR="004A7B24" w:rsidRPr="00815105" w:rsidRDefault="004A7B24" w:rsidP="002C65EC">
            <w:pPr>
              <w:pStyle w:val="Normal-pool-Table"/>
              <w:ind w:left="9"/>
              <w:jc w:val="right"/>
              <w:rPr>
                <w:bCs/>
              </w:rPr>
            </w:pPr>
            <w:r w:rsidRPr="00815105">
              <w:rPr>
                <w:bCs/>
                <w:lang w:val="en-US"/>
              </w:rPr>
              <w:t>66</w:t>
            </w:r>
            <w:r w:rsidR="0010676D" w:rsidRPr="00815105">
              <w:rPr>
                <w:bCs/>
                <w:lang w:val="en-US"/>
              </w:rPr>
              <w:t>4</w:t>
            </w:r>
            <w:r w:rsidRPr="00815105">
              <w:rPr>
                <w:bCs/>
                <w:lang w:val="en-US"/>
              </w:rPr>
              <w:t>–99</w:t>
            </w:r>
            <w:r w:rsidR="0010676D" w:rsidRPr="00815105">
              <w:rPr>
                <w:bCs/>
                <w:lang w:val="en-US"/>
              </w:rPr>
              <w:t>9</w:t>
            </w:r>
          </w:p>
        </w:tc>
        <w:tc>
          <w:tcPr>
            <w:tcW w:w="1195" w:type="pct"/>
            <w:vAlign w:val="center"/>
          </w:tcPr>
          <w:p w14:paraId="520759B8" w14:textId="30B2A428" w:rsidR="004A7B24" w:rsidRPr="00815105" w:rsidRDefault="004A7B24" w:rsidP="002C65EC">
            <w:pPr>
              <w:pStyle w:val="Normal-pool-Table"/>
              <w:ind w:left="9"/>
              <w:jc w:val="right"/>
              <w:rPr>
                <w:bCs/>
              </w:rPr>
            </w:pPr>
            <w:r w:rsidRPr="00815105">
              <w:rPr>
                <w:bCs/>
              </w:rPr>
              <w:t>625–99</w:t>
            </w:r>
            <w:r w:rsidR="00A8475E" w:rsidRPr="00815105">
              <w:rPr>
                <w:bCs/>
              </w:rPr>
              <w:t>9</w:t>
            </w:r>
          </w:p>
        </w:tc>
        <w:tc>
          <w:tcPr>
            <w:tcW w:w="1330" w:type="pct"/>
            <w:vAlign w:val="center"/>
          </w:tcPr>
          <w:p w14:paraId="7F09CA85" w14:textId="50505D3C" w:rsidR="004A7B24" w:rsidRPr="00815105" w:rsidRDefault="004A7B24" w:rsidP="002C65EC">
            <w:pPr>
              <w:pStyle w:val="Normal-pool-Table"/>
              <w:ind w:left="9"/>
              <w:jc w:val="right"/>
              <w:rPr>
                <w:bCs/>
              </w:rPr>
            </w:pPr>
            <w:r w:rsidRPr="00815105">
              <w:rPr>
                <w:bCs/>
              </w:rPr>
              <w:t>479</w:t>
            </w:r>
            <w:r w:rsidRPr="00815105">
              <w:rPr>
                <w:bCs/>
                <w:i/>
                <w:iCs/>
                <w:vertAlign w:val="superscript"/>
              </w:rPr>
              <w:t>d</w:t>
            </w:r>
            <w:r w:rsidRPr="00815105">
              <w:rPr>
                <w:bCs/>
              </w:rPr>
              <w:t>–99</w:t>
            </w:r>
            <w:r w:rsidR="00A8475E" w:rsidRPr="00815105">
              <w:rPr>
                <w:bCs/>
              </w:rPr>
              <w:t>9</w:t>
            </w:r>
          </w:p>
        </w:tc>
      </w:tr>
      <w:tr w:rsidR="004A7B24" w:rsidRPr="00BE1B16" w14:paraId="504227A0" w14:textId="77777777" w:rsidTr="00B26CC6">
        <w:trPr>
          <w:trHeight w:val="57"/>
          <w:jc w:val="right"/>
        </w:trPr>
        <w:tc>
          <w:tcPr>
            <w:tcW w:w="1109" w:type="pct"/>
            <w:tcBorders>
              <w:bottom w:val="single" w:sz="4" w:space="0" w:color="auto"/>
            </w:tcBorders>
            <w:noWrap/>
            <w:vAlign w:val="center"/>
          </w:tcPr>
          <w:p w14:paraId="4D18B3F2" w14:textId="2B2C3C81" w:rsidR="004A7B24" w:rsidRPr="00563C23" w:rsidRDefault="004A7B24" w:rsidP="002C65EC">
            <w:pPr>
              <w:pStyle w:val="Normal-pool-Table"/>
              <w:ind w:left="113"/>
              <w:rPr>
                <w:b/>
              </w:rPr>
            </w:pPr>
            <w:r w:rsidRPr="00563C23">
              <w:t xml:space="preserve">Institutional strengthening and standard activities </w:t>
            </w:r>
          </w:p>
        </w:tc>
        <w:tc>
          <w:tcPr>
            <w:tcW w:w="683" w:type="pct"/>
            <w:tcBorders>
              <w:bottom w:val="single" w:sz="4" w:space="0" w:color="auto"/>
            </w:tcBorders>
            <w:noWrap/>
            <w:vAlign w:val="center"/>
          </w:tcPr>
          <w:p w14:paraId="47BC1D1C" w14:textId="77777777" w:rsidR="004A7B24" w:rsidRPr="00815105" w:rsidRDefault="004A7B24" w:rsidP="002C65EC">
            <w:pPr>
              <w:pStyle w:val="Normal-pool-Table"/>
              <w:ind w:left="-252"/>
              <w:jc w:val="right"/>
              <w:rPr>
                <w:bCs/>
                <w:lang w:val="en-US"/>
              </w:rPr>
            </w:pPr>
            <w:r w:rsidRPr="00815105">
              <w:rPr>
                <w:bCs/>
                <w:lang w:val="en-US"/>
              </w:rPr>
              <w:t>129</w:t>
            </w:r>
          </w:p>
        </w:tc>
        <w:tc>
          <w:tcPr>
            <w:tcW w:w="683" w:type="pct"/>
            <w:tcBorders>
              <w:bottom w:val="single" w:sz="4" w:space="0" w:color="auto"/>
            </w:tcBorders>
            <w:noWrap/>
            <w:vAlign w:val="center"/>
          </w:tcPr>
          <w:p w14:paraId="16B59EFB" w14:textId="77777777" w:rsidR="004A7B24" w:rsidRPr="00815105" w:rsidRDefault="004A7B24" w:rsidP="002C65EC">
            <w:pPr>
              <w:pStyle w:val="Normal-pool-Table"/>
              <w:ind w:left="9"/>
              <w:jc w:val="right"/>
              <w:rPr>
                <w:bCs/>
                <w:lang w:val="en-US"/>
              </w:rPr>
            </w:pPr>
            <w:r w:rsidRPr="00815105">
              <w:rPr>
                <w:bCs/>
                <w:lang w:val="en-US"/>
              </w:rPr>
              <w:t>129</w:t>
            </w:r>
          </w:p>
        </w:tc>
        <w:tc>
          <w:tcPr>
            <w:tcW w:w="1195" w:type="pct"/>
            <w:tcBorders>
              <w:bottom w:val="single" w:sz="4" w:space="0" w:color="auto"/>
            </w:tcBorders>
            <w:vAlign w:val="center"/>
          </w:tcPr>
          <w:p w14:paraId="50A0B490" w14:textId="77777777" w:rsidR="004A7B24" w:rsidRPr="00815105" w:rsidRDefault="004A7B24" w:rsidP="002C65EC">
            <w:pPr>
              <w:pStyle w:val="Normal-pool-Table"/>
              <w:ind w:left="9"/>
              <w:jc w:val="right"/>
              <w:rPr>
                <w:bCs/>
                <w:lang w:val="en-US"/>
              </w:rPr>
            </w:pPr>
            <w:r w:rsidRPr="00815105">
              <w:rPr>
                <w:bCs/>
                <w:lang w:val="en-US"/>
              </w:rPr>
              <w:t>129</w:t>
            </w:r>
          </w:p>
        </w:tc>
        <w:tc>
          <w:tcPr>
            <w:tcW w:w="1330" w:type="pct"/>
            <w:tcBorders>
              <w:bottom w:val="single" w:sz="4" w:space="0" w:color="auto"/>
            </w:tcBorders>
            <w:vAlign w:val="center"/>
          </w:tcPr>
          <w:p w14:paraId="403BC6B0" w14:textId="77777777" w:rsidR="004A7B24" w:rsidRPr="00815105" w:rsidRDefault="004A7B24" w:rsidP="002C65EC">
            <w:pPr>
              <w:pStyle w:val="Normal-pool-Table"/>
              <w:ind w:left="9"/>
              <w:jc w:val="right"/>
              <w:rPr>
                <w:bCs/>
                <w:lang w:val="en-US"/>
              </w:rPr>
            </w:pPr>
            <w:r w:rsidRPr="00815105">
              <w:rPr>
                <w:bCs/>
                <w:lang w:val="en-US"/>
              </w:rPr>
              <w:t>129</w:t>
            </w:r>
          </w:p>
        </w:tc>
      </w:tr>
      <w:tr w:rsidR="003E137A" w:rsidRPr="00BE1B16" w14:paraId="1D5D2B18" w14:textId="77777777" w:rsidTr="00B26CC6">
        <w:trPr>
          <w:trHeight w:val="57"/>
          <w:jc w:val="right"/>
        </w:trPr>
        <w:tc>
          <w:tcPr>
            <w:tcW w:w="1109" w:type="pct"/>
            <w:tcBorders>
              <w:top w:val="single" w:sz="4" w:space="0" w:color="auto"/>
              <w:bottom w:val="single" w:sz="12" w:space="0" w:color="auto"/>
            </w:tcBorders>
            <w:noWrap/>
            <w:vAlign w:val="center"/>
          </w:tcPr>
          <w:p w14:paraId="70EF828E" w14:textId="6A7CBDE2" w:rsidR="003E137A" w:rsidRPr="00563C23" w:rsidRDefault="003E137A" w:rsidP="002C65EC">
            <w:pPr>
              <w:pStyle w:val="Normal-pool-Table"/>
              <w:ind w:left="113"/>
            </w:pPr>
            <w:r>
              <w:rPr>
                <w:b/>
              </w:rPr>
              <w:t>T</w:t>
            </w:r>
            <w:r w:rsidRPr="00563C23">
              <w:rPr>
                <w:b/>
              </w:rPr>
              <w:t>otal</w:t>
            </w:r>
          </w:p>
        </w:tc>
        <w:tc>
          <w:tcPr>
            <w:tcW w:w="683" w:type="pct"/>
            <w:tcBorders>
              <w:top w:val="single" w:sz="4" w:space="0" w:color="auto"/>
              <w:bottom w:val="single" w:sz="12" w:space="0" w:color="auto"/>
            </w:tcBorders>
            <w:noWrap/>
            <w:vAlign w:val="center"/>
          </w:tcPr>
          <w:p w14:paraId="2F706EC2" w14:textId="7A5B74A5" w:rsidR="003E137A" w:rsidRPr="00815105" w:rsidRDefault="003E137A" w:rsidP="002C65EC">
            <w:pPr>
              <w:pStyle w:val="Normal-pool-Table"/>
              <w:ind w:left="-252"/>
              <w:jc w:val="right"/>
              <w:rPr>
                <w:bCs/>
                <w:lang w:val="en-US"/>
              </w:rPr>
            </w:pPr>
            <w:r w:rsidRPr="00815105">
              <w:rPr>
                <w:b/>
                <w:bCs/>
                <w:lang w:val="en-US"/>
              </w:rPr>
              <w:t>1 282–1 755</w:t>
            </w:r>
          </w:p>
        </w:tc>
        <w:tc>
          <w:tcPr>
            <w:tcW w:w="683" w:type="pct"/>
            <w:tcBorders>
              <w:top w:val="single" w:sz="4" w:space="0" w:color="auto"/>
              <w:bottom w:val="single" w:sz="12" w:space="0" w:color="auto"/>
            </w:tcBorders>
            <w:noWrap/>
            <w:vAlign w:val="center"/>
          </w:tcPr>
          <w:p w14:paraId="0755D4FB" w14:textId="146B4127" w:rsidR="003E137A" w:rsidRPr="00815105" w:rsidRDefault="003E137A" w:rsidP="002C65EC">
            <w:pPr>
              <w:pStyle w:val="Normal-pool-Table"/>
              <w:ind w:left="9"/>
              <w:jc w:val="right"/>
              <w:rPr>
                <w:bCs/>
                <w:lang w:val="en-US"/>
              </w:rPr>
            </w:pPr>
            <w:r w:rsidRPr="00815105">
              <w:rPr>
                <w:b/>
                <w:bCs/>
                <w:lang w:val="en-US"/>
              </w:rPr>
              <w:t>1 230–1 692</w:t>
            </w:r>
          </w:p>
        </w:tc>
        <w:tc>
          <w:tcPr>
            <w:tcW w:w="1195" w:type="pct"/>
            <w:tcBorders>
              <w:top w:val="single" w:sz="4" w:space="0" w:color="auto"/>
              <w:bottom w:val="single" w:sz="12" w:space="0" w:color="auto"/>
            </w:tcBorders>
            <w:vAlign w:val="center"/>
          </w:tcPr>
          <w:p w14:paraId="02D8661F" w14:textId="132BCB00" w:rsidR="003E137A" w:rsidRPr="00815105" w:rsidRDefault="003E137A" w:rsidP="002C65EC">
            <w:pPr>
              <w:pStyle w:val="Normal-pool-Table"/>
              <w:ind w:left="9"/>
              <w:jc w:val="right"/>
              <w:rPr>
                <w:bCs/>
                <w:lang w:val="en-US"/>
              </w:rPr>
            </w:pPr>
            <w:r w:rsidRPr="00815105">
              <w:rPr>
                <w:b/>
                <w:bCs/>
                <w:lang w:val="en-US"/>
              </w:rPr>
              <w:t>984–1 692</w:t>
            </w:r>
          </w:p>
        </w:tc>
        <w:tc>
          <w:tcPr>
            <w:tcW w:w="1330" w:type="pct"/>
            <w:tcBorders>
              <w:top w:val="single" w:sz="4" w:space="0" w:color="auto"/>
              <w:bottom w:val="single" w:sz="12" w:space="0" w:color="auto"/>
            </w:tcBorders>
            <w:vAlign w:val="center"/>
          </w:tcPr>
          <w:p w14:paraId="42D26AEF" w14:textId="79DE70E0" w:rsidR="003E137A" w:rsidRPr="00815105" w:rsidRDefault="003E137A" w:rsidP="002C65EC">
            <w:pPr>
              <w:pStyle w:val="Normal-pool-Table"/>
              <w:ind w:left="9"/>
              <w:jc w:val="right"/>
              <w:rPr>
                <w:bCs/>
                <w:lang w:val="en-US"/>
              </w:rPr>
            </w:pPr>
            <w:r w:rsidRPr="00815105">
              <w:rPr>
                <w:b/>
                <w:bCs/>
                <w:lang w:val="en-US"/>
              </w:rPr>
              <w:t>838–1 692</w:t>
            </w:r>
          </w:p>
        </w:tc>
      </w:tr>
    </w:tbl>
    <w:p w14:paraId="443C8C06" w14:textId="77777777" w:rsidR="00463DF8" w:rsidRPr="00F80A9A" w:rsidRDefault="00463DF8" w:rsidP="00463DF8">
      <w:pPr>
        <w:pStyle w:val="Normal-pool"/>
        <w:tabs>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ind w:left="1247"/>
        <w:rPr>
          <w:sz w:val="17"/>
          <w:szCs w:val="17"/>
        </w:rPr>
      </w:pPr>
      <w:r w:rsidRPr="00F80A9A">
        <w:rPr>
          <w:i/>
          <w:sz w:val="17"/>
          <w:szCs w:val="17"/>
        </w:rPr>
        <w:tab/>
        <w:t>Abbreviations</w:t>
      </w:r>
      <w:r w:rsidRPr="00F80A9A">
        <w:rPr>
          <w:sz w:val="17"/>
          <w:szCs w:val="17"/>
        </w:rPr>
        <w:t>: HCFC – hydrochlorofluorocarbon; HFC – hydrofluorocarbon.</w:t>
      </w:r>
    </w:p>
    <w:p w14:paraId="0AD41A60" w14:textId="7E3CB689" w:rsidR="004A7B24" w:rsidRPr="003E137A" w:rsidRDefault="003E137A" w:rsidP="001A065E">
      <w:pPr>
        <w:pStyle w:val="Normal-pool"/>
        <w:tabs>
          <w:tab w:val="clear" w:pos="1247"/>
          <w:tab w:val="clear" w:pos="1871"/>
          <w:tab w:val="clear" w:pos="2495"/>
          <w:tab w:val="clear" w:pos="3119"/>
          <w:tab w:val="clear" w:pos="3742"/>
          <w:tab w:val="clear" w:pos="4366"/>
          <w:tab w:val="clear" w:pos="4990"/>
        </w:tabs>
        <w:spacing w:before="60" w:after="40"/>
        <w:ind w:left="1247"/>
        <w:rPr>
          <w:sz w:val="17"/>
          <w:szCs w:val="17"/>
        </w:rPr>
      </w:pPr>
      <w:r w:rsidRPr="003E137A">
        <w:rPr>
          <w:sz w:val="17"/>
          <w:szCs w:val="17"/>
          <w:vertAlign w:val="superscript"/>
        </w:rPr>
        <w:tab/>
      </w:r>
      <w:r w:rsidRPr="003E137A">
        <w:rPr>
          <w:sz w:val="17"/>
          <w:szCs w:val="17"/>
          <w:vertAlign w:val="superscript"/>
        </w:rPr>
        <w:tab/>
      </w:r>
      <w:r w:rsidR="004A7B24" w:rsidRPr="00584D74">
        <w:rPr>
          <w:i/>
          <w:iCs/>
          <w:sz w:val="17"/>
          <w:szCs w:val="17"/>
          <w:vertAlign w:val="superscript"/>
        </w:rPr>
        <w:t>a</w:t>
      </w:r>
      <w:r w:rsidR="004A7B24" w:rsidRPr="003E137A">
        <w:rPr>
          <w:sz w:val="17"/>
          <w:szCs w:val="17"/>
        </w:rPr>
        <w:t xml:space="preserve"> Not including project management unit costs.</w:t>
      </w:r>
    </w:p>
    <w:p w14:paraId="06047FE3" w14:textId="5144AF0C" w:rsidR="004A7B24" w:rsidRPr="003E137A" w:rsidRDefault="003E137A" w:rsidP="001A065E">
      <w:pPr>
        <w:pStyle w:val="Normal-pool"/>
        <w:tabs>
          <w:tab w:val="clear" w:pos="1247"/>
          <w:tab w:val="clear" w:pos="1871"/>
          <w:tab w:val="clear" w:pos="2495"/>
          <w:tab w:val="clear" w:pos="3119"/>
          <w:tab w:val="clear" w:pos="3742"/>
          <w:tab w:val="clear" w:pos="4366"/>
          <w:tab w:val="clear" w:pos="4990"/>
        </w:tabs>
        <w:spacing w:before="60"/>
        <w:ind w:left="1247"/>
        <w:rPr>
          <w:sz w:val="17"/>
          <w:szCs w:val="17"/>
        </w:rPr>
      </w:pPr>
      <w:r w:rsidRPr="003E137A">
        <w:rPr>
          <w:sz w:val="17"/>
          <w:szCs w:val="17"/>
          <w:vertAlign w:val="superscript"/>
        </w:rPr>
        <w:tab/>
      </w:r>
      <w:r w:rsidRPr="003E137A">
        <w:rPr>
          <w:sz w:val="17"/>
          <w:szCs w:val="17"/>
          <w:vertAlign w:val="superscript"/>
        </w:rPr>
        <w:tab/>
      </w:r>
      <w:r w:rsidR="004A7B24" w:rsidRPr="00584D74">
        <w:rPr>
          <w:i/>
          <w:iCs/>
          <w:sz w:val="17"/>
          <w:szCs w:val="17"/>
          <w:vertAlign w:val="superscript"/>
        </w:rPr>
        <w:t>b</w:t>
      </w:r>
      <w:r w:rsidR="004A7B24" w:rsidRPr="003E137A">
        <w:rPr>
          <w:sz w:val="17"/>
          <w:szCs w:val="17"/>
        </w:rPr>
        <w:t xml:space="preserve"> Including project management unit costs. </w:t>
      </w:r>
    </w:p>
    <w:p w14:paraId="7443ACF3" w14:textId="6E4D0197" w:rsidR="003E137A" w:rsidRPr="003E137A" w:rsidRDefault="003E137A" w:rsidP="001A065E">
      <w:pPr>
        <w:pStyle w:val="Normal-pool"/>
        <w:tabs>
          <w:tab w:val="clear" w:pos="1247"/>
          <w:tab w:val="clear" w:pos="1871"/>
          <w:tab w:val="clear" w:pos="2495"/>
          <w:tab w:val="clear" w:pos="3119"/>
          <w:tab w:val="clear" w:pos="3742"/>
          <w:tab w:val="clear" w:pos="4366"/>
          <w:tab w:val="clear" w:pos="4990"/>
        </w:tabs>
        <w:spacing w:before="60"/>
        <w:ind w:left="1247"/>
        <w:rPr>
          <w:sz w:val="17"/>
          <w:szCs w:val="17"/>
        </w:rPr>
      </w:pPr>
      <w:r w:rsidRPr="003E137A">
        <w:rPr>
          <w:sz w:val="17"/>
          <w:szCs w:val="17"/>
          <w:vertAlign w:val="superscript"/>
        </w:rPr>
        <w:tab/>
      </w:r>
      <w:r w:rsidRPr="003E137A">
        <w:rPr>
          <w:sz w:val="17"/>
          <w:szCs w:val="17"/>
          <w:vertAlign w:val="superscript"/>
        </w:rPr>
        <w:tab/>
      </w:r>
      <w:r w:rsidR="004A7B24" w:rsidRPr="00584D74">
        <w:rPr>
          <w:i/>
          <w:iCs/>
          <w:sz w:val="17"/>
          <w:szCs w:val="17"/>
          <w:vertAlign w:val="superscript"/>
        </w:rPr>
        <w:t>c</w:t>
      </w:r>
      <w:r w:rsidR="004A7B24" w:rsidRPr="003E137A">
        <w:rPr>
          <w:sz w:val="17"/>
          <w:szCs w:val="17"/>
        </w:rPr>
        <w:t xml:space="preserve"> Reflecting the largest reduction in the lower end of the funding range among the new scenarios.</w:t>
      </w:r>
    </w:p>
    <w:p w14:paraId="5D409161" w14:textId="02839BCB" w:rsidR="00463DF8" w:rsidRPr="003E137A" w:rsidRDefault="003E137A" w:rsidP="001A065E">
      <w:pPr>
        <w:pStyle w:val="Normal-pool"/>
        <w:tabs>
          <w:tab w:val="clear" w:pos="1247"/>
          <w:tab w:val="clear" w:pos="1871"/>
          <w:tab w:val="clear" w:pos="2495"/>
          <w:tab w:val="clear" w:pos="3119"/>
          <w:tab w:val="clear" w:pos="3742"/>
          <w:tab w:val="clear" w:pos="4366"/>
          <w:tab w:val="clear" w:pos="4990"/>
        </w:tabs>
        <w:spacing w:before="60"/>
        <w:ind w:left="1247"/>
        <w:rPr>
          <w:sz w:val="17"/>
          <w:szCs w:val="17"/>
        </w:rPr>
      </w:pPr>
      <w:r w:rsidRPr="003E137A">
        <w:rPr>
          <w:sz w:val="17"/>
          <w:szCs w:val="17"/>
        </w:rPr>
        <w:tab/>
      </w:r>
      <w:r w:rsidRPr="003E137A">
        <w:rPr>
          <w:sz w:val="17"/>
          <w:szCs w:val="17"/>
        </w:rPr>
        <w:tab/>
      </w:r>
      <w:r w:rsidR="004A7B24" w:rsidRPr="00584D74">
        <w:rPr>
          <w:i/>
          <w:iCs/>
          <w:sz w:val="17"/>
          <w:szCs w:val="17"/>
          <w:vertAlign w:val="superscript"/>
        </w:rPr>
        <w:t>d</w:t>
      </w:r>
      <w:r w:rsidR="004A7B24" w:rsidRPr="003E137A">
        <w:rPr>
          <w:sz w:val="17"/>
          <w:szCs w:val="17"/>
        </w:rPr>
        <w:t xml:space="preserve"> Low-end estimate based on a different calculation methodology than the one used to derive all other estimates in the table. </w:t>
      </w:r>
    </w:p>
    <w:p w14:paraId="2448CE73" w14:textId="74BA4FF3" w:rsidR="004A7B24" w:rsidRDefault="004A7B24" w:rsidP="003E137A">
      <w:pPr>
        <w:pStyle w:val="Normalnumber"/>
        <w:tabs>
          <w:tab w:val="clear" w:pos="1247"/>
          <w:tab w:val="clear" w:pos="1814"/>
          <w:tab w:val="clear" w:pos="2381"/>
          <w:tab w:val="clear" w:pos="2948"/>
          <w:tab w:val="clear" w:pos="3515"/>
          <w:tab w:val="left" w:pos="624"/>
        </w:tabs>
        <w:spacing w:before="240"/>
        <w:ind w:left="1247"/>
      </w:pPr>
      <w:r>
        <w:t xml:space="preserve">In response to the parties’ additional suggestions, the task force also provides, </w:t>
      </w:r>
      <w:r w:rsidRPr="00400AE1">
        <w:t xml:space="preserve">in chapters 4 and 5 </w:t>
      </w:r>
      <w:r>
        <w:t xml:space="preserve">of its </w:t>
      </w:r>
      <w:r w:rsidRPr="00400AE1">
        <w:t>supplementary report</w:t>
      </w:r>
      <w:r>
        <w:t xml:space="preserve">, funding estimates for </w:t>
      </w:r>
      <w:r w:rsidRPr="00400AE1">
        <w:t>a high-end scenario for low-volume</w:t>
      </w:r>
      <w:r w:rsidR="00200005">
        <w:t>-consuming</w:t>
      </w:r>
      <w:r w:rsidRPr="00400AE1">
        <w:t xml:space="preserve"> and very</w:t>
      </w:r>
      <w:r w:rsidR="006C518E">
        <w:t>-</w:t>
      </w:r>
      <w:r w:rsidRPr="00400AE1">
        <w:t>low-volume</w:t>
      </w:r>
      <w:r w:rsidR="00200005">
        <w:t>-consuming</w:t>
      </w:r>
      <w:r w:rsidRPr="00400AE1">
        <w:t xml:space="preserve"> countries, and a high-end scenario for potential additional funding for life-cycle refrigerant management, respectively</w:t>
      </w:r>
      <w:r>
        <w:t>. Th</w:t>
      </w:r>
      <w:r w:rsidR="00BD6792">
        <w:t>o</w:t>
      </w:r>
      <w:r>
        <w:t>se estimates are provided solely for the consideration of the parties and are not included in the total estimates in table 2.</w:t>
      </w:r>
    </w:p>
    <w:p w14:paraId="55B8BFE5" w14:textId="305E34EF" w:rsidR="004A7B24" w:rsidRDefault="004A7B24" w:rsidP="004A7B24">
      <w:pPr>
        <w:pStyle w:val="Normalnumber"/>
        <w:tabs>
          <w:tab w:val="clear" w:pos="1247"/>
          <w:tab w:val="clear" w:pos="1814"/>
          <w:tab w:val="clear" w:pos="2381"/>
          <w:tab w:val="clear" w:pos="2948"/>
          <w:tab w:val="clear" w:pos="3515"/>
          <w:tab w:val="left" w:pos="624"/>
        </w:tabs>
        <w:ind w:left="1247"/>
      </w:pPr>
      <w:r>
        <w:t>In particular, f</w:t>
      </w:r>
      <w:r w:rsidRPr="00013D54">
        <w:t xml:space="preserve">or </w:t>
      </w:r>
      <w:r w:rsidRPr="00CA3FE7">
        <w:t>low-volume</w:t>
      </w:r>
      <w:r w:rsidR="00A225F8">
        <w:t>-consuming</w:t>
      </w:r>
      <w:r w:rsidRPr="00CA3FE7">
        <w:t xml:space="preserve"> and </w:t>
      </w:r>
      <w:r w:rsidRPr="00A225F8">
        <w:t>very</w:t>
      </w:r>
      <w:r w:rsidR="00A225F8" w:rsidRPr="00CC7A54">
        <w:t>-</w:t>
      </w:r>
      <w:r w:rsidRPr="00A225F8">
        <w:t>low-volume</w:t>
      </w:r>
      <w:r w:rsidR="00A225F8">
        <w:t>-consuming</w:t>
      </w:r>
      <w:r w:rsidRPr="00CA3FE7">
        <w:t xml:space="preserve"> countries</w:t>
      </w:r>
      <w:r w:rsidRPr="00013D54">
        <w:t xml:space="preserve">, the </w:t>
      </w:r>
      <w:r>
        <w:t>task force</w:t>
      </w:r>
      <w:r w:rsidRPr="00013D54">
        <w:t xml:space="preserve"> </w:t>
      </w:r>
      <w:r>
        <w:t>develop</w:t>
      </w:r>
      <w:r w:rsidR="00BD6792">
        <w:t>ed</w:t>
      </w:r>
      <w:r w:rsidRPr="00013D54">
        <w:t xml:space="preserve"> a </w:t>
      </w:r>
      <w:r w:rsidR="00D21D96">
        <w:t>high</w:t>
      </w:r>
      <w:r w:rsidR="00D21D96">
        <w:noBreakHyphen/>
      </w:r>
      <w:r w:rsidRPr="00013D54">
        <w:t>end resource</w:t>
      </w:r>
      <w:r w:rsidR="00BD6792">
        <w:t xml:space="preserve"> </w:t>
      </w:r>
      <w:r w:rsidRPr="00013D54">
        <w:t xml:space="preserve">allocation scenario for </w:t>
      </w:r>
      <w:r w:rsidR="00BF7243">
        <w:t xml:space="preserve">a </w:t>
      </w:r>
      <w:r w:rsidR="00036022">
        <w:t xml:space="preserve">possible increase </w:t>
      </w:r>
      <w:r w:rsidR="005F24C1">
        <w:t xml:space="preserve">in funding estimates for </w:t>
      </w:r>
      <w:r w:rsidR="00BD6792">
        <w:t>s</w:t>
      </w:r>
      <w:r w:rsidRPr="00013D54">
        <w:t xml:space="preserve">tage II </w:t>
      </w:r>
      <w:r w:rsidR="0010164F" w:rsidRPr="00CC7A54">
        <w:t>Kigali HFC implementation plan</w:t>
      </w:r>
      <w:r w:rsidRPr="00A225F8">
        <w:t>s</w:t>
      </w:r>
      <w:r>
        <w:t xml:space="preserve"> and a new schedule for the distribution of funds across </w:t>
      </w:r>
      <w:r>
        <w:lastRenderedPageBreak/>
        <w:t>the three trienniums. This schedule is more front-loaded than schedules A and B presented in the May 2026 report,</w:t>
      </w:r>
      <w:r w:rsidRPr="00C6517F">
        <w:rPr>
          <w:vertAlign w:val="superscript"/>
        </w:rPr>
        <w:footnoteReference w:id="4"/>
      </w:r>
      <w:r>
        <w:t xml:space="preserve"> allocating 6</w:t>
      </w:r>
      <w:r w:rsidRPr="0040299D">
        <w:t xml:space="preserve">0 per cent of funding </w:t>
      </w:r>
      <w:r w:rsidR="00BD6792">
        <w:t>to</w:t>
      </w:r>
      <w:r w:rsidR="00BD6792" w:rsidRPr="0040299D">
        <w:t xml:space="preserve"> </w:t>
      </w:r>
      <w:r w:rsidR="00BD6792">
        <w:t xml:space="preserve">the </w:t>
      </w:r>
      <w:r w:rsidR="00384187">
        <w:t>triennium</w:t>
      </w:r>
      <w:r w:rsidR="00384187" w:rsidRPr="0040299D">
        <w:t xml:space="preserve"> </w:t>
      </w:r>
      <w:r w:rsidR="00BD6792" w:rsidRPr="0040299D">
        <w:t xml:space="preserve">2027–2029 </w:t>
      </w:r>
      <w:r w:rsidRPr="0040299D">
        <w:t xml:space="preserve">for </w:t>
      </w:r>
      <w:r w:rsidR="00A225F8">
        <w:t>s</w:t>
      </w:r>
      <w:r w:rsidRPr="0040299D">
        <w:t xml:space="preserve">tage II </w:t>
      </w:r>
      <w:r w:rsidR="0010164F">
        <w:t>Kigali HFC implementation plan</w:t>
      </w:r>
      <w:r w:rsidRPr="0040299D">
        <w:t xml:space="preserve">s for parties without </w:t>
      </w:r>
      <w:r w:rsidR="00A225F8">
        <w:t xml:space="preserve">such </w:t>
      </w:r>
      <w:r w:rsidR="0010164F">
        <w:t>plan</w:t>
      </w:r>
      <w:r w:rsidRPr="0040299D">
        <w:t xml:space="preserve">s and 90 per cent for parties with </w:t>
      </w:r>
      <w:r w:rsidR="00A225F8">
        <w:t>such</w:t>
      </w:r>
      <w:r w:rsidR="0010164F">
        <w:t xml:space="preserve"> plan</w:t>
      </w:r>
      <w:r w:rsidRPr="0040299D">
        <w:t>s</w:t>
      </w:r>
      <w:r w:rsidRPr="00013D54">
        <w:t xml:space="preserve">. </w:t>
      </w:r>
      <w:r>
        <w:t>On th</w:t>
      </w:r>
      <w:r w:rsidR="006C518E">
        <w:t>at</w:t>
      </w:r>
      <w:r>
        <w:t xml:space="preserve"> basis, the estimated f</w:t>
      </w:r>
      <w:r w:rsidRPr="001C0D9E">
        <w:t xml:space="preserve">unding </w:t>
      </w:r>
      <w:r>
        <w:t xml:space="preserve">requirement for </w:t>
      </w:r>
      <w:r w:rsidR="006C518E">
        <w:t xml:space="preserve">the </w:t>
      </w:r>
      <w:r>
        <w:t xml:space="preserve">triennium </w:t>
      </w:r>
      <w:r w:rsidR="00384187">
        <w:t xml:space="preserve">2027–2029 </w:t>
      </w:r>
      <w:r>
        <w:t xml:space="preserve">therefore </w:t>
      </w:r>
      <w:r w:rsidRPr="001C0D9E">
        <w:t>amount</w:t>
      </w:r>
      <w:r>
        <w:t>s</w:t>
      </w:r>
      <w:r w:rsidRPr="001C0D9E">
        <w:t xml:space="preserve"> to $28.55 million, compared with $16.36 million under </w:t>
      </w:r>
      <w:r w:rsidR="00A225F8">
        <w:t>s</w:t>
      </w:r>
      <w:r w:rsidRPr="001C0D9E">
        <w:t xml:space="preserve">chedule A and $4.78 million under </w:t>
      </w:r>
      <w:r w:rsidR="00A225F8">
        <w:t>s</w:t>
      </w:r>
      <w:r w:rsidRPr="001C0D9E">
        <w:t>chedule B</w:t>
      </w:r>
      <w:r w:rsidR="0092406D">
        <w:t xml:space="preserve"> </w:t>
      </w:r>
      <w:r w:rsidR="00985D82">
        <w:t>in</w:t>
      </w:r>
      <w:r w:rsidR="0092406D">
        <w:t xml:space="preserve"> the May 2026 </w:t>
      </w:r>
      <w:r w:rsidR="0072379D">
        <w:t>report</w:t>
      </w:r>
      <w:r w:rsidRPr="00013D54">
        <w:t xml:space="preserve">. </w:t>
      </w:r>
    </w:p>
    <w:p w14:paraId="3377CE7B" w14:textId="6C053305" w:rsidR="004A7B24" w:rsidRDefault="004A7B24" w:rsidP="004A7B24">
      <w:pPr>
        <w:pStyle w:val="Normalnumber"/>
        <w:tabs>
          <w:tab w:val="clear" w:pos="1247"/>
          <w:tab w:val="clear" w:pos="1814"/>
          <w:tab w:val="clear" w:pos="2381"/>
          <w:tab w:val="clear" w:pos="2948"/>
          <w:tab w:val="clear" w:pos="3515"/>
          <w:tab w:val="left" w:pos="624"/>
        </w:tabs>
        <w:ind w:left="1247"/>
      </w:pPr>
      <w:r>
        <w:t xml:space="preserve">Addressing the capacity of </w:t>
      </w:r>
      <w:r w:rsidR="00C16115">
        <w:t xml:space="preserve">those </w:t>
      </w:r>
      <w:r>
        <w:t xml:space="preserve">countries </w:t>
      </w:r>
      <w:r w:rsidRPr="00707F5B">
        <w:t xml:space="preserve">to absorb increased funding, </w:t>
      </w:r>
      <w:r>
        <w:t>the task force</w:t>
      </w:r>
      <w:r w:rsidRPr="00013D54">
        <w:t xml:space="preserve"> </w:t>
      </w:r>
      <w:r>
        <w:t xml:space="preserve">notes </w:t>
      </w:r>
      <w:r w:rsidRPr="00013D54">
        <w:t>that</w:t>
      </w:r>
      <w:r>
        <w:t xml:space="preserve"> they </w:t>
      </w:r>
      <w:r w:rsidRPr="00013D54">
        <w:t xml:space="preserve">have generally demonstrated </w:t>
      </w:r>
      <w:r>
        <w:t>the ability to do so</w:t>
      </w:r>
      <w:r w:rsidRPr="00013D54">
        <w:t xml:space="preserve">, </w:t>
      </w:r>
      <w:r>
        <w:t xml:space="preserve">while recognizing that the capacity to implement funded activities </w:t>
      </w:r>
      <w:r w:rsidRPr="00013D54">
        <w:t>varies</w:t>
      </w:r>
      <w:r>
        <w:t xml:space="preserve"> </w:t>
      </w:r>
      <w:r w:rsidR="00F97B5B">
        <w:t xml:space="preserve">among </w:t>
      </w:r>
      <w:r w:rsidRPr="00013D54">
        <w:t xml:space="preserve">countries. </w:t>
      </w:r>
    </w:p>
    <w:p w14:paraId="24A316E7" w14:textId="5E241E32" w:rsidR="004A7B24" w:rsidRDefault="004A7B24" w:rsidP="004A7B24">
      <w:pPr>
        <w:pStyle w:val="Normalnumber"/>
        <w:tabs>
          <w:tab w:val="clear" w:pos="1247"/>
          <w:tab w:val="clear" w:pos="1814"/>
          <w:tab w:val="clear" w:pos="2381"/>
          <w:tab w:val="clear" w:pos="2948"/>
          <w:tab w:val="clear" w:pos="3515"/>
          <w:tab w:val="left" w:pos="624"/>
        </w:tabs>
        <w:ind w:left="1247"/>
      </w:pPr>
      <w:r w:rsidRPr="00464395">
        <w:t xml:space="preserve">For </w:t>
      </w:r>
      <w:r w:rsidRPr="00835B87">
        <w:t>life-cycle refrigerant management</w:t>
      </w:r>
      <w:r w:rsidRPr="00013D54">
        <w:t xml:space="preserve">, the report proposes a modular supplementary funding window to </w:t>
      </w:r>
      <w:r>
        <w:t>support</w:t>
      </w:r>
      <w:r w:rsidRPr="00013D54">
        <w:t xml:space="preserve"> activities not fully covered by </w:t>
      </w:r>
      <w:r w:rsidR="0010164F">
        <w:t>HCFC phase-out management plan</w:t>
      </w:r>
      <w:r w:rsidRPr="00013D54">
        <w:t xml:space="preserve">s and </w:t>
      </w:r>
      <w:r w:rsidR="0010164F">
        <w:t>Kigali HFC implementation plan</w:t>
      </w:r>
      <w:r w:rsidRPr="00013D54">
        <w:t xml:space="preserve">s, </w:t>
      </w:r>
      <w:r>
        <w:t xml:space="preserve">with a </w:t>
      </w:r>
      <w:r w:rsidRPr="00013D54">
        <w:t>particular</w:t>
      </w:r>
      <w:r>
        <w:t xml:space="preserve"> focus on </w:t>
      </w:r>
      <w:r w:rsidRPr="00013D54">
        <w:t xml:space="preserve">the transition from basic recovery arrangements to </w:t>
      </w:r>
      <w:r>
        <w:t>expanded</w:t>
      </w:r>
      <w:r w:rsidRPr="00013D54">
        <w:t xml:space="preserve"> recovery</w:t>
      </w:r>
      <w:r>
        <w:t xml:space="preserve">, </w:t>
      </w:r>
      <w:r w:rsidRPr="00013D54">
        <w:t>collection, recycling, reclamation and preparation for destruction. An illustrative high-end estimate for th</w:t>
      </w:r>
      <w:r w:rsidR="00351F81">
        <w:t>o</w:t>
      </w:r>
      <w:r w:rsidRPr="00013D54">
        <w:t xml:space="preserve">se additional activities is </w:t>
      </w:r>
      <w:r w:rsidRPr="00876F86">
        <w:t>$52.55 million</w:t>
      </w:r>
      <w:r w:rsidR="00C36BCA">
        <w:t>,</w:t>
      </w:r>
      <w:r w:rsidRPr="00013D54">
        <w:t xml:space="preserve"> </w:t>
      </w:r>
      <w:r w:rsidR="00C36BCA">
        <w:t>which</w:t>
      </w:r>
      <w:r w:rsidR="00C36BCA" w:rsidRPr="00013D54">
        <w:t xml:space="preserve"> </w:t>
      </w:r>
      <w:r w:rsidRPr="00013D54">
        <w:t xml:space="preserve">is presented as a reasonable level of implementation support rather than a forecast of actual expenditure. </w:t>
      </w:r>
    </w:p>
    <w:p w14:paraId="18827183" w14:textId="21195237" w:rsidR="004A7B24" w:rsidRPr="00013D54" w:rsidRDefault="00C06136" w:rsidP="004A7B24">
      <w:pPr>
        <w:pStyle w:val="Normalnumber"/>
        <w:tabs>
          <w:tab w:val="clear" w:pos="1247"/>
          <w:tab w:val="clear" w:pos="1814"/>
          <w:tab w:val="clear" w:pos="2381"/>
          <w:tab w:val="clear" w:pos="2948"/>
          <w:tab w:val="clear" w:pos="3515"/>
          <w:tab w:val="left" w:pos="624"/>
        </w:tabs>
        <w:ind w:left="1247"/>
      </w:pPr>
      <w:r>
        <w:t>In their discussions under item</w:t>
      </w:r>
      <w:r w:rsidR="004E21FB">
        <w:t xml:space="preserve"> 4 (a)</w:t>
      </w:r>
      <w:r>
        <w:t>, t</w:t>
      </w:r>
      <w:r w:rsidR="004A7B24">
        <w:t>he parties may wish to consider the information set out in the initial and supplementary reports of the replenishment task force</w:t>
      </w:r>
      <w:r>
        <w:t>.</w:t>
      </w:r>
    </w:p>
    <w:p w14:paraId="3626F084" w14:textId="77777777" w:rsidR="004A7B24" w:rsidRDefault="004A7B24" w:rsidP="004A7B24">
      <w:pPr>
        <w:pStyle w:val="ListParagraph"/>
        <w:ind w:left="1248"/>
        <w:rPr>
          <w:lang w:eastAsia="en-GB"/>
        </w:rPr>
      </w:pPr>
    </w:p>
    <w:p w14:paraId="0EE5CCB3" w14:textId="77777777" w:rsidR="004A7B24" w:rsidRDefault="004A7B24" w:rsidP="004A7B24">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b/>
          <w:bCs/>
          <w:sz w:val="28"/>
          <w:szCs w:val="22"/>
        </w:rPr>
        <w:sectPr w:rsidR="004A7B24" w:rsidSect="004A7B24">
          <w:headerReference w:type="even" r:id="rId12"/>
          <w:headerReference w:type="default" r:id="rId13"/>
          <w:footerReference w:type="even" r:id="rId14"/>
          <w:footerReference w:type="default" r:id="rId15"/>
          <w:headerReference w:type="first" r:id="rId16"/>
          <w:footerReference w:type="first" r:id="rId17"/>
          <w:pgSz w:w="11907" w:h="16839"/>
          <w:pgMar w:top="907" w:right="992" w:bottom="1418" w:left="1418" w:header="539" w:footer="975" w:gutter="0"/>
          <w:cols w:space="708"/>
          <w:titlePg/>
          <w:docGrid w:linePitch="360"/>
        </w:sectPr>
      </w:pPr>
    </w:p>
    <w:p w14:paraId="20EAB337" w14:textId="77777777" w:rsidR="004A7B24" w:rsidRPr="00D21D96" w:rsidRDefault="004A7B24" w:rsidP="00D21D96">
      <w:pPr>
        <w:pStyle w:val="ZZAnxheader"/>
      </w:pPr>
      <w:r w:rsidRPr="00D21D96">
        <w:lastRenderedPageBreak/>
        <w:t>Annex</w:t>
      </w:r>
      <w:r w:rsidRPr="00D21D96">
        <w:rPr>
          <w:b w:val="0"/>
          <w:bCs w:val="0"/>
        </w:rPr>
        <w:footnoteReference w:customMarkFollows="1" w:id="5"/>
        <w:t>*</w:t>
      </w:r>
    </w:p>
    <w:p w14:paraId="66EA03B2" w14:textId="77777777" w:rsidR="004A7B24" w:rsidRPr="00D21D96" w:rsidRDefault="004A7B24" w:rsidP="00D21D96">
      <w:pPr>
        <w:pStyle w:val="ZZAnxtitle"/>
      </w:pPr>
      <w:r w:rsidRPr="00D21D96">
        <w:t>2026 Report by the Technology and Economic Assessment Panel (Volume 4)</w:t>
      </w:r>
    </w:p>
    <w:p w14:paraId="3A9C9EC7" w14:textId="6373CF89" w:rsidR="004A7B24" w:rsidRPr="0032742D" w:rsidRDefault="004A7B24" w:rsidP="0032742D">
      <w:pPr>
        <w:pStyle w:val="CH1"/>
      </w:pPr>
      <w:bookmarkStart w:id="16" w:name="_Toc421567835"/>
      <w:bookmarkStart w:id="17" w:name="_Toc452653343"/>
      <w:bookmarkStart w:id="18" w:name="_Toc389401345"/>
      <w:bookmarkStart w:id="19" w:name="_Toc389424957"/>
      <w:r>
        <w:tab/>
      </w:r>
      <w:r>
        <w:tab/>
      </w:r>
      <w:r w:rsidRPr="0032742D">
        <w:t xml:space="preserve">Supplement to the May 2026 Technology and Economic Assessment Panel replenishment task force report: </w:t>
      </w:r>
      <w:r w:rsidR="00440C71">
        <w:t>a</w:t>
      </w:r>
      <w:r w:rsidRPr="0032742D">
        <w:t xml:space="preserve">ssessment of the funding requirement for the replenishment of the Multilateral Fund for the period 2027–2029 </w:t>
      </w:r>
      <w:bookmarkStart w:id="20" w:name="_Toc452653344"/>
      <w:bookmarkStart w:id="21" w:name="_Toc416613952"/>
    </w:p>
    <w:bookmarkEnd w:id="16"/>
    <w:bookmarkEnd w:id="17"/>
    <w:bookmarkEnd w:id="18"/>
    <w:bookmarkEnd w:id="19"/>
    <w:bookmarkEnd w:id="20"/>
    <w:bookmarkEnd w:id="21"/>
    <w:p w14:paraId="25840D57" w14:textId="77777777" w:rsidR="004A7B24" w:rsidRPr="0032742D" w:rsidRDefault="004A7B24" w:rsidP="0032742D">
      <w:pPr>
        <w:pStyle w:val="CH2"/>
      </w:pPr>
      <w:r w:rsidRPr="0032742D">
        <w:tab/>
      </w:r>
      <w:r w:rsidRPr="0032742D">
        <w:tab/>
        <w:t>Executive Summary</w:t>
      </w:r>
      <w:bookmarkStart w:id="22" w:name="_Toc140168044"/>
      <w:bookmarkStart w:id="23" w:name="_Toc239776663"/>
    </w:p>
    <w:p w14:paraId="56007C4D" w14:textId="6114FD84"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bookmarkStart w:id="24" w:name="_Hlk133537113"/>
      <w:r w:rsidRPr="00A81971">
        <w:t xml:space="preserve">The replenishment of the Multilateral Fund (MLF) for the </w:t>
      </w:r>
      <w:r>
        <w:t xml:space="preserve">Implementation of the </w:t>
      </w:r>
      <w:r w:rsidRPr="00A81971">
        <w:t>Montreal Protocol on Substances that Deplete the Ozone Layer for the 2027</w:t>
      </w:r>
      <w:r>
        <w:t>–</w:t>
      </w:r>
      <w:r w:rsidRPr="00A81971">
        <w:t>2029 triennium will provide financing to Article 5 (A5) parties for the incremental costs of completing the phase-out of ozone-depleting substances (ODS) and continuing the phase-down of hydrofluorocarbons (HFCs). Annex C</w:t>
      </w:r>
      <w:r>
        <w:t>,</w:t>
      </w:r>
      <w:r w:rsidRPr="00A81971">
        <w:t xml:space="preserve"> </w:t>
      </w:r>
      <w:r>
        <w:t>g</w:t>
      </w:r>
      <w:r w:rsidRPr="00A81971">
        <w:t xml:space="preserve">roup </w:t>
      </w:r>
      <w:r>
        <w:t>1</w:t>
      </w:r>
      <w:r w:rsidRPr="00A81971">
        <w:t xml:space="preserve"> (hydrochlorofluorocarbons (HCFCs)</w:t>
      </w:r>
      <w:r>
        <w:t>)</w:t>
      </w:r>
      <w:r w:rsidRPr="00A81971">
        <w:t xml:space="preserve"> and Annex F (</w:t>
      </w:r>
      <w:r>
        <w:t>hydrofluoroca</w:t>
      </w:r>
      <w:r w:rsidR="00E23AA3">
        <w:t>r</w:t>
      </w:r>
      <w:r>
        <w:t>bons (</w:t>
      </w:r>
      <w:r w:rsidRPr="00A81971">
        <w:t>HFCs</w:t>
      </w:r>
      <w:r>
        <w:t>)</w:t>
      </w:r>
      <w:r w:rsidRPr="00A81971">
        <w:t>) substances are the only substances under the Montreal Protocol wh</w:t>
      </w:r>
      <w:r>
        <w:t>ose</w:t>
      </w:r>
      <w:r w:rsidRPr="00A81971">
        <w:t xml:space="preserve"> consumption and production are still allowed.</w:t>
      </w:r>
    </w:p>
    <w:p w14:paraId="6BAD6A90" w14:textId="77777777" w:rsidR="004A7B24" w:rsidRPr="00A81971" w:rsidRDefault="004A7B24">
      <w:pPr>
        <w:pStyle w:val="NormalNonumber"/>
        <w:numPr>
          <w:ilvl w:val="1"/>
          <w:numId w:val="22"/>
        </w:numPr>
        <w:tabs>
          <w:tab w:val="clear" w:pos="1871"/>
        </w:tabs>
        <w:ind w:left="1701" w:hanging="425"/>
      </w:pPr>
      <w:r w:rsidRPr="00A81971">
        <w:t xml:space="preserve">For Annex C, </w:t>
      </w:r>
      <w:r>
        <w:t>g</w:t>
      </w:r>
      <w:r w:rsidRPr="00A81971">
        <w:t>roup 1, controlled substances (HCFCs), the compliance target for the 2027</w:t>
      </w:r>
      <w:r>
        <w:t>–</w:t>
      </w:r>
      <w:r w:rsidRPr="00A81971">
        <w:t>2029 triennium for A5 parties is a 97.5% reduction from baseline by 1 January 2030</w:t>
      </w:r>
      <w:r w:rsidRPr="0032742D">
        <w:t>.</w:t>
      </w:r>
      <w:r w:rsidRPr="00B90362">
        <w:rPr>
          <w:vertAlign w:val="superscript"/>
        </w:rPr>
        <w:footnoteReference w:id="6"/>
      </w:r>
      <w:r w:rsidRPr="00B90362">
        <w:rPr>
          <w:vertAlign w:val="superscript"/>
        </w:rPr>
        <w:t xml:space="preserve"> </w:t>
      </w:r>
    </w:p>
    <w:p w14:paraId="76DE1949" w14:textId="77777777" w:rsidR="004A7B24" w:rsidRPr="00A81971" w:rsidRDefault="004A7B24">
      <w:pPr>
        <w:pStyle w:val="NormalNonumber"/>
        <w:numPr>
          <w:ilvl w:val="1"/>
          <w:numId w:val="22"/>
        </w:numPr>
        <w:tabs>
          <w:tab w:val="clear" w:pos="1871"/>
        </w:tabs>
        <w:ind w:left="1701" w:hanging="425"/>
      </w:pPr>
      <w:r w:rsidRPr="00A81971">
        <w:t>Annex F controlled substances (HFCs), the compliance targets for the 2027</w:t>
      </w:r>
      <w:r>
        <w:t>–</w:t>
      </w:r>
      <w:r w:rsidRPr="00A81971">
        <w:t>2029 and the subsequent two triennia for A5 parties are as follows:</w:t>
      </w:r>
    </w:p>
    <w:p w14:paraId="417CF2D7" w14:textId="77777777" w:rsidR="004A7B24" w:rsidRPr="00A81971" w:rsidRDefault="004A7B24" w:rsidP="00AB2EFC">
      <w:pPr>
        <w:pStyle w:val="NormalNonumber"/>
        <w:numPr>
          <w:ilvl w:val="2"/>
          <w:numId w:val="36"/>
        </w:numPr>
        <w:tabs>
          <w:tab w:val="clear" w:pos="1871"/>
          <w:tab w:val="clear" w:pos="2495"/>
          <w:tab w:val="clear" w:pos="3119"/>
          <w:tab w:val="clear" w:pos="3742"/>
          <w:tab w:val="clear" w:pos="4366"/>
          <w:tab w:val="clear" w:pos="4990"/>
          <w:tab w:val="left" w:pos="1560"/>
          <w:tab w:val="left" w:pos="2410"/>
        </w:tabs>
        <w:ind w:left="2410" w:hanging="425"/>
      </w:pPr>
      <w:r w:rsidRPr="00A81971">
        <w:t>Group 1 parties: A 10% reduction from baseline by 1 January 2029 and a 30% reduction from baseline by 1 January 2035.</w:t>
      </w:r>
    </w:p>
    <w:p w14:paraId="717CFC8B" w14:textId="77777777" w:rsidR="004A7B24" w:rsidRPr="00A81971" w:rsidRDefault="004A7B24" w:rsidP="00AB2EFC">
      <w:pPr>
        <w:pStyle w:val="NormalNonumber"/>
        <w:numPr>
          <w:ilvl w:val="2"/>
          <w:numId w:val="36"/>
        </w:numPr>
        <w:tabs>
          <w:tab w:val="clear" w:pos="1871"/>
          <w:tab w:val="clear" w:pos="2495"/>
          <w:tab w:val="clear" w:pos="3119"/>
          <w:tab w:val="clear" w:pos="3742"/>
          <w:tab w:val="clear" w:pos="4366"/>
          <w:tab w:val="clear" w:pos="4990"/>
          <w:tab w:val="left" w:pos="1560"/>
          <w:tab w:val="left" w:pos="2410"/>
        </w:tabs>
        <w:ind w:left="2410" w:hanging="425"/>
      </w:pPr>
      <w:r w:rsidRPr="00A81971">
        <w:t>Group 2 parties</w:t>
      </w:r>
      <w:r w:rsidRPr="0032742D">
        <w:rPr>
          <w:vertAlign w:val="superscript"/>
        </w:rPr>
        <w:footnoteReference w:id="7"/>
      </w:r>
      <w:r w:rsidRPr="00A81971">
        <w:t>: A freeze of production and consumption by 1 January 2028 and a 10% reduction from baseline by 1 January 2032.</w:t>
      </w:r>
    </w:p>
    <w:p w14:paraId="62F1438D"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t>T</w:t>
      </w:r>
      <w:r w:rsidRPr="00A81971">
        <w:t>he Thirty-</w:t>
      </w:r>
      <w:r>
        <w:t>S</w:t>
      </w:r>
      <w:r w:rsidRPr="00A81971">
        <w:t xml:space="preserve">eventh Meeting of the Parties to the Montreal Protocol (MOP37) adopted </w:t>
      </w:r>
      <w:r>
        <w:t>d</w:t>
      </w:r>
      <w:r w:rsidRPr="00A81971">
        <w:t>ecision XXXVII/6 which provided the terms of reference (TOR) for the work of the Technology and Economic Assessment Panel (TEAP) to prepare a report on the appropriate level of the replenishment of the MLF for the triennium 2027</w:t>
      </w:r>
      <w:r>
        <w:t>–</w:t>
      </w:r>
      <w:r w:rsidRPr="00A81971">
        <w:t xml:space="preserve">2029. The parties requested the TEAP to prepare a report for submission to MOP38, and presentation to the Open-ended Working Group at its </w:t>
      </w:r>
      <w:r>
        <w:t>f</w:t>
      </w:r>
      <w:r w:rsidRPr="00A81971">
        <w:t xml:space="preserve">orty-eighth </w:t>
      </w:r>
      <w:r>
        <w:t>m</w:t>
      </w:r>
      <w:r w:rsidRPr="00A81971">
        <w:t xml:space="preserve">eeting (OEWG48), to enable parties at MOP-38 to take a decision. </w:t>
      </w:r>
    </w:p>
    <w:p w14:paraId="5CB95728"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rsidRPr="00A81971">
        <w:t xml:space="preserve">The TEAP established a Decision XXXVII/6 Replenishment Task Force (RTF), with members from TEAP, its </w:t>
      </w:r>
      <w:r>
        <w:t>t</w:t>
      </w:r>
      <w:r w:rsidRPr="00A81971">
        <w:t xml:space="preserve">echnical </w:t>
      </w:r>
      <w:r>
        <w:t>o</w:t>
      </w:r>
      <w:r w:rsidRPr="00A81971">
        <w:t xml:space="preserve">ptions </w:t>
      </w:r>
      <w:r>
        <w:t>c</w:t>
      </w:r>
      <w:r w:rsidRPr="00A81971">
        <w:t xml:space="preserve">ommittees, and outside experts. The RTF presented its “May 2026 TEAP Decision XXXVII/6 Replenishment Task Force Report” </w:t>
      </w:r>
      <w:r w:rsidRPr="00C6517F">
        <w:rPr>
          <w:vertAlign w:val="superscript"/>
        </w:rPr>
        <w:footnoteReference w:id="8"/>
      </w:r>
      <w:r w:rsidRPr="00C6517F">
        <w:rPr>
          <w:vertAlign w:val="superscript"/>
        </w:rPr>
        <w:t xml:space="preserve"> </w:t>
      </w:r>
      <w:r w:rsidRPr="00A81971">
        <w:t xml:space="preserve">(May 2026 Report) at OEWG48 and responded to clarifying questions from parties. Subsequently, the Working Group established a </w:t>
      </w:r>
      <w:r>
        <w:t>c</w:t>
      </w:r>
      <w:r w:rsidRPr="00A81971">
        <w:t xml:space="preserve">ontact </w:t>
      </w:r>
      <w:r>
        <w:t>c</w:t>
      </w:r>
      <w:r w:rsidRPr="00A81971">
        <w:t xml:space="preserve">roup to further consider the report. During the discussions, the RTF provided clarification and additional information </w:t>
      </w:r>
      <w:r>
        <w:t xml:space="preserve">to </w:t>
      </w:r>
      <w:r w:rsidRPr="00A81971">
        <w:t xml:space="preserve">the </w:t>
      </w:r>
      <w:r>
        <w:t>c</w:t>
      </w:r>
      <w:r w:rsidRPr="00A81971">
        <w:t xml:space="preserve">ontact </w:t>
      </w:r>
      <w:r>
        <w:t>g</w:t>
      </w:r>
      <w:r w:rsidRPr="00A81971">
        <w:t xml:space="preserve">roup. The </w:t>
      </w:r>
      <w:r>
        <w:t>c</w:t>
      </w:r>
      <w:r w:rsidRPr="00A81971">
        <w:t xml:space="preserve">ontact </w:t>
      </w:r>
      <w:r>
        <w:t>g</w:t>
      </w:r>
      <w:r w:rsidRPr="00A81971">
        <w:t>roup then discussed several topics and agreed on a list of suggestions</w:t>
      </w:r>
      <w:r w:rsidRPr="00C6517F">
        <w:rPr>
          <w:vertAlign w:val="superscript"/>
        </w:rPr>
        <w:footnoteReference w:id="9"/>
      </w:r>
      <w:r w:rsidRPr="00A81971">
        <w:t xml:space="preserve"> for additional analysis to be addressed by the RTF in a supplementary report on MLF replenishment for the period 2027</w:t>
      </w:r>
      <w:r>
        <w:t>–</w:t>
      </w:r>
      <w:r w:rsidRPr="00A81971">
        <w:t xml:space="preserve">2029. </w:t>
      </w:r>
    </w:p>
    <w:p w14:paraId="4D5178B1" w14:textId="77777777" w:rsidR="004A7B24" w:rsidRPr="004D1F3A" w:rsidRDefault="004A7B24" w:rsidP="0032742D">
      <w:pPr>
        <w:pStyle w:val="NormalNonumber"/>
        <w:tabs>
          <w:tab w:val="clear" w:pos="1247"/>
          <w:tab w:val="clear" w:pos="1871"/>
          <w:tab w:val="clear" w:pos="2495"/>
          <w:tab w:val="clear" w:pos="3119"/>
          <w:tab w:val="clear" w:pos="3742"/>
          <w:tab w:val="clear" w:pos="4366"/>
          <w:tab w:val="clear" w:pos="4990"/>
        </w:tabs>
      </w:pPr>
      <w:r w:rsidRPr="0032742D">
        <w:t xml:space="preserve">Table ES.1 indicates the relevant chapters of this report where the suggestions are addressed. </w:t>
      </w:r>
    </w:p>
    <w:p w14:paraId="315DA3B4" w14:textId="04C2D171" w:rsidR="004A7B24" w:rsidRDefault="004A7B24" w:rsidP="0032742D">
      <w:pPr>
        <w:pStyle w:val="Titletable"/>
      </w:pPr>
      <w:r w:rsidRPr="0032742D">
        <w:rPr>
          <w:rFonts w:eastAsia="Yu Mincho"/>
          <w:b w:val="0"/>
          <w:bCs w:val="0"/>
          <w:color w:val="000000"/>
          <w:lang w:val="en-CA"/>
        </w:rPr>
        <w:lastRenderedPageBreak/>
        <w:t>Table ES.1</w:t>
      </w:r>
      <w:r w:rsidR="0032742D" w:rsidRPr="0032742D">
        <w:rPr>
          <w:rFonts w:eastAsia="Yu Mincho"/>
          <w:b w:val="0"/>
          <w:bCs w:val="0"/>
          <w:color w:val="000000"/>
          <w:lang w:val="en-CA"/>
        </w:rPr>
        <w:t xml:space="preserve"> </w:t>
      </w:r>
      <w:r w:rsidR="0032742D" w:rsidRPr="0032742D">
        <w:rPr>
          <w:rFonts w:eastAsia="Yu Mincho"/>
          <w:b w:val="0"/>
          <w:bCs w:val="0"/>
          <w:color w:val="000000"/>
          <w:lang w:val="en-CA"/>
        </w:rPr>
        <w:br/>
      </w:r>
      <w:r w:rsidRPr="00A81971">
        <w:t>Suggestions/Scenarios: Potential changes to funding requirement for 2027–2029</w:t>
      </w:r>
    </w:p>
    <w:tbl>
      <w:tblPr>
        <w:tblStyle w:val="TableGrid10"/>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4A0" w:firstRow="1" w:lastRow="0" w:firstColumn="1" w:lastColumn="0" w:noHBand="0" w:noVBand="1"/>
      </w:tblPr>
      <w:tblGrid>
        <w:gridCol w:w="567"/>
        <w:gridCol w:w="6379"/>
        <w:gridCol w:w="1361"/>
      </w:tblGrid>
      <w:tr w:rsidR="004A7B24" w14:paraId="2DA6873B" w14:textId="77777777" w:rsidTr="00806492">
        <w:trPr>
          <w:trHeight w:val="423"/>
          <w:tblHeader/>
          <w:jc w:val="right"/>
        </w:trPr>
        <w:tc>
          <w:tcPr>
            <w:tcW w:w="567" w:type="dxa"/>
            <w:tcBorders>
              <w:top w:val="single" w:sz="4" w:space="0" w:color="auto"/>
              <w:bottom w:val="single" w:sz="12" w:space="0" w:color="auto"/>
            </w:tcBorders>
            <w:shd w:val="clear" w:color="auto" w:fill="DBE5F1" w:themeFill="accent1" w:themeFillTint="33"/>
            <w:noWrap/>
            <w:tcMar>
              <w:top w:w="0" w:type="dxa"/>
              <w:left w:w="108" w:type="dxa"/>
              <w:bottom w:w="0" w:type="dxa"/>
              <w:right w:w="108" w:type="dxa"/>
            </w:tcMar>
            <w:vAlign w:val="bottom"/>
          </w:tcPr>
          <w:p w14:paraId="705DF2D9" w14:textId="77777777" w:rsidR="004A7B24" w:rsidRPr="00806492" w:rsidRDefault="004A7B24" w:rsidP="00092870">
            <w:pPr>
              <w:pStyle w:val="Normal-pool-Table"/>
              <w:spacing w:before="20"/>
              <w:rPr>
                <w:i/>
                <w:iCs/>
                <w:lang w:eastAsia="zh-CN"/>
              </w:rPr>
            </w:pPr>
            <w:r w:rsidRPr="00806492">
              <w:rPr>
                <w:i/>
                <w:iCs/>
                <w:lang w:eastAsia="zh-CN"/>
              </w:rPr>
              <w:t>Item</w:t>
            </w:r>
          </w:p>
        </w:tc>
        <w:tc>
          <w:tcPr>
            <w:tcW w:w="6379" w:type="dxa"/>
            <w:tcBorders>
              <w:top w:val="single" w:sz="4" w:space="0" w:color="auto"/>
              <w:bottom w:val="single" w:sz="12" w:space="0" w:color="auto"/>
            </w:tcBorders>
            <w:shd w:val="clear" w:color="auto" w:fill="DBE5F1" w:themeFill="accent1" w:themeFillTint="33"/>
            <w:vAlign w:val="bottom"/>
          </w:tcPr>
          <w:p w14:paraId="5F3A7374" w14:textId="77777777" w:rsidR="004A7B24" w:rsidRPr="00806492" w:rsidRDefault="004A7B24" w:rsidP="00092870">
            <w:pPr>
              <w:pStyle w:val="Normal-pool-Table"/>
              <w:spacing w:before="20"/>
              <w:rPr>
                <w:i/>
                <w:iCs/>
                <w:caps/>
                <w:lang w:eastAsia="zh-CN"/>
              </w:rPr>
            </w:pPr>
            <w:r w:rsidRPr="00806492">
              <w:rPr>
                <w:i/>
                <w:iCs/>
                <w:lang w:eastAsia="zh-CN"/>
              </w:rPr>
              <w:t>Suggestions/Scenarios</w:t>
            </w:r>
          </w:p>
        </w:tc>
        <w:tc>
          <w:tcPr>
            <w:tcW w:w="1361" w:type="dxa"/>
            <w:tcBorders>
              <w:top w:val="single" w:sz="4" w:space="0" w:color="auto"/>
              <w:bottom w:val="single" w:sz="12" w:space="0" w:color="auto"/>
            </w:tcBorders>
            <w:shd w:val="clear" w:color="auto" w:fill="DBE5F1" w:themeFill="accent1" w:themeFillTint="33"/>
            <w:vAlign w:val="bottom"/>
          </w:tcPr>
          <w:p w14:paraId="606C1676" w14:textId="77777777" w:rsidR="004A7B24" w:rsidRPr="00806492" w:rsidRDefault="004A7B24" w:rsidP="00092870">
            <w:pPr>
              <w:pStyle w:val="Normal-pool-Table"/>
              <w:spacing w:before="20"/>
              <w:jc w:val="both"/>
              <w:rPr>
                <w:rFonts w:asciiTheme="majorBidi" w:hAnsiTheme="majorBidi" w:cstheme="majorBidi"/>
                <w:i/>
                <w:iCs/>
                <w:lang w:eastAsia="zh-CN"/>
              </w:rPr>
            </w:pPr>
            <w:r w:rsidRPr="00806492">
              <w:rPr>
                <w:rFonts w:asciiTheme="majorBidi" w:hAnsiTheme="majorBidi" w:cstheme="majorBidi"/>
                <w:i/>
                <w:iCs/>
                <w:lang w:eastAsia="zh-CN"/>
              </w:rPr>
              <w:t>Relevant chapter</w:t>
            </w:r>
          </w:p>
        </w:tc>
      </w:tr>
      <w:tr w:rsidR="004A7B24" w14:paraId="2CFFD739" w14:textId="77777777" w:rsidTr="00092870">
        <w:trPr>
          <w:trHeight w:val="423"/>
          <w:jc w:val="right"/>
        </w:trPr>
        <w:tc>
          <w:tcPr>
            <w:tcW w:w="8307" w:type="dxa"/>
            <w:gridSpan w:val="3"/>
            <w:tcBorders>
              <w:top w:val="single" w:sz="12" w:space="0" w:color="auto"/>
            </w:tcBorders>
            <w:shd w:val="clear" w:color="auto" w:fill="FDE9D9" w:themeFill="accent6" w:themeFillTint="33"/>
            <w:vAlign w:val="center"/>
          </w:tcPr>
          <w:p w14:paraId="689EBE85" w14:textId="77A22BC2" w:rsidR="004A7B24" w:rsidRPr="00C02042" w:rsidRDefault="004A7B24" w:rsidP="00092870">
            <w:pPr>
              <w:pStyle w:val="Normal-pool-Table"/>
              <w:spacing w:before="20"/>
              <w:rPr>
                <w:rFonts w:ascii="Times New Roman Bold" w:hAnsi="Times New Roman Bold"/>
                <w:b/>
                <w:lang w:eastAsia="zh-CN"/>
              </w:rPr>
            </w:pPr>
            <w:r w:rsidRPr="00C02042">
              <w:rPr>
                <w:b/>
                <w:lang w:eastAsia="zh-CN"/>
              </w:rPr>
              <w:t>ExCom-98 Decisions</w:t>
            </w:r>
          </w:p>
        </w:tc>
      </w:tr>
      <w:tr w:rsidR="004A7B24" w14:paraId="042940BF" w14:textId="77777777" w:rsidTr="00092870">
        <w:trPr>
          <w:trHeight w:val="372"/>
          <w:jc w:val="right"/>
        </w:trPr>
        <w:tc>
          <w:tcPr>
            <w:tcW w:w="567" w:type="dxa"/>
            <w:tcBorders>
              <w:bottom w:val="single" w:sz="4" w:space="0" w:color="auto"/>
            </w:tcBorders>
            <w:noWrap/>
            <w:tcMar>
              <w:top w:w="0" w:type="dxa"/>
              <w:left w:w="108" w:type="dxa"/>
              <w:bottom w:w="0" w:type="dxa"/>
              <w:right w:w="108" w:type="dxa"/>
            </w:tcMar>
          </w:tcPr>
          <w:p w14:paraId="6DF0768D" w14:textId="77777777" w:rsidR="004A7B24" w:rsidRPr="00A81971" w:rsidRDefault="004A7B24" w:rsidP="00092870">
            <w:pPr>
              <w:pStyle w:val="Normal-pool-Table"/>
              <w:spacing w:before="20"/>
              <w:rPr>
                <w:lang w:eastAsia="zh-CN"/>
              </w:rPr>
            </w:pPr>
            <w:r w:rsidRPr="00A81971">
              <w:rPr>
                <w:lang w:eastAsia="zh-CN"/>
              </w:rPr>
              <w:t>1</w:t>
            </w:r>
          </w:p>
        </w:tc>
        <w:tc>
          <w:tcPr>
            <w:tcW w:w="6379" w:type="dxa"/>
            <w:tcBorders>
              <w:bottom w:val="single" w:sz="4" w:space="0" w:color="auto"/>
            </w:tcBorders>
          </w:tcPr>
          <w:p w14:paraId="3D00FF0D" w14:textId="77777777" w:rsidR="004A7B24" w:rsidRPr="00A81971" w:rsidRDefault="004A7B24" w:rsidP="00092870">
            <w:pPr>
              <w:pStyle w:val="Normal-pool-Table"/>
              <w:spacing w:before="20"/>
              <w:ind w:right="57"/>
              <w:rPr>
                <w:lang w:eastAsia="zh-CN"/>
              </w:rPr>
            </w:pPr>
            <w:r w:rsidRPr="00A81971">
              <w:rPr>
                <w:color w:val="000000" w:themeColor="text1"/>
                <w:lang w:eastAsia="nl-NL"/>
              </w:rPr>
              <w:t>Adjust all elements of the funding requirements based on relevant decisions taken at the 98th meeting of the Executive Committee and make any additional necessary updates to accurately reflect amounts in approved HCFC Phase-out Management Plans (HPMPs) and Kigali Implementation Plans (KIPs);</w:t>
            </w:r>
          </w:p>
        </w:tc>
        <w:tc>
          <w:tcPr>
            <w:tcW w:w="1361" w:type="dxa"/>
            <w:tcBorders>
              <w:bottom w:val="single" w:sz="4" w:space="0" w:color="auto"/>
            </w:tcBorders>
          </w:tcPr>
          <w:p w14:paraId="6A456B10" w14:textId="77777777" w:rsidR="004A7B24" w:rsidRPr="00A81971" w:rsidRDefault="004A7B24" w:rsidP="00092870">
            <w:pPr>
              <w:pStyle w:val="Normal-pool-Table"/>
              <w:spacing w:before="20"/>
              <w:jc w:val="center"/>
              <w:rPr>
                <w:lang w:eastAsia="zh-CN"/>
              </w:rPr>
            </w:pPr>
            <w:r w:rsidRPr="00A81971">
              <w:rPr>
                <w:lang w:eastAsia="zh-CN"/>
              </w:rPr>
              <w:t>2</w:t>
            </w:r>
          </w:p>
        </w:tc>
      </w:tr>
      <w:tr w:rsidR="004A7B24" w14:paraId="167E1D40" w14:textId="77777777" w:rsidTr="00092870">
        <w:trPr>
          <w:trHeight w:val="372"/>
          <w:jc w:val="right"/>
        </w:trPr>
        <w:tc>
          <w:tcPr>
            <w:tcW w:w="8307" w:type="dxa"/>
            <w:gridSpan w:val="3"/>
            <w:tcBorders>
              <w:top w:val="single" w:sz="4" w:space="0" w:color="auto"/>
              <w:bottom w:val="single" w:sz="4" w:space="0" w:color="auto"/>
            </w:tcBorders>
            <w:shd w:val="clear" w:color="auto" w:fill="FDE9D9" w:themeFill="accent6" w:themeFillTint="33"/>
            <w:vAlign w:val="center"/>
          </w:tcPr>
          <w:p w14:paraId="3DA5A37F" w14:textId="3FA61E1B" w:rsidR="004A7B24" w:rsidRPr="00A81971" w:rsidRDefault="004A7B24" w:rsidP="00092870">
            <w:pPr>
              <w:pStyle w:val="Normal-pool-Table"/>
              <w:spacing w:before="20"/>
              <w:ind w:right="57"/>
              <w:jc w:val="both"/>
              <w:rPr>
                <w:bCs/>
                <w:lang w:eastAsia="zh-CN"/>
              </w:rPr>
            </w:pPr>
            <w:r w:rsidRPr="00A81971">
              <w:rPr>
                <w:rFonts w:ascii="Times New Roman Bold" w:hAnsi="Times New Roman Bold"/>
                <w:lang w:eastAsia="zh-CN"/>
              </w:rPr>
              <w:t>Overall Suggestions</w:t>
            </w:r>
          </w:p>
        </w:tc>
      </w:tr>
      <w:tr w:rsidR="004A7B24" w14:paraId="66BC8F44" w14:textId="77777777" w:rsidTr="00092870">
        <w:trPr>
          <w:trHeight w:val="372"/>
          <w:jc w:val="right"/>
        </w:trPr>
        <w:tc>
          <w:tcPr>
            <w:tcW w:w="567" w:type="dxa"/>
            <w:tcBorders>
              <w:top w:val="single" w:sz="4" w:space="0" w:color="auto"/>
            </w:tcBorders>
            <w:noWrap/>
            <w:tcMar>
              <w:top w:w="0" w:type="dxa"/>
              <w:left w:w="108" w:type="dxa"/>
              <w:bottom w:w="0" w:type="dxa"/>
              <w:right w:w="108" w:type="dxa"/>
            </w:tcMar>
          </w:tcPr>
          <w:p w14:paraId="7F34D91E" w14:textId="77777777" w:rsidR="004A7B24" w:rsidRPr="00A81971" w:rsidRDefault="004A7B24" w:rsidP="00092870">
            <w:pPr>
              <w:pStyle w:val="Normal-pool-Table"/>
              <w:spacing w:before="20"/>
              <w:rPr>
                <w:highlight w:val="yellow"/>
                <w:lang w:eastAsia="zh-CN"/>
              </w:rPr>
            </w:pPr>
            <w:r w:rsidRPr="00A81971">
              <w:rPr>
                <w:lang w:eastAsia="zh-CN"/>
              </w:rPr>
              <w:t>2</w:t>
            </w:r>
          </w:p>
        </w:tc>
        <w:tc>
          <w:tcPr>
            <w:tcW w:w="6379" w:type="dxa"/>
            <w:tcBorders>
              <w:top w:val="single" w:sz="4" w:space="0" w:color="auto"/>
            </w:tcBorders>
          </w:tcPr>
          <w:p w14:paraId="297A4EEF" w14:textId="77777777" w:rsidR="004A7B24" w:rsidRPr="00A81971" w:rsidRDefault="004A7B24" w:rsidP="00092870">
            <w:pPr>
              <w:pStyle w:val="Normal-pool-Table"/>
              <w:spacing w:before="20"/>
              <w:ind w:right="57"/>
              <w:rPr>
                <w:lang w:eastAsia="zh-CN"/>
              </w:rPr>
            </w:pPr>
            <w:r w:rsidRPr="00A81971">
              <w:rPr>
                <w:lang w:eastAsia="zh-CN"/>
              </w:rPr>
              <w:t xml:space="preserve">When estimating the funding requirements for HPMPs and KIPs, apply CE factors according to three scenarios: </w:t>
            </w:r>
          </w:p>
          <w:p w14:paraId="5432E431" w14:textId="77777777" w:rsidR="004A7B24" w:rsidRPr="008A27F7" w:rsidRDefault="004A7B24" w:rsidP="00092870">
            <w:pPr>
              <w:pStyle w:val="Normal-pool-Table"/>
              <w:numPr>
                <w:ilvl w:val="1"/>
                <w:numId w:val="1"/>
              </w:numPr>
              <w:tabs>
                <w:tab w:val="clear" w:pos="624"/>
                <w:tab w:val="clear" w:pos="1247"/>
              </w:tabs>
              <w:spacing w:before="20"/>
              <w:ind w:left="636" w:hanging="425"/>
              <w:rPr>
                <w:color w:val="000000" w:themeColor="text1"/>
                <w:lang w:eastAsia="zh-CN"/>
              </w:rPr>
            </w:pPr>
            <w:r w:rsidRPr="00A81971">
              <w:rPr>
                <w:color w:val="000000" w:themeColor="text1"/>
                <w:lang w:eastAsia="zh-CN"/>
              </w:rPr>
              <w:t xml:space="preserve">one based on historical </w:t>
            </w:r>
            <w:r>
              <w:rPr>
                <w:color w:val="000000" w:themeColor="text1"/>
                <w:lang w:eastAsia="zh-CN"/>
              </w:rPr>
              <w:t>c</w:t>
            </w:r>
            <w:r w:rsidRPr="00A81971">
              <w:rPr>
                <w:color w:val="000000" w:themeColor="text1"/>
                <w:lang w:eastAsia="zh-CN"/>
              </w:rPr>
              <w:t xml:space="preserve">ost-effectiveness (CEs); </w:t>
            </w:r>
          </w:p>
          <w:p w14:paraId="3F68FC93" w14:textId="77777777" w:rsidR="004A7B24" w:rsidRPr="008A27F7" w:rsidRDefault="004A7B24" w:rsidP="00092870">
            <w:pPr>
              <w:pStyle w:val="Normal-pool-Table"/>
              <w:numPr>
                <w:ilvl w:val="1"/>
                <w:numId w:val="1"/>
              </w:numPr>
              <w:tabs>
                <w:tab w:val="clear" w:pos="624"/>
                <w:tab w:val="clear" w:pos="1247"/>
              </w:tabs>
              <w:spacing w:before="20"/>
              <w:ind w:left="636" w:hanging="425"/>
              <w:rPr>
                <w:color w:val="000000" w:themeColor="text1"/>
                <w:lang w:eastAsia="zh-CN"/>
              </w:rPr>
            </w:pPr>
            <w:r w:rsidRPr="008A27F7">
              <w:rPr>
                <w:color w:val="000000" w:themeColor="text1"/>
                <w:lang w:eastAsia="zh-CN"/>
              </w:rPr>
              <w:t xml:space="preserve">a second one based on CE factors for each A5 party over the past 6 years; and </w:t>
            </w:r>
          </w:p>
          <w:p w14:paraId="39AE65E6" w14:textId="77777777" w:rsidR="004A7B24" w:rsidRPr="00A81971" w:rsidRDefault="004A7B24" w:rsidP="00092870">
            <w:pPr>
              <w:pStyle w:val="Normal-pool-Table"/>
              <w:numPr>
                <w:ilvl w:val="1"/>
                <w:numId w:val="1"/>
              </w:numPr>
              <w:tabs>
                <w:tab w:val="clear" w:pos="624"/>
                <w:tab w:val="clear" w:pos="1247"/>
              </w:tabs>
              <w:spacing w:before="20"/>
              <w:ind w:left="636" w:hanging="425"/>
              <w:rPr>
                <w:lang w:eastAsia="nl-NL"/>
              </w:rPr>
            </w:pPr>
            <w:r w:rsidRPr="008A27F7">
              <w:rPr>
                <w:color w:val="000000" w:themeColor="text1"/>
                <w:lang w:eastAsia="zh-CN"/>
              </w:rPr>
              <w:t>a third one based on average funding levels for each A5 party over the past 6 years</w:t>
            </w:r>
          </w:p>
        </w:tc>
        <w:tc>
          <w:tcPr>
            <w:tcW w:w="1361" w:type="dxa"/>
            <w:tcBorders>
              <w:top w:val="single" w:sz="4" w:space="0" w:color="auto"/>
            </w:tcBorders>
          </w:tcPr>
          <w:p w14:paraId="728801DE" w14:textId="77777777" w:rsidR="004A7B24" w:rsidRPr="00A81971" w:rsidRDefault="004A7B24" w:rsidP="00092870">
            <w:pPr>
              <w:pStyle w:val="Normal-pool-Table"/>
              <w:spacing w:before="20"/>
              <w:jc w:val="center"/>
              <w:rPr>
                <w:lang w:eastAsia="zh-CN"/>
              </w:rPr>
            </w:pPr>
            <w:r w:rsidRPr="00A81971">
              <w:rPr>
                <w:lang w:eastAsia="zh-CN"/>
              </w:rPr>
              <w:t>3</w:t>
            </w:r>
          </w:p>
        </w:tc>
      </w:tr>
      <w:tr w:rsidR="004A7B24" w14:paraId="1D259E0D" w14:textId="77777777" w:rsidTr="00092870">
        <w:trPr>
          <w:trHeight w:val="372"/>
          <w:jc w:val="right"/>
        </w:trPr>
        <w:tc>
          <w:tcPr>
            <w:tcW w:w="567" w:type="dxa"/>
            <w:vMerge w:val="restart"/>
            <w:noWrap/>
            <w:tcMar>
              <w:top w:w="0" w:type="dxa"/>
              <w:left w:w="108" w:type="dxa"/>
              <w:bottom w:w="0" w:type="dxa"/>
              <w:right w:w="108" w:type="dxa"/>
            </w:tcMar>
          </w:tcPr>
          <w:p w14:paraId="6AD11A03" w14:textId="77777777" w:rsidR="004A7B24" w:rsidRPr="00A81971" w:rsidRDefault="004A7B24" w:rsidP="00092870">
            <w:pPr>
              <w:pStyle w:val="Normal-pool-Table"/>
              <w:spacing w:before="20"/>
              <w:rPr>
                <w:highlight w:val="yellow"/>
                <w:lang w:eastAsia="zh-CN"/>
              </w:rPr>
            </w:pPr>
            <w:r w:rsidRPr="00A81971">
              <w:rPr>
                <w:lang w:eastAsia="zh-CN"/>
              </w:rPr>
              <w:t>3</w:t>
            </w:r>
          </w:p>
        </w:tc>
        <w:tc>
          <w:tcPr>
            <w:tcW w:w="6379" w:type="dxa"/>
          </w:tcPr>
          <w:p w14:paraId="72DFDE05" w14:textId="77777777" w:rsidR="004A7B24" w:rsidRPr="008A27F7" w:rsidRDefault="004A7B24" w:rsidP="00092870">
            <w:pPr>
              <w:pStyle w:val="Normal-pool-Table"/>
              <w:numPr>
                <w:ilvl w:val="1"/>
                <w:numId w:val="35"/>
              </w:numPr>
              <w:tabs>
                <w:tab w:val="clear" w:pos="624"/>
                <w:tab w:val="clear" w:pos="1247"/>
              </w:tabs>
              <w:spacing w:before="20"/>
              <w:ind w:left="636" w:right="-57" w:hanging="425"/>
              <w:rPr>
                <w:color w:val="000000" w:themeColor="text1"/>
                <w:lang w:eastAsia="zh-CN"/>
              </w:rPr>
            </w:pPr>
            <w:r w:rsidRPr="00195633">
              <w:rPr>
                <w:color w:val="000000" w:themeColor="text1"/>
                <w:lang w:eastAsia="zh-CN"/>
              </w:rPr>
              <w:t>To request the Panel to present revised funding ranges with alternative scenarios that assess the</w:t>
            </w:r>
            <w:r w:rsidRPr="008A27F7">
              <w:rPr>
                <w:color w:val="000000" w:themeColor="text1"/>
                <w:lang w:eastAsia="zh-CN"/>
              </w:rPr>
              <w:t xml:space="preserve"> impact of the following:</w:t>
            </w:r>
          </w:p>
          <w:p w14:paraId="11556C9E" w14:textId="77777777" w:rsidR="004A7B24" w:rsidRPr="008A27F7" w:rsidRDefault="004A7B24" w:rsidP="00092870">
            <w:pPr>
              <w:pStyle w:val="Normal-pool-Table"/>
              <w:numPr>
                <w:ilvl w:val="1"/>
                <w:numId w:val="1"/>
              </w:numPr>
              <w:tabs>
                <w:tab w:val="clear" w:pos="624"/>
                <w:tab w:val="clear" w:pos="1247"/>
              </w:tabs>
              <w:spacing w:before="20"/>
              <w:ind w:left="635" w:right="57" w:hanging="425"/>
              <w:rPr>
                <w:lang w:eastAsia="nl-NL"/>
              </w:rPr>
            </w:pPr>
            <w:r w:rsidRPr="00A81971">
              <w:rPr>
                <w:color w:val="000000" w:themeColor="text1"/>
                <w:lang w:eastAsia="zh-CN"/>
              </w:rPr>
              <w:t>A low-end scenario based on the most recently reported consumption data for HCFCs and HFCs and a high-end scenario based on established HFC baselines and HCFC remaining eligible consumption</w:t>
            </w:r>
          </w:p>
        </w:tc>
        <w:tc>
          <w:tcPr>
            <w:tcW w:w="1361" w:type="dxa"/>
          </w:tcPr>
          <w:p w14:paraId="1534942F" w14:textId="77777777" w:rsidR="004A7B24" w:rsidRPr="00A81971" w:rsidRDefault="004A7B24" w:rsidP="00092870">
            <w:pPr>
              <w:pStyle w:val="Normal-pool-Table"/>
              <w:spacing w:before="20"/>
              <w:jc w:val="center"/>
              <w:rPr>
                <w:lang w:eastAsia="zh-CN"/>
              </w:rPr>
            </w:pPr>
            <w:r w:rsidRPr="00A81971">
              <w:rPr>
                <w:lang w:eastAsia="zh-CN"/>
              </w:rPr>
              <w:t>3</w:t>
            </w:r>
          </w:p>
        </w:tc>
      </w:tr>
      <w:tr w:rsidR="004A7B24" w14:paraId="542F5F3B" w14:textId="77777777" w:rsidTr="00092870">
        <w:trPr>
          <w:trHeight w:val="372"/>
          <w:jc w:val="right"/>
        </w:trPr>
        <w:tc>
          <w:tcPr>
            <w:tcW w:w="567" w:type="dxa"/>
            <w:vMerge/>
            <w:noWrap/>
            <w:tcMar>
              <w:top w:w="0" w:type="dxa"/>
              <w:left w:w="108" w:type="dxa"/>
              <w:bottom w:w="0" w:type="dxa"/>
              <w:right w:w="108" w:type="dxa"/>
            </w:tcMar>
          </w:tcPr>
          <w:p w14:paraId="472D1D6F" w14:textId="77777777" w:rsidR="004A7B24" w:rsidRPr="00A81971" w:rsidRDefault="004A7B24" w:rsidP="00092870">
            <w:pPr>
              <w:pStyle w:val="Normal-pool-Table"/>
              <w:spacing w:before="20"/>
              <w:rPr>
                <w:lang w:eastAsia="zh-CN"/>
              </w:rPr>
            </w:pPr>
          </w:p>
        </w:tc>
        <w:tc>
          <w:tcPr>
            <w:tcW w:w="6379" w:type="dxa"/>
          </w:tcPr>
          <w:p w14:paraId="28CEF475" w14:textId="77777777" w:rsidR="004A7B24" w:rsidRPr="008A27F7" w:rsidRDefault="004A7B24" w:rsidP="00092870">
            <w:pPr>
              <w:pStyle w:val="Normal-pool-Table"/>
              <w:numPr>
                <w:ilvl w:val="1"/>
                <w:numId w:val="1"/>
              </w:numPr>
              <w:tabs>
                <w:tab w:val="clear" w:pos="624"/>
                <w:tab w:val="clear" w:pos="1247"/>
              </w:tabs>
              <w:spacing w:before="20"/>
              <w:ind w:left="636" w:right="-57" w:hanging="425"/>
              <w:rPr>
                <w:lang w:eastAsia="nl-NL"/>
              </w:rPr>
            </w:pPr>
            <w:r w:rsidRPr="00A81971">
              <w:rPr>
                <w:color w:val="000000" w:themeColor="text1"/>
                <w:lang w:eastAsia="zh-CN"/>
              </w:rPr>
              <w:t xml:space="preserve">Realistic project implementation timelines such as modifying resources allocation schedule A for </w:t>
            </w:r>
            <w:r>
              <w:rPr>
                <w:color w:val="000000" w:themeColor="text1"/>
                <w:lang w:eastAsia="zh-CN"/>
              </w:rPr>
              <w:t>Stage</w:t>
            </w:r>
            <w:r w:rsidRPr="00A81971">
              <w:rPr>
                <w:color w:val="000000" w:themeColor="text1"/>
                <w:lang w:eastAsia="zh-CN"/>
              </w:rPr>
              <w:t xml:space="preserve"> II KIPs and to take into account rates of ratification for remaining non-parties to the Kigali Amendment</w:t>
            </w:r>
          </w:p>
        </w:tc>
        <w:tc>
          <w:tcPr>
            <w:tcW w:w="1361" w:type="dxa"/>
          </w:tcPr>
          <w:p w14:paraId="2684EAC5" w14:textId="77777777" w:rsidR="004A7B24" w:rsidRPr="00A81971" w:rsidRDefault="004A7B24" w:rsidP="00092870">
            <w:pPr>
              <w:pStyle w:val="Normal-pool-Table"/>
              <w:spacing w:before="20"/>
              <w:jc w:val="center"/>
              <w:rPr>
                <w:lang w:eastAsia="zh-CN"/>
              </w:rPr>
            </w:pPr>
            <w:r w:rsidRPr="00A81971">
              <w:rPr>
                <w:lang w:eastAsia="zh-CN"/>
              </w:rPr>
              <w:t>3</w:t>
            </w:r>
          </w:p>
        </w:tc>
      </w:tr>
      <w:tr w:rsidR="004A7B24" w14:paraId="4BFB46E7" w14:textId="77777777" w:rsidTr="00092870">
        <w:trPr>
          <w:trHeight w:val="372"/>
          <w:jc w:val="right"/>
        </w:trPr>
        <w:tc>
          <w:tcPr>
            <w:tcW w:w="567" w:type="dxa"/>
            <w:vMerge/>
            <w:noWrap/>
            <w:tcMar>
              <w:top w:w="0" w:type="dxa"/>
              <w:left w:w="108" w:type="dxa"/>
              <w:bottom w:w="0" w:type="dxa"/>
              <w:right w:w="108" w:type="dxa"/>
            </w:tcMar>
          </w:tcPr>
          <w:p w14:paraId="38654834" w14:textId="77777777" w:rsidR="004A7B24" w:rsidRPr="00A81971" w:rsidRDefault="004A7B24" w:rsidP="00092870">
            <w:pPr>
              <w:pStyle w:val="Normal-pool-Table"/>
              <w:spacing w:before="20"/>
              <w:rPr>
                <w:lang w:eastAsia="zh-CN"/>
              </w:rPr>
            </w:pPr>
          </w:p>
        </w:tc>
        <w:tc>
          <w:tcPr>
            <w:tcW w:w="6379" w:type="dxa"/>
          </w:tcPr>
          <w:p w14:paraId="208FD0B4" w14:textId="77777777" w:rsidR="004A7B24" w:rsidRPr="008A27F7" w:rsidRDefault="004A7B24" w:rsidP="00092870">
            <w:pPr>
              <w:pStyle w:val="Normal-pool-Table"/>
              <w:numPr>
                <w:ilvl w:val="1"/>
                <w:numId w:val="1"/>
              </w:numPr>
              <w:tabs>
                <w:tab w:val="clear" w:pos="624"/>
                <w:tab w:val="clear" w:pos="1247"/>
              </w:tabs>
              <w:spacing w:before="20"/>
              <w:ind w:left="635" w:right="57" w:hanging="425"/>
              <w:rPr>
                <w:lang w:eastAsia="nl-NL"/>
              </w:rPr>
            </w:pPr>
            <w:r w:rsidRPr="00A81971">
              <w:rPr>
                <w:color w:val="000000" w:themeColor="text1"/>
                <w:lang w:eastAsia="zh-CN"/>
              </w:rPr>
              <w:t xml:space="preserve">HFC-23 mitigation scenarios that account for the ongoing operating costs, IOCs of approved MLF projects </w:t>
            </w:r>
          </w:p>
        </w:tc>
        <w:tc>
          <w:tcPr>
            <w:tcW w:w="1361" w:type="dxa"/>
          </w:tcPr>
          <w:p w14:paraId="48464CC0" w14:textId="77777777" w:rsidR="004A7B24" w:rsidRPr="00A81971" w:rsidRDefault="004A7B24" w:rsidP="00092870">
            <w:pPr>
              <w:pStyle w:val="Normal-pool-Table"/>
              <w:spacing w:before="20"/>
              <w:jc w:val="center"/>
              <w:rPr>
                <w:lang w:eastAsia="zh-CN"/>
              </w:rPr>
            </w:pPr>
            <w:r w:rsidRPr="00A81971">
              <w:rPr>
                <w:lang w:eastAsia="zh-CN"/>
              </w:rPr>
              <w:t>2</w:t>
            </w:r>
          </w:p>
        </w:tc>
      </w:tr>
      <w:tr w:rsidR="004A7B24" w14:paraId="0CA8D5B3" w14:textId="77777777" w:rsidTr="00092870">
        <w:trPr>
          <w:trHeight w:val="372"/>
          <w:jc w:val="right"/>
        </w:trPr>
        <w:tc>
          <w:tcPr>
            <w:tcW w:w="567" w:type="dxa"/>
            <w:vMerge/>
            <w:noWrap/>
            <w:tcMar>
              <w:top w:w="0" w:type="dxa"/>
              <w:left w:w="108" w:type="dxa"/>
              <w:bottom w:w="0" w:type="dxa"/>
              <w:right w:w="108" w:type="dxa"/>
            </w:tcMar>
          </w:tcPr>
          <w:p w14:paraId="01DBEE01" w14:textId="77777777" w:rsidR="004A7B24" w:rsidRPr="00A81971" w:rsidRDefault="004A7B24" w:rsidP="00092870">
            <w:pPr>
              <w:pStyle w:val="Normal-pool-Table"/>
              <w:spacing w:before="20"/>
              <w:rPr>
                <w:lang w:eastAsia="zh-CN"/>
              </w:rPr>
            </w:pPr>
          </w:p>
        </w:tc>
        <w:tc>
          <w:tcPr>
            <w:tcW w:w="6379" w:type="dxa"/>
          </w:tcPr>
          <w:p w14:paraId="6D4646EC" w14:textId="77777777" w:rsidR="004A7B24" w:rsidRPr="008A27F7" w:rsidRDefault="004A7B24" w:rsidP="00092870">
            <w:pPr>
              <w:pStyle w:val="Normal-pool-Table"/>
              <w:numPr>
                <w:ilvl w:val="1"/>
                <w:numId w:val="1"/>
              </w:numPr>
              <w:tabs>
                <w:tab w:val="clear" w:pos="624"/>
                <w:tab w:val="clear" w:pos="1247"/>
              </w:tabs>
              <w:spacing w:before="20"/>
              <w:ind w:left="635" w:right="57" w:hanging="425"/>
              <w:rPr>
                <w:lang w:eastAsia="nl-NL"/>
              </w:rPr>
            </w:pPr>
            <w:r w:rsidRPr="00A81971">
              <w:rPr>
                <w:color w:val="000000" w:themeColor="text1"/>
                <w:lang w:eastAsia="zh-CN"/>
              </w:rPr>
              <w:t>A low-end scenario for energy efficiency (EE) (decision 94/60) based on projects included in the business plan of the MLF and a high-end scenario reflecting full utilization of remaining funds in the 94/60 funding window aimed at promoting EE improvements in the context of the HFC phase down in the next triennium</w:t>
            </w:r>
          </w:p>
        </w:tc>
        <w:tc>
          <w:tcPr>
            <w:tcW w:w="1361" w:type="dxa"/>
          </w:tcPr>
          <w:p w14:paraId="3C1BAC2C" w14:textId="77777777" w:rsidR="004A7B24" w:rsidRPr="00A81971" w:rsidRDefault="004A7B24" w:rsidP="00092870">
            <w:pPr>
              <w:pStyle w:val="Normal-pool-Table"/>
              <w:spacing w:before="20"/>
              <w:jc w:val="center"/>
              <w:rPr>
                <w:lang w:eastAsia="zh-CN"/>
              </w:rPr>
            </w:pPr>
            <w:r w:rsidRPr="00A81971">
              <w:rPr>
                <w:lang w:eastAsia="zh-CN"/>
              </w:rPr>
              <w:t>2</w:t>
            </w:r>
          </w:p>
        </w:tc>
      </w:tr>
      <w:tr w:rsidR="004A7B24" w14:paraId="037F7826" w14:textId="77777777" w:rsidTr="00092870">
        <w:trPr>
          <w:trHeight w:val="372"/>
          <w:jc w:val="right"/>
        </w:trPr>
        <w:tc>
          <w:tcPr>
            <w:tcW w:w="567" w:type="dxa"/>
            <w:vMerge/>
            <w:tcBorders>
              <w:bottom w:val="single" w:sz="4" w:space="0" w:color="auto"/>
            </w:tcBorders>
            <w:noWrap/>
            <w:tcMar>
              <w:top w:w="0" w:type="dxa"/>
              <w:left w:w="108" w:type="dxa"/>
              <w:bottom w:w="0" w:type="dxa"/>
              <w:right w:w="108" w:type="dxa"/>
            </w:tcMar>
          </w:tcPr>
          <w:p w14:paraId="441AF2F8" w14:textId="77777777" w:rsidR="004A7B24" w:rsidRPr="00A81971" w:rsidRDefault="004A7B24" w:rsidP="00092870">
            <w:pPr>
              <w:pStyle w:val="Normal-pool-Table"/>
              <w:spacing w:before="20"/>
              <w:rPr>
                <w:lang w:eastAsia="zh-CN"/>
              </w:rPr>
            </w:pPr>
          </w:p>
        </w:tc>
        <w:tc>
          <w:tcPr>
            <w:tcW w:w="6379" w:type="dxa"/>
            <w:tcBorders>
              <w:bottom w:val="single" w:sz="4" w:space="0" w:color="auto"/>
            </w:tcBorders>
          </w:tcPr>
          <w:p w14:paraId="58E7DDBF" w14:textId="77777777" w:rsidR="004A7B24" w:rsidRPr="008A27F7" w:rsidRDefault="004A7B24" w:rsidP="00092870">
            <w:pPr>
              <w:pStyle w:val="Normal-pool-Table"/>
              <w:numPr>
                <w:ilvl w:val="1"/>
                <w:numId w:val="1"/>
              </w:numPr>
              <w:tabs>
                <w:tab w:val="clear" w:pos="624"/>
                <w:tab w:val="clear" w:pos="1247"/>
              </w:tabs>
              <w:spacing w:before="20"/>
              <w:ind w:left="635" w:right="57" w:hanging="425"/>
              <w:rPr>
                <w:lang w:eastAsia="nl-NL"/>
              </w:rPr>
            </w:pPr>
            <w:r w:rsidRPr="00A81971">
              <w:rPr>
                <w:color w:val="000000" w:themeColor="text1"/>
                <w:lang w:eastAsia="zh-CN"/>
              </w:rPr>
              <w:t>The distribution of funding across different levels of country consumption to address the needs of A5 parties to enable compliance is adequately reflected</w:t>
            </w:r>
          </w:p>
        </w:tc>
        <w:tc>
          <w:tcPr>
            <w:tcW w:w="1361" w:type="dxa"/>
            <w:tcBorders>
              <w:bottom w:val="single" w:sz="4" w:space="0" w:color="auto"/>
            </w:tcBorders>
          </w:tcPr>
          <w:p w14:paraId="5232D76E" w14:textId="77777777" w:rsidR="004A7B24" w:rsidRPr="00A81971" w:rsidRDefault="004A7B24" w:rsidP="00092870">
            <w:pPr>
              <w:pStyle w:val="Normal-pool-Table"/>
              <w:spacing w:before="20"/>
              <w:jc w:val="center"/>
              <w:rPr>
                <w:lang w:eastAsia="zh-CN"/>
              </w:rPr>
            </w:pPr>
            <w:r w:rsidRPr="00A81971">
              <w:rPr>
                <w:lang w:eastAsia="zh-CN"/>
              </w:rPr>
              <w:t>2</w:t>
            </w:r>
          </w:p>
        </w:tc>
      </w:tr>
      <w:tr w:rsidR="004A7B24" w14:paraId="0C13001F" w14:textId="77777777" w:rsidTr="00092870">
        <w:trPr>
          <w:trHeight w:val="372"/>
          <w:jc w:val="right"/>
        </w:trPr>
        <w:tc>
          <w:tcPr>
            <w:tcW w:w="8307" w:type="dxa"/>
            <w:gridSpan w:val="3"/>
            <w:tcBorders>
              <w:top w:val="single" w:sz="4" w:space="0" w:color="auto"/>
              <w:bottom w:val="single" w:sz="4" w:space="0" w:color="auto"/>
            </w:tcBorders>
            <w:shd w:val="clear" w:color="auto" w:fill="FDE9D9" w:themeFill="accent6" w:themeFillTint="33"/>
            <w:vAlign w:val="center"/>
          </w:tcPr>
          <w:p w14:paraId="4C30ED78" w14:textId="4B4CD744" w:rsidR="004A7B24" w:rsidRPr="00742E0C" w:rsidRDefault="004A7B24" w:rsidP="00092870">
            <w:pPr>
              <w:pStyle w:val="Normal-pool-Table"/>
              <w:spacing w:before="20"/>
              <w:ind w:right="57"/>
              <w:jc w:val="both"/>
              <w:rPr>
                <w:b/>
                <w:lang w:eastAsia="zh-CN"/>
              </w:rPr>
            </w:pPr>
            <w:r w:rsidRPr="00742E0C">
              <w:rPr>
                <w:b/>
                <w:lang w:eastAsia="zh-CN"/>
              </w:rPr>
              <w:t>Low Volume Consuming (LVCs) and Very Low Volume Consuming (VLVCs) Parties</w:t>
            </w:r>
          </w:p>
        </w:tc>
      </w:tr>
      <w:tr w:rsidR="004A7B24" w14:paraId="235E2B67" w14:textId="77777777" w:rsidTr="00092870">
        <w:trPr>
          <w:trHeight w:val="372"/>
          <w:jc w:val="right"/>
        </w:trPr>
        <w:tc>
          <w:tcPr>
            <w:tcW w:w="567" w:type="dxa"/>
            <w:tcBorders>
              <w:top w:val="single" w:sz="4" w:space="0" w:color="auto"/>
              <w:bottom w:val="single" w:sz="4" w:space="0" w:color="auto"/>
            </w:tcBorders>
            <w:noWrap/>
            <w:tcMar>
              <w:top w:w="0" w:type="dxa"/>
              <w:left w:w="108" w:type="dxa"/>
              <w:bottom w:w="0" w:type="dxa"/>
              <w:right w:w="108" w:type="dxa"/>
            </w:tcMar>
          </w:tcPr>
          <w:p w14:paraId="4FF84B79" w14:textId="77777777" w:rsidR="004A7B24" w:rsidRPr="00A81971" w:rsidRDefault="004A7B24" w:rsidP="00092870">
            <w:pPr>
              <w:pStyle w:val="Normal-pool-Table"/>
              <w:spacing w:before="20"/>
              <w:rPr>
                <w:lang w:eastAsia="zh-CN"/>
              </w:rPr>
            </w:pPr>
            <w:r w:rsidRPr="00A81971">
              <w:rPr>
                <w:lang w:eastAsia="zh-CN"/>
              </w:rPr>
              <w:t>4</w:t>
            </w:r>
          </w:p>
        </w:tc>
        <w:tc>
          <w:tcPr>
            <w:tcW w:w="6379" w:type="dxa"/>
            <w:tcBorders>
              <w:top w:val="single" w:sz="4" w:space="0" w:color="auto"/>
              <w:bottom w:val="single" w:sz="4" w:space="0" w:color="auto"/>
            </w:tcBorders>
          </w:tcPr>
          <w:p w14:paraId="0374533A" w14:textId="77777777" w:rsidR="004A7B24" w:rsidRPr="00A81971" w:rsidRDefault="004A7B24" w:rsidP="00092870">
            <w:pPr>
              <w:pStyle w:val="Normal-pool-Table"/>
              <w:spacing w:before="20"/>
              <w:ind w:right="57"/>
              <w:rPr>
                <w:lang w:eastAsia="zh-CN"/>
              </w:rPr>
            </w:pPr>
            <w:r w:rsidRPr="00A81971">
              <w:rPr>
                <w:lang w:eastAsia="zh-CN"/>
              </w:rPr>
              <w:t>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p>
        </w:tc>
        <w:tc>
          <w:tcPr>
            <w:tcW w:w="1361" w:type="dxa"/>
            <w:tcBorders>
              <w:top w:val="single" w:sz="4" w:space="0" w:color="auto"/>
              <w:bottom w:val="single" w:sz="4" w:space="0" w:color="auto"/>
            </w:tcBorders>
          </w:tcPr>
          <w:p w14:paraId="20A98BA0" w14:textId="77777777" w:rsidR="004A7B24" w:rsidRPr="00A81971" w:rsidRDefault="004A7B24" w:rsidP="00092870">
            <w:pPr>
              <w:pStyle w:val="Normal-pool-Table"/>
              <w:spacing w:before="20"/>
              <w:jc w:val="center"/>
              <w:rPr>
                <w:lang w:eastAsia="zh-CN"/>
              </w:rPr>
            </w:pPr>
            <w:r w:rsidRPr="00A81971">
              <w:rPr>
                <w:lang w:eastAsia="zh-CN"/>
              </w:rPr>
              <w:t>4</w:t>
            </w:r>
          </w:p>
        </w:tc>
      </w:tr>
      <w:tr w:rsidR="004A7B24" w14:paraId="0632A58B" w14:textId="77777777" w:rsidTr="00092870">
        <w:trPr>
          <w:trHeight w:val="372"/>
          <w:jc w:val="right"/>
        </w:trPr>
        <w:tc>
          <w:tcPr>
            <w:tcW w:w="8307" w:type="dxa"/>
            <w:gridSpan w:val="3"/>
            <w:tcBorders>
              <w:top w:val="single" w:sz="4" w:space="0" w:color="auto"/>
              <w:bottom w:val="single" w:sz="4" w:space="0" w:color="auto"/>
            </w:tcBorders>
            <w:shd w:val="clear" w:color="auto" w:fill="FDE9D9" w:themeFill="accent6" w:themeFillTint="33"/>
            <w:vAlign w:val="center"/>
          </w:tcPr>
          <w:p w14:paraId="6EB3E3AF" w14:textId="2B8C014D" w:rsidR="004A7B24" w:rsidRPr="00742E0C" w:rsidRDefault="004A7B24" w:rsidP="00092870">
            <w:pPr>
              <w:pStyle w:val="Normal-pool-Table"/>
              <w:spacing w:before="20"/>
              <w:ind w:right="57"/>
              <w:jc w:val="both"/>
              <w:rPr>
                <w:b/>
                <w:lang w:eastAsia="zh-CN"/>
              </w:rPr>
            </w:pPr>
            <w:r w:rsidRPr="00742E0C">
              <w:rPr>
                <w:b/>
                <w:lang w:eastAsia="zh-CN"/>
              </w:rPr>
              <w:t>Lifecycle Refrigerant Management (LRM)</w:t>
            </w:r>
          </w:p>
        </w:tc>
      </w:tr>
      <w:tr w:rsidR="004A7B24" w14:paraId="5A44D104" w14:textId="77777777" w:rsidTr="00092870">
        <w:trPr>
          <w:trHeight w:val="372"/>
          <w:jc w:val="right"/>
        </w:trPr>
        <w:tc>
          <w:tcPr>
            <w:tcW w:w="567" w:type="dxa"/>
            <w:tcBorders>
              <w:top w:val="single" w:sz="4" w:space="0" w:color="auto"/>
              <w:bottom w:val="single" w:sz="12" w:space="0" w:color="auto"/>
            </w:tcBorders>
            <w:noWrap/>
            <w:tcMar>
              <w:top w:w="0" w:type="dxa"/>
              <w:left w:w="108" w:type="dxa"/>
              <w:bottom w:w="0" w:type="dxa"/>
              <w:right w:w="108" w:type="dxa"/>
            </w:tcMar>
          </w:tcPr>
          <w:p w14:paraId="60056770" w14:textId="77777777" w:rsidR="004A7B24" w:rsidRPr="00A81971" w:rsidRDefault="004A7B24" w:rsidP="00092870">
            <w:pPr>
              <w:pStyle w:val="Normal-pool-Table"/>
              <w:spacing w:before="20"/>
              <w:rPr>
                <w:lang w:eastAsia="zh-CN"/>
              </w:rPr>
            </w:pPr>
            <w:r w:rsidRPr="00A81971">
              <w:rPr>
                <w:lang w:eastAsia="zh-CN"/>
              </w:rPr>
              <w:t>5</w:t>
            </w:r>
          </w:p>
        </w:tc>
        <w:tc>
          <w:tcPr>
            <w:tcW w:w="6379" w:type="dxa"/>
            <w:tcBorders>
              <w:top w:val="single" w:sz="4" w:space="0" w:color="auto"/>
              <w:bottom w:val="single" w:sz="12" w:space="0" w:color="auto"/>
            </w:tcBorders>
          </w:tcPr>
          <w:p w14:paraId="4A5E1864" w14:textId="77777777" w:rsidR="004A7B24" w:rsidRPr="001879BC" w:rsidRDefault="004A7B24" w:rsidP="00092870">
            <w:pPr>
              <w:pStyle w:val="Normal-pool-Table"/>
              <w:spacing w:before="20"/>
              <w:ind w:right="57"/>
              <w:rPr>
                <w:lang w:eastAsia="zh-CN"/>
              </w:rPr>
            </w:pPr>
            <w:r w:rsidRPr="00A81971">
              <w:rPr>
                <w:lang w:eastAsia="zh-CN"/>
              </w:rPr>
              <w:t>Include a cost estimate for a high-end scenario for the potential funding window to be considered at the 100</w:t>
            </w:r>
            <w:r w:rsidRPr="00A81971">
              <w:rPr>
                <w:vertAlign w:val="superscript"/>
                <w:lang w:eastAsia="zh-CN"/>
              </w:rPr>
              <w:t>th</w:t>
            </w:r>
            <w:r w:rsidRPr="00A81971">
              <w:rPr>
                <w:lang w:eastAsia="zh-CN"/>
              </w:rPr>
              <w:t xml:space="preserve"> ExCom meeting for the period 2027</w:t>
            </w:r>
            <w:r>
              <w:rPr>
                <w:lang w:eastAsia="zh-CN"/>
              </w:rPr>
              <w:t>–</w:t>
            </w:r>
            <w:r w:rsidRPr="00A81971">
              <w:rPr>
                <w:lang w:eastAsia="zh-CN"/>
              </w:rPr>
              <w:t>2029 to support the implementation of national plans developed pursuant to decision 91/66, taking into account that activities to recover, recycle and reclaim refrigerants are also financed under HPMPs and KIPs</w:t>
            </w:r>
          </w:p>
        </w:tc>
        <w:tc>
          <w:tcPr>
            <w:tcW w:w="1361" w:type="dxa"/>
            <w:tcBorders>
              <w:top w:val="single" w:sz="4" w:space="0" w:color="auto"/>
              <w:bottom w:val="single" w:sz="12" w:space="0" w:color="auto"/>
            </w:tcBorders>
          </w:tcPr>
          <w:p w14:paraId="16DA92F7" w14:textId="77777777" w:rsidR="004A7B24" w:rsidRPr="00A81971" w:rsidRDefault="004A7B24" w:rsidP="00092870">
            <w:pPr>
              <w:pStyle w:val="Normal-pool-Table"/>
              <w:spacing w:before="20"/>
              <w:jc w:val="center"/>
              <w:rPr>
                <w:lang w:eastAsia="zh-CN"/>
              </w:rPr>
            </w:pPr>
            <w:r w:rsidRPr="00A81971">
              <w:rPr>
                <w:lang w:eastAsia="zh-CN"/>
              </w:rPr>
              <w:t>5</w:t>
            </w:r>
          </w:p>
        </w:tc>
      </w:tr>
    </w:tbl>
    <w:p w14:paraId="430B846B" w14:textId="4F25CE64" w:rsidR="004A7B24" w:rsidRPr="0032742D" w:rsidRDefault="0032742D" w:rsidP="0032742D">
      <w:pPr>
        <w:pStyle w:val="CH3"/>
      </w:pPr>
      <w:r>
        <w:tab/>
      </w:r>
      <w:r>
        <w:tab/>
      </w:r>
      <w:r w:rsidR="004A7B24" w:rsidRPr="0032742D">
        <w:t>Approach to Supplementary Report</w:t>
      </w:r>
    </w:p>
    <w:p w14:paraId="2BE3E0D4"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rsidRPr="00A81971">
        <w:t>For this supplementary report (September 2026 Report), the RTF’s approach was to first update its estimates using the same modelling approach as in its May 2026 Report (TEAP, 2026) with updated data and available information since that report was finalised, including the following:</w:t>
      </w:r>
    </w:p>
    <w:p w14:paraId="6034E454" w14:textId="77777777" w:rsidR="004A7B24" w:rsidRPr="00A81971" w:rsidRDefault="004A7B24">
      <w:pPr>
        <w:pStyle w:val="NormalNonumber"/>
        <w:numPr>
          <w:ilvl w:val="1"/>
          <w:numId w:val="22"/>
        </w:numPr>
        <w:tabs>
          <w:tab w:val="clear" w:pos="1871"/>
        </w:tabs>
        <w:ind w:left="1701" w:hanging="425"/>
      </w:pPr>
      <w:r w:rsidRPr="00A81971">
        <w:t>ExCom documents and decisions, including cost guidelines, up to and including ExCom-98;</w:t>
      </w:r>
    </w:p>
    <w:p w14:paraId="68285702" w14:textId="77777777" w:rsidR="004A7B24" w:rsidRPr="00A81971" w:rsidRDefault="004A7B24">
      <w:pPr>
        <w:pStyle w:val="NormalNonumber"/>
        <w:numPr>
          <w:ilvl w:val="1"/>
          <w:numId w:val="22"/>
        </w:numPr>
        <w:tabs>
          <w:tab w:val="clear" w:pos="1871"/>
        </w:tabs>
        <w:ind w:left="1701" w:hanging="425"/>
      </w:pPr>
      <w:r w:rsidRPr="00A81971">
        <w:t>A7 consumption data as reported to the Ozone Secretariat (OS), as of 17 July 2026;</w:t>
      </w:r>
    </w:p>
    <w:p w14:paraId="6E9EE887" w14:textId="77777777" w:rsidR="004A7B24" w:rsidRPr="00A81971" w:rsidRDefault="004A7B24">
      <w:pPr>
        <w:pStyle w:val="NormalNonumber"/>
        <w:numPr>
          <w:ilvl w:val="1"/>
          <w:numId w:val="22"/>
        </w:numPr>
        <w:tabs>
          <w:tab w:val="clear" w:pos="1871"/>
        </w:tabs>
        <w:ind w:left="1701" w:hanging="425"/>
      </w:pPr>
      <w:r w:rsidRPr="00A81971">
        <w:t>Country Programme data submitted to the MLF Secretariat (MLFS), as of 17 July 2026;</w:t>
      </w:r>
    </w:p>
    <w:p w14:paraId="614B6619" w14:textId="77777777" w:rsidR="004A7B24" w:rsidRPr="00A81971" w:rsidRDefault="004A7B24">
      <w:pPr>
        <w:pStyle w:val="NormalNonumber"/>
        <w:numPr>
          <w:ilvl w:val="1"/>
          <w:numId w:val="22"/>
        </w:numPr>
        <w:tabs>
          <w:tab w:val="clear" w:pos="1871"/>
        </w:tabs>
        <w:ind w:left="1701" w:hanging="425"/>
      </w:pPr>
      <w:r w:rsidRPr="00A81971">
        <w:t>Information provided by the MLFS on approved HCFC Phase-out Management Plans (HPMPs) and Kigali HFC Implementation Plans (KIPs), including agreed reductions from baseline consumption, funding and tranche schedules, project preparation and verification activities, as well as updated information on HFC-23 mitigation and energy efficiency (EE) and the status of funding windows;</w:t>
      </w:r>
    </w:p>
    <w:p w14:paraId="2498AC05" w14:textId="77777777" w:rsidR="004A7B24" w:rsidRPr="00A81971" w:rsidRDefault="004A7B24">
      <w:pPr>
        <w:pStyle w:val="NormalNonumber"/>
        <w:numPr>
          <w:ilvl w:val="1"/>
          <w:numId w:val="22"/>
        </w:numPr>
        <w:tabs>
          <w:tab w:val="clear" w:pos="1871"/>
        </w:tabs>
        <w:ind w:left="1701" w:hanging="425"/>
      </w:pPr>
      <w:r w:rsidRPr="00A81971">
        <w:lastRenderedPageBreak/>
        <w:t>Maintained the classification of low-volume consuming countries (LVCs) based on HCFC and HFC baseline consumption (as presented in Annex 5 of the RTF May 2026 Report);</w:t>
      </w:r>
    </w:p>
    <w:p w14:paraId="100BF49E" w14:textId="77777777" w:rsidR="004A7B24" w:rsidRPr="00A81971" w:rsidRDefault="004A7B24">
      <w:pPr>
        <w:pStyle w:val="NormalNonumber"/>
        <w:numPr>
          <w:ilvl w:val="1"/>
          <w:numId w:val="22"/>
        </w:numPr>
        <w:tabs>
          <w:tab w:val="clear" w:pos="1871"/>
        </w:tabs>
        <w:ind w:left="1701" w:hanging="425"/>
      </w:pPr>
      <w:r w:rsidRPr="00A81971">
        <w:t>RTF continued to rely on the Consolidated Business Plan of the Multilateral Fund for 2026</w:t>
      </w:r>
      <w:r>
        <w:t>–</w:t>
      </w:r>
      <w:r w:rsidRPr="00A81971">
        <w:t xml:space="preserve">2028 (BP), as </w:t>
      </w:r>
      <w:r w:rsidRPr="0032742D">
        <w:t>the 2027–2029 Business Plan is not yet available, and would only be available once the MLFS finalises the (pre-session) 2027–2029 business plan;</w:t>
      </w:r>
      <w:r w:rsidRPr="00A81971">
        <w:t xml:space="preserve">  </w:t>
      </w:r>
    </w:p>
    <w:p w14:paraId="35B3F8BD" w14:textId="77777777" w:rsidR="004A7B24" w:rsidRPr="00A81971" w:rsidRDefault="004A7B24">
      <w:pPr>
        <w:pStyle w:val="NormalNonumber"/>
        <w:numPr>
          <w:ilvl w:val="1"/>
          <w:numId w:val="22"/>
        </w:numPr>
        <w:tabs>
          <w:tab w:val="clear" w:pos="1871"/>
        </w:tabs>
        <w:ind w:left="1701" w:hanging="425"/>
      </w:pPr>
      <w:r w:rsidRPr="00A81971">
        <w:t xml:space="preserve">Parties’ ratification status of the Kigali Amendment (KA), as of 10 August 2026 (Annex 2 of this report); </w:t>
      </w:r>
    </w:p>
    <w:p w14:paraId="545A2BFF" w14:textId="77777777" w:rsidR="004A7B24" w:rsidRPr="0032742D" w:rsidRDefault="004A7B24">
      <w:pPr>
        <w:pStyle w:val="NormalNonumber"/>
        <w:numPr>
          <w:ilvl w:val="1"/>
          <w:numId w:val="22"/>
        </w:numPr>
        <w:tabs>
          <w:tab w:val="clear" w:pos="1871"/>
        </w:tabs>
        <w:ind w:left="1701" w:hanging="425"/>
      </w:pPr>
      <w:r w:rsidRPr="00A81971">
        <w:t>Included applicable project management unit (PMU) costs to non-LVC parties (</w:t>
      </w:r>
      <w:r w:rsidRPr="0032742D">
        <w:t xml:space="preserve">5 % for the largest consuming A5 party, 7% for the next top 10 A5 consuming parties, and 10% for remaining A5 parties) (not included in the RTF May 2026 Report); </w:t>
      </w:r>
    </w:p>
    <w:p w14:paraId="2256BE77" w14:textId="77777777" w:rsidR="004A7B24" w:rsidRPr="0032742D" w:rsidRDefault="004A7B24">
      <w:pPr>
        <w:pStyle w:val="NormalNonumber"/>
        <w:numPr>
          <w:ilvl w:val="1"/>
          <w:numId w:val="22"/>
        </w:numPr>
        <w:tabs>
          <w:tab w:val="clear" w:pos="1871"/>
        </w:tabs>
        <w:ind w:left="1701" w:hanging="425"/>
      </w:pPr>
      <w:r w:rsidRPr="0032742D">
        <w:t>Maintained the estimates for institutional strengthening and standard activities (IS and SA) as in the RTF May 2026 Report; and</w:t>
      </w:r>
    </w:p>
    <w:p w14:paraId="74D59320" w14:textId="77777777" w:rsidR="004A7B24" w:rsidRPr="00A81971" w:rsidRDefault="004A7B24">
      <w:pPr>
        <w:pStyle w:val="NormalNonumber"/>
        <w:numPr>
          <w:ilvl w:val="1"/>
          <w:numId w:val="22"/>
        </w:numPr>
        <w:tabs>
          <w:tab w:val="clear" w:pos="1871"/>
        </w:tabs>
        <w:ind w:left="1701" w:hanging="425"/>
      </w:pPr>
      <w:r w:rsidRPr="0032742D">
        <w:t>Continued to apply average 9.6% for agency support costs and 15% discount for foreign ownership for manufacturing sectors.</w:t>
      </w:r>
    </w:p>
    <w:p w14:paraId="2822A19D"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rsidRPr="00A81971">
        <w:rPr>
          <w:color w:val="000000" w:themeColor="text1"/>
        </w:rPr>
        <w:t xml:space="preserve">With the above </w:t>
      </w:r>
      <w:r w:rsidRPr="00AD4D5C">
        <w:t xml:space="preserve">updates, the RTF 2026 Report is referred to as the </w:t>
      </w:r>
      <w:r w:rsidRPr="000C3B83">
        <w:rPr>
          <w:b/>
          <w:bCs/>
        </w:rPr>
        <w:t>“Updated RTF May Report”</w:t>
      </w:r>
      <w:r w:rsidRPr="00AD4D5C">
        <w:t>.</w:t>
      </w:r>
      <w:r w:rsidRPr="00A81971">
        <w:t xml:space="preserve">  </w:t>
      </w:r>
    </w:p>
    <w:p w14:paraId="539EC8F8"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rsidRPr="00A81971">
        <w:t xml:space="preserve">Once the above updates to funding estimates were made, then RTF addressed the suggestions from OEWG48, described in the remaining chapters of this report. </w:t>
      </w:r>
    </w:p>
    <w:p w14:paraId="02C1BA42" w14:textId="73E0BF31" w:rsidR="004A7B24" w:rsidRPr="00A81971" w:rsidRDefault="0032742D" w:rsidP="0032742D">
      <w:pPr>
        <w:pStyle w:val="CH2"/>
      </w:pPr>
      <w:r>
        <w:tab/>
      </w:r>
      <w:r>
        <w:tab/>
      </w:r>
      <w:r w:rsidR="004A7B24" w:rsidRPr="00A81971">
        <w:t>UPDATES TO THE RTF MAY 2026 REPORT</w:t>
      </w:r>
    </w:p>
    <w:p w14:paraId="5D132867"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rsidRPr="00A81971">
        <w:t>Chapter 2 of this report provides further discussion and the updated estimates as in Table ES</w:t>
      </w:r>
      <w:r>
        <w:t>.</w:t>
      </w:r>
      <w:r w:rsidRPr="00A81971">
        <w:t>2 below based on the above information and assumptions. RTF notes that these updates also incorporate the following suggestions from parties from OEWG48 as in Table ES</w:t>
      </w:r>
      <w:r>
        <w:t>.</w:t>
      </w:r>
      <w:r w:rsidRPr="00A81971">
        <w:t>1:</w:t>
      </w:r>
    </w:p>
    <w:p w14:paraId="4301DAA0" w14:textId="77777777" w:rsidR="004A7B24" w:rsidRPr="00106BB6" w:rsidRDefault="004A7B24">
      <w:pPr>
        <w:pStyle w:val="NormalNonumber"/>
        <w:numPr>
          <w:ilvl w:val="0"/>
          <w:numId w:val="24"/>
        </w:numPr>
        <w:tabs>
          <w:tab w:val="clear" w:pos="1871"/>
        </w:tabs>
        <w:ind w:left="1560" w:hanging="284"/>
        <w:rPr>
          <w:i/>
          <w:iCs/>
        </w:rPr>
      </w:pPr>
      <w:r w:rsidRPr="00106BB6">
        <w:rPr>
          <w:i/>
          <w:iCs/>
        </w:rPr>
        <w:t>Adjust all elements of the funding requirements based on relevant decisions taken at the 98th meeting of the Executive Committee and make any additional necessary updates to accurately reflect amounts in approved HPMPs and KIPs;</w:t>
      </w:r>
    </w:p>
    <w:p w14:paraId="392D097D" w14:textId="77777777" w:rsidR="004A7B24" w:rsidRPr="00106BB6" w:rsidRDefault="004A7B24">
      <w:pPr>
        <w:pStyle w:val="NormalNonumber"/>
        <w:numPr>
          <w:ilvl w:val="0"/>
          <w:numId w:val="24"/>
        </w:numPr>
        <w:tabs>
          <w:tab w:val="clear" w:pos="1871"/>
        </w:tabs>
        <w:ind w:left="1560" w:hanging="284"/>
        <w:rPr>
          <w:i/>
          <w:iCs/>
        </w:rPr>
      </w:pPr>
      <w:r w:rsidRPr="00106BB6">
        <w:rPr>
          <w:i/>
          <w:iCs/>
        </w:rPr>
        <w:t>HFC-23 mitigation scenarios that account for the ongoing operating costs, IOCs of approved MLF projects;</w:t>
      </w:r>
    </w:p>
    <w:p w14:paraId="0FD1C054" w14:textId="77777777" w:rsidR="004A7B24" w:rsidRPr="00106BB6" w:rsidRDefault="004A7B24">
      <w:pPr>
        <w:pStyle w:val="NormalNonumber"/>
        <w:numPr>
          <w:ilvl w:val="0"/>
          <w:numId w:val="24"/>
        </w:numPr>
        <w:tabs>
          <w:tab w:val="clear" w:pos="1871"/>
        </w:tabs>
        <w:ind w:left="1560" w:hanging="284"/>
        <w:rPr>
          <w:i/>
          <w:iCs/>
        </w:rPr>
      </w:pPr>
      <w:r w:rsidRPr="00106BB6">
        <w:rPr>
          <w:i/>
          <w:iCs/>
        </w:rPr>
        <w:t xml:space="preserve">A low-end scenario for EE (decision 94/60) based on projects included in the business plan of the MLF and a high-end scenario reflecting full utilization of remaining funds in the 94/60 funding window aimed at promoting EE improvements in the context of the HFC phase down in the next triennium; and </w:t>
      </w:r>
    </w:p>
    <w:p w14:paraId="7CCC07AA" w14:textId="77777777" w:rsidR="004A7B24" w:rsidRPr="00106BB6" w:rsidRDefault="004A7B24">
      <w:pPr>
        <w:pStyle w:val="NormalNonumber"/>
        <w:numPr>
          <w:ilvl w:val="0"/>
          <w:numId w:val="24"/>
        </w:numPr>
        <w:tabs>
          <w:tab w:val="clear" w:pos="1871"/>
        </w:tabs>
        <w:ind w:left="1560" w:hanging="284"/>
        <w:rPr>
          <w:i/>
          <w:iCs/>
          <w:color w:val="6D5700"/>
          <w:u w:val="single"/>
        </w:rPr>
      </w:pPr>
      <w:r w:rsidRPr="00106BB6">
        <w:rPr>
          <w:i/>
          <w:iCs/>
        </w:rPr>
        <w:t xml:space="preserve">The distribution of funding across different levels of country consumption to address the needs of A5 parties to enable compliance is adequately reflected. </w:t>
      </w:r>
    </w:p>
    <w:p w14:paraId="056418C6" w14:textId="77777777" w:rsidR="004A7B24" w:rsidRPr="0032742D" w:rsidRDefault="004A7B24" w:rsidP="0032742D">
      <w:pPr>
        <w:pStyle w:val="NormalNonumber"/>
        <w:tabs>
          <w:tab w:val="clear" w:pos="1247"/>
          <w:tab w:val="clear" w:pos="1871"/>
          <w:tab w:val="clear" w:pos="2495"/>
          <w:tab w:val="clear" w:pos="3119"/>
          <w:tab w:val="clear" w:pos="3742"/>
          <w:tab w:val="clear" w:pos="4366"/>
          <w:tab w:val="clear" w:pos="4990"/>
        </w:tabs>
      </w:pPr>
      <w:r w:rsidRPr="00A81971">
        <w:t>Important to note that the model developed by RTF to estimate funding needs already considers the last suggestion, therefore, no further action was taken by RTF to address this suggestion.</w:t>
      </w:r>
    </w:p>
    <w:p w14:paraId="4A79FE84" w14:textId="77777777" w:rsidR="004A7B24" w:rsidRPr="00B42277" w:rsidRDefault="004A7B24" w:rsidP="0032742D">
      <w:pPr>
        <w:pStyle w:val="NormalNonumber"/>
        <w:tabs>
          <w:tab w:val="clear" w:pos="1247"/>
          <w:tab w:val="clear" w:pos="1871"/>
          <w:tab w:val="clear" w:pos="2495"/>
          <w:tab w:val="clear" w:pos="3119"/>
          <w:tab w:val="clear" w:pos="3742"/>
          <w:tab w:val="clear" w:pos="4366"/>
          <w:tab w:val="clear" w:pos="4990"/>
        </w:tabs>
      </w:pPr>
      <w:r w:rsidRPr="00A81971">
        <w:t>The updated ranges of total estimated funding requirements based on the updated information as provided in Chapter 2 for the triennium 2027</w:t>
      </w:r>
      <w:r>
        <w:t>–</w:t>
      </w:r>
      <w:r w:rsidRPr="00A81971">
        <w:t>2029 are shown in Table ES</w:t>
      </w:r>
      <w:r>
        <w:t>.</w:t>
      </w:r>
      <w:r w:rsidRPr="00A81971">
        <w:t>2.</w:t>
      </w:r>
    </w:p>
    <w:p w14:paraId="5BF4D480" w14:textId="00FD2D84" w:rsidR="004A7B24" w:rsidRPr="00A81971" w:rsidRDefault="004A7B24" w:rsidP="006B1D95">
      <w:pPr>
        <w:pStyle w:val="Titletable"/>
        <w:keepNext w:val="0"/>
        <w:keepLines w:val="0"/>
        <w:spacing w:before="240"/>
      </w:pPr>
      <w:r w:rsidRPr="0032742D">
        <w:rPr>
          <w:rFonts w:eastAsia="Yu Mincho"/>
          <w:b w:val="0"/>
          <w:bCs w:val="0"/>
          <w:color w:val="000000"/>
          <w:lang w:val="en-CA"/>
        </w:rPr>
        <w:t>Table ES.2</w:t>
      </w:r>
      <w:r w:rsidR="0032742D" w:rsidRPr="0032742D">
        <w:rPr>
          <w:rFonts w:eastAsia="Yu Mincho"/>
          <w:b w:val="0"/>
          <w:bCs w:val="0"/>
          <w:color w:val="000000"/>
          <w:lang w:val="en-CA"/>
        </w:rPr>
        <w:t xml:space="preserve"> </w:t>
      </w:r>
      <w:r w:rsidR="0032742D" w:rsidRPr="0032742D">
        <w:rPr>
          <w:b w:val="0"/>
          <w:bCs w:val="0"/>
          <w:color w:val="000000"/>
          <w:lang w:val="en-CA"/>
        </w:rPr>
        <w:br/>
      </w:r>
      <w:r w:rsidRPr="00A81971">
        <w:t>Updated ranges of total funding requirement for the replenishment of the MLF 2027–2029 (US$</w:t>
      </w:r>
      <w:r w:rsidR="0032742D">
        <w:t> </w:t>
      </w:r>
      <w:r w:rsidRPr="00A81971">
        <w:t>million)</w:t>
      </w:r>
      <w:r w:rsidRPr="0006445E">
        <w:rPr>
          <w:color w:val="000000"/>
          <w:lang w:val="en-CA"/>
        </w:rPr>
        <w:t xml:space="preserve"> </w:t>
      </w:r>
    </w:p>
    <w:tbl>
      <w:tblPr>
        <w:tblW w:w="8307" w:type="dxa"/>
        <w:jc w:val="right"/>
        <w:tblCellMar>
          <w:left w:w="28" w:type="dxa"/>
          <w:right w:w="0" w:type="dxa"/>
        </w:tblCellMar>
        <w:tblLook w:val="04A0" w:firstRow="1" w:lastRow="0" w:firstColumn="1" w:lastColumn="0" w:noHBand="0" w:noVBand="1"/>
      </w:tblPr>
      <w:tblGrid>
        <w:gridCol w:w="2848"/>
        <w:gridCol w:w="2553"/>
        <w:gridCol w:w="2906"/>
      </w:tblGrid>
      <w:tr w:rsidR="004A7B24" w:rsidRPr="00B906B9" w14:paraId="5C2ADF87" w14:textId="77777777" w:rsidTr="00CC7561">
        <w:trPr>
          <w:trHeight w:val="57"/>
          <w:jc w:val="right"/>
        </w:trPr>
        <w:tc>
          <w:tcPr>
            <w:tcW w:w="2848" w:type="dxa"/>
            <w:tcBorders>
              <w:top w:val="single" w:sz="4" w:space="0" w:color="auto"/>
              <w:bottom w:val="single" w:sz="12" w:space="0" w:color="auto"/>
            </w:tcBorders>
            <w:shd w:val="clear" w:color="auto" w:fill="DBE5F1" w:themeFill="accent1" w:themeFillTint="33"/>
            <w:vAlign w:val="center"/>
            <w:hideMark/>
          </w:tcPr>
          <w:p w14:paraId="5A891D6C" w14:textId="77777777" w:rsidR="004A7B24" w:rsidRPr="00565EC9" w:rsidRDefault="004A7B24" w:rsidP="006B1D95">
            <w:pPr>
              <w:pStyle w:val="Normal-pool-Table"/>
              <w:ind w:left="57" w:right="57"/>
              <w:rPr>
                <w:i/>
                <w:iCs/>
              </w:rPr>
            </w:pPr>
            <w:r w:rsidRPr="00565EC9">
              <w:rPr>
                <w:i/>
                <w:iCs/>
              </w:rPr>
              <w:t>2027-2029 Triennium</w:t>
            </w:r>
          </w:p>
        </w:tc>
        <w:tc>
          <w:tcPr>
            <w:tcW w:w="2553" w:type="dxa"/>
            <w:tcBorders>
              <w:top w:val="single" w:sz="4" w:space="0" w:color="auto"/>
              <w:bottom w:val="single" w:sz="12" w:space="0" w:color="auto"/>
            </w:tcBorders>
            <w:shd w:val="clear" w:color="auto" w:fill="DBE5F1" w:themeFill="accent1" w:themeFillTint="33"/>
            <w:vAlign w:val="center"/>
            <w:hideMark/>
          </w:tcPr>
          <w:p w14:paraId="593A99CA" w14:textId="6CEDA684" w:rsidR="004A7B24" w:rsidRPr="00565EC9" w:rsidRDefault="004A7B24" w:rsidP="006B1D95">
            <w:pPr>
              <w:pStyle w:val="Normal-pool-Table"/>
              <w:ind w:left="57" w:right="57"/>
              <w:jc w:val="right"/>
              <w:rPr>
                <w:i/>
                <w:iCs/>
              </w:rPr>
            </w:pPr>
            <w:r w:rsidRPr="00565EC9">
              <w:rPr>
                <w:i/>
                <w:iCs/>
              </w:rPr>
              <w:t>May 2026 Report Estimates</w:t>
            </w:r>
            <w:r w:rsidRPr="00A350C1">
              <w:rPr>
                <w:i/>
                <w:iCs/>
                <w:vertAlign w:val="superscript"/>
              </w:rPr>
              <w:footnoteReference w:id="10"/>
            </w:r>
          </w:p>
        </w:tc>
        <w:tc>
          <w:tcPr>
            <w:tcW w:w="2906" w:type="dxa"/>
            <w:tcBorders>
              <w:top w:val="single" w:sz="4" w:space="0" w:color="auto"/>
              <w:bottom w:val="single" w:sz="12" w:space="0" w:color="auto"/>
            </w:tcBorders>
            <w:shd w:val="clear" w:color="auto" w:fill="DBE5F1" w:themeFill="accent1" w:themeFillTint="33"/>
            <w:vAlign w:val="center"/>
            <w:hideMark/>
          </w:tcPr>
          <w:p w14:paraId="382AC741" w14:textId="7419F76F" w:rsidR="004A7B24" w:rsidRPr="00565EC9" w:rsidRDefault="004A7B24" w:rsidP="006B1D95">
            <w:pPr>
              <w:pStyle w:val="Normal-pool-Table"/>
              <w:ind w:left="57" w:right="57"/>
              <w:jc w:val="right"/>
              <w:rPr>
                <w:i/>
                <w:iCs/>
              </w:rPr>
            </w:pPr>
            <w:r w:rsidRPr="00565EC9">
              <w:rPr>
                <w:i/>
                <w:iCs/>
              </w:rPr>
              <w:t>Updated May Report Estimates</w:t>
            </w:r>
            <w:r w:rsidRPr="00565EC9">
              <w:rPr>
                <w:i/>
                <w:iCs/>
                <w:vertAlign w:val="superscript"/>
              </w:rPr>
              <w:footnoteReference w:id="11"/>
            </w:r>
          </w:p>
        </w:tc>
      </w:tr>
      <w:tr w:rsidR="004A7B24" w:rsidRPr="00B906B9" w14:paraId="0678CBC1" w14:textId="77777777" w:rsidTr="00CC7561">
        <w:trPr>
          <w:trHeight w:val="57"/>
          <w:jc w:val="right"/>
        </w:trPr>
        <w:tc>
          <w:tcPr>
            <w:tcW w:w="2848" w:type="dxa"/>
            <w:tcBorders>
              <w:top w:val="single" w:sz="12" w:space="0" w:color="auto"/>
              <w:bottom w:val="single" w:sz="4" w:space="0" w:color="auto"/>
            </w:tcBorders>
            <w:shd w:val="clear" w:color="auto" w:fill="FDE9D9" w:themeFill="accent6" w:themeFillTint="33"/>
            <w:vAlign w:val="bottom"/>
          </w:tcPr>
          <w:p w14:paraId="73CE32DA" w14:textId="77777777" w:rsidR="004A7B24" w:rsidRPr="00B906B9" w:rsidRDefault="004A7B24" w:rsidP="006B1D95">
            <w:pPr>
              <w:pStyle w:val="Normal-pool-Table"/>
              <w:ind w:left="57" w:right="57"/>
              <w:rPr>
                <w:b/>
                <w:bCs/>
              </w:rPr>
            </w:pPr>
            <w:r w:rsidRPr="00B906B9">
              <w:rPr>
                <w:b/>
                <w:bCs/>
              </w:rPr>
              <w:t>SUBTOTAL – HCFC ACTIVITIES</w:t>
            </w:r>
          </w:p>
        </w:tc>
        <w:tc>
          <w:tcPr>
            <w:tcW w:w="2553" w:type="dxa"/>
            <w:tcBorders>
              <w:top w:val="single" w:sz="12" w:space="0" w:color="auto"/>
              <w:bottom w:val="single" w:sz="4" w:space="0" w:color="auto"/>
            </w:tcBorders>
            <w:shd w:val="clear" w:color="auto" w:fill="FFFFFF" w:themeFill="background1"/>
            <w:vAlign w:val="center"/>
          </w:tcPr>
          <w:p w14:paraId="4881DC37" w14:textId="77777777" w:rsidR="004A7B24" w:rsidRPr="00B906B9" w:rsidRDefault="004A7B24" w:rsidP="006B1D95">
            <w:pPr>
              <w:pStyle w:val="Normal-pool-Table"/>
              <w:ind w:left="57" w:right="57"/>
              <w:jc w:val="right"/>
              <w:rPr>
                <w:b/>
                <w:bCs/>
              </w:rPr>
            </w:pPr>
            <w:r w:rsidRPr="00B906B9">
              <w:rPr>
                <w:b/>
                <w:bCs/>
              </w:rPr>
              <w:t>451 – 573</w:t>
            </w:r>
          </w:p>
        </w:tc>
        <w:tc>
          <w:tcPr>
            <w:tcW w:w="2906" w:type="dxa"/>
            <w:tcBorders>
              <w:top w:val="single" w:sz="12" w:space="0" w:color="auto"/>
              <w:bottom w:val="single" w:sz="4" w:space="0" w:color="auto"/>
            </w:tcBorders>
            <w:shd w:val="clear" w:color="auto" w:fill="FFFFFF" w:themeFill="background1"/>
            <w:vAlign w:val="center"/>
          </w:tcPr>
          <w:p w14:paraId="38EA101C" w14:textId="77777777" w:rsidR="004A7B24" w:rsidRPr="00B906B9" w:rsidRDefault="004A7B24" w:rsidP="006B1D95">
            <w:pPr>
              <w:pStyle w:val="Normal-pool-Table"/>
              <w:ind w:left="57" w:right="57"/>
              <w:jc w:val="right"/>
              <w:rPr>
                <w:b/>
                <w:bCs/>
              </w:rPr>
            </w:pPr>
            <w:r w:rsidRPr="00B906B9">
              <w:rPr>
                <w:b/>
                <w:bCs/>
              </w:rPr>
              <w:t>437 – 564</w:t>
            </w:r>
          </w:p>
        </w:tc>
      </w:tr>
      <w:tr w:rsidR="004A7B24" w:rsidRPr="00B906B9" w14:paraId="350E9313" w14:textId="77777777" w:rsidTr="00CC7561">
        <w:trPr>
          <w:trHeight w:val="57"/>
          <w:jc w:val="right"/>
        </w:trPr>
        <w:tc>
          <w:tcPr>
            <w:tcW w:w="2848" w:type="dxa"/>
            <w:tcBorders>
              <w:top w:val="single" w:sz="4" w:space="0" w:color="auto"/>
              <w:bottom w:val="single" w:sz="4" w:space="0" w:color="auto"/>
            </w:tcBorders>
            <w:shd w:val="clear" w:color="auto" w:fill="FDE9D9" w:themeFill="accent6" w:themeFillTint="33"/>
            <w:vAlign w:val="bottom"/>
          </w:tcPr>
          <w:p w14:paraId="632D6CD3" w14:textId="77777777" w:rsidR="004A7B24" w:rsidRPr="00B906B9" w:rsidRDefault="004A7B24" w:rsidP="006B1D95">
            <w:pPr>
              <w:pStyle w:val="Normal-pool-Table"/>
              <w:ind w:left="57" w:right="57"/>
              <w:rPr>
                <w:b/>
                <w:bCs/>
              </w:rPr>
            </w:pPr>
            <w:r w:rsidRPr="00B906B9">
              <w:rPr>
                <w:b/>
                <w:bCs/>
              </w:rPr>
              <w:t>SUBTOTAL – HFC ACTIVITIES</w:t>
            </w:r>
          </w:p>
        </w:tc>
        <w:tc>
          <w:tcPr>
            <w:tcW w:w="2553" w:type="dxa"/>
            <w:tcBorders>
              <w:top w:val="single" w:sz="4" w:space="0" w:color="auto"/>
              <w:bottom w:val="single" w:sz="4" w:space="0" w:color="auto"/>
            </w:tcBorders>
            <w:shd w:val="clear" w:color="auto" w:fill="FFFFFF" w:themeFill="background1"/>
            <w:vAlign w:val="center"/>
          </w:tcPr>
          <w:p w14:paraId="60B4BFF4" w14:textId="7029D716" w:rsidR="004A7B24" w:rsidRPr="00B906B9" w:rsidRDefault="004A7B24" w:rsidP="006B1D95">
            <w:pPr>
              <w:pStyle w:val="Normal-pool-Table"/>
              <w:ind w:left="57" w:right="57"/>
              <w:jc w:val="right"/>
              <w:rPr>
                <w:b/>
                <w:bCs/>
              </w:rPr>
            </w:pPr>
            <w:r w:rsidRPr="00B906B9">
              <w:rPr>
                <w:b/>
                <w:bCs/>
              </w:rPr>
              <w:t>702 – 1</w:t>
            </w:r>
            <w:r w:rsidR="00565EC9">
              <w:rPr>
                <w:b/>
                <w:bCs/>
              </w:rPr>
              <w:t xml:space="preserve"> </w:t>
            </w:r>
            <w:r w:rsidRPr="00B906B9">
              <w:rPr>
                <w:b/>
                <w:bCs/>
              </w:rPr>
              <w:t>053</w:t>
            </w:r>
          </w:p>
        </w:tc>
        <w:tc>
          <w:tcPr>
            <w:tcW w:w="2906" w:type="dxa"/>
            <w:tcBorders>
              <w:top w:val="single" w:sz="4" w:space="0" w:color="auto"/>
              <w:bottom w:val="single" w:sz="4" w:space="0" w:color="auto"/>
            </w:tcBorders>
            <w:shd w:val="clear" w:color="auto" w:fill="FFFFFF" w:themeFill="background1"/>
            <w:vAlign w:val="center"/>
          </w:tcPr>
          <w:p w14:paraId="1134E3A9" w14:textId="77777777" w:rsidR="004A7B24" w:rsidRPr="00B906B9" w:rsidRDefault="004A7B24" w:rsidP="006B1D95">
            <w:pPr>
              <w:pStyle w:val="Normal-pool-Table"/>
              <w:ind w:left="57" w:right="57"/>
              <w:jc w:val="right"/>
              <w:rPr>
                <w:b/>
                <w:bCs/>
              </w:rPr>
            </w:pPr>
            <w:r w:rsidRPr="00B906B9">
              <w:rPr>
                <w:b/>
                <w:bCs/>
              </w:rPr>
              <w:t>664 – 999</w:t>
            </w:r>
          </w:p>
        </w:tc>
      </w:tr>
      <w:tr w:rsidR="004A7B24" w:rsidRPr="00B906B9" w14:paraId="2CFBE02F" w14:textId="77777777" w:rsidTr="00FC5D96">
        <w:trPr>
          <w:trHeight w:val="57"/>
          <w:jc w:val="right"/>
        </w:trPr>
        <w:tc>
          <w:tcPr>
            <w:tcW w:w="2848" w:type="dxa"/>
            <w:tcBorders>
              <w:top w:val="single" w:sz="4" w:space="0" w:color="auto"/>
              <w:bottom w:val="single" w:sz="4" w:space="0" w:color="auto"/>
            </w:tcBorders>
            <w:shd w:val="clear" w:color="auto" w:fill="FDE9D9" w:themeFill="accent6" w:themeFillTint="33"/>
            <w:vAlign w:val="bottom"/>
          </w:tcPr>
          <w:p w14:paraId="0B2D2116" w14:textId="77777777" w:rsidR="004A7B24" w:rsidRPr="00B906B9" w:rsidRDefault="004A7B24" w:rsidP="006B1D95">
            <w:pPr>
              <w:pStyle w:val="Normal-pool-Table"/>
              <w:ind w:left="57" w:right="57"/>
              <w:rPr>
                <w:b/>
                <w:bCs/>
              </w:rPr>
            </w:pPr>
            <w:r w:rsidRPr="00B906B9">
              <w:rPr>
                <w:b/>
                <w:bCs/>
              </w:rPr>
              <w:t>SUBTOTAL – IS &amp; SA</w:t>
            </w:r>
          </w:p>
        </w:tc>
        <w:tc>
          <w:tcPr>
            <w:tcW w:w="2553" w:type="dxa"/>
            <w:tcBorders>
              <w:top w:val="single" w:sz="4" w:space="0" w:color="auto"/>
              <w:bottom w:val="single" w:sz="4" w:space="0" w:color="auto"/>
            </w:tcBorders>
            <w:shd w:val="clear" w:color="auto" w:fill="FFFFFF" w:themeFill="background1"/>
            <w:vAlign w:val="center"/>
          </w:tcPr>
          <w:p w14:paraId="5D5B1305" w14:textId="77777777" w:rsidR="004A7B24" w:rsidRPr="00B906B9" w:rsidRDefault="004A7B24" w:rsidP="006B1D95">
            <w:pPr>
              <w:pStyle w:val="Normal-pool-Table"/>
              <w:ind w:left="57" w:right="57"/>
              <w:jc w:val="right"/>
              <w:rPr>
                <w:b/>
                <w:bCs/>
              </w:rPr>
            </w:pPr>
            <w:r w:rsidRPr="00B906B9">
              <w:rPr>
                <w:b/>
                <w:bCs/>
              </w:rPr>
              <w:t>129</w:t>
            </w:r>
          </w:p>
        </w:tc>
        <w:tc>
          <w:tcPr>
            <w:tcW w:w="2906" w:type="dxa"/>
            <w:tcBorders>
              <w:top w:val="single" w:sz="4" w:space="0" w:color="auto"/>
              <w:bottom w:val="single" w:sz="4" w:space="0" w:color="auto"/>
            </w:tcBorders>
            <w:shd w:val="clear" w:color="auto" w:fill="FFFFFF" w:themeFill="background1"/>
            <w:vAlign w:val="center"/>
          </w:tcPr>
          <w:p w14:paraId="09F59258" w14:textId="77777777" w:rsidR="004A7B24" w:rsidRPr="00B906B9" w:rsidRDefault="004A7B24" w:rsidP="006B1D95">
            <w:pPr>
              <w:pStyle w:val="Normal-pool-Table"/>
              <w:ind w:left="57" w:right="57"/>
              <w:jc w:val="right"/>
              <w:rPr>
                <w:b/>
                <w:bCs/>
              </w:rPr>
            </w:pPr>
            <w:r w:rsidRPr="00B906B9">
              <w:rPr>
                <w:b/>
                <w:bCs/>
              </w:rPr>
              <w:t>129</w:t>
            </w:r>
          </w:p>
        </w:tc>
      </w:tr>
      <w:tr w:rsidR="004A7B24" w:rsidRPr="00B906B9" w14:paraId="4BBE3D1A" w14:textId="77777777" w:rsidTr="00FC5D96">
        <w:trPr>
          <w:trHeight w:val="57"/>
          <w:jc w:val="right"/>
        </w:trPr>
        <w:tc>
          <w:tcPr>
            <w:tcW w:w="2848" w:type="dxa"/>
            <w:tcBorders>
              <w:top w:val="single" w:sz="4" w:space="0" w:color="auto"/>
              <w:bottom w:val="single" w:sz="12" w:space="0" w:color="auto"/>
            </w:tcBorders>
            <w:shd w:val="clear" w:color="auto" w:fill="FFFFCC"/>
            <w:vAlign w:val="bottom"/>
          </w:tcPr>
          <w:p w14:paraId="55D436FA" w14:textId="77777777" w:rsidR="004A7B24" w:rsidRPr="00B906B9" w:rsidRDefault="004A7B24" w:rsidP="006B1D95">
            <w:pPr>
              <w:pStyle w:val="Normal-pool-Table"/>
              <w:ind w:left="57" w:right="57"/>
              <w:rPr>
                <w:b/>
                <w:bCs/>
              </w:rPr>
            </w:pPr>
            <w:r w:rsidRPr="00B906B9">
              <w:rPr>
                <w:b/>
                <w:bCs/>
              </w:rPr>
              <w:t xml:space="preserve">GRAND TOTAL </w:t>
            </w:r>
          </w:p>
          <w:p w14:paraId="494DEEBC" w14:textId="77777777" w:rsidR="004A7B24" w:rsidRPr="00B906B9" w:rsidRDefault="004A7B24" w:rsidP="006B1D95">
            <w:pPr>
              <w:pStyle w:val="Normal-pool-Table"/>
              <w:ind w:left="57" w:right="57"/>
              <w:rPr>
                <w:b/>
                <w:bCs/>
              </w:rPr>
            </w:pPr>
            <w:r w:rsidRPr="00B906B9">
              <w:rPr>
                <w:b/>
                <w:bCs/>
              </w:rPr>
              <w:t>(US$ million)</w:t>
            </w:r>
          </w:p>
        </w:tc>
        <w:tc>
          <w:tcPr>
            <w:tcW w:w="2553" w:type="dxa"/>
            <w:tcBorders>
              <w:top w:val="single" w:sz="4" w:space="0" w:color="auto"/>
              <w:bottom w:val="single" w:sz="12" w:space="0" w:color="auto"/>
            </w:tcBorders>
            <w:shd w:val="clear" w:color="auto" w:fill="FFFFCC"/>
            <w:vAlign w:val="bottom"/>
          </w:tcPr>
          <w:p w14:paraId="4DCC7AF0" w14:textId="41800334" w:rsidR="004A7B24" w:rsidRPr="00B906B9" w:rsidRDefault="004A7B24" w:rsidP="006B1D95">
            <w:pPr>
              <w:pStyle w:val="Normal-pool-Table"/>
              <w:ind w:left="57" w:right="57"/>
              <w:jc w:val="right"/>
              <w:rPr>
                <w:b/>
                <w:bCs/>
              </w:rPr>
            </w:pPr>
            <w:r w:rsidRPr="00B906B9">
              <w:rPr>
                <w:b/>
                <w:bCs/>
              </w:rPr>
              <w:t>1</w:t>
            </w:r>
            <w:r w:rsidR="00565EC9">
              <w:rPr>
                <w:b/>
                <w:bCs/>
              </w:rPr>
              <w:t xml:space="preserve"> </w:t>
            </w:r>
            <w:r w:rsidRPr="00B906B9">
              <w:rPr>
                <w:b/>
                <w:bCs/>
              </w:rPr>
              <w:t>282 – 1</w:t>
            </w:r>
            <w:r w:rsidR="00565EC9">
              <w:rPr>
                <w:b/>
                <w:bCs/>
              </w:rPr>
              <w:t xml:space="preserve"> </w:t>
            </w:r>
            <w:r w:rsidRPr="00B906B9">
              <w:rPr>
                <w:b/>
                <w:bCs/>
              </w:rPr>
              <w:t>755</w:t>
            </w:r>
          </w:p>
        </w:tc>
        <w:tc>
          <w:tcPr>
            <w:tcW w:w="2906" w:type="dxa"/>
            <w:tcBorders>
              <w:top w:val="single" w:sz="4" w:space="0" w:color="auto"/>
              <w:bottom w:val="single" w:sz="12" w:space="0" w:color="auto"/>
            </w:tcBorders>
            <w:shd w:val="clear" w:color="auto" w:fill="FFFFCC"/>
            <w:vAlign w:val="bottom"/>
          </w:tcPr>
          <w:p w14:paraId="38951E75" w14:textId="5314C81E" w:rsidR="004A7B24" w:rsidRPr="00B906B9" w:rsidRDefault="004A7B24" w:rsidP="006B1D95">
            <w:pPr>
              <w:pStyle w:val="Normal-pool-Table"/>
              <w:ind w:left="57" w:right="57"/>
              <w:jc w:val="right"/>
              <w:rPr>
                <w:b/>
                <w:bCs/>
              </w:rPr>
            </w:pPr>
            <w:r w:rsidRPr="00B906B9">
              <w:rPr>
                <w:b/>
                <w:bCs/>
              </w:rPr>
              <w:t>1</w:t>
            </w:r>
            <w:r w:rsidR="00565EC9">
              <w:rPr>
                <w:b/>
                <w:bCs/>
              </w:rPr>
              <w:t xml:space="preserve"> </w:t>
            </w:r>
            <w:r w:rsidRPr="00B906B9">
              <w:rPr>
                <w:b/>
                <w:bCs/>
              </w:rPr>
              <w:t>230 – 1</w:t>
            </w:r>
            <w:r w:rsidR="00565EC9">
              <w:rPr>
                <w:b/>
                <w:bCs/>
              </w:rPr>
              <w:t xml:space="preserve"> </w:t>
            </w:r>
            <w:r w:rsidRPr="00B906B9">
              <w:rPr>
                <w:b/>
                <w:bCs/>
              </w:rPr>
              <w:t>692</w:t>
            </w:r>
          </w:p>
        </w:tc>
      </w:tr>
    </w:tbl>
    <w:p w14:paraId="5E0A465E" w14:textId="4A2AF028" w:rsidR="004A7B24" w:rsidRPr="00106BB6" w:rsidRDefault="004A7B24" w:rsidP="00092870">
      <w:pPr>
        <w:pStyle w:val="NormalNonumber"/>
        <w:spacing w:before="240"/>
      </w:pPr>
      <w:r w:rsidRPr="00106BB6">
        <w:lastRenderedPageBreak/>
        <w:t>The funding ranges for the Updated May Report applied the same HCFC and HFC scenarios and proposed resource allocations as in the RTF May 2026 Report.</w:t>
      </w:r>
    </w:p>
    <w:p w14:paraId="1A8A9532" w14:textId="77777777" w:rsidR="004A7B24" w:rsidRPr="005E2C0A" w:rsidRDefault="004A7B24">
      <w:pPr>
        <w:pStyle w:val="ListParagraph"/>
        <w:numPr>
          <w:ilvl w:val="0"/>
          <w:numId w:val="21"/>
        </w:numPr>
        <w:tabs>
          <w:tab w:val="clear" w:pos="1247"/>
          <w:tab w:val="clear" w:pos="1814"/>
          <w:tab w:val="clear" w:pos="2381"/>
          <w:tab w:val="clear" w:pos="2948"/>
          <w:tab w:val="clear" w:pos="3515"/>
        </w:tabs>
        <w:rPr>
          <w:b/>
          <w:bCs/>
        </w:rPr>
      </w:pPr>
      <w:r w:rsidRPr="005E2C0A">
        <w:rPr>
          <w:b/>
          <w:bCs/>
        </w:rPr>
        <w:t>The updated range for the total estimated funding requirement (including support costs) for the replenishment of the MLF in the 2027–2029 triennium is US$ 1,230 – 1,692 million</w:t>
      </w:r>
      <w:r>
        <w:rPr>
          <w:vertAlign w:val="superscript"/>
        </w:rPr>
        <w:footnoteReference w:id="12"/>
      </w:r>
      <w:r w:rsidRPr="005E2C0A">
        <w:rPr>
          <w:b/>
          <w:bCs/>
        </w:rPr>
        <w:t>.</w:t>
      </w:r>
    </w:p>
    <w:p w14:paraId="11AFF22A" w14:textId="44F247FB" w:rsidR="004A7B24" w:rsidRPr="00A81971" w:rsidRDefault="00172B6D" w:rsidP="00172B6D">
      <w:pPr>
        <w:pStyle w:val="CH2"/>
      </w:pPr>
      <w:r>
        <w:tab/>
      </w:r>
      <w:r>
        <w:tab/>
      </w:r>
      <w:r w:rsidR="004A7B24" w:rsidRPr="00A81971">
        <w:t>OEWG48 CONTACT GROUP SUGGESTIONS AND RTF APPROACH</w:t>
      </w:r>
    </w:p>
    <w:p w14:paraId="17FA1856"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rsidRPr="00A81971">
        <w:t xml:space="preserve">In Chapters 3, 4, and 5 of this report, the RTF addresses the suggestions from parties at OEWG48 for additional funding scenarios. Given the varied scenarios requested by parties, the RTF presents these scenarios without presuming which ones the parties may wish to use, combine, or discard. The range of funding for this triennium would then be dependent on these choices. Prior to addressing the OEWG48 </w:t>
      </w:r>
      <w:r w:rsidRPr="00A81971">
        <w:rPr>
          <w:b/>
          <w:bCs/>
        </w:rPr>
        <w:t xml:space="preserve">new scenarios, </w:t>
      </w:r>
      <w:r w:rsidRPr="00A81971">
        <w:t>RTF had consultations with the MLFS to discuss the approach and clarify information the Secretariat provided.</w:t>
      </w:r>
    </w:p>
    <w:p w14:paraId="20312A7B" w14:textId="61418112" w:rsidR="004A7B24" w:rsidRDefault="004A7B24" w:rsidP="0032742D">
      <w:pPr>
        <w:pStyle w:val="NormalNonumber"/>
        <w:tabs>
          <w:tab w:val="clear" w:pos="1247"/>
          <w:tab w:val="clear" w:pos="1871"/>
          <w:tab w:val="clear" w:pos="2495"/>
          <w:tab w:val="clear" w:pos="3119"/>
          <w:tab w:val="clear" w:pos="3742"/>
          <w:tab w:val="clear" w:pos="4366"/>
          <w:tab w:val="clear" w:pos="4990"/>
        </w:tabs>
      </w:pPr>
      <w:r w:rsidRPr="00A81971">
        <w:t>Following parties</w:t>
      </w:r>
      <w:r w:rsidR="00B90362">
        <w:t>’</w:t>
      </w:r>
      <w:r w:rsidRPr="00A81971">
        <w:t xml:space="preserve"> guidance and discussions at OEWG48 and understanding the need to present a wider range of funding to guide parties at MOP38, the RTF applied the new CEs (and other parameters requested in the new scenarios), mostly to the low-end of the funding range, unless the suggestion specifically instructs the application to the high-end estimated funding, such as in the suggested new LVCs/VLVCs scenario.  </w:t>
      </w:r>
    </w:p>
    <w:p w14:paraId="00E71E15" w14:textId="77777777" w:rsidR="004A7B24" w:rsidRDefault="004A7B24" w:rsidP="0032742D">
      <w:pPr>
        <w:pStyle w:val="NormalNonumber"/>
        <w:tabs>
          <w:tab w:val="clear" w:pos="1247"/>
          <w:tab w:val="clear" w:pos="1871"/>
          <w:tab w:val="clear" w:pos="2495"/>
          <w:tab w:val="clear" w:pos="3119"/>
          <w:tab w:val="clear" w:pos="3742"/>
          <w:tab w:val="clear" w:pos="4366"/>
          <w:tab w:val="clear" w:pos="4990"/>
        </w:tabs>
      </w:pPr>
      <w:r w:rsidRPr="00A81971">
        <w:t>The updates to the RTF May 2026 Report, as presented in Chapter 2, provide the basis for the new scenarios. As an example, the use of the Updated RTF May Report model as a Scenario 1 allowed RTF to compare low-end funding ranges with the new estimates from the OEWG48 suggested scenarios.</w:t>
      </w:r>
    </w:p>
    <w:p w14:paraId="02D8FE28"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rsidRPr="00A81971">
        <w:t>RTF named the new scenarios suggested by the OEWG48 as indicated in Table ES.3.</w:t>
      </w:r>
    </w:p>
    <w:p w14:paraId="24E1B5A9" w14:textId="508D9DC1" w:rsidR="004A7B24" w:rsidRPr="00A81971" w:rsidRDefault="004A7B24" w:rsidP="006B1D95">
      <w:pPr>
        <w:pStyle w:val="Titletable"/>
        <w:spacing w:before="240"/>
      </w:pPr>
      <w:r w:rsidRPr="00172B6D">
        <w:rPr>
          <w:rFonts w:eastAsia="Yu Mincho"/>
          <w:b w:val="0"/>
          <w:bCs w:val="0"/>
          <w:color w:val="000000"/>
          <w:lang w:val="en-CA"/>
        </w:rPr>
        <w:t>Table ES.3</w:t>
      </w:r>
      <w:r w:rsidR="00172B6D">
        <w:rPr>
          <w:rFonts w:eastAsia="Yu Mincho"/>
          <w:color w:val="000000"/>
          <w:lang w:val="en-CA"/>
        </w:rPr>
        <w:t xml:space="preserve"> </w:t>
      </w:r>
      <w:r w:rsidR="00172B6D">
        <w:rPr>
          <w:rFonts w:eastAsia="Yu Mincho"/>
          <w:color w:val="000000"/>
          <w:lang w:val="en-CA"/>
        </w:rPr>
        <w:br/>
      </w:r>
      <w:r w:rsidRPr="00A81971">
        <w:t>OEWG48 suggestions and new scenarios</w:t>
      </w:r>
      <w:r>
        <w:rPr>
          <w:color w:val="000000"/>
          <w:lang w:val="en-CA"/>
        </w:rPr>
        <w:t xml:space="preserve"> </w:t>
      </w:r>
    </w:p>
    <w:tbl>
      <w:tblPr>
        <w:tblStyle w:val="TableGrid10"/>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4A0" w:firstRow="1" w:lastRow="0" w:firstColumn="1" w:lastColumn="0" w:noHBand="0" w:noVBand="1"/>
      </w:tblPr>
      <w:tblGrid>
        <w:gridCol w:w="6206"/>
        <w:gridCol w:w="2101"/>
      </w:tblGrid>
      <w:tr w:rsidR="004A7B24" w14:paraId="5822832C" w14:textId="77777777" w:rsidTr="00AB2EFC">
        <w:trPr>
          <w:trHeight w:val="57"/>
          <w:tblHeader/>
          <w:jc w:val="right"/>
        </w:trPr>
        <w:tc>
          <w:tcPr>
            <w:tcW w:w="6655" w:type="dxa"/>
            <w:tcBorders>
              <w:top w:val="single" w:sz="4" w:space="0" w:color="auto"/>
              <w:bottom w:val="single" w:sz="12" w:space="0" w:color="auto"/>
            </w:tcBorders>
            <w:shd w:val="clear" w:color="auto" w:fill="DBE5F1" w:themeFill="accent1" w:themeFillTint="33"/>
            <w:vAlign w:val="center"/>
          </w:tcPr>
          <w:p w14:paraId="0202D0A4" w14:textId="77777777" w:rsidR="004A7B24" w:rsidRPr="00565EC9" w:rsidRDefault="004A7B24" w:rsidP="006B1D95">
            <w:pPr>
              <w:pStyle w:val="Normal-pool-Table"/>
              <w:rPr>
                <w:i/>
                <w:iCs/>
                <w:lang w:eastAsia="zh-CN"/>
              </w:rPr>
            </w:pPr>
            <w:r w:rsidRPr="00565EC9">
              <w:rPr>
                <w:i/>
                <w:iCs/>
                <w:lang w:eastAsia="zh-CN"/>
              </w:rPr>
              <w:t>OEWG48 Suggestions</w:t>
            </w:r>
          </w:p>
        </w:tc>
        <w:tc>
          <w:tcPr>
            <w:tcW w:w="2250" w:type="dxa"/>
            <w:tcBorders>
              <w:top w:val="single" w:sz="4" w:space="0" w:color="auto"/>
              <w:bottom w:val="single" w:sz="12" w:space="0" w:color="auto"/>
            </w:tcBorders>
            <w:shd w:val="clear" w:color="auto" w:fill="DBE5F1" w:themeFill="accent1" w:themeFillTint="33"/>
            <w:vAlign w:val="center"/>
          </w:tcPr>
          <w:p w14:paraId="410AD88D" w14:textId="77777777" w:rsidR="004A7B24" w:rsidRPr="00565EC9" w:rsidRDefault="004A7B24" w:rsidP="006B1D95">
            <w:pPr>
              <w:pStyle w:val="Normal-pool-Table"/>
              <w:ind w:left="57"/>
              <w:rPr>
                <w:i/>
                <w:iCs/>
                <w:lang w:eastAsia="zh-CN"/>
              </w:rPr>
            </w:pPr>
            <w:r w:rsidRPr="00565EC9">
              <w:rPr>
                <w:i/>
                <w:iCs/>
                <w:lang w:eastAsia="zh-CN"/>
              </w:rPr>
              <w:t>New Scenarios</w:t>
            </w:r>
          </w:p>
        </w:tc>
      </w:tr>
      <w:tr w:rsidR="004A7B24" w14:paraId="41591B3A" w14:textId="77777777" w:rsidTr="00AB2EFC">
        <w:trPr>
          <w:trHeight w:val="57"/>
          <w:tblHeader/>
          <w:jc w:val="right"/>
        </w:trPr>
        <w:tc>
          <w:tcPr>
            <w:tcW w:w="8905" w:type="dxa"/>
            <w:gridSpan w:val="2"/>
            <w:tcBorders>
              <w:top w:val="single" w:sz="12" w:space="0" w:color="auto"/>
              <w:bottom w:val="single" w:sz="4" w:space="0" w:color="auto"/>
            </w:tcBorders>
            <w:shd w:val="clear" w:color="auto" w:fill="FDE9D9" w:themeFill="accent6" w:themeFillTint="33"/>
            <w:vAlign w:val="center"/>
          </w:tcPr>
          <w:p w14:paraId="3F0F19AF" w14:textId="77777777" w:rsidR="004A7B24" w:rsidRPr="008D4994" w:rsidRDefault="004A7B24" w:rsidP="006B1D95">
            <w:pPr>
              <w:pStyle w:val="Normal-pool-Table"/>
              <w:rPr>
                <w:rFonts w:ascii="Times New Roman Bold" w:hAnsi="Times New Roman Bold"/>
                <w:b/>
                <w:bCs/>
                <w:lang w:eastAsia="zh-CN"/>
              </w:rPr>
            </w:pPr>
            <w:r w:rsidRPr="008D4994">
              <w:rPr>
                <w:b/>
                <w:bCs/>
                <w:lang w:eastAsia="zh-CN"/>
              </w:rPr>
              <w:t>Overall Suggestions</w:t>
            </w:r>
          </w:p>
        </w:tc>
      </w:tr>
      <w:tr w:rsidR="004A7B24" w14:paraId="7D0CE24A" w14:textId="77777777" w:rsidTr="00AB2EFC">
        <w:trPr>
          <w:trHeight w:val="57"/>
          <w:jc w:val="right"/>
        </w:trPr>
        <w:tc>
          <w:tcPr>
            <w:tcW w:w="6655" w:type="dxa"/>
            <w:tcBorders>
              <w:top w:val="single" w:sz="4" w:space="0" w:color="auto"/>
            </w:tcBorders>
          </w:tcPr>
          <w:p w14:paraId="127652F2" w14:textId="2185FC6B" w:rsidR="004A7B24" w:rsidRPr="00987965" w:rsidRDefault="00565EC9" w:rsidP="006B1D95">
            <w:pPr>
              <w:pStyle w:val="Normal-pool-Table"/>
              <w:tabs>
                <w:tab w:val="clear" w:pos="624"/>
              </w:tabs>
              <w:ind w:left="346" w:hanging="346"/>
              <w:rPr>
                <w:lang w:eastAsia="zh-CN"/>
              </w:rPr>
            </w:pPr>
            <w:r>
              <w:rPr>
                <w:lang w:eastAsia="zh-CN"/>
              </w:rPr>
              <w:t>1.</w:t>
            </w:r>
            <w:r>
              <w:rPr>
                <w:lang w:eastAsia="zh-CN"/>
              </w:rPr>
              <w:tab/>
            </w:r>
            <w:r w:rsidR="004A7B24" w:rsidRPr="00987965">
              <w:rPr>
                <w:lang w:eastAsia="zh-CN"/>
              </w:rPr>
              <w:t xml:space="preserve">When estimating the funding requirements for HPMPs and KIPs, apply CE factors according to three scenarios: </w:t>
            </w:r>
          </w:p>
          <w:p w14:paraId="6058BD58" w14:textId="4268D78C" w:rsidR="004A7B24" w:rsidRPr="00987965" w:rsidRDefault="004A7B24" w:rsidP="006B1D95">
            <w:pPr>
              <w:pStyle w:val="Normal-pool-Table"/>
              <w:numPr>
                <w:ilvl w:val="1"/>
                <w:numId w:val="37"/>
              </w:numPr>
              <w:tabs>
                <w:tab w:val="clear" w:pos="624"/>
                <w:tab w:val="clear" w:pos="1247"/>
                <w:tab w:val="left" w:pos="821"/>
              </w:tabs>
              <w:ind w:hanging="847"/>
              <w:rPr>
                <w:lang w:eastAsia="zh-CN"/>
              </w:rPr>
            </w:pPr>
            <w:r w:rsidRPr="00987965">
              <w:rPr>
                <w:color w:val="000000" w:themeColor="text1"/>
                <w:lang w:eastAsia="zh-CN"/>
              </w:rPr>
              <w:t xml:space="preserve">one based on historical </w:t>
            </w:r>
            <w:r>
              <w:rPr>
                <w:color w:val="000000" w:themeColor="text1"/>
                <w:lang w:eastAsia="zh-CN"/>
              </w:rPr>
              <w:t>c</w:t>
            </w:r>
            <w:r w:rsidRPr="00987965">
              <w:rPr>
                <w:color w:val="000000" w:themeColor="text1"/>
                <w:lang w:eastAsia="zh-CN"/>
              </w:rPr>
              <w:t xml:space="preserve">ost-effectiveness (CEs); </w:t>
            </w:r>
          </w:p>
        </w:tc>
        <w:tc>
          <w:tcPr>
            <w:tcW w:w="2250" w:type="dxa"/>
            <w:tcBorders>
              <w:top w:val="single" w:sz="4" w:space="0" w:color="auto"/>
            </w:tcBorders>
            <w:vAlign w:val="bottom"/>
          </w:tcPr>
          <w:p w14:paraId="4764B1FC" w14:textId="34A49C76" w:rsidR="004A7B24" w:rsidRPr="003169DA" w:rsidRDefault="004A7B24" w:rsidP="006B1D95">
            <w:pPr>
              <w:pStyle w:val="Normal-pool-Table"/>
              <w:ind w:left="57"/>
              <w:rPr>
                <w:b/>
                <w:lang w:eastAsia="zh-CN"/>
              </w:rPr>
            </w:pPr>
            <w:r w:rsidRPr="003169DA">
              <w:rPr>
                <w:b/>
                <w:lang w:eastAsia="zh-CN"/>
              </w:rPr>
              <w:t>1a: HPMP and KIPs</w:t>
            </w:r>
          </w:p>
        </w:tc>
      </w:tr>
      <w:tr w:rsidR="004A7B24" w14:paraId="4DF81173" w14:textId="77777777" w:rsidTr="00565EC9">
        <w:trPr>
          <w:trHeight w:val="57"/>
          <w:jc w:val="right"/>
        </w:trPr>
        <w:tc>
          <w:tcPr>
            <w:tcW w:w="6655" w:type="dxa"/>
          </w:tcPr>
          <w:p w14:paraId="7252379A" w14:textId="77777777" w:rsidR="004A7B24" w:rsidRPr="00987965" w:rsidRDefault="004A7B24" w:rsidP="006B1D95">
            <w:pPr>
              <w:pStyle w:val="Normal-pool-Table"/>
              <w:numPr>
                <w:ilvl w:val="1"/>
                <w:numId w:val="1"/>
              </w:numPr>
              <w:tabs>
                <w:tab w:val="clear" w:pos="624"/>
                <w:tab w:val="clear" w:pos="1247"/>
                <w:tab w:val="left" w:pos="821"/>
              </w:tabs>
              <w:ind w:left="821" w:hanging="425"/>
              <w:rPr>
                <w:lang w:eastAsia="zh-CN"/>
              </w:rPr>
            </w:pPr>
            <w:r w:rsidRPr="00987965">
              <w:rPr>
                <w:lang w:eastAsia="zh-CN"/>
              </w:rPr>
              <w:t xml:space="preserve">a </w:t>
            </w:r>
            <w:r w:rsidRPr="008D4994">
              <w:rPr>
                <w:color w:val="000000" w:themeColor="text1"/>
                <w:lang w:eastAsia="zh-CN"/>
              </w:rPr>
              <w:t>second</w:t>
            </w:r>
            <w:r w:rsidRPr="00987965">
              <w:rPr>
                <w:lang w:eastAsia="zh-CN"/>
              </w:rPr>
              <w:t xml:space="preserve"> one based on CE factors for each A5 party over the past 6 years; and </w:t>
            </w:r>
          </w:p>
        </w:tc>
        <w:tc>
          <w:tcPr>
            <w:tcW w:w="2250" w:type="dxa"/>
            <w:vAlign w:val="center"/>
          </w:tcPr>
          <w:p w14:paraId="572BFF90" w14:textId="77777777" w:rsidR="004A7B24" w:rsidRPr="003169DA" w:rsidRDefault="004A7B24" w:rsidP="006B1D95">
            <w:pPr>
              <w:pStyle w:val="Normal-pool-Table"/>
              <w:ind w:left="57"/>
              <w:rPr>
                <w:b/>
                <w:lang w:eastAsia="zh-CN"/>
              </w:rPr>
            </w:pPr>
            <w:r w:rsidRPr="003169DA">
              <w:rPr>
                <w:b/>
                <w:lang w:eastAsia="zh-CN"/>
              </w:rPr>
              <w:t>1b: HPMP and KIPs</w:t>
            </w:r>
          </w:p>
        </w:tc>
      </w:tr>
      <w:tr w:rsidR="004A7B24" w14:paraId="2DC24A2D" w14:textId="77777777" w:rsidTr="00565EC9">
        <w:trPr>
          <w:trHeight w:val="57"/>
          <w:jc w:val="right"/>
        </w:trPr>
        <w:tc>
          <w:tcPr>
            <w:tcW w:w="6655" w:type="dxa"/>
          </w:tcPr>
          <w:p w14:paraId="40C25653" w14:textId="77777777" w:rsidR="004A7B24" w:rsidRPr="00987965" w:rsidRDefault="004A7B24" w:rsidP="006B1D95">
            <w:pPr>
              <w:pStyle w:val="Normal-pool-Table"/>
              <w:numPr>
                <w:ilvl w:val="1"/>
                <w:numId w:val="1"/>
              </w:numPr>
              <w:tabs>
                <w:tab w:val="clear" w:pos="624"/>
                <w:tab w:val="clear" w:pos="1247"/>
                <w:tab w:val="left" w:pos="821"/>
              </w:tabs>
              <w:ind w:left="821" w:hanging="425"/>
              <w:rPr>
                <w:lang w:eastAsia="zh-CN"/>
              </w:rPr>
            </w:pPr>
            <w:r w:rsidRPr="00987965">
              <w:rPr>
                <w:lang w:eastAsia="zh-CN"/>
              </w:rPr>
              <w:t>a third one based on average funding levels for each A5 party over the past 6 years</w:t>
            </w:r>
          </w:p>
        </w:tc>
        <w:tc>
          <w:tcPr>
            <w:tcW w:w="2250" w:type="dxa"/>
            <w:vAlign w:val="center"/>
          </w:tcPr>
          <w:p w14:paraId="7A76770E" w14:textId="77777777" w:rsidR="004A7B24" w:rsidRPr="003169DA" w:rsidRDefault="004A7B24" w:rsidP="006B1D95">
            <w:pPr>
              <w:pStyle w:val="Normal-pool-Table"/>
              <w:ind w:left="57"/>
              <w:rPr>
                <w:b/>
                <w:lang w:eastAsia="zh-CN"/>
              </w:rPr>
            </w:pPr>
            <w:r w:rsidRPr="003169DA">
              <w:rPr>
                <w:b/>
                <w:lang w:eastAsia="zh-CN"/>
              </w:rPr>
              <w:t>1c: HPMP and KIPs</w:t>
            </w:r>
          </w:p>
        </w:tc>
      </w:tr>
      <w:tr w:rsidR="004A7B24" w14:paraId="4B53524C" w14:textId="77777777" w:rsidTr="00565EC9">
        <w:trPr>
          <w:trHeight w:val="57"/>
          <w:jc w:val="right"/>
        </w:trPr>
        <w:tc>
          <w:tcPr>
            <w:tcW w:w="6655" w:type="dxa"/>
          </w:tcPr>
          <w:p w14:paraId="11A45E04" w14:textId="50B16894" w:rsidR="004A7B24" w:rsidRPr="00987965" w:rsidRDefault="00565EC9" w:rsidP="006B1D95">
            <w:pPr>
              <w:pStyle w:val="Normal-pool-Table"/>
              <w:tabs>
                <w:tab w:val="clear" w:pos="624"/>
              </w:tabs>
              <w:ind w:left="346" w:hanging="346"/>
              <w:rPr>
                <w:lang w:eastAsia="zh-CN"/>
              </w:rPr>
            </w:pPr>
            <w:r>
              <w:rPr>
                <w:lang w:eastAsia="zh-CN"/>
              </w:rPr>
              <w:t>2.</w:t>
            </w:r>
            <w:r>
              <w:rPr>
                <w:lang w:eastAsia="zh-CN"/>
              </w:rPr>
              <w:tab/>
            </w:r>
            <w:r w:rsidR="004A7B24" w:rsidRPr="00987965">
              <w:rPr>
                <w:lang w:eastAsia="zh-CN"/>
              </w:rPr>
              <w:t>To request the Panel to present revised funding ranges with alternative scenarios that assess the impact of the following:</w:t>
            </w:r>
          </w:p>
          <w:p w14:paraId="69B785BC" w14:textId="1C81E442" w:rsidR="004A7B24" w:rsidRPr="00987965" w:rsidRDefault="004A7B24" w:rsidP="006B1D95">
            <w:pPr>
              <w:pStyle w:val="Normal-pool-Table"/>
              <w:numPr>
                <w:ilvl w:val="1"/>
                <w:numId w:val="29"/>
              </w:numPr>
              <w:tabs>
                <w:tab w:val="clear" w:pos="624"/>
                <w:tab w:val="clear" w:pos="1247"/>
              </w:tabs>
              <w:ind w:left="821" w:hanging="425"/>
              <w:rPr>
                <w:lang w:eastAsia="nl-NL"/>
              </w:rPr>
            </w:pPr>
            <w:r w:rsidRPr="00987965">
              <w:rPr>
                <w:color w:val="000000" w:themeColor="text1"/>
                <w:lang w:eastAsia="nl-NL"/>
              </w:rPr>
              <w:t>A low-end scenario based on the most recently reported consumption data for HCFCs and HFCs and a high-end scenario based on established HFC baselines and HCFC remaining eligible consumption</w:t>
            </w:r>
          </w:p>
        </w:tc>
        <w:tc>
          <w:tcPr>
            <w:tcW w:w="2250" w:type="dxa"/>
            <w:vAlign w:val="center"/>
          </w:tcPr>
          <w:p w14:paraId="409265AC" w14:textId="77777777" w:rsidR="004A7B24" w:rsidRPr="003169DA" w:rsidRDefault="004A7B24" w:rsidP="006B1D95">
            <w:pPr>
              <w:pStyle w:val="Normal-pool-Table"/>
              <w:ind w:left="57"/>
              <w:rPr>
                <w:b/>
                <w:lang w:eastAsia="zh-CN"/>
              </w:rPr>
            </w:pPr>
            <w:r w:rsidRPr="003169DA">
              <w:rPr>
                <w:b/>
                <w:lang w:eastAsia="zh-CN"/>
              </w:rPr>
              <w:t>2a: HPMP and KIPs</w:t>
            </w:r>
          </w:p>
        </w:tc>
      </w:tr>
      <w:tr w:rsidR="004A7B24" w14:paraId="7C9FBCDB" w14:textId="77777777" w:rsidTr="00565EC9">
        <w:trPr>
          <w:trHeight w:val="57"/>
          <w:jc w:val="right"/>
        </w:trPr>
        <w:tc>
          <w:tcPr>
            <w:tcW w:w="6655" w:type="dxa"/>
            <w:tcBorders>
              <w:bottom w:val="single" w:sz="4" w:space="0" w:color="auto"/>
            </w:tcBorders>
          </w:tcPr>
          <w:p w14:paraId="56890D24" w14:textId="65FE4DDB" w:rsidR="004A7B24" w:rsidRPr="00987965" w:rsidRDefault="004A7B24" w:rsidP="006B1D95">
            <w:pPr>
              <w:pStyle w:val="Normal-pool-Table"/>
              <w:numPr>
                <w:ilvl w:val="1"/>
                <w:numId w:val="29"/>
              </w:numPr>
              <w:tabs>
                <w:tab w:val="clear" w:pos="624"/>
                <w:tab w:val="clear" w:pos="1247"/>
              </w:tabs>
              <w:ind w:left="821" w:hanging="425"/>
              <w:rPr>
                <w:lang w:eastAsia="nl-NL"/>
              </w:rPr>
            </w:pPr>
            <w:r w:rsidRPr="00987965">
              <w:rPr>
                <w:color w:val="000000" w:themeColor="text1"/>
                <w:lang w:eastAsia="nl-NL"/>
              </w:rPr>
              <w:t xml:space="preserve">Realistic project implementation timelines such as modifying resources allocation schedule A for </w:t>
            </w:r>
            <w:r>
              <w:rPr>
                <w:color w:val="000000" w:themeColor="text1"/>
                <w:lang w:eastAsia="nl-NL"/>
              </w:rPr>
              <w:t>Stage</w:t>
            </w:r>
            <w:r w:rsidRPr="00987965">
              <w:rPr>
                <w:color w:val="000000" w:themeColor="text1"/>
                <w:lang w:eastAsia="nl-NL"/>
              </w:rPr>
              <w:t xml:space="preserve"> II KIPs and to take into account rates of ratification for remaining non-parties to the Kigali Amendment</w:t>
            </w:r>
          </w:p>
        </w:tc>
        <w:tc>
          <w:tcPr>
            <w:tcW w:w="2250" w:type="dxa"/>
            <w:tcBorders>
              <w:bottom w:val="single" w:sz="4" w:space="0" w:color="auto"/>
            </w:tcBorders>
            <w:vAlign w:val="center"/>
          </w:tcPr>
          <w:p w14:paraId="62CA0E9E" w14:textId="77777777" w:rsidR="004A7B24" w:rsidRPr="003169DA" w:rsidRDefault="004A7B24" w:rsidP="006B1D95">
            <w:pPr>
              <w:pStyle w:val="Normal-pool-Table"/>
              <w:ind w:left="57"/>
              <w:rPr>
                <w:b/>
                <w:lang w:eastAsia="zh-CN"/>
              </w:rPr>
            </w:pPr>
            <w:r w:rsidRPr="003169DA">
              <w:rPr>
                <w:b/>
                <w:lang w:eastAsia="zh-CN"/>
              </w:rPr>
              <w:t>2b: KIPs</w:t>
            </w:r>
          </w:p>
        </w:tc>
      </w:tr>
      <w:tr w:rsidR="004A7B24" w14:paraId="4FD298A1" w14:textId="77777777" w:rsidTr="00565EC9">
        <w:trPr>
          <w:trHeight w:val="57"/>
          <w:jc w:val="right"/>
        </w:trPr>
        <w:tc>
          <w:tcPr>
            <w:tcW w:w="8905" w:type="dxa"/>
            <w:gridSpan w:val="2"/>
            <w:tcBorders>
              <w:top w:val="single" w:sz="4" w:space="0" w:color="auto"/>
              <w:bottom w:val="single" w:sz="4" w:space="0" w:color="auto"/>
            </w:tcBorders>
            <w:shd w:val="clear" w:color="auto" w:fill="FDE9D9" w:themeFill="accent6" w:themeFillTint="33"/>
          </w:tcPr>
          <w:p w14:paraId="171D0842" w14:textId="77777777" w:rsidR="004A7B24" w:rsidRPr="003169DA" w:rsidRDefault="004A7B24" w:rsidP="006B1D95">
            <w:pPr>
              <w:pStyle w:val="Normal-pool-Table"/>
              <w:ind w:left="57"/>
              <w:rPr>
                <w:b/>
                <w:lang w:eastAsia="zh-CN"/>
              </w:rPr>
            </w:pPr>
            <w:r w:rsidRPr="003169DA">
              <w:rPr>
                <w:b/>
                <w:lang w:eastAsia="zh-CN"/>
              </w:rPr>
              <w:t>LVCs and VLVCs</w:t>
            </w:r>
          </w:p>
        </w:tc>
      </w:tr>
      <w:tr w:rsidR="004A7B24" w14:paraId="29A19CFF" w14:textId="77777777" w:rsidTr="00B90362">
        <w:trPr>
          <w:trHeight w:val="57"/>
          <w:jc w:val="right"/>
        </w:trPr>
        <w:tc>
          <w:tcPr>
            <w:tcW w:w="6655" w:type="dxa"/>
            <w:tcBorders>
              <w:top w:val="single" w:sz="4" w:space="0" w:color="auto"/>
              <w:bottom w:val="single" w:sz="4" w:space="0" w:color="auto"/>
            </w:tcBorders>
          </w:tcPr>
          <w:p w14:paraId="5D362B5C" w14:textId="77777777" w:rsidR="004A7B24" w:rsidRPr="00987965" w:rsidRDefault="004A7B24" w:rsidP="006B1D95">
            <w:pPr>
              <w:pStyle w:val="Normal-pool-Table"/>
              <w:rPr>
                <w:lang w:eastAsia="zh-CN"/>
              </w:rPr>
            </w:pPr>
            <w:r w:rsidRPr="00987965">
              <w:rPr>
                <w:lang w:eastAsia="zh-CN"/>
              </w:rPr>
              <w:t>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p>
        </w:tc>
        <w:tc>
          <w:tcPr>
            <w:tcW w:w="2250" w:type="dxa"/>
            <w:tcBorders>
              <w:top w:val="single" w:sz="4" w:space="0" w:color="auto"/>
              <w:bottom w:val="single" w:sz="4" w:space="0" w:color="auto"/>
            </w:tcBorders>
            <w:vAlign w:val="center"/>
          </w:tcPr>
          <w:p w14:paraId="022A3E38" w14:textId="77777777" w:rsidR="004A7B24" w:rsidRPr="003169DA" w:rsidRDefault="004A7B24" w:rsidP="006B1D95">
            <w:pPr>
              <w:pStyle w:val="Normal-pool-Table"/>
              <w:ind w:left="57"/>
              <w:rPr>
                <w:b/>
                <w:lang w:eastAsia="zh-CN"/>
              </w:rPr>
            </w:pPr>
            <w:r w:rsidRPr="003169DA">
              <w:rPr>
                <w:b/>
                <w:lang w:eastAsia="zh-CN"/>
              </w:rPr>
              <w:t>LVCs/VLVCs</w:t>
            </w:r>
          </w:p>
        </w:tc>
      </w:tr>
      <w:tr w:rsidR="004A7B24" w14:paraId="34E266C5" w14:textId="77777777" w:rsidTr="00B90362">
        <w:trPr>
          <w:trHeight w:val="57"/>
          <w:jc w:val="right"/>
        </w:trPr>
        <w:tc>
          <w:tcPr>
            <w:tcW w:w="6655" w:type="dxa"/>
            <w:tcBorders>
              <w:top w:val="single" w:sz="4" w:space="0" w:color="auto"/>
              <w:bottom w:val="single" w:sz="4" w:space="0" w:color="auto"/>
            </w:tcBorders>
            <w:shd w:val="clear" w:color="auto" w:fill="FDE9D9" w:themeFill="accent6" w:themeFillTint="33"/>
          </w:tcPr>
          <w:p w14:paraId="3810B463" w14:textId="77777777" w:rsidR="004A7B24" w:rsidRPr="003169DA" w:rsidRDefault="004A7B24" w:rsidP="006B1D95">
            <w:pPr>
              <w:pStyle w:val="Normal-pool-Table"/>
              <w:rPr>
                <w:b/>
                <w:lang w:eastAsia="zh-CN"/>
              </w:rPr>
            </w:pPr>
            <w:r w:rsidRPr="003169DA">
              <w:rPr>
                <w:b/>
                <w:lang w:eastAsia="zh-CN"/>
              </w:rPr>
              <w:t>LRM</w:t>
            </w:r>
          </w:p>
        </w:tc>
        <w:tc>
          <w:tcPr>
            <w:tcW w:w="2250" w:type="dxa"/>
            <w:tcBorders>
              <w:top w:val="single" w:sz="4" w:space="0" w:color="auto"/>
              <w:bottom w:val="single" w:sz="4" w:space="0" w:color="auto"/>
            </w:tcBorders>
            <w:shd w:val="clear" w:color="auto" w:fill="FDE9D9" w:themeFill="accent6" w:themeFillTint="33"/>
          </w:tcPr>
          <w:p w14:paraId="73E50AF6" w14:textId="77777777" w:rsidR="004A7B24" w:rsidRPr="003169DA" w:rsidRDefault="004A7B24" w:rsidP="006B1D95">
            <w:pPr>
              <w:pStyle w:val="Normal-pool-Table"/>
              <w:ind w:left="57"/>
              <w:rPr>
                <w:b/>
                <w:lang w:eastAsia="zh-CN"/>
              </w:rPr>
            </w:pPr>
          </w:p>
        </w:tc>
      </w:tr>
      <w:tr w:rsidR="004A7B24" w14:paraId="0BEE167D" w14:textId="77777777" w:rsidTr="00B90362">
        <w:trPr>
          <w:trHeight w:val="57"/>
          <w:jc w:val="right"/>
        </w:trPr>
        <w:tc>
          <w:tcPr>
            <w:tcW w:w="6655" w:type="dxa"/>
            <w:tcBorders>
              <w:top w:val="single" w:sz="4" w:space="0" w:color="auto"/>
              <w:bottom w:val="single" w:sz="12" w:space="0" w:color="auto"/>
            </w:tcBorders>
          </w:tcPr>
          <w:p w14:paraId="6C8D6084" w14:textId="77777777" w:rsidR="004A7B24" w:rsidRPr="00987965" w:rsidRDefault="004A7B24" w:rsidP="006B1D95">
            <w:pPr>
              <w:pStyle w:val="Normal-pool-Table"/>
              <w:rPr>
                <w:lang w:eastAsia="zh-CN"/>
              </w:rPr>
            </w:pPr>
            <w:r w:rsidRPr="00987965">
              <w:rPr>
                <w:lang w:eastAsia="zh-CN"/>
              </w:rPr>
              <w:t>Include a cost estimate for a high-end scenario for the potential funding window to be considered at the 100</w:t>
            </w:r>
            <w:r w:rsidRPr="00987965">
              <w:rPr>
                <w:vertAlign w:val="superscript"/>
                <w:lang w:eastAsia="zh-CN"/>
              </w:rPr>
              <w:t>th</w:t>
            </w:r>
            <w:r w:rsidRPr="00987965">
              <w:rPr>
                <w:lang w:eastAsia="zh-CN"/>
              </w:rPr>
              <w:t xml:space="preserve"> ExCom meeting for the period 2027</w:t>
            </w:r>
            <w:r>
              <w:rPr>
                <w:lang w:eastAsia="zh-CN"/>
              </w:rPr>
              <w:t>–</w:t>
            </w:r>
            <w:r w:rsidRPr="00987965">
              <w:rPr>
                <w:lang w:eastAsia="zh-CN"/>
              </w:rPr>
              <w:t>2029 to support the implementation of national plans developed pursuant to decision 91/66, taking into account that activities to recover, recycle and reclaim refrigerants are also financed under HPMPs and KIPs</w:t>
            </w:r>
          </w:p>
        </w:tc>
        <w:tc>
          <w:tcPr>
            <w:tcW w:w="2250" w:type="dxa"/>
            <w:tcBorders>
              <w:top w:val="single" w:sz="4" w:space="0" w:color="auto"/>
              <w:bottom w:val="single" w:sz="12" w:space="0" w:color="auto"/>
            </w:tcBorders>
            <w:vAlign w:val="center"/>
          </w:tcPr>
          <w:p w14:paraId="06BC96B3" w14:textId="77777777" w:rsidR="004A7B24" w:rsidRPr="003169DA" w:rsidRDefault="004A7B24" w:rsidP="006B1D95">
            <w:pPr>
              <w:pStyle w:val="Normal-pool-Table"/>
              <w:ind w:left="57"/>
              <w:rPr>
                <w:b/>
                <w:lang w:eastAsia="zh-CN"/>
              </w:rPr>
            </w:pPr>
            <w:r w:rsidRPr="003169DA">
              <w:rPr>
                <w:b/>
                <w:lang w:eastAsia="zh-CN"/>
              </w:rPr>
              <w:t>LRM</w:t>
            </w:r>
          </w:p>
        </w:tc>
      </w:tr>
    </w:tbl>
    <w:p w14:paraId="304B98EB" w14:textId="74B10F58" w:rsidR="004A7B24" w:rsidRPr="00A81971" w:rsidRDefault="00EC01A1" w:rsidP="00CC7561">
      <w:pPr>
        <w:pStyle w:val="CH2"/>
        <w:spacing w:after="60"/>
      </w:pPr>
      <w:r>
        <w:lastRenderedPageBreak/>
        <w:tab/>
      </w:r>
      <w:r>
        <w:tab/>
      </w:r>
      <w:r w:rsidR="004A7B24" w:rsidRPr="00A81971">
        <w:t>ADDRESSING NEW OEWG48 SUGGESTED NEW SCENARIOS</w:t>
      </w:r>
    </w:p>
    <w:p w14:paraId="40DFCB93" w14:textId="09B5E3EB" w:rsidR="004A7B24" w:rsidRPr="00A81971" w:rsidRDefault="00EC01A1" w:rsidP="00CC7561">
      <w:pPr>
        <w:pStyle w:val="CH2"/>
        <w:spacing w:before="160" w:after="60"/>
      </w:pPr>
      <w:r>
        <w:tab/>
      </w:r>
      <w:r>
        <w:tab/>
      </w:r>
      <w:r w:rsidR="004A7B24" w:rsidRPr="00A81971">
        <w:t>HCFC New Scenarios</w:t>
      </w:r>
    </w:p>
    <w:p w14:paraId="40336DEA" w14:textId="77777777" w:rsidR="004A7B24" w:rsidRPr="00A81971" w:rsidRDefault="004A7B24" w:rsidP="0032742D">
      <w:pPr>
        <w:pStyle w:val="NormalNonumber"/>
        <w:tabs>
          <w:tab w:val="clear" w:pos="1247"/>
          <w:tab w:val="clear" w:pos="1871"/>
          <w:tab w:val="clear" w:pos="2495"/>
          <w:tab w:val="clear" w:pos="3119"/>
          <w:tab w:val="clear" w:pos="3742"/>
          <w:tab w:val="clear" w:pos="4366"/>
          <w:tab w:val="clear" w:pos="4990"/>
        </w:tabs>
      </w:pPr>
      <w:r w:rsidRPr="00A81971">
        <w:t>The low-end funding range for all HCFC activities for the 2027</w:t>
      </w:r>
      <w:r>
        <w:t>–</w:t>
      </w:r>
      <w:r w:rsidRPr="00A81971">
        <w:t>2029 triennium, with 90% resource allocation applied and using as Scenario 1 the “Updated RTF May Report”, is US$ 437 million, which includes US$ 408 million for HPMPs (without funding for production sector, project preparation, verification, and EE for LVCs). For the application of the new C</w:t>
      </w:r>
      <w:r>
        <w:t>E</w:t>
      </w:r>
      <w:r w:rsidRPr="00A81971">
        <w:t>s in scenarios, the estimated funding for the production sector, project preparation, verification, and EE were modelled separately and included in the final funding figures. As these amounts remain constant across all scenarios, they are presented only in the final total funding estimate and do not affect the modelling conditions or the comparison of results among scenarios.</w:t>
      </w:r>
    </w:p>
    <w:p w14:paraId="100C7889" w14:textId="77777777" w:rsidR="004A7B24" w:rsidRPr="00A81971" w:rsidRDefault="004A7B24" w:rsidP="006B1D95">
      <w:pPr>
        <w:pStyle w:val="NormalNonumber"/>
        <w:tabs>
          <w:tab w:val="clear" w:pos="1247"/>
          <w:tab w:val="clear" w:pos="1871"/>
          <w:tab w:val="clear" w:pos="2495"/>
          <w:tab w:val="clear" w:pos="3119"/>
          <w:tab w:val="clear" w:pos="3742"/>
          <w:tab w:val="clear" w:pos="4366"/>
          <w:tab w:val="clear" w:pos="4990"/>
        </w:tabs>
        <w:spacing w:before="120"/>
        <w:rPr>
          <w:color w:val="000000" w:themeColor="text1"/>
        </w:rPr>
      </w:pPr>
      <w:r w:rsidRPr="00A81971">
        <w:rPr>
          <w:b/>
          <w:bCs/>
          <w:i/>
          <w:iCs/>
          <w:color w:val="000000" w:themeColor="text1"/>
        </w:rPr>
        <w:t>New Scenarios for HCFCs applying CE factors based on 1a) historical C</w:t>
      </w:r>
      <w:r>
        <w:rPr>
          <w:b/>
          <w:bCs/>
          <w:i/>
          <w:iCs/>
          <w:color w:val="000000" w:themeColor="text1"/>
        </w:rPr>
        <w:t>E</w:t>
      </w:r>
      <w:r w:rsidRPr="00A81971">
        <w:rPr>
          <w:b/>
          <w:bCs/>
          <w:i/>
          <w:iCs/>
          <w:color w:val="000000" w:themeColor="text1"/>
        </w:rPr>
        <w:t>s, 1b) CE factors for each A5 party over the past 6 years, and 1c) average funding levels for each A5 party over the past 6 years</w:t>
      </w:r>
    </w:p>
    <w:p w14:paraId="3D5DD1C3" w14:textId="77777777" w:rsidR="004A7B24" w:rsidRPr="00287D66" w:rsidRDefault="004A7B24" w:rsidP="0032742D">
      <w:pPr>
        <w:pStyle w:val="NormalNonumber"/>
        <w:tabs>
          <w:tab w:val="clear" w:pos="1247"/>
          <w:tab w:val="clear" w:pos="1871"/>
          <w:tab w:val="clear" w:pos="2495"/>
          <w:tab w:val="clear" w:pos="3119"/>
          <w:tab w:val="clear" w:pos="3742"/>
          <w:tab w:val="clear" w:pos="4366"/>
          <w:tab w:val="clear" w:pos="4990"/>
        </w:tabs>
        <w:rPr>
          <w:color w:val="000000" w:themeColor="text1"/>
        </w:rPr>
      </w:pPr>
      <w:r w:rsidRPr="2E7655E2">
        <w:t xml:space="preserve">The results of the new estimates calculated for HCFC activities when applying OEWG48 </w:t>
      </w:r>
      <w:r w:rsidRPr="2E7655E2">
        <w:rPr>
          <w:b/>
          <w:bCs/>
        </w:rPr>
        <w:t>New Scenarios 1a, 1b, and 1c for HPMP</w:t>
      </w:r>
      <w:r w:rsidRPr="2E7655E2">
        <w:t>s, and compared to the Updated RTF May Report estimates are in Table ES.4 below. The three new scenarios are discussed in detail in Chapter 3.</w:t>
      </w:r>
      <w:r w:rsidRPr="00287D66">
        <w:rPr>
          <w:color w:val="000000" w:themeColor="text1"/>
        </w:rPr>
        <w:t xml:space="preserve">  </w:t>
      </w:r>
    </w:p>
    <w:p w14:paraId="6C634F92" w14:textId="77777777" w:rsidR="00EC01A1" w:rsidRDefault="004A7B24" w:rsidP="006B1D95">
      <w:pPr>
        <w:pStyle w:val="Titletable"/>
        <w:spacing w:before="240"/>
      </w:pPr>
      <w:r w:rsidRPr="00EC01A1">
        <w:rPr>
          <w:rFonts w:eastAsia="Yu Mincho"/>
          <w:b w:val="0"/>
          <w:bCs w:val="0"/>
          <w:lang w:val="en-CA"/>
        </w:rPr>
        <w:t>Table ES.4</w:t>
      </w:r>
      <w:r w:rsidR="00EC01A1">
        <w:rPr>
          <w:rFonts w:eastAsia="Yu Mincho"/>
          <w:lang w:val="en-CA"/>
        </w:rPr>
        <w:t xml:space="preserve"> </w:t>
      </w:r>
      <w:r w:rsidR="00EC01A1">
        <w:rPr>
          <w:rFonts w:eastAsia="Yu Mincho"/>
          <w:lang w:val="en-CA"/>
        </w:rPr>
        <w:br/>
      </w:r>
      <w:r w:rsidRPr="008A4CBB">
        <w:t>Summary</w:t>
      </w:r>
      <w:r w:rsidRPr="2E7655E2">
        <w:t xml:space="preserve"> </w:t>
      </w:r>
      <w:r w:rsidRPr="008A4CBB">
        <w:t>of</w:t>
      </w:r>
      <w:r w:rsidRPr="2E7655E2">
        <w:t xml:space="preserve"> estimated funding 2027</w:t>
      </w:r>
      <w:r>
        <w:t>–</w:t>
      </w:r>
      <w:r w:rsidRPr="2E7655E2">
        <w:t>2029 for HCFC phase-out applying New</w:t>
      </w:r>
      <w:r>
        <w:t xml:space="preserve"> </w:t>
      </w:r>
      <w:r w:rsidRPr="2E7655E2">
        <w:t xml:space="preserve">Scenarios 1a, 1b, and 1c and compared to Updated RTF May Report estimates </w:t>
      </w:r>
    </w:p>
    <w:p w14:paraId="6BF1EA06" w14:textId="39FAFA5B" w:rsidR="004A7B24" w:rsidRPr="00EC01A1" w:rsidRDefault="004A7B24" w:rsidP="00EC01A1">
      <w:pPr>
        <w:pStyle w:val="Titletable"/>
        <w:rPr>
          <w:rFonts w:eastAsia="Yu Mincho"/>
          <w:b w:val="0"/>
          <w:bCs w:val="0"/>
          <w:sz w:val="18"/>
          <w:szCs w:val="18"/>
          <w:lang w:val="en-CA"/>
        </w:rPr>
      </w:pPr>
      <w:r w:rsidRPr="00EC01A1">
        <w:rPr>
          <w:b w:val="0"/>
          <w:bCs w:val="0"/>
          <w:sz w:val="18"/>
          <w:szCs w:val="18"/>
        </w:rPr>
        <w:t>(US$ million)</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701"/>
        <w:gridCol w:w="1276"/>
        <w:gridCol w:w="1265"/>
        <w:gridCol w:w="1513"/>
      </w:tblGrid>
      <w:tr w:rsidR="004A7B24" w14:paraId="11B682FD" w14:textId="77777777" w:rsidTr="003518FA">
        <w:trPr>
          <w:trHeight w:val="294"/>
          <w:jc w:val="right"/>
        </w:trPr>
        <w:tc>
          <w:tcPr>
            <w:tcW w:w="2552"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6EE7F5F7" w14:textId="77777777" w:rsidR="004A7B24" w:rsidRPr="00565EC9" w:rsidRDefault="004A7B24" w:rsidP="00AC2172">
            <w:pPr>
              <w:pStyle w:val="Normal-pool-Table"/>
              <w:rPr>
                <w:i/>
                <w:iCs/>
                <w:lang w:eastAsia="zh-CN"/>
              </w:rPr>
            </w:pPr>
            <w:r w:rsidRPr="00565EC9">
              <w:rPr>
                <w:i/>
                <w:iCs/>
                <w:color w:val="000000" w:themeColor="text1"/>
                <w:lang w:eastAsia="zh-CN"/>
              </w:rPr>
              <w:t>H</w:t>
            </w:r>
            <w:r w:rsidRPr="00565EC9">
              <w:rPr>
                <w:i/>
                <w:iCs/>
                <w:lang w:eastAsia="zh-CN"/>
              </w:rPr>
              <w:t>CFCs Consumption and Production Sector Activities for Low-End Scenario 2027-2029 using 90% Resource Allocation Schedule</w:t>
            </w:r>
          </w:p>
        </w:tc>
        <w:tc>
          <w:tcPr>
            <w:tcW w:w="1701"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22193A10" w14:textId="35BB6E81" w:rsidR="004A7B24" w:rsidRPr="00565EC9" w:rsidRDefault="004A7B24" w:rsidP="00AC2172">
            <w:pPr>
              <w:pStyle w:val="Normal-pool-Table"/>
              <w:jc w:val="right"/>
              <w:rPr>
                <w:i/>
                <w:iCs/>
                <w:color w:val="000000"/>
                <w:lang w:eastAsia="zh-CN"/>
              </w:rPr>
            </w:pPr>
            <w:r w:rsidRPr="00565EC9">
              <w:rPr>
                <w:i/>
                <w:iCs/>
                <w:color w:val="000000" w:themeColor="text1"/>
                <w:lang w:eastAsia="zh-CN"/>
              </w:rPr>
              <w:t>Updated RTF May Report Estimates</w:t>
            </w:r>
            <w:r w:rsidR="003518FA">
              <w:rPr>
                <w:i/>
                <w:iCs/>
                <w:color w:val="000000" w:themeColor="text1"/>
                <w:lang w:eastAsia="zh-CN"/>
              </w:rPr>
              <w:t xml:space="preserve"> </w:t>
            </w:r>
            <w:r w:rsidRPr="00565EC9">
              <w:rPr>
                <w:i/>
                <w:iCs/>
                <w:color w:val="000000" w:themeColor="text1"/>
                <w:lang w:eastAsia="zh-CN"/>
              </w:rPr>
              <w:t>2027-2029 Triennium</w:t>
            </w:r>
          </w:p>
        </w:tc>
        <w:tc>
          <w:tcPr>
            <w:tcW w:w="1276"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5ADEB10D" w14:textId="626B10EF" w:rsidR="004A7B24" w:rsidRPr="00565EC9" w:rsidRDefault="004A7B24" w:rsidP="00AC2172">
            <w:pPr>
              <w:pStyle w:val="Normal-pool-Table"/>
              <w:jc w:val="right"/>
              <w:rPr>
                <w:i/>
                <w:iCs/>
                <w:lang w:eastAsia="zh-CN"/>
              </w:rPr>
            </w:pPr>
            <w:r w:rsidRPr="00565EC9">
              <w:rPr>
                <w:i/>
                <w:iCs/>
                <w:color w:val="000000" w:themeColor="text1"/>
                <w:lang w:eastAsia="zh-CN"/>
              </w:rPr>
              <w:t>New Scenario 1a (CE historical)</w:t>
            </w:r>
          </w:p>
        </w:tc>
        <w:tc>
          <w:tcPr>
            <w:tcW w:w="1265"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0E59CE52" w14:textId="236DA656" w:rsidR="004A7B24" w:rsidRPr="00565EC9" w:rsidRDefault="004A7B24" w:rsidP="00AC2172">
            <w:pPr>
              <w:pStyle w:val="Normal-pool-Table"/>
              <w:jc w:val="right"/>
              <w:rPr>
                <w:i/>
                <w:iCs/>
                <w:color w:val="000000"/>
                <w:lang w:eastAsia="zh-CN"/>
              </w:rPr>
            </w:pPr>
            <w:r w:rsidRPr="00565EC9">
              <w:rPr>
                <w:i/>
                <w:iCs/>
                <w:color w:val="000000" w:themeColor="text1"/>
                <w:lang w:eastAsia="zh-CN"/>
              </w:rPr>
              <w:t>New Scenario 1b (CE past 6 years)</w:t>
            </w:r>
          </w:p>
        </w:tc>
        <w:tc>
          <w:tcPr>
            <w:tcW w:w="1513"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6D5FDD37" w14:textId="2939E0E4" w:rsidR="004A7B24" w:rsidRPr="00565EC9" w:rsidRDefault="004A7B24" w:rsidP="00AC2172">
            <w:pPr>
              <w:pStyle w:val="Normal-pool-Table"/>
              <w:jc w:val="right"/>
              <w:rPr>
                <w:i/>
                <w:iCs/>
                <w:color w:val="000000"/>
                <w:lang w:eastAsia="zh-CN"/>
              </w:rPr>
            </w:pPr>
            <w:r w:rsidRPr="00565EC9">
              <w:rPr>
                <w:i/>
                <w:iCs/>
                <w:color w:val="000000" w:themeColor="text1"/>
                <w:lang w:eastAsia="zh-CN"/>
              </w:rPr>
              <w:t>New Scenario 1c (CE average funding past 6 years)</w:t>
            </w:r>
          </w:p>
        </w:tc>
      </w:tr>
      <w:tr w:rsidR="004A7B24" w14:paraId="3FC3A62B" w14:textId="77777777" w:rsidTr="00FC5D96">
        <w:trPr>
          <w:trHeight w:val="294"/>
          <w:jc w:val="right"/>
        </w:trPr>
        <w:tc>
          <w:tcPr>
            <w:tcW w:w="2552" w:type="dxa"/>
            <w:tcBorders>
              <w:top w:val="single" w:sz="12" w:space="0" w:color="auto"/>
              <w:bottom w:val="single" w:sz="4" w:space="0" w:color="auto"/>
            </w:tcBorders>
            <w:shd w:val="clear" w:color="auto" w:fill="FDE9D9" w:themeFill="accent6" w:themeFillTint="33"/>
            <w:tcMar>
              <w:left w:w="108" w:type="dxa"/>
              <w:right w:w="108" w:type="dxa"/>
            </w:tcMar>
            <w:vAlign w:val="center"/>
          </w:tcPr>
          <w:p w14:paraId="21CBEF11" w14:textId="77777777" w:rsidR="004A7B24" w:rsidRPr="00A81971" w:rsidRDefault="004A7B24" w:rsidP="00AC2172">
            <w:pPr>
              <w:pStyle w:val="Normal-pool-Table"/>
              <w:rPr>
                <w:color w:val="000000"/>
                <w:lang w:eastAsia="zh-CN"/>
              </w:rPr>
            </w:pPr>
            <w:r w:rsidRPr="00A81971">
              <w:rPr>
                <w:color w:val="000000" w:themeColor="text1"/>
                <w:lang w:eastAsia="zh-CN"/>
              </w:rPr>
              <w:t>New Scenarios Reduction</w:t>
            </w:r>
          </w:p>
        </w:tc>
        <w:tc>
          <w:tcPr>
            <w:tcW w:w="1701" w:type="dxa"/>
            <w:tcBorders>
              <w:top w:val="single" w:sz="12" w:space="0" w:color="auto"/>
              <w:bottom w:val="single" w:sz="4" w:space="0" w:color="auto"/>
            </w:tcBorders>
            <w:tcMar>
              <w:left w:w="108" w:type="dxa"/>
              <w:right w:w="108" w:type="dxa"/>
            </w:tcMar>
            <w:vAlign w:val="center"/>
          </w:tcPr>
          <w:p w14:paraId="279F19C6" w14:textId="77777777" w:rsidR="004A7B24" w:rsidRPr="00A81971" w:rsidRDefault="004A7B24" w:rsidP="00AC2172">
            <w:pPr>
              <w:pStyle w:val="Normal-pool-Table"/>
              <w:jc w:val="right"/>
              <w:rPr>
                <w:color w:val="000000"/>
                <w:lang w:eastAsia="zh-CN"/>
              </w:rPr>
            </w:pPr>
            <w:r w:rsidRPr="00A81971">
              <w:rPr>
                <w:color w:val="000000"/>
                <w:lang w:eastAsia="zh-CN"/>
              </w:rPr>
              <w:t>NA</w:t>
            </w:r>
          </w:p>
        </w:tc>
        <w:tc>
          <w:tcPr>
            <w:tcW w:w="1276" w:type="dxa"/>
            <w:tcBorders>
              <w:top w:val="single" w:sz="12" w:space="0" w:color="auto"/>
              <w:bottom w:val="single" w:sz="4" w:space="0" w:color="auto"/>
            </w:tcBorders>
            <w:tcMar>
              <w:left w:w="108" w:type="dxa"/>
              <w:right w:w="108" w:type="dxa"/>
            </w:tcMar>
            <w:vAlign w:val="center"/>
          </w:tcPr>
          <w:p w14:paraId="1DAC760E" w14:textId="77777777" w:rsidR="004A7B24" w:rsidRPr="00A81971" w:rsidRDefault="004A7B24" w:rsidP="00AC2172">
            <w:pPr>
              <w:pStyle w:val="Normal-pool-Table"/>
              <w:jc w:val="right"/>
              <w:rPr>
                <w:color w:val="000000"/>
                <w:lang w:eastAsia="zh-CN"/>
              </w:rPr>
            </w:pPr>
            <w:r w:rsidRPr="00A81971">
              <w:rPr>
                <w:color w:val="000000"/>
                <w:lang w:eastAsia="zh-CN"/>
              </w:rPr>
              <w:t>87.10</w:t>
            </w:r>
          </w:p>
        </w:tc>
        <w:tc>
          <w:tcPr>
            <w:tcW w:w="1265" w:type="dxa"/>
            <w:tcBorders>
              <w:top w:val="single" w:sz="12" w:space="0" w:color="auto"/>
              <w:bottom w:val="single" w:sz="4" w:space="0" w:color="auto"/>
            </w:tcBorders>
            <w:tcMar>
              <w:left w:w="108" w:type="dxa"/>
              <w:right w:w="108" w:type="dxa"/>
            </w:tcMar>
            <w:vAlign w:val="center"/>
          </w:tcPr>
          <w:p w14:paraId="7C39C89B" w14:textId="77777777" w:rsidR="004A7B24" w:rsidRPr="00A81971" w:rsidRDefault="004A7B24" w:rsidP="00AC2172">
            <w:pPr>
              <w:pStyle w:val="Normal-pool-Table"/>
              <w:jc w:val="right"/>
              <w:rPr>
                <w:color w:val="000000"/>
                <w:lang w:eastAsia="zh-CN"/>
              </w:rPr>
            </w:pPr>
            <w:r w:rsidRPr="00A81971">
              <w:rPr>
                <w:color w:val="000000" w:themeColor="text1"/>
                <w:lang w:eastAsia="zh-CN"/>
              </w:rPr>
              <w:t>201.8</w:t>
            </w:r>
          </w:p>
        </w:tc>
        <w:tc>
          <w:tcPr>
            <w:tcW w:w="1513" w:type="dxa"/>
            <w:tcBorders>
              <w:top w:val="single" w:sz="12" w:space="0" w:color="auto"/>
              <w:bottom w:val="single" w:sz="4" w:space="0" w:color="auto"/>
            </w:tcBorders>
            <w:tcMar>
              <w:left w:w="108" w:type="dxa"/>
              <w:right w:w="108" w:type="dxa"/>
            </w:tcMar>
            <w:vAlign w:val="center"/>
          </w:tcPr>
          <w:p w14:paraId="4FD1D420" w14:textId="77777777" w:rsidR="004A7B24" w:rsidRPr="00A81971" w:rsidRDefault="004A7B24" w:rsidP="00AC2172">
            <w:pPr>
              <w:pStyle w:val="Normal-pool-Table"/>
              <w:jc w:val="right"/>
              <w:rPr>
                <w:color w:val="000000"/>
                <w:lang w:eastAsia="zh-CN"/>
              </w:rPr>
            </w:pPr>
            <w:r w:rsidRPr="00A81971">
              <w:rPr>
                <w:color w:val="000000" w:themeColor="text1"/>
                <w:lang w:eastAsia="zh-CN"/>
              </w:rPr>
              <w:t>207.1</w:t>
            </w:r>
          </w:p>
        </w:tc>
      </w:tr>
      <w:tr w:rsidR="004A7B24" w14:paraId="16E13E13" w14:textId="77777777" w:rsidTr="00FC5D96">
        <w:trPr>
          <w:trHeight w:val="310"/>
          <w:jc w:val="right"/>
        </w:trPr>
        <w:tc>
          <w:tcPr>
            <w:tcW w:w="2552" w:type="dxa"/>
            <w:tcBorders>
              <w:top w:val="single" w:sz="4" w:space="0" w:color="auto"/>
              <w:bottom w:val="single" w:sz="12" w:space="0" w:color="auto"/>
            </w:tcBorders>
            <w:shd w:val="clear" w:color="auto" w:fill="FFFFCC"/>
            <w:tcMar>
              <w:left w:w="108" w:type="dxa"/>
              <w:right w:w="108" w:type="dxa"/>
            </w:tcMar>
            <w:vAlign w:val="center"/>
          </w:tcPr>
          <w:p w14:paraId="4FCA9198" w14:textId="77777777" w:rsidR="004A7B24" w:rsidRPr="00565EC9" w:rsidRDefault="004A7B24" w:rsidP="00AC2172">
            <w:pPr>
              <w:pStyle w:val="Normal-pool-Table"/>
              <w:rPr>
                <w:b/>
                <w:bCs/>
                <w:color w:val="000000"/>
                <w:lang w:eastAsia="zh-CN"/>
              </w:rPr>
            </w:pPr>
            <w:r w:rsidRPr="00565EC9">
              <w:rPr>
                <w:b/>
                <w:bCs/>
                <w:color w:val="000000"/>
                <w:lang w:eastAsia="zh-CN"/>
              </w:rPr>
              <w:t>Total</w:t>
            </w:r>
            <w:r w:rsidRPr="00565EC9">
              <w:rPr>
                <w:color w:val="000000"/>
                <w:lang w:eastAsia="zh-CN"/>
              </w:rPr>
              <w:t>*</w:t>
            </w:r>
          </w:p>
        </w:tc>
        <w:tc>
          <w:tcPr>
            <w:tcW w:w="1701" w:type="dxa"/>
            <w:tcBorders>
              <w:top w:val="single" w:sz="4" w:space="0" w:color="auto"/>
              <w:bottom w:val="single" w:sz="12" w:space="0" w:color="auto"/>
            </w:tcBorders>
            <w:shd w:val="clear" w:color="auto" w:fill="FFFFCC"/>
            <w:tcMar>
              <w:left w:w="108" w:type="dxa"/>
              <w:right w:w="108" w:type="dxa"/>
            </w:tcMar>
            <w:vAlign w:val="center"/>
          </w:tcPr>
          <w:p w14:paraId="2940431F" w14:textId="77777777" w:rsidR="004A7B24" w:rsidRPr="00565EC9" w:rsidRDefault="004A7B24" w:rsidP="00AC2172">
            <w:pPr>
              <w:pStyle w:val="Normal-pool-Table"/>
              <w:jc w:val="right"/>
              <w:rPr>
                <w:b/>
                <w:bCs/>
                <w:color w:val="000000"/>
                <w:lang w:eastAsia="zh-CN"/>
              </w:rPr>
            </w:pPr>
            <w:r w:rsidRPr="00565EC9">
              <w:rPr>
                <w:b/>
                <w:bCs/>
                <w:color w:val="000000"/>
                <w:lang w:eastAsia="zh-CN"/>
              </w:rPr>
              <w:t>437</w:t>
            </w:r>
          </w:p>
        </w:tc>
        <w:tc>
          <w:tcPr>
            <w:tcW w:w="1276" w:type="dxa"/>
            <w:tcBorders>
              <w:top w:val="single" w:sz="4" w:space="0" w:color="auto"/>
              <w:bottom w:val="single" w:sz="12" w:space="0" w:color="auto"/>
            </w:tcBorders>
            <w:shd w:val="clear" w:color="auto" w:fill="FFFFCC"/>
            <w:tcMar>
              <w:left w:w="108" w:type="dxa"/>
              <w:right w:w="108" w:type="dxa"/>
            </w:tcMar>
            <w:vAlign w:val="center"/>
          </w:tcPr>
          <w:p w14:paraId="215BBA01" w14:textId="77777777" w:rsidR="004A7B24" w:rsidRPr="00565EC9" w:rsidRDefault="004A7B24" w:rsidP="00AC2172">
            <w:pPr>
              <w:pStyle w:val="Normal-pool-Table"/>
              <w:jc w:val="right"/>
              <w:rPr>
                <w:b/>
                <w:bCs/>
                <w:color w:val="000000"/>
                <w:lang w:eastAsia="zh-CN"/>
              </w:rPr>
            </w:pPr>
            <w:r w:rsidRPr="00565EC9">
              <w:rPr>
                <w:b/>
                <w:bCs/>
                <w:lang w:eastAsia="zh-CN"/>
              </w:rPr>
              <w:t>350</w:t>
            </w:r>
          </w:p>
        </w:tc>
        <w:tc>
          <w:tcPr>
            <w:tcW w:w="1265" w:type="dxa"/>
            <w:tcBorders>
              <w:top w:val="single" w:sz="4" w:space="0" w:color="auto"/>
              <w:bottom w:val="single" w:sz="12" w:space="0" w:color="auto"/>
            </w:tcBorders>
            <w:shd w:val="clear" w:color="auto" w:fill="FFFFCC"/>
            <w:tcMar>
              <w:left w:w="108" w:type="dxa"/>
              <w:right w:w="108" w:type="dxa"/>
            </w:tcMar>
            <w:vAlign w:val="center"/>
          </w:tcPr>
          <w:p w14:paraId="56FB859D" w14:textId="77777777" w:rsidR="004A7B24" w:rsidRPr="00565EC9" w:rsidRDefault="004A7B24" w:rsidP="00AC2172">
            <w:pPr>
              <w:pStyle w:val="Normal-pool-Table"/>
              <w:jc w:val="right"/>
              <w:rPr>
                <w:b/>
                <w:bCs/>
                <w:lang w:eastAsia="zh-CN"/>
              </w:rPr>
            </w:pPr>
            <w:r w:rsidRPr="00565EC9">
              <w:rPr>
                <w:b/>
                <w:bCs/>
                <w:color w:val="000000"/>
                <w:lang w:eastAsia="zh-CN"/>
              </w:rPr>
              <w:t>2</w:t>
            </w:r>
            <w:r w:rsidRPr="00565EC9">
              <w:rPr>
                <w:b/>
                <w:bCs/>
                <w:lang w:eastAsia="zh-CN"/>
              </w:rPr>
              <w:t>35</w:t>
            </w:r>
          </w:p>
        </w:tc>
        <w:tc>
          <w:tcPr>
            <w:tcW w:w="1513" w:type="dxa"/>
            <w:tcBorders>
              <w:top w:val="single" w:sz="4" w:space="0" w:color="auto"/>
              <w:bottom w:val="single" w:sz="12" w:space="0" w:color="auto"/>
            </w:tcBorders>
            <w:shd w:val="clear" w:color="auto" w:fill="FFFFCC"/>
            <w:tcMar>
              <w:left w:w="108" w:type="dxa"/>
              <w:right w:w="108" w:type="dxa"/>
            </w:tcMar>
            <w:vAlign w:val="center"/>
          </w:tcPr>
          <w:p w14:paraId="0A41BC4B" w14:textId="77777777" w:rsidR="004A7B24" w:rsidRPr="00565EC9" w:rsidRDefault="004A7B24" w:rsidP="00AC2172">
            <w:pPr>
              <w:pStyle w:val="Normal-pool-Table"/>
              <w:jc w:val="right"/>
              <w:rPr>
                <w:b/>
                <w:bCs/>
                <w:color w:val="000000"/>
                <w:highlight w:val="yellow"/>
                <w:lang w:eastAsia="zh-CN"/>
              </w:rPr>
            </w:pPr>
            <w:r w:rsidRPr="00565EC9">
              <w:rPr>
                <w:b/>
                <w:bCs/>
                <w:color w:val="000000"/>
                <w:lang w:eastAsia="zh-CN"/>
              </w:rPr>
              <w:t>230</w:t>
            </w:r>
          </w:p>
        </w:tc>
      </w:tr>
    </w:tbl>
    <w:p w14:paraId="5A17148D" w14:textId="164AB7E5" w:rsidR="004A7B24" w:rsidRPr="00817DA7" w:rsidRDefault="00817DA7" w:rsidP="00565EC9">
      <w:pPr>
        <w:pStyle w:val="NormalNonumber"/>
        <w:spacing w:before="60"/>
        <w:rPr>
          <w:sz w:val="17"/>
          <w:szCs w:val="17"/>
        </w:rPr>
      </w:pPr>
      <w:r w:rsidRPr="00817DA7">
        <w:rPr>
          <w:sz w:val="17"/>
          <w:szCs w:val="17"/>
        </w:rPr>
        <w:tab/>
      </w:r>
      <w:r w:rsidR="004A7B24" w:rsidRPr="00817DA7">
        <w:rPr>
          <w:sz w:val="17"/>
          <w:szCs w:val="17"/>
        </w:rPr>
        <w:t>*Numbers may differ slightly from figures in Chapter 3 due to rounding.</w:t>
      </w:r>
    </w:p>
    <w:p w14:paraId="33DC96DD" w14:textId="77777777" w:rsidR="004A7B24" w:rsidRPr="00A81971" w:rsidRDefault="004A7B24" w:rsidP="00817DA7">
      <w:pPr>
        <w:pStyle w:val="NormalNonumber"/>
        <w:tabs>
          <w:tab w:val="clear" w:pos="1247"/>
          <w:tab w:val="clear" w:pos="1871"/>
          <w:tab w:val="clear" w:pos="2495"/>
          <w:tab w:val="clear" w:pos="3119"/>
          <w:tab w:val="clear" w:pos="3742"/>
          <w:tab w:val="clear" w:pos="4366"/>
          <w:tab w:val="clear" w:pos="4990"/>
        </w:tabs>
        <w:spacing w:before="240"/>
        <w:rPr>
          <w:iCs/>
          <w:color w:val="000000" w:themeColor="text1"/>
        </w:rPr>
      </w:pPr>
      <w:r w:rsidRPr="00A81971">
        <w:rPr>
          <w:iCs/>
          <w:color w:val="000000" w:themeColor="text1"/>
        </w:rPr>
        <w:t xml:space="preserve">In </w:t>
      </w:r>
      <w:r w:rsidRPr="001D7029">
        <w:t>summary</w:t>
      </w:r>
      <w:r w:rsidRPr="00A81971">
        <w:rPr>
          <w:iCs/>
          <w:color w:val="000000" w:themeColor="text1"/>
        </w:rPr>
        <w:t>:</w:t>
      </w:r>
    </w:p>
    <w:p w14:paraId="30947560" w14:textId="77777777" w:rsidR="004A7B24" w:rsidRPr="00A81971" w:rsidRDefault="004A7B24">
      <w:pPr>
        <w:pStyle w:val="ListParagraph"/>
        <w:numPr>
          <w:ilvl w:val="0"/>
          <w:numId w:val="20"/>
        </w:numPr>
        <w:tabs>
          <w:tab w:val="clear" w:pos="1247"/>
          <w:tab w:val="clear" w:pos="1814"/>
          <w:tab w:val="clear" w:pos="2381"/>
          <w:tab w:val="clear" w:pos="2948"/>
          <w:tab w:val="clear" w:pos="3515"/>
        </w:tabs>
        <w:ind w:left="1701"/>
        <w:rPr>
          <w:iCs/>
          <w:color w:val="000000" w:themeColor="text1"/>
        </w:rPr>
      </w:pPr>
      <w:r w:rsidRPr="00A81971">
        <w:rPr>
          <w:iCs/>
        </w:rPr>
        <w:t xml:space="preserve">The impact of the New Scenario 1a-HPMPs (based on the application of historical CE factors) </w:t>
      </w:r>
      <w:r w:rsidRPr="00A81971">
        <w:rPr>
          <w:iCs/>
          <w:lang w:eastAsia="nl-NL"/>
        </w:rPr>
        <w:t>is</w:t>
      </w:r>
      <w:r w:rsidRPr="00A81971">
        <w:rPr>
          <w:iCs/>
          <w:color w:val="000000" w:themeColor="text1"/>
        </w:rPr>
        <w:t xml:space="preserve"> a </w:t>
      </w:r>
      <w:r w:rsidRPr="00A81971">
        <w:rPr>
          <w:b/>
          <w:bCs/>
          <w:iCs/>
          <w:color w:val="000000" w:themeColor="text1"/>
        </w:rPr>
        <w:t>reduction of US$ 87.10 million</w:t>
      </w:r>
      <w:r w:rsidRPr="00A81971">
        <w:rPr>
          <w:iCs/>
          <w:color w:val="000000" w:themeColor="text1"/>
        </w:rPr>
        <w:t xml:space="preserve"> from the </w:t>
      </w:r>
      <w:r>
        <w:rPr>
          <w:iCs/>
          <w:color w:val="000000" w:themeColor="text1"/>
        </w:rPr>
        <w:t>“</w:t>
      </w:r>
      <w:r w:rsidRPr="00A81971">
        <w:rPr>
          <w:iCs/>
          <w:color w:val="000000" w:themeColor="text1"/>
        </w:rPr>
        <w:t xml:space="preserve">Updated RTF May Report Scenario 1 (low-end)”. </w:t>
      </w:r>
    </w:p>
    <w:p w14:paraId="4A67BC97" w14:textId="77777777" w:rsidR="004A7B24" w:rsidRPr="00A81971" w:rsidRDefault="004A7B24">
      <w:pPr>
        <w:pStyle w:val="ListParagraph"/>
        <w:numPr>
          <w:ilvl w:val="0"/>
          <w:numId w:val="20"/>
        </w:numPr>
        <w:tabs>
          <w:tab w:val="clear" w:pos="1247"/>
          <w:tab w:val="clear" w:pos="1814"/>
          <w:tab w:val="clear" w:pos="2381"/>
          <w:tab w:val="clear" w:pos="2948"/>
          <w:tab w:val="clear" w:pos="3515"/>
        </w:tabs>
        <w:spacing w:before="240"/>
        <w:ind w:left="1701"/>
        <w:rPr>
          <w:iCs/>
          <w:color w:val="000000"/>
        </w:rPr>
      </w:pPr>
      <w:r w:rsidRPr="00A81971">
        <w:rPr>
          <w:rFonts w:eastAsia="Calibri"/>
          <w:iCs/>
          <w:color w:val="000000" w:themeColor="text1"/>
          <w:lang w:eastAsia="nl-NL"/>
        </w:rPr>
        <w:t xml:space="preserve">The impact of the New Scenario 1b-HPMPs (based on CE factors for each A5 party over the past 6 years) </w:t>
      </w:r>
      <w:r w:rsidRPr="00A81971">
        <w:rPr>
          <w:iCs/>
          <w:color w:val="000000" w:themeColor="text1"/>
        </w:rPr>
        <w:t xml:space="preserve">is a </w:t>
      </w:r>
      <w:r w:rsidRPr="00A81971">
        <w:rPr>
          <w:b/>
          <w:bCs/>
          <w:iCs/>
          <w:color w:val="000000" w:themeColor="text1"/>
        </w:rPr>
        <w:t>reduction of US$ 201.82 million</w:t>
      </w:r>
      <w:r w:rsidRPr="00A81971">
        <w:rPr>
          <w:iCs/>
          <w:color w:val="000000" w:themeColor="text1"/>
        </w:rPr>
        <w:t xml:space="preserve"> from the “Updated RTF May Report-Scenario 1 (low-end)”.</w:t>
      </w:r>
    </w:p>
    <w:p w14:paraId="08BAC919" w14:textId="77777777" w:rsidR="004A7B24" w:rsidRPr="00A81971" w:rsidRDefault="004A7B24">
      <w:pPr>
        <w:pStyle w:val="ListParagraph"/>
        <w:numPr>
          <w:ilvl w:val="0"/>
          <w:numId w:val="20"/>
        </w:numPr>
        <w:tabs>
          <w:tab w:val="clear" w:pos="1247"/>
          <w:tab w:val="clear" w:pos="1814"/>
          <w:tab w:val="clear" w:pos="2381"/>
          <w:tab w:val="clear" w:pos="2948"/>
          <w:tab w:val="clear" w:pos="3515"/>
        </w:tabs>
        <w:ind w:left="1701"/>
        <w:rPr>
          <w:iCs/>
          <w:color w:val="000000" w:themeColor="text1"/>
        </w:rPr>
      </w:pPr>
      <w:r w:rsidRPr="00A81971">
        <w:rPr>
          <w:iCs/>
          <w:lang w:eastAsia="nl-NL"/>
        </w:rPr>
        <w:t>The impact of the New Scenario 1c-HPMPs (CE based on average funding levels for each A5 party over the past 6 years) is</w:t>
      </w:r>
      <w:r w:rsidRPr="00A81971">
        <w:rPr>
          <w:iCs/>
          <w:color w:val="000000" w:themeColor="text1"/>
        </w:rPr>
        <w:t xml:space="preserve"> a </w:t>
      </w:r>
      <w:r w:rsidRPr="00A81971">
        <w:rPr>
          <w:b/>
          <w:bCs/>
          <w:iCs/>
          <w:color w:val="000000" w:themeColor="text1"/>
        </w:rPr>
        <w:t>reduction of US$ 207.10 million</w:t>
      </w:r>
      <w:r w:rsidRPr="00A81971">
        <w:rPr>
          <w:iCs/>
          <w:color w:val="000000" w:themeColor="text1"/>
        </w:rPr>
        <w:t xml:space="preserve"> from the “Updated RTF May Report-Scenario 1 (low-end)”.</w:t>
      </w:r>
    </w:p>
    <w:p w14:paraId="16C73523" w14:textId="77777777" w:rsidR="004A7B24" w:rsidRPr="003857CC" w:rsidRDefault="004A7B24" w:rsidP="003857CC">
      <w:pPr>
        <w:pStyle w:val="NormalNonumber"/>
        <w:tabs>
          <w:tab w:val="clear" w:pos="1247"/>
          <w:tab w:val="clear" w:pos="1871"/>
          <w:tab w:val="clear" w:pos="2495"/>
          <w:tab w:val="clear" w:pos="3119"/>
          <w:tab w:val="clear" w:pos="3742"/>
          <w:tab w:val="clear" w:pos="4366"/>
          <w:tab w:val="clear" w:pos="4990"/>
        </w:tabs>
        <w:spacing w:before="240"/>
        <w:rPr>
          <w:b/>
          <w:bCs/>
          <w:i/>
          <w:iCs/>
        </w:rPr>
      </w:pPr>
      <w:r w:rsidRPr="003857CC">
        <w:rPr>
          <w:b/>
          <w:bCs/>
          <w:i/>
          <w:iCs/>
        </w:rPr>
        <w:t>Additional New Scenario 2a for HCFCs: A low-end scenario based on the most recently reported consumption data for HCFCs and a high-end scenario based on HCFC remaining eligible consumption</w:t>
      </w:r>
    </w:p>
    <w:p w14:paraId="1A1D1B55" w14:textId="77777777" w:rsidR="004A7B24" w:rsidRPr="0032742D" w:rsidRDefault="004A7B24" w:rsidP="001B6328">
      <w:pPr>
        <w:pStyle w:val="NormalNonumber"/>
        <w:tabs>
          <w:tab w:val="clear" w:pos="1247"/>
          <w:tab w:val="clear" w:pos="1871"/>
          <w:tab w:val="clear" w:pos="2495"/>
          <w:tab w:val="clear" w:pos="3119"/>
          <w:tab w:val="clear" w:pos="3742"/>
          <w:tab w:val="clear" w:pos="4366"/>
          <w:tab w:val="clear" w:pos="4990"/>
        </w:tabs>
      </w:pPr>
      <w:r w:rsidRPr="0032742D">
        <w:t>For HCFCs, w</w:t>
      </w:r>
      <w:r w:rsidRPr="00B242F8">
        <w:t xml:space="preserve">here the eligible remaining consumption differs from the most recently reported A7 data, the </w:t>
      </w:r>
      <w:r w:rsidRPr="001D7029">
        <w:t>lower</w:t>
      </w:r>
      <w:r w:rsidRPr="00B242F8">
        <w:t xml:space="preserve"> of the two values was used in the calculation. The f</w:t>
      </w:r>
      <w:r w:rsidRPr="0032742D">
        <w:t>unding estimates and adjustments presented in the “Updated RTF May Report” scenarios and funding ranges, already take this suggestion into consideration. Therefore, the funding estimates presented in the “Updated RTF May Report” are the same for this new scenario.</w:t>
      </w:r>
    </w:p>
    <w:p w14:paraId="69AE390F" w14:textId="77777777" w:rsidR="004A7B24" w:rsidRPr="00FF21AD" w:rsidRDefault="004A7B24" w:rsidP="00AF15A8">
      <w:pPr>
        <w:pStyle w:val="NormalNonumber"/>
        <w:tabs>
          <w:tab w:val="clear" w:pos="1247"/>
          <w:tab w:val="clear" w:pos="1871"/>
          <w:tab w:val="clear" w:pos="2495"/>
          <w:tab w:val="clear" w:pos="3119"/>
          <w:tab w:val="clear" w:pos="3742"/>
          <w:tab w:val="clear" w:pos="4366"/>
          <w:tab w:val="clear" w:pos="4990"/>
        </w:tabs>
        <w:spacing w:before="120"/>
      </w:pPr>
      <w:r w:rsidRPr="00A81971">
        <w:t xml:space="preserve">The new </w:t>
      </w:r>
      <w:r w:rsidRPr="0032742D">
        <w:t>estimated</w:t>
      </w:r>
      <w:r w:rsidRPr="00A81971">
        <w:t xml:space="preserve"> </w:t>
      </w:r>
      <w:r w:rsidRPr="0032742D">
        <w:t>ranges</w:t>
      </w:r>
      <w:r w:rsidRPr="00A81971">
        <w:t xml:space="preserve"> considering all new scenarios are presented in Table ES</w:t>
      </w:r>
      <w:r>
        <w:t>.</w:t>
      </w:r>
      <w:r w:rsidRPr="00A81971">
        <w:t xml:space="preserve">5.  </w:t>
      </w:r>
    </w:p>
    <w:p w14:paraId="5BCFE298" w14:textId="1D25DE14" w:rsidR="004A7B24" w:rsidRPr="00A81971" w:rsidRDefault="004A7B24" w:rsidP="00366AFF">
      <w:pPr>
        <w:pStyle w:val="Titletable"/>
        <w:keepNext w:val="0"/>
        <w:keepLines w:val="0"/>
        <w:spacing w:before="240"/>
        <w:rPr>
          <w:color w:val="000000" w:themeColor="text1"/>
        </w:rPr>
      </w:pPr>
      <w:r w:rsidRPr="0032742D">
        <w:rPr>
          <w:rFonts w:eastAsia="Yu Mincho"/>
          <w:b w:val="0"/>
          <w:bCs w:val="0"/>
          <w:color w:val="000000" w:themeColor="text1"/>
          <w:lang w:val="en-CA"/>
        </w:rPr>
        <w:t>Table ES.5</w:t>
      </w:r>
      <w:r w:rsidR="0032742D" w:rsidRPr="0032742D">
        <w:rPr>
          <w:rFonts w:eastAsia="Yu Mincho"/>
          <w:b w:val="0"/>
          <w:bCs w:val="0"/>
          <w:color w:val="000000" w:themeColor="text1"/>
          <w:lang w:val="en-CA"/>
        </w:rPr>
        <w:t xml:space="preserve"> </w:t>
      </w:r>
      <w:r w:rsidR="0032742D" w:rsidRPr="0032742D">
        <w:rPr>
          <w:rFonts w:eastAsia="Yu Mincho"/>
          <w:b w:val="0"/>
          <w:bCs w:val="0"/>
          <w:color w:val="000000" w:themeColor="text1"/>
          <w:lang w:val="en-CA"/>
        </w:rPr>
        <w:br/>
      </w:r>
      <w:r w:rsidRPr="00526EE7">
        <w:rPr>
          <w:color w:val="000000" w:themeColor="text1"/>
        </w:rPr>
        <w:t>Summary</w:t>
      </w:r>
      <w:r w:rsidRPr="2E7655E2">
        <w:t xml:space="preserve"> of </w:t>
      </w:r>
      <w:r w:rsidRPr="00134E31">
        <w:rPr>
          <w:color w:val="000000" w:themeColor="text1"/>
        </w:rPr>
        <w:t>estimated</w:t>
      </w:r>
      <w:r w:rsidRPr="2E7655E2">
        <w:t xml:space="preserve"> funding 2027-2029 for HCFC phase-out applying the lowest funding in a New Scenario, compared to the </w:t>
      </w:r>
      <w:r>
        <w:t>“</w:t>
      </w:r>
      <w:r w:rsidRPr="2E7655E2">
        <w:t>Updated RTF May Report</w:t>
      </w:r>
      <w:r>
        <w:t>”</w:t>
      </w:r>
      <w:r w:rsidRPr="2E7655E2">
        <w:t xml:space="preserve"> estimates (US$ million)</w:t>
      </w:r>
    </w:p>
    <w:tbl>
      <w:tblPr>
        <w:tblW w:w="8307" w:type="dxa"/>
        <w:jc w:val="right"/>
        <w:tblBorders>
          <w:bottom w:val="single" w:sz="12" w:space="0" w:color="auto"/>
        </w:tblBorders>
        <w:tblLook w:val="04A0" w:firstRow="1" w:lastRow="0" w:firstColumn="1" w:lastColumn="0" w:noHBand="0" w:noVBand="1"/>
      </w:tblPr>
      <w:tblGrid>
        <w:gridCol w:w="3363"/>
        <w:gridCol w:w="2335"/>
        <w:gridCol w:w="2609"/>
      </w:tblGrid>
      <w:tr w:rsidR="004A7B24" w14:paraId="137F7C30" w14:textId="77777777" w:rsidTr="00FC5D96">
        <w:trPr>
          <w:trHeight w:val="57"/>
          <w:jc w:val="right"/>
        </w:trPr>
        <w:tc>
          <w:tcPr>
            <w:tcW w:w="3461" w:type="dxa"/>
            <w:tcBorders>
              <w:top w:val="single" w:sz="4" w:space="0" w:color="auto"/>
              <w:bottom w:val="single" w:sz="4" w:space="0" w:color="auto"/>
            </w:tcBorders>
            <w:shd w:val="clear" w:color="auto" w:fill="DBE5F1" w:themeFill="accent1" w:themeFillTint="33"/>
          </w:tcPr>
          <w:p w14:paraId="5134BB82" w14:textId="77777777" w:rsidR="004A7B24" w:rsidRPr="00565EC9" w:rsidRDefault="004A7B24" w:rsidP="00366AFF">
            <w:pPr>
              <w:pStyle w:val="Normal-pool-Table"/>
              <w:rPr>
                <w:i/>
                <w:iCs/>
              </w:rPr>
            </w:pPr>
            <w:r w:rsidRPr="00565EC9">
              <w:rPr>
                <w:i/>
                <w:iCs/>
              </w:rPr>
              <w:t>2027–2029 Triennium</w:t>
            </w:r>
          </w:p>
        </w:tc>
        <w:tc>
          <w:tcPr>
            <w:tcW w:w="2401" w:type="dxa"/>
            <w:tcBorders>
              <w:top w:val="single" w:sz="4" w:space="0" w:color="auto"/>
              <w:bottom w:val="single" w:sz="4" w:space="0" w:color="auto"/>
            </w:tcBorders>
            <w:shd w:val="clear" w:color="auto" w:fill="DBE5F1" w:themeFill="accent1" w:themeFillTint="33"/>
          </w:tcPr>
          <w:p w14:paraId="6F0A3F58" w14:textId="77777777" w:rsidR="004A7B24" w:rsidRPr="00565EC9" w:rsidRDefault="004A7B24" w:rsidP="00366AFF">
            <w:pPr>
              <w:pStyle w:val="Normal-pool-Table"/>
              <w:jc w:val="right"/>
              <w:rPr>
                <w:i/>
                <w:iCs/>
              </w:rPr>
            </w:pPr>
            <w:r w:rsidRPr="00565EC9">
              <w:rPr>
                <w:i/>
                <w:iCs/>
              </w:rPr>
              <w:t>Updated May Report Estimates</w:t>
            </w:r>
          </w:p>
        </w:tc>
        <w:tc>
          <w:tcPr>
            <w:tcW w:w="2670" w:type="dxa"/>
            <w:tcBorders>
              <w:top w:val="single" w:sz="4" w:space="0" w:color="auto"/>
              <w:bottom w:val="single" w:sz="4" w:space="0" w:color="auto"/>
            </w:tcBorders>
            <w:shd w:val="clear" w:color="auto" w:fill="DBE5F1" w:themeFill="accent1" w:themeFillTint="33"/>
          </w:tcPr>
          <w:p w14:paraId="772CF9FE" w14:textId="77777777" w:rsidR="004A7B24" w:rsidRPr="00565EC9" w:rsidRDefault="004A7B24" w:rsidP="00366AFF">
            <w:pPr>
              <w:pStyle w:val="Normal-pool-Table"/>
              <w:jc w:val="right"/>
              <w:rPr>
                <w:i/>
                <w:iCs/>
              </w:rPr>
            </w:pPr>
            <w:r w:rsidRPr="00565EC9">
              <w:rPr>
                <w:i/>
                <w:iCs/>
              </w:rPr>
              <w:t>Supplementary Report Estimates Applying New Scenarios</w:t>
            </w:r>
          </w:p>
        </w:tc>
      </w:tr>
      <w:tr w:rsidR="004A7B24" w14:paraId="03C85BC0" w14:textId="77777777" w:rsidTr="00FC5D96">
        <w:trPr>
          <w:trHeight w:val="57"/>
          <w:jc w:val="right"/>
        </w:trPr>
        <w:tc>
          <w:tcPr>
            <w:tcW w:w="3461" w:type="dxa"/>
            <w:tcBorders>
              <w:top w:val="single" w:sz="4" w:space="0" w:color="auto"/>
              <w:bottom w:val="single" w:sz="12" w:space="0" w:color="auto"/>
            </w:tcBorders>
            <w:shd w:val="clear" w:color="auto" w:fill="FFFFCC"/>
          </w:tcPr>
          <w:p w14:paraId="1CCBFB1B" w14:textId="77777777" w:rsidR="004A7B24" w:rsidRPr="00AF6103" w:rsidRDefault="004A7B24" w:rsidP="00366AFF">
            <w:pPr>
              <w:pStyle w:val="Normal-pool-Table"/>
              <w:rPr>
                <w:b/>
                <w:bCs/>
              </w:rPr>
            </w:pPr>
            <w:r w:rsidRPr="00AF6103">
              <w:rPr>
                <w:b/>
                <w:bCs/>
              </w:rPr>
              <w:t>SUBTOTAL – HCFC ACTIVITIES</w:t>
            </w:r>
          </w:p>
        </w:tc>
        <w:tc>
          <w:tcPr>
            <w:tcW w:w="2401" w:type="dxa"/>
            <w:tcBorders>
              <w:top w:val="single" w:sz="4" w:space="0" w:color="auto"/>
              <w:bottom w:val="single" w:sz="12" w:space="0" w:color="auto"/>
            </w:tcBorders>
            <w:shd w:val="clear" w:color="auto" w:fill="FFFFCC"/>
          </w:tcPr>
          <w:p w14:paraId="586D0117" w14:textId="77777777" w:rsidR="004A7B24" w:rsidRPr="00AF6103" w:rsidRDefault="004A7B24" w:rsidP="00366AFF">
            <w:pPr>
              <w:pStyle w:val="Normal-pool-Table"/>
              <w:jc w:val="right"/>
              <w:rPr>
                <w:b/>
                <w:bCs/>
              </w:rPr>
            </w:pPr>
            <w:r w:rsidRPr="00AF6103">
              <w:rPr>
                <w:b/>
                <w:bCs/>
              </w:rPr>
              <w:t>437 – 564</w:t>
            </w:r>
          </w:p>
        </w:tc>
        <w:tc>
          <w:tcPr>
            <w:tcW w:w="2670" w:type="dxa"/>
            <w:tcBorders>
              <w:top w:val="single" w:sz="4" w:space="0" w:color="auto"/>
              <w:bottom w:val="single" w:sz="12" w:space="0" w:color="auto"/>
            </w:tcBorders>
            <w:shd w:val="clear" w:color="auto" w:fill="FFFFCC"/>
          </w:tcPr>
          <w:p w14:paraId="68CFB7BA" w14:textId="77777777" w:rsidR="004A7B24" w:rsidRPr="00AF6103" w:rsidRDefault="004A7B24" w:rsidP="00366AFF">
            <w:pPr>
              <w:pStyle w:val="Normal-pool-Table"/>
              <w:jc w:val="right"/>
              <w:rPr>
                <w:b/>
                <w:bCs/>
              </w:rPr>
            </w:pPr>
            <w:r w:rsidRPr="00AF6103">
              <w:rPr>
                <w:b/>
                <w:bCs/>
              </w:rPr>
              <w:t>230 – 564</w:t>
            </w:r>
          </w:p>
        </w:tc>
      </w:tr>
    </w:tbl>
    <w:p w14:paraId="6A7560E9" w14:textId="77777777" w:rsidR="004A7B24" w:rsidRPr="00A81971" w:rsidRDefault="004A7B24" w:rsidP="00AF15A8">
      <w:pPr>
        <w:pStyle w:val="NormalNonumber"/>
        <w:tabs>
          <w:tab w:val="clear" w:pos="1247"/>
          <w:tab w:val="clear" w:pos="1871"/>
          <w:tab w:val="clear" w:pos="2495"/>
          <w:tab w:val="clear" w:pos="3119"/>
          <w:tab w:val="clear" w:pos="3742"/>
          <w:tab w:val="clear" w:pos="4366"/>
          <w:tab w:val="clear" w:pos="4990"/>
        </w:tabs>
        <w:spacing w:before="240"/>
      </w:pPr>
      <w:r w:rsidRPr="2E7655E2">
        <w:lastRenderedPageBreak/>
        <w:t>The l</w:t>
      </w:r>
      <w:r w:rsidRPr="0032742D">
        <w:t xml:space="preserve">owest funding estimate is </w:t>
      </w:r>
      <w:r w:rsidRPr="00D94AB2">
        <w:t>from</w:t>
      </w:r>
      <w:r w:rsidRPr="0032742D">
        <w:t xml:space="preserve"> applying New Scenario 1c, a reduction of US$ 207 million, providing the </w:t>
      </w:r>
      <w:r w:rsidRPr="2E7655E2">
        <w:t xml:space="preserve">low-end of the estimated funding range for this RTF Supplementary Report, that is </w:t>
      </w:r>
      <w:r>
        <w:br/>
      </w:r>
      <w:r w:rsidRPr="2E7655E2">
        <w:t>US$ 230 million. The high-end funding estimated of US$ 564 million is kept the same as in the Updated RTF May Report.</w:t>
      </w:r>
    </w:p>
    <w:p w14:paraId="3413C41B" w14:textId="249E366D" w:rsidR="004A7B24" w:rsidRPr="0032742D" w:rsidRDefault="004A7B24" w:rsidP="00366AFF">
      <w:pPr>
        <w:pStyle w:val="NormalNonumber"/>
        <w:numPr>
          <w:ilvl w:val="0"/>
          <w:numId w:val="23"/>
        </w:numPr>
        <w:tabs>
          <w:tab w:val="clear" w:pos="1247"/>
          <w:tab w:val="clear" w:pos="1871"/>
          <w:tab w:val="clear" w:pos="2495"/>
          <w:tab w:val="clear" w:pos="3119"/>
          <w:tab w:val="clear" w:pos="3742"/>
          <w:tab w:val="clear" w:pos="4366"/>
          <w:tab w:val="clear" w:pos="4990"/>
        </w:tabs>
        <w:spacing w:before="120"/>
        <w:ind w:left="1560" w:hanging="284"/>
        <w:rPr>
          <w:b/>
          <w:bCs/>
        </w:rPr>
      </w:pPr>
      <w:r w:rsidRPr="0032742D">
        <w:rPr>
          <w:b/>
          <w:bCs/>
        </w:rPr>
        <w:t xml:space="preserve">The estimated funding range for HCFC activities for the 2027–2029 triennium is </w:t>
      </w:r>
      <w:r w:rsidR="00CC7561">
        <w:rPr>
          <w:b/>
          <w:bCs/>
        </w:rPr>
        <w:br/>
      </w:r>
      <w:r w:rsidRPr="0032742D">
        <w:rPr>
          <w:b/>
          <w:bCs/>
        </w:rPr>
        <w:t>US$ 230–564 million (as in Table ES.5).</w:t>
      </w:r>
    </w:p>
    <w:p w14:paraId="66316184" w14:textId="06508856" w:rsidR="004A7B24" w:rsidRPr="00A81971" w:rsidRDefault="00497AB4" w:rsidP="00497AB4">
      <w:pPr>
        <w:pStyle w:val="CH2"/>
        <w:rPr>
          <w:color w:val="000000"/>
        </w:rPr>
      </w:pPr>
      <w:r>
        <w:tab/>
      </w:r>
      <w:r>
        <w:tab/>
      </w:r>
      <w:r w:rsidR="004A7B24" w:rsidRPr="00A81971">
        <w:t xml:space="preserve">KIPs New </w:t>
      </w:r>
      <w:r w:rsidR="004A7B24" w:rsidRPr="00D94AB2">
        <w:t>Scenarios</w:t>
      </w:r>
    </w:p>
    <w:p w14:paraId="634FE9BD" w14:textId="77777777" w:rsidR="004A7B24" w:rsidRPr="00497AB4"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497AB4">
        <w:t xml:space="preserve">The OEWG48 suggestions for New Scenarios 1 (a, b, and c) were also applied for HFCs. The estimates from the Updated May </w:t>
      </w:r>
      <w:r w:rsidRPr="00563A52">
        <w:t>Report</w:t>
      </w:r>
      <w:r w:rsidRPr="00497AB4">
        <w:t xml:space="preserve"> as a Scenario 1 (low-end) for the 2027–2029 triennium were used as the basis to compare with the estimates calculated for the CE-based New Scenarios.</w:t>
      </w:r>
    </w:p>
    <w:p w14:paraId="0BC6D480" w14:textId="7E4AA2DD" w:rsidR="004A7B24" w:rsidRPr="00497AB4" w:rsidRDefault="00497AB4" w:rsidP="00497AB4">
      <w:pPr>
        <w:pStyle w:val="CH3"/>
      </w:pPr>
      <w:r w:rsidRPr="00497AB4">
        <w:tab/>
      </w:r>
      <w:r w:rsidRPr="00497AB4">
        <w:tab/>
      </w:r>
      <w:r w:rsidR="004A7B24" w:rsidRPr="00497AB4">
        <w:t xml:space="preserve">New Scenario 1a for KIPs (based on historical CEs) </w:t>
      </w:r>
    </w:p>
    <w:p w14:paraId="65D2E7FF" w14:textId="77777777" w:rsidR="004A7B24" w:rsidRDefault="004A7B24" w:rsidP="00497AB4">
      <w:pPr>
        <w:pStyle w:val="NormalNonumber"/>
        <w:tabs>
          <w:tab w:val="clear" w:pos="1247"/>
          <w:tab w:val="clear" w:pos="1871"/>
          <w:tab w:val="clear" w:pos="2495"/>
          <w:tab w:val="clear" w:pos="3119"/>
          <w:tab w:val="clear" w:pos="3742"/>
          <w:tab w:val="clear" w:pos="4366"/>
          <w:tab w:val="clear" w:pos="4990"/>
        </w:tabs>
        <w:spacing w:before="120"/>
        <w:rPr>
          <w:color w:val="000000" w:themeColor="text1"/>
        </w:rPr>
      </w:pPr>
      <w:r w:rsidRPr="00A81971">
        <w:rPr>
          <w:rFonts w:eastAsia="Calibri"/>
          <w:color w:val="000000" w:themeColor="text1"/>
          <w:lang w:eastAsia="nl-NL"/>
        </w:rPr>
        <w:t>RTF used the information provided by the MLFS on C</w:t>
      </w:r>
      <w:r>
        <w:rPr>
          <w:rFonts w:eastAsia="Calibri"/>
          <w:color w:val="000000" w:themeColor="text1"/>
          <w:lang w:eastAsia="nl-NL"/>
        </w:rPr>
        <w:t>E</w:t>
      </w:r>
      <w:r w:rsidRPr="00A81971">
        <w:rPr>
          <w:rFonts w:eastAsia="Calibri"/>
          <w:color w:val="000000" w:themeColor="text1"/>
          <w:lang w:eastAsia="nl-NL"/>
        </w:rPr>
        <w:t xml:space="preserve">s by investment projects (across different manufacturing sectors for approved KIPs) based on 37 HFC conversion projects in 18 parties. The CE values vary widely, from </w:t>
      </w:r>
      <w:r w:rsidRPr="00A81971">
        <w:rPr>
          <w:color w:val="000000" w:themeColor="text1"/>
        </w:rPr>
        <w:t>2.64 US$/kg for polyurethane (PU) foam to 116.8 US$/kg for mobile air conditioning (MAC).</w:t>
      </w:r>
      <w:r w:rsidRPr="00A81971">
        <w:rPr>
          <w:b/>
          <w:bCs/>
          <w:color w:val="000000" w:themeColor="text1"/>
        </w:rPr>
        <w:t xml:space="preserve"> </w:t>
      </w:r>
      <w:r w:rsidRPr="00A81971">
        <w:rPr>
          <w:rFonts w:eastAsia="Calibri"/>
          <w:color w:val="000000" w:themeColor="text1"/>
          <w:lang w:eastAsia="nl-NL"/>
        </w:rPr>
        <w:t>Chapter 3 details the C</w:t>
      </w:r>
      <w:r>
        <w:rPr>
          <w:rFonts w:eastAsia="Calibri"/>
          <w:color w:val="000000" w:themeColor="text1"/>
          <w:lang w:eastAsia="nl-NL"/>
        </w:rPr>
        <w:t>E</w:t>
      </w:r>
      <w:r w:rsidRPr="00A81971">
        <w:rPr>
          <w:rFonts w:eastAsia="Calibri"/>
          <w:color w:val="000000" w:themeColor="text1"/>
          <w:lang w:eastAsia="nl-NL"/>
        </w:rPr>
        <w:t xml:space="preserve">s applied and the way RTF used the information provided by the MLFS. </w:t>
      </w:r>
      <w:r w:rsidRPr="00A81971">
        <w:rPr>
          <w:color w:val="000000" w:themeColor="text1"/>
        </w:rPr>
        <w:t>In order to estimate funding based on this new scenario, RTF applied the new sector C</w:t>
      </w:r>
      <w:r>
        <w:rPr>
          <w:color w:val="000000" w:themeColor="text1"/>
        </w:rPr>
        <w:t>E</w:t>
      </w:r>
      <w:r w:rsidRPr="00A81971">
        <w:rPr>
          <w:color w:val="000000" w:themeColor="text1"/>
        </w:rPr>
        <w:t xml:space="preserve">s to the model for the “Updated RTF May Report Scenario 1” (low-end), using the same Resource Allocation Schedules A and B. </w:t>
      </w:r>
    </w:p>
    <w:p w14:paraId="671B1600" w14:textId="77777777" w:rsidR="004A7B24" w:rsidRPr="00ED08F1" w:rsidRDefault="004A7B24" w:rsidP="00366AFF">
      <w:pPr>
        <w:pStyle w:val="ListParagraph"/>
        <w:numPr>
          <w:ilvl w:val="0"/>
          <w:numId w:val="21"/>
        </w:numPr>
        <w:tabs>
          <w:tab w:val="clear" w:pos="1247"/>
          <w:tab w:val="clear" w:pos="1814"/>
          <w:tab w:val="clear" w:pos="2381"/>
          <w:tab w:val="clear" w:pos="2948"/>
          <w:tab w:val="clear" w:pos="3515"/>
        </w:tabs>
        <w:spacing w:before="120" w:after="120"/>
        <w:ind w:left="1604" w:hanging="357"/>
        <w:contextualSpacing w:val="0"/>
        <w:rPr>
          <w:rFonts w:eastAsia="Calibri"/>
          <w:color w:val="000000"/>
          <w:lang w:eastAsia="nl-NL"/>
        </w:rPr>
      </w:pPr>
      <w:r w:rsidRPr="00ED08F1">
        <w:rPr>
          <w:b/>
          <w:bCs/>
          <w:lang w:eastAsia="nl-NL"/>
        </w:rPr>
        <w:t>The impact of applying new Scenario 1a for KIPs using Allocation Schedule A is a reduction of US$ 65.2 million and using Allocation Schedule B is a reduction of US$ 38 million, as detailed in Chapter 3.</w:t>
      </w:r>
      <w:r w:rsidRPr="00ED08F1">
        <w:rPr>
          <w:lang w:eastAsia="nl-NL"/>
        </w:rPr>
        <w:t xml:space="preserve"> </w:t>
      </w:r>
    </w:p>
    <w:p w14:paraId="35117EF5" w14:textId="77777777" w:rsidR="004A7B24" w:rsidRPr="00134E31" w:rsidRDefault="004A7B24" w:rsidP="00AF15A8">
      <w:pPr>
        <w:pStyle w:val="NormalNonumber"/>
        <w:tabs>
          <w:tab w:val="clear" w:pos="1247"/>
          <w:tab w:val="clear" w:pos="1871"/>
          <w:tab w:val="clear" w:pos="2495"/>
          <w:tab w:val="clear" w:pos="3119"/>
          <w:tab w:val="clear" w:pos="3742"/>
          <w:tab w:val="clear" w:pos="4366"/>
          <w:tab w:val="clear" w:pos="4990"/>
        </w:tabs>
        <w:spacing w:before="120"/>
        <w:rPr>
          <w:rFonts w:eastAsia="Calibri"/>
          <w:color w:val="000000"/>
          <w:lang w:eastAsia="nl-NL"/>
        </w:rPr>
      </w:pPr>
      <w:r w:rsidRPr="00A81971">
        <w:rPr>
          <w:rFonts w:eastAsia="Calibri"/>
          <w:color w:val="000000" w:themeColor="text1"/>
          <w:lang w:eastAsia="nl-NL"/>
        </w:rPr>
        <w:t xml:space="preserve">The new funding estimates when applying </w:t>
      </w:r>
      <w:r w:rsidRPr="00A81971">
        <w:rPr>
          <w:rFonts w:eastAsia="Calibri"/>
          <w:b/>
          <w:bCs/>
          <w:color w:val="000000" w:themeColor="text1"/>
          <w:lang w:eastAsia="nl-NL"/>
        </w:rPr>
        <w:t>New Scenario 1a for KIPs</w:t>
      </w:r>
      <w:r w:rsidRPr="00A81971">
        <w:rPr>
          <w:rFonts w:eastAsia="Calibri"/>
          <w:color w:val="000000" w:themeColor="text1"/>
          <w:lang w:eastAsia="nl-NL"/>
        </w:rPr>
        <w:t xml:space="preserve"> are summarised in Table ES</w:t>
      </w:r>
      <w:r>
        <w:rPr>
          <w:rFonts w:eastAsia="Calibri"/>
          <w:color w:val="000000" w:themeColor="text1"/>
          <w:lang w:eastAsia="nl-NL"/>
        </w:rPr>
        <w:t>.6</w:t>
      </w:r>
      <w:r w:rsidRPr="00A81971">
        <w:rPr>
          <w:rFonts w:eastAsia="Calibri"/>
          <w:color w:val="000000" w:themeColor="text1"/>
          <w:lang w:eastAsia="nl-NL"/>
        </w:rPr>
        <w:t>.</w:t>
      </w:r>
    </w:p>
    <w:p w14:paraId="7B405CC2" w14:textId="04E66F9E" w:rsidR="004A7B24" w:rsidRPr="00A81971" w:rsidRDefault="004A7B24" w:rsidP="00366AFF">
      <w:pPr>
        <w:pStyle w:val="Titletable"/>
        <w:spacing w:before="240"/>
      </w:pPr>
      <w:r w:rsidRPr="004723EE">
        <w:rPr>
          <w:rFonts w:eastAsia="Yu Mincho"/>
          <w:b w:val="0"/>
          <w:bCs w:val="0"/>
          <w:lang w:val="en-CA"/>
        </w:rPr>
        <w:t>Table ES.6</w:t>
      </w:r>
      <w:r w:rsidR="004723EE" w:rsidRPr="004723EE">
        <w:rPr>
          <w:rFonts w:eastAsia="Yu Mincho"/>
          <w:b w:val="0"/>
          <w:bCs w:val="0"/>
          <w:lang w:val="en-CA"/>
        </w:rPr>
        <w:t xml:space="preserve"> </w:t>
      </w:r>
      <w:r w:rsidR="004723EE" w:rsidRPr="004723EE">
        <w:rPr>
          <w:rFonts w:eastAsia="Yu Mincho"/>
          <w:b w:val="0"/>
          <w:bCs w:val="0"/>
          <w:lang w:val="en-CA"/>
        </w:rPr>
        <w:br/>
      </w:r>
      <w:r w:rsidRPr="002C2C89">
        <w:t>Summary</w:t>
      </w:r>
      <w:r w:rsidRPr="2E7655E2">
        <w:rPr>
          <w:rFonts w:eastAsia="Calibri"/>
          <w:lang w:eastAsia="nl-NL"/>
        </w:rPr>
        <w:t xml:space="preserve"> of the 2027-</w:t>
      </w:r>
      <w:r w:rsidRPr="00134E31">
        <w:t>2029</w:t>
      </w:r>
      <w:r w:rsidRPr="2E7655E2">
        <w:rPr>
          <w:rFonts w:eastAsia="Calibri"/>
          <w:lang w:eastAsia="nl-NL"/>
        </w:rPr>
        <w:t xml:space="preserve"> estimated funding for HFC phase-down applying Historical C</w:t>
      </w:r>
      <w:r>
        <w:rPr>
          <w:rFonts w:eastAsia="Calibri"/>
          <w:lang w:eastAsia="nl-NL"/>
        </w:rPr>
        <w:t>E</w:t>
      </w:r>
      <w:r w:rsidRPr="2E7655E2">
        <w:rPr>
          <w:rFonts w:eastAsia="Calibri"/>
          <w:lang w:eastAsia="nl-NL"/>
        </w:rPr>
        <w:t xml:space="preserve">s </w:t>
      </w:r>
      <w:r w:rsidRPr="001A3FB9">
        <w:rPr>
          <w:rFonts w:eastAsia="Calibri"/>
          <w:b w:val="0"/>
          <w:bCs w:val="0"/>
          <w:lang w:eastAsia="nl-NL"/>
        </w:rPr>
        <w:t>(US$ million) *</w:t>
      </w:r>
    </w:p>
    <w:tbl>
      <w:tblPr>
        <w:tblStyle w:val="TableGrid"/>
        <w:tblW w:w="5000" w:type="pct"/>
        <w:tblInd w:w="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2"/>
        <w:gridCol w:w="1853"/>
        <w:gridCol w:w="1792"/>
        <w:gridCol w:w="1623"/>
        <w:gridCol w:w="1857"/>
      </w:tblGrid>
      <w:tr w:rsidR="004A7B24" w14:paraId="71B14CD4" w14:textId="77777777" w:rsidTr="00CC7561">
        <w:trPr>
          <w:trHeight w:val="1147"/>
        </w:trPr>
        <w:tc>
          <w:tcPr>
            <w:tcW w:w="2372"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6F3383EC" w14:textId="77777777" w:rsidR="004A7B24" w:rsidRPr="00AF6103" w:rsidRDefault="004A7B24" w:rsidP="00AC2172">
            <w:pPr>
              <w:pStyle w:val="Normal-pool-Table"/>
              <w:rPr>
                <w:i/>
                <w:iCs/>
                <w:lang w:eastAsia="zh-CN"/>
              </w:rPr>
            </w:pPr>
            <w:r w:rsidRPr="00AF6103">
              <w:rPr>
                <w:i/>
                <w:iCs/>
                <w:lang w:eastAsia="zh-CN"/>
              </w:rPr>
              <w:t>HFCs Consumption and Production Sector Activities for Low-End Scenario 1 Allocation Schedules A and B</w:t>
            </w:r>
          </w:p>
        </w:tc>
        <w:tc>
          <w:tcPr>
            <w:tcW w:w="1853"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2658E1E8" w14:textId="77777777" w:rsidR="004A7B24" w:rsidRPr="00AF6103" w:rsidRDefault="004A7B24" w:rsidP="00AC2172">
            <w:pPr>
              <w:pStyle w:val="Normal-pool-Table"/>
              <w:jc w:val="right"/>
              <w:rPr>
                <w:i/>
                <w:iCs/>
                <w:color w:val="000000"/>
                <w:lang w:eastAsia="zh-CN"/>
              </w:rPr>
            </w:pPr>
            <w:r w:rsidRPr="00AF6103">
              <w:rPr>
                <w:i/>
                <w:iCs/>
                <w:color w:val="000000"/>
                <w:lang w:eastAsia="zh-CN"/>
              </w:rPr>
              <w:t>Updated May Report</w:t>
            </w:r>
          </w:p>
          <w:p w14:paraId="3ADF4DC9" w14:textId="77777777" w:rsidR="004A7B24" w:rsidRPr="00AF6103" w:rsidRDefault="004A7B24" w:rsidP="00AC2172">
            <w:pPr>
              <w:pStyle w:val="Normal-pool-Table"/>
              <w:jc w:val="right"/>
              <w:rPr>
                <w:i/>
                <w:iCs/>
                <w:color w:val="000000"/>
                <w:lang w:eastAsia="zh-CN"/>
              </w:rPr>
            </w:pPr>
            <w:r w:rsidRPr="00AF6103">
              <w:rPr>
                <w:i/>
                <w:iCs/>
                <w:color w:val="000000"/>
                <w:lang w:eastAsia="zh-CN"/>
              </w:rPr>
              <w:t>2027-2029</w:t>
            </w:r>
          </w:p>
          <w:p w14:paraId="23B7DCF5" w14:textId="77777777" w:rsidR="004A7B24" w:rsidRPr="00AF6103" w:rsidRDefault="004A7B24" w:rsidP="00AC2172">
            <w:pPr>
              <w:pStyle w:val="Normal-pool-Table"/>
              <w:jc w:val="right"/>
              <w:rPr>
                <w:i/>
                <w:iCs/>
                <w:color w:val="000000"/>
                <w:lang w:eastAsia="zh-CN"/>
              </w:rPr>
            </w:pPr>
            <w:r w:rsidRPr="00AF6103">
              <w:rPr>
                <w:i/>
                <w:iCs/>
                <w:color w:val="000000"/>
                <w:lang w:eastAsia="zh-CN"/>
              </w:rPr>
              <w:t>Scenario 1</w:t>
            </w:r>
          </w:p>
          <w:p w14:paraId="5FA45AAD" w14:textId="77777777" w:rsidR="004A7B24" w:rsidRPr="00AF6103" w:rsidRDefault="004A7B24" w:rsidP="00AC2172">
            <w:pPr>
              <w:pStyle w:val="Normal-pool-Table"/>
              <w:jc w:val="right"/>
              <w:rPr>
                <w:i/>
                <w:iCs/>
                <w:color w:val="000000"/>
                <w:lang w:eastAsia="zh-CN"/>
              </w:rPr>
            </w:pPr>
            <w:r w:rsidRPr="00AF6103">
              <w:rPr>
                <w:i/>
                <w:iCs/>
                <w:color w:val="000000"/>
                <w:lang w:eastAsia="zh-CN"/>
              </w:rPr>
              <w:t>Resource</w:t>
            </w:r>
          </w:p>
          <w:p w14:paraId="3F37771D" w14:textId="77777777" w:rsidR="004A7B24" w:rsidRPr="00AB2EFC" w:rsidRDefault="004A7B24" w:rsidP="00AC2172">
            <w:pPr>
              <w:pStyle w:val="Normal-pool-Table"/>
              <w:jc w:val="right"/>
              <w:rPr>
                <w:i/>
                <w:iCs/>
                <w:color w:val="000000"/>
                <w:u w:val="single"/>
                <w:lang w:eastAsia="zh-CN"/>
              </w:rPr>
            </w:pPr>
            <w:r w:rsidRPr="00AB2EFC">
              <w:rPr>
                <w:i/>
                <w:iCs/>
                <w:color w:val="000000" w:themeColor="text1"/>
                <w:u w:val="single"/>
                <w:lang w:eastAsia="zh-CN"/>
              </w:rPr>
              <w:t>Allocation A</w:t>
            </w:r>
          </w:p>
        </w:tc>
        <w:tc>
          <w:tcPr>
            <w:tcW w:w="1792" w:type="dxa"/>
            <w:tcBorders>
              <w:top w:val="single" w:sz="4" w:space="0" w:color="auto"/>
              <w:bottom w:val="single" w:sz="12" w:space="0" w:color="auto"/>
            </w:tcBorders>
            <w:shd w:val="clear" w:color="auto" w:fill="DBE5F1" w:themeFill="accent1" w:themeFillTint="33"/>
            <w:vAlign w:val="center"/>
          </w:tcPr>
          <w:p w14:paraId="0E2191AA" w14:textId="77777777" w:rsidR="00BF1A87" w:rsidRDefault="004A7B24" w:rsidP="00AC2172">
            <w:pPr>
              <w:pStyle w:val="Normal-pool-Table"/>
              <w:jc w:val="right"/>
              <w:rPr>
                <w:i/>
                <w:iCs/>
                <w:color w:val="000000"/>
                <w:lang w:eastAsia="zh-CN"/>
              </w:rPr>
            </w:pPr>
            <w:r w:rsidRPr="00AF6103">
              <w:rPr>
                <w:i/>
                <w:iCs/>
                <w:color w:val="000000"/>
                <w:lang w:eastAsia="zh-CN"/>
              </w:rPr>
              <w:t xml:space="preserve">New Scenario 1a </w:t>
            </w:r>
          </w:p>
          <w:p w14:paraId="4DE16C53" w14:textId="403D6391" w:rsidR="004A7B24" w:rsidRPr="00AF6103" w:rsidRDefault="004A7B24" w:rsidP="00AC2172">
            <w:pPr>
              <w:pStyle w:val="Normal-pool-Table"/>
              <w:jc w:val="right"/>
              <w:rPr>
                <w:i/>
                <w:iCs/>
                <w:color w:val="000000"/>
                <w:lang w:eastAsia="zh-CN"/>
              </w:rPr>
            </w:pPr>
            <w:r w:rsidRPr="00AF6103">
              <w:rPr>
                <w:i/>
                <w:iCs/>
                <w:color w:val="000000"/>
                <w:lang w:eastAsia="zh-CN"/>
              </w:rPr>
              <w:t>(CE Historical)</w:t>
            </w:r>
          </w:p>
          <w:p w14:paraId="5C058F5B" w14:textId="77777777" w:rsidR="004A7B24" w:rsidRPr="00AF6103" w:rsidRDefault="004A7B24" w:rsidP="00AC2172">
            <w:pPr>
              <w:pStyle w:val="Normal-pool-Table"/>
              <w:jc w:val="right"/>
              <w:rPr>
                <w:i/>
                <w:iCs/>
                <w:color w:val="000000"/>
                <w:lang w:eastAsia="zh-CN"/>
              </w:rPr>
            </w:pPr>
            <w:r w:rsidRPr="00AF6103">
              <w:rPr>
                <w:i/>
                <w:iCs/>
                <w:color w:val="000000"/>
                <w:lang w:eastAsia="zh-CN"/>
              </w:rPr>
              <w:t>Allocation A</w:t>
            </w:r>
          </w:p>
          <w:p w14:paraId="5C5982C7" w14:textId="77777777" w:rsidR="004A7B24" w:rsidRPr="00AF6103" w:rsidRDefault="004A7B24" w:rsidP="00AC2172">
            <w:pPr>
              <w:pStyle w:val="Normal-pool-Table"/>
              <w:jc w:val="right"/>
              <w:rPr>
                <w:i/>
                <w:iCs/>
                <w:color w:val="000000"/>
                <w:lang w:eastAsia="zh-CN"/>
              </w:rPr>
            </w:pPr>
          </w:p>
        </w:tc>
        <w:tc>
          <w:tcPr>
            <w:tcW w:w="1623"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70FAFBA2" w14:textId="77777777" w:rsidR="004A7B24" w:rsidRPr="00AF6103" w:rsidRDefault="004A7B24" w:rsidP="00AC2172">
            <w:pPr>
              <w:pStyle w:val="Normal-pool-Table"/>
              <w:jc w:val="right"/>
              <w:rPr>
                <w:i/>
                <w:iCs/>
                <w:color w:val="000000"/>
                <w:lang w:eastAsia="zh-CN"/>
              </w:rPr>
            </w:pPr>
            <w:r w:rsidRPr="00AF6103">
              <w:rPr>
                <w:i/>
                <w:iCs/>
                <w:color w:val="000000"/>
                <w:lang w:eastAsia="zh-CN"/>
              </w:rPr>
              <w:t>Updated May Report</w:t>
            </w:r>
          </w:p>
          <w:p w14:paraId="679472E8" w14:textId="77777777" w:rsidR="004A7B24" w:rsidRPr="00AF6103" w:rsidRDefault="004A7B24" w:rsidP="00AC2172">
            <w:pPr>
              <w:pStyle w:val="Normal-pool-Table"/>
              <w:jc w:val="right"/>
              <w:rPr>
                <w:i/>
                <w:iCs/>
                <w:color w:val="000000"/>
                <w:lang w:eastAsia="zh-CN"/>
              </w:rPr>
            </w:pPr>
            <w:r w:rsidRPr="00AF6103">
              <w:rPr>
                <w:i/>
                <w:iCs/>
                <w:color w:val="000000"/>
                <w:lang w:eastAsia="zh-CN"/>
              </w:rPr>
              <w:t>2027-2029</w:t>
            </w:r>
          </w:p>
          <w:p w14:paraId="45090E44" w14:textId="77777777" w:rsidR="004A7B24" w:rsidRPr="00AF6103" w:rsidRDefault="004A7B24" w:rsidP="00AC2172">
            <w:pPr>
              <w:pStyle w:val="Normal-pool-Table"/>
              <w:jc w:val="right"/>
              <w:rPr>
                <w:i/>
                <w:iCs/>
                <w:color w:val="000000"/>
                <w:lang w:eastAsia="zh-CN"/>
              </w:rPr>
            </w:pPr>
            <w:r w:rsidRPr="00AF6103">
              <w:rPr>
                <w:i/>
                <w:iCs/>
                <w:color w:val="000000" w:themeColor="text1"/>
                <w:lang w:eastAsia="zh-CN"/>
              </w:rPr>
              <w:t xml:space="preserve">Scenario 1 Resource </w:t>
            </w:r>
            <w:r w:rsidRPr="00AB2EFC">
              <w:rPr>
                <w:i/>
                <w:iCs/>
                <w:color w:val="000000" w:themeColor="text1"/>
                <w:u w:val="single"/>
                <w:lang w:eastAsia="zh-CN"/>
              </w:rPr>
              <w:t>Allocation B</w:t>
            </w:r>
          </w:p>
        </w:tc>
        <w:tc>
          <w:tcPr>
            <w:tcW w:w="1857" w:type="dxa"/>
            <w:tcBorders>
              <w:top w:val="single" w:sz="4" w:space="0" w:color="auto"/>
              <w:bottom w:val="single" w:sz="12" w:space="0" w:color="auto"/>
            </w:tcBorders>
            <w:shd w:val="clear" w:color="auto" w:fill="DBE5F1" w:themeFill="accent1" w:themeFillTint="33"/>
            <w:tcMar>
              <w:left w:w="108" w:type="dxa"/>
              <w:right w:w="108" w:type="dxa"/>
            </w:tcMar>
            <w:vAlign w:val="center"/>
          </w:tcPr>
          <w:p w14:paraId="45434646" w14:textId="77777777" w:rsidR="00BF1A87" w:rsidRDefault="004A7B24" w:rsidP="00AC2172">
            <w:pPr>
              <w:pStyle w:val="Normal-pool-Table"/>
              <w:jc w:val="right"/>
              <w:rPr>
                <w:i/>
                <w:iCs/>
                <w:color w:val="000000"/>
                <w:lang w:eastAsia="zh-CN"/>
              </w:rPr>
            </w:pPr>
            <w:r w:rsidRPr="00AF6103">
              <w:rPr>
                <w:i/>
                <w:iCs/>
                <w:color w:val="000000"/>
                <w:lang w:eastAsia="zh-CN"/>
              </w:rPr>
              <w:t xml:space="preserve">New Scenario 1a </w:t>
            </w:r>
          </w:p>
          <w:p w14:paraId="07751455" w14:textId="69FDB630" w:rsidR="004A7B24" w:rsidRPr="00AF6103" w:rsidRDefault="004A7B24" w:rsidP="00AC2172">
            <w:pPr>
              <w:pStyle w:val="Normal-pool-Table"/>
              <w:jc w:val="right"/>
              <w:rPr>
                <w:i/>
                <w:iCs/>
                <w:color w:val="000000"/>
                <w:lang w:eastAsia="zh-CN"/>
              </w:rPr>
            </w:pPr>
            <w:r w:rsidRPr="00AF6103">
              <w:rPr>
                <w:i/>
                <w:iCs/>
                <w:color w:val="000000"/>
                <w:lang w:eastAsia="zh-CN"/>
              </w:rPr>
              <w:t>(CE Historical)</w:t>
            </w:r>
          </w:p>
          <w:p w14:paraId="3199BB40" w14:textId="77777777" w:rsidR="004A7B24" w:rsidRPr="00AF6103" w:rsidRDefault="004A7B24" w:rsidP="00AC2172">
            <w:pPr>
              <w:pStyle w:val="Normal-pool-Table"/>
              <w:jc w:val="right"/>
              <w:rPr>
                <w:i/>
                <w:iCs/>
                <w:color w:val="000000"/>
                <w:lang w:eastAsia="zh-CN"/>
              </w:rPr>
            </w:pPr>
            <w:r w:rsidRPr="00AF6103">
              <w:rPr>
                <w:i/>
                <w:iCs/>
                <w:color w:val="000000"/>
                <w:lang w:eastAsia="zh-CN"/>
              </w:rPr>
              <w:t>Allocation B</w:t>
            </w:r>
          </w:p>
        </w:tc>
      </w:tr>
      <w:tr w:rsidR="004A7B24" w14:paraId="1AF70A2B" w14:textId="77777777" w:rsidTr="00FC5D96">
        <w:trPr>
          <w:trHeight w:val="57"/>
        </w:trPr>
        <w:tc>
          <w:tcPr>
            <w:tcW w:w="2372" w:type="dxa"/>
            <w:tcBorders>
              <w:top w:val="single" w:sz="12" w:space="0" w:color="auto"/>
              <w:bottom w:val="single" w:sz="4" w:space="0" w:color="auto"/>
            </w:tcBorders>
            <w:shd w:val="clear" w:color="auto" w:fill="FDE9D9" w:themeFill="accent6" w:themeFillTint="33"/>
            <w:tcMar>
              <w:left w:w="108" w:type="dxa"/>
              <w:right w:w="108" w:type="dxa"/>
            </w:tcMar>
          </w:tcPr>
          <w:p w14:paraId="39DD6544" w14:textId="77777777" w:rsidR="004A7B24" w:rsidRPr="00A81971" w:rsidRDefault="004A7B24" w:rsidP="00AC2172">
            <w:pPr>
              <w:pStyle w:val="Normal-pool-Table"/>
              <w:rPr>
                <w:lang w:eastAsia="zh-CN"/>
              </w:rPr>
            </w:pPr>
            <w:r w:rsidRPr="00287D66">
              <w:rPr>
                <w:color w:val="000000"/>
                <w:lang w:eastAsia="zh-CN"/>
              </w:rPr>
              <w:t>New Scenario 1a</w:t>
            </w:r>
            <w:r w:rsidRPr="00A81971">
              <w:rPr>
                <w:lang w:eastAsia="zh-CN"/>
              </w:rPr>
              <w:t xml:space="preserve"> Reduction</w:t>
            </w:r>
          </w:p>
        </w:tc>
        <w:tc>
          <w:tcPr>
            <w:tcW w:w="1853" w:type="dxa"/>
            <w:tcBorders>
              <w:top w:val="single" w:sz="12" w:space="0" w:color="auto"/>
              <w:bottom w:val="single" w:sz="4" w:space="0" w:color="auto"/>
            </w:tcBorders>
            <w:tcMar>
              <w:left w:w="108" w:type="dxa"/>
              <w:right w:w="108" w:type="dxa"/>
            </w:tcMar>
            <w:vAlign w:val="center"/>
          </w:tcPr>
          <w:p w14:paraId="7D82AC1A" w14:textId="77777777" w:rsidR="004A7B24" w:rsidRPr="00A81971" w:rsidRDefault="004A7B24" w:rsidP="00AC2172">
            <w:pPr>
              <w:pStyle w:val="Normal-pool-Table"/>
              <w:jc w:val="right"/>
              <w:rPr>
                <w:color w:val="000000"/>
                <w:lang w:eastAsia="zh-CN"/>
              </w:rPr>
            </w:pPr>
            <w:r w:rsidRPr="00A81971">
              <w:rPr>
                <w:color w:val="000000"/>
                <w:lang w:eastAsia="zh-CN"/>
              </w:rPr>
              <w:t>NA</w:t>
            </w:r>
          </w:p>
        </w:tc>
        <w:tc>
          <w:tcPr>
            <w:tcW w:w="1792" w:type="dxa"/>
            <w:tcBorders>
              <w:top w:val="single" w:sz="12" w:space="0" w:color="auto"/>
              <w:bottom w:val="single" w:sz="4" w:space="0" w:color="auto"/>
            </w:tcBorders>
            <w:shd w:val="clear" w:color="auto" w:fill="FDE9D9" w:themeFill="accent6" w:themeFillTint="33"/>
            <w:vAlign w:val="center"/>
          </w:tcPr>
          <w:p w14:paraId="19116FD0" w14:textId="77777777" w:rsidR="004A7B24" w:rsidRPr="00A81971" w:rsidRDefault="004A7B24" w:rsidP="00AC2172">
            <w:pPr>
              <w:pStyle w:val="Normal-pool-Table"/>
              <w:jc w:val="right"/>
              <w:rPr>
                <w:color w:val="000000"/>
                <w:lang w:eastAsia="zh-CN"/>
              </w:rPr>
            </w:pPr>
            <w:r w:rsidRPr="00A81971">
              <w:rPr>
                <w:color w:val="000000"/>
                <w:lang w:eastAsia="zh-CN"/>
              </w:rPr>
              <w:t>65.2</w:t>
            </w:r>
          </w:p>
        </w:tc>
        <w:tc>
          <w:tcPr>
            <w:tcW w:w="1623" w:type="dxa"/>
            <w:tcBorders>
              <w:top w:val="single" w:sz="12" w:space="0" w:color="auto"/>
              <w:bottom w:val="single" w:sz="4" w:space="0" w:color="auto"/>
            </w:tcBorders>
            <w:tcMar>
              <w:left w:w="108" w:type="dxa"/>
              <w:right w:w="108" w:type="dxa"/>
            </w:tcMar>
            <w:vAlign w:val="center"/>
          </w:tcPr>
          <w:p w14:paraId="4CFB3689" w14:textId="77777777" w:rsidR="004A7B24" w:rsidRPr="00A81971" w:rsidRDefault="004A7B24" w:rsidP="00AC2172">
            <w:pPr>
              <w:pStyle w:val="Normal-pool-Table"/>
              <w:jc w:val="right"/>
              <w:rPr>
                <w:color w:val="000000"/>
                <w:lang w:eastAsia="zh-CN"/>
              </w:rPr>
            </w:pPr>
            <w:r w:rsidRPr="00A81971">
              <w:rPr>
                <w:color w:val="000000"/>
                <w:lang w:eastAsia="zh-CN"/>
              </w:rPr>
              <w:t>NA</w:t>
            </w:r>
          </w:p>
        </w:tc>
        <w:tc>
          <w:tcPr>
            <w:tcW w:w="1857" w:type="dxa"/>
            <w:tcBorders>
              <w:top w:val="single" w:sz="12" w:space="0" w:color="auto"/>
              <w:bottom w:val="single" w:sz="4" w:space="0" w:color="auto"/>
            </w:tcBorders>
            <w:shd w:val="clear" w:color="auto" w:fill="FDE9D9" w:themeFill="accent6" w:themeFillTint="33"/>
            <w:tcMar>
              <w:left w:w="108" w:type="dxa"/>
              <w:right w:w="108" w:type="dxa"/>
            </w:tcMar>
            <w:vAlign w:val="center"/>
          </w:tcPr>
          <w:p w14:paraId="5C67F38B" w14:textId="77777777" w:rsidR="004A7B24" w:rsidRPr="00A81971" w:rsidRDefault="004A7B24" w:rsidP="00AC2172">
            <w:pPr>
              <w:pStyle w:val="Normal-pool-Table"/>
              <w:jc w:val="right"/>
              <w:rPr>
                <w:color w:val="000000"/>
                <w:lang w:eastAsia="zh-CN"/>
              </w:rPr>
            </w:pPr>
            <w:r w:rsidRPr="00A81971">
              <w:rPr>
                <w:color w:val="000000"/>
                <w:lang w:eastAsia="zh-CN"/>
              </w:rPr>
              <w:t>38</w:t>
            </w:r>
          </w:p>
        </w:tc>
      </w:tr>
      <w:tr w:rsidR="004A7B24" w14:paraId="1B7D8896" w14:textId="77777777" w:rsidTr="00FC5D96">
        <w:trPr>
          <w:trHeight w:val="57"/>
        </w:trPr>
        <w:tc>
          <w:tcPr>
            <w:tcW w:w="2372" w:type="dxa"/>
            <w:tcBorders>
              <w:top w:val="single" w:sz="4" w:space="0" w:color="auto"/>
              <w:bottom w:val="single" w:sz="12" w:space="0" w:color="auto"/>
            </w:tcBorders>
            <w:shd w:val="clear" w:color="auto" w:fill="FFFFCC"/>
            <w:tcMar>
              <w:left w:w="108" w:type="dxa"/>
              <w:right w:w="108" w:type="dxa"/>
            </w:tcMar>
          </w:tcPr>
          <w:p w14:paraId="124DD1F7" w14:textId="77777777" w:rsidR="004A7B24" w:rsidRPr="00AF6103" w:rsidRDefault="004A7B24" w:rsidP="00AC2172">
            <w:pPr>
              <w:pStyle w:val="Normal-pool-Table"/>
              <w:rPr>
                <w:b/>
                <w:bCs/>
                <w:color w:val="000000"/>
                <w:lang w:eastAsia="zh-CN"/>
              </w:rPr>
            </w:pPr>
            <w:r w:rsidRPr="00AF6103">
              <w:rPr>
                <w:b/>
                <w:bCs/>
                <w:color w:val="000000" w:themeColor="text1"/>
                <w:lang w:eastAsia="zh-CN"/>
              </w:rPr>
              <w:t>Total HFC Activities</w:t>
            </w:r>
          </w:p>
        </w:tc>
        <w:tc>
          <w:tcPr>
            <w:tcW w:w="1853" w:type="dxa"/>
            <w:tcBorders>
              <w:top w:val="single" w:sz="4" w:space="0" w:color="auto"/>
              <w:bottom w:val="single" w:sz="12" w:space="0" w:color="auto"/>
            </w:tcBorders>
            <w:shd w:val="clear" w:color="auto" w:fill="FFFFCC"/>
            <w:tcMar>
              <w:left w:w="108" w:type="dxa"/>
              <w:right w:w="108" w:type="dxa"/>
            </w:tcMar>
            <w:vAlign w:val="center"/>
          </w:tcPr>
          <w:p w14:paraId="4E7CA900" w14:textId="77777777" w:rsidR="004A7B24" w:rsidRPr="00AF6103" w:rsidRDefault="004A7B24" w:rsidP="00AC2172">
            <w:pPr>
              <w:pStyle w:val="Normal-pool-Table"/>
              <w:jc w:val="right"/>
              <w:rPr>
                <w:b/>
                <w:bCs/>
                <w:color w:val="000000"/>
                <w:lang w:eastAsia="zh-CN"/>
              </w:rPr>
            </w:pPr>
            <w:r w:rsidRPr="00AF6103">
              <w:rPr>
                <w:b/>
                <w:bCs/>
                <w:color w:val="000000"/>
                <w:lang w:eastAsia="zh-CN"/>
              </w:rPr>
              <w:t>962</w:t>
            </w:r>
          </w:p>
        </w:tc>
        <w:tc>
          <w:tcPr>
            <w:tcW w:w="1792" w:type="dxa"/>
            <w:tcBorders>
              <w:top w:val="single" w:sz="4" w:space="0" w:color="auto"/>
              <w:bottom w:val="single" w:sz="12" w:space="0" w:color="auto"/>
            </w:tcBorders>
            <w:shd w:val="clear" w:color="auto" w:fill="FFFFCC"/>
            <w:vAlign w:val="center"/>
          </w:tcPr>
          <w:p w14:paraId="1F6C4EA7" w14:textId="77777777" w:rsidR="004A7B24" w:rsidRPr="00AF6103" w:rsidRDefault="004A7B24" w:rsidP="00AC2172">
            <w:pPr>
              <w:pStyle w:val="Normal-pool-Table"/>
              <w:jc w:val="right"/>
              <w:rPr>
                <w:b/>
                <w:bCs/>
                <w:color w:val="000000"/>
                <w:lang w:eastAsia="zh-CN"/>
              </w:rPr>
            </w:pPr>
            <w:r w:rsidRPr="00AF6103">
              <w:rPr>
                <w:b/>
                <w:bCs/>
                <w:color w:val="000000"/>
                <w:lang w:eastAsia="zh-CN"/>
              </w:rPr>
              <w:t>896</w:t>
            </w:r>
          </w:p>
        </w:tc>
        <w:tc>
          <w:tcPr>
            <w:tcW w:w="1623" w:type="dxa"/>
            <w:tcBorders>
              <w:top w:val="single" w:sz="4" w:space="0" w:color="auto"/>
              <w:bottom w:val="single" w:sz="12" w:space="0" w:color="auto"/>
            </w:tcBorders>
            <w:shd w:val="clear" w:color="auto" w:fill="FFFFCC"/>
            <w:tcMar>
              <w:left w:w="108" w:type="dxa"/>
              <w:right w:w="108" w:type="dxa"/>
            </w:tcMar>
            <w:vAlign w:val="center"/>
          </w:tcPr>
          <w:p w14:paraId="1912147E" w14:textId="77777777" w:rsidR="004A7B24" w:rsidRPr="00AF6103" w:rsidRDefault="004A7B24" w:rsidP="00AC2172">
            <w:pPr>
              <w:pStyle w:val="Normal-pool-Table"/>
              <w:jc w:val="right"/>
              <w:rPr>
                <w:b/>
                <w:bCs/>
                <w:color w:val="000000"/>
                <w:lang w:eastAsia="zh-CN"/>
              </w:rPr>
            </w:pPr>
            <w:r w:rsidRPr="00AF6103">
              <w:rPr>
                <w:b/>
                <w:bCs/>
                <w:color w:val="000000"/>
                <w:lang w:eastAsia="zh-CN"/>
              </w:rPr>
              <w:t>663</w:t>
            </w:r>
          </w:p>
        </w:tc>
        <w:tc>
          <w:tcPr>
            <w:tcW w:w="1857" w:type="dxa"/>
            <w:tcBorders>
              <w:top w:val="single" w:sz="4" w:space="0" w:color="auto"/>
              <w:bottom w:val="single" w:sz="12" w:space="0" w:color="auto"/>
            </w:tcBorders>
            <w:shd w:val="clear" w:color="auto" w:fill="FFFFCC"/>
            <w:tcMar>
              <w:left w:w="108" w:type="dxa"/>
              <w:right w:w="108" w:type="dxa"/>
            </w:tcMar>
            <w:vAlign w:val="center"/>
          </w:tcPr>
          <w:p w14:paraId="65A8E59C" w14:textId="77777777" w:rsidR="004A7B24" w:rsidRPr="00AF6103" w:rsidRDefault="004A7B24" w:rsidP="00AC2172">
            <w:pPr>
              <w:pStyle w:val="Normal-pool-Table"/>
              <w:jc w:val="right"/>
              <w:rPr>
                <w:b/>
                <w:bCs/>
                <w:color w:val="000000"/>
                <w:lang w:eastAsia="zh-CN"/>
              </w:rPr>
            </w:pPr>
            <w:r w:rsidRPr="00AF6103">
              <w:rPr>
                <w:b/>
                <w:bCs/>
                <w:color w:val="000000"/>
                <w:lang w:eastAsia="zh-CN"/>
              </w:rPr>
              <w:t>625</w:t>
            </w:r>
          </w:p>
        </w:tc>
      </w:tr>
    </w:tbl>
    <w:p w14:paraId="39EDA015" w14:textId="22BE34F9" w:rsidR="004A7B24" w:rsidRPr="00322A5C" w:rsidRDefault="001A3FB9" w:rsidP="00CC7561">
      <w:pPr>
        <w:tabs>
          <w:tab w:val="clear" w:pos="1247"/>
          <w:tab w:val="clear" w:pos="1814"/>
          <w:tab w:val="clear" w:pos="2381"/>
          <w:tab w:val="clear" w:pos="2948"/>
          <w:tab w:val="clear" w:pos="3515"/>
          <w:tab w:val="left" w:pos="624"/>
        </w:tabs>
        <w:spacing w:before="60"/>
        <w:ind w:left="1247"/>
        <w:rPr>
          <w:rFonts w:eastAsia="Calibri"/>
          <w:color w:val="000000"/>
          <w:sz w:val="18"/>
          <w:szCs w:val="18"/>
          <w:lang w:eastAsia="nl-NL"/>
        </w:rPr>
      </w:pPr>
      <w:r>
        <w:rPr>
          <w:rFonts w:eastAsia="Calibri"/>
          <w:color w:val="000000" w:themeColor="text1"/>
          <w:sz w:val="18"/>
          <w:szCs w:val="18"/>
          <w:lang w:eastAsia="nl-NL"/>
        </w:rPr>
        <w:tab/>
      </w:r>
      <w:r>
        <w:rPr>
          <w:rFonts w:eastAsia="Calibri"/>
          <w:color w:val="000000" w:themeColor="text1"/>
          <w:sz w:val="18"/>
          <w:szCs w:val="18"/>
          <w:lang w:eastAsia="nl-NL"/>
        </w:rPr>
        <w:tab/>
      </w:r>
      <w:r w:rsidR="004A7B24" w:rsidRPr="00322A5C">
        <w:rPr>
          <w:rFonts w:eastAsia="Calibri"/>
          <w:color w:val="000000" w:themeColor="text1"/>
          <w:sz w:val="18"/>
          <w:szCs w:val="18"/>
          <w:lang w:eastAsia="nl-NL"/>
        </w:rPr>
        <w:t>*</w:t>
      </w:r>
      <w:r w:rsidR="004A7B24" w:rsidRPr="00322A5C">
        <w:rPr>
          <w:color w:val="000000" w:themeColor="text1"/>
          <w:sz w:val="18"/>
          <w:szCs w:val="18"/>
        </w:rPr>
        <w:t>Compared with Updated RTF May Report Scenario 1, low-end. S</w:t>
      </w:r>
      <w:r w:rsidR="004A7B24" w:rsidRPr="00322A5C">
        <w:rPr>
          <w:sz w:val="18"/>
          <w:szCs w:val="18"/>
        </w:rPr>
        <w:t>ome numbers may differ slightly due to rounding</w:t>
      </w:r>
    </w:p>
    <w:p w14:paraId="6C232B4E" w14:textId="77777777" w:rsidR="004A7B24" w:rsidRPr="00A81971" w:rsidRDefault="004A7B24" w:rsidP="00AC2172">
      <w:pPr>
        <w:pStyle w:val="NormalNonumber"/>
        <w:tabs>
          <w:tab w:val="clear" w:pos="1247"/>
          <w:tab w:val="clear" w:pos="1871"/>
          <w:tab w:val="clear" w:pos="2495"/>
          <w:tab w:val="clear" w:pos="3119"/>
          <w:tab w:val="clear" w:pos="3742"/>
          <w:tab w:val="clear" w:pos="4366"/>
          <w:tab w:val="clear" w:pos="4990"/>
        </w:tabs>
        <w:spacing w:before="240"/>
        <w:rPr>
          <w:u w:val="single"/>
          <w:lang w:eastAsia="nl-NL"/>
        </w:rPr>
      </w:pPr>
      <w:r w:rsidRPr="00A81971">
        <w:rPr>
          <w:b/>
          <w:i/>
          <w:iCs/>
          <w:color w:val="000000"/>
          <w:lang w:eastAsia="nl-NL"/>
        </w:rPr>
        <w:t xml:space="preserve">New Scenario 1b for KIPs: Based on </w:t>
      </w:r>
      <w:r w:rsidRPr="00A81971">
        <w:rPr>
          <w:b/>
          <w:i/>
          <w:iCs/>
          <w:lang w:eastAsia="nl-NL"/>
        </w:rPr>
        <w:t>CE factors for each A5 party over the past 6 years</w:t>
      </w:r>
    </w:p>
    <w:p w14:paraId="1C413BD6" w14:textId="77777777" w:rsidR="004A7B24" w:rsidRPr="00A81971" w:rsidRDefault="004A7B24" w:rsidP="003518FA">
      <w:pPr>
        <w:pStyle w:val="NormalNonumber"/>
        <w:tabs>
          <w:tab w:val="clear" w:pos="1247"/>
          <w:tab w:val="clear" w:pos="1871"/>
          <w:tab w:val="clear" w:pos="2495"/>
          <w:tab w:val="clear" w:pos="3119"/>
          <w:tab w:val="clear" w:pos="3742"/>
          <w:tab w:val="clear" w:pos="4366"/>
          <w:tab w:val="clear" w:pos="4990"/>
        </w:tabs>
        <w:spacing w:before="120"/>
        <w:rPr>
          <w:color w:val="000000"/>
          <w:lang w:eastAsia="nl-NL"/>
        </w:rPr>
      </w:pPr>
      <w:r w:rsidRPr="00A81971">
        <w:rPr>
          <w:color w:val="000000" w:themeColor="text1"/>
          <w:lang w:eastAsia="nl-NL"/>
        </w:rPr>
        <w:t xml:space="preserve">It was not feasible for RTF </w:t>
      </w:r>
      <w:r w:rsidRPr="00A81971">
        <w:rPr>
          <w:color w:val="000000" w:themeColor="text1"/>
        </w:rPr>
        <w:t>to</w:t>
      </w:r>
      <w:r w:rsidRPr="00A81971">
        <w:rPr>
          <w:color w:val="000000" w:themeColor="text1"/>
          <w:lang w:eastAsia="nl-NL"/>
        </w:rPr>
        <w:t xml:space="preserve"> address this </w:t>
      </w:r>
      <w:r w:rsidRPr="00A81971">
        <w:rPr>
          <w:lang w:eastAsia="nl-NL"/>
        </w:rPr>
        <w:t xml:space="preserve">request for lack of information on CE factors for each A5 party over the past 6 years. </w:t>
      </w:r>
      <w:r w:rsidRPr="00A81971">
        <w:rPr>
          <w:color w:val="000000" w:themeColor="text1"/>
          <w:lang w:eastAsia="nl-NL"/>
        </w:rPr>
        <w:t>While C</w:t>
      </w:r>
      <w:r>
        <w:rPr>
          <w:color w:val="000000" w:themeColor="text1"/>
          <w:lang w:eastAsia="nl-NL"/>
        </w:rPr>
        <w:t>E</w:t>
      </w:r>
      <w:r w:rsidRPr="00A81971">
        <w:rPr>
          <w:color w:val="000000" w:themeColor="text1"/>
          <w:lang w:eastAsia="nl-NL"/>
        </w:rPr>
        <w:t>s for 37 HFC investment projects in 18 countries in the period 2020</w:t>
      </w:r>
      <w:r>
        <w:rPr>
          <w:color w:val="000000" w:themeColor="text1"/>
          <w:lang w:eastAsia="nl-NL"/>
        </w:rPr>
        <w:t>–</w:t>
      </w:r>
      <w:r w:rsidRPr="00A81971">
        <w:rPr>
          <w:color w:val="000000" w:themeColor="text1"/>
          <w:lang w:eastAsia="nl-NL"/>
        </w:rPr>
        <w:t xml:space="preserve">2025 were compiled by the MLFS and shared with RTF, the information was used to calculate the estimated funding under </w:t>
      </w:r>
      <w:r w:rsidRPr="00497AB4">
        <w:t>Scenario</w:t>
      </w:r>
      <w:r w:rsidRPr="00A81971">
        <w:rPr>
          <w:color w:val="000000" w:themeColor="text1"/>
          <w:lang w:eastAsia="nl-NL"/>
        </w:rPr>
        <w:t xml:space="preserve"> 1a- for KIPs (historical CE). No additional information was available or could be compiled for each party. Many of the 91 approved KIPs are for LVC countries (with only servicing sector).</w:t>
      </w:r>
    </w:p>
    <w:p w14:paraId="0DA134D2" w14:textId="77777777" w:rsidR="004A7B24" w:rsidRPr="004723EE" w:rsidRDefault="004A7B24" w:rsidP="00AC2172">
      <w:pPr>
        <w:pStyle w:val="NormalNonumber"/>
        <w:tabs>
          <w:tab w:val="clear" w:pos="1247"/>
          <w:tab w:val="clear" w:pos="1871"/>
          <w:tab w:val="clear" w:pos="2495"/>
          <w:tab w:val="clear" w:pos="3119"/>
          <w:tab w:val="clear" w:pos="3742"/>
          <w:tab w:val="clear" w:pos="4366"/>
          <w:tab w:val="clear" w:pos="4990"/>
        </w:tabs>
        <w:spacing w:before="120"/>
        <w:rPr>
          <w:b/>
          <w:bCs/>
          <w:i/>
          <w:iCs/>
          <w:color w:val="000000" w:themeColor="text1"/>
          <w:lang w:eastAsia="nl-NL"/>
        </w:rPr>
      </w:pPr>
      <w:r w:rsidRPr="004723EE">
        <w:rPr>
          <w:b/>
          <w:bCs/>
          <w:i/>
          <w:iCs/>
          <w:color w:val="000000" w:themeColor="text1"/>
          <w:lang w:eastAsia="nl-NL"/>
        </w:rPr>
        <w:t>New Scenario 1c for KIPs: CEs based on average funding levels for each A5 party over the past 6 years</w:t>
      </w:r>
    </w:p>
    <w:p w14:paraId="7C7418FA" w14:textId="77777777" w:rsidR="004A7B24" w:rsidRPr="00A81971" w:rsidRDefault="004A7B24" w:rsidP="00366AFF">
      <w:pPr>
        <w:pStyle w:val="NormalNonumber"/>
        <w:tabs>
          <w:tab w:val="clear" w:pos="1247"/>
          <w:tab w:val="clear" w:pos="1871"/>
          <w:tab w:val="clear" w:pos="2495"/>
          <w:tab w:val="clear" w:pos="3119"/>
          <w:tab w:val="clear" w:pos="3742"/>
          <w:tab w:val="clear" w:pos="4366"/>
          <w:tab w:val="clear" w:pos="4990"/>
        </w:tabs>
        <w:spacing w:before="120"/>
        <w:ind w:right="-57"/>
        <w:rPr>
          <w:rFonts w:eastAsia="Calibri"/>
          <w:color w:val="000000"/>
          <w:lang w:eastAsia="nl-NL"/>
        </w:rPr>
      </w:pPr>
      <w:r w:rsidRPr="00A81971">
        <w:rPr>
          <w:rFonts w:eastAsia="Calibri"/>
          <w:color w:val="000000" w:themeColor="text1"/>
          <w:lang w:eastAsia="nl-NL"/>
        </w:rPr>
        <w:t xml:space="preserve">MLFS provided for each A5 party with approved KIP, the funding level for that KIP for the last 6 </w:t>
      </w:r>
      <w:r w:rsidRPr="00497AB4">
        <w:t xml:space="preserve">years (2020–2025). Information is presented in Chapter 3. From this information, it was not feasible to extract CEs thresholds based on the average funding for each party for the period 2020–2025. The definition of CEs thresholds used by the MLF is sector-based, and generating CEs from funding received in a 6-year period represents a new concept which requires discussion based on proper understanding of its desired output. RTF discussed with the MLFS, and the understanding was that without an ExCom approved metric to define CEs from average funding levels to be applied to all parties, the RTF could only present without further analysis the financial data compiled on the funding amounts per party in the 2020–2025 period. There are a large number of LVCs and smaller countries </w:t>
      </w:r>
      <w:r w:rsidRPr="00497AB4">
        <w:lastRenderedPageBreak/>
        <w:t>with KIPs approved; funding information available for approved KIPs does not include the largest HFC consumption party nor all the G1 parties under the “top 10” cluster consumption category (that did not have a KIP approved as of ExCom-97), and none of the G2 parties who do not have an approved KIP. Therefore, RTF could not derive CEs based on funding information that is missing for a significant number of large consuming parties and therefore cannot be representative of all A5 parties.</w:t>
      </w:r>
    </w:p>
    <w:p w14:paraId="0CEF33F9" w14:textId="77777777" w:rsidR="004A7B24" w:rsidRPr="00A81971" w:rsidRDefault="004A7B24" w:rsidP="00AC2172">
      <w:pPr>
        <w:pStyle w:val="NormalNonumber"/>
        <w:tabs>
          <w:tab w:val="clear" w:pos="1247"/>
          <w:tab w:val="clear" w:pos="1871"/>
          <w:tab w:val="clear" w:pos="2495"/>
          <w:tab w:val="clear" w:pos="3119"/>
          <w:tab w:val="clear" w:pos="3742"/>
          <w:tab w:val="clear" w:pos="4366"/>
          <w:tab w:val="clear" w:pos="4990"/>
        </w:tabs>
        <w:spacing w:before="120"/>
        <w:rPr>
          <w:rFonts w:eastAsia="Calibri"/>
          <w:color w:val="000000" w:themeColor="text1"/>
          <w:lang w:eastAsia="nl-NL"/>
        </w:rPr>
      </w:pPr>
      <w:r w:rsidRPr="00A81971">
        <w:rPr>
          <w:rFonts w:eastAsia="Calibri"/>
          <w:color w:val="000000" w:themeColor="text1"/>
          <w:lang w:eastAsia="nl-NL"/>
        </w:rPr>
        <w:t>Table ES</w:t>
      </w:r>
      <w:r>
        <w:rPr>
          <w:rFonts w:eastAsia="Calibri"/>
          <w:color w:val="000000" w:themeColor="text1"/>
          <w:lang w:eastAsia="nl-NL"/>
        </w:rPr>
        <w:t>.7</w:t>
      </w:r>
      <w:r w:rsidRPr="00A81971">
        <w:rPr>
          <w:rFonts w:eastAsia="Calibri"/>
          <w:color w:val="000000" w:themeColor="text1"/>
          <w:lang w:eastAsia="nl-NL"/>
        </w:rPr>
        <w:t xml:space="preserve"> summari</w:t>
      </w:r>
      <w:r>
        <w:rPr>
          <w:rFonts w:eastAsia="Calibri"/>
          <w:color w:val="000000" w:themeColor="text1"/>
          <w:lang w:eastAsia="nl-NL"/>
        </w:rPr>
        <w:t>s</w:t>
      </w:r>
      <w:r w:rsidRPr="00A81971">
        <w:rPr>
          <w:rFonts w:eastAsia="Calibri"/>
          <w:color w:val="000000" w:themeColor="text1"/>
          <w:lang w:eastAsia="nl-NL"/>
        </w:rPr>
        <w:t xml:space="preserve">es the estimated funding for HFC activities comparing the </w:t>
      </w:r>
      <w:r w:rsidRPr="00A81971">
        <w:rPr>
          <w:rFonts w:eastAsia="Calibri"/>
          <w:b/>
          <w:bCs/>
          <w:color w:val="000000" w:themeColor="text1"/>
          <w:lang w:eastAsia="nl-NL"/>
        </w:rPr>
        <w:t>New Scenario 1a for KIPs</w:t>
      </w:r>
      <w:r w:rsidRPr="00A81971">
        <w:rPr>
          <w:rFonts w:eastAsia="Calibri"/>
          <w:color w:val="000000" w:themeColor="text1"/>
          <w:lang w:eastAsia="nl-NL"/>
        </w:rPr>
        <w:t xml:space="preserve"> with the </w:t>
      </w:r>
      <w:r>
        <w:rPr>
          <w:rFonts w:eastAsia="Calibri"/>
          <w:color w:val="000000" w:themeColor="text1"/>
          <w:lang w:eastAsia="nl-NL"/>
        </w:rPr>
        <w:t>“</w:t>
      </w:r>
      <w:r w:rsidRPr="00A81971">
        <w:rPr>
          <w:rFonts w:eastAsia="Calibri"/>
          <w:color w:val="000000" w:themeColor="text1"/>
          <w:lang w:eastAsia="nl-NL"/>
        </w:rPr>
        <w:t>Updated RTF May Report</w:t>
      </w:r>
      <w:r>
        <w:rPr>
          <w:rFonts w:eastAsia="Calibri"/>
          <w:color w:val="000000" w:themeColor="text1"/>
          <w:lang w:eastAsia="nl-NL"/>
        </w:rPr>
        <w:t>”</w:t>
      </w:r>
      <w:r w:rsidRPr="00A81971">
        <w:rPr>
          <w:rFonts w:eastAsia="Calibri"/>
          <w:color w:val="000000" w:themeColor="text1"/>
          <w:lang w:eastAsia="nl-NL"/>
        </w:rPr>
        <w:t xml:space="preserve"> and providing a low- and high-end funding range.</w:t>
      </w:r>
    </w:p>
    <w:p w14:paraId="4FA98264" w14:textId="451DD693" w:rsidR="004A7B24" w:rsidRDefault="004A7B24" w:rsidP="00AC2172">
      <w:pPr>
        <w:pStyle w:val="Titletable"/>
        <w:spacing w:before="240"/>
        <w:rPr>
          <w:rFonts w:eastAsia="Calibri"/>
          <w:lang w:eastAsia="nl-NL"/>
        </w:rPr>
      </w:pPr>
      <w:r w:rsidRPr="004723EE">
        <w:rPr>
          <w:rFonts w:eastAsia="Yu Mincho"/>
          <w:b w:val="0"/>
          <w:bCs w:val="0"/>
          <w:color w:val="000000"/>
          <w:lang w:val="en-CA"/>
        </w:rPr>
        <w:t>Table ES.7</w:t>
      </w:r>
      <w:r w:rsidR="004723EE" w:rsidRPr="00FC5D96">
        <w:rPr>
          <w:rFonts w:eastAsia="Yu Mincho"/>
          <w:b w:val="0"/>
          <w:bCs w:val="0"/>
          <w:color w:val="000000"/>
          <w:lang w:val="en-CA"/>
        </w:rPr>
        <w:t xml:space="preserve"> </w:t>
      </w:r>
      <w:r w:rsidR="004723EE">
        <w:rPr>
          <w:rFonts w:eastAsia="Yu Mincho"/>
          <w:color w:val="000000"/>
          <w:lang w:val="en-CA"/>
        </w:rPr>
        <w:br/>
      </w:r>
      <w:r w:rsidRPr="00A81971">
        <w:rPr>
          <w:rFonts w:eastAsia="Calibri"/>
          <w:lang w:eastAsia="nl-NL"/>
        </w:rPr>
        <w:t>Summary of estimated funding 2027</w:t>
      </w:r>
      <w:r>
        <w:rPr>
          <w:rFonts w:eastAsia="Calibri"/>
          <w:lang w:eastAsia="nl-NL"/>
        </w:rPr>
        <w:t>–</w:t>
      </w:r>
      <w:r w:rsidRPr="00A81971">
        <w:rPr>
          <w:rFonts w:eastAsia="Calibri"/>
          <w:lang w:eastAsia="nl-NL"/>
        </w:rPr>
        <w:t>2029 for HFC phase-down applying New Scenario 1a and compared to Updated RTF May Report estimates (US$ million)</w:t>
      </w:r>
    </w:p>
    <w:tbl>
      <w:tblPr>
        <w:tblW w:w="8307" w:type="dxa"/>
        <w:jc w:val="right"/>
        <w:tblLook w:val="04A0" w:firstRow="1" w:lastRow="0" w:firstColumn="1" w:lastColumn="0" w:noHBand="0" w:noVBand="1"/>
      </w:tblPr>
      <w:tblGrid>
        <w:gridCol w:w="3345"/>
        <w:gridCol w:w="2377"/>
        <w:gridCol w:w="2585"/>
      </w:tblGrid>
      <w:tr w:rsidR="004A7B24" w14:paraId="2A64FCC1" w14:textId="77777777" w:rsidTr="00FC5D96">
        <w:trPr>
          <w:trHeight w:val="339"/>
          <w:jc w:val="right"/>
        </w:trPr>
        <w:tc>
          <w:tcPr>
            <w:tcW w:w="3260" w:type="dxa"/>
            <w:tcBorders>
              <w:top w:val="single" w:sz="4" w:space="0" w:color="auto"/>
              <w:bottom w:val="single" w:sz="4" w:space="0" w:color="auto"/>
            </w:tcBorders>
            <w:shd w:val="clear" w:color="auto" w:fill="DBE5F1" w:themeFill="accent1" w:themeFillTint="33"/>
            <w:vAlign w:val="bottom"/>
          </w:tcPr>
          <w:p w14:paraId="34FC133D" w14:textId="77777777" w:rsidR="004A7B24" w:rsidRPr="00AF6103" w:rsidRDefault="004A7B24" w:rsidP="00AC2172">
            <w:pPr>
              <w:pStyle w:val="Normal-pool-Table"/>
              <w:rPr>
                <w:i/>
                <w:iCs/>
              </w:rPr>
            </w:pPr>
            <w:r w:rsidRPr="00AF6103">
              <w:rPr>
                <w:i/>
                <w:iCs/>
              </w:rPr>
              <w:t>2027-2029 Triennium</w:t>
            </w:r>
          </w:p>
        </w:tc>
        <w:tc>
          <w:tcPr>
            <w:tcW w:w="2316" w:type="dxa"/>
            <w:tcBorders>
              <w:top w:val="single" w:sz="4" w:space="0" w:color="auto"/>
              <w:bottom w:val="single" w:sz="4" w:space="0" w:color="auto"/>
            </w:tcBorders>
            <w:shd w:val="clear" w:color="auto" w:fill="DBE5F1" w:themeFill="accent1" w:themeFillTint="33"/>
            <w:vAlign w:val="bottom"/>
          </w:tcPr>
          <w:p w14:paraId="457AEDFE" w14:textId="18D1DF21" w:rsidR="004A7B24" w:rsidRPr="00AF6103" w:rsidRDefault="004A7B24" w:rsidP="00AC2172">
            <w:pPr>
              <w:pStyle w:val="Normal-pool-Table"/>
              <w:jc w:val="right"/>
              <w:rPr>
                <w:i/>
                <w:iCs/>
              </w:rPr>
            </w:pPr>
            <w:r w:rsidRPr="00AF6103">
              <w:rPr>
                <w:i/>
                <w:iCs/>
              </w:rPr>
              <w:t>Updated May Report Estimates</w:t>
            </w:r>
          </w:p>
        </w:tc>
        <w:tc>
          <w:tcPr>
            <w:tcW w:w="2519" w:type="dxa"/>
            <w:tcBorders>
              <w:top w:val="single" w:sz="4" w:space="0" w:color="auto"/>
              <w:bottom w:val="single" w:sz="4" w:space="0" w:color="auto"/>
            </w:tcBorders>
            <w:shd w:val="clear" w:color="auto" w:fill="DBE5F1" w:themeFill="accent1" w:themeFillTint="33"/>
            <w:vAlign w:val="bottom"/>
          </w:tcPr>
          <w:p w14:paraId="1808F328" w14:textId="77777777" w:rsidR="004A7B24" w:rsidRPr="00AF6103" w:rsidRDefault="004A7B24" w:rsidP="00AC2172">
            <w:pPr>
              <w:pStyle w:val="Normal-pool-Table"/>
              <w:jc w:val="right"/>
              <w:rPr>
                <w:i/>
                <w:iCs/>
              </w:rPr>
            </w:pPr>
            <w:r w:rsidRPr="00AF6103">
              <w:rPr>
                <w:i/>
                <w:iCs/>
              </w:rPr>
              <w:t>Supplementary Report Estimates Applying New Scenarios</w:t>
            </w:r>
          </w:p>
        </w:tc>
      </w:tr>
      <w:tr w:rsidR="004A7B24" w:rsidRPr="00AC2156" w14:paraId="79A057A6" w14:textId="77777777" w:rsidTr="00FC5D96">
        <w:trPr>
          <w:trHeight w:val="389"/>
          <w:jc w:val="right"/>
        </w:trPr>
        <w:tc>
          <w:tcPr>
            <w:tcW w:w="3260" w:type="dxa"/>
            <w:tcBorders>
              <w:top w:val="single" w:sz="4" w:space="0" w:color="auto"/>
              <w:bottom w:val="single" w:sz="12" w:space="0" w:color="auto"/>
            </w:tcBorders>
            <w:shd w:val="clear" w:color="auto" w:fill="FFFFCC"/>
            <w:vAlign w:val="center"/>
          </w:tcPr>
          <w:p w14:paraId="7F414CEE" w14:textId="77777777" w:rsidR="004A7B24" w:rsidRPr="00AC2156" w:rsidRDefault="004A7B24" w:rsidP="00AC2172">
            <w:pPr>
              <w:pStyle w:val="Normal-pool-Table"/>
              <w:rPr>
                <w:b/>
                <w:bCs/>
              </w:rPr>
            </w:pPr>
            <w:r w:rsidRPr="00AC2156">
              <w:rPr>
                <w:b/>
                <w:bCs/>
                <w:color w:val="000000" w:themeColor="text1"/>
              </w:rPr>
              <w:t>SUBTOTAL – HFC ACTIVITIES</w:t>
            </w:r>
          </w:p>
        </w:tc>
        <w:tc>
          <w:tcPr>
            <w:tcW w:w="2316" w:type="dxa"/>
            <w:tcBorders>
              <w:top w:val="single" w:sz="4" w:space="0" w:color="auto"/>
              <w:bottom w:val="single" w:sz="12" w:space="0" w:color="auto"/>
            </w:tcBorders>
            <w:shd w:val="clear" w:color="auto" w:fill="FFFFCC"/>
            <w:vAlign w:val="center"/>
          </w:tcPr>
          <w:p w14:paraId="073137FB" w14:textId="77777777" w:rsidR="004A7B24" w:rsidRPr="00AC2156" w:rsidRDefault="004A7B24" w:rsidP="00AC2172">
            <w:pPr>
              <w:pStyle w:val="Normal-pool-Table"/>
              <w:jc w:val="right"/>
              <w:rPr>
                <w:b/>
                <w:bCs/>
              </w:rPr>
            </w:pPr>
            <w:r w:rsidRPr="00AC2156">
              <w:rPr>
                <w:b/>
                <w:bCs/>
                <w:color w:val="000000" w:themeColor="text1"/>
              </w:rPr>
              <w:t>664</w:t>
            </w:r>
            <w:r w:rsidRPr="00AC2156">
              <w:rPr>
                <w:b/>
                <w:bCs/>
              </w:rPr>
              <w:t>– 999</w:t>
            </w:r>
          </w:p>
        </w:tc>
        <w:tc>
          <w:tcPr>
            <w:tcW w:w="2519" w:type="dxa"/>
            <w:tcBorders>
              <w:top w:val="single" w:sz="4" w:space="0" w:color="auto"/>
              <w:bottom w:val="single" w:sz="12" w:space="0" w:color="auto"/>
            </w:tcBorders>
            <w:shd w:val="clear" w:color="auto" w:fill="FFFFCC"/>
            <w:vAlign w:val="center"/>
          </w:tcPr>
          <w:p w14:paraId="063D52DB" w14:textId="77777777" w:rsidR="004A7B24" w:rsidRPr="00AC2156" w:rsidRDefault="004A7B24" w:rsidP="00AC2172">
            <w:pPr>
              <w:pStyle w:val="Normal-pool-Table"/>
              <w:jc w:val="right"/>
              <w:rPr>
                <w:b/>
                <w:bCs/>
              </w:rPr>
            </w:pPr>
            <w:r w:rsidRPr="00AC2156">
              <w:rPr>
                <w:b/>
                <w:bCs/>
                <w:color w:val="000000" w:themeColor="text1"/>
              </w:rPr>
              <w:t>625</w:t>
            </w:r>
            <w:r w:rsidRPr="00CC7561">
              <w:rPr>
                <w:color w:val="000000" w:themeColor="text1"/>
              </w:rPr>
              <w:t>*</w:t>
            </w:r>
            <w:r w:rsidRPr="00AC2156">
              <w:rPr>
                <w:b/>
                <w:bCs/>
              </w:rPr>
              <w:t xml:space="preserve"> – 999</w:t>
            </w:r>
          </w:p>
        </w:tc>
      </w:tr>
    </w:tbl>
    <w:p w14:paraId="174F6F12" w14:textId="77C13552" w:rsidR="004A7B24" w:rsidRPr="00A81971" w:rsidRDefault="001A3FB9" w:rsidP="001A3FB9">
      <w:pPr>
        <w:tabs>
          <w:tab w:val="clear" w:pos="1247"/>
          <w:tab w:val="clear" w:pos="1814"/>
          <w:tab w:val="clear" w:pos="2381"/>
          <w:tab w:val="clear" w:pos="2948"/>
          <w:tab w:val="clear" w:pos="3515"/>
          <w:tab w:val="left" w:pos="624"/>
        </w:tabs>
        <w:spacing w:before="60"/>
        <w:ind w:left="1247"/>
        <w:rPr>
          <w:color w:val="000000"/>
          <w:sz w:val="18"/>
          <w:szCs w:val="18"/>
        </w:rPr>
      </w:pPr>
      <w:r>
        <w:rPr>
          <w:rFonts w:eastAsia="Calibri"/>
          <w:color w:val="000000" w:themeColor="text1"/>
          <w:sz w:val="18"/>
          <w:szCs w:val="18"/>
          <w:lang w:eastAsia="nl-NL"/>
        </w:rPr>
        <w:tab/>
      </w:r>
      <w:r>
        <w:rPr>
          <w:rFonts w:eastAsia="Calibri"/>
          <w:color w:val="000000" w:themeColor="text1"/>
          <w:sz w:val="18"/>
          <w:szCs w:val="18"/>
          <w:lang w:eastAsia="nl-NL"/>
        </w:rPr>
        <w:tab/>
      </w:r>
      <w:r w:rsidR="004A7B24" w:rsidRPr="00A81971">
        <w:rPr>
          <w:rFonts w:eastAsia="Calibri"/>
          <w:color w:val="000000" w:themeColor="text1"/>
          <w:sz w:val="18"/>
          <w:szCs w:val="18"/>
          <w:lang w:eastAsia="nl-NL"/>
        </w:rPr>
        <w:t>*</w:t>
      </w:r>
      <w:r w:rsidR="004A7B24" w:rsidRPr="00A81971">
        <w:rPr>
          <w:color w:val="000000" w:themeColor="text1"/>
          <w:sz w:val="18"/>
          <w:szCs w:val="18"/>
        </w:rPr>
        <w:t xml:space="preserve"> New Scenario 1a</w:t>
      </w:r>
      <w:r w:rsidR="004A7B24" w:rsidRPr="00A81971">
        <w:rPr>
          <w:color w:val="000000" w:themeColor="text1"/>
        </w:rPr>
        <w:t xml:space="preserve"> </w:t>
      </w:r>
      <w:r w:rsidR="004A7B24" w:rsidRPr="00A81971">
        <w:rPr>
          <w:b/>
          <w:bCs/>
        </w:rPr>
        <w:t xml:space="preserve">– </w:t>
      </w:r>
      <w:r w:rsidR="004A7B24" w:rsidRPr="00A81971">
        <w:rPr>
          <w:color w:val="000000" w:themeColor="text1"/>
          <w:sz w:val="18"/>
          <w:szCs w:val="18"/>
        </w:rPr>
        <w:t xml:space="preserve">CE historical for KIPs with Resource </w:t>
      </w:r>
      <w:r w:rsidR="004A7B24" w:rsidRPr="00A81971">
        <w:rPr>
          <w:b/>
          <w:bCs/>
          <w:color w:val="000000" w:themeColor="text1"/>
          <w:sz w:val="18"/>
          <w:szCs w:val="18"/>
        </w:rPr>
        <w:t>Allocation B</w:t>
      </w:r>
      <w:r w:rsidR="004A7B24" w:rsidRPr="00A81971">
        <w:rPr>
          <w:color w:val="000000" w:themeColor="text1"/>
          <w:sz w:val="18"/>
          <w:szCs w:val="18"/>
        </w:rPr>
        <w:t xml:space="preserve"> </w:t>
      </w:r>
    </w:p>
    <w:p w14:paraId="7FC3B5F6" w14:textId="77777777" w:rsidR="004A7B24" w:rsidRPr="00A81971"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A81971">
        <w:t>Funding ranges for the Updated RTF May Report as in Table ES</w:t>
      </w:r>
      <w:r>
        <w:t>.</w:t>
      </w:r>
      <w:r w:rsidRPr="00A81971">
        <w:t>2 were selected by considering the low-end and high-end values according to both HFC Scenarios 1 and 2 and their respective Resource Allocations A and B. For this Supplementary Report, ranges considered only Scenario 1(</w:t>
      </w:r>
      <w:r>
        <w:t>l</w:t>
      </w:r>
      <w:r w:rsidRPr="00A81971">
        <w:t>ow-</w:t>
      </w:r>
      <w:r>
        <w:t>e</w:t>
      </w:r>
      <w:r w:rsidRPr="00A81971">
        <w:t>nd) of the Updated May Report as the basis for comparison with the New Scenarios low-end ranges.</w:t>
      </w:r>
    </w:p>
    <w:p w14:paraId="3B2A1ADB" w14:textId="609AC4D5" w:rsidR="004A7B24" w:rsidRPr="00A81971" w:rsidRDefault="004723EE" w:rsidP="004723EE">
      <w:pPr>
        <w:pStyle w:val="CH2"/>
      </w:pPr>
      <w:r>
        <w:rPr>
          <w:rFonts w:eastAsia="Calibri"/>
          <w:lang w:eastAsia="nl-NL"/>
        </w:rPr>
        <w:tab/>
      </w:r>
      <w:r>
        <w:rPr>
          <w:rFonts w:eastAsia="Calibri"/>
          <w:lang w:eastAsia="nl-NL"/>
        </w:rPr>
        <w:tab/>
      </w:r>
      <w:r w:rsidR="004A7B24" w:rsidRPr="2E7655E2">
        <w:rPr>
          <w:rFonts w:eastAsia="Calibri"/>
          <w:lang w:eastAsia="nl-NL"/>
        </w:rPr>
        <w:t xml:space="preserve">Additional New </w:t>
      </w:r>
      <w:r w:rsidR="004A7B24" w:rsidRPr="00D62438">
        <w:t>Scenarios</w:t>
      </w:r>
      <w:r w:rsidR="004A7B24" w:rsidRPr="2E7655E2">
        <w:rPr>
          <w:rFonts w:eastAsia="Calibri"/>
          <w:lang w:eastAsia="nl-NL"/>
        </w:rPr>
        <w:t xml:space="preserve"> for KIPs</w:t>
      </w:r>
    </w:p>
    <w:p w14:paraId="30B1CB19" w14:textId="77777777" w:rsidR="004A7B24" w:rsidRPr="004723EE" w:rsidRDefault="004A7B24" w:rsidP="00CD26B7">
      <w:pPr>
        <w:pStyle w:val="NormalNonumber"/>
        <w:rPr>
          <w:b/>
          <w:bCs/>
          <w:i/>
          <w:iCs/>
        </w:rPr>
      </w:pPr>
      <w:r w:rsidRPr="004723EE">
        <w:rPr>
          <w:b/>
          <w:bCs/>
          <w:i/>
          <w:iCs/>
        </w:rPr>
        <w:t>New Scenario 2a for KIPs: A low-end scenario based on the most recently reported consumption data for HCFCs and HFCs and a high-end scenario based on established HFC baselines and HCFC remaining eligible consumption.</w:t>
      </w:r>
    </w:p>
    <w:p w14:paraId="5AE2A309" w14:textId="77777777" w:rsidR="004A7B24" w:rsidRPr="00A81971"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2E7655E2">
        <w:t xml:space="preserve">To estimate funding for New </w:t>
      </w:r>
      <w:r w:rsidRPr="2E7655E2">
        <w:rPr>
          <w:b/>
          <w:bCs/>
        </w:rPr>
        <w:t>Scenario 2a</w:t>
      </w:r>
      <w:r w:rsidRPr="2E7655E2">
        <w:t xml:space="preserve">, RTF considered the most recently reported A7 HFC consumption data for all parties that had reported data. The Updated RTF May Report methodology considered the Kigali Amendment HFC established baselines. To address Scenario 2a, RTF had to introduce a considerable change in methodology. Nevertheless, for parties </w:t>
      </w:r>
      <w:r w:rsidRPr="2E7655E2">
        <w:rPr>
          <w:b/>
          <w:bCs/>
          <w:i/>
          <w:iCs/>
        </w:rPr>
        <w:t>with KIPs approved</w:t>
      </w:r>
      <w:r w:rsidRPr="2E7655E2">
        <w:t xml:space="preserve">, and because RTF cannot modify the funding commitments nor the agreed percentage reductions targets with the ExCom, the new methodology could not be applied. For A5 parties </w:t>
      </w:r>
      <w:r w:rsidRPr="2E7655E2">
        <w:rPr>
          <w:b/>
          <w:bCs/>
          <w:i/>
          <w:iCs/>
        </w:rPr>
        <w:t>without KIPs approved</w:t>
      </w:r>
      <w:r w:rsidRPr="2E7655E2">
        <w:t xml:space="preserve">, the most recently reported consumption data for HFCs was used, as requested in </w:t>
      </w:r>
      <w:r w:rsidRPr="2E7655E2">
        <w:rPr>
          <w:b/>
          <w:bCs/>
        </w:rPr>
        <w:t>New Scenario 2a.</w:t>
      </w:r>
      <w:r w:rsidRPr="2E7655E2">
        <w:t xml:space="preserve"> Chapter 3 presents details on the sector distribution and data used. </w:t>
      </w:r>
    </w:p>
    <w:p w14:paraId="439564F0" w14:textId="77777777" w:rsidR="004A7B24" w:rsidRPr="00A81971" w:rsidRDefault="004A7B24" w:rsidP="00CD26B7">
      <w:pPr>
        <w:pStyle w:val="ListParagraph"/>
        <w:numPr>
          <w:ilvl w:val="0"/>
          <w:numId w:val="21"/>
        </w:numPr>
        <w:tabs>
          <w:tab w:val="clear" w:pos="1247"/>
          <w:tab w:val="clear" w:pos="1814"/>
          <w:tab w:val="clear" w:pos="2381"/>
          <w:tab w:val="clear" w:pos="2948"/>
          <w:tab w:val="clear" w:pos="3515"/>
        </w:tabs>
        <w:ind w:left="1604" w:hanging="357"/>
        <w:contextualSpacing w:val="0"/>
      </w:pPr>
      <w:r w:rsidRPr="008263C4">
        <w:rPr>
          <w:b/>
          <w:bCs/>
          <w:color w:val="000000" w:themeColor="text1"/>
        </w:rPr>
        <w:t xml:space="preserve">The funding estimated for New Scenario 2a for KIPs indicated a reduction of US$ 146 million and US$ 117 million from the </w:t>
      </w:r>
      <w:r w:rsidRPr="00784760">
        <w:rPr>
          <w:b/>
          <w:bCs/>
          <w:lang w:eastAsia="nl-NL"/>
        </w:rPr>
        <w:t>Updated</w:t>
      </w:r>
      <w:r w:rsidRPr="008263C4">
        <w:rPr>
          <w:b/>
          <w:bCs/>
          <w:color w:val="000000" w:themeColor="text1"/>
        </w:rPr>
        <w:t xml:space="preserve"> RTF May 2026 report, when applying schedule</w:t>
      </w:r>
      <w:r>
        <w:rPr>
          <w:b/>
          <w:bCs/>
          <w:color w:val="000000" w:themeColor="text1"/>
        </w:rPr>
        <w:t>s</w:t>
      </w:r>
      <w:r w:rsidRPr="008263C4">
        <w:rPr>
          <w:b/>
          <w:bCs/>
          <w:color w:val="000000" w:themeColor="text1"/>
        </w:rPr>
        <w:t xml:space="preserve"> A and schedule B, respectively.</w:t>
      </w:r>
    </w:p>
    <w:p w14:paraId="3364FE67" w14:textId="77777777" w:rsidR="004A7B24" w:rsidRPr="00AA2A24" w:rsidRDefault="004A7B24" w:rsidP="00497AB4">
      <w:pPr>
        <w:pStyle w:val="NormalNonumber"/>
        <w:tabs>
          <w:tab w:val="clear" w:pos="1247"/>
          <w:tab w:val="clear" w:pos="1871"/>
          <w:tab w:val="clear" w:pos="2495"/>
          <w:tab w:val="clear" w:pos="3119"/>
          <w:tab w:val="clear" w:pos="3742"/>
          <w:tab w:val="clear" w:pos="4366"/>
          <w:tab w:val="clear" w:pos="4990"/>
        </w:tabs>
        <w:spacing w:before="120"/>
        <w:rPr>
          <w:rFonts w:eastAsia="Times New Roman Bold"/>
          <w:color w:val="242424"/>
        </w:rPr>
      </w:pPr>
      <w:r w:rsidRPr="0091348E">
        <w:rPr>
          <w:rFonts w:eastAsia="Times New Roman Bold"/>
          <w:color w:val="242424"/>
        </w:rPr>
        <w:t xml:space="preserve">Scenario 2a is an illustrative sensitivity scenario and is not directly comparable with the main estimated funding range. It involves a considerable change in methodology, including the use of recently reported consumption for </w:t>
      </w:r>
      <w:r>
        <w:rPr>
          <w:rFonts w:eastAsia="Times New Roman Bold"/>
          <w:color w:val="242424"/>
        </w:rPr>
        <w:t>p</w:t>
      </w:r>
      <w:r w:rsidRPr="0091348E">
        <w:rPr>
          <w:rFonts w:eastAsia="Times New Roman Bold"/>
          <w:color w:val="242424"/>
        </w:rPr>
        <w:t xml:space="preserve">arties without KIPs, </w:t>
      </w:r>
      <w:r w:rsidRPr="00497AB4">
        <w:t>while</w:t>
      </w:r>
      <w:r w:rsidRPr="0091348E">
        <w:rPr>
          <w:rFonts w:eastAsia="Times New Roman Bold"/>
          <w:color w:val="242424"/>
        </w:rPr>
        <w:t xml:space="preserve"> approved KIPs are not recalculated because their funding commitments and agreed reductions have already been established.</w:t>
      </w:r>
    </w:p>
    <w:p w14:paraId="44809028" w14:textId="77777777" w:rsidR="004A7B24" w:rsidRPr="004723EE" w:rsidRDefault="004A7B24" w:rsidP="004723EE">
      <w:pPr>
        <w:pStyle w:val="NormalNonumber"/>
        <w:rPr>
          <w:i/>
        </w:rPr>
      </w:pPr>
      <w:r w:rsidRPr="004723EE">
        <w:rPr>
          <w:i/>
        </w:rPr>
        <w:t xml:space="preserve">New Scenario 2b for KIPs: Realistic project implementation timelines such as modifying resources allocation schedule A for Stage II </w:t>
      </w:r>
      <w:r w:rsidRPr="004723EE">
        <w:rPr>
          <w:i/>
          <w:color w:val="000000" w:themeColor="text1"/>
        </w:rPr>
        <w:t>KIPs</w:t>
      </w:r>
      <w:r w:rsidRPr="004723EE">
        <w:rPr>
          <w:i/>
        </w:rPr>
        <w:t xml:space="preserve"> and to take into account rates of ratification for remaining non-parties to the Kigali Amendment.</w:t>
      </w:r>
    </w:p>
    <w:p w14:paraId="6013B861" w14:textId="77777777" w:rsidR="004A7B24" w:rsidRPr="00A81971" w:rsidRDefault="004A7B24" w:rsidP="00497AB4">
      <w:pPr>
        <w:pStyle w:val="NormalNonumber"/>
        <w:tabs>
          <w:tab w:val="clear" w:pos="1247"/>
          <w:tab w:val="clear" w:pos="1871"/>
          <w:tab w:val="clear" w:pos="2495"/>
          <w:tab w:val="clear" w:pos="3119"/>
          <w:tab w:val="clear" w:pos="3742"/>
          <w:tab w:val="clear" w:pos="4366"/>
          <w:tab w:val="clear" w:pos="4990"/>
        </w:tabs>
        <w:spacing w:before="120"/>
        <w:rPr>
          <w:color w:val="000000" w:themeColor="text1"/>
        </w:rPr>
      </w:pPr>
      <w:r w:rsidRPr="00A81971">
        <w:t>RTF modified the Resource Allocation Schedule A (from RTF May Report) to account for a series of proposed new percentage allocations for the 2027</w:t>
      </w:r>
      <w:r>
        <w:t>–</w:t>
      </w:r>
      <w:r w:rsidRPr="00A81971">
        <w:t xml:space="preserve">2029 triennium, using a reduced pace for the introduction of Stage II KIPs, and for the ratification pace applied to the non-parties to the KA (as of 10 August 2026) in both G1 and G2 groups. </w:t>
      </w:r>
      <w:r w:rsidRPr="00A81971">
        <w:rPr>
          <w:color w:val="000000" w:themeColor="text1"/>
        </w:rPr>
        <w:t>The new suggested allocation for the consideration of parties is shown in Chapter 3.</w:t>
      </w:r>
    </w:p>
    <w:p w14:paraId="6F955A52" w14:textId="77777777" w:rsidR="004A7B24" w:rsidRPr="004723EE" w:rsidRDefault="004A7B24">
      <w:pPr>
        <w:pStyle w:val="NormalNonumber"/>
        <w:numPr>
          <w:ilvl w:val="0"/>
          <w:numId w:val="23"/>
        </w:numPr>
        <w:tabs>
          <w:tab w:val="clear" w:pos="1247"/>
          <w:tab w:val="clear" w:pos="1871"/>
          <w:tab w:val="clear" w:pos="2495"/>
          <w:tab w:val="clear" w:pos="3119"/>
          <w:tab w:val="clear" w:pos="3742"/>
          <w:tab w:val="clear" w:pos="4366"/>
          <w:tab w:val="clear" w:pos="4990"/>
        </w:tabs>
        <w:spacing w:before="120"/>
        <w:ind w:left="1560" w:hanging="284"/>
        <w:rPr>
          <w:b/>
          <w:bCs/>
        </w:rPr>
      </w:pPr>
      <w:r w:rsidRPr="004723EE">
        <w:rPr>
          <w:b/>
          <w:bCs/>
        </w:rPr>
        <w:t xml:space="preserve">Modifying the KIPs Stage II Resource Allocation Schedule A percentages results in a reduction of US$ 24.9 million, when compared with the estimated funding for the “Updated RTF May Report, Scenario 1” Resource Allocation A. </w:t>
      </w:r>
    </w:p>
    <w:p w14:paraId="1B0C876B" w14:textId="5CB074F4" w:rsidR="004A7B24" w:rsidRDefault="004723EE" w:rsidP="00AC2172">
      <w:pPr>
        <w:pStyle w:val="CH2"/>
      </w:pPr>
      <w:r>
        <w:lastRenderedPageBreak/>
        <w:tab/>
      </w:r>
      <w:r>
        <w:tab/>
      </w:r>
      <w:r w:rsidR="004A7B24" w:rsidRPr="00A81971">
        <w:t xml:space="preserve">Additional </w:t>
      </w:r>
      <w:r w:rsidR="004A7B24" w:rsidRPr="00F65474">
        <w:rPr>
          <w:rFonts w:eastAsia="Calibri"/>
          <w:color w:val="000000" w:themeColor="text1"/>
          <w:lang w:eastAsia="nl-NL"/>
        </w:rPr>
        <w:t>Information</w:t>
      </w:r>
      <w:r w:rsidR="004A7B24" w:rsidRPr="00A81971">
        <w:t xml:space="preserve"> and Scenarios on LVCs/VLVCs and LRM</w:t>
      </w:r>
    </w:p>
    <w:p w14:paraId="6F5DA2B5" w14:textId="77777777" w:rsidR="004A7B24" w:rsidRDefault="004A7B24" w:rsidP="00AC2172">
      <w:pPr>
        <w:pStyle w:val="NormalNonumber"/>
        <w:keepNext/>
        <w:keepLines/>
        <w:tabs>
          <w:tab w:val="clear" w:pos="1247"/>
          <w:tab w:val="clear" w:pos="1871"/>
          <w:tab w:val="clear" w:pos="2495"/>
          <w:tab w:val="clear" w:pos="3119"/>
          <w:tab w:val="clear" w:pos="3742"/>
          <w:tab w:val="clear" w:pos="4366"/>
          <w:tab w:val="clear" w:pos="4990"/>
        </w:tabs>
        <w:spacing w:before="120"/>
        <w:rPr>
          <w:b/>
          <w:bCs/>
          <w:i/>
          <w:iCs/>
        </w:rPr>
      </w:pPr>
      <w:r w:rsidRPr="00A81971">
        <w:rPr>
          <w:b/>
          <w:bCs/>
          <w:i/>
          <w:iCs/>
        </w:rPr>
        <w:t xml:space="preserve">New Scenario LVCs/VLVCs: </w:t>
      </w:r>
      <w:r>
        <w:rPr>
          <w:b/>
          <w:bCs/>
        </w:rPr>
        <w:t>“</w:t>
      </w:r>
      <w:r w:rsidRPr="00A81971">
        <w:rPr>
          <w:b/>
          <w:bCs/>
          <w:i/>
          <w:iCs/>
        </w:rPr>
        <w:t>to provide a high-end scenario for a possible increase to the funding estimate in the resource allocation tables in chapter 3 for LVC and VLVC countries for Stage II of their KIPs, in consultation with the MLF secretariat, taking into account the capacity of those countries to absorb increased funding</w:t>
      </w:r>
      <w:r>
        <w:rPr>
          <w:b/>
          <w:bCs/>
          <w:i/>
          <w:iCs/>
        </w:rPr>
        <w:t>”</w:t>
      </w:r>
      <w:r w:rsidRPr="00A81971">
        <w:rPr>
          <w:b/>
          <w:bCs/>
          <w:i/>
          <w:iCs/>
        </w:rPr>
        <w:t>.</w:t>
      </w:r>
    </w:p>
    <w:p w14:paraId="595821F6" w14:textId="45CB4981" w:rsidR="004A7B24" w:rsidRPr="00A81971"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A81971">
        <w:rPr>
          <w:color w:val="000000" w:themeColor="text1"/>
        </w:rPr>
        <w:t>Chapter 4 addresses in detail the suggestions from parties at OEWG48 related to low-volume-consuming and very low-</w:t>
      </w:r>
      <w:r w:rsidRPr="007D3E90">
        <w:t>volume</w:t>
      </w:r>
      <w:r w:rsidRPr="00A81971">
        <w:rPr>
          <w:color w:val="000000" w:themeColor="text1"/>
        </w:rPr>
        <w:t xml:space="preserve"> consuming (LVC/VLVC) countries. </w:t>
      </w:r>
      <w:r w:rsidRPr="00A81971">
        <w:t xml:space="preserve">The calculation for the </w:t>
      </w:r>
      <w:r w:rsidR="003518FA">
        <w:br/>
      </w:r>
      <w:r w:rsidRPr="00A81971">
        <w:t>2027</w:t>
      </w:r>
      <w:r>
        <w:t>–</w:t>
      </w:r>
      <w:r w:rsidRPr="00A81971">
        <w:t>2029 triennium for a possible increase in resource allocation in comparison to resource allocation schedules A and B of the May 2026 RTF report is shown in Table ES</w:t>
      </w:r>
      <w:r>
        <w:t>.8</w:t>
      </w:r>
      <w:r w:rsidRPr="00A81971">
        <w:t xml:space="preserve">. </w:t>
      </w:r>
    </w:p>
    <w:p w14:paraId="251BBDCD" w14:textId="38FD3498" w:rsidR="004A7B24" w:rsidRPr="00A81971" w:rsidRDefault="004A7B24" w:rsidP="000D20EF">
      <w:pPr>
        <w:pStyle w:val="Titletable"/>
        <w:spacing w:before="240"/>
      </w:pPr>
      <w:r w:rsidRPr="000D20EF">
        <w:rPr>
          <w:rFonts w:eastAsia="Yu Mincho"/>
          <w:b w:val="0"/>
          <w:bCs w:val="0"/>
          <w:color w:val="000000"/>
          <w:lang w:val="en-CA"/>
        </w:rPr>
        <w:t>Table ES.8</w:t>
      </w:r>
      <w:r w:rsidR="000D20EF" w:rsidRPr="000D20EF">
        <w:rPr>
          <w:rFonts w:eastAsia="Yu Mincho"/>
          <w:b w:val="0"/>
          <w:bCs w:val="0"/>
          <w:color w:val="000000"/>
          <w:lang w:val="en-CA"/>
        </w:rPr>
        <w:t xml:space="preserve"> </w:t>
      </w:r>
      <w:r w:rsidR="000D20EF" w:rsidRPr="000D20EF">
        <w:rPr>
          <w:rFonts w:eastAsia="Yu Mincho"/>
          <w:b w:val="0"/>
          <w:bCs w:val="0"/>
          <w:color w:val="000000"/>
          <w:lang w:val="en-CA"/>
        </w:rPr>
        <w:br/>
      </w:r>
      <w:r w:rsidRPr="00A81971">
        <w:t>Estimated funding for the High-end Resource Allocation New Scenario for KIPs for the 2027-2029 triennium for LVCs/VLVCs</w:t>
      </w:r>
      <w:r>
        <w:t xml:space="preserve"> </w:t>
      </w:r>
      <w:r w:rsidRPr="00796787">
        <w:rPr>
          <w:color w:val="000000" w:themeColor="text1"/>
        </w:rPr>
        <w:t xml:space="preserve">(US$ </w:t>
      </w:r>
      <w:r w:rsidRPr="00796787">
        <w:rPr>
          <w:color w:val="000000" w:themeColor="text1"/>
          <w:sz w:val="24"/>
          <w:szCs w:val="24"/>
        </w:rPr>
        <w:t>million</w:t>
      </w:r>
      <w:r w:rsidRPr="00796787">
        <w:rPr>
          <w:color w:val="000000" w:themeColor="text1"/>
        </w:rPr>
        <w:t>)</w:t>
      </w:r>
    </w:p>
    <w:tbl>
      <w:tblPr>
        <w:tblW w:w="8307" w:type="dxa"/>
        <w:jc w:val="right"/>
        <w:tblBorders>
          <w:bottom w:val="single" w:sz="12" w:space="0" w:color="auto"/>
        </w:tblBorders>
        <w:tblLook w:val="04A0" w:firstRow="1" w:lastRow="0" w:firstColumn="1" w:lastColumn="0" w:noHBand="0" w:noVBand="1"/>
      </w:tblPr>
      <w:tblGrid>
        <w:gridCol w:w="983"/>
        <w:gridCol w:w="1275"/>
        <w:gridCol w:w="2268"/>
        <w:gridCol w:w="2233"/>
        <w:gridCol w:w="1548"/>
      </w:tblGrid>
      <w:tr w:rsidR="004A7B24" w:rsidRPr="001A3FB9" w14:paraId="40F08BA9" w14:textId="77777777" w:rsidTr="00FC5D96">
        <w:trPr>
          <w:trHeight w:val="318"/>
          <w:jc w:val="right"/>
        </w:trPr>
        <w:tc>
          <w:tcPr>
            <w:tcW w:w="983" w:type="dxa"/>
            <w:tcBorders>
              <w:top w:val="single" w:sz="4" w:space="0" w:color="auto"/>
              <w:bottom w:val="single" w:sz="4" w:space="0" w:color="auto"/>
            </w:tcBorders>
            <w:shd w:val="clear" w:color="auto" w:fill="DBE5F1" w:themeFill="accent1" w:themeFillTint="33"/>
            <w:vAlign w:val="center"/>
          </w:tcPr>
          <w:p w14:paraId="344D1660" w14:textId="77777777" w:rsidR="004A7B24" w:rsidRPr="00AF6103" w:rsidRDefault="004A7B24" w:rsidP="00AC2172">
            <w:pPr>
              <w:pStyle w:val="Normal-pool-Table"/>
              <w:rPr>
                <w:i/>
                <w:iCs/>
              </w:rPr>
            </w:pPr>
            <w:r w:rsidRPr="00AF6103">
              <w:rPr>
                <w:i/>
                <w:iCs/>
              </w:rPr>
              <w:t>Status</w:t>
            </w:r>
          </w:p>
        </w:tc>
        <w:tc>
          <w:tcPr>
            <w:tcW w:w="1275" w:type="dxa"/>
            <w:tcBorders>
              <w:top w:val="single" w:sz="4" w:space="0" w:color="auto"/>
              <w:bottom w:val="single" w:sz="4" w:space="0" w:color="auto"/>
            </w:tcBorders>
            <w:shd w:val="clear" w:color="auto" w:fill="DBE5F1" w:themeFill="accent1" w:themeFillTint="33"/>
            <w:vAlign w:val="center"/>
          </w:tcPr>
          <w:p w14:paraId="0C601D7F" w14:textId="77777777" w:rsidR="004A7B24" w:rsidRPr="00AF6103" w:rsidRDefault="004A7B24" w:rsidP="00AC2172">
            <w:pPr>
              <w:pStyle w:val="Normal-pool-Table"/>
              <w:rPr>
                <w:i/>
                <w:iCs/>
              </w:rPr>
            </w:pPr>
            <w:r w:rsidRPr="00AF6103">
              <w:rPr>
                <w:i/>
                <w:iCs/>
              </w:rPr>
              <w:t>Total Funding</w:t>
            </w:r>
          </w:p>
        </w:tc>
        <w:tc>
          <w:tcPr>
            <w:tcW w:w="2268" w:type="dxa"/>
            <w:tcBorders>
              <w:top w:val="single" w:sz="4" w:space="0" w:color="auto"/>
              <w:bottom w:val="single" w:sz="4" w:space="0" w:color="auto"/>
            </w:tcBorders>
            <w:shd w:val="clear" w:color="auto" w:fill="DBE5F1" w:themeFill="accent1" w:themeFillTint="33"/>
            <w:vAlign w:val="center"/>
          </w:tcPr>
          <w:p w14:paraId="5E584296" w14:textId="77777777" w:rsidR="004A7B24" w:rsidRPr="00AF6103" w:rsidRDefault="004A7B24" w:rsidP="00AC2172">
            <w:pPr>
              <w:pStyle w:val="Normal-pool-Table"/>
              <w:rPr>
                <w:i/>
                <w:iCs/>
              </w:rPr>
            </w:pPr>
            <w:r w:rsidRPr="00AF6103">
              <w:rPr>
                <w:i/>
                <w:iCs/>
              </w:rPr>
              <w:t xml:space="preserve">Resource Allocation Schedule A </w:t>
            </w:r>
          </w:p>
          <w:p w14:paraId="7AFF7032" w14:textId="77777777" w:rsidR="004A7B24" w:rsidRPr="00845E29" w:rsidRDefault="004A7B24" w:rsidP="00AC2172">
            <w:pPr>
              <w:pStyle w:val="Normal-pool-Table"/>
              <w:rPr>
                <w:i/>
                <w:iCs/>
                <w:szCs w:val="18"/>
              </w:rPr>
            </w:pPr>
            <w:r w:rsidRPr="00845E29">
              <w:rPr>
                <w:i/>
                <w:iCs/>
                <w:szCs w:val="18"/>
              </w:rPr>
              <w:t>U</w:t>
            </w:r>
            <w:r w:rsidRPr="00AB2EFC">
              <w:rPr>
                <w:i/>
                <w:iCs/>
                <w:szCs w:val="18"/>
              </w:rPr>
              <w:t xml:space="preserve">pdated </w:t>
            </w:r>
            <w:r w:rsidRPr="00845E29">
              <w:rPr>
                <w:i/>
                <w:iCs/>
                <w:szCs w:val="18"/>
              </w:rPr>
              <w:t>May Report</w:t>
            </w:r>
          </w:p>
        </w:tc>
        <w:tc>
          <w:tcPr>
            <w:tcW w:w="2233" w:type="dxa"/>
            <w:tcBorders>
              <w:top w:val="single" w:sz="4" w:space="0" w:color="auto"/>
              <w:bottom w:val="single" w:sz="4" w:space="0" w:color="auto"/>
            </w:tcBorders>
            <w:shd w:val="clear" w:color="auto" w:fill="DBE5F1" w:themeFill="accent1" w:themeFillTint="33"/>
            <w:vAlign w:val="center"/>
          </w:tcPr>
          <w:p w14:paraId="5B2FBAFE" w14:textId="77777777" w:rsidR="00891B0C" w:rsidRDefault="004A7B24" w:rsidP="00AC2172">
            <w:pPr>
              <w:pStyle w:val="Normal-pool-Table"/>
              <w:rPr>
                <w:i/>
                <w:iCs/>
                <w:szCs w:val="18"/>
              </w:rPr>
            </w:pPr>
            <w:r w:rsidRPr="00845E29">
              <w:rPr>
                <w:i/>
                <w:iCs/>
                <w:szCs w:val="18"/>
              </w:rPr>
              <w:t xml:space="preserve">Resource Allocation Schedule B </w:t>
            </w:r>
          </w:p>
          <w:p w14:paraId="34802A19" w14:textId="29026029" w:rsidR="004A7B24" w:rsidRPr="00845E29" w:rsidRDefault="004A7B24" w:rsidP="00AC2172">
            <w:pPr>
              <w:pStyle w:val="Normal-pool-Table"/>
              <w:rPr>
                <w:i/>
                <w:iCs/>
                <w:szCs w:val="18"/>
              </w:rPr>
            </w:pPr>
            <w:r w:rsidRPr="00845E29">
              <w:rPr>
                <w:i/>
                <w:iCs/>
                <w:szCs w:val="18"/>
              </w:rPr>
              <w:t>U</w:t>
            </w:r>
            <w:r w:rsidRPr="00AB2EFC">
              <w:rPr>
                <w:i/>
                <w:iCs/>
                <w:szCs w:val="18"/>
              </w:rPr>
              <w:t xml:space="preserve">pdated </w:t>
            </w:r>
            <w:r w:rsidRPr="00845E29">
              <w:rPr>
                <w:i/>
                <w:iCs/>
                <w:szCs w:val="18"/>
              </w:rPr>
              <w:t>May Report</w:t>
            </w:r>
          </w:p>
        </w:tc>
        <w:tc>
          <w:tcPr>
            <w:tcW w:w="1548" w:type="dxa"/>
            <w:tcBorders>
              <w:top w:val="single" w:sz="4" w:space="0" w:color="auto"/>
              <w:bottom w:val="single" w:sz="4" w:space="0" w:color="auto"/>
            </w:tcBorders>
            <w:shd w:val="clear" w:color="auto" w:fill="DBE5F1" w:themeFill="accent1" w:themeFillTint="33"/>
            <w:vAlign w:val="center"/>
          </w:tcPr>
          <w:p w14:paraId="33DBC558" w14:textId="77777777" w:rsidR="004A7B24" w:rsidRPr="00AF6103" w:rsidRDefault="004A7B24" w:rsidP="00AC2172">
            <w:pPr>
              <w:pStyle w:val="Normal-pool-Table"/>
              <w:rPr>
                <w:i/>
                <w:iCs/>
              </w:rPr>
            </w:pPr>
            <w:r w:rsidRPr="00AF6103">
              <w:rPr>
                <w:i/>
                <w:iCs/>
              </w:rPr>
              <w:t>High-end</w:t>
            </w:r>
          </w:p>
          <w:p w14:paraId="112E86A8" w14:textId="77777777" w:rsidR="004A7B24" w:rsidRPr="00AF6103" w:rsidRDefault="004A7B24" w:rsidP="00AC2172">
            <w:pPr>
              <w:pStyle w:val="Normal-pool-Table"/>
              <w:rPr>
                <w:i/>
                <w:iCs/>
              </w:rPr>
            </w:pPr>
            <w:r w:rsidRPr="00AF6103">
              <w:rPr>
                <w:i/>
                <w:iCs/>
              </w:rPr>
              <w:t>Supplementary Report</w:t>
            </w:r>
          </w:p>
        </w:tc>
      </w:tr>
      <w:tr w:rsidR="004A7B24" w:rsidRPr="00AC2156" w14:paraId="53900D12" w14:textId="77777777" w:rsidTr="00FC5D96">
        <w:trPr>
          <w:trHeight w:val="369"/>
          <w:jc w:val="right"/>
        </w:trPr>
        <w:tc>
          <w:tcPr>
            <w:tcW w:w="983" w:type="dxa"/>
            <w:tcBorders>
              <w:top w:val="single" w:sz="4" w:space="0" w:color="auto"/>
              <w:bottom w:val="single" w:sz="12" w:space="0" w:color="auto"/>
            </w:tcBorders>
            <w:shd w:val="clear" w:color="auto" w:fill="FFFFCC"/>
            <w:vAlign w:val="center"/>
          </w:tcPr>
          <w:p w14:paraId="672AA7D0" w14:textId="77777777" w:rsidR="004A7B24" w:rsidRPr="00AC2156" w:rsidRDefault="004A7B24" w:rsidP="00AC2172">
            <w:pPr>
              <w:pStyle w:val="Normal-pool-Table"/>
              <w:rPr>
                <w:b/>
                <w:bCs/>
              </w:rPr>
            </w:pPr>
            <w:r w:rsidRPr="00AC2156">
              <w:rPr>
                <w:b/>
                <w:bCs/>
              </w:rPr>
              <w:t>Total</w:t>
            </w:r>
            <w:r w:rsidRPr="00CC7561">
              <w:t>*</w:t>
            </w:r>
          </w:p>
        </w:tc>
        <w:tc>
          <w:tcPr>
            <w:tcW w:w="1275" w:type="dxa"/>
            <w:tcBorders>
              <w:top w:val="single" w:sz="4" w:space="0" w:color="auto"/>
              <w:bottom w:val="single" w:sz="12" w:space="0" w:color="auto"/>
            </w:tcBorders>
            <w:shd w:val="clear" w:color="auto" w:fill="FFFFCC"/>
            <w:vAlign w:val="center"/>
          </w:tcPr>
          <w:p w14:paraId="6A74B319" w14:textId="77777777" w:rsidR="004A7B24" w:rsidRPr="00AC2156" w:rsidRDefault="004A7B24" w:rsidP="00AC2172">
            <w:pPr>
              <w:pStyle w:val="Normal-pool-Table"/>
              <w:rPr>
                <w:b/>
                <w:bCs/>
              </w:rPr>
            </w:pPr>
            <w:r w:rsidRPr="00AC2156">
              <w:rPr>
                <w:b/>
                <w:bCs/>
              </w:rPr>
              <w:t>34.35</w:t>
            </w:r>
          </w:p>
        </w:tc>
        <w:tc>
          <w:tcPr>
            <w:tcW w:w="2268" w:type="dxa"/>
            <w:tcBorders>
              <w:top w:val="single" w:sz="4" w:space="0" w:color="auto"/>
              <w:bottom w:val="single" w:sz="12" w:space="0" w:color="auto"/>
            </w:tcBorders>
            <w:shd w:val="clear" w:color="auto" w:fill="FFFFCC"/>
            <w:vAlign w:val="center"/>
          </w:tcPr>
          <w:p w14:paraId="1A07AC70" w14:textId="77777777" w:rsidR="004A7B24" w:rsidRPr="00AC2156" w:rsidRDefault="004A7B24" w:rsidP="00AC2172">
            <w:pPr>
              <w:pStyle w:val="Normal-pool-Table"/>
              <w:rPr>
                <w:b/>
                <w:bCs/>
              </w:rPr>
            </w:pPr>
            <w:r w:rsidRPr="00AC2156">
              <w:rPr>
                <w:b/>
                <w:bCs/>
              </w:rPr>
              <w:t>16.36</w:t>
            </w:r>
          </w:p>
        </w:tc>
        <w:tc>
          <w:tcPr>
            <w:tcW w:w="2233" w:type="dxa"/>
            <w:tcBorders>
              <w:top w:val="single" w:sz="4" w:space="0" w:color="auto"/>
              <w:bottom w:val="single" w:sz="12" w:space="0" w:color="auto"/>
            </w:tcBorders>
            <w:shd w:val="clear" w:color="auto" w:fill="FFFFCC"/>
            <w:vAlign w:val="center"/>
          </w:tcPr>
          <w:p w14:paraId="336EFCCF" w14:textId="77777777" w:rsidR="004A7B24" w:rsidRPr="00AC2156" w:rsidRDefault="004A7B24" w:rsidP="00AC2172">
            <w:pPr>
              <w:pStyle w:val="Normal-pool-Table"/>
              <w:rPr>
                <w:b/>
                <w:bCs/>
              </w:rPr>
            </w:pPr>
            <w:r w:rsidRPr="00AC2156">
              <w:rPr>
                <w:b/>
                <w:bCs/>
              </w:rPr>
              <w:t>4.78</w:t>
            </w:r>
          </w:p>
        </w:tc>
        <w:tc>
          <w:tcPr>
            <w:tcW w:w="1548" w:type="dxa"/>
            <w:tcBorders>
              <w:top w:val="single" w:sz="4" w:space="0" w:color="auto"/>
              <w:bottom w:val="single" w:sz="12" w:space="0" w:color="auto"/>
            </w:tcBorders>
            <w:shd w:val="clear" w:color="auto" w:fill="FFFFCC"/>
            <w:vAlign w:val="center"/>
          </w:tcPr>
          <w:p w14:paraId="43E56CE9" w14:textId="77777777" w:rsidR="004A7B24" w:rsidRPr="00AC2156" w:rsidRDefault="004A7B24" w:rsidP="00AC2172">
            <w:pPr>
              <w:pStyle w:val="Normal-pool-Table"/>
              <w:rPr>
                <w:b/>
                <w:bCs/>
                <w:color w:val="881798"/>
                <w:u w:val="single"/>
              </w:rPr>
            </w:pPr>
            <w:r w:rsidRPr="00AC2156">
              <w:rPr>
                <w:b/>
                <w:bCs/>
              </w:rPr>
              <w:t>28.2</w:t>
            </w:r>
          </w:p>
        </w:tc>
      </w:tr>
    </w:tbl>
    <w:p w14:paraId="585250FE" w14:textId="05A31C85" w:rsidR="004A7B24" w:rsidRPr="00497AB4" w:rsidRDefault="001A3FB9" w:rsidP="00AF6103">
      <w:pPr>
        <w:pStyle w:val="NormalNonumber"/>
        <w:spacing w:before="60"/>
        <w:rPr>
          <w:sz w:val="17"/>
          <w:szCs w:val="17"/>
        </w:rPr>
      </w:pPr>
      <w:r>
        <w:rPr>
          <w:sz w:val="17"/>
          <w:szCs w:val="17"/>
        </w:rPr>
        <w:tab/>
      </w:r>
      <w:r w:rsidR="004A7B24" w:rsidRPr="00497AB4">
        <w:rPr>
          <w:sz w:val="17"/>
          <w:szCs w:val="17"/>
        </w:rPr>
        <w:t>*The total (of 73 LVCs/VLVCs) does not consider the 10 countries that have 30% or more reduction in Stage I of the KIP.</w:t>
      </w:r>
    </w:p>
    <w:p w14:paraId="58A6C016" w14:textId="77777777" w:rsidR="004A7B24" w:rsidRPr="00497AB4" w:rsidRDefault="004A7B24" w:rsidP="00AC2172">
      <w:pPr>
        <w:pStyle w:val="NormalNonumber"/>
        <w:spacing w:before="240"/>
        <w:rPr>
          <w:b/>
          <w:bCs/>
        </w:rPr>
      </w:pPr>
      <w:r w:rsidRPr="00497AB4">
        <w:rPr>
          <w:b/>
          <w:bCs/>
        </w:rPr>
        <w:t>The US$ 28.2 million estimated represents 82% of the total funding for Stages I and II. In this scenario, the resource allocation for the 2027–2029 triennium is increased by 73% over resource allocation schedule A, and by 491% over resource allocation schedule B of the updated May 2026 RTF Report.</w:t>
      </w:r>
    </w:p>
    <w:p w14:paraId="1023EDED" w14:textId="77777777" w:rsidR="004A7B24" w:rsidRPr="00A81971"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A81971">
        <w:t>RTF consulted with the MLFS and also discussed, to a limited extent, due to lack of available information, the ability of LVCs/VLVCs to absorb increased funding. The RTF notes that these countries have generally been able to absorb increased levels of funding; however, this capacity varies across countries. Over time, LVCs have absorbed additional funding due to changes in funding level, concurrent implementation of several projects, changes in resource allocation allowing front loading, and to implement additional new activities and projects. Additionally, the harmonisation of activities under the HPMPs and KIPs has allowed the countries and the implementing agencies to optimise their processes and maximise delivery.</w:t>
      </w:r>
    </w:p>
    <w:p w14:paraId="4D6B6015" w14:textId="77777777" w:rsidR="004A7B24" w:rsidRDefault="004A7B24" w:rsidP="00AC2172">
      <w:pPr>
        <w:pStyle w:val="NormalNonumber"/>
        <w:tabs>
          <w:tab w:val="clear" w:pos="1247"/>
          <w:tab w:val="clear" w:pos="1871"/>
          <w:tab w:val="clear" w:pos="2495"/>
          <w:tab w:val="clear" w:pos="3119"/>
          <w:tab w:val="clear" w:pos="3742"/>
          <w:tab w:val="clear" w:pos="4366"/>
          <w:tab w:val="clear" w:pos="4990"/>
        </w:tabs>
        <w:spacing w:before="120"/>
        <w:rPr>
          <w:b/>
          <w:bCs/>
          <w:i/>
          <w:iCs/>
        </w:rPr>
      </w:pPr>
      <w:r w:rsidRPr="00965A0A">
        <w:rPr>
          <w:b/>
          <w:bCs/>
          <w:i/>
          <w:iCs/>
        </w:rPr>
        <w:t xml:space="preserve">New Scenario LRM: </w:t>
      </w:r>
      <w:r>
        <w:rPr>
          <w:b/>
          <w:bCs/>
          <w:i/>
          <w:iCs/>
        </w:rPr>
        <w:t>“</w:t>
      </w:r>
      <w:r w:rsidRPr="00965A0A">
        <w:rPr>
          <w:b/>
          <w:bCs/>
          <w:i/>
          <w:iCs/>
        </w:rPr>
        <w:t>Include a cost estimate for a high-end scenario for the potential funding window to be considered at the 100</w:t>
      </w:r>
      <w:r w:rsidRPr="0050558C">
        <w:rPr>
          <w:b/>
          <w:bCs/>
          <w:i/>
          <w:iCs/>
          <w:vertAlign w:val="superscript"/>
        </w:rPr>
        <w:t>th</w:t>
      </w:r>
      <w:r w:rsidRPr="00965A0A">
        <w:rPr>
          <w:b/>
          <w:bCs/>
          <w:i/>
          <w:iCs/>
        </w:rPr>
        <w:t xml:space="preserve"> ExCom meeting for the period 2027-2029 to support the implementation of national plans developed pursuant to decision 91/66, taking into account that activities to recover, recycle and reclaim refrigerants are also financed under HPMPs and KIPs.”</w:t>
      </w:r>
    </w:p>
    <w:p w14:paraId="012FF6AA" w14:textId="77777777" w:rsidR="004A7B24" w:rsidRPr="00497AB4"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497AB4">
        <w:t xml:space="preserve">RTF addresses the OEWG48 suggestion from parties related to life-cycle refrigerant management (LRM) in Chapter 5. </w:t>
      </w:r>
      <w:r w:rsidRPr="00A81971">
        <w:t>RTF presents a modular approach to calculating the additional funding for implementing the national LRM action plans, designed to complement existing HPMPs and KIPs in supporting the phase-out and phase-down of controlled substances under the Montreal Protocol.</w:t>
      </w:r>
    </w:p>
    <w:p w14:paraId="28168072" w14:textId="77777777" w:rsidR="004A7B24" w:rsidRPr="00497AB4"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A81971">
        <w:t>Most servicing-sector infrastructure, training, and institutional strengthening are expected to continue to be funded through HPMPs and KIPs. The proposed supplementary LRM funding window would address critical gaps that prevent countries from transitioning from planning and basic recovery toward scaled recovery, aggregation, recycling, reclamation, and preparation for destruction.</w:t>
      </w:r>
    </w:p>
    <w:p w14:paraId="024A6119" w14:textId="77777777" w:rsidR="004A7B24" w:rsidRPr="00497AB4"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A81971">
        <w:t>The modular approach considers the different activities needed for LRM, including recovery and collection, reclamation and destruction. The approach allows parties to select interventions based on their level of system development and priority gaps.</w:t>
      </w:r>
    </w:p>
    <w:p w14:paraId="7A7BA63A" w14:textId="77777777" w:rsidR="004A7B24" w:rsidRPr="00497AB4"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A81971">
        <w:t>Table ES</w:t>
      </w:r>
      <w:r>
        <w:t>.9</w:t>
      </w:r>
      <w:r w:rsidRPr="00A81971">
        <w:t xml:space="preserve"> provides a summary of the estimated high-end new scenario cost estimate for LRM activities for a potential funding window for 2027</w:t>
      </w:r>
      <w:r>
        <w:t>–</w:t>
      </w:r>
      <w:r w:rsidRPr="00A81971">
        <w:t>2029 (more detail and information in Annex 6). It</w:t>
      </w:r>
      <w:r w:rsidRPr="00497AB4">
        <w:t xml:space="preserve"> represents a reasonable level of implementation support </w:t>
      </w:r>
      <w:r w:rsidRPr="0077142D">
        <w:t>rather</w:t>
      </w:r>
      <w:r w:rsidRPr="00497AB4">
        <w:t xml:space="preserve"> than a forecast of actual expenditure. Annex 6 provides information on the RTF cost model for evaluating the additional costs associated with the different LRM activities. </w:t>
      </w:r>
    </w:p>
    <w:p w14:paraId="74A4F2B9" w14:textId="649629DF" w:rsidR="004A7B24" w:rsidRPr="00A81971" w:rsidRDefault="004A7B24" w:rsidP="003518FA">
      <w:pPr>
        <w:pStyle w:val="Titletable"/>
        <w:spacing w:before="240"/>
        <w:rPr>
          <w:u w:val="single"/>
        </w:rPr>
      </w:pPr>
      <w:r w:rsidRPr="001A3FB9">
        <w:rPr>
          <w:rFonts w:eastAsia="Yu Mincho"/>
          <w:b w:val="0"/>
          <w:bCs w:val="0"/>
          <w:color w:val="000000" w:themeColor="text1"/>
          <w:lang w:val="en-CA"/>
        </w:rPr>
        <w:lastRenderedPageBreak/>
        <w:t>Table ES.9</w:t>
      </w:r>
      <w:r w:rsidR="001A3FB9">
        <w:rPr>
          <w:rFonts w:eastAsia="Yu Mincho"/>
          <w:color w:val="000000" w:themeColor="text1"/>
          <w:lang w:val="en-CA"/>
        </w:rPr>
        <w:t xml:space="preserve"> </w:t>
      </w:r>
      <w:r w:rsidR="001A3FB9">
        <w:rPr>
          <w:rFonts w:eastAsia="Yu Mincho"/>
          <w:color w:val="000000" w:themeColor="text1"/>
          <w:lang w:val="en-CA"/>
        </w:rPr>
        <w:br/>
      </w:r>
      <w:r w:rsidRPr="2E7655E2">
        <w:t xml:space="preserve">Summary of high-end new scenario cost estimate for LRM activities based on RTF cost model </w:t>
      </w:r>
    </w:p>
    <w:tbl>
      <w:tblPr>
        <w:tblW w:w="8307" w:type="dxa"/>
        <w:jc w:val="right"/>
        <w:tblBorders>
          <w:top w:val="single" w:sz="4" w:space="0" w:color="auto"/>
        </w:tblBorders>
        <w:tblLook w:val="04A0" w:firstRow="1" w:lastRow="0" w:firstColumn="1" w:lastColumn="0" w:noHBand="0" w:noVBand="1"/>
      </w:tblPr>
      <w:tblGrid>
        <w:gridCol w:w="1449"/>
        <w:gridCol w:w="3229"/>
        <w:gridCol w:w="415"/>
        <w:gridCol w:w="3214"/>
      </w:tblGrid>
      <w:tr w:rsidR="004A7B24" w:rsidRPr="00740ABB" w14:paraId="2B00E6EE" w14:textId="77777777" w:rsidTr="00AB2EFC">
        <w:trPr>
          <w:trHeight w:val="288"/>
          <w:jc w:val="right"/>
        </w:trPr>
        <w:tc>
          <w:tcPr>
            <w:tcW w:w="1449" w:type="dxa"/>
            <w:tcBorders>
              <w:top w:val="single" w:sz="4" w:space="0" w:color="auto"/>
              <w:bottom w:val="single" w:sz="12" w:space="0" w:color="auto"/>
            </w:tcBorders>
            <w:shd w:val="clear" w:color="auto" w:fill="DBE5F1" w:themeFill="accent1" w:themeFillTint="33"/>
            <w:vAlign w:val="center"/>
          </w:tcPr>
          <w:p w14:paraId="77008EE0" w14:textId="77777777" w:rsidR="004A7B24" w:rsidRPr="00AF6103" w:rsidRDefault="004A7B24" w:rsidP="00AC2172">
            <w:pPr>
              <w:pStyle w:val="Normal-pool-Table"/>
              <w:rPr>
                <w:i/>
                <w:iCs/>
              </w:rPr>
            </w:pPr>
            <w:r w:rsidRPr="00AF6103">
              <w:rPr>
                <w:i/>
                <w:iCs/>
              </w:rPr>
              <w:t>Module</w:t>
            </w:r>
          </w:p>
        </w:tc>
        <w:tc>
          <w:tcPr>
            <w:tcW w:w="3229" w:type="dxa"/>
            <w:tcBorders>
              <w:top w:val="single" w:sz="4" w:space="0" w:color="auto"/>
              <w:bottom w:val="single" w:sz="12" w:space="0" w:color="auto"/>
            </w:tcBorders>
            <w:shd w:val="clear" w:color="auto" w:fill="DBE5F1" w:themeFill="accent1" w:themeFillTint="33"/>
            <w:vAlign w:val="center"/>
          </w:tcPr>
          <w:p w14:paraId="6B762853" w14:textId="77777777" w:rsidR="004A7B24" w:rsidRPr="00AF6103" w:rsidRDefault="004A7B24" w:rsidP="00AC2172">
            <w:pPr>
              <w:pStyle w:val="Normal-pool-Table"/>
              <w:rPr>
                <w:i/>
                <w:iCs/>
              </w:rPr>
            </w:pPr>
            <w:r w:rsidRPr="00AF6103">
              <w:rPr>
                <w:i/>
                <w:iCs/>
              </w:rPr>
              <w:t>LRM Activities</w:t>
            </w:r>
          </w:p>
        </w:tc>
        <w:tc>
          <w:tcPr>
            <w:tcW w:w="3629" w:type="dxa"/>
            <w:gridSpan w:val="2"/>
            <w:tcBorders>
              <w:top w:val="single" w:sz="4" w:space="0" w:color="auto"/>
              <w:bottom w:val="single" w:sz="12" w:space="0" w:color="auto"/>
            </w:tcBorders>
            <w:shd w:val="clear" w:color="auto" w:fill="DBE5F1" w:themeFill="accent1" w:themeFillTint="33"/>
          </w:tcPr>
          <w:p w14:paraId="2EF5E938" w14:textId="77777777" w:rsidR="004A7B24" w:rsidRPr="00AF6103" w:rsidRDefault="004A7B24" w:rsidP="00AC2172">
            <w:pPr>
              <w:pStyle w:val="Normal-pool-Table"/>
              <w:jc w:val="right"/>
              <w:rPr>
                <w:i/>
                <w:iCs/>
              </w:rPr>
            </w:pPr>
            <w:r w:rsidRPr="00AF6103">
              <w:rPr>
                <w:i/>
                <w:iCs/>
              </w:rPr>
              <w:t>Additional funding required for A5 parties (US$ million)</w:t>
            </w:r>
          </w:p>
        </w:tc>
      </w:tr>
      <w:tr w:rsidR="004A7B24" w:rsidRPr="00740ABB" w14:paraId="483FC185" w14:textId="77777777" w:rsidTr="00AB2EFC">
        <w:trPr>
          <w:trHeight w:val="324"/>
          <w:jc w:val="right"/>
        </w:trPr>
        <w:tc>
          <w:tcPr>
            <w:tcW w:w="1449" w:type="dxa"/>
            <w:tcBorders>
              <w:top w:val="single" w:sz="12" w:space="0" w:color="auto"/>
            </w:tcBorders>
            <w:shd w:val="clear" w:color="auto" w:fill="FDE9D9" w:themeFill="accent6" w:themeFillTint="33"/>
            <w:vAlign w:val="center"/>
          </w:tcPr>
          <w:p w14:paraId="5CA80D47" w14:textId="77777777" w:rsidR="004A7B24" w:rsidRPr="00740ABB" w:rsidRDefault="004A7B24" w:rsidP="00AC2172">
            <w:pPr>
              <w:pStyle w:val="Normal-pool-Table"/>
            </w:pPr>
            <w:r w:rsidRPr="00740ABB">
              <w:t>Module 1a </w:t>
            </w:r>
          </w:p>
        </w:tc>
        <w:tc>
          <w:tcPr>
            <w:tcW w:w="3229" w:type="dxa"/>
            <w:tcBorders>
              <w:top w:val="single" w:sz="12" w:space="0" w:color="auto"/>
            </w:tcBorders>
            <w:shd w:val="clear" w:color="auto" w:fill="FFFFFF" w:themeFill="background1"/>
            <w:vAlign w:val="center"/>
          </w:tcPr>
          <w:p w14:paraId="36124E4F" w14:textId="77777777" w:rsidR="004A7B24" w:rsidRPr="00740ABB" w:rsidRDefault="004A7B24" w:rsidP="00AC2172">
            <w:pPr>
              <w:pStyle w:val="Normal-pool-Table"/>
            </w:pPr>
            <w:r w:rsidRPr="00740ABB">
              <w:t>Improved recovery rates at servicing   </w:t>
            </w:r>
          </w:p>
        </w:tc>
        <w:tc>
          <w:tcPr>
            <w:tcW w:w="3629" w:type="dxa"/>
            <w:gridSpan w:val="2"/>
            <w:vMerge w:val="restart"/>
            <w:tcBorders>
              <w:top w:val="single" w:sz="12" w:space="0" w:color="auto"/>
            </w:tcBorders>
            <w:shd w:val="clear" w:color="auto" w:fill="FFFFFF" w:themeFill="background1"/>
            <w:vAlign w:val="center"/>
          </w:tcPr>
          <w:p w14:paraId="77530DA7" w14:textId="77777777" w:rsidR="004A7B24" w:rsidRPr="00740ABB" w:rsidRDefault="004A7B24" w:rsidP="00AC2172">
            <w:pPr>
              <w:pStyle w:val="Normal-pool-Table"/>
              <w:jc w:val="right"/>
            </w:pPr>
            <w:r w:rsidRPr="00740ABB">
              <w:t>18.21 </w:t>
            </w:r>
          </w:p>
        </w:tc>
      </w:tr>
      <w:tr w:rsidR="004A7B24" w:rsidRPr="00740ABB" w14:paraId="2B117F14" w14:textId="77777777" w:rsidTr="00AB2EFC">
        <w:trPr>
          <w:trHeight w:val="288"/>
          <w:jc w:val="right"/>
        </w:trPr>
        <w:tc>
          <w:tcPr>
            <w:tcW w:w="1449" w:type="dxa"/>
            <w:shd w:val="clear" w:color="auto" w:fill="FDE9D9" w:themeFill="accent6" w:themeFillTint="33"/>
            <w:vAlign w:val="center"/>
          </w:tcPr>
          <w:p w14:paraId="50EFDCEA" w14:textId="77777777" w:rsidR="004A7B24" w:rsidRPr="00740ABB" w:rsidRDefault="004A7B24" w:rsidP="00AC2172">
            <w:pPr>
              <w:pStyle w:val="Normal-pool-Table"/>
            </w:pPr>
            <w:r w:rsidRPr="00740ABB">
              <w:t>Module 1b </w:t>
            </w:r>
          </w:p>
        </w:tc>
        <w:tc>
          <w:tcPr>
            <w:tcW w:w="3229" w:type="dxa"/>
            <w:shd w:val="clear" w:color="auto" w:fill="FFFFFF" w:themeFill="background1"/>
            <w:vAlign w:val="center"/>
          </w:tcPr>
          <w:p w14:paraId="1CFACF6E" w14:textId="77777777" w:rsidR="004A7B24" w:rsidRPr="00740ABB" w:rsidRDefault="004A7B24" w:rsidP="00AC2172">
            <w:pPr>
              <w:pStyle w:val="Normal-pool-Table"/>
            </w:pPr>
            <w:r w:rsidRPr="00740ABB">
              <w:t>Recovery at end-of-life (EOL) </w:t>
            </w:r>
          </w:p>
        </w:tc>
        <w:tc>
          <w:tcPr>
            <w:tcW w:w="3629" w:type="dxa"/>
            <w:gridSpan w:val="2"/>
            <w:vMerge/>
            <w:vAlign w:val="center"/>
          </w:tcPr>
          <w:p w14:paraId="5CF4814E" w14:textId="77777777" w:rsidR="004A7B24" w:rsidRPr="00740ABB" w:rsidRDefault="004A7B24" w:rsidP="00AC2172">
            <w:pPr>
              <w:pStyle w:val="Normal-pool-Table"/>
              <w:jc w:val="right"/>
            </w:pPr>
          </w:p>
        </w:tc>
      </w:tr>
      <w:tr w:rsidR="004A7B24" w:rsidRPr="00740ABB" w14:paraId="40990425" w14:textId="77777777" w:rsidTr="00AB2EFC">
        <w:trPr>
          <w:trHeight w:val="288"/>
          <w:jc w:val="right"/>
        </w:trPr>
        <w:tc>
          <w:tcPr>
            <w:tcW w:w="1449" w:type="dxa"/>
            <w:shd w:val="clear" w:color="auto" w:fill="FDE9D9" w:themeFill="accent6" w:themeFillTint="33"/>
            <w:vAlign w:val="center"/>
          </w:tcPr>
          <w:p w14:paraId="5944F1C3" w14:textId="77777777" w:rsidR="004A7B24" w:rsidRPr="00740ABB" w:rsidRDefault="004A7B24" w:rsidP="00AC2172">
            <w:pPr>
              <w:pStyle w:val="Normal-pool-Table"/>
            </w:pPr>
            <w:r w:rsidRPr="00740ABB">
              <w:t>Module 2a </w:t>
            </w:r>
          </w:p>
        </w:tc>
        <w:tc>
          <w:tcPr>
            <w:tcW w:w="3229" w:type="dxa"/>
            <w:shd w:val="clear" w:color="auto" w:fill="FFFFFF" w:themeFill="background1"/>
            <w:vAlign w:val="center"/>
          </w:tcPr>
          <w:p w14:paraId="44FBBB54" w14:textId="77777777" w:rsidR="004A7B24" w:rsidRPr="00740ABB" w:rsidRDefault="004A7B24" w:rsidP="00AC2172">
            <w:pPr>
              <w:pStyle w:val="Normal-pool-Table"/>
            </w:pPr>
            <w:r w:rsidRPr="00740ABB">
              <w:t>Reclamation  </w:t>
            </w:r>
          </w:p>
        </w:tc>
        <w:tc>
          <w:tcPr>
            <w:tcW w:w="3629" w:type="dxa"/>
            <w:gridSpan w:val="2"/>
            <w:shd w:val="clear" w:color="auto" w:fill="FFFFFF" w:themeFill="background1"/>
            <w:vAlign w:val="center"/>
          </w:tcPr>
          <w:p w14:paraId="084E582A" w14:textId="77777777" w:rsidR="004A7B24" w:rsidRPr="00740ABB" w:rsidRDefault="004A7B24" w:rsidP="00AC2172">
            <w:pPr>
              <w:pStyle w:val="Normal-pool-Table"/>
              <w:jc w:val="right"/>
            </w:pPr>
            <w:r w:rsidRPr="00740ABB">
              <w:t>25.92 </w:t>
            </w:r>
          </w:p>
        </w:tc>
      </w:tr>
      <w:tr w:rsidR="004A7B24" w:rsidRPr="00740ABB" w14:paraId="6071F93B" w14:textId="77777777" w:rsidTr="00AB2EFC">
        <w:trPr>
          <w:trHeight w:val="288"/>
          <w:jc w:val="right"/>
        </w:trPr>
        <w:tc>
          <w:tcPr>
            <w:tcW w:w="1449" w:type="dxa"/>
            <w:shd w:val="clear" w:color="auto" w:fill="FDE9D9" w:themeFill="accent6" w:themeFillTint="33"/>
            <w:vAlign w:val="center"/>
          </w:tcPr>
          <w:p w14:paraId="4940E4D2" w14:textId="77777777" w:rsidR="004A7B24" w:rsidRPr="00740ABB" w:rsidRDefault="004A7B24" w:rsidP="00AC2172">
            <w:pPr>
              <w:pStyle w:val="Normal-pool-Table"/>
            </w:pPr>
            <w:r w:rsidRPr="00740ABB">
              <w:t>Module 2b  </w:t>
            </w:r>
          </w:p>
        </w:tc>
        <w:tc>
          <w:tcPr>
            <w:tcW w:w="3229" w:type="dxa"/>
            <w:shd w:val="clear" w:color="auto" w:fill="FFFFFF" w:themeFill="background1"/>
            <w:vAlign w:val="center"/>
          </w:tcPr>
          <w:p w14:paraId="59971CE9" w14:textId="77777777" w:rsidR="004A7B24" w:rsidRPr="00740ABB" w:rsidRDefault="004A7B24" w:rsidP="00AC2172">
            <w:pPr>
              <w:pStyle w:val="Normal-pool-Table"/>
            </w:pPr>
            <w:r w:rsidRPr="00740ABB">
              <w:t>Export  </w:t>
            </w:r>
          </w:p>
        </w:tc>
        <w:tc>
          <w:tcPr>
            <w:tcW w:w="3629" w:type="dxa"/>
            <w:gridSpan w:val="2"/>
            <w:shd w:val="clear" w:color="auto" w:fill="FFFFFF" w:themeFill="background1"/>
            <w:vAlign w:val="center"/>
          </w:tcPr>
          <w:p w14:paraId="153D0192" w14:textId="77777777" w:rsidR="004A7B24" w:rsidRPr="00740ABB" w:rsidRDefault="004A7B24" w:rsidP="00AC2172">
            <w:pPr>
              <w:pStyle w:val="Normal-pool-Table"/>
              <w:jc w:val="right"/>
            </w:pPr>
            <w:r w:rsidRPr="00740ABB">
              <w:t>7.42 </w:t>
            </w:r>
          </w:p>
        </w:tc>
      </w:tr>
      <w:tr w:rsidR="004A7B24" w:rsidRPr="00740ABB" w14:paraId="32BD3E79" w14:textId="77777777" w:rsidTr="00FC5D96">
        <w:trPr>
          <w:trHeight w:val="288"/>
          <w:jc w:val="right"/>
        </w:trPr>
        <w:tc>
          <w:tcPr>
            <w:tcW w:w="1449" w:type="dxa"/>
            <w:tcBorders>
              <w:bottom w:val="single" w:sz="4" w:space="0" w:color="auto"/>
            </w:tcBorders>
            <w:shd w:val="clear" w:color="auto" w:fill="FDE9D9" w:themeFill="accent6" w:themeFillTint="33"/>
            <w:vAlign w:val="center"/>
          </w:tcPr>
          <w:p w14:paraId="0F73394F" w14:textId="77777777" w:rsidR="004A7B24" w:rsidRPr="00740ABB" w:rsidRDefault="004A7B24" w:rsidP="00AC2172">
            <w:pPr>
              <w:pStyle w:val="Normal-pool-Table"/>
            </w:pPr>
            <w:r w:rsidRPr="00740ABB">
              <w:t>Module 3a </w:t>
            </w:r>
          </w:p>
        </w:tc>
        <w:tc>
          <w:tcPr>
            <w:tcW w:w="3229" w:type="dxa"/>
            <w:tcBorders>
              <w:bottom w:val="single" w:sz="4" w:space="0" w:color="auto"/>
            </w:tcBorders>
            <w:shd w:val="clear" w:color="auto" w:fill="FFFFFF" w:themeFill="background1"/>
            <w:vAlign w:val="center"/>
          </w:tcPr>
          <w:p w14:paraId="526A3C41" w14:textId="77777777" w:rsidR="004A7B24" w:rsidRPr="00740ABB" w:rsidRDefault="004A7B24" w:rsidP="00AC2172">
            <w:pPr>
              <w:pStyle w:val="Normal-pool-Table"/>
            </w:pPr>
            <w:r w:rsidRPr="00740ABB">
              <w:t>Destruction </w:t>
            </w:r>
          </w:p>
        </w:tc>
        <w:tc>
          <w:tcPr>
            <w:tcW w:w="3629" w:type="dxa"/>
            <w:gridSpan w:val="2"/>
            <w:tcBorders>
              <w:bottom w:val="single" w:sz="4" w:space="0" w:color="auto"/>
            </w:tcBorders>
            <w:shd w:val="clear" w:color="auto" w:fill="FFFFFF" w:themeFill="background1"/>
            <w:vAlign w:val="center"/>
          </w:tcPr>
          <w:p w14:paraId="50965810" w14:textId="77777777" w:rsidR="004A7B24" w:rsidRPr="00740ABB" w:rsidRDefault="004A7B24" w:rsidP="00AC2172">
            <w:pPr>
              <w:pStyle w:val="Normal-pool-Table"/>
              <w:jc w:val="right"/>
            </w:pPr>
            <w:r w:rsidRPr="00740ABB">
              <w:t>1.00 </w:t>
            </w:r>
          </w:p>
        </w:tc>
      </w:tr>
      <w:tr w:rsidR="004A7B24" w:rsidRPr="00AF6103" w14:paraId="79BF7D9D" w14:textId="77777777" w:rsidTr="00FC5D96">
        <w:trPr>
          <w:trHeight w:val="288"/>
          <w:jc w:val="right"/>
        </w:trPr>
        <w:tc>
          <w:tcPr>
            <w:tcW w:w="1449" w:type="dxa"/>
            <w:tcBorders>
              <w:top w:val="single" w:sz="4" w:space="0" w:color="auto"/>
              <w:bottom w:val="single" w:sz="12" w:space="0" w:color="auto"/>
            </w:tcBorders>
            <w:shd w:val="clear" w:color="auto" w:fill="FFFFCC"/>
          </w:tcPr>
          <w:p w14:paraId="21126793" w14:textId="77777777" w:rsidR="004A7B24" w:rsidRPr="00AF6103" w:rsidRDefault="004A7B24" w:rsidP="00AC2172">
            <w:pPr>
              <w:pStyle w:val="Normal-pool-Table"/>
              <w:rPr>
                <w:b/>
                <w:bCs/>
              </w:rPr>
            </w:pPr>
          </w:p>
        </w:tc>
        <w:tc>
          <w:tcPr>
            <w:tcW w:w="3644" w:type="dxa"/>
            <w:gridSpan w:val="2"/>
            <w:tcBorders>
              <w:top w:val="single" w:sz="4" w:space="0" w:color="auto"/>
              <w:bottom w:val="single" w:sz="12" w:space="0" w:color="auto"/>
            </w:tcBorders>
            <w:shd w:val="clear" w:color="auto" w:fill="FFFFCC"/>
            <w:vAlign w:val="center"/>
          </w:tcPr>
          <w:p w14:paraId="5A1C2E0B" w14:textId="4A7A9B20" w:rsidR="004A7B24" w:rsidRPr="00AF6103" w:rsidRDefault="004A7B24" w:rsidP="00AC2172">
            <w:pPr>
              <w:pStyle w:val="Normal-pool-Table"/>
              <w:rPr>
                <w:b/>
                <w:bCs/>
              </w:rPr>
            </w:pPr>
            <w:r w:rsidRPr="00AF6103">
              <w:rPr>
                <w:b/>
                <w:bCs/>
              </w:rPr>
              <w:t>Total</w:t>
            </w:r>
          </w:p>
        </w:tc>
        <w:tc>
          <w:tcPr>
            <w:tcW w:w="3214" w:type="dxa"/>
            <w:tcBorders>
              <w:top w:val="single" w:sz="4" w:space="0" w:color="auto"/>
              <w:bottom w:val="single" w:sz="12" w:space="0" w:color="auto"/>
            </w:tcBorders>
            <w:shd w:val="clear" w:color="auto" w:fill="FFFFCC"/>
            <w:vAlign w:val="center"/>
          </w:tcPr>
          <w:p w14:paraId="061F4C51" w14:textId="77777777" w:rsidR="004A7B24" w:rsidRPr="00AF6103" w:rsidRDefault="004A7B24" w:rsidP="00AC2172">
            <w:pPr>
              <w:pStyle w:val="Normal-pool-Table"/>
              <w:jc w:val="right"/>
              <w:rPr>
                <w:b/>
                <w:bCs/>
              </w:rPr>
            </w:pPr>
            <w:r w:rsidRPr="00AF6103">
              <w:rPr>
                <w:b/>
                <w:bCs/>
              </w:rPr>
              <w:t>52.55 </w:t>
            </w:r>
          </w:p>
        </w:tc>
      </w:tr>
    </w:tbl>
    <w:p w14:paraId="4242E719" w14:textId="77777777" w:rsidR="004A7B24" w:rsidRPr="00670549" w:rsidRDefault="004A7B24" w:rsidP="00AC2172">
      <w:pPr>
        <w:pStyle w:val="NormalNonumber"/>
        <w:tabs>
          <w:tab w:val="clear" w:pos="1247"/>
          <w:tab w:val="clear" w:pos="1871"/>
          <w:tab w:val="clear" w:pos="2495"/>
          <w:tab w:val="clear" w:pos="3119"/>
          <w:tab w:val="clear" w:pos="3742"/>
          <w:tab w:val="clear" w:pos="4366"/>
          <w:tab w:val="clear" w:pos="4990"/>
        </w:tabs>
        <w:spacing w:before="240"/>
        <w:rPr>
          <w:b/>
          <w:bCs/>
          <w:color w:val="000000" w:themeColor="text1"/>
        </w:rPr>
      </w:pPr>
      <w:r w:rsidRPr="00670549">
        <w:rPr>
          <w:b/>
          <w:bCs/>
          <w:color w:val="000000" w:themeColor="text1"/>
        </w:rPr>
        <w:t>The estimated high-end new scenario for a potential funding window for 2027-2029 triennium is US$ 52.55 million.</w:t>
      </w:r>
      <w:r>
        <w:rPr>
          <w:b/>
          <w:bCs/>
          <w:color w:val="000000" w:themeColor="text1"/>
        </w:rPr>
        <w:t xml:space="preserve"> </w:t>
      </w:r>
      <w:r w:rsidRPr="00670549">
        <w:t>This is meant to be an illustrative estimate to implement long-term LRM measures identified through national inventories and action plans prepared under Decision 91/66. Sources of potential funding for these activities would be for the consideration and decision of parties.</w:t>
      </w:r>
    </w:p>
    <w:p w14:paraId="28B79EFB" w14:textId="77777777" w:rsidR="004A7B24" w:rsidRPr="00A81971" w:rsidRDefault="004A7B24" w:rsidP="003518FA">
      <w:pPr>
        <w:pStyle w:val="NormalNonumber"/>
        <w:tabs>
          <w:tab w:val="clear" w:pos="1247"/>
          <w:tab w:val="clear" w:pos="1871"/>
          <w:tab w:val="clear" w:pos="2495"/>
          <w:tab w:val="clear" w:pos="3119"/>
          <w:tab w:val="clear" w:pos="3742"/>
          <w:tab w:val="clear" w:pos="4366"/>
          <w:tab w:val="clear" w:pos="4990"/>
        </w:tabs>
        <w:spacing w:before="120"/>
        <w:rPr>
          <w:b/>
          <w:bCs/>
          <w:sz w:val="24"/>
          <w:szCs w:val="24"/>
        </w:rPr>
      </w:pPr>
      <w:r w:rsidRPr="00A81971">
        <w:rPr>
          <w:b/>
          <w:bCs/>
          <w:sz w:val="24"/>
          <w:szCs w:val="24"/>
        </w:rPr>
        <w:t>SUMMARY OF UPDATED RANGES OF TOTAL FUNDING REQUIREMENT BASED ON SUGGESTED NEW SCENARIOS</w:t>
      </w:r>
    </w:p>
    <w:p w14:paraId="275AC5F2" w14:textId="77777777" w:rsidR="004A7B24" w:rsidRPr="00234F7B" w:rsidRDefault="004A7B24" w:rsidP="00497AB4">
      <w:pPr>
        <w:pStyle w:val="NormalNonumber"/>
        <w:tabs>
          <w:tab w:val="clear" w:pos="1247"/>
          <w:tab w:val="clear" w:pos="1871"/>
          <w:tab w:val="clear" w:pos="2495"/>
          <w:tab w:val="clear" w:pos="3119"/>
          <w:tab w:val="clear" w:pos="3742"/>
          <w:tab w:val="clear" w:pos="4366"/>
          <w:tab w:val="clear" w:pos="4990"/>
        </w:tabs>
        <w:spacing w:before="120"/>
      </w:pPr>
      <w:r w:rsidRPr="00A81971">
        <w:rPr>
          <w:color w:val="000000" w:themeColor="text1"/>
        </w:rPr>
        <w:t>Table E</w:t>
      </w:r>
      <w:r w:rsidRPr="0037332B">
        <w:rPr>
          <w:color w:val="000000" w:themeColor="text1"/>
        </w:rPr>
        <w:t>S</w:t>
      </w:r>
      <w:r>
        <w:rPr>
          <w:color w:val="000000" w:themeColor="text1"/>
        </w:rPr>
        <w:t>.</w:t>
      </w:r>
      <w:r w:rsidRPr="0037332B">
        <w:rPr>
          <w:color w:val="000000" w:themeColor="text1"/>
        </w:rPr>
        <w:t>10 summarises the updated ranges of total funding requirements for 2027</w:t>
      </w:r>
      <w:r>
        <w:rPr>
          <w:color w:val="000000" w:themeColor="text1"/>
        </w:rPr>
        <w:t>–</w:t>
      </w:r>
      <w:r w:rsidRPr="0037332B">
        <w:rPr>
          <w:color w:val="000000" w:themeColor="text1"/>
        </w:rPr>
        <w:t xml:space="preserve">2029 and the reduction impact of </w:t>
      </w:r>
      <w:r w:rsidRPr="00497AB4">
        <w:t>the</w:t>
      </w:r>
      <w:r w:rsidRPr="0037332B">
        <w:rPr>
          <w:color w:val="000000" w:themeColor="text1"/>
        </w:rPr>
        <w:t xml:space="preserve"> </w:t>
      </w:r>
      <w:r w:rsidRPr="0037332B">
        <w:t>application of the new parameters in different scenarios, as suggested by parties at OEWG-48.</w:t>
      </w:r>
    </w:p>
    <w:p w14:paraId="6068A8AF" w14:textId="527B9401" w:rsidR="004A7B24" w:rsidRPr="00A81971" w:rsidRDefault="004A7B24" w:rsidP="00AC2172">
      <w:pPr>
        <w:pStyle w:val="Titletable"/>
        <w:spacing w:before="240"/>
      </w:pPr>
      <w:r w:rsidRPr="00497AB4">
        <w:rPr>
          <w:rFonts w:eastAsia="Yu Mincho"/>
          <w:b w:val="0"/>
          <w:bCs w:val="0"/>
          <w:color w:val="000000" w:themeColor="text1"/>
          <w:lang w:val="en-CA"/>
        </w:rPr>
        <w:t>Table ES.10</w:t>
      </w:r>
      <w:r w:rsidR="00497AB4" w:rsidRPr="00497AB4">
        <w:rPr>
          <w:rFonts w:eastAsia="Yu Mincho"/>
          <w:b w:val="0"/>
          <w:bCs w:val="0"/>
          <w:color w:val="000000" w:themeColor="text1"/>
          <w:lang w:val="en-CA"/>
        </w:rPr>
        <w:t xml:space="preserve"> </w:t>
      </w:r>
      <w:r w:rsidR="00497AB4" w:rsidRPr="00497AB4">
        <w:rPr>
          <w:b w:val="0"/>
          <w:bCs w:val="0"/>
        </w:rPr>
        <w:br/>
      </w:r>
      <w:r w:rsidRPr="2E7655E2">
        <w:t>Updated ranges of total funding requirements for the replenishment of the MLF 2027–2029 with Application of New Suggested Scenarios (US$ million)</w:t>
      </w:r>
    </w:p>
    <w:tbl>
      <w:tblPr>
        <w:tblW w:w="5000" w:type="pct"/>
        <w:tblInd w:w="609" w:type="dxa"/>
        <w:tblBorders>
          <w:top w:val="single" w:sz="4" w:space="0" w:color="auto"/>
        </w:tblBorders>
        <w:tblCellMar>
          <w:left w:w="0" w:type="dxa"/>
          <w:right w:w="0" w:type="dxa"/>
        </w:tblCellMar>
        <w:tblLook w:val="04A0" w:firstRow="1" w:lastRow="0" w:firstColumn="1" w:lastColumn="0" w:noHBand="0" w:noVBand="1"/>
      </w:tblPr>
      <w:tblGrid>
        <w:gridCol w:w="2161"/>
        <w:gridCol w:w="1523"/>
        <w:gridCol w:w="1461"/>
        <w:gridCol w:w="2123"/>
        <w:gridCol w:w="2229"/>
      </w:tblGrid>
      <w:tr w:rsidR="004A7B24" w:rsidRPr="00497C06" w14:paraId="48BD1C95" w14:textId="77777777" w:rsidTr="003518FA">
        <w:trPr>
          <w:trHeight w:val="734"/>
        </w:trPr>
        <w:tc>
          <w:tcPr>
            <w:tcW w:w="2161" w:type="dxa"/>
            <w:tcBorders>
              <w:top w:val="single" w:sz="4" w:space="0" w:color="auto"/>
              <w:bottom w:val="single" w:sz="12" w:space="0" w:color="auto"/>
            </w:tcBorders>
            <w:shd w:val="clear" w:color="auto" w:fill="DBE5F1" w:themeFill="accent1" w:themeFillTint="33"/>
            <w:vAlign w:val="center"/>
            <w:hideMark/>
          </w:tcPr>
          <w:p w14:paraId="2A1C1E43" w14:textId="77777777" w:rsidR="004A7B24" w:rsidRPr="00AF6103" w:rsidRDefault="004A7B24" w:rsidP="00CD26B7">
            <w:pPr>
              <w:pStyle w:val="Normal-pool-Table"/>
              <w:spacing w:before="20" w:after="20"/>
              <w:ind w:left="57" w:right="57"/>
              <w:rPr>
                <w:i/>
                <w:iCs/>
              </w:rPr>
            </w:pPr>
            <w:r w:rsidRPr="00AF6103">
              <w:rPr>
                <w:i/>
                <w:iCs/>
              </w:rPr>
              <w:t>2027–2029 Triennium</w:t>
            </w:r>
          </w:p>
        </w:tc>
        <w:tc>
          <w:tcPr>
            <w:tcW w:w="1523" w:type="dxa"/>
            <w:tcBorders>
              <w:top w:val="single" w:sz="4" w:space="0" w:color="auto"/>
              <w:bottom w:val="single" w:sz="12" w:space="0" w:color="auto"/>
            </w:tcBorders>
            <w:shd w:val="clear" w:color="auto" w:fill="DBE5F1" w:themeFill="accent1" w:themeFillTint="33"/>
            <w:vAlign w:val="center"/>
            <w:hideMark/>
          </w:tcPr>
          <w:p w14:paraId="13C1BE45" w14:textId="77777777" w:rsidR="004A7B24" w:rsidRPr="00AF6103" w:rsidRDefault="004A7B24" w:rsidP="00CD26B7">
            <w:pPr>
              <w:pStyle w:val="Normal-pool-Table"/>
              <w:spacing w:before="20" w:after="20"/>
              <w:ind w:left="57" w:right="57"/>
              <w:jc w:val="right"/>
              <w:rPr>
                <w:i/>
                <w:iCs/>
              </w:rPr>
            </w:pPr>
            <w:r w:rsidRPr="00AF6103">
              <w:rPr>
                <w:i/>
                <w:iCs/>
              </w:rPr>
              <w:t>May 2026 Report* Estimates</w:t>
            </w:r>
            <w:r w:rsidRPr="00AF6103">
              <w:rPr>
                <w:i/>
                <w:iCs/>
                <w:vertAlign w:val="superscript"/>
              </w:rPr>
              <w:footnoteReference w:id="13"/>
            </w:r>
          </w:p>
        </w:tc>
        <w:tc>
          <w:tcPr>
            <w:tcW w:w="1461" w:type="dxa"/>
            <w:tcBorders>
              <w:top w:val="single" w:sz="4" w:space="0" w:color="auto"/>
              <w:bottom w:val="single" w:sz="12" w:space="0" w:color="auto"/>
            </w:tcBorders>
            <w:shd w:val="clear" w:color="auto" w:fill="DBE5F1" w:themeFill="accent1" w:themeFillTint="33"/>
            <w:vAlign w:val="center"/>
            <w:hideMark/>
          </w:tcPr>
          <w:p w14:paraId="0AAD0CF3" w14:textId="77777777" w:rsidR="004A7B24" w:rsidRPr="00AF6103" w:rsidRDefault="004A7B24" w:rsidP="00CD26B7">
            <w:pPr>
              <w:pStyle w:val="Normal-pool-Table"/>
              <w:spacing w:before="20" w:after="20"/>
              <w:ind w:left="57" w:right="57"/>
              <w:jc w:val="right"/>
              <w:rPr>
                <w:i/>
                <w:iCs/>
              </w:rPr>
            </w:pPr>
            <w:r w:rsidRPr="00AF6103">
              <w:rPr>
                <w:i/>
                <w:iCs/>
              </w:rPr>
              <w:t>Updated May Report Estimates</w:t>
            </w:r>
            <w:r w:rsidRPr="00AB2EFC">
              <w:rPr>
                <w:i/>
                <w:iCs/>
                <w:vertAlign w:val="superscript"/>
              </w:rPr>
              <w:footnoteReference w:id="14"/>
            </w:r>
            <w:r w:rsidRPr="00AF6103">
              <w:rPr>
                <w:i/>
                <w:iCs/>
              </w:rPr>
              <w:t xml:space="preserve"> </w:t>
            </w:r>
          </w:p>
        </w:tc>
        <w:tc>
          <w:tcPr>
            <w:tcW w:w="2123" w:type="dxa"/>
            <w:tcBorders>
              <w:top w:val="single" w:sz="4" w:space="0" w:color="auto"/>
              <w:bottom w:val="single" w:sz="12" w:space="0" w:color="auto"/>
            </w:tcBorders>
            <w:shd w:val="clear" w:color="auto" w:fill="DBE5F1" w:themeFill="accent1" w:themeFillTint="33"/>
          </w:tcPr>
          <w:p w14:paraId="2BD67C61" w14:textId="77777777" w:rsidR="004A7B24" w:rsidRPr="00AF6103" w:rsidRDefault="004A7B24" w:rsidP="00CD26B7">
            <w:pPr>
              <w:pStyle w:val="Normal-pool-Table"/>
              <w:spacing w:before="20" w:after="20"/>
              <w:ind w:left="57" w:right="57"/>
              <w:jc w:val="right"/>
              <w:rPr>
                <w:i/>
                <w:iCs/>
              </w:rPr>
            </w:pPr>
            <w:r w:rsidRPr="00AF6103">
              <w:rPr>
                <w:i/>
                <w:iCs/>
              </w:rPr>
              <w:t>Supplementary Report Estimates applying highest reduction from New Scenarios to low-end**</w:t>
            </w:r>
          </w:p>
        </w:tc>
        <w:tc>
          <w:tcPr>
            <w:tcW w:w="2229" w:type="dxa"/>
            <w:tcBorders>
              <w:top w:val="single" w:sz="4" w:space="0" w:color="auto"/>
              <w:bottom w:val="single" w:sz="12" w:space="0" w:color="auto"/>
            </w:tcBorders>
            <w:shd w:val="clear" w:color="auto" w:fill="DBE5F1" w:themeFill="accent1" w:themeFillTint="33"/>
          </w:tcPr>
          <w:p w14:paraId="5E6E4E42" w14:textId="77777777" w:rsidR="004A7B24" w:rsidRPr="00AF6103" w:rsidRDefault="004A7B24" w:rsidP="00CD26B7">
            <w:pPr>
              <w:pStyle w:val="Normal-pool-Table"/>
              <w:spacing w:before="20" w:after="20"/>
              <w:ind w:left="57" w:right="57"/>
              <w:jc w:val="right"/>
              <w:rPr>
                <w:i/>
                <w:iCs/>
              </w:rPr>
            </w:pPr>
            <w:r w:rsidRPr="00AF6103">
              <w:rPr>
                <w:i/>
                <w:iCs/>
              </w:rPr>
              <w:t>Supplementary Report Estimates applying Scenario 2a (most recently reported HFC consumption)</w:t>
            </w:r>
          </w:p>
        </w:tc>
      </w:tr>
      <w:tr w:rsidR="004A7B24" w:rsidRPr="00497C06" w14:paraId="7E7499B9" w14:textId="77777777" w:rsidTr="003518FA">
        <w:trPr>
          <w:trHeight w:val="57"/>
        </w:trPr>
        <w:tc>
          <w:tcPr>
            <w:tcW w:w="2161" w:type="dxa"/>
            <w:tcBorders>
              <w:top w:val="single" w:sz="12" w:space="0" w:color="auto"/>
              <w:bottom w:val="single" w:sz="4" w:space="0" w:color="auto"/>
            </w:tcBorders>
            <w:shd w:val="clear" w:color="auto" w:fill="FDE9D9" w:themeFill="accent6" w:themeFillTint="33"/>
            <w:vAlign w:val="center"/>
          </w:tcPr>
          <w:p w14:paraId="19FE5B78" w14:textId="77777777" w:rsidR="004A7B24" w:rsidRPr="00497C06" w:rsidRDefault="004A7B24" w:rsidP="00CD26B7">
            <w:pPr>
              <w:pStyle w:val="Normal-pool-Table"/>
              <w:spacing w:before="20" w:after="20"/>
              <w:ind w:left="57" w:right="57"/>
              <w:rPr>
                <w:b/>
                <w:bCs/>
              </w:rPr>
            </w:pPr>
            <w:r w:rsidRPr="00497C06">
              <w:rPr>
                <w:b/>
                <w:bCs/>
              </w:rPr>
              <w:t>SUBTOTAL – HCFC ACTIVITIES</w:t>
            </w:r>
          </w:p>
        </w:tc>
        <w:tc>
          <w:tcPr>
            <w:tcW w:w="1523" w:type="dxa"/>
            <w:tcBorders>
              <w:top w:val="single" w:sz="12" w:space="0" w:color="auto"/>
              <w:bottom w:val="single" w:sz="4" w:space="0" w:color="auto"/>
            </w:tcBorders>
            <w:shd w:val="clear" w:color="auto" w:fill="FFFFFF" w:themeFill="background1"/>
            <w:vAlign w:val="center"/>
          </w:tcPr>
          <w:p w14:paraId="4E07CE2E" w14:textId="77777777" w:rsidR="004A7B24" w:rsidRPr="00497C06" w:rsidRDefault="004A7B24" w:rsidP="00CD26B7">
            <w:pPr>
              <w:pStyle w:val="Normal-pool-Table"/>
              <w:spacing w:before="20" w:after="20"/>
              <w:ind w:left="57" w:right="57"/>
              <w:jc w:val="right"/>
              <w:rPr>
                <w:b/>
                <w:bCs/>
              </w:rPr>
            </w:pPr>
            <w:r w:rsidRPr="00497C06">
              <w:rPr>
                <w:b/>
                <w:bCs/>
              </w:rPr>
              <w:t>451 – 573</w:t>
            </w:r>
          </w:p>
        </w:tc>
        <w:tc>
          <w:tcPr>
            <w:tcW w:w="1461" w:type="dxa"/>
            <w:tcBorders>
              <w:top w:val="single" w:sz="12" w:space="0" w:color="auto"/>
              <w:bottom w:val="single" w:sz="4" w:space="0" w:color="auto"/>
            </w:tcBorders>
            <w:shd w:val="clear" w:color="auto" w:fill="FFFFFF" w:themeFill="background1"/>
            <w:vAlign w:val="center"/>
          </w:tcPr>
          <w:p w14:paraId="1C7D8E69" w14:textId="77777777" w:rsidR="004A7B24" w:rsidRPr="00497C06" w:rsidRDefault="004A7B24" w:rsidP="00CD26B7">
            <w:pPr>
              <w:pStyle w:val="Normal-pool-Table"/>
              <w:spacing w:before="20" w:after="20"/>
              <w:ind w:left="57" w:right="57"/>
              <w:jc w:val="right"/>
              <w:rPr>
                <w:b/>
                <w:bCs/>
              </w:rPr>
            </w:pPr>
            <w:r w:rsidRPr="00497C06">
              <w:rPr>
                <w:b/>
                <w:bCs/>
              </w:rPr>
              <w:t>437 – 564</w:t>
            </w:r>
          </w:p>
        </w:tc>
        <w:tc>
          <w:tcPr>
            <w:tcW w:w="2123" w:type="dxa"/>
            <w:tcBorders>
              <w:top w:val="single" w:sz="12" w:space="0" w:color="auto"/>
              <w:bottom w:val="single" w:sz="4" w:space="0" w:color="auto"/>
            </w:tcBorders>
            <w:shd w:val="clear" w:color="auto" w:fill="FFFFFF" w:themeFill="background1"/>
            <w:vAlign w:val="center"/>
          </w:tcPr>
          <w:p w14:paraId="17CD0181" w14:textId="77777777" w:rsidR="004A7B24" w:rsidRPr="00497C06" w:rsidRDefault="004A7B24" w:rsidP="00CD26B7">
            <w:pPr>
              <w:pStyle w:val="Normal-pool-Table"/>
              <w:spacing w:before="20" w:after="20"/>
              <w:ind w:left="57" w:right="57"/>
              <w:jc w:val="right"/>
              <w:rPr>
                <w:b/>
                <w:bCs/>
              </w:rPr>
            </w:pPr>
            <w:r w:rsidRPr="00497C06">
              <w:rPr>
                <w:b/>
                <w:bCs/>
              </w:rPr>
              <w:t>230 – 564</w:t>
            </w:r>
          </w:p>
        </w:tc>
        <w:tc>
          <w:tcPr>
            <w:tcW w:w="2229" w:type="dxa"/>
            <w:tcBorders>
              <w:top w:val="single" w:sz="12" w:space="0" w:color="auto"/>
              <w:bottom w:val="single" w:sz="4" w:space="0" w:color="auto"/>
            </w:tcBorders>
            <w:shd w:val="clear" w:color="auto" w:fill="FFFFFF" w:themeFill="background1"/>
            <w:vAlign w:val="center"/>
          </w:tcPr>
          <w:p w14:paraId="2EBF5D8C" w14:textId="77777777" w:rsidR="004A7B24" w:rsidRPr="00497C06" w:rsidRDefault="004A7B24" w:rsidP="00CD26B7">
            <w:pPr>
              <w:pStyle w:val="Normal-pool-Table"/>
              <w:spacing w:before="20" w:after="20"/>
              <w:ind w:left="57" w:right="57"/>
              <w:jc w:val="right"/>
              <w:rPr>
                <w:b/>
                <w:bCs/>
              </w:rPr>
            </w:pPr>
            <w:r w:rsidRPr="00497C06">
              <w:rPr>
                <w:b/>
                <w:bCs/>
              </w:rPr>
              <w:t>230 – 564</w:t>
            </w:r>
          </w:p>
        </w:tc>
      </w:tr>
      <w:tr w:rsidR="004A7B24" w:rsidRPr="00497C06" w14:paraId="78D2D011" w14:textId="77777777" w:rsidTr="003518FA">
        <w:trPr>
          <w:trHeight w:val="57"/>
        </w:trPr>
        <w:tc>
          <w:tcPr>
            <w:tcW w:w="2161" w:type="dxa"/>
            <w:tcBorders>
              <w:top w:val="single" w:sz="4" w:space="0" w:color="auto"/>
              <w:bottom w:val="single" w:sz="4" w:space="0" w:color="auto"/>
            </w:tcBorders>
            <w:shd w:val="clear" w:color="auto" w:fill="FDE9D9" w:themeFill="accent6" w:themeFillTint="33"/>
            <w:vAlign w:val="center"/>
          </w:tcPr>
          <w:p w14:paraId="5A3A548D" w14:textId="77777777" w:rsidR="004A7B24" w:rsidRPr="00497C06" w:rsidRDefault="004A7B24" w:rsidP="00CD26B7">
            <w:pPr>
              <w:pStyle w:val="Normal-pool-Table"/>
              <w:spacing w:before="20" w:after="20"/>
              <w:ind w:left="57" w:right="57"/>
              <w:rPr>
                <w:b/>
                <w:bCs/>
              </w:rPr>
            </w:pPr>
            <w:r w:rsidRPr="00497C06">
              <w:rPr>
                <w:b/>
                <w:bCs/>
              </w:rPr>
              <w:t>SUBTOTAL –</w:t>
            </w:r>
          </w:p>
          <w:p w14:paraId="0ACA994A" w14:textId="77777777" w:rsidR="004A7B24" w:rsidRPr="00497C06" w:rsidRDefault="004A7B24" w:rsidP="00CD26B7">
            <w:pPr>
              <w:pStyle w:val="Normal-pool-Table"/>
              <w:spacing w:before="20" w:after="20"/>
              <w:ind w:left="57" w:right="57"/>
              <w:rPr>
                <w:b/>
                <w:bCs/>
              </w:rPr>
            </w:pPr>
            <w:r w:rsidRPr="00497C06">
              <w:rPr>
                <w:b/>
                <w:bCs/>
              </w:rPr>
              <w:t>HFC ACTIVITIES</w:t>
            </w:r>
          </w:p>
        </w:tc>
        <w:tc>
          <w:tcPr>
            <w:tcW w:w="1523" w:type="dxa"/>
            <w:tcBorders>
              <w:top w:val="single" w:sz="4" w:space="0" w:color="auto"/>
              <w:bottom w:val="single" w:sz="4" w:space="0" w:color="auto"/>
            </w:tcBorders>
            <w:shd w:val="clear" w:color="auto" w:fill="FFFFFF" w:themeFill="background1"/>
            <w:vAlign w:val="center"/>
          </w:tcPr>
          <w:p w14:paraId="19676D39" w14:textId="0B0CA9C6" w:rsidR="004A7B24" w:rsidRPr="00497C06" w:rsidRDefault="004A7B24" w:rsidP="00CD26B7">
            <w:pPr>
              <w:pStyle w:val="Normal-pool-Table"/>
              <w:spacing w:before="20" w:after="20"/>
              <w:ind w:left="57" w:right="57"/>
              <w:jc w:val="right"/>
              <w:rPr>
                <w:b/>
                <w:bCs/>
              </w:rPr>
            </w:pPr>
            <w:r w:rsidRPr="00497C06">
              <w:rPr>
                <w:b/>
                <w:bCs/>
              </w:rPr>
              <w:t>702 – 1</w:t>
            </w:r>
            <w:r w:rsidR="003518FA">
              <w:rPr>
                <w:b/>
                <w:bCs/>
              </w:rPr>
              <w:t xml:space="preserve"> </w:t>
            </w:r>
            <w:r w:rsidRPr="00497C06">
              <w:rPr>
                <w:b/>
                <w:bCs/>
              </w:rPr>
              <w:t>053</w:t>
            </w:r>
          </w:p>
        </w:tc>
        <w:tc>
          <w:tcPr>
            <w:tcW w:w="1461" w:type="dxa"/>
            <w:tcBorders>
              <w:top w:val="single" w:sz="4" w:space="0" w:color="auto"/>
              <w:bottom w:val="single" w:sz="4" w:space="0" w:color="auto"/>
            </w:tcBorders>
            <w:shd w:val="clear" w:color="auto" w:fill="FFFFFF" w:themeFill="background1"/>
            <w:vAlign w:val="center"/>
          </w:tcPr>
          <w:p w14:paraId="2FD5E62B" w14:textId="77777777" w:rsidR="004A7B24" w:rsidRPr="00497C06" w:rsidRDefault="004A7B24" w:rsidP="00CD26B7">
            <w:pPr>
              <w:pStyle w:val="Normal-pool-Table"/>
              <w:spacing w:before="20" w:after="20"/>
              <w:ind w:left="57" w:right="57"/>
              <w:jc w:val="right"/>
              <w:rPr>
                <w:b/>
                <w:bCs/>
              </w:rPr>
            </w:pPr>
            <w:r w:rsidRPr="00497C06">
              <w:rPr>
                <w:b/>
                <w:bCs/>
              </w:rPr>
              <w:t>664 – 999</w:t>
            </w:r>
          </w:p>
        </w:tc>
        <w:tc>
          <w:tcPr>
            <w:tcW w:w="2123" w:type="dxa"/>
            <w:tcBorders>
              <w:top w:val="single" w:sz="4" w:space="0" w:color="auto"/>
              <w:bottom w:val="single" w:sz="4" w:space="0" w:color="auto"/>
            </w:tcBorders>
            <w:shd w:val="clear" w:color="auto" w:fill="FFFFFF" w:themeFill="background1"/>
            <w:vAlign w:val="center"/>
          </w:tcPr>
          <w:p w14:paraId="3BEBDDE2" w14:textId="77777777" w:rsidR="004A7B24" w:rsidRPr="00497C06" w:rsidRDefault="004A7B24" w:rsidP="00CD26B7">
            <w:pPr>
              <w:pStyle w:val="Normal-pool-Table"/>
              <w:spacing w:before="20" w:after="20"/>
              <w:ind w:left="57" w:right="57"/>
              <w:jc w:val="right"/>
              <w:rPr>
                <w:b/>
                <w:bCs/>
              </w:rPr>
            </w:pPr>
            <w:r w:rsidRPr="00497C06">
              <w:rPr>
                <w:b/>
                <w:bCs/>
              </w:rPr>
              <w:t>625 – 999</w:t>
            </w:r>
          </w:p>
        </w:tc>
        <w:tc>
          <w:tcPr>
            <w:tcW w:w="2229" w:type="dxa"/>
            <w:tcBorders>
              <w:top w:val="single" w:sz="4" w:space="0" w:color="auto"/>
              <w:bottom w:val="single" w:sz="4" w:space="0" w:color="auto"/>
            </w:tcBorders>
            <w:shd w:val="clear" w:color="auto" w:fill="FDE9D9" w:themeFill="accent6" w:themeFillTint="33"/>
            <w:vAlign w:val="center"/>
          </w:tcPr>
          <w:p w14:paraId="62ABEDE8" w14:textId="77777777" w:rsidR="004A7B24" w:rsidRPr="00497C06" w:rsidRDefault="004A7B24" w:rsidP="00CD26B7">
            <w:pPr>
              <w:pStyle w:val="Normal-pool-Table"/>
              <w:spacing w:before="20" w:after="20"/>
              <w:ind w:left="57" w:right="57"/>
              <w:jc w:val="right"/>
              <w:rPr>
                <w:b/>
                <w:bCs/>
              </w:rPr>
            </w:pPr>
            <w:r w:rsidRPr="00497C06">
              <w:rPr>
                <w:b/>
                <w:bCs/>
              </w:rPr>
              <w:t>479</w:t>
            </w:r>
            <w:r w:rsidRPr="003518FA">
              <w:t>***</w:t>
            </w:r>
            <w:r w:rsidRPr="00497C06">
              <w:rPr>
                <w:b/>
                <w:bCs/>
              </w:rPr>
              <w:t>– 999</w:t>
            </w:r>
          </w:p>
        </w:tc>
      </w:tr>
      <w:tr w:rsidR="004A7B24" w:rsidRPr="00497C06" w14:paraId="30E7E07E" w14:textId="77777777" w:rsidTr="00FC5D96">
        <w:trPr>
          <w:trHeight w:val="57"/>
        </w:trPr>
        <w:tc>
          <w:tcPr>
            <w:tcW w:w="2161" w:type="dxa"/>
            <w:tcBorders>
              <w:top w:val="single" w:sz="4" w:space="0" w:color="auto"/>
              <w:bottom w:val="single" w:sz="4" w:space="0" w:color="auto"/>
            </w:tcBorders>
            <w:shd w:val="clear" w:color="auto" w:fill="FDE9D9" w:themeFill="accent6" w:themeFillTint="33"/>
            <w:vAlign w:val="center"/>
          </w:tcPr>
          <w:p w14:paraId="7130F4E0" w14:textId="26C7C45F" w:rsidR="004A7B24" w:rsidRPr="00497C06" w:rsidRDefault="004A7B24" w:rsidP="00CD26B7">
            <w:pPr>
              <w:pStyle w:val="Normal-pool-Table"/>
              <w:spacing w:before="20" w:after="20"/>
              <w:ind w:left="57" w:right="57"/>
              <w:rPr>
                <w:b/>
                <w:bCs/>
              </w:rPr>
            </w:pPr>
            <w:r w:rsidRPr="00497C06">
              <w:rPr>
                <w:b/>
                <w:bCs/>
              </w:rPr>
              <w:t>SUBTOTAL –</w:t>
            </w:r>
            <w:r w:rsidR="00CD26B7">
              <w:rPr>
                <w:b/>
                <w:bCs/>
              </w:rPr>
              <w:t xml:space="preserve"> </w:t>
            </w:r>
            <w:r w:rsidRPr="00497C06">
              <w:rPr>
                <w:b/>
                <w:bCs/>
              </w:rPr>
              <w:t>IS &amp; SA</w:t>
            </w:r>
          </w:p>
        </w:tc>
        <w:tc>
          <w:tcPr>
            <w:tcW w:w="1523" w:type="dxa"/>
            <w:tcBorders>
              <w:top w:val="single" w:sz="4" w:space="0" w:color="auto"/>
              <w:bottom w:val="single" w:sz="4" w:space="0" w:color="auto"/>
            </w:tcBorders>
            <w:shd w:val="clear" w:color="auto" w:fill="FFFFFF" w:themeFill="background1"/>
            <w:vAlign w:val="center"/>
          </w:tcPr>
          <w:p w14:paraId="7E2F3A98" w14:textId="77777777" w:rsidR="004A7B24" w:rsidRPr="00497C06" w:rsidRDefault="004A7B24" w:rsidP="00CD26B7">
            <w:pPr>
              <w:pStyle w:val="Normal-pool-Table"/>
              <w:spacing w:before="20" w:after="20"/>
              <w:ind w:left="57" w:right="57"/>
              <w:jc w:val="right"/>
              <w:rPr>
                <w:b/>
                <w:bCs/>
              </w:rPr>
            </w:pPr>
            <w:r w:rsidRPr="00497C06">
              <w:rPr>
                <w:b/>
                <w:bCs/>
              </w:rPr>
              <w:t>129</w:t>
            </w:r>
          </w:p>
        </w:tc>
        <w:tc>
          <w:tcPr>
            <w:tcW w:w="1461" w:type="dxa"/>
            <w:tcBorders>
              <w:top w:val="single" w:sz="4" w:space="0" w:color="auto"/>
              <w:bottom w:val="single" w:sz="4" w:space="0" w:color="auto"/>
            </w:tcBorders>
            <w:shd w:val="clear" w:color="auto" w:fill="FFFFFF" w:themeFill="background1"/>
            <w:vAlign w:val="center"/>
          </w:tcPr>
          <w:p w14:paraId="74E7D7EB" w14:textId="77777777" w:rsidR="004A7B24" w:rsidRPr="00497C06" w:rsidRDefault="004A7B24" w:rsidP="00CD26B7">
            <w:pPr>
              <w:pStyle w:val="Normal-pool-Table"/>
              <w:spacing w:before="20" w:after="20"/>
              <w:ind w:left="57" w:right="57"/>
              <w:jc w:val="right"/>
              <w:rPr>
                <w:b/>
                <w:bCs/>
              </w:rPr>
            </w:pPr>
            <w:r w:rsidRPr="00497C06">
              <w:rPr>
                <w:b/>
                <w:bCs/>
              </w:rPr>
              <w:t>129</w:t>
            </w:r>
          </w:p>
        </w:tc>
        <w:tc>
          <w:tcPr>
            <w:tcW w:w="2123" w:type="dxa"/>
            <w:tcBorders>
              <w:top w:val="single" w:sz="4" w:space="0" w:color="auto"/>
              <w:bottom w:val="single" w:sz="4" w:space="0" w:color="auto"/>
            </w:tcBorders>
            <w:shd w:val="clear" w:color="auto" w:fill="FFFFFF" w:themeFill="background1"/>
            <w:vAlign w:val="center"/>
          </w:tcPr>
          <w:p w14:paraId="7D535890" w14:textId="77777777" w:rsidR="004A7B24" w:rsidRPr="00497C06" w:rsidRDefault="004A7B24" w:rsidP="00CD26B7">
            <w:pPr>
              <w:pStyle w:val="Normal-pool-Table"/>
              <w:spacing w:before="20" w:after="20"/>
              <w:ind w:left="57" w:right="57"/>
              <w:jc w:val="right"/>
              <w:rPr>
                <w:b/>
                <w:bCs/>
              </w:rPr>
            </w:pPr>
            <w:r w:rsidRPr="00497C06">
              <w:rPr>
                <w:b/>
                <w:bCs/>
              </w:rPr>
              <w:t>129</w:t>
            </w:r>
          </w:p>
        </w:tc>
        <w:tc>
          <w:tcPr>
            <w:tcW w:w="2229" w:type="dxa"/>
            <w:tcBorders>
              <w:top w:val="single" w:sz="4" w:space="0" w:color="auto"/>
              <w:bottom w:val="single" w:sz="4" w:space="0" w:color="auto"/>
            </w:tcBorders>
            <w:shd w:val="clear" w:color="auto" w:fill="FFFFFF" w:themeFill="background1"/>
            <w:vAlign w:val="center"/>
          </w:tcPr>
          <w:p w14:paraId="017998CF" w14:textId="77777777" w:rsidR="004A7B24" w:rsidRPr="00497C06" w:rsidRDefault="004A7B24" w:rsidP="00CD26B7">
            <w:pPr>
              <w:pStyle w:val="Normal-pool-Table"/>
              <w:spacing w:before="20" w:after="20"/>
              <w:ind w:left="57" w:right="57"/>
              <w:jc w:val="right"/>
              <w:rPr>
                <w:b/>
                <w:bCs/>
              </w:rPr>
            </w:pPr>
            <w:r w:rsidRPr="00497C06">
              <w:rPr>
                <w:b/>
                <w:bCs/>
              </w:rPr>
              <w:t>129</w:t>
            </w:r>
          </w:p>
        </w:tc>
      </w:tr>
      <w:tr w:rsidR="004A7B24" w:rsidRPr="00497C06" w14:paraId="1323F108" w14:textId="77777777" w:rsidTr="00FC5D96">
        <w:trPr>
          <w:trHeight w:val="211"/>
        </w:trPr>
        <w:tc>
          <w:tcPr>
            <w:tcW w:w="2161" w:type="dxa"/>
            <w:tcBorders>
              <w:top w:val="single" w:sz="4" w:space="0" w:color="auto"/>
              <w:bottom w:val="single" w:sz="12" w:space="0" w:color="auto"/>
            </w:tcBorders>
            <w:shd w:val="clear" w:color="auto" w:fill="FFFFCC"/>
            <w:vAlign w:val="center"/>
          </w:tcPr>
          <w:p w14:paraId="4A9C0A74" w14:textId="77777777" w:rsidR="004A7B24" w:rsidRPr="00497C06" w:rsidRDefault="004A7B24" w:rsidP="00CD26B7">
            <w:pPr>
              <w:pStyle w:val="Normal-pool-Table"/>
              <w:spacing w:before="20" w:after="20"/>
              <w:ind w:left="57" w:right="57"/>
              <w:rPr>
                <w:b/>
                <w:bCs/>
              </w:rPr>
            </w:pPr>
            <w:r w:rsidRPr="00497C06">
              <w:rPr>
                <w:b/>
                <w:bCs/>
              </w:rPr>
              <w:t>GRAND TOTAL</w:t>
            </w:r>
          </w:p>
          <w:p w14:paraId="5F49F0D3" w14:textId="77777777" w:rsidR="004A7B24" w:rsidRPr="00497C06" w:rsidRDefault="004A7B24" w:rsidP="00CD26B7">
            <w:pPr>
              <w:pStyle w:val="Normal-pool-Table"/>
              <w:spacing w:before="20" w:after="20"/>
              <w:ind w:left="57" w:right="57"/>
              <w:rPr>
                <w:b/>
                <w:bCs/>
              </w:rPr>
            </w:pPr>
            <w:r w:rsidRPr="00497C06">
              <w:rPr>
                <w:b/>
                <w:bCs/>
              </w:rPr>
              <w:t>(US$ million)</w:t>
            </w:r>
          </w:p>
        </w:tc>
        <w:tc>
          <w:tcPr>
            <w:tcW w:w="1523" w:type="dxa"/>
            <w:tcBorders>
              <w:top w:val="single" w:sz="4" w:space="0" w:color="auto"/>
              <w:bottom w:val="single" w:sz="12" w:space="0" w:color="auto"/>
            </w:tcBorders>
            <w:shd w:val="clear" w:color="auto" w:fill="FFFFCC"/>
            <w:vAlign w:val="center"/>
          </w:tcPr>
          <w:p w14:paraId="32A8A75E" w14:textId="3C5D8EEC" w:rsidR="004A7B24" w:rsidRPr="00497C06" w:rsidRDefault="004A7B24" w:rsidP="00CD26B7">
            <w:pPr>
              <w:pStyle w:val="Normal-pool-Table"/>
              <w:spacing w:before="20" w:after="20"/>
              <w:ind w:left="57" w:right="57"/>
              <w:jc w:val="right"/>
              <w:rPr>
                <w:b/>
                <w:bCs/>
              </w:rPr>
            </w:pPr>
            <w:r w:rsidRPr="00497C06">
              <w:rPr>
                <w:b/>
                <w:bCs/>
              </w:rPr>
              <w:t>1</w:t>
            </w:r>
            <w:r w:rsidR="00497C06">
              <w:rPr>
                <w:b/>
                <w:bCs/>
              </w:rPr>
              <w:t xml:space="preserve"> </w:t>
            </w:r>
            <w:r w:rsidRPr="00497C06">
              <w:rPr>
                <w:b/>
                <w:bCs/>
              </w:rPr>
              <w:t>282 – 1</w:t>
            </w:r>
            <w:r w:rsidR="00497C06">
              <w:rPr>
                <w:b/>
                <w:bCs/>
              </w:rPr>
              <w:t xml:space="preserve"> </w:t>
            </w:r>
            <w:r w:rsidRPr="00497C06">
              <w:rPr>
                <w:b/>
                <w:bCs/>
              </w:rPr>
              <w:t>755</w:t>
            </w:r>
          </w:p>
        </w:tc>
        <w:tc>
          <w:tcPr>
            <w:tcW w:w="1461" w:type="dxa"/>
            <w:tcBorders>
              <w:top w:val="single" w:sz="4" w:space="0" w:color="auto"/>
              <w:bottom w:val="single" w:sz="12" w:space="0" w:color="auto"/>
            </w:tcBorders>
            <w:shd w:val="clear" w:color="auto" w:fill="FFFFCC"/>
            <w:vAlign w:val="center"/>
          </w:tcPr>
          <w:p w14:paraId="0B299D64" w14:textId="69C196B1" w:rsidR="004A7B24" w:rsidRPr="00497C06" w:rsidRDefault="004A7B24" w:rsidP="00CD26B7">
            <w:pPr>
              <w:pStyle w:val="Normal-pool-Table"/>
              <w:spacing w:before="20" w:after="20"/>
              <w:ind w:left="57" w:right="57"/>
              <w:jc w:val="right"/>
              <w:rPr>
                <w:b/>
                <w:bCs/>
              </w:rPr>
            </w:pPr>
            <w:r w:rsidRPr="00497C06">
              <w:rPr>
                <w:b/>
                <w:bCs/>
              </w:rPr>
              <w:t>1</w:t>
            </w:r>
            <w:r w:rsidR="00497C06">
              <w:rPr>
                <w:b/>
                <w:bCs/>
              </w:rPr>
              <w:t xml:space="preserve"> </w:t>
            </w:r>
            <w:r w:rsidRPr="00497C06">
              <w:rPr>
                <w:b/>
                <w:bCs/>
              </w:rPr>
              <w:t>230 – 1</w:t>
            </w:r>
            <w:r w:rsidR="00497C06">
              <w:rPr>
                <w:b/>
                <w:bCs/>
              </w:rPr>
              <w:t xml:space="preserve"> </w:t>
            </w:r>
            <w:r w:rsidRPr="00497C06">
              <w:rPr>
                <w:b/>
                <w:bCs/>
              </w:rPr>
              <w:t>692</w:t>
            </w:r>
          </w:p>
        </w:tc>
        <w:tc>
          <w:tcPr>
            <w:tcW w:w="2123" w:type="dxa"/>
            <w:tcBorders>
              <w:top w:val="single" w:sz="4" w:space="0" w:color="auto"/>
              <w:bottom w:val="single" w:sz="12" w:space="0" w:color="auto"/>
            </w:tcBorders>
            <w:shd w:val="clear" w:color="auto" w:fill="FFFFCC"/>
            <w:vAlign w:val="center"/>
          </w:tcPr>
          <w:p w14:paraId="5687A971" w14:textId="3350CC68" w:rsidR="004A7B24" w:rsidRPr="00497C06" w:rsidRDefault="004A7B24" w:rsidP="00CD26B7">
            <w:pPr>
              <w:pStyle w:val="Normal-pool-Table"/>
              <w:spacing w:before="20" w:after="20"/>
              <w:ind w:left="57" w:right="57"/>
              <w:jc w:val="right"/>
              <w:rPr>
                <w:b/>
                <w:bCs/>
              </w:rPr>
            </w:pPr>
            <w:r w:rsidRPr="00497C06">
              <w:rPr>
                <w:b/>
                <w:bCs/>
              </w:rPr>
              <w:t>984 – 1</w:t>
            </w:r>
            <w:r w:rsidR="00497C06">
              <w:rPr>
                <w:b/>
                <w:bCs/>
              </w:rPr>
              <w:t xml:space="preserve"> </w:t>
            </w:r>
            <w:r w:rsidRPr="00497C06">
              <w:rPr>
                <w:b/>
                <w:bCs/>
              </w:rPr>
              <w:t>692</w:t>
            </w:r>
          </w:p>
        </w:tc>
        <w:tc>
          <w:tcPr>
            <w:tcW w:w="2229" w:type="dxa"/>
            <w:tcBorders>
              <w:top w:val="single" w:sz="4" w:space="0" w:color="auto"/>
              <w:bottom w:val="single" w:sz="12" w:space="0" w:color="auto"/>
            </w:tcBorders>
            <w:shd w:val="clear" w:color="auto" w:fill="FFFFCC"/>
            <w:vAlign w:val="center"/>
          </w:tcPr>
          <w:p w14:paraId="2D7C4305" w14:textId="3BAACF67" w:rsidR="004A7B24" w:rsidRPr="00497C06" w:rsidRDefault="004A7B24" w:rsidP="00CD26B7">
            <w:pPr>
              <w:pStyle w:val="Normal-pool-Table"/>
              <w:spacing w:before="20" w:after="20"/>
              <w:ind w:left="57" w:right="57"/>
              <w:jc w:val="right"/>
              <w:rPr>
                <w:b/>
                <w:bCs/>
              </w:rPr>
            </w:pPr>
            <w:r w:rsidRPr="00497C06">
              <w:rPr>
                <w:b/>
                <w:bCs/>
              </w:rPr>
              <w:t>838 – 1</w:t>
            </w:r>
            <w:r w:rsidR="00497C06">
              <w:rPr>
                <w:b/>
                <w:bCs/>
              </w:rPr>
              <w:t xml:space="preserve"> </w:t>
            </w:r>
            <w:r w:rsidRPr="00497C06">
              <w:rPr>
                <w:b/>
                <w:bCs/>
              </w:rPr>
              <w:t>692</w:t>
            </w:r>
          </w:p>
        </w:tc>
      </w:tr>
    </w:tbl>
    <w:p w14:paraId="64E28E0E" w14:textId="230AA346" w:rsidR="004A7B24" w:rsidRPr="00497C06" w:rsidRDefault="00497C06" w:rsidP="00CD26B7">
      <w:pPr>
        <w:pStyle w:val="NormalNonumber"/>
        <w:spacing w:before="60" w:after="0"/>
        <w:rPr>
          <w:sz w:val="17"/>
          <w:szCs w:val="17"/>
        </w:rPr>
      </w:pPr>
      <w:r>
        <w:rPr>
          <w:sz w:val="17"/>
          <w:szCs w:val="17"/>
        </w:rPr>
        <w:tab/>
      </w:r>
      <w:r w:rsidR="004A7B24" w:rsidRPr="00497C06">
        <w:rPr>
          <w:sz w:val="17"/>
          <w:szCs w:val="17"/>
        </w:rPr>
        <w:t xml:space="preserve">*RTF May 2026 Report </w:t>
      </w:r>
      <w:r w:rsidR="004A7B24" w:rsidRPr="00497C06">
        <w:rPr>
          <w:sz w:val="17"/>
          <w:szCs w:val="17"/>
          <w:u w:val="single"/>
        </w:rPr>
        <w:t>did not</w:t>
      </w:r>
      <w:r w:rsidR="004A7B24" w:rsidRPr="00497C06">
        <w:rPr>
          <w:sz w:val="17"/>
          <w:szCs w:val="17"/>
        </w:rPr>
        <w:t xml:space="preserve"> include applicable costs of PMUs. Updated May 2026 Report </w:t>
      </w:r>
      <w:r w:rsidR="004A7B24" w:rsidRPr="00497C06">
        <w:rPr>
          <w:sz w:val="17"/>
          <w:szCs w:val="17"/>
          <w:u w:val="single"/>
        </w:rPr>
        <w:t>included</w:t>
      </w:r>
      <w:r w:rsidR="004A7B24" w:rsidRPr="00497C06">
        <w:rPr>
          <w:sz w:val="17"/>
          <w:szCs w:val="17"/>
        </w:rPr>
        <w:t xml:space="preserve"> PMU costs.</w:t>
      </w:r>
    </w:p>
    <w:p w14:paraId="251A718B" w14:textId="14069F5B" w:rsidR="00497AB4" w:rsidRPr="00497C06" w:rsidRDefault="00497C06" w:rsidP="00CD26B7">
      <w:pPr>
        <w:pStyle w:val="NormalNonumber"/>
        <w:spacing w:before="60" w:after="0"/>
        <w:rPr>
          <w:sz w:val="17"/>
          <w:szCs w:val="17"/>
        </w:rPr>
      </w:pPr>
      <w:r w:rsidRPr="00497C06">
        <w:rPr>
          <w:sz w:val="17"/>
          <w:szCs w:val="17"/>
        </w:rPr>
        <w:tab/>
      </w:r>
      <w:r w:rsidR="004A7B24" w:rsidRPr="00497C06">
        <w:rPr>
          <w:sz w:val="17"/>
          <w:szCs w:val="17"/>
        </w:rPr>
        <w:t>**Based on highest reduction amongst Scenarios 1a, 1b, or 1c.</w:t>
      </w:r>
    </w:p>
    <w:p w14:paraId="62709A3B" w14:textId="60542D03" w:rsidR="004A7B24" w:rsidRPr="00C220A4" w:rsidRDefault="00497C06" w:rsidP="00CD26B7">
      <w:pPr>
        <w:pStyle w:val="NormalNonumber"/>
        <w:spacing w:before="60" w:after="0"/>
        <w:rPr>
          <w:sz w:val="18"/>
          <w:szCs w:val="18"/>
        </w:rPr>
      </w:pPr>
      <w:r w:rsidRPr="00497C06">
        <w:rPr>
          <w:sz w:val="17"/>
          <w:szCs w:val="17"/>
        </w:rPr>
        <w:tab/>
      </w:r>
      <w:r w:rsidR="004A7B24" w:rsidRPr="00497C06">
        <w:rPr>
          <w:sz w:val="17"/>
          <w:szCs w:val="17"/>
        </w:rPr>
        <w:t xml:space="preserve">***US$ 146 million reductions as result of application of Scenario 2a, </w:t>
      </w:r>
      <w:r w:rsidR="004A7B24" w:rsidRPr="00497C06">
        <w:rPr>
          <w:i/>
          <w:iCs/>
          <w:sz w:val="17"/>
          <w:szCs w:val="17"/>
        </w:rPr>
        <w:t>noting the different calculation methodology</w:t>
      </w:r>
      <w:r w:rsidR="004A7B24" w:rsidRPr="2E7655E2">
        <w:rPr>
          <w:i/>
          <w:iCs/>
          <w:sz w:val="18"/>
          <w:szCs w:val="18"/>
        </w:rPr>
        <w:t xml:space="preserve"> which is not directly comparable with the one used in the Updated RTF May Report</w:t>
      </w:r>
      <w:r w:rsidR="004A7B24" w:rsidRPr="2E7655E2">
        <w:rPr>
          <w:sz w:val="18"/>
          <w:szCs w:val="18"/>
        </w:rPr>
        <w:t>.</w:t>
      </w:r>
    </w:p>
    <w:bookmarkEnd w:id="24"/>
    <w:p w14:paraId="00A394B4" w14:textId="77777777" w:rsidR="004A7B24" w:rsidRDefault="004A7B24" w:rsidP="00CD26B7">
      <w:pPr>
        <w:pStyle w:val="NormalNonumber"/>
        <w:spacing w:before="120"/>
      </w:pPr>
      <w:r>
        <w:t xml:space="preserve">RTF provided </w:t>
      </w:r>
      <w:r w:rsidRPr="000B7ACB">
        <w:rPr>
          <w:color w:val="000000" w:themeColor="text1"/>
        </w:rPr>
        <w:t>scenarios</w:t>
      </w:r>
      <w:r>
        <w:t xml:space="preserve"> for the further consideration by parties for the </w:t>
      </w:r>
      <w:r w:rsidRPr="00926541">
        <w:t xml:space="preserve">high-end of the range of the </w:t>
      </w:r>
      <w:r w:rsidRPr="009853CF">
        <w:t>2027</w:t>
      </w:r>
      <w:r>
        <w:t>–</w:t>
      </w:r>
      <w:r w:rsidRPr="009853CF">
        <w:t xml:space="preserve">2029 triennium </w:t>
      </w:r>
      <w:r>
        <w:t xml:space="preserve">for </w:t>
      </w:r>
      <w:r w:rsidRPr="00926541">
        <w:t>the possible increase in the resource allocation for LVCs/VLVCs (US$ 28.2 million</w:t>
      </w:r>
      <w:r w:rsidRPr="009853CF">
        <w:t>,</w:t>
      </w:r>
      <w:r w:rsidRPr="00926541">
        <w:t xml:space="preserve"> as in Table ES-8), and the </w:t>
      </w:r>
      <w:r w:rsidRPr="009853CF">
        <w:t xml:space="preserve">potential </w:t>
      </w:r>
      <w:r w:rsidRPr="00926541">
        <w:t xml:space="preserve">funding window for LRM (US$ 52.55 million as in table ES-9) to be considered at ExCom-100. </w:t>
      </w:r>
      <w:bookmarkEnd w:id="11"/>
      <w:bookmarkEnd w:id="12"/>
      <w:bookmarkEnd w:id="22"/>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F6103" w:rsidRPr="003518FA" w14:paraId="2CEF92A9" w14:textId="77777777" w:rsidTr="00AF6103">
        <w:tc>
          <w:tcPr>
            <w:tcW w:w="1897" w:type="dxa"/>
          </w:tcPr>
          <w:p w14:paraId="7160F071" w14:textId="77777777" w:rsidR="00AF6103" w:rsidRPr="003518FA" w:rsidRDefault="00AF6103" w:rsidP="00AC2172">
            <w:pPr>
              <w:pStyle w:val="Normal-pool"/>
              <w:spacing w:before="520" w:after="40"/>
            </w:pPr>
          </w:p>
        </w:tc>
        <w:tc>
          <w:tcPr>
            <w:tcW w:w="1897" w:type="dxa"/>
          </w:tcPr>
          <w:p w14:paraId="2EF500C2" w14:textId="77777777" w:rsidR="00AF6103" w:rsidRPr="003518FA" w:rsidRDefault="00AF6103" w:rsidP="00AC2172">
            <w:pPr>
              <w:pStyle w:val="Normal-pool"/>
              <w:spacing w:before="520" w:after="40"/>
            </w:pPr>
          </w:p>
        </w:tc>
        <w:tc>
          <w:tcPr>
            <w:tcW w:w="1897" w:type="dxa"/>
            <w:tcBorders>
              <w:bottom w:val="single" w:sz="4" w:space="0" w:color="auto"/>
            </w:tcBorders>
          </w:tcPr>
          <w:p w14:paraId="082AE6ED" w14:textId="77777777" w:rsidR="00AF6103" w:rsidRPr="003518FA" w:rsidRDefault="00AF6103" w:rsidP="00AC2172">
            <w:pPr>
              <w:pStyle w:val="Normal-pool"/>
              <w:spacing w:before="520" w:after="40"/>
            </w:pPr>
          </w:p>
        </w:tc>
        <w:tc>
          <w:tcPr>
            <w:tcW w:w="1898" w:type="dxa"/>
          </w:tcPr>
          <w:p w14:paraId="70E9BA68" w14:textId="77777777" w:rsidR="00AF6103" w:rsidRPr="003518FA" w:rsidRDefault="00AF6103" w:rsidP="00AC2172">
            <w:pPr>
              <w:pStyle w:val="Normal-pool"/>
              <w:spacing w:before="520" w:after="40"/>
            </w:pPr>
          </w:p>
        </w:tc>
        <w:tc>
          <w:tcPr>
            <w:tcW w:w="1898" w:type="dxa"/>
          </w:tcPr>
          <w:p w14:paraId="51A11D58" w14:textId="77777777" w:rsidR="00AF6103" w:rsidRPr="003518FA" w:rsidRDefault="00AF6103" w:rsidP="00AC2172">
            <w:pPr>
              <w:pStyle w:val="Normal-pool"/>
              <w:spacing w:before="520" w:after="40"/>
            </w:pPr>
          </w:p>
        </w:tc>
      </w:tr>
    </w:tbl>
    <w:p w14:paraId="796CD3C1" w14:textId="77777777" w:rsidR="00AF6103" w:rsidRPr="00AF6103" w:rsidRDefault="00AF6103" w:rsidP="00AF6103">
      <w:pPr>
        <w:pStyle w:val="Normal-pool"/>
        <w:rPr>
          <w:sz w:val="2"/>
          <w:szCs w:val="2"/>
        </w:rPr>
      </w:pPr>
    </w:p>
    <w:sectPr w:rsidR="00AF6103" w:rsidRPr="00AF6103" w:rsidSect="004A7B24">
      <w:headerReference w:type="even" r:id="rId18"/>
      <w:headerReference w:type="default" r:id="rId19"/>
      <w:headerReference w:type="first" r:id="rId20"/>
      <w:footerReference w:type="first" r:id="rId21"/>
      <w:footnotePr>
        <w:numRestart w:val="eachSect"/>
      </w:footnotePr>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A78A" w14:textId="77777777" w:rsidR="004F0A7F" w:rsidRPr="00A01800" w:rsidRDefault="004F0A7F">
      <w:r w:rsidRPr="00A01800">
        <w:separator/>
      </w:r>
    </w:p>
  </w:endnote>
  <w:endnote w:type="continuationSeparator" w:id="0">
    <w:p w14:paraId="08505AC9" w14:textId="77777777" w:rsidR="004F0A7F" w:rsidRPr="00A01800" w:rsidRDefault="004F0A7F">
      <w:r w:rsidRPr="00A018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D3ABA" w14:textId="06E60333" w:rsidR="004A7B24" w:rsidRPr="004A7B24" w:rsidRDefault="004A7B24" w:rsidP="004A7B24">
    <w:pPr>
      <w:pStyle w:val="Footer-pool"/>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8F97" w14:textId="16CEB08E" w:rsidR="004A7B24" w:rsidRPr="004A7B24" w:rsidRDefault="004A7B24" w:rsidP="004A7B24">
    <w:pPr>
      <w:pStyle w:val="Footer-pool"/>
      <w:jc w:val="right"/>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AE7C" w14:textId="1C7D63A1" w:rsidR="004A7B24" w:rsidRDefault="00AB2EFC" w:rsidP="004A7B24">
    <w:pPr>
      <w:pStyle w:val="Footer-jobnumber"/>
    </w:pPr>
    <w:bookmarkStart w:id="15" w:name="FooterJobDate"/>
    <w:r>
      <w:t>UNON_DCS_2614200[E]</w:t>
    </w:r>
    <w:r>
      <w:tab/>
      <w:t>121026</w:t>
    </w:r>
    <w:bookmarkEnd w:id="15"/>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1E83" w14:textId="204B31BF" w:rsidR="00A01800" w:rsidRPr="00A01800" w:rsidRDefault="00A01800" w:rsidP="00A01800">
    <w:pPr>
      <w:pStyle w:val="Footer-jobnumber"/>
    </w:pPr>
    <w:r w:rsidRPr="00A01800">
      <w:t>UNON_DCS_xxxxxx[E]</w:t>
    </w:r>
    <w:r w:rsidRPr="00A01800">
      <w:tab/>
      <w:t>280926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AFEA2" w14:textId="77777777" w:rsidR="004F0A7F" w:rsidRPr="00A01800" w:rsidRDefault="004F0A7F" w:rsidP="00C70B49">
      <w:pPr>
        <w:pStyle w:val="Footnote-Separator"/>
        <w:rPr>
          <w:szCs w:val="18"/>
        </w:rPr>
      </w:pPr>
      <w:r w:rsidRPr="00A01800">
        <w:separator/>
      </w:r>
    </w:p>
  </w:footnote>
  <w:footnote w:type="continuationSeparator" w:id="0">
    <w:p w14:paraId="77824E3B" w14:textId="77777777" w:rsidR="004F0A7F" w:rsidRPr="00A01800" w:rsidRDefault="004F0A7F" w:rsidP="00C70B49">
      <w:pPr>
        <w:pStyle w:val="Footnote-Separator"/>
      </w:pPr>
      <w:r w:rsidRPr="00A01800">
        <w:continuationSeparator/>
      </w:r>
    </w:p>
  </w:footnote>
  <w:footnote w:type="continuationNotice" w:id="1">
    <w:p w14:paraId="691A8C73" w14:textId="77777777" w:rsidR="004F0A7F" w:rsidRPr="00A01800" w:rsidRDefault="004F0A7F" w:rsidP="00C70B49">
      <w:pPr>
        <w:pStyle w:val="ASpacer"/>
      </w:pPr>
    </w:p>
  </w:footnote>
  <w:footnote w:id="2">
    <w:p w14:paraId="38DAE1FD" w14:textId="77777777" w:rsidR="00535219" w:rsidRPr="009046CF" w:rsidRDefault="00535219" w:rsidP="00535219">
      <w:pPr>
        <w:pStyle w:val="FootnoteText"/>
        <w:tabs>
          <w:tab w:val="left" w:pos="624"/>
        </w:tabs>
        <w:spacing w:before="20" w:after="40"/>
        <w:ind w:left="1247"/>
        <w:rPr>
          <w:sz w:val="18"/>
          <w:szCs w:val="18"/>
        </w:rPr>
      </w:pPr>
      <w:r w:rsidRPr="009046CF">
        <w:rPr>
          <w:rStyle w:val="FootnoteReference"/>
          <w:sz w:val="18"/>
          <w:vertAlign w:val="baseline"/>
        </w:rPr>
        <w:t>*</w:t>
      </w:r>
      <w:r w:rsidRPr="009046CF">
        <w:rPr>
          <w:sz w:val="18"/>
          <w:szCs w:val="18"/>
          <w:lang w:val="en-US"/>
        </w:rPr>
        <w:t xml:space="preserve"> UNEP/OzL.Pro.38/1</w:t>
      </w:r>
      <w:r w:rsidRPr="009046CF">
        <w:rPr>
          <w:sz w:val="18"/>
          <w:szCs w:val="18"/>
        </w:rPr>
        <w:t>.</w:t>
      </w:r>
    </w:p>
  </w:footnote>
  <w:footnote w:id="3">
    <w:p w14:paraId="1E8C6F12" w14:textId="4B21FE16" w:rsidR="004A7B24" w:rsidRPr="009046CF" w:rsidRDefault="004A7B24" w:rsidP="009046CF">
      <w:pPr>
        <w:pStyle w:val="Footnote-Text"/>
        <w:tabs>
          <w:tab w:val="clear" w:pos="1247"/>
          <w:tab w:val="clear" w:pos="1871"/>
          <w:tab w:val="clear" w:pos="2495"/>
          <w:tab w:val="clear" w:pos="3119"/>
          <w:tab w:val="clear" w:pos="3742"/>
          <w:tab w:val="clear" w:pos="4366"/>
        </w:tabs>
        <w:rPr>
          <w:szCs w:val="18"/>
        </w:rPr>
      </w:pPr>
      <w:r w:rsidRPr="009046CF">
        <w:rPr>
          <w:rStyle w:val="FootnoteReference"/>
          <w:sz w:val="18"/>
        </w:rPr>
        <w:footnoteRef/>
      </w:r>
      <w:r w:rsidRPr="009046CF">
        <w:rPr>
          <w:szCs w:val="18"/>
        </w:rPr>
        <w:t xml:space="preserve"> </w:t>
      </w:r>
      <w:r w:rsidR="00440C71">
        <w:rPr>
          <w:szCs w:val="18"/>
        </w:rPr>
        <w:t>See</w:t>
      </w:r>
      <w:r w:rsidRPr="009046CF">
        <w:rPr>
          <w:szCs w:val="18"/>
        </w:rPr>
        <w:t xml:space="preserve"> </w:t>
      </w:r>
      <w:hyperlink r:id="rId1" w:history="1">
        <w:r w:rsidRPr="009046CF">
          <w:rPr>
            <w:rStyle w:val="Hyperlink"/>
            <w:szCs w:val="18"/>
          </w:rPr>
          <w:t>https://ozone.unep.org/system/files/documents/TEAP-RTF-supplementary-report-september2026.pdf</w:t>
        </w:r>
      </w:hyperlink>
      <w:r w:rsidRPr="009046CF">
        <w:rPr>
          <w:szCs w:val="18"/>
        </w:rPr>
        <w:t>.</w:t>
      </w:r>
    </w:p>
  </w:footnote>
  <w:footnote w:id="4">
    <w:p w14:paraId="6D4A1343" w14:textId="0FBF1FBE" w:rsidR="004A7B24" w:rsidRPr="00AB2EFC" w:rsidRDefault="004A7B24" w:rsidP="009046CF">
      <w:pPr>
        <w:pStyle w:val="FootnoteText"/>
        <w:tabs>
          <w:tab w:val="left" w:pos="624"/>
        </w:tabs>
        <w:spacing w:before="20" w:after="40"/>
        <w:ind w:left="1247"/>
        <w:rPr>
          <w:b/>
          <w:bCs/>
          <w:sz w:val="18"/>
          <w:szCs w:val="18"/>
        </w:rPr>
      </w:pPr>
      <w:r w:rsidRPr="009046CF">
        <w:rPr>
          <w:rStyle w:val="FootnoteReference"/>
          <w:sz w:val="18"/>
        </w:rPr>
        <w:footnoteRef/>
      </w:r>
      <w:r w:rsidRPr="009046CF">
        <w:rPr>
          <w:sz w:val="18"/>
          <w:szCs w:val="18"/>
        </w:rPr>
        <w:t xml:space="preserve"> Under </w:t>
      </w:r>
      <w:r w:rsidR="009B04F4">
        <w:rPr>
          <w:sz w:val="18"/>
          <w:szCs w:val="18"/>
        </w:rPr>
        <w:t>s</w:t>
      </w:r>
      <w:r w:rsidRPr="009046CF">
        <w:rPr>
          <w:sz w:val="18"/>
          <w:szCs w:val="18"/>
        </w:rPr>
        <w:t xml:space="preserve">chedule A, 60 per cent of </w:t>
      </w:r>
      <w:r w:rsidR="009B04F4">
        <w:rPr>
          <w:sz w:val="18"/>
          <w:szCs w:val="18"/>
        </w:rPr>
        <w:t>s</w:t>
      </w:r>
      <w:r w:rsidRPr="009046CF">
        <w:rPr>
          <w:sz w:val="18"/>
          <w:szCs w:val="18"/>
        </w:rPr>
        <w:t xml:space="preserve">tage II </w:t>
      </w:r>
      <w:r w:rsidR="009B04F4" w:rsidRPr="009B04F4">
        <w:rPr>
          <w:sz w:val="18"/>
          <w:szCs w:val="18"/>
        </w:rPr>
        <w:t>Kigali HFC implementation plan</w:t>
      </w:r>
      <w:r w:rsidR="009B04F4" w:rsidRPr="009046CF">
        <w:rPr>
          <w:sz w:val="18"/>
          <w:szCs w:val="18"/>
        </w:rPr>
        <w:t xml:space="preserve"> </w:t>
      </w:r>
      <w:r w:rsidRPr="009046CF">
        <w:rPr>
          <w:sz w:val="18"/>
          <w:szCs w:val="18"/>
        </w:rPr>
        <w:t xml:space="preserve">funding for parties without </w:t>
      </w:r>
      <w:r w:rsidR="009B04F4">
        <w:rPr>
          <w:sz w:val="18"/>
          <w:szCs w:val="18"/>
        </w:rPr>
        <w:t>such plans</w:t>
      </w:r>
      <w:r w:rsidR="009B04F4" w:rsidRPr="009046CF">
        <w:rPr>
          <w:sz w:val="18"/>
          <w:szCs w:val="18"/>
        </w:rPr>
        <w:t xml:space="preserve"> </w:t>
      </w:r>
      <w:r w:rsidRPr="009046CF">
        <w:rPr>
          <w:sz w:val="18"/>
          <w:szCs w:val="18"/>
        </w:rPr>
        <w:t xml:space="preserve">is allocated to </w:t>
      </w:r>
      <w:r w:rsidR="00166793">
        <w:rPr>
          <w:sz w:val="18"/>
          <w:szCs w:val="18"/>
        </w:rPr>
        <w:t xml:space="preserve">the triennium </w:t>
      </w:r>
      <w:r w:rsidRPr="009046CF">
        <w:rPr>
          <w:sz w:val="18"/>
          <w:szCs w:val="18"/>
        </w:rPr>
        <w:t>2030–2032</w:t>
      </w:r>
      <w:r w:rsidR="001A7019">
        <w:rPr>
          <w:sz w:val="18"/>
          <w:szCs w:val="18"/>
        </w:rPr>
        <w:t xml:space="preserve"> </w:t>
      </w:r>
      <w:r w:rsidR="009A1ABC">
        <w:rPr>
          <w:sz w:val="18"/>
          <w:szCs w:val="18"/>
        </w:rPr>
        <w:t>(</w:t>
      </w:r>
      <w:r w:rsidR="00566A2A">
        <w:rPr>
          <w:sz w:val="18"/>
          <w:szCs w:val="18"/>
        </w:rPr>
        <w:t xml:space="preserve">with </w:t>
      </w:r>
      <w:r w:rsidR="009A1ABC">
        <w:rPr>
          <w:sz w:val="18"/>
          <w:szCs w:val="18"/>
        </w:rPr>
        <w:t xml:space="preserve">no funding in the </w:t>
      </w:r>
      <w:r w:rsidR="00815105">
        <w:rPr>
          <w:sz w:val="18"/>
          <w:szCs w:val="18"/>
        </w:rPr>
        <w:t xml:space="preserve">triennium </w:t>
      </w:r>
      <w:r w:rsidR="009A1ABC">
        <w:rPr>
          <w:sz w:val="18"/>
          <w:szCs w:val="18"/>
        </w:rPr>
        <w:t>2027</w:t>
      </w:r>
      <w:r w:rsidR="00815105">
        <w:rPr>
          <w:sz w:val="18"/>
          <w:szCs w:val="18"/>
        </w:rPr>
        <w:t>–</w:t>
      </w:r>
      <w:r w:rsidR="009A1ABC">
        <w:rPr>
          <w:sz w:val="18"/>
          <w:szCs w:val="18"/>
        </w:rPr>
        <w:t>2029)</w:t>
      </w:r>
      <w:r w:rsidRPr="009046CF">
        <w:rPr>
          <w:sz w:val="18"/>
          <w:szCs w:val="18"/>
        </w:rPr>
        <w:t xml:space="preserve">, while 60 per cent for parties with </w:t>
      </w:r>
      <w:r w:rsidR="009B04F4">
        <w:rPr>
          <w:sz w:val="18"/>
          <w:szCs w:val="18"/>
        </w:rPr>
        <w:t>such plans</w:t>
      </w:r>
      <w:r w:rsidR="009B04F4" w:rsidRPr="009046CF">
        <w:rPr>
          <w:sz w:val="18"/>
          <w:szCs w:val="18"/>
        </w:rPr>
        <w:t xml:space="preserve"> </w:t>
      </w:r>
      <w:r w:rsidRPr="009046CF">
        <w:rPr>
          <w:sz w:val="18"/>
          <w:szCs w:val="18"/>
        </w:rPr>
        <w:t xml:space="preserve">is allocated to </w:t>
      </w:r>
      <w:r w:rsidR="00166793">
        <w:rPr>
          <w:sz w:val="18"/>
          <w:szCs w:val="18"/>
        </w:rPr>
        <w:t xml:space="preserve">the triennium </w:t>
      </w:r>
      <w:r w:rsidRPr="009046CF">
        <w:rPr>
          <w:sz w:val="18"/>
          <w:szCs w:val="18"/>
        </w:rPr>
        <w:t xml:space="preserve">2027–2029. Under </w:t>
      </w:r>
      <w:r w:rsidR="00275AE7">
        <w:rPr>
          <w:sz w:val="18"/>
          <w:szCs w:val="18"/>
        </w:rPr>
        <w:t>s</w:t>
      </w:r>
      <w:r w:rsidRPr="009046CF">
        <w:rPr>
          <w:sz w:val="18"/>
          <w:szCs w:val="18"/>
        </w:rPr>
        <w:t xml:space="preserve">chedule B, 60 per cent of funding for </w:t>
      </w:r>
      <w:r w:rsidRPr="0014019B">
        <w:rPr>
          <w:sz w:val="18"/>
          <w:szCs w:val="18"/>
        </w:rPr>
        <w:t xml:space="preserve">parties </w:t>
      </w:r>
      <w:r w:rsidR="009B04F4" w:rsidRPr="0014019B">
        <w:rPr>
          <w:sz w:val="18"/>
          <w:szCs w:val="18"/>
        </w:rPr>
        <w:t xml:space="preserve">with and </w:t>
      </w:r>
      <w:r w:rsidRPr="0014019B">
        <w:rPr>
          <w:sz w:val="18"/>
          <w:szCs w:val="18"/>
        </w:rPr>
        <w:t xml:space="preserve">without </w:t>
      </w:r>
      <w:r w:rsidR="009B04F4" w:rsidRPr="0014019B">
        <w:rPr>
          <w:sz w:val="18"/>
          <w:szCs w:val="18"/>
        </w:rPr>
        <w:t>Kigali HFC implementation plans</w:t>
      </w:r>
      <w:r w:rsidRPr="0014019B">
        <w:rPr>
          <w:sz w:val="18"/>
          <w:szCs w:val="18"/>
        </w:rPr>
        <w:t xml:space="preserve"> is allocated to </w:t>
      </w:r>
      <w:r w:rsidR="00166793" w:rsidRPr="0014019B">
        <w:rPr>
          <w:sz w:val="18"/>
          <w:szCs w:val="18"/>
        </w:rPr>
        <w:t xml:space="preserve">the triennium </w:t>
      </w:r>
      <w:r w:rsidRPr="0014019B">
        <w:rPr>
          <w:sz w:val="18"/>
          <w:szCs w:val="18"/>
        </w:rPr>
        <w:t>2030–2032</w:t>
      </w:r>
      <w:r w:rsidR="00E90773" w:rsidRPr="0014019B">
        <w:rPr>
          <w:sz w:val="18"/>
          <w:szCs w:val="18"/>
        </w:rPr>
        <w:t xml:space="preserve"> </w:t>
      </w:r>
      <w:r w:rsidR="00B17B3A" w:rsidRPr="0014019B">
        <w:rPr>
          <w:sz w:val="18"/>
          <w:szCs w:val="18"/>
        </w:rPr>
        <w:t>(</w:t>
      </w:r>
      <w:r w:rsidR="00566A2A" w:rsidRPr="0014019B">
        <w:rPr>
          <w:sz w:val="18"/>
          <w:szCs w:val="18"/>
        </w:rPr>
        <w:t xml:space="preserve">with </w:t>
      </w:r>
      <w:r w:rsidR="00B17B3A" w:rsidRPr="0014019B">
        <w:rPr>
          <w:sz w:val="18"/>
          <w:szCs w:val="18"/>
        </w:rPr>
        <w:t xml:space="preserve">no funding </w:t>
      </w:r>
      <w:r w:rsidR="00BC1632">
        <w:rPr>
          <w:sz w:val="18"/>
          <w:szCs w:val="18"/>
        </w:rPr>
        <w:t>for</w:t>
      </w:r>
      <w:r w:rsidR="00BC1632" w:rsidRPr="0014019B">
        <w:rPr>
          <w:sz w:val="18"/>
          <w:szCs w:val="18"/>
        </w:rPr>
        <w:t xml:space="preserve"> either </w:t>
      </w:r>
      <w:r w:rsidR="00BC1632">
        <w:rPr>
          <w:sz w:val="18"/>
          <w:szCs w:val="18"/>
        </w:rPr>
        <w:t>group</w:t>
      </w:r>
      <w:r w:rsidR="00BC1632" w:rsidRPr="0014019B">
        <w:rPr>
          <w:sz w:val="18"/>
          <w:szCs w:val="18"/>
        </w:rPr>
        <w:t xml:space="preserve"> </w:t>
      </w:r>
      <w:r w:rsidR="00B17B3A" w:rsidRPr="0014019B">
        <w:rPr>
          <w:sz w:val="18"/>
          <w:szCs w:val="18"/>
        </w:rPr>
        <w:t xml:space="preserve">in the </w:t>
      </w:r>
      <w:r w:rsidR="00060100" w:rsidRPr="0014019B">
        <w:rPr>
          <w:sz w:val="18"/>
          <w:szCs w:val="18"/>
        </w:rPr>
        <w:t xml:space="preserve">triennium </w:t>
      </w:r>
      <w:r w:rsidR="00B17B3A" w:rsidRPr="0014019B">
        <w:rPr>
          <w:sz w:val="18"/>
          <w:szCs w:val="18"/>
        </w:rPr>
        <w:t>2027</w:t>
      </w:r>
      <w:r w:rsidR="00060100" w:rsidRPr="0014019B">
        <w:rPr>
          <w:sz w:val="18"/>
          <w:szCs w:val="18"/>
        </w:rPr>
        <w:t>–</w:t>
      </w:r>
      <w:r w:rsidR="00B17B3A" w:rsidRPr="0014019B">
        <w:rPr>
          <w:sz w:val="18"/>
          <w:szCs w:val="18"/>
        </w:rPr>
        <w:t>2029</w:t>
      </w:r>
      <w:r w:rsidR="005A32E7" w:rsidRPr="0014019B">
        <w:rPr>
          <w:sz w:val="18"/>
          <w:szCs w:val="18"/>
        </w:rPr>
        <w:t>)</w:t>
      </w:r>
      <w:r w:rsidRPr="0014019B">
        <w:rPr>
          <w:sz w:val="18"/>
          <w:szCs w:val="18"/>
        </w:rPr>
        <w:t>.</w:t>
      </w:r>
    </w:p>
  </w:footnote>
  <w:footnote w:id="5">
    <w:p w14:paraId="4DD1DBF6" w14:textId="77777777" w:rsidR="004A7B24" w:rsidRPr="009046CF" w:rsidRDefault="004A7B24" w:rsidP="009046CF">
      <w:pPr>
        <w:pStyle w:val="Footnote-Text"/>
        <w:tabs>
          <w:tab w:val="clear" w:pos="1247"/>
          <w:tab w:val="clear" w:pos="1871"/>
          <w:tab w:val="clear" w:pos="2495"/>
          <w:tab w:val="clear" w:pos="3119"/>
          <w:tab w:val="clear" w:pos="3742"/>
          <w:tab w:val="clear" w:pos="4366"/>
        </w:tabs>
        <w:rPr>
          <w:szCs w:val="18"/>
        </w:rPr>
      </w:pPr>
      <w:r w:rsidRPr="009046CF">
        <w:rPr>
          <w:szCs w:val="18"/>
        </w:rPr>
        <w:t>* The present annex has not been formally edited.</w:t>
      </w:r>
    </w:p>
  </w:footnote>
  <w:footnote w:id="6">
    <w:p w14:paraId="06F0587E" w14:textId="1B1340FF" w:rsidR="004A7B24" w:rsidRPr="009046CF" w:rsidRDefault="004A7B24" w:rsidP="009046CF">
      <w:pPr>
        <w:pStyle w:val="FootnoteText"/>
        <w:tabs>
          <w:tab w:val="left" w:pos="624"/>
        </w:tabs>
        <w:spacing w:before="20" w:after="40"/>
        <w:ind w:left="1247"/>
        <w:rPr>
          <w:sz w:val="18"/>
          <w:szCs w:val="18"/>
        </w:rPr>
      </w:pPr>
      <w:r w:rsidRPr="009046CF">
        <w:rPr>
          <w:rStyle w:val="FootnoteReference"/>
          <w:sz w:val="18"/>
        </w:rPr>
        <w:footnoteRef/>
      </w:r>
      <w:r w:rsidRPr="009046CF">
        <w:rPr>
          <w:sz w:val="18"/>
          <w:szCs w:val="18"/>
        </w:rPr>
        <w:t xml:space="preserve"> An annual average of 2.5% is restricted to the servicing of refrigeration and air-conditioning equipment existing during 2030–2040. Decision XXX/2 referring to Annex I of the MOP30 report, adjusted this part of Article 5 (as</w:t>
      </w:r>
      <w:r w:rsidR="00195633">
        <w:rPr>
          <w:sz w:val="18"/>
          <w:szCs w:val="18"/>
        </w:rPr>
        <w:t> </w:t>
      </w:r>
      <w:r w:rsidRPr="009046CF">
        <w:rPr>
          <w:sz w:val="18"/>
          <w:szCs w:val="18"/>
        </w:rPr>
        <w:t>well as 2F) to include other uses, i.e., the servicing of fire suppression and fire protection equipment existing on 1 January 2030; solvent applications in rocket engine manufacturing; and topical medical aerosol for applications for the specialised treatment of burns.</w:t>
      </w:r>
    </w:p>
  </w:footnote>
  <w:footnote w:id="7">
    <w:p w14:paraId="4D7F915F" w14:textId="77777777" w:rsidR="004A7B24" w:rsidRPr="009046CF" w:rsidRDefault="004A7B24" w:rsidP="009046CF">
      <w:pPr>
        <w:pStyle w:val="FootnoteText"/>
        <w:tabs>
          <w:tab w:val="left" w:pos="624"/>
        </w:tabs>
        <w:spacing w:before="20" w:after="40"/>
        <w:ind w:left="1247"/>
        <w:rPr>
          <w:sz w:val="18"/>
          <w:szCs w:val="18"/>
        </w:rPr>
      </w:pPr>
      <w:r w:rsidRPr="009046CF">
        <w:rPr>
          <w:rStyle w:val="FootnoteReference"/>
          <w:sz w:val="18"/>
        </w:rPr>
        <w:footnoteRef/>
      </w:r>
      <w:r w:rsidRPr="009046CF">
        <w:rPr>
          <w:sz w:val="18"/>
          <w:szCs w:val="18"/>
        </w:rPr>
        <w:t xml:space="preserve"> Decision XXVIII/2, para. 2, under the Montreal Protocol refers to Article 5, group 2, parties as Bahrain, India, the Islamic Republic of Iran, Iraq, Kuwait, Oman, Pakistan, Qatar, Saudi Arabia, and the Unted Arab Emirates.</w:t>
      </w:r>
    </w:p>
  </w:footnote>
  <w:footnote w:id="8">
    <w:p w14:paraId="31F8BACF" w14:textId="77777777" w:rsidR="004A7B24" w:rsidRPr="009046CF" w:rsidRDefault="004A7B24" w:rsidP="009046CF">
      <w:pPr>
        <w:pStyle w:val="FootnoteText"/>
        <w:tabs>
          <w:tab w:val="left" w:pos="624"/>
        </w:tabs>
        <w:spacing w:before="20" w:after="40"/>
        <w:ind w:left="1247"/>
        <w:rPr>
          <w:sz w:val="18"/>
          <w:szCs w:val="18"/>
        </w:rPr>
      </w:pPr>
      <w:r w:rsidRPr="009046CF">
        <w:rPr>
          <w:rStyle w:val="FootnoteReference"/>
          <w:sz w:val="18"/>
        </w:rPr>
        <w:footnoteRef/>
      </w:r>
      <w:r w:rsidRPr="009046CF">
        <w:rPr>
          <w:sz w:val="18"/>
          <w:szCs w:val="18"/>
        </w:rPr>
        <w:t xml:space="preserve"> </w:t>
      </w:r>
      <w:r w:rsidRPr="00195633">
        <w:rPr>
          <w:rFonts w:eastAsiaTheme="minorHAnsi"/>
          <w:color w:val="0000FF"/>
          <w:sz w:val="18"/>
          <w:szCs w:val="18"/>
        </w:rPr>
        <w:t>https://ozone.unep.org/system/files/documents/TEAP-DecisionXXXVII6-replenishment-TF-report-May2026-RTF-report.pdf</w:t>
      </w:r>
    </w:p>
  </w:footnote>
  <w:footnote w:id="9">
    <w:p w14:paraId="2E23741D" w14:textId="77777777" w:rsidR="004A7B24" w:rsidRPr="009046CF" w:rsidRDefault="004A7B24" w:rsidP="009046CF">
      <w:pPr>
        <w:pStyle w:val="FootnoteText"/>
        <w:tabs>
          <w:tab w:val="clear" w:pos="1247"/>
          <w:tab w:val="left" w:pos="624"/>
        </w:tabs>
        <w:spacing w:before="20" w:after="40"/>
        <w:ind w:left="1247"/>
        <w:rPr>
          <w:sz w:val="18"/>
          <w:szCs w:val="18"/>
        </w:rPr>
      </w:pPr>
      <w:r w:rsidRPr="009046CF">
        <w:rPr>
          <w:rStyle w:val="FootnoteReference"/>
          <w:sz w:val="18"/>
        </w:rPr>
        <w:footnoteRef/>
      </w:r>
      <w:r w:rsidRPr="009046CF">
        <w:rPr>
          <w:sz w:val="18"/>
          <w:szCs w:val="18"/>
        </w:rPr>
        <w:t xml:space="preserve"> </w:t>
      </w:r>
      <w:r w:rsidRPr="00195633">
        <w:rPr>
          <w:rFonts w:eastAsiaTheme="minorHAnsi"/>
          <w:color w:val="0000FF"/>
          <w:sz w:val="18"/>
          <w:szCs w:val="18"/>
        </w:rPr>
        <w:t>https://ozone.unep.org/meetings/48th-meeting-open-ended-working-group-parties/contact-groups/contact-group-replenishment-report</w:t>
      </w:r>
    </w:p>
  </w:footnote>
  <w:footnote w:id="10">
    <w:p w14:paraId="212A3901" w14:textId="77777777" w:rsidR="004A7B24" w:rsidRPr="009046CF" w:rsidRDefault="004A7B24" w:rsidP="009046CF">
      <w:pPr>
        <w:tabs>
          <w:tab w:val="left" w:pos="624"/>
        </w:tabs>
        <w:spacing w:before="20" w:after="40"/>
        <w:ind w:left="1247"/>
        <w:rPr>
          <w:sz w:val="18"/>
          <w:szCs w:val="18"/>
        </w:rPr>
      </w:pPr>
      <w:r w:rsidRPr="009046CF">
        <w:rPr>
          <w:sz w:val="18"/>
          <w:szCs w:val="18"/>
          <w:vertAlign w:val="superscript"/>
        </w:rPr>
        <w:footnoteRef/>
      </w:r>
      <w:r w:rsidRPr="009046CF">
        <w:rPr>
          <w:sz w:val="18"/>
          <w:szCs w:val="18"/>
          <w:vertAlign w:val="superscript"/>
        </w:rPr>
        <w:t xml:space="preserve"> </w:t>
      </w:r>
      <w:r w:rsidRPr="009046CF">
        <w:rPr>
          <w:sz w:val="18"/>
          <w:szCs w:val="18"/>
        </w:rPr>
        <w:t>As of ExCom-97 and information received by TEAP as of 8 April 2026. For HFCs, assuming all parties ratify.</w:t>
      </w:r>
    </w:p>
  </w:footnote>
  <w:footnote w:id="11">
    <w:p w14:paraId="6BD9A53D" w14:textId="77777777" w:rsidR="004A7B24" w:rsidRPr="009046CF" w:rsidRDefault="004A7B24" w:rsidP="009046CF">
      <w:pPr>
        <w:tabs>
          <w:tab w:val="left" w:pos="624"/>
        </w:tabs>
        <w:spacing w:before="20" w:after="40"/>
        <w:ind w:left="1247"/>
        <w:rPr>
          <w:sz w:val="18"/>
          <w:szCs w:val="18"/>
        </w:rPr>
      </w:pPr>
      <w:r w:rsidRPr="009046CF">
        <w:rPr>
          <w:sz w:val="18"/>
          <w:szCs w:val="18"/>
          <w:vertAlign w:val="superscript"/>
        </w:rPr>
        <w:footnoteRef/>
      </w:r>
      <w:r w:rsidRPr="009046CF">
        <w:rPr>
          <w:sz w:val="18"/>
          <w:szCs w:val="18"/>
          <w:vertAlign w:val="superscript"/>
        </w:rPr>
        <w:t xml:space="preserve"> </w:t>
      </w:r>
      <w:r w:rsidRPr="009046CF">
        <w:rPr>
          <w:sz w:val="18"/>
          <w:szCs w:val="18"/>
        </w:rPr>
        <w:t>As of ExCom-98 and information received by TEAP as of 15 August 2026. For HFCs, assuming all parties ratify.</w:t>
      </w:r>
    </w:p>
  </w:footnote>
  <w:footnote w:id="12">
    <w:p w14:paraId="17A5191D" w14:textId="77777777" w:rsidR="004A7B24" w:rsidRPr="009046CF" w:rsidRDefault="004A7B24" w:rsidP="009046CF">
      <w:pPr>
        <w:pStyle w:val="FootnoteText"/>
        <w:tabs>
          <w:tab w:val="left" w:pos="624"/>
        </w:tabs>
        <w:spacing w:before="20" w:after="40"/>
        <w:ind w:left="1247"/>
        <w:rPr>
          <w:sz w:val="18"/>
          <w:szCs w:val="18"/>
          <w:lang w:eastAsia="zh-CN"/>
        </w:rPr>
      </w:pPr>
      <w:r w:rsidRPr="009046CF">
        <w:rPr>
          <w:rStyle w:val="FootnoteReference"/>
          <w:sz w:val="18"/>
        </w:rPr>
        <w:footnoteRef/>
      </w:r>
      <w:r w:rsidRPr="009046CF">
        <w:rPr>
          <w:sz w:val="18"/>
          <w:szCs w:val="18"/>
        </w:rPr>
        <w:t xml:space="preserve"> Note: figures may not sum due to rounding.</w:t>
      </w:r>
    </w:p>
  </w:footnote>
  <w:footnote w:id="13">
    <w:p w14:paraId="33C11C11" w14:textId="77777777" w:rsidR="004A7B24" w:rsidRPr="009046CF" w:rsidRDefault="004A7B24" w:rsidP="009046CF">
      <w:pPr>
        <w:tabs>
          <w:tab w:val="left" w:pos="624"/>
        </w:tabs>
        <w:spacing w:before="20" w:after="40"/>
        <w:ind w:left="1247"/>
        <w:rPr>
          <w:sz w:val="18"/>
          <w:szCs w:val="18"/>
        </w:rPr>
      </w:pPr>
      <w:r w:rsidRPr="009046CF">
        <w:rPr>
          <w:sz w:val="18"/>
          <w:szCs w:val="18"/>
          <w:vertAlign w:val="superscript"/>
        </w:rPr>
        <w:footnoteRef/>
      </w:r>
      <w:r w:rsidRPr="009046CF">
        <w:rPr>
          <w:sz w:val="18"/>
          <w:szCs w:val="18"/>
          <w:vertAlign w:val="superscript"/>
        </w:rPr>
        <w:t xml:space="preserve"> </w:t>
      </w:r>
      <w:r w:rsidRPr="009046CF">
        <w:rPr>
          <w:sz w:val="18"/>
          <w:szCs w:val="18"/>
        </w:rPr>
        <w:t xml:space="preserve">As of ExCom-97 and information received by TEAP as of 8 April 2026. For HFCs, assuming all parties ratify. May 2026 Report did not include PMU costs. Updated May report includes PMUs. </w:t>
      </w:r>
    </w:p>
  </w:footnote>
  <w:footnote w:id="14">
    <w:p w14:paraId="125E8A4D" w14:textId="77777777" w:rsidR="004A7B24" w:rsidRPr="009046CF" w:rsidRDefault="004A7B24" w:rsidP="009046CF">
      <w:pPr>
        <w:tabs>
          <w:tab w:val="left" w:pos="624"/>
        </w:tabs>
        <w:spacing w:before="20" w:after="40"/>
        <w:ind w:left="1247"/>
        <w:rPr>
          <w:sz w:val="18"/>
          <w:szCs w:val="18"/>
        </w:rPr>
      </w:pPr>
      <w:r w:rsidRPr="009046CF">
        <w:rPr>
          <w:sz w:val="18"/>
          <w:szCs w:val="18"/>
          <w:vertAlign w:val="superscript"/>
        </w:rPr>
        <w:footnoteRef/>
      </w:r>
      <w:r w:rsidRPr="009046CF">
        <w:rPr>
          <w:sz w:val="18"/>
          <w:szCs w:val="18"/>
          <w:vertAlign w:val="superscript"/>
        </w:rPr>
        <w:t xml:space="preserve"> </w:t>
      </w:r>
      <w:r w:rsidRPr="009046CF">
        <w:rPr>
          <w:sz w:val="18"/>
          <w:szCs w:val="18"/>
        </w:rPr>
        <w:t>As of ExCom-98 and information received by TEAP as of 15 August 2026. For HFCs, assuming all parties ratify KA. PMU costs applied.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C6272" w14:textId="1DEE788D" w:rsidR="004A7B24" w:rsidRPr="004A7B24" w:rsidRDefault="00000000" w:rsidP="004A7B24">
    <w:pPr>
      <w:pStyle w:val="Header-pool"/>
    </w:pPr>
    <w:r>
      <w:rPr>
        <w:noProof/>
      </w:rPr>
      <w:pict w14:anchorId="010968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812969" o:spid="_x0000_s1026" type="#_x0000_t136" style="position:absolute;margin-left:0;margin-top:0;width:520.7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4A7B24">
      <w:fldChar w:fldCharType="begin"/>
    </w:r>
    <w:r w:rsidR="004A7B24">
      <w:instrText xml:space="preserve"> StyleRef A_Symbol </w:instrText>
    </w:r>
    <w:r w:rsidR="004A7B24">
      <w:fldChar w:fldCharType="separate"/>
    </w:r>
    <w:r w:rsidR="00C305B8">
      <w:rPr>
        <w:noProof/>
      </w:rPr>
      <w:t>UNEP/OzL.Pro.38/2/Add.2</w:t>
    </w:r>
    <w:r w:rsidR="004A7B24">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0F0CB" w14:textId="591F534E" w:rsidR="004A7B24" w:rsidRPr="004A7B24" w:rsidRDefault="00000000" w:rsidP="004A7B24">
    <w:pPr>
      <w:pStyle w:val="Header-pool"/>
      <w:jc w:val="right"/>
    </w:pPr>
    <w:r>
      <w:rPr>
        <w:noProof/>
      </w:rPr>
      <w:pict w14:anchorId="0E0AA6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812970" o:spid="_x0000_s1027" type="#_x0000_t136" style="position:absolute;left:0;text-align:left;margin-left:0;margin-top:0;width:520.7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4A7B24">
      <w:fldChar w:fldCharType="begin"/>
    </w:r>
    <w:r w:rsidR="004A7B24">
      <w:instrText xml:space="preserve"> StyleRef A_Symbol </w:instrText>
    </w:r>
    <w:r w:rsidR="004A7B24">
      <w:fldChar w:fldCharType="separate"/>
    </w:r>
    <w:r w:rsidR="00C305B8">
      <w:rPr>
        <w:noProof/>
      </w:rPr>
      <w:t>UNEP/OzL.Pro.38/2/Add.2</w:t>
    </w:r>
    <w:r w:rsidR="004A7B2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7D2E" w14:textId="6BA37BBF" w:rsidR="00E25E25" w:rsidRDefault="00000000" w:rsidP="00E25E25">
    <w:pPr>
      <w:pStyle w:val="Normal-pool"/>
    </w:pPr>
    <w:r>
      <w:rPr>
        <w:noProof/>
      </w:rPr>
      <w:pict w14:anchorId="58DE85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812968" o:spid="_x0000_s1025" type="#_x0000_t136" style="position:absolute;margin-left:0;margin-top:0;width:520.7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0B9BF" w14:textId="5024B1A7" w:rsidR="00E25E25" w:rsidRPr="004A7B24" w:rsidRDefault="00000000" w:rsidP="004A7B24">
    <w:pPr>
      <w:pStyle w:val="Header-pool"/>
    </w:pPr>
    <w:r>
      <w:rPr>
        <w:noProof/>
      </w:rPr>
      <w:pict w14:anchorId="5CCC1F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812972" o:spid="_x0000_s1031" type="#_x0000_t136" style="position:absolute;margin-left:0;margin-top:0;width:520.7pt;height:148.75pt;rotation:315;z-index:-25164492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Pr>
        <w:noProof/>
      </w:rPr>
      <w:pict w14:anchorId="12C2D8B8">
        <v:shape id="_x0000_s1030" type="#_x0000_t136" style="position:absolute;margin-left:0;margin-top:0;width:520.7pt;height:148.75pt;rotation:315;z-index:-25164697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E25E25">
      <w:fldChar w:fldCharType="begin"/>
    </w:r>
    <w:r w:rsidR="00E25E25">
      <w:instrText xml:space="preserve"> StyleRef A_Symbol </w:instrText>
    </w:r>
    <w:r w:rsidR="00E25E25">
      <w:fldChar w:fldCharType="separate"/>
    </w:r>
    <w:r w:rsidR="00C305B8">
      <w:rPr>
        <w:noProof/>
      </w:rPr>
      <w:t>UNEP/OzL.Pro.38/2/Add.2</w:t>
    </w:r>
    <w:r w:rsidR="00E25E25">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7FBEC" w14:textId="76A7B749" w:rsidR="00E25E25" w:rsidRPr="004A7B24" w:rsidRDefault="00000000" w:rsidP="004A7B24">
    <w:pPr>
      <w:pStyle w:val="Header-pool"/>
      <w:jc w:val="right"/>
    </w:pPr>
    <w:r>
      <w:rPr>
        <w:noProof/>
      </w:rPr>
      <w:pict w14:anchorId="6959B1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812973" o:spid="_x0000_s1033" type="#_x0000_t136" style="position:absolute;left:0;text-align:left;margin-left:0;margin-top:0;width:520.7pt;height:148.75pt;rotation:315;z-index:-25164083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Pr>
        <w:noProof/>
      </w:rPr>
      <w:pict w14:anchorId="027161F7">
        <v:shape id="_x0000_s1032" type="#_x0000_t136" style="position:absolute;left:0;text-align:left;margin-left:0;margin-top:0;width:520.7pt;height:148.75pt;rotation:315;z-index:-25164288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E25E25">
      <w:fldChar w:fldCharType="begin"/>
    </w:r>
    <w:r w:rsidR="00E25E25">
      <w:instrText xml:space="preserve"> StyleRef A_Symbol </w:instrText>
    </w:r>
    <w:r w:rsidR="00E25E25">
      <w:fldChar w:fldCharType="separate"/>
    </w:r>
    <w:r w:rsidR="00C305B8">
      <w:rPr>
        <w:noProof/>
      </w:rPr>
      <w:t>UNEP/OzL.Pro.38/2/Add.2</w:t>
    </w:r>
    <w:r w:rsidR="00E25E25">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A956" w14:textId="4EB8D912" w:rsidR="00E25E25" w:rsidRDefault="00000000">
    <w:pPr>
      <w:pStyle w:val="Header"/>
    </w:pPr>
    <w:r>
      <w:rPr>
        <w:noProof/>
      </w:rPr>
      <w:pict w14:anchorId="0B6221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1812971" o:spid="_x0000_s1029" type="#_x0000_t136" style="position:absolute;margin-left:0;margin-top:0;width:520.7pt;height:148.75pt;rotation:315;z-index:-251649024;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Pr>
        <w:noProof/>
      </w:rPr>
      <w:pict w14:anchorId="5F82BF88">
        <v:shape id="_x0000_s1028" type="#_x0000_t136" style="position:absolute;margin-left:0;margin-top:0;width:520.7pt;height:148.75pt;rotation:315;z-index:-25165107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D632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0E0D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67C10D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F78B8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32E91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907E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8A0F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013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48B8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64D6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8850820"/>
    <w:multiLevelType w:val="hybridMultilevel"/>
    <w:tmpl w:val="B824DC7A"/>
    <w:lvl w:ilvl="0" w:tplc="FFFFFFFF">
      <w:start w:val="1"/>
      <w:numFmt w:val="bullet"/>
      <w:lvlText w:val=""/>
      <w:lvlJc w:val="left"/>
      <w:pPr>
        <w:ind w:left="3465" w:hanging="360"/>
      </w:pPr>
      <w:rPr>
        <w:rFonts w:ascii="Wingdings" w:hAnsi="Wingdings" w:hint="default"/>
      </w:rPr>
    </w:lvl>
    <w:lvl w:ilvl="1" w:tplc="FFFFFFFF">
      <w:start w:val="1"/>
      <w:numFmt w:val="bullet"/>
      <w:lvlText w:val=""/>
      <w:lvlJc w:val="left"/>
      <w:pPr>
        <w:ind w:left="2687" w:hanging="360"/>
      </w:pPr>
      <w:rPr>
        <w:rFonts w:ascii="Symbol" w:hAnsi="Symbol" w:hint="default"/>
      </w:rPr>
    </w:lvl>
    <w:lvl w:ilvl="2" w:tplc="20000005">
      <w:start w:val="1"/>
      <w:numFmt w:val="bullet"/>
      <w:lvlText w:val=""/>
      <w:lvlJc w:val="left"/>
      <w:pPr>
        <w:ind w:left="3407" w:hanging="360"/>
      </w:pPr>
      <w:rPr>
        <w:rFonts w:ascii="Wingdings" w:hAnsi="Wingdings" w:hint="default"/>
      </w:rPr>
    </w:lvl>
    <w:lvl w:ilvl="3" w:tplc="FFFFFFFF" w:tentative="1">
      <w:start w:val="1"/>
      <w:numFmt w:val="bullet"/>
      <w:lvlText w:val=""/>
      <w:lvlJc w:val="left"/>
      <w:pPr>
        <w:ind w:left="4127" w:hanging="360"/>
      </w:pPr>
      <w:rPr>
        <w:rFonts w:ascii="Symbol" w:hAnsi="Symbol" w:hint="default"/>
      </w:rPr>
    </w:lvl>
    <w:lvl w:ilvl="4" w:tplc="FFFFFFFF" w:tentative="1">
      <w:start w:val="1"/>
      <w:numFmt w:val="bullet"/>
      <w:lvlText w:val="o"/>
      <w:lvlJc w:val="left"/>
      <w:pPr>
        <w:ind w:left="4847" w:hanging="360"/>
      </w:pPr>
      <w:rPr>
        <w:rFonts w:ascii="Courier New" w:hAnsi="Courier New" w:cs="Courier New" w:hint="default"/>
      </w:rPr>
    </w:lvl>
    <w:lvl w:ilvl="5" w:tplc="FFFFFFFF" w:tentative="1">
      <w:start w:val="1"/>
      <w:numFmt w:val="bullet"/>
      <w:lvlText w:val=""/>
      <w:lvlJc w:val="left"/>
      <w:pPr>
        <w:ind w:left="5567" w:hanging="360"/>
      </w:pPr>
      <w:rPr>
        <w:rFonts w:ascii="Wingdings" w:hAnsi="Wingdings" w:hint="default"/>
      </w:rPr>
    </w:lvl>
    <w:lvl w:ilvl="6" w:tplc="FFFFFFFF" w:tentative="1">
      <w:start w:val="1"/>
      <w:numFmt w:val="bullet"/>
      <w:lvlText w:val=""/>
      <w:lvlJc w:val="left"/>
      <w:pPr>
        <w:ind w:left="6287" w:hanging="360"/>
      </w:pPr>
      <w:rPr>
        <w:rFonts w:ascii="Symbol" w:hAnsi="Symbol" w:hint="default"/>
      </w:rPr>
    </w:lvl>
    <w:lvl w:ilvl="7" w:tplc="FFFFFFFF" w:tentative="1">
      <w:start w:val="1"/>
      <w:numFmt w:val="bullet"/>
      <w:lvlText w:val="o"/>
      <w:lvlJc w:val="left"/>
      <w:pPr>
        <w:ind w:left="7007" w:hanging="360"/>
      </w:pPr>
      <w:rPr>
        <w:rFonts w:ascii="Courier New" w:hAnsi="Courier New" w:cs="Courier New" w:hint="default"/>
      </w:rPr>
    </w:lvl>
    <w:lvl w:ilvl="8" w:tplc="FFFFFFFF" w:tentative="1">
      <w:start w:val="1"/>
      <w:numFmt w:val="bullet"/>
      <w:lvlText w:val=""/>
      <w:lvlJc w:val="left"/>
      <w:pPr>
        <w:ind w:left="7727" w:hanging="360"/>
      </w:pPr>
      <w:rPr>
        <w:rFonts w:ascii="Wingdings" w:hAnsi="Wingdings" w:hint="default"/>
      </w:rPr>
    </w:lvl>
  </w:abstractNum>
  <w:abstractNum w:abstractNumId="12" w15:restartNumberingAfterBreak="0">
    <w:nsid w:val="08BE1B5E"/>
    <w:multiLevelType w:val="hybridMultilevel"/>
    <w:tmpl w:val="D1680ED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DD71FE0"/>
    <w:multiLevelType w:val="hybridMultilevel"/>
    <w:tmpl w:val="18F83D1A"/>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71113A7"/>
    <w:multiLevelType w:val="multilevel"/>
    <w:tmpl w:val="15304444"/>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5" w15:restartNumberingAfterBreak="0">
    <w:nsid w:val="17F83176"/>
    <w:multiLevelType w:val="hybridMultilevel"/>
    <w:tmpl w:val="9FF29502"/>
    <w:lvl w:ilvl="0" w:tplc="FFFFFFFF">
      <w:start w:val="1"/>
      <w:numFmt w:val="bullet"/>
      <w:lvlText w:val=""/>
      <w:lvlJc w:val="left"/>
      <w:pPr>
        <w:ind w:left="3465" w:hanging="360"/>
      </w:pPr>
      <w:rPr>
        <w:rFonts w:ascii="Wingdings" w:hAnsi="Wingdings" w:hint="default"/>
      </w:rPr>
    </w:lvl>
    <w:lvl w:ilvl="1" w:tplc="20000001">
      <w:start w:val="1"/>
      <w:numFmt w:val="bullet"/>
      <w:lvlText w:val=""/>
      <w:lvlJc w:val="left"/>
      <w:pPr>
        <w:ind w:left="2687" w:hanging="360"/>
      </w:pPr>
      <w:rPr>
        <w:rFonts w:ascii="Symbol" w:hAnsi="Symbol" w:hint="default"/>
      </w:rPr>
    </w:lvl>
    <w:lvl w:ilvl="2" w:tplc="FFFFFFFF">
      <w:start w:val="1"/>
      <w:numFmt w:val="bullet"/>
      <w:lvlText w:val=""/>
      <w:lvlJc w:val="left"/>
      <w:pPr>
        <w:ind w:left="3407" w:hanging="360"/>
      </w:pPr>
      <w:rPr>
        <w:rFonts w:ascii="Wingdings" w:hAnsi="Wingdings" w:hint="default"/>
      </w:rPr>
    </w:lvl>
    <w:lvl w:ilvl="3" w:tplc="FFFFFFFF" w:tentative="1">
      <w:start w:val="1"/>
      <w:numFmt w:val="bullet"/>
      <w:lvlText w:val=""/>
      <w:lvlJc w:val="left"/>
      <w:pPr>
        <w:ind w:left="4127" w:hanging="360"/>
      </w:pPr>
      <w:rPr>
        <w:rFonts w:ascii="Symbol" w:hAnsi="Symbol" w:hint="default"/>
      </w:rPr>
    </w:lvl>
    <w:lvl w:ilvl="4" w:tplc="FFFFFFFF" w:tentative="1">
      <w:start w:val="1"/>
      <w:numFmt w:val="bullet"/>
      <w:lvlText w:val="o"/>
      <w:lvlJc w:val="left"/>
      <w:pPr>
        <w:ind w:left="4847" w:hanging="360"/>
      </w:pPr>
      <w:rPr>
        <w:rFonts w:ascii="Courier New" w:hAnsi="Courier New" w:cs="Courier New" w:hint="default"/>
      </w:rPr>
    </w:lvl>
    <w:lvl w:ilvl="5" w:tplc="FFFFFFFF" w:tentative="1">
      <w:start w:val="1"/>
      <w:numFmt w:val="bullet"/>
      <w:lvlText w:val=""/>
      <w:lvlJc w:val="left"/>
      <w:pPr>
        <w:ind w:left="5567" w:hanging="360"/>
      </w:pPr>
      <w:rPr>
        <w:rFonts w:ascii="Wingdings" w:hAnsi="Wingdings" w:hint="default"/>
      </w:rPr>
    </w:lvl>
    <w:lvl w:ilvl="6" w:tplc="FFFFFFFF" w:tentative="1">
      <w:start w:val="1"/>
      <w:numFmt w:val="bullet"/>
      <w:lvlText w:val=""/>
      <w:lvlJc w:val="left"/>
      <w:pPr>
        <w:ind w:left="6287" w:hanging="360"/>
      </w:pPr>
      <w:rPr>
        <w:rFonts w:ascii="Symbol" w:hAnsi="Symbol" w:hint="default"/>
      </w:rPr>
    </w:lvl>
    <w:lvl w:ilvl="7" w:tplc="FFFFFFFF" w:tentative="1">
      <w:start w:val="1"/>
      <w:numFmt w:val="bullet"/>
      <w:lvlText w:val="o"/>
      <w:lvlJc w:val="left"/>
      <w:pPr>
        <w:ind w:left="7007" w:hanging="360"/>
      </w:pPr>
      <w:rPr>
        <w:rFonts w:ascii="Courier New" w:hAnsi="Courier New" w:cs="Courier New" w:hint="default"/>
      </w:rPr>
    </w:lvl>
    <w:lvl w:ilvl="8" w:tplc="FFFFFFFF" w:tentative="1">
      <w:start w:val="1"/>
      <w:numFmt w:val="bullet"/>
      <w:lvlText w:val=""/>
      <w:lvlJc w:val="left"/>
      <w:pPr>
        <w:ind w:left="7727" w:hanging="360"/>
      </w:pPr>
      <w:rPr>
        <w:rFonts w:ascii="Wingdings" w:hAnsi="Wingdings" w:hint="default"/>
      </w:rPr>
    </w:lvl>
  </w:abstractNum>
  <w:abstractNum w:abstractNumId="16"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7" w15:restartNumberingAfterBreak="0">
    <w:nsid w:val="27483E3B"/>
    <w:multiLevelType w:val="multilevel"/>
    <w:tmpl w:val="2CA8847C"/>
    <w:lvl w:ilvl="0">
      <w:start w:val="1"/>
      <w:numFmt w:val="decimal"/>
      <w:pStyle w:val="Thesisheading1"/>
      <w:lvlText w:val="1.%1"/>
      <w:lvlJc w:val="left"/>
      <w:pPr>
        <w:tabs>
          <w:tab w:val="num" w:pos="720"/>
        </w:tabs>
        <w:ind w:left="720" w:hanging="720"/>
      </w:pPr>
      <w:rPr>
        <w:rFonts w:hint="default"/>
      </w:rPr>
    </w:lvl>
    <w:lvl w:ilvl="1">
      <w:start w:val="1"/>
      <w:numFmt w:val="decimal"/>
      <w:lvlText w:val="%1.%2.1"/>
      <w:lvlJc w:val="left"/>
      <w:pPr>
        <w:tabs>
          <w:tab w:val="num" w:pos="720"/>
        </w:tabs>
        <w:ind w:left="720" w:hanging="720"/>
      </w:pPr>
      <w:rPr>
        <w:rFonts w:hint="default"/>
      </w:rPr>
    </w:lvl>
    <w:lvl w:ilvl="2">
      <w:start w:val="1"/>
      <w:numFmt w:val="lowerLetter"/>
      <w:pStyle w:val="Thesisheading4"/>
      <w:lvlText w:val="(%3)"/>
      <w:lvlJc w:val="left"/>
      <w:pPr>
        <w:tabs>
          <w:tab w:val="num" w:pos="720"/>
        </w:tabs>
        <w:ind w:left="720" w:hanging="720"/>
      </w:pPr>
      <w:rPr>
        <w:rFonts w:hint="default"/>
      </w:rPr>
    </w:lvl>
    <w:lvl w:ilvl="3">
      <w:start w:val="1"/>
      <w:numFmt w:val="none"/>
      <w:suff w:val="nothing"/>
      <w:lvlText w:val=""/>
      <w:lvlJc w:val="left"/>
      <w:pPr>
        <w:ind w:left="0" w:firstLine="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rPr>
        <w:rFonts w:hint="default"/>
      </w:rPr>
    </w:lvl>
    <w:lvl w:ilvl="6">
      <w:start w:val="1"/>
      <w:numFmt w:val="upperLetter"/>
      <w:lvlText w:val="%7."/>
      <w:lvlJc w:val="left"/>
      <w:pPr>
        <w:ind w:left="5304" w:hanging="360"/>
      </w:pPr>
      <w:rPr>
        <w:rFonts w:hint="default"/>
      </w:rPr>
    </w:lvl>
    <w:lvl w:ilvl="7">
      <w:start w:val="1"/>
      <w:numFmt w:val="upperLetter"/>
      <w:lvlText w:val="%8."/>
      <w:lvlJc w:val="left"/>
      <w:pPr>
        <w:ind w:left="6024" w:hanging="360"/>
      </w:pPr>
      <w:rPr>
        <w:rFonts w:hint="default"/>
      </w:rPr>
    </w:lvl>
    <w:lvl w:ilvl="8" w:tentative="1">
      <w:start w:val="1"/>
      <w:numFmt w:val="lowerRoman"/>
      <w:lvlText w:val="%9."/>
      <w:lvlJc w:val="right"/>
      <w:pPr>
        <w:ind w:left="6744" w:hanging="180"/>
      </w:pPr>
    </w:lvl>
  </w:abstractNum>
  <w:abstractNum w:abstractNumId="19" w15:restartNumberingAfterBreak="0">
    <w:nsid w:val="2F9B7A0D"/>
    <w:multiLevelType w:val="hybridMultilevel"/>
    <w:tmpl w:val="E780A9AC"/>
    <w:lvl w:ilvl="0" w:tplc="20000001">
      <w:start w:val="1"/>
      <w:numFmt w:val="bullet"/>
      <w:lvlText w:val=""/>
      <w:lvlJc w:val="left"/>
      <w:pPr>
        <w:ind w:left="1967" w:hanging="360"/>
      </w:pPr>
      <w:rPr>
        <w:rFonts w:ascii="Symbol" w:hAnsi="Symbol" w:hint="default"/>
      </w:rPr>
    </w:lvl>
    <w:lvl w:ilvl="1" w:tplc="20000003" w:tentative="1">
      <w:start w:val="1"/>
      <w:numFmt w:val="bullet"/>
      <w:lvlText w:val="o"/>
      <w:lvlJc w:val="left"/>
      <w:pPr>
        <w:ind w:left="2687" w:hanging="360"/>
      </w:pPr>
      <w:rPr>
        <w:rFonts w:ascii="Courier New" w:hAnsi="Courier New" w:cs="Courier New" w:hint="default"/>
      </w:rPr>
    </w:lvl>
    <w:lvl w:ilvl="2" w:tplc="20000005" w:tentative="1">
      <w:start w:val="1"/>
      <w:numFmt w:val="bullet"/>
      <w:lvlText w:val=""/>
      <w:lvlJc w:val="left"/>
      <w:pPr>
        <w:ind w:left="3407" w:hanging="360"/>
      </w:pPr>
      <w:rPr>
        <w:rFonts w:ascii="Wingdings" w:hAnsi="Wingdings" w:hint="default"/>
      </w:rPr>
    </w:lvl>
    <w:lvl w:ilvl="3" w:tplc="20000001" w:tentative="1">
      <w:start w:val="1"/>
      <w:numFmt w:val="bullet"/>
      <w:lvlText w:val=""/>
      <w:lvlJc w:val="left"/>
      <w:pPr>
        <w:ind w:left="4127" w:hanging="360"/>
      </w:pPr>
      <w:rPr>
        <w:rFonts w:ascii="Symbol" w:hAnsi="Symbol" w:hint="default"/>
      </w:rPr>
    </w:lvl>
    <w:lvl w:ilvl="4" w:tplc="20000003" w:tentative="1">
      <w:start w:val="1"/>
      <w:numFmt w:val="bullet"/>
      <w:lvlText w:val="o"/>
      <w:lvlJc w:val="left"/>
      <w:pPr>
        <w:ind w:left="4847" w:hanging="360"/>
      </w:pPr>
      <w:rPr>
        <w:rFonts w:ascii="Courier New" w:hAnsi="Courier New" w:cs="Courier New" w:hint="default"/>
      </w:rPr>
    </w:lvl>
    <w:lvl w:ilvl="5" w:tplc="20000005" w:tentative="1">
      <w:start w:val="1"/>
      <w:numFmt w:val="bullet"/>
      <w:lvlText w:val=""/>
      <w:lvlJc w:val="left"/>
      <w:pPr>
        <w:ind w:left="5567" w:hanging="360"/>
      </w:pPr>
      <w:rPr>
        <w:rFonts w:ascii="Wingdings" w:hAnsi="Wingdings" w:hint="default"/>
      </w:rPr>
    </w:lvl>
    <w:lvl w:ilvl="6" w:tplc="20000001" w:tentative="1">
      <w:start w:val="1"/>
      <w:numFmt w:val="bullet"/>
      <w:lvlText w:val=""/>
      <w:lvlJc w:val="left"/>
      <w:pPr>
        <w:ind w:left="6287" w:hanging="360"/>
      </w:pPr>
      <w:rPr>
        <w:rFonts w:ascii="Symbol" w:hAnsi="Symbol" w:hint="default"/>
      </w:rPr>
    </w:lvl>
    <w:lvl w:ilvl="7" w:tplc="20000003" w:tentative="1">
      <w:start w:val="1"/>
      <w:numFmt w:val="bullet"/>
      <w:lvlText w:val="o"/>
      <w:lvlJc w:val="left"/>
      <w:pPr>
        <w:ind w:left="7007" w:hanging="360"/>
      </w:pPr>
      <w:rPr>
        <w:rFonts w:ascii="Courier New" w:hAnsi="Courier New" w:cs="Courier New" w:hint="default"/>
      </w:rPr>
    </w:lvl>
    <w:lvl w:ilvl="8" w:tplc="20000005" w:tentative="1">
      <w:start w:val="1"/>
      <w:numFmt w:val="bullet"/>
      <w:lvlText w:val=""/>
      <w:lvlJc w:val="left"/>
      <w:pPr>
        <w:ind w:left="7727" w:hanging="360"/>
      </w:pPr>
      <w:rPr>
        <w:rFonts w:ascii="Wingdings" w:hAnsi="Wingdings" w:hint="default"/>
      </w:rPr>
    </w:lvl>
  </w:abstractNum>
  <w:abstractNum w:abstractNumId="20"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D96ECEB"/>
    <w:multiLevelType w:val="hybridMultilevel"/>
    <w:tmpl w:val="FFFFFFFF"/>
    <w:lvl w:ilvl="0" w:tplc="8F3C9200">
      <w:start w:val="1"/>
      <w:numFmt w:val="bullet"/>
      <w:lvlText w:val=""/>
      <w:lvlJc w:val="left"/>
      <w:pPr>
        <w:ind w:left="720" w:hanging="360"/>
      </w:pPr>
      <w:rPr>
        <w:rFonts w:ascii="Symbol" w:hAnsi="Symbol" w:hint="default"/>
      </w:rPr>
    </w:lvl>
    <w:lvl w:ilvl="1" w:tplc="87123496">
      <w:start w:val="1"/>
      <w:numFmt w:val="bullet"/>
      <w:lvlText w:val="o"/>
      <w:lvlJc w:val="left"/>
      <w:pPr>
        <w:ind w:left="1440" w:hanging="360"/>
      </w:pPr>
      <w:rPr>
        <w:rFonts w:ascii="Courier New" w:hAnsi="Courier New" w:hint="default"/>
      </w:rPr>
    </w:lvl>
    <w:lvl w:ilvl="2" w:tplc="AE520920">
      <w:start w:val="1"/>
      <w:numFmt w:val="bullet"/>
      <w:lvlText w:val=""/>
      <w:lvlJc w:val="left"/>
      <w:pPr>
        <w:ind w:left="2160" w:hanging="360"/>
      </w:pPr>
      <w:rPr>
        <w:rFonts w:ascii="Wingdings" w:hAnsi="Wingdings" w:hint="default"/>
      </w:rPr>
    </w:lvl>
    <w:lvl w:ilvl="3" w:tplc="8CC03A50">
      <w:start w:val="1"/>
      <w:numFmt w:val="bullet"/>
      <w:lvlText w:val=""/>
      <w:lvlJc w:val="left"/>
      <w:pPr>
        <w:ind w:left="2880" w:hanging="360"/>
      </w:pPr>
      <w:rPr>
        <w:rFonts w:ascii="Symbol" w:hAnsi="Symbol" w:hint="default"/>
      </w:rPr>
    </w:lvl>
    <w:lvl w:ilvl="4" w:tplc="8C4492EC">
      <w:start w:val="1"/>
      <w:numFmt w:val="bullet"/>
      <w:lvlText w:val="o"/>
      <w:lvlJc w:val="left"/>
      <w:pPr>
        <w:ind w:left="3600" w:hanging="360"/>
      </w:pPr>
      <w:rPr>
        <w:rFonts w:ascii="Courier New" w:hAnsi="Courier New" w:hint="default"/>
      </w:rPr>
    </w:lvl>
    <w:lvl w:ilvl="5" w:tplc="E30A9DD0">
      <w:start w:val="1"/>
      <w:numFmt w:val="bullet"/>
      <w:lvlText w:val=""/>
      <w:lvlJc w:val="left"/>
      <w:pPr>
        <w:ind w:left="4320" w:hanging="360"/>
      </w:pPr>
      <w:rPr>
        <w:rFonts w:ascii="Wingdings" w:hAnsi="Wingdings" w:hint="default"/>
      </w:rPr>
    </w:lvl>
    <w:lvl w:ilvl="6" w:tplc="D08068E6">
      <w:start w:val="1"/>
      <w:numFmt w:val="bullet"/>
      <w:lvlText w:val=""/>
      <w:lvlJc w:val="left"/>
      <w:pPr>
        <w:ind w:left="5040" w:hanging="360"/>
      </w:pPr>
      <w:rPr>
        <w:rFonts w:ascii="Symbol" w:hAnsi="Symbol" w:hint="default"/>
      </w:rPr>
    </w:lvl>
    <w:lvl w:ilvl="7" w:tplc="E0E0939C">
      <w:start w:val="1"/>
      <w:numFmt w:val="bullet"/>
      <w:lvlText w:val="o"/>
      <w:lvlJc w:val="left"/>
      <w:pPr>
        <w:ind w:left="5760" w:hanging="360"/>
      </w:pPr>
      <w:rPr>
        <w:rFonts w:ascii="Courier New" w:hAnsi="Courier New" w:hint="default"/>
      </w:rPr>
    </w:lvl>
    <w:lvl w:ilvl="8" w:tplc="53BCED64">
      <w:start w:val="1"/>
      <w:numFmt w:val="bullet"/>
      <w:lvlText w:val=""/>
      <w:lvlJc w:val="left"/>
      <w:pPr>
        <w:ind w:left="6480" w:hanging="360"/>
      </w:pPr>
      <w:rPr>
        <w:rFonts w:ascii="Wingdings" w:hAnsi="Wingdings" w:hint="default"/>
      </w:rPr>
    </w:lvl>
  </w:abstractNum>
  <w:abstractNum w:abstractNumId="22"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3" w15:restartNumberingAfterBreak="0">
    <w:nsid w:val="54AB716A"/>
    <w:multiLevelType w:val="hybridMultilevel"/>
    <w:tmpl w:val="871490B8"/>
    <w:styleLink w:val="Normallist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BC2CEF"/>
    <w:multiLevelType w:val="hybridMultilevel"/>
    <w:tmpl w:val="FD2AB6E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C80630A"/>
    <w:multiLevelType w:val="hybridMultilevel"/>
    <w:tmpl w:val="267A68E6"/>
    <w:lvl w:ilvl="0" w:tplc="51A69D50">
      <w:start w:val="1"/>
      <w:numFmt w:val="bullet"/>
      <w:lvlText w:val=""/>
      <w:lvlJc w:val="left"/>
      <w:pPr>
        <w:ind w:left="1608" w:hanging="360"/>
      </w:pPr>
      <w:rPr>
        <w:rFonts w:ascii="Symbol" w:hAnsi="Symbol" w:hint="default"/>
      </w:rPr>
    </w:lvl>
    <w:lvl w:ilvl="1" w:tplc="7A00DA48" w:tentative="1">
      <w:start w:val="1"/>
      <w:numFmt w:val="bullet"/>
      <w:lvlText w:val="o"/>
      <w:lvlJc w:val="left"/>
      <w:pPr>
        <w:ind w:left="2328" w:hanging="360"/>
      </w:pPr>
      <w:rPr>
        <w:rFonts w:ascii="Courier New" w:hAnsi="Courier New" w:cs="Courier New" w:hint="default"/>
      </w:rPr>
    </w:lvl>
    <w:lvl w:ilvl="2" w:tplc="9C981A8E" w:tentative="1">
      <w:start w:val="1"/>
      <w:numFmt w:val="bullet"/>
      <w:lvlText w:val=""/>
      <w:lvlJc w:val="left"/>
      <w:pPr>
        <w:ind w:left="3048" w:hanging="360"/>
      </w:pPr>
      <w:rPr>
        <w:rFonts w:ascii="Wingdings" w:hAnsi="Wingdings" w:hint="default"/>
      </w:rPr>
    </w:lvl>
    <w:lvl w:ilvl="3" w:tplc="FCA4B536" w:tentative="1">
      <w:start w:val="1"/>
      <w:numFmt w:val="bullet"/>
      <w:lvlText w:val=""/>
      <w:lvlJc w:val="left"/>
      <w:pPr>
        <w:ind w:left="3768" w:hanging="360"/>
      </w:pPr>
      <w:rPr>
        <w:rFonts w:ascii="Symbol" w:hAnsi="Symbol" w:hint="default"/>
      </w:rPr>
    </w:lvl>
    <w:lvl w:ilvl="4" w:tplc="52E2201A" w:tentative="1">
      <w:start w:val="1"/>
      <w:numFmt w:val="bullet"/>
      <w:lvlText w:val="o"/>
      <w:lvlJc w:val="left"/>
      <w:pPr>
        <w:ind w:left="4488" w:hanging="360"/>
      </w:pPr>
      <w:rPr>
        <w:rFonts w:ascii="Courier New" w:hAnsi="Courier New" w:cs="Courier New" w:hint="default"/>
      </w:rPr>
    </w:lvl>
    <w:lvl w:ilvl="5" w:tplc="E75E95BA" w:tentative="1">
      <w:start w:val="1"/>
      <w:numFmt w:val="bullet"/>
      <w:lvlText w:val=""/>
      <w:lvlJc w:val="left"/>
      <w:pPr>
        <w:ind w:left="5208" w:hanging="360"/>
      </w:pPr>
      <w:rPr>
        <w:rFonts w:ascii="Wingdings" w:hAnsi="Wingdings" w:hint="default"/>
      </w:rPr>
    </w:lvl>
    <w:lvl w:ilvl="6" w:tplc="7A2A0D92" w:tentative="1">
      <w:start w:val="1"/>
      <w:numFmt w:val="bullet"/>
      <w:lvlText w:val=""/>
      <w:lvlJc w:val="left"/>
      <w:pPr>
        <w:ind w:left="5928" w:hanging="360"/>
      </w:pPr>
      <w:rPr>
        <w:rFonts w:ascii="Symbol" w:hAnsi="Symbol" w:hint="default"/>
      </w:rPr>
    </w:lvl>
    <w:lvl w:ilvl="7" w:tplc="F11C4A0C" w:tentative="1">
      <w:start w:val="1"/>
      <w:numFmt w:val="bullet"/>
      <w:lvlText w:val="o"/>
      <w:lvlJc w:val="left"/>
      <w:pPr>
        <w:ind w:left="6648" w:hanging="360"/>
      </w:pPr>
      <w:rPr>
        <w:rFonts w:ascii="Courier New" w:hAnsi="Courier New" w:cs="Courier New" w:hint="default"/>
      </w:rPr>
    </w:lvl>
    <w:lvl w:ilvl="8" w:tplc="1E6C910C" w:tentative="1">
      <w:start w:val="1"/>
      <w:numFmt w:val="bullet"/>
      <w:lvlText w:val=""/>
      <w:lvlJc w:val="left"/>
      <w:pPr>
        <w:ind w:left="7368" w:hanging="360"/>
      </w:pPr>
      <w:rPr>
        <w:rFonts w:ascii="Wingdings" w:hAnsi="Wingdings" w:hint="default"/>
      </w:rPr>
    </w:lvl>
  </w:abstractNum>
  <w:abstractNum w:abstractNumId="26"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1397184"/>
    <w:multiLevelType w:val="hybridMultilevel"/>
    <w:tmpl w:val="1318E684"/>
    <w:lvl w:ilvl="0" w:tplc="FFFFFFFF">
      <w:start w:val="1"/>
      <w:numFmt w:val="bullet"/>
      <w:lvlText w:val=""/>
      <w:lvlJc w:val="left"/>
      <w:pPr>
        <w:ind w:left="3465" w:hanging="360"/>
      </w:pPr>
      <w:rPr>
        <w:rFonts w:ascii="Wingdings" w:hAnsi="Wingdings" w:hint="default"/>
      </w:rPr>
    </w:lvl>
    <w:lvl w:ilvl="1" w:tplc="FFFFFFFF">
      <w:start w:val="1"/>
      <w:numFmt w:val="bullet"/>
      <w:lvlText w:val=""/>
      <w:lvlJc w:val="left"/>
      <w:pPr>
        <w:ind w:left="2687" w:hanging="360"/>
      </w:pPr>
      <w:rPr>
        <w:rFonts w:ascii="Symbol" w:hAnsi="Symbol" w:hint="default"/>
      </w:rPr>
    </w:lvl>
    <w:lvl w:ilvl="2" w:tplc="08090003">
      <w:start w:val="1"/>
      <w:numFmt w:val="bullet"/>
      <w:lvlText w:val="o"/>
      <w:lvlJc w:val="left"/>
      <w:pPr>
        <w:ind w:left="3407" w:hanging="360"/>
      </w:pPr>
      <w:rPr>
        <w:rFonts w:ascii="Courier New" w:hAnsi="Courier New" w:cs="Courier New" w:hint="default"/>
      </w:rPr>
    </w:lvl>
    <w:lvl w:ilvl="3" w:tplc="FFFFFFFF" w:tentative="1">
      <w:start w:val="1"/>
      <w:numFmt w:val="bullet"/>
      <w:lvlText w:val=""/>
      <w:lvlJc w:val="left"/>
      <w:pPr>
        <w:ind w:left="4127" w:hanging="360"/>
      </w:pPr>
      <w:rPr>
        <w:rFonts w:ascii="Symbol" w:hAnsi="Symbol" w:hint="default"/>
      </w:rPr>
    </w:lvl>
    <w:lvl w:ilvl="4" w:tplc="FFFFFFFF" w:tentative="1">
      <w:start w:val="1"/>
      <w:numFmt w:val="bullet"/>
      <w:lvlText w:val="o"/>
      <w:lvlJc w:val="left"/>
      <w:pPr>
        <w:ind w:left="4847" w:hanging="360"/>
      </w:pPr>
      <w:rPr>
        <w:rFonts w:ascii="Courier New" w:hAnsi="Courier New" w:cs="Courier New" w:hint="default"/>
      </w:rPr>
    </w:lvl>
    <w:lvl w:ilvl="5" w:tplc="FFFFFFFF" w:tentative="1">
      <w:start w:val="1"/>
      <w:numFmt w:val="bullet"/>
      <w:lvlText w:val=""/>
      <w:lvlJc w:val="left"/>
      <w:pPr>
        <w:ind w:left="5567" w:hanging="360"/>
      </w:pPr>
      <w:rPr>
        <w:rFonts w:ascii="Wingdings" w:hAnsi="Wingdings" w:hint="default"/>
      </w:rPr>
    </w:lvl>
    <w:lvl w:ilvl="6" w:tplc="FFFFFFFF" w:tentative="1">
      <w:start w:val="1"/>
      <w:numFmt w:val="bullet"/>
      <w:lvlText w:val=""/>
      <w:lvlJc w:val="left"/>
      <w:pPr>
        <w:ind w:left="6287" w:hanging="360"/>
      </w:pPr>
      <w:rPr>
        <w:rFonts w:ascii="Symbol" w:hAnsi="Symbol" w:hint="default"/>
      </w:rPr>
    </w:lvl>
    <w:lvl w:ilvl="7" w:tplc="FFFFFFFF" w:tentative="1">
      <w:start w:val="1"/>
      <w:numFmt w:val="bullet"/>
      <w:lvlText w:val="o"/>
      <w:lvlJc w:val="left"/>
      <w:pPr>
        <w:ind w:left="7007" w:hanging="360"/>
      </w:pPr>
      <w:rPr>
        <w:rFonts w:ascii="Courier New" w:hAnsi="Courier New" w:cs="Courier New" w:hint="default"/>
      </w:rPr>
    </w:lvl>
    <w:lvl w:ilvl="8" w:tplc="FFFFFFFF" w:tentative="1">
      <w:start w:val="1"/>
      <w:numFmt w:val="bullet"/>
      <w:lvlText w:val=""/>
      <w:lvlJc w:val="left"/>
      <w:pPr>
        <w:ind w:left="7727" w:hanging="360"/>
      </w:pPr>
      <w:rPr>
        <w:rFonts w:ascii="Wingdings" w:hAnsi="Wingdings" w:hint="default"/>
      </w:rPr>
    </w:lvl>
  </w:abstractNum>
  <w:abstractNum w:abstractNumId="28" w15:restartNumberingAfterBreak="0">
    <w:nsid w:val="72102042"/>
    <w:multiLevelType w:val="hybridMultilevel"/>
    <w:tmpl w:val="8B329C9A"/>
    <w:lvl w:ilvl="0" w:tplc="20000001">
      <w:start w:val="1"/>
      <w:numFmt w:val="bullet"/>
      <w:lvlText w:val=""/>
      <w:lvlJc w:val="left"/>
      <w:pPr>
        <w:ind w:left="1967" w:hanging="360"/>
      </w:pPr>
      <w:rPr>
        <w:rFonts w:ascii="Symbol" w:hAnsi="Symbol" w:hint="default"/>
      </w:rPr>
    </w:lvl>
    <w:lvl w:ilvl="1" w:tplc="20000003" w:tentative="1">
      <w:start w:val="1"/>
      <w:numFmt w:val="bullet"/>
      <w:lvlText w:val="o"/>
      <w:lvlJc w:val="left"/>
      <w:pPr>
        <w:ind w:left="2687" w:hanging="360"/>
      </w:pPr>
      <w:rPr>
        <w:rFonts w:ascii="Courier New" w:hAnsi="Courier New" w:cs="Courier New" w:hint="default"/>
      </w:rPr>
    </w:lvl>
    <w:lvl w:ilvl="2" w:tplc="20000005" w:tentative="1">
      <w:start w:val="1"/>
      <w:numFmt w:val="bullet"/>
      <w:lvlText w:val=""/>
      <w:lvlJc w:val="left"/>
      <w:pPr>
        <w:ind w:left="3407" w:hanging="360"/>
      </w:pPr>
      <w:rPr>
        <w:rFonts w:ascii="Wingdings" w:hAnsi="Wingdings" w:hint="default"/>
      </w:rPr>
    </w:lvl>
    <w:lvl w:ilvl="3" w:tplc="20000001" w:tentative="1">
      <w:start w:val="1"/>
      <w:numFmt w:val="bullet"/>
      <w:lvlText w:val=""/>
      <w:lvlJc w:val="left"/>
      <w:pPr>
        <w:ind w:left="4127" w:hanging="360"/>
      </w:pPr>
      <w:rPr>
        <w:rFonts w:ascii="Symbol" w:hAnsi="Symbol" w:hint="default"/>
      </w:rPr>
    </w:lvl>
    <w:lvl w:ilvl="4" w:tplc="20000003" w:tentative="1">
      <w:start w:val="1"/>
      <w:numFmt w:val="bullet"/>
      <w:lvlText w:val="o"/>
      <w:lvlJc w:val="left"/>
      <w:pPr>
        <w:ind w:left="4847" w:hanging="360"/>
      </w:pPr>
      <w:rPr>
        <w:rFonts w:ascii="Courier New" w:hAnsi="Courier New" w:cs="Courier New" w:hint="default"/>
      </w:rPr>
    </w:lvl>
    <w:lvl w:ilvl="5" w:tplc="20000005" w:tentative="1">
      <w:start w:val="1"/>
      <w:numFmt w:val="bullet"/>
      <w:lvlText w:val=""/>
      <w:lvlJc w:val="left"/>
      <w:pPr>
        <w:ind w:left="5567" w:hanging="360"/>
      </w:pPr>
      <w:rPr>
        <w:rFonts w:ascii="Wingdings" w:hAnsi="Wingdings" w:hint="default"/>
      </w:rPr>
    </w:lvl>
    <w:lvl w:ilvl="6" w:tplc="20000001" w:tentative="1">
      <w:start w:val="1"/>
      <w:numFmt w:val="bullet"/>
      <w:lvlText w:val=""/>
      <w:lvlJc w:val="left"/>
      <w:pPr>
        <w:ind w:left="6287" w:hanging="360"/>
      </w:pPr>
      <w:rPr>
        <w:rFonts w:ascii="Symbol" w:hAnsi="Symbol" w:hint="default"/>
      </w:rPr>
    </w:lvl>
    <w:lvl w:ilvl="7" w:tplc="20000003" w:tentative="1">
      <w:start w:val="1"/>
      <w:numFmt w:val="bullet"/>
      <w:lvlText w:val="o"/>
      <w:lvlJc w:val="left"/>
      <w:pPr>
        <w:ind w:left="7007" w:hanging="360"/>
      </w:pPr>
      <w:rPr>
        <w:rFonts w:ascii="Courier New" w:hAnsi="Courier New" w:cs="Courier New" w:hint="default"/>
      </w:rPr>
    </w:lvl>
    <w:lvl w:ilvl="8" w:tplc="20000005" w:tentative="1">
      <w:start w:val="1"/>
      <w:numFmt w:val="bullet"/>
      <w:lvlText w:val=""/>
      <w:lvlJc w:val="left"/>
      <w:pPr>
        <w:ind w:left="7727" w:hanging="360"/>
      </w:pPr>
      <w:rPr>
        <w:rFonts w:ascii="Wingdings" w:hAnsi="Wingdings" w:hint="default"/>
      </w:rPr>
    </w:lvl>
  </w:abstractNum>
  <w:num w:numId="1" w16cid:durableId="560672902">
    <w:abstractNumId w:val="22"/>
  </w:num>
  <w:num w:numId="2" w16cid:durableId="1242644713">
    <w:abstractNumId w:val="26"/>
  </w:num>
  <w:num w:numId="3" w16cid:durableId="1933662228">
    <w:abstractNumId w:val="20"/>
  </w:num>
  <w:num w:numId="4" w16cid:durableId="1991909117">
    <w:abstractNumId w:val="10"/>
  </w:num>
  <w:num w:numId="5" w16cid:durableId="1138956019">
    <w:abstractNumId w:val="16"/>
  </w:num>
  <w:num w:numId="6" w16cid:durableId="2114132747">
    <w:abstractNumId w:val="9"/>
  </w:num>
  <w:num w:numId="7" w16cid:durableId="1170487078">
    <w:abstractNumId w:val="7"/>
  </w:num>
  <w:num w:numId="8" w16cid:durableId="964700540">
    <w:abstractNumId w:val="6"/>
  </w:num>
  <w:num w:numId="9" w16cid:durableId="53938448">
    <w:abstractNumId w:val="5"/>
  </w:num>
  <w:num w:numId="10" w16cid:durableId="1244683355">
    <w:abstractNumId w:val="4"/>
  </w:num>
  <w:num w:numId="11" w16cid:durableId="1868332782">
    <w:abstractNumId w:val="8"/>
  </w:num>
  <w:num w:numId="12" w16cid:durableId="1800954497">
    <w:abstractNumId w:val="3"/>
  </w:num>
  <w:num w:numId="13" w16cid:durableId="329527238">
    <w:abstractNumId w:val="2"/>
  </w:num>
  <w:num w:numId="14" w16cid:durableId="809518181">
    <w:abstractNumId w:val="1"/>
  </w:num>
  <w:num w:numId="15" w16cid:durableId="734859161">
    <w:abstractNumId w:val="0"/>
  </w:num>
  <w:num w:numId="16" w16cid:durableId="132145153">
    <w:abstractNumId w:val="23"/>
  </w:num>
  <w:num w:numId="17" w16cid:durableId="194540423">
    <w:abstractNumId w:val="14"/>
  </w:num>
  <w:num w:numId="18" w16cid:durableId="979458846">
    <w:abstractNumId w:val="18"/>
  </w:num>
  <w:num w:numId="19" w16cid:durableId="697581936">
    <w:abstractNumId w:val="17"/>
  </w:num>
  <w:num w:numId="20" w16cid:durableId="1036545255">
    <w:abstractNumId w:val="21"/>
  </w:num>
  <w:num w:numId="21" w16cid:durableId="246505316">
    <w:abstractNumId w:val="25"/>
  </w:num>
  <w:num w:numId="22" w16cid:durableId="971711054">
    <w:abstractNumId w:val="15"/>
  </w:num>
  <w:num w:numId="23" w16cid:durableId="1463843789">
    <w:abstractNumId w:val="19"/>
  </w:num>
  <w:num w:numId="24" w16cid:durableId="1717394724">
    <w:abstractNumId w:val="28"/>
  </w:num>
  <w:num w:numId="25" w16cid:durableId="1864897292">
    <w:abstractNumId w:val="11"/>
  </w:num>
  <w:num w:numId="26" w16cid:durableId="1532382319">
    <w:abstractNumId w:val="13"/>
  </w:num>
  <w:num w:numId="27" w16cid:durableId="2117870926">
    <w:abstractNumId w:val="24"/>
  </w:num>
  <w:num w:numId="28" w16cid:durableId="194006069">
    <w:abstractNumId w:val="12"/>
  </w:num>
  <w:num w:numId="29" w16cid:durableId="54203855">
    <w:abstractNumId w:val="22"/>
    <w:lvlOverride w:ilvl="0">
      <w:startOverride w:val="1"/>
    </w:lvlOverride>
    <w:lvlOverride w:ilvl="1">
      <w:startOverride w:val="1"/>
    </w:lvlOverride>
  </w:num>
  <w:num w:numId="30" w16cid:durableId="14535229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28304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40102594">
    <w:abstractNumId w:val="22"/>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3" w16cid:durableId="1323657794">
    <w:abstractNumId w:val="2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556744649">
    <w:abstractNumId w:val="22"/>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5" w16cid:durableId="485779853">
    <w:abstractNumId w:val="2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402529258">
    <w:abstractNumId w:val="27"/>
  </w:num>
  <w:num w:numId="37" w16cid:durableId="15090612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8856392">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800"/>
    <w:rsid w:val="000149E6"/>
    <w:rsid w:val="00014AB0"/>
    <w:rsid w:val="00016688"/>
    <w:rsid w:val="00016AF3"/>
    <w:rsid w:val="000172D1"/>
    <w:rsid w:val="000179C7"/>
    <w:rsid w:val="000208C8"/>
    <w:rsid w:val="000247B0"/>
    <w:rsid w:val="00026997"/>
    <w:rsid w:val="00030DE2"/>
    <w:rsid w:val="00033E0B"/>
    <w:rsid w:val="00035EDE"/>
    <w:rsid w:val="00036022"/>
    <w:rsid w:val="00043E6B"/>
    <w:rsid w:val="000509B4"/>
    <w:rsid w:val="00056B2C"/>
    <w:rsid w:val="00060100"/>
    <w:rsid w:val="0006035B"/>
    <w:rsid w:val="0007166E"/>
    <w:rsid w:val="00071886"/>
    <w:rsid w:val="000742BC"/>
    <w:rsid w:val="000766E1"/>
    <w:rsid w:val="0008041D"/>
    <w:rsid w:val="00081AA5"/>
    <w:rsid w:val="00082A0C"/>
    <w:rsid w:val="00082DCD"/>
    <w:rsid w:val="00083504"/>
    <w:rsid w:val="0008710B"/>
    <w:rsid w:val="00092870"/>
    <w:rsid w:val="0009640C"/>
    <w:rsid w:val="000A7D2D"/>
    <w:rsid w:val="000B21D5"/>
    <w:rsid w:val="000B22A2"/>
    <w:rsid w:val="000B36A7"/>
    <w:rsid w:val="000C2A52"/>
    <w:rsid w:val="000C328B"/>
    <w:rsid w:val="000C32BC"/>
    <w:rsid w:val="000C38D1"/>
    <w:rsid w:val="000C46A9"/>
    <w:rsid w:val="000C6399"/>
    <w:rsid w:val="000D20EF"/>
    <w:rsid w:val="000D33C0"/>
    <w:rsid w:val="000D5884"/>
    <w:rsid w:val="000D6941"/>
    <w:rsid w:val="000D71B6"/>
    <w:rsid w:val="000E0405"/>
    <w:rsid w:val="000E605E"/>
    <w:rsid w:val="000F24C4"/>
    <w:rsid w:val="000F464B"/>
    <w:rsid w:val="000F6CFF"/>
    <w:rsid w:val="001011F8"/>
    <w:rsid w:val="0010164F"/>
    <w:rsid w:val="00102D85"/>
    <w:rsid w:val="0010459F"/>
    <w:rsid w:val="00104B71"/>
    <w:rsid w:val="0010676D"/>
    <w:rsid w:val="00106BB6"/>
    <w:rsid w:val="00110976"/>
    <w:rsid w:val="00112F25"/>
    <w:rsid w:val="00115F73"/>
    <w:rsid w:val="001202E3"/>
    <w:rsid w:val="00123699"/>
    <w:rsid w:val="00125CFA"/>
    <w:rsid w:val="0013059D"/>
    <w:rsid w:val="001316AB"/>
    <w:rsid w:val="0013678A"/>
    <w:rsid w:val="00137CAE"/>
    <w:rsid w:val="0014019B"/>
    <w:rsid w:val="0014083A"/>
    <w:rsid w:val="00141A55"/>
    <w:rsid w:val="00141F2F"/>
    <w:rsid w:val="00143E2F"/>
    <w:rsid w:val="001442DC"/>
    <w:rsid w:val="001446A3"/>
    <w:rsid w:val="00154514"/>
    <w:rsid w:val="00155395"/>
    <w:rsid w:val="00155A77"/>
    <w:rsid w:val="00155FF7"/>
    <w:rsid w:val="00164D1D"/>
    <w:rsid w:val="00166793"/>
    <w:rsid w:val="00172443"/>
    <w:rsid w:val="00172B6D"/>
    <w:rsid w:val="00172E6C"/>
    <w:rsid w:val="00173D27"/>
    <w:rsid w:val="00174739"/>
    <w:rsid w:val="00174967"/>
    <w:rsid w:val="00177AC6"/>
    <w:rsid w:val="0018127C"/>
    <w:rsid w:val="00181EC8"/>
    <w:rsid w:val="00181FC0"/>
    <w:rsid w:val="00184349"/>
    <w:rsid w:val="00184392"/>
    <w:rsid w:val="00187C31"/>
    <w:rsid w:val="0019161E"/>
    <w:rsid w:val="00191725"/>
    <w:rsid w:val="00195633"/>
    <w:rsid w:val="00195F33"/>
    <w:rsid w:val="00197C63"/>
    <w:rsid w:val="001A0408"/>
    <w:rsid w:val="001A065E"/>
    <w:rsid w:val="001A0FA5"/>
    <w:rsid w:val="001A3FB9"/>
    <w:rsid w:val="001A5EE1"/>
    <w:rsid w:val="001A7019"/>
    <w:rsid w:val="001A7FF9"/>
    <w:rsid w:val="001B1617"/>
    <w:rsid w:val="001B2E27"/>
    <w:rsid w:val="001B504B"/>
    <w:rsid w:val="001B6328"/>
    <w:rsid w:val="001C24F4"/>
    <w:rsid w:val="001C29FC"/>
    <w:rsid w:val="001D3874"/>
    <w:rsid w:val="001D5344"/>
    <w:rsid w:val="001D7E75"/>
    <w:rsid w:val="001E22D1"/>
    <w:rsid w:val="001E56D2"/>
    <w:rsid w:val="001E7D56"/>
    <w:rsid w:val="001F75DE"/>
    <w:rsid w:val="00200005"/>
    <w:rsid w:val="00200D58"/>
    <w:rsid w:val="002013BE"/>
    <w:rsid w:val="00202D5B"/>
    <w:rsid w:val="002063A4"/>
    <w:rsid w:val="002069D8"/>
    <w:rsid w:val="00206F97"/>
    <w:rsid w:val="0021145B"/>
    <w:rsid w:val="00213935"/>
    <w:rsid w:val="00214277"/>
    <w:rsid w:val="002167C9"/>
    <w:rsid w:val="002176A0"/>
    <w:rsid w:val="002240C8"/>
    <w:rsid w:val="0022762D"/>
    <w:rsid w:val="00232303"/>
    <w:rsid w:val="00234806"/>
    <w:rsid w:val="002378D6"/>
    <w:rsid w:val="00240BF4"/>
    <w:rsid w:val="0024373C"/>
    <w:rsid w:val="00243D36"/>
    <w:rsid w:val="00247707"/>
    <w:rsid w:val="00263171"/>
    <w:rsid w:val="00275924"/>
    <w:rsid w:val="00275AE7"/>
    <w:rsid w:val="0027627A"/>
    <w:rsid w:val="00277919"/>
    <w:rsid w:val="002816E3"/>
    <w:rsid w:val="002862A9"/>
    <w:rsid w:val="00286740"/>
    <w:rsid w:val="00287B42"/>
    <w:rsid w:val="0029143E"/>
    <w:rsid w:val="00291F94"/>
    <w:rsid w:val="002929D8"/>
    <w:rsid w:val="002935C2"/>
    <w:rsid w:val="00293FA0"/>
    <w:rsid w:val="00295692"/>
    <w:rsid w:val="002A237D"/>
    <w:rsid w:val="002A4C53"/>
    <w:rsid w:val="002A4FF4"/>
    <w:rsid w:val="002B0672"/>
    <w:rsid w:val="002B1B4C"/>
    <w:rsid w:val="002B247F"/>
    <w:rsid w:val="002B3476"/>
    <w:rsid w:val="002B67F5"/>
    <w:rsid w:val="002B6830"/>
    <w:rsid w:val="002B6C81"/>
    <w:rsid w:val="002B6E7D"/>
    <w:rsid w:val="002C145D"/>
    <w:rsid w:val="002C1B8D"/>
    <w:rsid w:val="002C2C3E"/>
    <w:rsid w:val="002C533E"/>
    <w:rsid w:val="002C5525"/>
    <w:rsid w:val="002C65EC"/>
    <w:rsid w:val="002D027F"/>
    <w:rsid w:val="002D7A85"/>
    <w:rsid w:val="002D7B60"/>
    <w:rsid w:val="002E19D4"/>
    <w:rsid w:val="002E511A"/>
    <w:rsid w:val="002F0362"/>
    <w:rsid w:val="002F3C98"/>
    <w:rsid w:val="002F4761"/>
    <w:rsid w:val="002F5C79"/>
    <w:rsid w:val="002F69DF"/>
    <w:rsid w:val="0030078F"/>
    <w:rsid w:val="003009B7"/>
    <w:rsid w:val="00301633"/>
    <w:rsid w:val="003019E2"/>
    <w:rsid w:val="0031109A"/>
    <w:rsid w:val="0031268E"/>
    <w:rsid w:val="0031413F"/>
    <w:rsid w:val="003148BB"/>
    <w:rsid w:val="003169DA"/>
    <w:rsid w:val="00317976"/>
    <w:rsid w:val="00321570"/>
    <w:rsid w:val="00323885"/>
    <w:rsid w:val="0032742D"/>
    <w:rsid w:val="00331475"/>
    <w:rsid w:val="00335057"/>
    <w:rsid w:val="00335BF9"/>
    <w:rsid w:val="00341A84"/>
    <w:rsid w:val="003465B2"/>
    <w:rsid w:val="003518FA"/>
    <w:rsid w:val="00351A93"/>
    <w:rsid w:val="00351F81"/>
    <w:rsid w:val="00355EA9"/>
    <w:rsid w:val="003578DE"/>
    <w:rsid w:val="00365F6B"/>
    <w:rsid w:val="00366AFF"/>
    <w:rsid w:val="00370BF9"/>
    <w:rsid w:val="00371340"/>
    <w:rsid w:val="003759E2"/>
    <w:rsid w:val="0038070E"/>
    <w:rsid w:val="00384187"/>
    <w:rsid w:val="003857CC"/>
    <w:rsid w:val="00386999"/>
    <w:rsid w:val="00390145"/>
    <w:rsid w:val="00391D23"/>
    <w:rsid w:val="00392D2C"/>
    <w:rsid w:val="00394379"/>
    <w:rsid w:val="00395B8E"/>
    <w:rsid w:val="00396257"/>
    <w:rsid w:val="00397EB8"/>
    <w:rsid w:val="003A07AB"/>
    <w:rsid w:val="003A086E"/>
    <w:rsid w:val="003A361F"/>
    <w:rsid w:val="003A37B8"/>
    <w:rsid w:val="003A4049"/>
    <w:rsid w:val="003A4FD0"/>
    <w:rsid w:val="003A5682"/>
    <w:rsid w:val="003A69D1"/>
    <w:rsid w:val="003A7705"/>
    <w:rsid w:val="003B041C"/>
    <w:rsid w:val="003B1545"/>
    <w:rsid w:val="003B60D0"/>
    <w:rsid w:val="003B6464"/>
    <w:rsid w:val="003B7CB9"/>
    <w:rsid w:val="003C035E"/>
    <w:rsid w:val="003C3267"/>
    <w:rsid w:val="003C32CD"/>
    <w:rsid w:val="003C409D"/>
    <w:rsid w:val="003C5BA6"/>
    <w:rsid w:val="003D61F2"/>
    <w:rsid w:val="003E098D"/>
    <w:rsid w:val="003E0C84"/>
    <w:rsid w:val="003E137A"/>
    <w:rsid w:val="003E18F0"/>
    <w:rsid w:val="003E7E9F"/>
    <w:rsid w:val="003F0E85"/>
    <w:rsid w:val="00404CB5"/>
    <w:rsid w:val="00405251"/>
    <w:rsid w:val="00410C55"/>
    <w:rsid w:val="00415D81"/>
    <w:rsid w:val="0041604D"/>
    <w:rsid w:val="00416854"/>
    <w:rsid w:val="00417725"/>
    <w:rsid w:val="0041779A"/>
    <w:rsid w:val="00417B99"/>
    <w:rsid w:val="00420767"/>
    <w:rsid w:val="00421A86"/>
    <w:rsid w:val="004226A3"/>
    <w:rsid w:val="00423D46"/>
    <w:rsid w:val="004243EA"/>
    <w:rsid w:val="00436CA6"/>
    <w:rsid w:val="00437F26"/>
    <w:rsid w:val="00440C71"/>
    <w:rsid w:val="0044365F"/>
    <w:rsid w:val="00443FF5"/>
    <w:rsid w:val="00444097"/>
    <w:rsid w:val="00445487"/>
    <w:rsid w:val="00445AFB"/>
    <w:rsid w:val="00450253"/>
    <w:rsid w:val="00450B20"/>
    <w:rsid w:val="00452E11"/>
    <w:rsid w:val="00454769"/>
    <w:rsid w:val="00456D58"/>
    <w:rsid w:val="00463DF8"/>
    <w:rsid w:val="00464B3F"/>
    <w:rsid w:val="00466991"/>
    <w:rsid w:val="0046728D"/>
    <w:rsid w:val="0047064C"/>
    <w:rsid w:val="004723EE"/>
    <w:rsid w:val="00474D90"/>
    <w:rsid w:val="00477A81"/>
    <w:rsid w:val="00477AFF"/>
    <w:rsid w:val="00480F48"/>
    <w:rsid w:val="00481F0B"/>
    <w:rsid w:val="00495BFE"/>
    <w:rsid w:val="00497AB4"/>
    <w:rsid w:val="00497C06"/>
    <w:rsid w:val="004A42E1"/>
    <w:rsid w:val="004A7B24"/>
    <w:rsid w:val="004B05E7"/>
    <w:rsid w:val="004B162C"/>
    <w:rsid w:val="004B2F00"/>
    <w:rsid w:val="004B3287"/>
    <w:rsid w:val="004B49E5"/>
    <w:rsid w:val="004B6252"/>
    <w:rsid w:val="004C3DBE"/>
    <w:rsid w:val="004C5C96"/>
    <w:rsid w:val="004D06A4"/>
    <w:rsid w:val="004D60EA"/>
    <w:rsid w:val="004E1EA7"/>
    <w:rsid w:val="004E21FB"/>
    <w:rsid w:val="004E59D4"/>
    <w:rsid w:val="004E6F8C"/>
    <w:rsid w:val="004E79AC"/>
    <w:rsid w:val="004F0A7F"/>
    <w:rsid w:val="004F1A81"/>
    <w:rsid w:val="0050133F"/>
    <w:rsid w:val="00504573"/>
    <w:rsid w:val="00517B8F"/>
    <w:rsid w:val="005208CC"/>
    <w:rsid w:val="005218D9"/>
    <w:rsid w:val="00521C68"/>
    <w:rsid w:val="00530298"/>
    <w:rsid w:val="00532E47"/>
    <w:rsid w:val="005332A9"/>
    <w:rsid w:val="00535219"/>
    <w:rsid w:val="00536186"/>
    <w:rsid w:val="00536826"/>
    <w:rsid w:val="0054092F"/>
    <w:rsid w:val="00542B43"/>
    <w:rsid w:val="00544CBB"/>
    <w:rsid w:val="00550518"/>
    <w:rsid w:val="00552CD6"/>
    <w:rsid w:val="00565EC9"/>
    <w:rsid w:val="00566A2A"/>
    <w:rsid w:val="0057315F"/>
    <w:rsid w:val="00575DF1"/>
    <w:rsid w:val="00576104"/>
    <w:rsid w:val="00580185"/>
    <w:rsid w:val="00580424"/>
    <w:rsid w:val="00584D74"/>
    <w:rsid w:val="005902B1"/>
    <w:rsid w:val="005931A0"/>
    <w:rsid w:val="005940BC"/>
    <w:rsid w:val="005946FB"/>
    <w:rsid w:val="00594BA0"/>
    <w:rsid w:val="00595AA0"/>
    <w:rsid w:val="005A192B"/>
    <w:rsid w:val="005A32E7"/>
    <w:rsid w:val="005A69E1"/>
    <w:rsid w:val="005A6A88"/>
    <w:rsid w:val="005B067B"/>
    <w:rsid w:val="005C1CB0"/>
    <w:rsid w:val="005C67C8"/>
    <w:rsid w:val="005D0249"/>
    <w:rsid w:val="005D1059"/>
    <w:rsid w:val="005D6E8C"/>
    <w:rsid w:val="005E5C5F"/>
    <w:rsid w:val="005F0BA5"/>
    <w:rsid w:val="005F100C"/>
    <w:rsid w:val="005F24C1"/>
    <w:rsid w:val="005F561D"/>
    <w:rsid w:val="005F68DA"/>
    <w:rsid w:val="005F75E6"/>
    <w:rsid w:val="006014DD"/>
    <w:rsid w:val="00605E25"/>
    <w:rsid w:val="0060773B"/>
    <w:rsid w:val="00607D94"/>
    <w:rsid w:val="0061169B"/>
    <w:rsid w:val="00612018"/>
    <w:rsid w:val="00613F1D"/>
    <w:rsid w:val="006157B5"/>
    <w:rsid w:val="006159A3"/>
    <w:rsid w:val="00626ECB"/>
    <w:rsid w:val="00626FC6"/>
    <w:rsid w:val="006303B4"/>
    <w:rsid w:val="00633CEB"/>
    <w:rsid w:val="00633D3D"/>
    <w:rsid w:val="00633EDD"/>
    <w:rsid w:val="00633F3A"/>
    <w:rsid w:val="00641703"/>
    <w:rsid w:val="006431A6"/>
    <w:rsid w:val="006459F6"/>
    <w:rsid w:val="0064612C"/>
    <w:rsid w:val="006501AD"/>
    <w:rsid w:val="00651BFA"/>
    <w:rsid w:val="006533B3"/>
    <w:rsid w:val="00653B64"/>
    <w:rsid w:val="006565D9"/>
    <w:rsid w:val="00656F8C"/>
    <w:rsid w:val="00660B8E"/>
    <w:rsid w:val="00661F2A"/>
    <w:rsid w:val="00663A80"/>
    <w:rsid w:val="00665A4B"/>
    <w:rsid w:val="00671930"/>
    <w:rsid w:val="006731FE"/>
    <w:rsid w:val="0067615A"/>
    <w:rsid w:val="0068566D"/>
    <w:rsid w:val="00692E2A"/>
    <w:rsid w:val="006A076B"/>
    <w:rsid w:val="006A2E32"/>
    <w:rsid w:val="006A76F2"/>
    <w:rsid w:val="006B141F"/>
    <w:rsid w:val="006B1D95"/>
    <w:rsid w:val="006C3DDA"/>
    <w:rsid w:val="006C518E"/>
    <w:rsid w:val="006D2D29"/>
    <w:rsid w:val="006D3277"/>
    <w:rsid w:val="006D7EFB"/>
    <w:rsid w:val="006E2277"/>
    <w:rsid w:val="006E6672"/>
    <w:rsid w:val="006E6722"/>
    <w:rsid w:val="006E731B"/>
    <w:rsid w:val="006F10F1"/>
    <w:rsid w:val="006F6796"/>
    <w:rsid w:val="0070216A"/>
    <w:rsid w:val="007027B9"/>
    <w:rsid w:val="007102ED"/>
    <w:rsid w:val="00713D8F"/>
    <w:rsid w:val="00715E88"/>
    <w:rsid w:val="007215AD"/>
    <w:rsid w:val="0072379D"/>
    <w:rsid w:val="0072508B"/>
    <w:rsid w:val="00732257"/>
    <w:rsid w:val="007344F7"/>
    <w:rsid w:val="00734CAA"/>
    <w:rsid w:val="00736583"/>
    <w:rsid w:val="00740ABB"/>
    <w:rsid w:val="007425D5"/>
    <w:rsid w:val="00742E0C"/>
    <w:rsid w:val="00745870"/>
    <w:rsid w:val="00747A88"/>
    <w:rsid w:val="0075473A"/>
    <w:rsid w:val="00755106"/>
    <w:rsid w:val="0075533C"/>
    <w:rsid w:val="00757581"/>
    <w:rsid w:val="007611A0"/>
    <w:rsid w:val="00764EE7"/>
    <w:rsid w:val="007654D2"/>
    <w:rsid w:val="007658A0"/>
    <w:rsid w:val="0077019B"/>
    <w:rsid w:val="00771992"/>
    <w:rsid w:val="00782970"/>
    <w:rsid w:val="00783907"/>
    <w:rsid w:val="0078395D"/>
    <w:rsid w:val="00791836"/>
    <w:rsid w:val="00796330"/>
    <w:rsid w:val="00796D3F"/>
    <w:rsid w:val="007A1683"/>
    <w:rsid w:val="007A1BF0"/>
    <w:rsid w:val="007A36F8"/>
    <w:rsid w:val="007A5C12"/>
    <w:rsid w:val="007A7CB0"/>
    <w:rsid w:val="007B0171"/>
    <w:rsid w:val="007B15C4"/>
    <w:rsid w:val="007B68A3"/>
    <w:rsid w:val="007C2541"/>
    <w:rsid w:val="007C2714"/>
    <w:rsid w:val="007C4090"/>
    <w:rsid w:val="007C540A"/>
    <w:rsid w:val="007D66A8"/>
    <w:rsid w:val="007D773D"/>
    <w:rsid w:val="007E003F"/>
    <w:rsid w:val="007E551B"/>
    <w:rsid w:val="00802E72"/>
    <w:rsid w:val="00804468"/>
    <w:rsid w:val="00805F1D"/>
    <w:rsid w:val="00806492"/>
    <w:rsid w:val="00815105"/>
    <w:rsid w:val="008164F2"/>
    <w:rsid w:val="00817DA7"/>
    <w:rsid w:val="00821395"/>
    <w:rsid w:val="00824DEA"/>
    <w:rsid w:val="00830E26"/>
    <w:rsid w:val="0084237A"/>
    <w:rsid w:val="00843576"/>
    <w:rsid w:val="0084394E"/>
    <w:rsid w:val="00843B64"/>
    <w:rsid w:val="00843F7D"/>
    <w:rsid w:val="00845E29"/>
    <w:rsid w:val="008470BD"/>
    <w:rsid w:val="008478FC"/>
    <w:rsid w:val="00852BBB"/>
    <w:rsid w:val="00857CBA"/>
    <w:rsid w:val="00861237"/>
    <w:rsid w:val="0086486E"/>
    <w:rsid w:val="00866563"/>
    <w:rsid w:val="00867BFF"/>
    <w:rsid w:val="00876E3C"/>
    <w:rsid w:val="00881A98"/>
    <w:rsid w:val="0088480A"/>
    <w:rsid w:val="00886E7C"/>
    <w:rsid w:val="0088757A"/>
    <w:rsid w:val="00891B0C"/>
    <w:rsid w:val="008925FB"/>
    <w:rsid w:val="008927E8"/>
    <w:rsid w:val="008957DD"/>
    <w:rsid w:val="00897D98"/>
    <w:rsid w:val="00897E2B"/>
    <w:rsid w:val="008A26B4"/>
    <w:rsid w:val="008A27F7"/>
    <w:rsid w:val="008A6DF2"/>
    <w:rsid w:val="008A7807"/>
    <w:rsid w:val="008A7E6C"/>
    <w:rsid w:val="008B0D6B"/>
    <w:rsid w:val="008B3832"/>
    <w:rsid w:val="008B4CC9"/>
    <w:rsid w:val="008B672D"/>
    <w:rsid w:val="008C13F0"/>
    <w:rsid w:val="008C1B8B"/>
    <w:rsid w:val="008D1484"/>
    <w:rsid w:val="008D3AE0"/>
    <w:rsid w:val="008D4994"/>
    <w:rsid w:val="008D7C99"/>
    <w:rsid w:val="008E0FCB"/>
    <w:rsid w:val="008E4E88"/>
    <w:rsid w:val="009046CF"/>
    <w:rsid w:val="00907D78"/>
    <w:rsid w:val="00917B4D"/>
    <w:rsid w:val="0092178C"/>
    <w:rsid w:val="0092406D"/>
    <w:rsid w:val="009242FA"/>
    <w:rsid w:val="0092493F"/>
    <w:rsid w:val="0092648B"/>
    <w:rsid w:val="00926BC9"/>
    <w:rsid w:val="00930B88"/>
    <w:rsid w:val="009319C6"/>
    <w:rsid w:val="0093763E"/>
    <w:rsid w:val="009378DC"/>
    <w:rsid w:val="00940DCC"/>
    <w:rsid w:val="0094179A"/>
    <w:rsid w:val="0094459E"/>
    <w:rsid w:val="00944DBC"/>
    <w:rsid w:val="00950977"/>
    <w:rsid w:val="00951A7B"/>
    <w:rsid w:val="009548AE"/>
    <w:rsid w:val="009564A6"/>
    <w:rsid w:val="00961A33"/>
    <w:rsid w:val="009628B9"/>
    <w:rsid w:val="00963CFC"/>
    <w:rsid w:val="00967621"/>
    <w:rsid w:val="00967E6A"/>
    <w:rsid w:val="00980797"/>
    <w:rsid w:val="00985D82"/>
    <w:rsid w:val="009935AC"/>
    <w:rsid w:val="00995C83"/>
    <w:rsid w:val="00997443"/>
    <w:rsid w:val="009A1ABC"/>
    <w:rsid w:val="009A2809"/>
    <w:rsid w:val="009A45D7"/>
    <w:rsid w:val="009A6054"/>
    <w:rsid w:val="009A7EE8"/>
    <w:rsid w:val="009B04F4"/>
    <w:rsid w:val="009B0EFB"/>
    <w:rsid w:val="009B30AA"/>
    <w:rsid w:val="009B4499"/>
    <w:rsid w:val="009B4A0F"/>
    <w:rsid w:val="009B6D95"/>
    <w:rsid w:val="009C0C8D"/>
    <w:rsid w:val="009C0FEC"/>
    <w:rsid w:val="009C11D2"/>
    <w:rsid w:val="009C3C3B"/>
    <w:rsid w:val="009C6C70"/>
    <w:rsid w:val="009D0922"/>
    <w:rsid w:val="009D0AF0"/>
    <w:rsid w:val="009D0B63"/>
    <w:rsid w:val="009D531A"/>
    <w:rsid w:val="009E1A50"/>
    <w:rsid w:val="009E307E"/>
    <w:rsid w:val="009E47E3"/>
    <w:rsid w:val="009E74FD"/>
    <w:rsid w:val="009F2576"/>
    <w:rsid w:val="009F2A04"/>
    <w:rsid w:val="009F6567"/>
    <w:rsid w:val="009F79B6"/>
    <w:rsid w:val="00A01800"/>
    <w:rsid w:val="00A03A4A"/>
    <w:rsid w:val="00A07870"/>
    <w:rsid w:val="00A07F19"/>
    <w:rsid w:val="00A1348D"/>
    <w:rsid w:val="00A142D1"/>
    <w:rsid w:val="00A1489E"/>
    <w:rsid w:val="00A225F8"/>
    <w:rsid w:val="00A232EE"/>
    <w:rsid w:val="00A24A76"/>
    <w:rsid w:val="00A25ACF"/>
    <w:rsid w:val="00A350C1"/>
    <w:rsid w:val="00A35374"/>
    <w:rsid w:val="00A35796"/>
    <w:rsid w:val="00A4175F"/>
    <w:rsid w:val="00A44411"/>
    <w:rsid w:val="00A469FA"/>
    <w:rsid w:val="00A50E94"/>
    <w:rsid w:val="00A55B01"/>
    <w:rsid w:val="00A56B5B"/>
    <w:rsid w:val="00A603FF"/>
    <w:rsid w:val="00A657DD"/>
    <w:rsid w:val="00A666A6"/>
    <w:rsid w:val="00A675FD"/>
    <w:rsid w:val="00A72437"/>
    <w:rsid w:val="00A80611"/>
    <w:rsid w:val="00A81D0E"/>
    <w:rsid w:val="00A83934"/>
    <w:rsid w:val="00A8475E"/>
    <w:rsid w:val="00A84B15"/>
    <w:rsid w:val="00A87016"/>
    <w:rsid w:val="00A930F4"/>
    <w:rsid w:val="00A95FDF"/>
    <w:rsid w:val="00AA3C01"/>
    <w:rsid w:val="00AB1F69"/>
    <w:rsid w:val="00AB2EFC"/>
    <w:rsid w:val="00AB4B06"/>
    <w:rsid w:val="00AB5340"/>
    <w:rsid w:val="00AB582B"/>
    <w:rsid w:val="00AC010E"/>
    <w:rsid w:val="00AC01CC"/>
    <w:rsid w:val="00AC16B8"/>
    <w:rsid w:val="00AC2156"/>
    <w:rsid w:val="00AC2172"/>
    <w:rsid w:val="00AC6352"/>
    <w:rsid w:val="00AC6C72"/>
    <w:rsid w:val="00AC7C96"/>
    <w:rsid w:val="00AE237D"/>
    <w:rsid w:val="00AE2A3D"/>
    <w:rsid w:val="00AE502A"/>
    <w:rsid w:val="00AE63D6"/>
    <w:rsid w:val="00AF0DF7"/>
    <w:rsid w:val="00AF15A8"/>
    <w:rsid w:val="00AF6103"/>
    <w:rsid w:val="00AF68BE"/>
    <w:rsid w:val="00AF7C07"/>
    <w:rsid w:val="00B06C97"/>
    <w:rsid w:val="00B17B3A"/>
    <w:rsid w:val="00B21F5C"/>
    <w:rsid w:val="00B22C93"/>
    <w:rsid w:val="00B26CC6"/>
    <w:rsid w:val="00B27589"/>
    <w:rsid w:val="00B27B8C"/>
    <w:rsid w:val="00B32C81"/>
    <w:rsid w:val="00B3351C"/>
    <w:rsid w:val="00B37EF9"/>
    <w:rsid w:val="00B405B7"/>
    <w:rsid w:val="00B45E6D"/>
    <w:rsid w:val="00B52222"/>
    <w:rsid w:val="00B523A2"/>
    <w:rsid w:val="00B5259B"/>
    <w:rsid w:val="00B54242"/>
    <w:rsid w:val="00B54FE7"/>
    <w:rsid w:val="00B57C47"/>
    <w:rsid w:val="00B60292"/>
    <w:rsid w:val="00B66901"/>
    <w:rsid w:val="00B71E6D"/>
    <w:rsid w:val="00B72070"/>
    <w:rsid w:val="00B776F0"/>
    <w:rsid w:val="00B779E1"/>
    <w:rsid w:val="00B818CA"/>
    <w:rsid w:val="00B859A3"/>
    <w:rsid w:val="00B90362"/>
    <w:rsid w:val="00B906B9"/>
    <w:rsid w:val="00B91EE1"/>
    <w:rsid w:val="00BA0090"/>
    <w:rsid w:val="00BA1A67"/>
    <w:rsid w:val="00BA3DFE"/>
    <w:rsid w:val="00BB26BB"/>
    <w:rsid w:val="00BB29C9"/>
    <w:rsid w:val="00BB49DE"/>
    <w:rsid w:val="00BB709E"/>
    <w:rsid w:val="00BC07FE"/>
    <w:rsid w:val="00BC1632"/>
    <w:rsid w:val="00BC7636"/>
    <w:rsid w:val="00BD0163"/>
    <w:rsid w:val="00BD159E"/>
    <w:rsid w:val="00BD2488"/>
    <w:rsid w:val="00BD6792"/>
    <w:rsid w:val="00BE5B5F"/>
    <w:rsid w:val="00BF1A87"/>
    <w:rsid w:val="00BF1C31"/>
    <w:rsid w:val="00BF310A"/>
    <w:rsid w:val="00BF39C9"/>
    <w:rsid w:val="00BF6587"/>
    <w:rsid w:val="00BF7243"/>
    <w:rsid w:val="00C02042"/>
    <w:rsid w:val="00C0559D"/>
    <w:rsid w:val="00C06136"/>
    <w:rsid w:val="00C14C20"/>
    <w:rsid w:val="00C16115"/>
    <w:rsid w:val="00C17DF5"/>
    <w:rsid w:val="00C2128E"/>
    <w:rsid w:val="00C26F55"/>
    <w:rsid w:val="00C305B8"/>
    <w:rsid w:val="00C30C63"/>
    <w:rsid w:val="00C32B37"/>
    <w:rsid w:val="00C36B8B"/>
    <w:rsid w:val="00C36BCA"/>
    <w:rsid w:val="00C41EFC"/>
    <w:rsid w:val="00C420A4"/>
    <w:rsid w:val="00C47DBF"/>
    <w:rsid w:val="00C50517"/>
    <w:rsid w:val="00C53666"/>
    <w:rsid w:val="00C552FF"/>
    <w:rsid w:val="00C558DA"/>
    <w:rsid w:val="00C55AF3"/>
    <w:rsid w:val="00C60713"/>
    <w:rsid w:val="00C6091E"/>
    <w:rsid w:val="00C62F86"/>
    <w:rsid w:val="00C6517F"/>
    <w:rsid w:val="00C6600F"/>
    <w:rsid w:val="00C70B49"/>
    <w:rsid w:val="00C75C7C"/>
    <w:rsid w:val="00C81951"/>
    <w:rsid w:val="00C83A8F"/>
    <w:rsid w:val="00C84759"/>
    <w:rsid w:val="00C9280F"/>
    <w:rsid w:val="00C94A4B"/>
    <w:rsid w:val="00C97578"/>
    <w:rsid w:val="00CA6C7F"/>
    <w:rsid w:val="00CA7723"/>
    <w:rsid w:val="00CA78AF"/>
    <w:rsid w:val="00CB141D"/>
    <w:rsid w:val="00CB2045"/>
    <w:rsid w:val="00CB532B"/>
    <w:rsid w:val="00CB6F8C"/>
    <w:rsid w:val="00CC0260"/>
    <w:rsid w:val="00CC10A6"/>
    <w:rsid w:val="00CC6353"/>
    <w:rsid w:val="00CC7561"/>
    <w:rsid w:val="00CC7A54"/>
    <w:rsid w:val="00CD26B7"/>
    <w:rsid w:val="00CD5EB8"/>
    <w:rsid w:val="00CD6AC7"/>
    <w:rsid w:val="00CD7044"/>
    <w:rsid w:val="00CE08B9"/>
    <w:rsid w:val="00CE0AFB"/>
    <w:rsid w:val="00CE1761"/>
    <w:rsid w:val="00CE3A80"/>
    <w:rsid w:val="00CE524C"/>
    <w:rsid w:val="00CE52AE"/>
    <w:rsid w:val="00CF141F"/>
    <w:rsid w:val="00CF39B0"/>
    <w:rsid w:val="00CF4777"/>
    <w:rsid w:val="00CF5AF8"/>
    <w:rsid w:val="00D067BB"/>
    <w:rsid w:val="00D070CC"/>
    <w:rsid w:val="00D1352A"/>
    <w:rsid w:val="00D13EDE"/>
    <w:rsid w:val="00D15992"/>
    <w:rsid w:val="00D169AF"/>
    <w:rsid w:val="00D21D96"/>
    <w:rsid w:val="00D25249"/>
    <w:rsid w:val="00D255A7"/>
    <w:rsid w:val="00D31217"/>
    <w:rsid w:val="00D312B7"/>
    <w:rsid w:val="00D43B4E"/>
    <w:rsid w:val="00D44172"/>
    <w:rsid w:val="00D46270"/>
    <w:rsid w:val="00D52603"/>
    <w:rsid w:val="00D526D8"/>
    <w:rsid w:val="00D632EF"/>
    <w:rsid w:val="00D63B8C"/>
    <w:rsid w:val="00D712FD"/>
    <w:rsid w:val="00D72CB6"/>
    <w:rsid w:val="00D739CC"/>
    <w:rsid w:val="00D8093D"/>
    <w:rsid w:val="00D8108C"/>
    <w:rsid w:val="00D842AE"/>
    <w:rsid w:val="00D8539D"/>
    <w:rsid w:val="00D9211C"/>
    <w:rsid w:val="00D92DE0"/>
    <w:rsid w:val="00D92FEF"/>
    <w:rsid w:val="00D93A0F"/>
    <w:rsid w:val="00D96331"/>
    <w:rsid w:val="00D96BE1"/>
    <w:rsid w:val="00D96D3F"/>
    <w:rsid w:val="00DA1BCA"/>
    <w:rsid w:val="00DA3FFA"/>
    <w:rsid w:val="00DA7299"/>
    <w:rsid w:val="00DB1617"/>
    <w:rsid w:val="00DB2654"/>
    <w:rsid w:val="00DB36B7"/>
    <w:rsid w:val="00DB3E23"/>
    <w:rsid w:val="00DB5560"/>
    <w:rsid w:val="00DC46FF"/>
    <w:rsid w:val="00DC5254"/>
    <w:rsid w:val="00DC5689"/>
    <w:rsid w:val="00DD1A4F"/>
    <w:rsid w:val="00DD3107"/>
    <w:rsid w:val="00DD5EFF"/>
    <w:rsid w:val="00DD79DA"/>
    <w:rsid w:val="00DD7C2C"/>
    <w:rsid w:val="00DE16D1"/>
    <w:rsid w:val="00DE27C2"/>
    <w:rsid w:val="00DE6E55"/>
    <w:rsid w:val="00DF5660"/>
    <w:rsid w:val="00E0574F"/>
    <w:rsid w:val="00E06797"/>
    <w:rsid w:val="00E122BC"/>
    <w:rsid w:val="00E12592"/>
    <w:rsid w:val="00E1265B"/>
    <w:rsid w:val="00E13B48"/>
    <w:rsid w:val="00E1404F"/>
    <w:rsid w:val="00E212EF"/>
    <w:rsid w:val="00E21C83"/>
    <w:rsid w:val="00E223B4"/>
    <w:rsid w:val="00E23AA3"/>
    <w:rsid w:val="00E24ADA"/>
    <w:rsid w:val="00E256F6"/>
    <w:rsid w:val="00E25E25"/>
    <w:rsid w:val="00E32EC6"/>
    <w:rsid w:val="00E32F59"/>
    <w:rsid w:val="00E366F6"/>
    <w:rsid w:val="00E37F15"/>
    <w:rsid w:val="00E440CD"/>
    <w:rsid w:val="00E46D9A"/>
    <w:rsid w:val="00E509D1"/>
    <w:rsid w:val="00E565FF"/>
    <w:rsid w:val="00E600D6"/>
    <w:rsid w:val="00E610B7"/>
    <w:rsid w:val="00E62A09"/>
    <w:rsid w:val="00E62CBC"/>
    <w:rsid w:val="00E63843"/>
    <w:rsid w:val="00E63C75"/>
    <w:rsid w:val="00E65388"/>
    <w:rsid w:val="00E67833"/>
    <w:rsid w:val="00E74138"/>
    <w:rsid w:val="00E74ACB"/>
    <w:rsid w:val="00E8271D"/>
    <w:rsid w:val="00E85B7D"/>
    <w:rsid w:val="00E90773"/>
    <w:rsid w:val="00E9121B"/>
    <w:rsid w:val="00E91FDB"/>
    <w:rsid w:val="00E94B48"/>
    <w:rsid w:val="00E957A3"/>
    <w:rsid w:val="00E960E8"/>
    <w:rsid w:val="00E96614"/>
    <w:rsid w:val="00E97FA2"/>
    <w:rsid w:val="00EA0AE2"/>
    <w:rsid w:val="00EA292F"/>
    <w:rsid w:val="00EA39E5"/>
    <w:rsid w:val="00EA53CC"/>
    <w:rsid w:val="00EA5F19"/>
    <w:rsid w:val="00EB3106"/>
    <w:rsid w:val="00EC01A1"/>
    <w:rsid w:val="00EC0672"/>
    <w:rsid w:val="00EC5A46"/>
    <w:rsid w:val="00EC63E2"/>
    <w:rsid w:val="00EC742A"/>
    <w:rsid w:val="00ED0087"/>
    <w:rsid w:val="00ED1F3E"/>
    <w:rsid w:val="00ED37B5"/>
    <w:rsid w:val="00ED64A7"/>
    <w:rsid w:val="00ED6E0F"/>
    <w:rsid w:val="00EE1BA8"/>
    <w:rsid w:val="00EE1E98"/>
    <w:rsid w:val="00EE3790"/>
    <w:rsid w:val="00EE397B"/>
    <w:rsid w:val="00EE4483"/>
    <w:rsid w:val="00EE5261"/>
    <w:rsid w:val="00EF22B3"/>
    <w:rsid w:val="00EF4656"/>
    <w:rsid w:val="00EF469A"/>
    <w:rsid w:val="00EF5482"/>
    <w:rsid w:val="00EF6D41"/>
    <w:rsid w:val="00F03B69"/>
    <w:rsid w:val="00F07A50"/>
    <w:rsid w:val="00F113DA"/>
    <w:rsid w:val="00F12045"/>
    <w:rsid w:val="00F1259D"/>
    <w:rsid w:val="00F23184"/>
    <w:rsid w:val="00F23F2D"/>
    <w:rsid w:val="00F25F15"/>
    <w:rsid w:val="00F319FC"/>
    <w:rsid w:val="00F37DC8"/>
    <w:rsid w:val="00F439B3"/>
    <w:rsid w:val="00F45AA8"/>
    <w:rsid w:val="00F502DD"/>
    <w:rsid w:val="00F50F51"/>
    <w:rsid w:val="00F511D5"/>
    <w:rsid w:val="00F52A1B"/>
    <w:rsid w:val="00F53193"/>
    <w:rsid w:val="00F53365"/>
    <w:rsid w:val="00F638FC"/>
    <w:rsid w:val="00F650C3"/>
    <w:rsid w:val="00F65D85"/>
    <w:rsid w:val="00F7203C"/>
    <w:rsid w:val="00F743AA"/>
    <w:rsid w:val="00F75453"/>
    <w:rsid w:val="00F76997"/>
    <w:rsid w:val="00F8091E"/>
    <w:rsid w:val="00F80A9A"/>
    <w:rsid w:val="00F8615C"/>
    <w:rsid w:val="00F87D8E"/>
    <w:rsid w:val="00F969E5"/>
    <w:rsid w:val="00F97AEE"/>
    <w:rsid w:val="00F97B5B"/>
    <w:rsid w:val="00F97E54"/>
    <w:rsid w:val="00FA1C95"/>
    <w:rsid w:val="00FA5AD4"/>
    <w:rsid w:val="00FA6BB0"/>
    <w:rsid w:val="00FB1DFB"/>
    <w:rsid w:val="00FC5D96"/>
    <w:rsid w:val="00FD0FE3"/>
    <w:rsid w:val="00FD117A"/>
    <w:rsid w:val="00FD2D77"/>
    <w:rsid w:val="00FD4438"/>
    <w:rsid w:val="00FD5860"/>
    <w:rsid w:val="00FE0DBF"/>
    <w:rsid w:val="00FE13F6"/>
    <w:rsid w:val="00FE352D"/>
    <w:rsid w:val="00FE40EB"/>
    <w:rsid w:val="00FE4D02"/>
    <w:rsid w:val="00FE51C9"/>
    <w:rsid w:val="00FE64CF"/>
    <w:rsid w:val="00FE7B2F"/>
    <w:rsid w:val="00FE7D62"/>
    <w:rsid w:val="00FF2328"/>
    <w:rsid w:val="00FF29EF"/>
    <w:rsid w:val="00FF3819"/>
    <w:rsid w:val="00FF419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17E42"/>
  <w15:chartTrackingRefBased/>
  <w15:docId w15:val="{78C51FAC-FAE6-47A7-B937-804356BFA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01800"/>
    <w:pPr>
      <w:tabs>
        <w:tab w:val="left" w:pos="1247"/>
        <w:tab w:val="left" w:pos="1814"/>
        <w:tab w:val="left" w:pos="2381"/>
        <w:tab w:val="left" w:pos="2948"/>
        <w:tab w:val="left" w:pos="3515"/>
      </w:tabs>
    </w:pPr>
    <w:rPr>
      <w:rFonts w:eastAsia="Times New Roman"/>
      <w:lang w:val="en-GB" w:eastAsia="en-US"/>
    </w:rPr>
  </w:style>
  <w:style w:type="paragraph" w:styleId="Heading1">
    <w:name w:val="heading 1"/>
    <w:aliases w:val="Para (1),Heading 1 Char1 Char,Heading 1 Char Char Char,Para (1) Char Char Char,Para (1) Char1 Char,Heading 1 Char1,Heading 1 Char Char,Para (1) Char Char,Para (1) Char1,Heading 1 Char1 Char Char,Heading 1 Char2 Char1 Char Char,Heading 1 Char3"/>
    <w:basedOn w:val="CH1"/>
    <w:next w:val="Normalnumber"/>
    <w:link w:val="Heading1Char"/>
    <w:qFormat/>
    <w:rsid w:val="00A01800"/>
    <w:pPr>
      <w:numPr>
        <w:numId w:val="2"/>
      </w:numPr>
      <w:tabs>
        <w:tab w:val="clear" w:pos="851"/>
        <w:tab w:val="clear" w:pos="1247"/>
        <w:tab w:val="clear" w:pos="4990"/>
      </w:tabs>
      <w:ind w:left="1248" w:right="624" w:hanging="397"/>
      <w:outlineLvl w:val="0"/>
    </w:pPr>
  </w:style>
  <w:style w:type="paragraph" w:styleId="Heading2">
    <w:name w:val="heading 2"/>
    <w:aliases w:val="SubPara (a),Heading 2 Char1 Char,SubPara (a) Char1 Char,Heading 2 Char3 Char Char,Heading 2 Char Char2 Char Char,Heading 2 Char1 Char Char1 Char Char,SubPara (a) Char Char Char1 Char Char,Heading 2 Char Char Char Char1 Char Char,Heading 2 C.."/>
    <w:basedOn w:val="CH2"/>
    <w:next w:val="Normalnumber"/>
    <w:link w:val="Heading2Char"/>
    <w:qFormat/>
    <w:rsid w:val="00A01800"/>
    <w:pPr>
      <w:numPr>
        <w:numId w:val="3"/>
      </w:numPr>
      <w:tabs>
        <w:tab w:val="clear" w:pos="851"/>
        <w:tab w:val="clear" w:pos="1247"/>
        <w:tab w:val="clear" w:pos="4990"/>
      </w:tabs>
      <w:outlineLvl w:val="1"/>
    </w:pPr>
  </w:style>
  <w:style w:type="paragraph" w:styleId="Heading3">
    <w:name w:val="heading 3"/>
    <w:aliases w:val="Heading 2 + 10 pt,Italic,Before:  2.86 cm,Heading 3 Char1,Heading 3 Char Char,Char Char Char,Char Char1,Heading 3 Char1 Char,Heading 3 Char Char Char,Char Char Char Char,Char Char1 Char,Heading 3 Char2,Char Char2,Char Char Char1"/>
    <w:basedOn w:val="CH3"/>
    <w:next w:val="Normalnumber"/>
    <w:link w:val="Heading3Char"/>
    <w:qFormat/>
    <w:rsid w:val="00A01800"/>
    <w:pPr>
      <w:numPr>
        <w:numId w:val="4"/>
      </w:numPr>
      <w:tabs>
        <w:tab w:val="clear" w:pos="851"/>
        <w:tab w:val="clear" w:pos="1247"/>
        <w:tab w:val="clear" w:pos="4990"/>
      </w:tabs>
      <w:outlineLvl w:val="2"/>
    </w:pPr>
  </w:style>
  <w:style w:type="paragraph" w:styleId="Heading4">
    <w:name w:val="heading 4"/>
    <w:aliases w:val="Heading 11,para 4,Título 41,Heading 41,heading 4"/>
    <w:basedOn w:val="Normal"/>
    <w:next w:val="Normalnumber"/>
    <w:link w:val="Heading4Char"/>
    <w:qFormat/>
    <w:rsid w:val="00A01800"/>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A01800"/>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A01800"/>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A01800"/>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A01800"/>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A01800"/>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01800"/>
    <w:rPr>
      <w:rFonts w:ascii="Times New Roman" w:hAnsi="Times New Roman"/>
      <w:b/>
      <w:sz w:val="18"/>
      <w:lang w:val="en-GB"/>
    </w:rPr>
  </w:style>
  <w:style w:type="table" w:customStyle="1" w:styleId="Tabledocright">
    <w:name w:val="Table_doc_right"/>
    <w:basedOn w:val="TableNormal"/>
    <w:rsid w:val="00A01800"/>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A01800"/>
    <w:pPr>
      <w:ind w:left="1000"/>
    </w:pPr>
    <w:rPr>
      <w:sz w:val="18"/>
      <w:szCs w:val="18"/>
    </w:rPr>
  </w:style>
  <w:style w:type="paragraph" w:styleId="TOC7">
    <w:name w:val="toc 7"/>
    <w:basedOn w:val="Normal"/>
    <w:next w:val="Normal"/>
    <w:autoRedefine/>
    <w:semiHidden/>
    <w:rsid w:val="00A01800"/>
    <w:pPr>
      <w:ind w:left="1200"/>
    </w:pPr>
    <w:rPr>
      <w:sz w:val="18"/>
      <w:szCs w:val="18"/>
    </w:rPr>
  </w:style>
  <w:style w:type="paragraph" w:styleId="TOC8">
    <w:name w:val="toc 8"/>
    <w:basedOn w:val="Normal"/>
    <w:next w:val="Normal"/>
    <w:autoRedefine/>
    <w:semiHidden/>
    <w:rsid w:val="00A01800"/>
    <w:pPr>
      <w:ind w:left="1400"/>
    </w:pPr>
    <w:rPr>
      <w:sz w:val="18"/>
      <w:szCs w:val="18"/>
    </w:rPr>
  </w:style>
  <w:style w:type="paragraph" w:styleId="TOC9">
    <w:name w:val="toc 9"/>
    <w:basedOn w:val="Normal"/>
    <w:next w:val="Normal"/>
    <w:autoRedefine/>
    <w:semiHidden/>
    <w:rsid w:val="00A01800"/>
    <w:pPr>
      <w:ind w:left="1600"/>
    </w:pPr>
    <w:rPr>
      <w:sz w:val="18"/>
      <w:szCs w:val="18"/>
    </w:rPr>
  </w:style>
  <w:style w:type="paragraph" w:customStyle="1" w:styleId="Titlefigure">
    <w:name w:val="Title_figure"/>
    <w:basedOn w:val="Titletable"/>
    <w:next w:val="NormalNonumber"/>
    <w:rsid w:val="00A01800"/>
    <w:pPr>
      <w:tabs>
        <w:tab w:val="clear" w:pos="4990"/>
      </w:tabs>
    </w:pPr>
    <w:rPr>
      <w:bCs w:val="0"/>
    </w:rPr>
  </w:style>
  <w:style w:type="paragraph" w:styleId="TableofFigures">
    <w:name w:val="table of figures"/>
    <w:basedOn w:val="Normal"/>
    <w:next w:val="Normal"/>
    <w:autoRedefine/>
    <w:semiHidden/>
    <w:rsid w:val="00A01800"/>
    <w:pPr>
      <w:ind w:left="1814" w:hanging="567"/>
    </w:pPr>
  </w:style>
  <w:style w:type="paragraph" w:customStyle="1" w:styleId="CH1">
    <w:name w:val="CH1"/>
    <w:basedOn w:val="Normal-pool"/>
    <w:next w:val="CH2"/>
    <w:link w:val="CH1Char"/>
    <w:qFormat/>
    <w:rsid w:val="00A01800"/>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A01800"/>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link w:val="CH3Char"/>
    <w:qFormat/>
    <w:rsid w:val="00A01800"/>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A01800"/>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A01800"/>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A01800"/>
    <w:pPr>
      <w:tabs>
        <w:tab w:val="left" w:pos="4321"/>
        <w:tab w:val="right" w:pos="8641"/>
      </w:tabs>
      <w:spacing w:before="60"/>
    </w:pPr>
    <w:rPr>
      <w:b/>
      <w:sz w:val="18"/>
    </w:rPr>
  </w:style>
  <w:style w:type="paragraph" w:customStyle="1" w:styleId="Footer-pool">
    <w:name w:val="Footer-pool"/>
    <w:basedOn w:val="Normal-pool"/>
    <w:next w:val="Normal-pool"/>
    <w:rsid w:val="00A01800"/>
    <w:pPr>
      <w:tabs>
        <w:tab w:val="right" w:pos="8641"/>
      </w:tabs>
      <w:spacing w:after="120"/>
    </w:pPr>
    <w:rPr>
      <w:b/>
      <w:sz w:val="18"/>
    </w:rPr>
  </w:style>
  <w:style w:type="paragraph" w:customStyle="1" w:styleId="Header-pool">
    <w:name w:val="Header-pool"/>
    <w:basedOn w:val="Normal"/>
    <w:next w:val="Normal"/>
    <w:rsid w:val="00A01800"/>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link w:val="CharCharCharCharCarChar"/>
    <w:unhideWhenUsed/>
    <w:qFormat/>
    <w:rsid w:val="00A01800"/>
    <w:rPr>
      <w:rFonts w:ascii="Times New Roman" w:hAnsi="Times New Roman"/>
      <w:color w:val="auto"/>
      <w:sz w:val="20"/>
      <w:szCs w:val="18"/>
      <w:vertAlign w:val="superscript"/>
      <w:lang w:val="en-GB"/>
    </w:rPr>
  </w:style>
  <w:style w:type="table" w:customStyle="1" w:styleId="AATable">
    <w:name w:val="AA_Table"/>
    <w:basedOn w:val="TableNormal"/>
    <w:rsid w:val="00A01800"/>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A01800"/>
    <w:pPr>
      <w:keepNext/>
      <w:keepLines/>
      <w:suppressAutoHyphens/>
    </w:pPr>
    <w:rPr>
      <w:b/>
    </w:rPr>
  </w:style>
  <w:style w:type="paragraph" w:customStyle="1" w:styleId="AATitle2">
    <w:name w:val="AA_Title2"/>
    <w:basedOn w:val="AATitle"/>
    <w:qFormat/>
    <w:rsid w:val="00A01800"/>
    <w:pPr>
      <w:keepNext w:val="0"/>
      <w:keepLines w:val="0"/>
      <w:tabs>
        <w:tab w:val="clear" w:pos="4990"/>
      </w:tabs>
      <w:spacing w:before="120" w:after="120"/>
    </w:pPr>
  </w:style>
  <w:style w:type="paragraph" w:customStyle="1" w:styleId="BBTitle">
    <w:name w:val="BB_Title"/>
    <w:basedOn w:val="Normal-pool"/>
    <w:link w:val="BBTitleChar"/>
    <w:qFormat/>
    <w:rsid w:val="00A01800"/>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A01800"/>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uiPriority w:val="99"/>
    <w:rsid w:val="00A01800"/>
    <w:pPr>
      <w:pBdr>
        <w:bottom w:val="single" w:sz="4" w:space="1" w:color="auto"/>
      </w:pBdr>
      <w:tabs>
        <w:tab w:val="center" w:pos="4536"/>
        <w:tab w:val="right" w:pos="9072"/>
      </w:tabs>
    </w:pPr>
    <w:rPr>
      <w:b/>
      <w:sz w:val="18"/>
    </w:rPr>
  </w:style>
  <w:style w:type="character" w:styleId="Hyperlink">
    <w:name w:val="Hyperlink"/>
    <w:basedOn w:val="DefaultParagraphFont"/>
    <w:rsid w:val="00A01800"/>
    <w:rPr>
      <w:color w:val="0000FF"/>
      <w:u w:val="none"/>
      <w:lang w:val="en-GB"/>
    </w:rPr>
  </w:style>
  <w:style w:type="numbering" w:customStyle="1" w:styleId="Normallist">
    <w:name w:val="Normal_list"/>
    <w:basedOn w:val="NoList"/>
    <w:rsid w:val="00A01800"/>
    <w:pPr>
      <w:numPr>
        <w:numId w:val="1"/>
      </w:numPr>
    </w:pPr>
  </w:style>
  <w:style w:type="paragraph" w:customStyle="1" w:styleId="NormalNonumber">
    <w:name w:val="Normal_No_number"/>
    <w:basedOn w:val="Normal-pool"/>
    <w:link w:val="NormalNonumberChar"/>
    <w:qFormat/>
    <w:rsid w:val="00A01800"/>
    <w:pPr>
      <w:spacing w:after="120"/>
      <w:ind w:left="1247"/>
    </w:pPr>
  </w:style>
  <w:style w:type="paragraph" w:customStyle="1" w:styleId="Normalnumber">
    <w:name w:val="Normal_number"/>
    <w:basedOn w:val="Normal"/>
    <w:link w:val="NormalnumberChar"/>
    <w:qFormat/>
    <w:rsid w:val="00A01800"/>
    <w:pPr>
      <w:numPr>
        <w:numId w:val="1"/>
      </w:numPr>
      <w:spacing w:after="120"/>
    </w:pPr>
  </w:style>
  <w:style w:type="paragraph" w:customStyle="1" w:styleId="Titletable">
    <w:name w:val="Title_table"/>
    <w:basedOn w:val="Normal-pool"/>
    <w:next w:val="NormalNonumber"/>
    <w:rsid w:val="00A01800"/>
    <w:pPr>
      <w:keepNext/>
      <w:keepLines/>
      <w:suppressAutoHyphens/>
      <w:spacing w:after="60"/>
      <w:ind w:left="1247"/>
    </w:pPr>
    <w:rPr>
      <w:b/>
      <w:bCs/>
    </w:rPr>
  </w:style>
  <w:style w:type="paragraph" w:styleId="TOC1">
    <w:name w:val="toc 1"/>
    <w:basedOn w:val="Normal"/>
    <w:next w:val="Normal"/>
    <w:autoRedefine/>
    <w:uiPriority w:val="39"/>
    <w:unhideWhenUsed/>
    <w:rsid w:val="00A01800"/>
    <w:pPr>
      <w:tabs>
        <w:tab w:val="right" w:leader="dot" w:pos="9486"/>
      </w:tabs>
      <w:spacing w:before="240"/>
      <w:ind w:left="1984" w:hanging="737"/>
    </w:pPr>
    <w:rPr>
      <w:bCs/>
    </w:rPr>
  </w:style>
  <w:style w:type="paragraph" w:styleId="TOC2">
    <w:name w:val="toc 2"/>
    <w:basedOn w:val="Normal"/>
    <w:next w:val="Normal"/>
    <w:uiPriority w:val="39"/>
    <w:unhideWhenUsed/>
    <w:rsid w:val="00A01800"/>
    <w:pPr>
      <w:tabs>
        <w:tab w:val="right" w:leader="dot" w:pos="9486"/>
      </w:tabs>
      <w:spacing w:before="60"/>
      <w:ind w:left="2608" w:hanging="737"/>
    </w:pPr>
  </w:style>
  <w:style w:type="paragraph" w:styleId="TOC3">
    <w:name w:val="toc 3"/>
    <w:basedOn w:val="Normal"/>
    <w:next w:val="Normal"/>
    <w:unhideWhenUsed/>
    <w:rsid w:val="00A01800"/>
    <w:pPr>
      <w:tabs>
        <w:tab w:val="right" w:leader="dot" w:pos="9486"/>
      </w:tabs>
      <w:ind w:left="3232" w:hanging="737"/>
    </w:pPr>
    <w:rPr>
      <w:iCs/>
    </w:rPr>
  </w:style>
  <w:style w:type="paragraph" w:styleId="TOC4">
    <w:name w:val="toc 4"/>
    <w:basedOn w:val="Normal"/>
    <w:next w:val="Normal"/>
    <w:unhideWhenUsed/>
    <w:rsid w:val="00A01800"/>
    <w:pPr>
      <w:tabs>
        <w:tab w:val="left" w:pos="1000"/>
        <w:tab w:val="right" w:leader="dot" w:pos="9486"/>
      </w:tabs>
      <w:ind w:left="3856" w:hanging="737"/>
    </w:pPr>
    <w:rPr>
      <w:szCs w:val="18"/>
    </w:rPr>
  </w:style>
  <w:style w:type="paragraph" w:styleId="TOC5">
    <w:name w:val="toc 5"/>
    <w:basedOn w:val="Normal"/>
    <w:next w:val="Normal"/>
    <w:rsid w:val="00A01800"/>
    <w:pPr>
      <w:tabs>
        <w:tab w:val="right" w:leader="dot" w:pos="9486"/>
      </w:tabs>
      <w:ind w:left="4479" w:hanging="737"/>
    </w:pPr>
    <w:rPr>
      <w:sz w:val="18"/>
      <w:szCs w:val="18"/>
    </w:rPr>
  </w:style>
  <w:style w:type="paragraph" w:customStyle="1" w:styleId="ZZAnxheader">
    <w:name w:val="ZZ_Anx_header"/>
    <w:basedOn w:val="Normal-pool"/>
    <w:link w:val="ZZAnxheaderChar"/>
    <w:rsid w:val="00A01800"/>
    <w:rPr>
      <w:b/>
      <w:bCs/>
      <w:sz w:val="28"/>
      <w:szCs w:val="22"/>
    </w:rPr>
  </w:style>
  <w:style w:type="paragraph" w:customStyle="1" w:styleId="ZZAnxtitle">
    <w:name w:val="ZZ_Anx_title"/>
    <w:basedOn w:val="Normal-pool"/>
    <w:link w:val="ZZAnxtitleChar"/>
    <w:rsid w:val="00A01800"/>
    <w:pPr>
      <w:spacing w:before="360" w:after="120"/>
      <w:ind w:left="1247"/>
    </w:pPr>
    <w:rPr>
      <w:b/>
      <w:bCs/>
      <w:sz w:val="28"/>
      <w:szCs w:val="26"/>
    </w:rPr>
  </w:style>
  <w:style w:type="paragraph" w:styleId="NormalWeb">
    <w:name w:val="Normal (Web)"/>
    <w:basedOn w:val="Normal"/>
    <w:uiPriority w:val="99"/>
    <w:unhideWhenUsed/>
    <w:rsid w:val="00A01800"/>
    <w:pPr>
      <w:spacing w:before="100" w:beforeAutospacing="1" w:after="100" w:afterAutospacing="1"/>
    </w:pPr>
    <w:rPr>
      <w:rFonts w:eastAsiaTheme="minorEastAsia"/>
      <w:sz w:val="24"/>
      <w:szCs w:val="24"/>
    </w:rPr>
  </w:style>
  <w:style w:type="paragraph" w:customStyle="1" w:styleId="Normal-pool-Table">
    <w:name w:val="Normal-pool-Table"/>
    <w:basedOn w:val="Normal-pool"/>
    <w:rsid w:val="00A01800"/>
    <w:pPr>
      <w:spacing w:before="40" w:after="40"/>
    </w:pPr>
    <w:rPr>
      <w:sz w:val="18"/>
    </w:rPr>
  </w:style>
  <w:style w:type="paragraph" w:customStyle="1" w:styleId="Footnote-Text">
    <w:name w:val="Footnote-Text"/>
    <w:basedOn w:val="Normal-pool"/>
    <w:rsid w:val="00A01800"/>
    <w:pPr>
      <w:spacing w:before="20" w:after="40"/>
      <w:ind w:left="1247"/>
    </w:pPr>
    <w:rPr>
      <w:sz w:val="18"/>
    </w:rPr>
  </w:style>
  <w:style w:type="paragraph" w:customStyle="1" w:styleId="AConvName">
    <w:name w:val="A_ConvName"/>
    <w:basedOn w:val="Normal-pool"/>
    <w:next w:val="Normal-pool"/>
    <w:rsid w:val="00A01800"/>
    <w:pPr>
      <w:spacing w:before="120" w:after="240"/>
    </w:pPr>
    <w:rPr>
      <w:rFonts w:ascii="Arial" w:hAnsi="Arial"/>
      <w:b/>
      <w:sz w:val="28"/>
    </w:rPr>
  </w:style>
  <w:style w:type="paragraph" w:customStyle="1" w:styleId="ASymbol">
    <w:name w:val="A_Symbol"/>
    <w:basedOn w:val="Normal-pool"/>
    <w:rsid w:val="00A01800"/>
    <w:pPr>
      <w:tabs>
        <w:tab w:val="clear" w:pos="624"/>
        <w:tab w:val="clear" w:pos="1247"/>
        <w:tab w:val="right" w:pos="2920"/>
      </w:tabs>
    </w:pPr>
    <w:rPr>
      <w:rFonts w:eastAsia="SimSun"/>
    </w:rPr>
  </w:style>
  <w:style w:type="paragraph" w:customStyle="1" w:styleId="AText">
    <w:name w:val="A_Text"/>
    <w:basedOn w:val="Normal-pool"/>
    <w:rsid w:val="00A01800"/>
    <w:pPr>
      <w:spacing w:before="120"/>
    </w:pPr>
  </w:style>
  <w:style w:type="paragraph" w:customStyle="1" w:styleId="ATwoLetters">
    <w:name w:val="A_TwoLetters"/>
    <w:basedOn w:val="Normal-pool"/>
    <w:next w:val="Normal-pool"/>
    <w:rsid w:val="00A01800"/>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A01800"/>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A01800"/>
    <w:rPr>
      <w:rFonts w:ascii="Tahoma" w:hAnsi="Tahoma" w:cs="Tahoma"/>
      <w:sz w:val="16"/>
      <w:szCs w:val="16"/>
    </w:rPr>
  </w:style>
  <w:style w:type="character" w:customStyle="1" w:styleId="BalloonTextChar">
    <w:name w:val="Balloon Text Char"/>
    <w:basedOn w:val="DefaultParagraphFont"/>
    <w:link w:val="BalloonText"/>
    <w:rsid w:val="00A01800"/>
    <w:rPr>
      <w:rFonts w:ascii="Tahoma" w:eastAsia="Times New Roman" w:hAnsi="Tahoma" w:cs="Tahoma"/>
      <w:sz w:val="16"/>
      <w:szCs w:val="16"/>
      <w:lang w:val="en-GB" w:eastAsia="en-US"/>
    </w:rPr>
  </w:style>
  <w:style w:type="character" w:styleId="CommentReference">
    <w:name w:val="annotation reference"/>
    <w:basedOn w:val="DefaultParagraphFont"/>
    <w:uiPriority w:val="99"/>
    <w:unhideWhenUsed/>
    <w:rsid w:val="00A01800"/>
    <w:rPr>
      <w:sz w:val="16"/>
      <w:szCs w:val="16"/>
      <w:lang w:val="en-GB"/>
    </w:rPr>
  </w:style>
  <w:style w:type="paragraph" w:styleId="CommentText">
    <w:name w:val="annotation text"/>
    <w:basedOn w:val="Normal"/>
    <w:link w:val="CommentTextChar"/>
    <w:uiPriority w:val="99"/>
    <w:unhideWhenUsed/>
    <w:rsid w:val="00A01800"/>
  </w:style>
  <w:style w:type="character" w:customStyle="1" w:styleId="CommentTextChar">
    <w:name w:val="Comment Text Char"/>
    <w:basedOn w:val="DefaultParagraphFont"/>
    <w:link w:val="CommentText"/>
    <w:uiPriority w:val="99"/>
    <w:rsid w:val="00A01800"/>
    <w:rPr>
      <w:rFonts w:eastAsia="Times New Roman"/>
      <w:lang w:val="en-GB" w:eastAsia="en-US"/>
    </w:rPr>
  </w:style>
  <w:style w:type="paragraph" w:styleId="CommentSubject">
    <w:name w:val="annotation subject"/>
    <w:basedOn w:val="CommentText"/>
    <w:next w:val="CommentText"/>
    <w:link w:val="CommentSubjectChar"/>
    <w:unhideWhenUsed/>
    <w:rsid w:val="00A01800"/>
    <w:rPr>
      <w:b/>
      <w:bCs/>
    </w:rPr>
  </w:style>
  <w:style w:type="character" w:customStyle="1" w:styleId="CommentSubjectChar">
    <w:name w:val="Comment Subject Char"/>
    <w:basedOn w:val="CommentTextChar"/>
    <w:link w:val="CommentSubject"/>
    <w:rsid w:val="00A01800"/>
    <w:rPr>
      <w:rFonts w:eastAsia="Times New Roman"/>
      <w:b/>
      <w:bCs/>
      <w:lang w:val="en-GB" w:eastAsia="en-US"/>
    </w:rPr>
  </w:style>
  <w:style w:type="character" w:styleId="FollowedHyperlink">
    <w:name w:val="FollowedHyperlink"/>
    <w:uiPriority w:val="99"/>
    <w:rsid w:val="00A01800"/>
    <w:rPr>
      <w:color w:val="0000FF"/>
      <w:u w:val="none"/>
      <w:lang w:val="en-GB"/>
    </w:rPr>
  </w:style>
  <w:style w:type="character" w:customStyle="1" w:styleId="FooterChar">
    <w:name w:val="Footer Char"/>
    <w:basedOn w:val="DefaultParagraphFont"/>
    <w:link w:val="CH4"/>
    <w:uiPriority w:val="99"/>
    <w:rsid w:val="00A01800"/>
    <w:rPr>
      <w:rFonts w:eastAsia="Times New Roman"/>
      <w:b/>
      <w:lang w:val="en-GB" w:eastAsia="en-US"/>
    </w:rPr>
  </w:style>
  <w:style w:type="character" w:customStyle="1" w:styleId="HeaderChar">
    <w:name w:val="Header Char"/>
    <w:aliases w:val="EthylHeader Char"/>
    <w:basedOn w:val="DefaultParagraphFont"/>
    <w:link w:val="Header"/>
    <w:uiPriority w:val="99"/>
    <w:rsid w:val="00A01800"/>
    <w:rPr>
      <w:rFonts w:eastAsia="Times New Roman"/>
      <w:b/>
      <w:sz w:val="18"/>
      <w:lang w:val="en-GB" w:eastAsia="en-US"/>
    </w:rPr>
  </w:style>
  <w:style w:type="character" w:customStyle="1" w:styleId="Heading1Char">
    <w:name w:val="Heading 1 Char"/>
    <w:aliases w:val="Para (1) Char,Heading 1 Char1 Char Char1,Heading 1 Char Char Char Char,Para (1) Char Char Char Char,Para (1) Char1 Char Char,Heading 1 Char1 Char1,Heading 1 Char Char Char1,Para (1) Char Char Char1,Para (1) Char1 Char1"/>
    <w:basedOn w:val="DefaultParagraphFont"/>
    <w:link w:val="Heading1"/>
    <w:rsid w:val="00A01800"/>
    <w:rPr>
      <w:rFonts w:eastAsia="Times New Roman"/>
      <w:b/>
      <w:sz w:val="28"/>
      <w:szCs w:val="28"/>
      <w:lang w:val="en-GB" w:eastAsia="en-US"/>
    </w:rPr>
  </w:style>
  <w:style w:type="character" w:customStyle="1" w:styleId="Heading2Char">
    <w:name w:val="Heading 2 Char"/>
    <w:aliases w:val="SubPara (a) Char,Heading 2 Char1 Char Char,SubPara (a) Char1 Char Char,Heading 2 Char3 Char Char Char,Heading 2 Char Char2 Char Char Char,Heading 2 Char1 Char Char1 Char Char Char,SubPara (a) Char Char Char1 Char Char Char"/>
    <w:basedOn w:val="DefaultParagraphFont"/>
    <w:link w:val="Heading2"/>
    <w:rsid w:val="00A01800"/>
    <w:rPr>
      <w:rFonts w:eastAsia="Times New Roman"/>
      <w:b/>
      <w:sz w:val="24"/>
      <w:szCs w:val="24"/>
      <w:lang w:val="en-GB" w:eastAsia="en-US"/>
    </w:rPr>
  </w:style>
  <w:style w:type="character" w:customStyle="1" w:styleId="Heading3Char">
    <w:name w:val="Heading 3 Char"/>
    <w:aliases w:val="Heading 2 + 10 pt Char,Italic Char,Before:  2.86 cm Char,Heading 3 Char1 Char1,Heading 3 Char Char Char1,Char Char Char Char1,Char Char1 Char1,Heading 3 Char1 Char Char,Heading 3 Char Char Char Char,Char Char Char Char Char"/>
    <w:basedOn w:val="DefaultParagraphFont"/>
    <w:link w:val="Heading3"/>
    <w:rsid w:val="00A01800"/>
    <w:rPr>
      <w:rFonts w:eastAsia="Times New Roman"/>
      <w:b/>
      <w:lang w:val="en-GB" w:eastAsia="en-US"/>
    </w:rPr>
  </w:style>
  <w:style w:type="character" w:customStyle="1" w:styleId="Heading4Char">
    <w:name w:val="Heading 4 Char"/>
    <w:aliases w:val="Heading 11 Char,para 4 Char,Título 41 Char,Heading 41 Char,heading 4 Char"/>
    <w:basedOn w:val="DefaultParagraphFont"/>
    <w:link w:val="Heading4"/>
    <w:rsid w:val="00A01800"/>
    <w:rPr>
      <w:rFonts w:eastAsia="Times New Roman"/>
      <w:b/>
      <w:lang w:val="en-GB" w:eastAsia="en-US"/>
    </w:rPr>
  </w:style>
  <w:style w:type="character" w:customStyle="1" w:styleId="Heading5Char">
    <w:name w:val="Heading 5 Char"/>
    <w:basedOn w:val="DefaultParagraphFont"/>
    <w:link w:val="Heading5"/>
    <w:rsid w:val="00A01800"/>
    <w:rPr>
      <w:rFonts w:eastAsia="Times New Roman"/>
      <w:b/>
      <w:lang w:val="en-GB" w:eastAsia="en-US"/>
    </w:rPr>
  </w:style>
  <w:style w:type="character" w:customStyle="1" w:styleId="Heading6Char">
    <w:name w:val="Heading 6 Char"/>
    <w:basedOn w:val="DefaultParagraphFont"/>
    <w:link w:val="Heading6"/>
    <w:rsid w:val="00A01800"/>
    <w:rPr>
      <w:rFonts w:eastAsia="Times New Roman"/>
      <w:bCs/>
      <w:sz w:val="24"/>
      <w:lang w:val="en-GB" w:eastAsia="en-US"/>
    </w:rPr>
  </w:style>
  <w:style w:type="character" w:customStyle="1" w:styleId="Heading7Char">
    <w:name w:val="Heading 7 Char"/>
    <w:basedOn w:val="DefaultParagraphFont"/>
    <w:link w:val="Heading7"/>
    <w:rsid w:val="00A01800"/>
    <w:rPr>
      <w:rFonts w:eastAsia="Times New Roman"/>
      <w:b/>
      <w:snapToGrid w:val="0"/>
      <w:u w:val="single"/>
      <w:lang w:val="en-GB" w:eastAsia="en-US"/>
    </w:rPr>
  </w:style>
  <w:style w:type="character" w:customStyle="1" w:styleId="Heading8Char">
    <w:name w:val="Heading 8 Char"/>
    <w:basedOn w:val="DefaultParagraphFont"/>
    <w:link w:val="Heading8"/>
    <w:rsid w:val="00A01800"/>
    <w:rPr>
      <w:rFonts w:eastAsia="Times New Roman"/>
      <w:b/>
      <w:snapToGrid w:val="0"/>
      <w:u w:val="single"/>
      <w:lang w:val="en-GB" w:eastAsia="en-US"/>
    </w:rPr>
  </w:style>
  <w:style w:type="character" w:customStyle="1" w:styleId="Heading9Char">
    <w:name w:val="Heading 9 Char"/>
    <w:basedOn w:val="DefaultParagraphFont"/>
    <w:link w:val="Heading9"/>
    <w:rsid w:val="00A01800"/>
    <w:rPr>
      <w:rFonts w:eastAsia="Times New Roman"/>
      <w:snapToGrid w:val="0"/>
      <w:u w:val="single"/>
      <w:lang w:val="en-GB" w:eastAsia="en-US"/>
    </w:rPr>
  </w:style>
  <w:style w:type="paragraph" w:styleId="ListParagraph">
    <w:name w:val="List Paragraph"/>
    <w:basedOn w:val="Normal"/>
    <w:link w:val="ListParagraphChar"/>
    <w:uiPriority w:val="34"/>
    <w:qFormat/>
    <w:rsid w:val="00A01800"/>
    <w:pPr>
      <w:ind w:left="720"/>
      <w:contextualSpacing/>
    </w:pPr>
  </w:style>
  <w:style w:type="paragraph" w:styleId="NoSpacing">
    <w:name w:val="No Spacing"/>
    <w:uiPriority w:val="1"/>
    <w:qFormat/>
    <w:rsid w:val="00A01800"/>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A01800"/>
    <w:rPr>
      <w:rFonts w:eastAsia="Times New Roman"/>
      <w:lang w:val="en-GB" w:eastAsia="en-US"/>
    </w:rPr>
  </w:style>
  <w:style w:type="character" w:styleId="PlaceholderText">
    <w:name w:val="Placeholder Text"/>
    <w:basedOn w:val="DefaultParagraphFont"/>
    <w:uiPriority w:val="99"/>
    <w:semiHidden/>
    <w:rsid w:val="00A01800"/>
    <w:rPr>
      <w:color w:val="808080"/>
      <w:lang w:val="en-GB"/>
    </w:rPr>
  </w:style>
  <w:style w:type="table" w:styleId="TableGrid">
    <w:name w:val="Table Grid"/>
    <w:basedOn w:val="TableNormal"/>
    <w:uiPriority w:val="39"/>
    <w:rsid w:val="00A01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A01800"/>
    <w:pPr>
      <w:spacing w:before="120" w:after="240"/>
    </w:pPr>
  </w:style>
  <w:style w:type="character" w:customStyle="1" w:styleId="ALogoChar">
    <w:name w:val="A_Logo Char"/>
    <w:basedOn w:val="DefaultParagraphFont"/>
    <w:link w:val="ALogo"/>
    <w:rsid w:val="00A01800"/>
    <w:rPr>
      <w:rFonts w:eastAsia="Times New Roman"/>
      <w:lang w:val="en-GB" w:eastAsia="en-US"/>
    </w:rPr>
  </w:style>
  <w:style w:type="paragraph" w:customStyle="1" w:styleId="ASpacer">
    <w:name w:val="A_Spacer"/>
    <w:basedOn w:val="Normal-pool"/>
    <w:link w:val="ASpacerChar"/>
    <w:qFormat/>
    <w:rsid w:val="00A01800"/>
    <w:rPr>
      <w:sz w:val="2"/>
    </w:rPr>
  </w:style>
  <w:style w:type="character" w:customStyle="1" w:styleId="ASpacerChar">
    <w:name w:val="A_Spacer Char"/>
    <w:basedOn w:val="DefaultParagraphFont"/>
    <w:link w:val="ASpacer"/>
    <w:rsid w:val="00A01800"/>
    <w:rPr>
      <w:rFonts w:eastAsia="Times New Roman"/>
      <w:sz w:val="2"/>
      <w:lang w:val="en-GB" w:eastAsia="en-US"/>
    </w:rPr>
  </w:style>
  <w:style w:type="paragraph" w:customStyle="1" w:styleId="AATitle1">
    <w:name w:val="AA_Title1"/>
    <w:basedOn w:val="Normal-pool"/>
    <w:qFormat/>
    <w:rsid w:val="00A01800"/>
  </w:style>
  <w:style w:type="character" w:styleId="UnresolvedMention">
    <w:name w:val="Unresolved Mention"/>
    <w:basedOn w:val="DefaultParagraphFont"/>
    <w:uiPriority w:val="99"/>
    <w:semiHidden/>
    <w:rsid w:val="00A01800"/>
    <w:rPr>
      <w:color w:val="605E5C"/>
      <w:shd w:val="clear" w:color="auto" w:fill="E1DFDD"/>
      <w:lang w:val="en-GB"/>
    </w:rPr>
  </w:style>
  <w:style w:type="paragraph" w:customStyle="1" w:styleId="ANormal">
    <w:name w:val="A_Normal"/>
    <w:basedOn w:val="Normal-pool"/>
    <w:qFormat/>
    <w:rsid w:val="00A01800"/>
  </w:style>
  <w:style w:type="paragraph" w:customStyle="1" w:styleId="AText0">
    <w:name w:val="A_Text0"/>
    <w:basedOn w:val="AText"/>
    <w:next w:val="AText"/>
    <w:qFormat/>
    <w:rsid w:val="00A01800"/>
    <w:pPr>
      <w:tabs>
        <w:tab w:val="clear" w:pos="4990"/>
      </w:tabs>
      <w:spacing w:before="0" w:after="120"/>
    </w:pPr>
  </w:style>
  <w:style w:type="paragraph" w:styleId="Footer">
    <w:name w:val="footer"/>
    <w:basedOn w:val="Normal"/>
    <w:link w:val="FooterChar1"/>
    <w:uiPriority w:val="99"/>
    <w:unhideWhenUsed/>
    <w:rsid w:val="00A01800"/>
    <w:pPr>
      <w:tabs>
        <w:tab w:val="clear" w:pos="1247"/>
        <w:tab w:val="right" w:pos="8641"/>
      </w:tabs>
    </w:pPr>
    <w:rPr>
      <w:b/>
      <w:sz w:val="18"/>
    </w:rPr>
  </w:style>
  <w:style w:type="character" w:customStyle="1" w:styleId="FooterChar1">
    <w:name w:val="Footer Char1"/>
    <w:basedOn w:val="DefaultParagraphFont"/>
    <w:link w:val="Footer"/>
    <w:uiPriority w:val="99"/>
    <w:rsid w:val="00A01800"/>
    <w:rPr>
      <w:rFonts w:eastAsia="Times New Roman"/>
      <w:b/>
      <w:sz w:val="18"/>
      <w:lang w:val="en-GB" w:eastAsia="en-US"/>
    </w:rPr>
  </w:style>
  <w:style w:type="paragraph" w:customStyle="1" w:styleId="Normal-pool">
    <w:name w:val="Normal-pool"/>
    <w:link w:val="Normal-poolChar"/>
    <w:qFormat/>
    <w:rsid w:val="00A01800"/>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A01800"/>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A01800"/>
    <w:pPr>
      <w:spacing w:before="60"/>
      <w:ind w:left="624"/>
    </w:pPr>
    <w:rPr>
      <w:rFonts w:eastAsiaTheme="minorEastAsia"/>
      <w:sz w:val="18"/>
    </w:rPr>
  </w:style>
  <w:style w:type="paragraph" w:styleId="Bibliography">
    <w:name w:val="Bibliography"/>
    <w:basedOn w:val="Normal"/>
    <w:next w:val="Normal"/>
    <w:uiPriority w:val="37"/>
    <w:semiHidden/>
    <w:rsid w:val="00A01800"/>
  </w:style>
  <w:style w:type="paragraph" w:styleId="BlockText">
    <w:name w:val="Block Text"/>
    <w:basedOn w:val="Normal"/>
    <w:unhideWhenUsed/>
    <w:rsid w:val="00A0180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nhideWhenUsed/>
    <w:rsid w:val="00A01800"/>
    <w:pPr>
      <w:spacing w:after="120"/>
    </w:pPr>
  </w:style>
  <w:style w:type="character" w:customStyle="1" w:styleId="BodyTextChar">
    <w:name w:val="Body Text Char"/>
    <w:basedOn w:val="DefaultParagraphFont"/>
    <w:link w:val="BodyText"/>
    <w:rsid w:val="00A01800"/>
    <w:rPr>
      <w:rFonts w:eastAsia="Times New Roman"/>
      <w:lang w:val="en-GB" w:eastAsia="en-US"/>
    </w:rPr>
  </w:style>
  <w:style w:type="paragraph" w:styleId="BodyText2">
    <w:name w:val="Body Text 2"/>
    <w:basedOn w:val="Normal"/>
    <w:link w:val="BodyText2Char"/>
    <w:unhideWhenUsed/>
    <w:rsid w:val="00A01800"/>
    <w:pPr>
      <w:spacing w:after="120" w:line="480" w:lineRule="auto"/>
    </w:pPr>
  </w:style>
  <w:style w:type="character" w:customStyle="1" w:styleId="BodyText2Char">
    <w:name w:val="Body Text 2 Char"/>
    <w:basedOn w:val="DefaultParagraphFont"/>
    <w:link w:val="BodyText2"/>
    <w:rsid w:val="00A01800"/>
    <w:rPr>
      <w:rFonts w:eastAsia="Times New Roman"/>
      <w:lang w:val="en-GB" w:eastAsia="en-US"/>
    </w:rPr>
  </w:style>
  <w:style w:type="paragraph" w:styleId="BodyText3">
    <w:name w:val="Body Text 3"/>
    <w:basedOn w:val="Normal"/>
    <w:link w:val="BodyText3Char"/>
    <w:unhideWhenUsed/>
    <w:rsid w:val="00A01800"/>
    <w:pPr>
      <w:spacing w:after="120"/>
    </w:pPr>
    <w:rPr>
      <w:sz w:val="16"/>
      <w:szCs w:val="16"/>
    </w:rPr>
  </w:style>
  <w:style w:type="character" w:customStyle="1" w:styleId="BodyText3Char">
    <w:name w:val="Body Text 3 Char"/>
    <w:basedOn w:val="DefaultParagraphFont"/>
    <w:link w:val="BodyText3"/>
    <w:rsid w:val="00A01800"/>
    <w:rPr>
      <w:rFonts w:eastAsia="Times New Roman"/>
      <w:sz w:val="16"/>
      <w:szCs w:val="16"/>
      <w:lang w:val="en-GB" w:eastAsia="en-US"/>
    </w:rPr>
  </w:style>
  <w:style w:type="paragraph" w:styleId="BodyTextFirstIndent">
    <w:name w:val="Body Text First Indent"/>
    <w:basedOn w:val="BodyText"/>
    <w:link w:val="BodyTextFirstIndentChar"/>
    <w:unhideWhenUsed/>
    <w:rsid w:val="00A01800"/>
    <w:pPr>
      <w:spacing w:after="0"/>
      <w:ind w:firstLine="360"/>
    </w:pPr>
  </w:style>
  <w:style w:type="character" w:customStyle="1" w:styleId="BodyTextFirstIndentChar">
    <w:name w:val="Body Text First Indent Char"/>
    <w:basedOn w:val="BodyTextChar"/>
    <w:link w:val="BodyTextFirstIndent"/>
    <w:rsid w:val="00A01800"/>
    <w:rPr>
      <w:rFonts w:eastAsia="Times New Roman"/>
      <w:lang w:val="en-GB" w:eastAsia="en-US"/>
    </w:rPr>
  </w:style>
  <w:style w:type="paragraph" w:styleId="BodyTextIndent">
    <w:name w:val="Body Text Indent"/>
    <w:basedOn w:val="Normal"/>
    <w:link w:val="BodyTextIndentChar"/>
    <w:unhideWhenUsed/>
    <w:rsid w:val="00A01800"/>
    <w:pPr>
      <w:spacing w:after="120"/>
      <w:ind w:left="283"/>
    </w:pPr>
  </w:style>
  <w:style w:type="character" w:customStyle="1" w:styleId="BodyTextIndentChar">
    <w:name w:val="Body Text Indent Char"/>
    <w:basedOn w:val="DefaultParagraphFont"/>
    <w:link w:val="BodyTextIndent"/>
    <w:rsid w:val="00A01800"/>
    <w:rPr>
      <w:rFonts w:eastAsia="Times New Roman"/>
      <w:lang w:val="en-GB" w:eastAsia="en-US"/>
    </w:rPr>
  </w:style>
  <w:style w:type="paragraph" w:styleId="BodyTextFirstIndent2">
    <w:name w:val="Body Text First Indent 2"/>
    <w:basedOn w:val="BodyTextIndent"/>
    <w:link w:val="BodyTextFirstIndent2Char"/>
    <w:unhideWhenUsed/>
    <w:rsid w:val="00A01800"/>
    <w:pPr>
      <w:spacing w:after="0"/>
      <w:ind w:left="360" w:firstLine="360"/>
    </w:pPr>
  </w:style>
  <w:style w:type="character" w:customStyle="1" w:styleId="BodyTextFirstIndent2Char">
    <w:name w:val="Body Text First Indent 2 Char"/>
    <w:basedOn w:val="BodyTextIndentChar"/>
    <w:link w:val="BodyTextFirstIndent2"/>
    <w:rsid w:val="00A01800"/>
    <w:rPr>
      <w:rFonts w:eastAsia="Times New Roman"/>
      <w:lang w:val="en-GB" w:eastAsia="en-US"/>
    </w:rPr>
  </w:style>
  <w:style w:type="paragraph" w:styleId="BodyTextIndent2">
    <w:name w:val="Body Text Indent 2"/>
    <w:basedOn w:val="Normal"/>
    <w:link w:val="BodyTextIndent2Char"/>
    <w:unhideWhenUsed/>
    <w:rsid w:val="00A01800"/>
    <w:pPr>
      <w:spacing w:after="120" w:line="480" w:lineRule="auto"/>
      <w:ind w:left="283"/>
    </w:pPr>
  </w:style>
  <w:style w:type="character" w:customStyle="1" w:styleId="BodyTextIndent2Char">
    <w:name w:val="Body Text Indent 2 Char"/>
    <w:basedOn w:val="DefaultParagraphFont"/>
    <w:link w:val="BodyTextIndent2"/>
    <w:rsid w:val="00A01800"/>
    <w:rPr>
      <w:rFonts w:eastAsia="Times New Roman"/>
      <w:lang w:val="en-GB" w:eastAsia="en-US"/>
    </w:rPr>
  </w:style>
  <w:style w:type="paragraph" w:styleId="BodyTextIndent3">
    <w:name w:val="Body Text Indent 3"/>
    <w:basedOn w:val="Normal"/>
    <w:link w:val="BodyTextIndent3Char"/>
    <w:unhideWhenUsed/>
    <w:rsid w:val="00A01800"/>
    <w:pPr>
      <w:spacing w:after="120"/>
      <w:ind w:left="283"/>
    </w:pPr>
    <w:rPr>
      <w:sz w:val="16"/>
      <w:szCs w:val="16"/>
    </w:rPr>
  </w:style>
  <w:style w:type="character" w:customStyle="1" w:styleId="BodyTextIndent3Char">
    <w:name w:val="Body Text Indent 3 Char"/>
    <w:basedOn w:val="DefaultParagraphFont"/>
    <w:link w:val="BodyTextIndent3"/>
    <w:rsid w:val="00A01800"/>
    <w:rPr>
      <w:rFonts w:eastAsia="Times New Roman"/>
      <w:sz w:val="16"/>
      <w:szCs w:val="16"/>
      <w:lang w:val="en-GB" w:eastAsia="en-US"/>
    </w:rPr>
  </w:style>
  <w:style w:type="character" w:styleId="BookTitle">
    <w:name w:val="Book Title"/>
    <w:basedOn w:val="DefaultParagraphFont"/>
    <w:uiPriority w:val="33"/>
    <w:qFormat/>
    <w:rsid w:val="00A01800"/>
    <w:rPr>
      <w:b/>
      <w:bCs/>
      <w:i/>
      <w:iCs/>
      <w:spacing w:val="5"/>
      <w:lang w:val="en-GB"/>
    </w:rPr>
  </w:style>
  <w:style w:type="paragraph" w:styleId="Caption">
    <w:name w:val="caption"/>
    <w:basedOn w:val="Normal"/>
    <w:next w:val="Normal"/>
    <w:semiHidden/>
    <w:unhideWhenUsed/>
    <w:qFormat/>
    <w:rsid w:val="00A01800"/>
    <w:pPr>
      <w:spacing w:after="200"/>
    </w:pPr>
    <w:rPr>
      <w:i/>
      <w:iCs/>
      <w:color w:val="1F497D" w:themeColor="text2"/>
      <w:sz w:val="18"/>
      <w:szCs w:val="18"/>
    </w:rPr>
  </w:style>
  <w:style w:type="paragraph" w:styleId="Closing">
    <w:name w:val="Closing"/>
    <w:basedOn w:val="Normal"/>
    <w:link w:val="ClosingChar"/>
    <w:unhideWhenUsed/>
    <w:rsid w:val="00A01800"/>
    <w:pPr>
      <w:ind w:left="4252"/>
    </w:pPr>
  </w:style>
  <w:style w:type="character" w:customStyle="1" w:styleId="ClosingChar">
    <w:name w:val="Closing Char"/>
    <w:basedOn w:val="DefaultParagraphFont"/>
    <w:link w:val="Closing"/>
    <w:rsid w:val="00A01800"/>
    <w:rPr>
      <w:rFonts w:eastAsia="Times New Roman"/>
      <w:lang w:val="en-GB" w:eastAsia="en-US"/>
    </w:rPr>
  </w:style>
  <w:style w:type="table" w:styleId="ColorfulGrid">
    <w:name w:val="Colorful Grid"/>
    <w:basedOn w:val="TableNormal"/>
    <w:uiPriority w:val="73"/>
    <w:semiHidden/>
    <w:unhideWhenUsed/>
    <w:rsid w:val="00A01800"/>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01800"/>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01800"/>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01800"/>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01800"/>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01800"/>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01800"/>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01800"/>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01800"/>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01800"/>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01800"/>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01800"/>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01800"/>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01800"/>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01800"/>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01800"/>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01800"/>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01800"/>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01800"/>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01800"/>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01800"/>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0180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0180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0180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0180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0180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0180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0180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rsid w:val="00A01800"/>
  </w:style>
  <w:style w:type="character" w:customStyle="1" w:styleId="DateChar">
    <w:name w:val="Date Char"/>
    <w:basedOn w:val="DefaultParagraphFont"/>
    <w:link w:val="Date"/>
    <w:rsid w:val="00A01800"/>
    <w:rPr>
      <w:rFonts w:eastAsia="Times New Roman"/>
      <w:lang w:val="en-GB" w:eastAsia="en-US"/>
    </w:rPr>
  </w:style>
  <w:style w:type="paragraph" w:styleId="DocumentMap">
    <w:name w:val="Document Map"/>
    <w:basedOn w:val="Normal"/>
    <w:link w:val="DocumentMapChar"/>
    <w:unhideWhenUsed/>
    <w:rsid w:val="00A01800"/>
    <w:rPr>
      <w:rFonts w:ascii="Segoe UI" w:hAnsi="Segoe UI" w:cs="Segoe UI"/>
      <w:sz w:val="16"/>
      <w:szCs w:val="16"/>
    </w:rPr>
  </w:style>
  <w:style w:type="character" w:customStyle="1" w:styleId="DocumentMapChar">
    <w:name w:val="Document Map Char"/>
    <w:basedOn w:val="DefaultParagraphFont"/>
    <w:link w:val="DocumentMap"/>
    <w:rsid w:val="00A01800"/>
    <w:rPr>
      <w:rFonts w:ascii="Segoe UI" w:eastAsia="Times New Roman" w:hAnsi="Segoe UI" w:cs="Segoe UI"/>
      <w:sz w:val="16"/>
      <w:szCs w:val="16"/>
      <w:lang w:val="en-GB" w:eastAsia="en-US"/>
    </w:rPr>
  </w:style>
  <w:style w:type="paragraph" w:styleId="E-mailSignature">
    <w:name w:val="E-mail Signature"/>
    <w:basedOn w:val="Normal"/>
    <w:link w:val="E-mailSignatureChar"/>
    <w:unhideWhenUsed/>
    <w:rsid w:val="00A01800"/>
  </w:style>
  <w:style w:type="character" w:customStyle="1" w:styleId="E-mailSignatureChar">
    <w:name w:val="E-mail Signature Char"/>
    <w:basedOn w:val="DefaultParagraphFont"/>
    <w:link w:val="E-mailSignature"/>
    <w:rsid w:val="00A01800"/>
    <w:rPr>
      <w:rFonts w:eastAsia="Times New Roman"/>
      <w:lang w:val="en-GB" w:eastAsia="en-US"/>
    </w:rPr>
  </w:style>
  <w:style w:type="character" w:styleId="Emphasis">
    <w:name w:val="Emphasis"/>
    <w:basedOn w:val="DefaultParagraphFont"/>
    <w:uiPriority w:val="20"/>
    <w:qFormat/>
    <w:rsid w:val="00A01800"/>
    <w:rPr>
      <w:i/>
      <w:iCs/>
      <w:lang w:val="en-GB"/>
    </w:rPr>
  </w:style>
  <w:style w:type="character" w:styleId="EndnoteReference">
    <w:name w:val="endnote reference"/>
    <w:basedOn w:val="DefaultParagraphFont"/>
    <w:unhideWhenUsed/>
    <w:rsid w:val="00A01800"/>
    <w:rPr>
      <w:vertAlign w:val="superscript"/>
      <w:lang w:val="en-GB"/>
    </w:rPr>
  </w:style>
  <w:style w:type="paragraph" w:styleId="EndnoteText">
    <w:name w:val="endnote text"/>
    <w:basedOn w:val="Normal"/>
    <w:link w:val="EndnoteTextChar"/>
    <w:unhideWhenUsed/>
    <w:rsid w:val="00A01800"/>
  </w:style>
  <w:style w:type="character" w:customStyle="1" w:styleId="EndnoteTextChar">
    <w:name w:val="Endnote Text Char"/>
    <w:basedOn w:val="DefaultParagraphFont"/>
    <w:link w:val="EndnoteText"/>
    <w:rsid w:val="00A01800"/>
    <w:rPr>
      <w:rFonts w:eastAsia="Times New Roman"/>
      <w:lang w:val="en-GB" w:eastAsia="en-US"/>
    </w:rPr>
  </w:style>
  <w:style w:type="paragraph" w:styleId="EnvelopeAddress">
    <w:name w:val="envelope address"/>
    <w:basedOn w:val="Normal"/>
    <w:unhideWhenUsed/>
    <w:rsid w:val="00A0180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nhideWhenUsed/>
    <w:rsid w:val="00A01800"/>
    <w:rPr>
      <w:rFonts w:asciiTheme="majorHAnsi" w:eastAsiaTheme="majorEastAsia" w:hAnsiTheme="majorHAnsi" w:cstheme="majorBidi"/>
    </w:rPr>
  </w:style>
  <w:style w:type="paragraph" w:styleId="FootnoteText">
    <w:name w:val="footnote text"/>
    <w:aliases w:val="Geneva 9,Font: Geneva 9,Boston 10,f,DNV-FT,footnote1,text,Geneva,92,Font:,Boston,10,FOOTNOTES,fn,single,space,93,single space,Footnote Text Rail EIS,ft,Char,footnote3,Footnotes,Footnote ak,fn cafc,Footnotes Char Char,Fußnotentextf, Char1"/>
    <w:basedOn w:val="Normal"/>
    <w:link w:val="FootnoteTextChar"/>
    <w:unhideWhenUsed/>
    <w:qFormat/>
    <w:rsid w:val="00A01800"/>
  </w:style>
  <w:style w:type="character" w:customStyle="1" w:styleId="FootnoteTextChar">
    <w:name w:val="Footnote Text Char"/>
    <w:aliases w:val="Geneva 9 Char,Font: Geneva 9 Char,Boston 10 Char,f Char,DNV-FT Char,footnote1 Char,text Char,Geneva Char,92 Char,Font: Char,Boston Char,10 Char,FOOTNOTES Char,fn Char,single Char,space Char,93 Char,single space Char,ft Char,Char Char"/>
    <w:basedOn w:val="DefaultParagraphFont"/>
    <w:link w:val="FootnoteText"/>
    <w:rsid w:val="00A01800"/>
    <w:rPr>
      <w:rFonts w:eastAsia="Times New Roman"/>
      <w:lang w:val="en-GB" w:eastAsia="en-US"/>
    </w:rPr>
  </w:style>
  <w:style w:type="table" w:styleId="GridTable1Light">
    <w:name w:val="Grid Table 1 Light"/>
    <w:basedOn w:val="TableNormal"/>
    <w:uiPriority w:val="46"/>
    <w:rsid w:val="00A0180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0180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01800"/>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0180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0180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0180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01800"/>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0180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01800"/>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01800"/>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01800"/>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01800"/>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01800"/>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01800"/>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018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0180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0180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0180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0180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0180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0180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018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0180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0180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0180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0180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0180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0180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018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018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018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018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018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018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018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0180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0180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0180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0180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0180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0180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0180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0180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0180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0180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0180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0180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0180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0180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A01800"/>
    <w:rPr>
      <w:color w:val="2B579A"/>
      <w:shd w:val="clear" w:color="auto" w:fill="E1DFDD"/>
      <w:lang w:val="en-GB"/>
    </w:rPr>
  </w:style>
  <w:style w:type="character" w:styleId="HTMLAcronym">
    <w:name w:val="HTML Acronym"/>
    <w:basedOn w:val="DefaultParagraphFont"/>
    <w:unhideWhenUsed/>
    <w:rsid w:val="00A01800"/>
    <w:rPr>
      <w:lang w:val="en-GB"/>
    </w:rPr>
  </w:style>
  <w:style w:type="paragraph" w:styleId="HTMLAddress">
    <w:name w:val="HTML Address"/>
    <w:basedOn w:val="Normal"/>
    <w:link w:val="HTMLAddressChar"/>
    <w:unhideWhenUsed/>
    <w:rsid w:val="00A01800"/>
    <w:rPr>
      <w:i/>
      <w:iCs/>
    </w:rPr>
  </w:style>
  <w:style w:type="character" w:customStyle="1" w:styleId="HTMLAddressChar">
    <w:name w:val="HTML Address Char"/>
    <w:basedOn w:val="DefaultParagraphFont"/>
    <w:link w:val="HTMLAddress"/>
    <w:rsid w:val="00A01800"/>
    <w:rPr>
      <w:rFonts w:eastAsia="Times New Roman"/>
      <w:i/>
      <w:iCs/>
      <w:lang w:val="en-GB" w:eastAsia="en-US"/>
    </w:rPr>
  </w:style>
  <w:style w:type="character" w:styleId="HTMLCite">
    <w:name w:val="HTML Cite"/>
    <w:basedOn w:val="DefaultParagraphFont"/>
    <w:unhideWhenUsed/>
    <w:rsid w:val="00A01800"/>
    <w:rPr>
      <w:i/>
      <w:iCs/>
      <w:lang w:val="en-GB"/>
    </w:rPr>
  </w:style>
  <w:style w:type="character" w:styleId="HTMLCode">
    <w:name w:val="HTML Code"/>
    <w:basedOn w:val="DefaultParagraphFont"/>
    <w:unhideWhenUsed/>
    <w:rsid w:val="00A01800"/>
    <w:rPr>
      <w:rFonts w:ascii="Consolas" w:hAnsi="Consolas"/>
      <w:sz w:val="20"/>
      <w:szCs w:val="20"/>
      <w:lang w:val="en-GB"/>
    </w:rPr>
  </w:style>
  <w:style w:type="character" w:styleId="HTMLDefinition">
    <w:name w:val="HTML Definition"/>
    <w:basedOn w:val="DefaultParagraphFont"/>
    <w:unhideWhenUsed/>
    <w:rsid w:val="00A01800"/>
    <w:rPr>
      <w:i/>
      <w:iCs/>
      <w:lang w:val="en-GB"/>
    </w:rPr>
  </w:style>
  <w:style w:type="character" w:styleId="HTMLKeyboard">
    <w:name w:val="HTML Keyboard"/>
    <w:basedOn w:val="DefaultParagraphFont"/>
    <w:unhideWhenUsed/>
    <w:rsid w:val="00A01800"/>
    <w:rPr>
      <w:rFonts w:ascii="Consolas" w:hAnsi="Consolas"/>
      <w:sz w:val="20"/>
      <w:szCs w:val="20"/>
      <w:lang w:val="en-GB"/>
    </w:rPr>
  </w:style>
  <w:style w:type="paragraph" w:styleId="HTMLPreformatted">
    <w:name w:val="HTML Preformatted"/>
    <w:basedOn w:val="Normal"/>
    <w:link w:val="HTMLPreformattedChar"/>
    <w:unhideWhenUsed/>
    <w:rsid w:val="00A01800"/>
    <w:rPr>
      <w:rFonts w:ascii="Consolas" w:hAnsi="Consolas"/>
    </w:rPr>
  </w:style>
  <w:style w:type="character" w:customStyle="1" w:styleId="HTMLPreformattedChar">
    <w:name w:val="HTML Preformatted Char"/>
    <w:basedOn w:val="DefaultParagraphFont"/>
    <w:link w:val="HTMLPreformatted"/>
    <w:rsid w:val="00A01800"/>
    <w:rPr>
      <w:rFonts w:ascii="Consolas" w:eastAsia="Times New Roman" w:hAnsi="Consolas"/>
      <w:lang w:val="en-GB" w:eastAsia="en-US"/>
    </w:rPr>
  </w:style>
  <w:style w:type="character" w:styleId="HTMLSample">
    <w:name w:val="HTML Sample"/>
    <w:basedOn w:val="DefaultParagraphFont"/>
    <w:unhideWhenUsed/>
    <w:rsid w:val="00A01800"/>
    <w:rPr>
      <w:rFonts w:ascii="Consolas" w:hAnsi="Consolas"/>
      <w:sz w:val="24"/>
      <w:szCs w:val="24"/>
      <w:lang w:val="en-GB"/>
    </w:rPr>
  </w:style>
  <w:style w:type="character" w:styleId="HTMLTypewriter">
    <w:name w:val="HTML Typewriter"/>
    <w:basedOn w:val="DefaultParagraphFont"/>
    <w:semiHidden/>
    <w:unhideWhenUsed/>
    <w:rsid w:val="00A01800"/>
    <w:rPr>
      <w:rFonts w:ascii="Consolas" w:hAnsi="Consolas"/>
      <w:sz w:val="20"/>
      <w:szCs w:val="20"/>
      <w:lang w:val="en-GB"/>
    </w:rPr>
  </w:style>
  <w:style w:type="character" w:styleId="HTMLVariable">
    <w:name w:val="HTML Variable"/>
    <w:basedOn w:val="DefaultParagraphFont"/>
    <w:semiHidden/>
    <w:unhideWhenUsed/>
    <w:rsid w:val="00A01800"/>
    <w:rPr>
      <w:i/>
      <w:iCs/>
      <w:lang w:val="en-GB"/>
    </w:rPr>
  </w:style>
  <w:style w:type="paragraph" w:styleId="Index1">
    <w:name w:val="index 1"/>
    <w:basedOn w:val="Normal"/>
    <w:next w:val="Normal"/>
    <w:autoRedefine/>
    <w:unhideWhenUsed/>
    <w:rsid w:val="00A01800"/>
    <w:pPr>
      <w:tabs>
        <w:tab w:val="clear" w:pos="1247"/>
      </w:tabs>
      <w:ind w:left="200" w:hanging="200"/>
    </w:pPr>
  </w:style>
  <w:style w:type="paragraph" w:styleId="Index2">
    <w:name w:val="index 2"/>
    <w:basedOn w:val="Normal"/>
    <w:next w:val="Normal"/>
    <w:autoRedefine/>
    <w:unhideWhenUsed/>
    <w:rsid w:val="00A01800"/>
    <w:pPr>
      <w:tabs>
        <w:tab w:val="clear" w:pos="1247"/>
      </w:tabs>
      <w:ind w:left="400" w:hanging="200"/>
    </w:pPr>
  </w:style>
  <w:style w:type="paragraph" w:styleId="Index3">
    <w:name w:val="index 3"/>
    <w:basedOn w:val="Normal"/>
    <w:next w:val="Normal"/>
    <w:autoRedefine/>
    <w:unhideWhenUsed/>
    <w:rsid w:val="00A01800"/>
    <w:pPr>
      <w:tabs>
        <w:tab w:val="clear" w:pos="1247"/>
      </w:tabs>
      <w:ind w:left="600" w:hanging="200"/>
    </w:pPr>
  </w:style>
  <w:style w:type="paragraph" w:styleId="Index4">
    <w:name w:val="index 4"/>
    <w:basedOn w:val="Normal"/>
    <w:next w:val="Normal"/>
    <w:autoRedefine/>
    <w:unhideWhenUsed/>
    <w:rsid w:val="00A01800"/>
    <w:pPr>
      <w:tabs>
        <w:tab w:val="clear" w:pos="1247"/>
      </w:tabs>
      <w:ind w:left="800" w:hanging="200"/>
    </w:pPr>
  </w:style>
  <w:style w:type="paragraph" w:styleId="Index5">
    <w:name w:val="index 5"/>
    <w:basedOn w:val="Normal"/>
    <w:next w:val="Normal"/>
    <w:autoRedefine/>
    <w:unhideWhenUsed/>
    <w:rsid w:val="00A01800"/>
    <w:pPr>
      <w:tabs>
        <w:tab w:val="clear" w:pos="1247"/>
      </w:tabs>
      <w:ind w:left="1000" w:hanging="200"/>
    </w:pPr>
  </w:style>
  <w:style w:type="paragraph" w:styleId="Index6">
    <w:name w:val="index 6"/>
    <w:basedOn w:val="Normal"/>
    <w:next w:val="Normal"/>
    <w:autoRedefine/>
    <w:unhideWhenUsed/>
    <w:rsid w:val="00A01800"/>
    <w:pPr>
      <w:tabs>
        <w:tab w:val="clear" w:pos="1247"/>
      </w:tabs>
      <w:ind w:left="1200" w:hanging="200"/>
    </w:pPr>
  </w:style>
  <w:style w:type="paragraph" w:styleId="Index7">
    <w:name w:val="index 7"/>
    <w:basedOn w:val="Normal"/>
    <w:next w:val="Normal"/>
    <w:autoRedefine/>
    <w:unhideWhenUsed/>
    <w:rsid w:val="00A01800"/>
    <w:pPr>
      <w:tabs>
        <w:tab w:val="clear" w:pos="1247"/>
      </w:tabs>
      <w:ind w:left="1400" w:hanging="200"/>
    </w:pPr>
  </w:style>
  <w:style w:type="paragraph" w:styleId="Index8">
    <w:name w:val="index 8"/>
    <w:basedOn w:val="Normal"/>
    <w:next w:val="Normal"/>
    <w:autoRedefine/>
    <w:unhideWhenUsed/>
    <w:rsid w:val="00A01800"/>
    <w:pPr>
      <w:tabs>
        <w:tab w:val="clear" w:pos="1247"/>
      </w:tabs>
      <w:ind w:left="1600" w:hanging="200"/>
    </w:pPr>
  </w:style>
  <w:style w:type="paragraph" w:styleId="Index9">
    <w:name w:val="index 9"/>
    <w:basedOn w:val="Normal"/>
    <w:next w:val="Normal"/>
    <w:autoRedefine/>
    <w:unhideWhenUsed/>
    <w:rsid w:val="00A01800"/>
    <w:pPr>
      <w:tabs>
        <w:tab w:val="clear" w:pos="1247"/>
      </w:tabs>
      <w:ind w:left="1800" w:hanging="200"/>
    </w:pPr>
  </w:style>
  <w:style w:type="paragraph" w:styleId="IndexHeading">
    <w:name w:val="index heading"/>
    <w:basedOn w:val="Normal"/>
    <w:next w:val="Index1"/>
    <w:unhideWhenUsed/>
    <w:rsid w:val="00A01800"/>
    <w:rPr>
      <w:rFonts w:asciiTheme="majorHAnsi" w:eastAsiaTheme="majorEastAsia" w:hAnsiTheme="majorHAnsi" w:cstheme="majorBidi"/>
      <w:b/>
      <w:bCs/>
    </w:rPr>
  </w:style>
  <w:style w:type="character" w:styleId="IntenseEmphasis">
    <w:name w:val="Intense Emphasis"/>
    <w:basedOn w:val="DefaultParagraphFont"/>
    <w:uiPriority w:val="21"/>
    <w:qFormat/>
    <w:rsid w:val="00A01800"/>
    <w:rPr>
      <w:i/>
      <w:iCs/>
      <w:color w:val="4F81BD" w:themeColor="accent1"/>
      <w:lang w:val="en-GB"/>
    </w:rPr>
  </w:style>
  <w:style w:type="paragraph" w:styleId="IntenseQuote">
    <w:name w:val="Intense Quote"/>
    <w:basedOn w:val="Normal"/>
    <w:next w:val="Normal"/>
    <w:link w:val="IntenseQuoteChar"/>
    <w:uiPriority w:val="30"/>
    <w:qFormat/>
    <w:rsid w:val="00A018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01800"/>
    <w:rPr>
      <w:rFonts w:eastAsia="Times New Roman"/>
      <w:i/>
      <w:iCs/>
      <w:color w:val="4F81BD" w:themeColor="accent1"/>
      <w:lang w:val="en-GB" w:eastAsia="en-US"/>
    </w:rPr>
  </w:style>
  <w:style w:type="character" w:styleId="IntenseReference">
    <w:name w:val="Intense Reference"/>
    <w:basedOn w:val="DefaultParagraphFont"/>
    <w:uiPriority w:val="32"/>
    <w:qFormat/>
    <w:rsid w:val="00A01800"/>
    <w:rPr>
      <w:b/>
      <w:bCs/>
      <w:smallCaps/>
      <w:color w:val="4F81BD" w:themeColor="accent1"/>
      <w:spacing w:val="5"/>
      <w:lang w:val="en-GB"/>
    </w:rPr>
  </w:style>
  <w:style w:type="table" w:styleId="LightGrid">
    <w:name w:val="Light Grid"/>
    <w:basedOn w:val="TableNormal"/>
    <w:uiPriority w:val="62"/>
    <w:semiHidden/>
    <w:unhideWhenUsed/>
    <w:rsid w:val="00A0180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0180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0180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018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0180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0180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01800"/>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0180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0180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0180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018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0180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0180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01800"/>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0180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0180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0180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01800"/>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01800"/>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01800"/>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01800"/>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nhideWhenUsed/>
    <w:rsid w:val="00A01800"/>
    <w:rPr>
      <w:lang w:val="en-GB"/>
    </w:rPr>
  </w:style>
  <w:style w:type="paragraph" w:styleId="List">
    <w:name w:val="List"/>
    <w:basedOn w:val="Normal"/>
    <w:unhideWhenUsed/>
    <w:rsid w:val="00A01800"/>
    <w:pPr>
      <w:ind w:left="283" w:hanging="283"/>
      <w:contextualSpacing/>
    </w:pPr>
  </w:style>
  <w:style w:type="paragraph" w:styleId="List2">
    <w:name w:val="List 2"/>
    <w:basedOn w:val="Normal"/>
    <w:unhideWhenUsed/>
    <w:rsid w:val="00A01800"/>
    <w:pPr>
      <w:ind w:left="566" w:hanging="283"/>
      <w:contextualSpacing/>
    </w:pPr>
  </w:style>
  <w:style w:type="paragraph" w:styleId="List3">
    <w:name w:val="List 3"/>
    <w:basedOn w:val="Normal"/>
    <w:unhideWhenUsed/>
    <w:rsid w:val="00A01800"/>
    <w:pPr>
      <w:ind w:left="849" w:hanging="283"/>
      <w:contextualSpacing/>
    </w:pPr>
  </w:style>
  <w:style w:type="paragraph" w:styleId="List4">
    <w:name w:val="List 4"/>
    <w:basedOn w:val="Normal"/>
    <w:unhideWhenUsed/>
    <w:rsid w:val="00A01800"/>
    <w:pPr>
      <w:ind w:left="1132" w:hanging="283"/>
      <w:contextualSpacing/>
    </w:pPr>
  </w:style>
  <w:style w:type="paragraph" w:styleId="List5">
    <w:name w:val="List 5"/>
    <w:basedOn w:val="Normal"/>
    <w:unhideWhenUsed/>
    <w:rsid w:val="00A01800"/>
    <w:pPr>
      <w:ind w:left="1415" w:hanging="283"/>
      <w:contextualSpacing/>
    </w:pPr>
  </w:style>
  <w:style w:type="paragraph" w:styleId="ListBullet">
    <w:name w:val="List Bullet"/>
    <w:basedOn w:val="Normal"/>
    <w:rsid w:val="00A01800"/>
    <w:pPr>
      <w:numPr>
        <w:numId w:val="6"/>
      </w:numPr>
      <w:contextualSpacing/>
    </w:pPr>
  </w:style>
  <w:style w:type="paragraph" w:styleId="ListBullet2">
    <w:name w:val="List Bullet 2"/>
    <w:basedOn w:val="Normal"/>
    <w:unhideWhenUsed/>
    <w:rsid w:val="00A01800"/>
    <w:pPr>
      <w:numPr>
        <w:numId w:val="7"/>
      </w:numPr>
      <w:contextualSpacing/>
    </w:pPr>
  </w:style>
  <w:style w:type="paragraph" w:styleId="ListBullet3">
    <w:name w:val="List Bullet 3"/>
    <w:basedOn w:val="Normal"/>
    <w:unhideWhenUsed/>
    <w:rsid w:val="00A01800"/>
    <w:pPr>
      <w:numPr>
        <w:numId w:val="8"/>
      </w:numPr>
      <w:contextualSpacing/>
    </w:pPr>
  </w:style>
  <w:style w:type="paragraph" w:styleId="ListBullet4">
    <w:name w:val="List Bullet 4"/>
    <w:basedOn w:val="Normal"/>
    <w:unhideWhenUsed/>
    <w:rsid w:val="00A01800"/>
    <w:pPr>
      <w:numPr>
        <w:numId w:val="9"/>
      </w:numPr>
      <w:contextualSpacing/>
    </w:pPr>
  </w:style>
  <w:style w:type="paragraph" w:styleId="ListBullet5">
    <w:name w:val="List Bullet 5"/>
    <w:basedOn w:val="Normal"/>
    <w:unhideWhenUsed/>
    <w:rsid w:val="00A01800"/>
    <w:pPr>
      <w:numPr>
        <w:numId w:val="10"/>
      </w:numPr>
      <w:contextualSpacing/>
    </w:pPr>
  </w:style>
  <w:style w:type="paragraph" w:styleId="ListContinue">
    <w:name w:val="List Continue"/>
    <w:basedOn w:val="Normal"/>
    <w:unhideWhenUsed/>
    <w:rsid w:val="00A01800"/>
    <w:pPr>
      <w:spacing w:after="120"/>
      <w:ind w:left="283"/>
      <w:contextualSpacing/>
    </w:pPr>
  </w:style>
  <w:style w:type="paragraph" w:styleId="ListContinue2">
    <w:name w:val="List Continue 2"/>
    <w:basedOn w:val="Normal"/>
    <w:unhideWhenUsed/>
    <w:rsid w:val="00A01800"/>
    <w:pPr>
      <w:spacing w:after="120"/>
      <w:ind w:left="566"/>
      <w:contextualSpacing/>
    </w:pPr>
  </w:style>
  <w:style w:type="paragraph" w:styleId="ListContinue3">
    <w:name w:val="List Continue 3"/>
    <w:basedOn w:val="Normal"/>
    <w:rsid w:val="00A01800"/>
    <w:pPr>
      <w:spacing w:after="120"/>
      <w:ind w:left="849"/>
      <w:contextualSpacing/>
    </w:pPr>
  </w:style>
  <w:style w:type="paragraph" w:styleId="ListContinue4">
    <w:name w:val="List Continue 4"/>
    <w:basedOn w:val="Normal"/>
    <w:rsid w:val="00A01800"/>
    <w:pPr>
      <w:spacing w:after="120"/>
      <w:ind w:left="1132"/>
      <w:contextualSpacing/>
    </w:pPr>
  </w:style>
  <w:style w:type="paragraph" w:styleId="ListContinue5">
    <w:name w:val="List Continue 5"/>
    <w:basedOn w:val="Normal"/>
    <w:rsid w:val="00A01800"/>
    <w:pPr>
      <w:spacing w:after="120"/>
      <w:ind w:left="1415"/>
      <w:contextualSpacing/>
    </w:pPr>
  </w:style>
  <w:style w:type="paragraph" w:styleId="ListNumber">
    <w:name w:val="List Number"/>
    <w:basedOn w:val="Normal"/>
    <w:rsid w:val="00A01800"/>
    <w:pPr>
      <w:numPr>
        <w:numId w:val="11"/>
      </w:numPr>
      <w:contextualSpacing/>
    </w:pPr>
  </w:style>
  <w:style w:type="paragraph" w:styleId="ListNumber2">
    <w:name w:val="List Number 2"/>
    <w:basedOn w:val="Normal"/>
    <w:unhideWhenUsed/>
    <w:rsid w:val="00A01800"/>
    <w:pPr>
      <w:numPr>
        <w:numId w:val="12"/>
      </w:numPr>
      <w:contextualSpacing/>
    </w:pPr>
  </w:style>
  <w:style w:type="paragraph" w:styleId="ListNumber3">
    <w:name w:val="List Number 3"/>
    <w:basedOn w:val="Normal"/>
    <w:unhideWhenUsed/>
    <w:rsid w:val="00A01800"/>
    <w:pPr>
      <w:numPr>
        <w:numId w:val="13"/>
      </w:numPr>
      <w:contextualSpacing/>
    </w:pPr>
  </w:style>
  <w:style w:type="paragraph" w:styleId="ListNumber4">
    <w:name w:val="List Number 4"/>
    <w:basedOn w:val="Normal"/>
    <w:unhideWhenUsed/>
    <w:rsid w:val="00A01800"/>
    <w:pPr>
      <w:numPr>
        <w:numId w:val="14"/>
      </w:numPr>
      <w:contextualSpacing/>
    </w:pPr>
  </w:style>
  <w:style w:type="paragraph" w:styleId="ListNumber5">
    <w:name w:val="List Number 5"/>
    <w:basedOn w:val="Normal"/>
    <w:unhideWhenUsed/>
    <w:rsid w:val="00A01800"/>
    <w:pPr>
      <w:numPr>
        <w:numId w:val="15"/>
      </w:numPr>
      <w:contextualSpacing/>
    </w:pPr>
  </w:style>
  <w:style w:type="table" w:styleId="ListTable1Light">
    <w:name w:val="List Table 1 Light"/>
    <w:basedOn w:val="TableNormal"/>
    <w:uiPriority w:val="46"/>
    <w:rsid w:val="00A0180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01800"/>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0180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01800"/>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01800"/>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01800"/>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01800"/>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0180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01800"/>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01800"/>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01800"/>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01800"/>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0180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01800"/>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0180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01800"/>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01800"/>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01800"/>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01800"/>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01800"/>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01800"/>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018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0180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0180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0180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0180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0180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0180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0180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0180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0180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0180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0180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0180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0180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0180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01800"/>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01800"/>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01800"/>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01800"/>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01800"/>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01800"/>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0180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01800"/>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01800"/>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01800"/>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01800"/>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01800"/>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01800"/>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A01800"/>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rsid w:val="00A01800"/>
    <w:rPr>
      <w:rFonts w:ascii="Consolas" w:eastAsia="Times New Roman" w:hAnsi="Consolas"/>
      <w:lang w:val="en-GB" w:eastAsia="en-US"/>
    </w:rPr>
  </w:style>
  <w:style w:type="table" w:styleId="MediumGrid1">
    <w:name w:val="Medium Grid 1"/>
    <w:basedOn w:val="TableNormal"/>
    <w:uiPriority w:val="67"/>
    <w:semiHidden/>
    <w:unhideWhenUsed/>
    <w:rsid w:val="00A0180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0180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0180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0180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01800"/>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0180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01800"/>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018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018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018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018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018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018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018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0180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01800"/>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01800"/>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01800"/>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01800"/>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01800"/>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01800"/>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01800"/>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0180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0180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0180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0180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01800"/>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0180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01800"/>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01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01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01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01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01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01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01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rsid w:val="00A01800"/>
    <w:rPr>
      <w:color w:val="2B579A"/>
      <w:shd w:val="clear" w:color="auto" w:fill="E1DFDD"/>
      <w:lang w:val="en-GB"/>
    </w:rPr>
  </w:style>
  <w:style w:type="paragraph" w:styleId="MessageHeader">
    <w:name w:val="Message Header"/>
    <w:basedOn w:val="Normal"/>
    <w:link w:val="MessageHeaderChar"/>
    <w:rsid w:val="00A0180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A01800"/>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nhideWhenUsed/>
    <w:rsid w:val="00A01800"/>
    <w:pPr>
      <w:ind w:left="720"/>
    </w:pPr>
  </w:style>
  <w:style w:type="paragraph" w:styleId="NoteHeading">
    <w:name w:val="Note Heading"/>
    <w:basedOn w:val="Normal"/>
    <w:next w:val="Normal"/>
    <w:link w:val="NoteHeadingChar"/>
    <w:unhideWhenUsed/>
    <w:rsid w:val="00A01800"/>
  </w:style>
  <w:style w:type="character" w:customStyle="1" w:styleId="NoteHeadingChar">
    <w:name w:val="Note Heading Char"/>
    <w:basedOn w:val="DefaultParagraphFont"/>
    <w:link w:val="NoteHeading"/>
    <w:rsid w:val="00A01800"/>
    <w:rPr>
      <w:rFonts w:eastAsia="Times New Roman"/>
      <w:lang w:val="en-GB" w:eastAsia="en-US"/>
    </w:rPr>
  </w:style>
  <w:style w:type="table" w:styleId="PlainTable1">
    <w:name w:val="Plain Table 1"/>
    <w:basedOn w:val="TableNormal"/>
    <w:uiPriority w:val="41"/>
    <w:rsid w:val="00A0180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018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0180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0180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0180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A01800"/>
    <w:rPr>
      <w:rFonts w:ascii="Consolas" w:hAnsi="Consolas"/>
      <w:sz w:val="21"/>
      <w:szCs w:val="21"/>
    </w:rPr>
  </w:style>
  <w:style w:type="character" w:customStyle="1" w:styleId="PlainTextChar">
    <w:name w:val="Plain Text Char"/>
    <w:basedOn w:val="DefaultParagraphFont"/>
    <w:link w:val="PlainText"/>
    <w:rsid w:val="00A01800"/>
    <w:rPr>
      <w:rFonts w:ascii="Consolas" w:eastAsia="Times New Roman" w:hAnsi="Consolas"/>
      <w:sz w:val="21"/>
      <w:szCs w:val="21"/>
      <w:lang w:val="en-GB" w:eastAsia="en-US"/>
    </w:rPr>
  </w:style>
  <w:style w:type="paragraph" w:styleId="Quote">
    <w:name w:val="Quote"/>
    <w:basedOn w:val="Normal"/>
    <w:next w:val="Normal"/>
    <w:link w:val="QuoteChar"/>
    <w:uiPriority w:val="29"/>
    <w:qFormat/>
    <w:rsid w:val="00A0180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01800"/>
    <w:rPr>
      <w:rFonts w:eastAsia="Times New Roman"/>
      <w:i/>
      <w:iCs/>
      <w:color w:val="404040" w:themeColor="text1" w:themeTint="BF"/>
      <w:lang w:val="en-GB" w:eastAsia="en-US"/>
    </w:rPr>
  </w:style>
  <w:style w:type="paragraph" w:styleId="Salutation">
    <w:name w:val="Salutation"/>
    <w:basedOn w:val="Normal"/>
    <w:next w:val="Normal"/>
    <w:link w:val="SalutationChar"/>
    <w:unhideWhenUsed/>
    <w:rsid w:val="00A01800"/>
  </w:style>
  <w:style w:type="character" w:customStyle="1" w:styleId="SalutationChar">
    <w:name w:val="Salutation Char"/>
    <w:basedOn w:val="DefaultParagraphFont"/>
    <w:link w:val="Salutation"/>
    <w:rsid w:val="00A01800"/>
    <w:rPr>
      <w:rFonts w:eastAsia="Times New Roman"/>
      <w:lang w:val="en-GB" w:eastAsia="en-US"/>
    </w:rPr>
  </w:style>
  <w:style w:type="paragraph" w:styleId="Signature">
    <w:name w:val="Signature"/>
    <w:basedOn w:val="Normal"/>
    <w:link w:val="SignatureChar"/>
    <w:unhideWhenUsed/>
    <w:rsid w:val="00A01800"/>
    <w:pPr>
      <w:ind w:left="4252"/>
    </w:pPr>
  </w:style>
  <w:style w:type="character" w:customStyle="1" w:styleId="SignatureChar">
    <w:name w:val="Signature Char"/>
    <w:basedOn w:val="DefaultParagraphFont"/>
    <w:link w:val="Signature"/>
    <w:rsid w:val="00A01800"/>
    <w:rPr>
      <w:rFonts w:eastAsia="Times New Roman"/>
      <w:lang w:val="en-GB" w:eastAsia="en-US"/>
    </w:rPr>
  </w:style>
  <w:style w:type="character" w:styleId="SmartHyperlink">
    <w:name w:val="Smart Hyperlink"/>
    <w:basedOn w:val="DefaultParagraphFont"/>
    <w:uiPriority w:val="99"/>
    <w:semiHidden/>
    <w:rsid w:val="00A01800"/>
    <w:rPr>
      <w:u w:val="dotted"/>
      <w:lang w:val="en-GB"/>
    </w:rPr>
  </w:style>
  <w:style w:type="character" w:styleId="SmartLink">
    <w:name w:val="Smart Link"/>
    <w:basedOn w:val="DefaultParagraphFont"/>
    <w:uiPriority w:val="99"/>
    <w:semiHidden/>
    <w:unhideWhenUsed/>
    <w:rsid w:val="00A01800"/>
    <w:rPr>
      <w:color w:val="0000FF"/>
      <w:u w:val="single"/>
      <w:shd w:val="clear" w:color="auto" w:fill="F3F2F1"/>
      <w:lang w:val="en-GB"/>
    </w:rPr>
  </w:style>
  <w:style w:type="character" w:styleId="Strong">
    <w:name w:val="Strong"/>
    <w:basedOn w:val="DefaultParagraphFont"/>
    <w:uiPriority w:val="22"/>
    <w:qFormat/>
    <w:rsid w:val="00A01800"/>
    <w:rPr>
      <w:b/>
      <w:bCs/>
      <w:lang w:val="en-GB"/>
    </w:rPr>
  </w:style>
  <w:style w:type="paragraph" w:styleId="Subtitle">
    <w:name w:val="Subtitle"/>
    <w:basedOn w:val="Normal"/>
    <w:next w:val="Normal"/>
    <w:link w:val="SubtitleChar"/>
    <w:qFormat/>
    <w:rsid w:val="00A0180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01800"/>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A01800"/>
    <w:rPr>
      <w:i/>
      <w:iCs/>
      <w:color w:val="404040" w:themeColor="text1" w:themeTint="BF"/>
      <w:lang w:val="en-GB"/>
    </w:rPr>
  </w:style>
  <w:style w:type="character" w:styleId="SubtleReference">
    <w:name w:val="Subtle Reference"/>
    <w:basedOn w:val="DefaultParagraphFont"/>
    <w:uiPriority w:val="31"/>
    <w:qFormat/>
    <w:rsid w:val="00A01800"/>
    <w:rPr>
      <w:smallCaps/>
      <w:color w:val="5A5A5A" w:themeColor="text1" w:themeTint="A5"/>
      <w:lang w:val="en-GB"/>
    </w:rPr>
  </w:style>
  <w:style w:type="table" w:styleId="Table3Deffects1">
    <w:name w:val="Table 3D effects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0180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A01800"/>
    <w:pPr>
      <w:tabs>
        <w:tab w:val="clear" w:pos="1247"/>
      </w:tabs>
      <w:ind w:left="200" w:hanging="200"/>
    </w:pPr>
  </w:style>
  <w:style w:type="table" w:styleId="TableProfessional">
    <w:name w:val="Table Professional"/>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01800"/>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A0180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01800"/>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nhideWhenUsed/>
    <w:rsid w:val="00A01800"/>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01800"/>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SmartLink1">
    <w:name w:val="SmartLink1"/>
    <w:basedOn w:val="DefaultParagraphFont"/>
    <w:uiPriority w:val="99"/>
    <w:semiHidden/>
    <w:unhideWhenUsed/>
    <w:rsid w:val="004A7B24"/>
    <w:rPr>
      <w:color w:val="0000FF"/>
      <w:u w:val="single"/>
      <w:shd w:val="clear" w:color="auto" w:fill="F3F2F1"/>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4A7B24"/>
    <w:pPr>
      <w:tabs>
        <w:tab w:val="clear" w:pos="1247"/>
        <w:tab w:val="clear" w:pos="1814"/>
        <w:tab w:val="clear" w:pos="2381"/>
        <w:tab w:val="clear" w:pos="2948"/>
        <w:tab w:val="clear" w:pos="3515"/>
      </w:tabs>
      <w:spacing w:after="160" w:line="240" w:lineRule="exact"/>
      <w:jc w:val="both"/>
    </w:pPr>
    <w:rPr>
      <w:rFonts w:eastAsia="SimSun"/>
      <w:szCs w:val="18"/>
      <w:vertAlign w:val="superscript"/>
      <w:lang w:eastAsia="zh-CN"/>
    </w:rPr>
  </w:style>
  <w:style w:type="paragraph" w:customStyle="1" w:styleId="Headerpool">
    <w:name w:val="Header_pool"/>
    <w:basedOn w:val="Normal"/>
    <w:next w:val="Normal"/>
    <w:semiHidden/>
    <w:rsid w:val="004A7B24"/>
    <w:pPr>
      <w:pBdr>
        <w:bottom w:val="single" w:sz="4" w:space="1" w:color="auto"/>
      </w:pBdr>
      <w:tabs>
        <w:tab w:val="center" w:pos="4536"/>
        <w:tab w:val="right" w:pos="9072"/>
      </w:tabs>
      <w:spacing w:after="120"/>
    </w:pPr>
    <w:rPr>
      <w:b/>
      <w:sz w:val="18"/>
      <w:lang w:val="en-US"/>
    </w:rPr>
  </w:style>
  <w:style w:type="numbering" w:customStyle="1" w:styleId="NoList1">
    <w:name w:val="No List1"/>
    <w:next w:val="NoList"/>
    <w:uiPriority w:val="99"/>
    <w:semiHidden/>
    <w:unhideWhenUsed/>
    <w:rsid w:val="004A7B24"/>
  </w:style>
  <w:style w:type="table" w:customStyle="1" w:styleId="AATable1">
    <w:name w:val="AA_Table1"/>
    <w:basedOn w:val="TableNormal"/>
    <w:rsid w:val="004A7B24"/>
    <w:rPr>
      <w:rFonts w:eastAsia="Times New Roman"/>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4A7B24"/>
    <w:pPr>
      <w:numPr>
        <w:numId w:val="16"/>
      </w:numPr>
    </w:pPr>
  </w:style>
  <w:style w:type="paragraph" w:styleId="Revision">
    <w:name w:val="Revision"/>
    <w:hidden/>
    <w:uiPriority w:val="99"/>
    <w:rsid w:val="004A7B24"/>
    <w:rPr>
      <w:rFonts w:eastAsia="Times New Roman"/>
      <w:lang w:eastAsia="en-US"/>
    </w:rPr>
  </w:style>
  <w:style w:type="character" w:customStyle="1" w:styleId="FollowedHyperlink1">
    <w:name w:val="FollowedHyperlink1"/>
    <w:semiHidden/>
    <w:unhideWhenUsed/>
    <w:rsid w:val="004A7B24"/>
    <w:rPr>
      <w:color w:val="800080"/>
      <w:u w:val="single"/>
      <w:lang w:val="en-US"/>
    </w:rPr>
  </w:style>
  <w:style w:type="paragraph" w:customStyle="1" w:styleId="NormalWeb1">
    <w:name w:val="Normal (Web)1"/>
    <w:basedOn w:val="Normal"/>
    <w:next w:val="NormalWeb"/>
    <w:uiPriority w:val="99"/>
    <w:semiHidden/>
    <w:unhideWhenUsed/>
    <w:rsid w:val="004A7B24"/>
    <w:pPr>
      <w:spacing w:before="100" w:beforeAutospacing="1" w:after="100" w:afterAutospacing="1"/>
    </w:pPr>
    <w:rPr>
      <w:rFonts w:eastAsia="MS Mincho"/>
      <w:sz w:val="24"/>
      <w:szCs w:val="24"/>
    </w:rPr>
  </w:style>
  <w:style w:type="character" w:customStyle="1" w:styleId="HeaderChar1">
    <w:name w:val="Header Char1"/>
    <w:basedOn w:val="DefaultParagraphFont"/>
    <w:uiPriority w:val="99"/>
    <w:semiHidden/>
    <w:rsid w:val="004A7B24"/>
    <w:rPr>
      <w:lang w:val="en-GB" w:eastAsia="en-US"/>
    </w:rPr>
  </w:style>
  <w:style w:type="character" w:customStyle="1" w:styleId="UnresolvedMention1">
    <w:name w:val="Unresolved Mention1"/>
    <w:basedOn w:val="DefaultParagraphFont"/>
    <w:uiPriority w:val="99"/>
    <w:semiHidden/>
    <w:unhideWhenUsed/>
    <w:rsid w:val="004A7B24"/>
    <w:rPr>
      <w:color w:val="605E5C"/>
      <w:shd w:val="clear" w:color="auto" w:fill="E1DFDD"/>
      <w:lang w:val="en-GB"/>
    </w:rPr>
  </w:style>
  <w:style w:type="character" w:customStyle="1" w:styleId="UnresolvedMention2">
    <w:name w:val="Unresolved Mention2"/>
    <w:basedOn w:val="DefaultParagraphFont"/>
    <w:uiPriority w:val="99"/>
    <w:semiHidden/>
    <w:unhideWhenUsed/>
    <w:rsid w:val="004A7B24"/>
    <w:rPr>
      <w:color w:val="605E5C"/>
      <w:shd w:val="clear" w:color="auto" w:fill="E1DFDD"/>
      <w:lang w:val="en-GB"/>
    </w:rPr>
  </w:style>
  <w:style w:type="character" w:customStyle="1" w:styleId="UnresolvedMention3">
    <w:name w:val="Unresolved Mention3"/>
    <w:basedOn w:val="DefaultParagraphFont"/>
    <w:uiPriority w:val="99"/>
    <w:semiHidden/>
    <w:unhideWhenUsed/>
    <w:rsid w:val="004A7B24"/>
    <w:rPr>
      <w:color w:val="605E5C"/>
      <w:shd w:val="clear" w:color="auto" w:fill="E1DFDD"/>
      <w:lang w:val="en-GB"/>
    </w:rPr>
  </w:style>
  <w:style w:type="character" w:customStyle="1" w:styleId="CH2Char">
    <w:name w:val="CH2 Char"/>
    <w:link w:val="CH2"/>
    <w:locked/>
    <w:rsid w:val="004A7B24"/>
    <w:rPr>
      <w:rFonts w:eastAsia="Times New Roman"/>
      <w:b/>
      <w:sz w:val="24"/>
      <w:szCs w:val="24"/>
      <w:lang w:val="en-GB" w:eastAsia="en-US"/>
    </w:rPr>
  </w:style>
  <w:style w:type="character" w:customStyle="1" w:styleId="Normal-poolChar">
    <w:name w:val="Normal-pool Char"/>
    <w:link w:val="Normal-pool"/>
    <w:locked/>
    <w:rsid w:val="004A7B24"/>
    <w:rPr>
      <w:rFonts w:eastAsia="Times New Roman"/>
      <w:lang w:val="en-GB" w:eastAsia="en-US"/>
    </w:rPr>
  </w:style>
  <w:style w:type="numbering" w:customStyle="1" w:styleId="Normallist4">
    <w:name w:val="Normal_list4"/>
    <w:rsid w:val="004A7B24"/>
    <w:pPr>
      <w:numPr>
        <w:numId w:val="17"/>
      </w:numPr>
    </w:pPr>
  </w:style>
  <w:style w:type="paragraph" w:customStyle="1" w:styleId="DarkList-Accent31">
    <w:name w:val="Dark List - Accent 31"/>
    <w:hidden/>
    <w:uiPriority w:val="99"/>
    <w:semiHidden/>
    <w:rsid w:val="004A7B24"/>
    <w:rPr>
      <w:rFonts w:eastAsia="Times New Roman"/>
      <w:sz w:val="22"/>
      <w:lang w:val="en-GB" w:eastAsia="en-US"/>
    </w:rPr>
  </w:style>
  <w:style w:type="character" w:customStyle="1" w:styleId="BBTitleChar">
    <w:name w:val="BB_Title Char"/>
    <w:link w:val="BBTitle"/>
    <w:rsid w:val="004A7B24"/>
    <w:rPr>
      <w:rFonts w:eastAsia="Times New Roman"/>
      <w:b/>
      <w:sz w:val="28"/>
      <w:szCs w:val="28"/>
      <w:lang w:val="en-GB" w:eastAsia="en-US"/>
    </w:rPr>
  </w:style>
  <w:style w:type="paragraph" w:customStyle="1" w:styleId="Default">
    <w:name w:val="Default"/>
    <w:rsid w:val="004A7B24"/>
    <w:pPr>
      <w:autoSpaceDE w:val="0"/>
      <w:autoSpaceDN w:val="0"/>
      <w:adjustRightInd w:val="0"/>
    </w:pPr>
    <w:rPr>
      <w:rFonts w:ascii="Courier New" w:eastAsia="Times New Roman" w:hAnsi="Courier New" w:cs="Courier New"/>
      <w:color w:val="000000"/>
      <w:sz w:val="24"/>
      <w:szCs w:val="24"/>
      <w:lang w:val="en-US" w:eastAsia="en-GB"/>
    </w:rPr>
  </w:style>
  <w:style w:type="character" w:customStyle="1" w:styleId="UnresolvedMention4">
    <w:name w:val="Unresolved Mention4"/>
    <w:basedOn w:val="DefaultParagraphFont"/>
    <w:uiPriority w:val="99"/>
    <w:unhideWhenUsed/>
    <w:rsid w:val="004A7B24"/>
    <w:rPr>
      <w:color w:val="605E5C"/>
      <w:shd w:val="clear" w:color="auto" w:fill="E1DFDD"/>
      <w:lang w:val="en-GB"/>
    </w:rPr>
  </w:style>
  <w:style w:type="character" w:customStyle="1" w:styleId="ZZAnxtitleChar">
    <w:name w:val="ZZ_Anx_title Char"/>
    <w:link w:val="ZZAnxtitle"/>
    <w:rsid w:val="004A7B24"/>
    <w:rPr>
      <w:rFonts w:eastAsia="Times New Roman"/>
      <w:b/>
      <w:bCs/>
      <w:sz w:val="28"/>
      <w:szCs w:val="26"/>
      <w:lang w:val="en-GB" w:eastAsia="en-US"/>
    </w:rPr>
  </w:style>
  <w:style w:type="character" w:customStyle="1" w:styleId="date-display-range">
    <w:name w:val="date-display-range"/>
    <w:basedOn w:val="DefaultParagraphFont"/>
    <w:rsid w:val="004A7B24"/>
    <w:rPr>
      <w:lang w:val="en-GB"/>
    </w:rPr>
  </w:style>
  <w:style w:type="character" w:customStyle="1" w:styleId="job-number">
    <w:name w:val="job-number"/>
    <w:basedOn w:val="DefaultParagraphFont"/>
    <w:rsid w:val="004A7B24"/>
    <w:rPr>
      <w:lang w:val="en-GB"/>
    </w:rPr>
  </w:style>
  <w:style w:type="paragraph" w:customStyle="1" w:styleId="normalnumber0">
    <w:name w:val="normalnumber"/>
    <w:basedOn w:val="Normal"/>
    <w:rsid w:val="004A7B24"/>
    <w:pPr>
      <w:tabs>
        <w:tab w:val="clear" w:pos="1247"/>
        <w:tab w:val="clear" w:pos="1814"/>
        <w:tab w:val="clear" w:pos="2381"/>
        <w:tab w:val="clear" w:pos="2948"/>
        <w:tab w:val="clear" w:pos="3515"/>
      </w:tabs>
      <w:spacing w:after="120"/>
      <w:ind w:left="1248"/>
    </w:pPr>
    <w:rPr>
      <w:rFonts w:eastAsiaTheme="minorHAnsi"/>
      <w:sz w:val="22"/>
      <w:szCs w:val="22"/>
      <w:lang w:eastAsia="en-GB"/>
    </w:rPr>
  </w:style>
  <w:style w:type="paragraph" w:customStyle="1" w:styleId="pf0">
    <w:name w:val="pf0"/>
    <w:basedOn w:val="Normal"/>
    <w:rsid w:val="004A7B24"/>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numbering" w:customStyle="1" w:styleId="Normallist2">
    <w:name w:val="Normal_list2"/>
    <w:basedOn w:val="NoList"/>
    <w:rsid w:val="004A7B24"/>
  </w:style>
  <w:style w:type="paragraph" w:customStyle="1" w:styleId="Normalpool">
    <w:name w:val="Normal_pool"/>
    <w:link w:val="NormalpoolChar"/>
    <w:semiHidden/>
    <w:qFormat/>
    <w:rsid w:val="004A7B24"/>
    <w:pPr>
      <w:tabs>
        <w:tab w:val="left" w:pos="1247"/>
        <w:tab w:val="left" w:pos="1814"/>
        <w:tab w:val="left" w:pos="2381"/>
        <w:tab w:val="left" w:pos="2948"/>
        <w:tab w:val="left" w:pos="3515"/>
        <w:tab w:val="left" w:pos="4082"/>
      </w:tabs>
    </w:pPr>
    <w:rPr>
      <w:lang w:val="en-US" w:eastAsia="en-US"/>
    </w:rPr>
  </w:style>
  <w:style w:type="character" w:customStyle="1" w:styleId="NormalpoolChar">
    <w:name w:val="Normal_pool Char"/>
    <w:link w:val="Normalpool"/>
    <w:semiHidden/>
    <w:locked/>
    <w:rsid w:val="004A7B24"/>
    <w:rPr>
      <w:lang w:val="en-US" w:eastAsia="en-US"/>
    </w:rPr>
  </w:style>
  <w:style w:type="paragraph" w:customStyle="1" w:styleId="ColorfulShading-Accent11">
    <w:name w:val="Colorful Shading - Accent 11"/>
    <w:hidden/>
    <w:uiPriority w:val="71"/>
    <w:rsid w:val="004A7B24"/>
    <w:rPr>
      <w:rFonts w:eastAsia="Times New Roman"/>
      <w:lang w:val="en-GB" w:eastAsia="en-US"/>
    </w:rPr>
  </w:style>
  <w:style w:type="paragraph" w:customStyle="1" w:styleId="ColorfulShading-Accent12">
    <w:name w:val="Colorful Shading - Accent 12"/>
    <w:hidden/>
    <w:uiPriority w:val="99"/>
    <w:semiHidden/>
    <w:rsid w:val="004A7B24"/>
    <w:rPr>
      <w:rFonts w:ascii="Calibri" w:eastAsia="Times New Roman" w:hAnsi="Calibri"/>
      <w:sz w:val="22"/>
      <w:szCs w:val="22"/>
      <w:lang w:val="en-US" w:eastAsia="en-US"/>
    </w:rPr>
  </w:style>
  <w:style w:type="character" w:customStyle="1" w:styleId="NormalNonumberChar">
    <w:name w:val="Normal_No_number Char"/>
    <w:link w:val="NormalNonumber"/>
    <w:rsid w:val="004A7B24"/>
    <w:rPr>
      <w:rFonts w:eastAsia="Times New Roman"/>
      <w:lang w:val="en-GB" w:eastAsia="en-US"/>
    </w:rPr>
  </w:style>
  <w:style w:type="table" w:customStyle="1" w:styleId="Tabledocright1">
    <w:name w:val="Table_doc_right1"/>
    <w:basedOn w:val="TableNormal"/>
    <w:rsid w:val="004A7B24"/>
    <w:pPr>
      <w:spacing w:before="40" w:after="40"/>
    </w:pPr>
    <w:rPr>
      <w:rFonts w:eastAsia="Times New Roman"/>
      <w:sz w:val="18"/>
      <w:szCs w:val="18"/>
      <w:lang w:eastAsia="en-US"/>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4A7B24"/>
    <w:rPr>
      <w:rFonts w:ascii="Arial" w:eastAsia="Times New Roman" w:hAnsi="Arial"/>
      <w:sz w:val="16"/>
      <w:lang w:eastAsia="en-US"/>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0">
    <w:name w:val="Table Grid1"/>
    <w:basedOn w:val="TableNormal"/>
    <w:next w:val="TableGrid"/>
    <w:uiPriority w:val="39"/>
    <w:rsid w:val="004A7B24"/>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semiHidden/>
    <w:rsid w:val="004A7B24"/>
    <w:rPr>
      <w:lang w:val="en-GB" w:eastAsia="ar-SA"/>
    </w:rPr>
  </w:style>
  <w:style w:type="paragraph" w:customStyle="1" w:styleId="MediumList2-Accent22">
    <w:name w:val="Medium List 2 - Accent 22"/>
    <w:hidden/>
    <w:uiPriority w:val="71"/>
    <w:rsid w:val="004A7B24"/>
    <w:rPr>
      <w:rFonts w:eastAsia="Times New Roman"/>
      <w:lang w:val="en-GB" w:eastAsia="en-US"/>
    </w:rPr>
  </w:style>
  <w:style w:type="paragraph" w:customStyle="1" w:styleId="CommentSubject1">
    <w:name w:val="Comment Subject1"/>
    <w:basedOn w:val="Normal"/>
    <w:next w:val="Normal"/>
    <w:semiHidden/>
    <w:rsid w:val="004A7B24"/>
    <w:pPr>
      <w:spacing w:line="240" w:lineRule="atLeast"/>
      <w:ind w:right="-574"/>
      <w:jc w:val="both"/>
    </w:pPr>
    <w:rPr>
      <w:b/>
      <w:bCs/>
      <w:noProof/>
      <w:lang w:val="en-US" w:eastAsia="nl-NL"/>
    </w:rPr>
  </w:style>
  <w:style w:type="paragraph" w:customStyle="1" w:styleId="ColorfulShading-Accent13">
    <w:name w:val="Colorful Shading - Accent 13"/>
    <w:hidden/>
    <w:uiPriority w:val="71"/>
    <w:rsid w:val="004A7B24"/>
    <w:rPr>
      <w:rFonts w:eastAsia="Times New Roman"/>
      <w:szCs w:val="24"/>
      <w:lang w:val="en-US" w:eastAsia="en-US"/>
    </w:rPr>
  </w:style>
  <w:style w:type="character" w:customStyle="1" w:styleId="MediumGrid2-Accent2Char">
    <w:name w:val="Medium Grid 2 - Accent 2 Char"/>
    <w:rsid w:val="004A7B24"/>
    <w:rPr>
      <w:rFonts w:ascii="Arial" w:eastAsia="Times New Roman" w:hAnsi="Arial"/>
      <w:i/>
      <w:sz w:val="22"/>
      <w:szCs w:val="24"/>
      <w:lang w:val="en-GB"/>
    </w:rPr>
  </w:style>
  <w:style w:type="table" w:customStyle="1" w:styleId="MediumGrid2-Accent21">
    <w:name w:val="Medium Grid 2 - Accent 21"/>
    <w:basedOn w:val="TableNormal"/>
    <w:next w:val="MediumGrid2-Accent2"/>
    <w:semiHidden/>
    <w:unhideWhenUsed/>
    <w:rsid w:val="004A7B24"/>
    <w:rPr>
      <w:rFonts w:ascii="Arial" w:eastAsia="Times New Roman" w:hAnsi="Arial"/>
      <w:i/>
      <w:sz w:val="22"/>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tblPr/>
      <w:tcPr>
        <w:shd w:val="clear" w:color="auto" w:fill="FDF2EA"/>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character" w:customStyle="1" w:styleId="CH1Char">
    <w:name w:val="CH1 Char"/>
    <w:link w:val="CH1"/>
    <w:locked/>
    <w:rsid w:val="004A7B24"/>
    <w:rPr>
      <w:rFonts w:eastAsia="Times New Roman"/>
      <w:b/>
      <w:sz w:val="28"/>
      <w:szCs w:val="28"/>
      <w:lang w:val="en-GB" w:eastAsia="en-US"/>
    </w:rPr>
  </w:style>
  <w:style w:type="numbering" w:customStyle="1" w:styleId="Normallist24">
    <w:name w:val="Normal_list24"/>
    <w:rsid w:val="004A7B24"/>
    <w:pPr>
      <w:numPr>
        <w:numId w:val="18"/>
      </w:numPr>
    </w:pPr>
  </w:style>
  <w:style w:type="character" w:customStyle="1" w:styleId="UnresolvedMention5">
    <w:name w:val="Unresolved Mention5"/>
    <w:uiPriority w:val="99"/>
    <w:semiHidden/>
    <w:unhideWhenUsed/>
    <w:rsid w:val="004A7B24"/>
    <w:rPr>
      <w:color w:val="605E5C"/>
      <w:shd w:val="clear" w:color="auto" w:fill="E1DFDD"/>
      <w:lang w:val="en-US"/>
    </w:rPr>
  </w:style>
  <w:style w:type="character" w:customStyle="1" w:styleId="UnresolvedMention6">
    <w:name w:val="Unresolved Mention6"/>
    <w:uiPriority w:val="99"/>
    <w:semiHidden/>
    <w:unhideWhenUsed/>
    <w:rsid w:val="004A7B24"/>
    <w:rPr>
      <w:color w:val="605E5C"/>
      <w:shd w:val="clear" w:color="auto" w:fill="E1DFDD"/>
      <w:lang w:val="en-US"/>
    </w:rPr>
  </w:style>
  <w:style w:type="numbering" w:customStyle="1" w:styleId="Normallist111">
    <w:name w:val="Normal_list111"/>
    <w:basedOn w:val="NoList"/>
    <w:rsid w:val="004A7B24"/>
  </w:style>
  <w:style w:type="paragraph" w:customStyle="1" w:styleId="Anxtitle">
    <w:name w:val="Anx title"/>
    <w:basedOn w:val="Normal"/>
    <w:rsid w:val="004A7B24"/>
    <w:pPr>
      <w:ind w:left="1247"/>
    </w:pPr>
    <w:rPr>
      <w:b/>
      <w:bCs/>
      <w:sz w:val="28"/>
      <w:szCs w:val="26"/>
      <w:lang w:val="en-US"/>
    </w:rPr>
  </w:style>
  <w:style w:type="character" w:customStyle="1" w:styleId="ZZAnxheaderChar">
    <w:name w:val="ZZ_Anx_header Char"/>
    <w:link w:val="ZZAnxheader"/>
    <w:rsid w:val="004A7B24"/>
    <w:rPr>
      <w:rFonts w:eastAsia="Times New Roman"/>
      <w:b/>
      <w:bCs/>
      <w:sz w:val="28"/>
      <w:szCs w:val="22"/>
      <w:lang w:val="en-GB" w:eastAsia="en-US"/>
    </w:rPr>
  </w:style>
  <w:style w:type="table" w:customStyle="1" w:styleId="57">
    <w:name w:val="57"/>
    <w:rsid w:val="004A7B24"/>
    <w:pPr>
      <w:widowControl w:val="0"/>
      <w:autoSpaceDE w:val="0"/>
      <w:autoSpaceDN w:val="0"/>
      <w:adjustRightInd w:val="0"/>
    </w:pPr>
    <w:rPr>
      <w:rFonts w:eastAsia="Times New Roman"/>
      <w:sz w:val="24"/>
      <w:szCs w:val="24"/>
      <w:lang w:val="en-US" w:eastAsia="en-GB"/>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rsid w:val="004A7B24"/>
    <w:pPr>
      <w:widowControl w:val="0"/>
      <w:autoSpaceDE w:val="0"/>
      <w:autoSpaceDN w:val="0"/>
      <w:adjustRightInd w:val="0"/>
    </w:pPr>
    <w:rPr>
      <w:rFonts w:eastAsia="Times New Roman"/>
      <w:sz w:val="24"/>
      <w:szCs w:val="24"/>
      <w:lang w:val="en-US" w:eastAsia="en-GB"/>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Ballontekst">
    <w:name w:val="Ballontekst"/>
    <w:basedOn w:val="Normal"/>
    <w:semiHidden/>
    <w:unhideWhenUsed/>
    <w:rsid w:val="004A7B24"/>
    <w:pPr>
      <w:tabs>
        <w:tab w:val="clear" w:pos="1247"/>
        <w:tab w:val="clear" w:pos="1814"/>
        <w:tab w:val="clear" w:pos="2381"/>
        <w:tab w:val="clear" w:pos="2948"/>
        <w:tab w:val="clear" w:pos="3515"/>
      </w:tabs>
      <w:ind w:left="1080"/>
    </w:pPr>
    <w:rPr>
      <w:rFonts w:ascii="Tahoma" w:eastAsia="SimSun" w:hAnsi="Tahoma"/>
      <w:color w:val="000000"/>
      <w:sz w:val="16"/>
      <w:szCs w:val="22"/>
      <w:lang w:val="en-US"/>
    </w:rPr>
  </w:style>
  <w:style w:type="paragraph" w:customStyle="1" w:styleId="footnotedescription">
    <w:name w:val="footnote description"/>
    <w:next w:val="Normal"/>
    <w:link w:val="footnotedescriptionChar"/>
    <w:hidden/>
    <w:rsid w:val="004A7B24"/>
    <w:pPr>
      <w:spacing w:line="262" w:lineRule="auto"/>
      <w:ind w:left="432"/>
    </w:pPr>
    <w:rPr>
      <w:rFonts w:eastAsia="Times New Roman"/>
      <w:color w:val="000000"/>
      <w:szCs w:val="22"/>
      <w:lang w:val="nl-NL" w:eastAsia="nl-NL"/>
    </w:rPr>
  </w:style>
  <w:style w:type="character" w:customStyle="1" w:styleId="footnotedescriptionChar">
    <w:name w:val="footnote description Char"/>
    <w:link w:val="footnotedescription"/>
    <w:rsid w:val="004A7B24"/>
    <w:rPr>
      <w:rFonts w:eastAsia="Times New Roman"/>
      <w:color w:val="000000"/>
      <w:szCs w:val="22"/>
      <w:lang w:val="nl-NL" w:eastAsia="nl-NL"/>
    </w:rPr>
  </w:style>
  <w:style w:type="character" w:customStyle="1" w:styleId="footnotemark">
    <w:name w:val="footnote mark"/>
    <w:hidden/>
    <w:rsid w:val="004A7B24"/>
    <w:rPr>
      <w:rFonts w:ascii="Times New Roman" w:eastAsia="Times New Roman" w:hAnsi="Times New Roman" w:cs="Times New Roman"/>
      <w:color w:val="000000"/>
      <w:sz w:val="20"/>
      <w:vertAlign w:val="superscript"/>
    </w:rPr>
  </w:style>
  <w:style w:type="table" w:customStyle="1" w:styleId="1">
    <w:name w:val="网格型1"/>
    <w:rsid w:val="004A7B24"/>
    <w:rPr>
      <w:rFonts w:ascii="Calibri" w:eastAsia="Times New Roman" w:hAnsi="Calibri"/>
      <w:sz w:val="22"/>
      <w:szCs w:val="22"/>
      <w:lang w:val="en-US" w:eastAsia="nl-NL"/>
    </w:rPr>
    <w:tblPr>
      <w:tblCellMar>
        <w:top w:w="0" w:type="dxa"/>
        <w:left w:w="0" w:type="dxa"/>
        <w:bottom w:w="0" w:type="dxa"/>
        <w:right w:w="0" w:type="dxa"/>
      </w:tblCellMar>
    </w:tblPr>
  </w:style>
  <w:style w:type="paragraph" w:customStyle="1" w:styleId="GridTable31">
    <w:name w:val="Grid Table 31"/>
    <w:basedOn w:val="Heading1"/>
    <w:next w:val="Normal"/>
    <w:uiPriority w:val="39"/>
    <w:semiHidden/>
    <w:rsid w:val="004A7B24"/>
    <w:pPr>
      <w:numPr>
        <w:numId w:val="0"/>
      </w:numPr>
      <w:tabs>
        <w:tab w:val="clear" w:pos="1871"/>
        <w:tab w:val="clear" w:pos="2495"/>
        <w:tab w:val="clear" w:pos="3119"/>
        <w:tab w:val="clear" w:pos="3742"/>
        <w:tab w:val="clear" w:pos="4366"/>
        <w:tab w:val="left" w:pos="1247"/>
        <w:tab w:val="left" w:pos="1814"/>
        <w:tab w:val="left" w:pos="2381"/>
        <w:tab w:val="left" w:pos="2948"/>
        <w:tab w:val="left" w:pos="3515"/>
      </w:tabs>
      <w:suppressAutoHyphens w:val="0"/>
      <w:snapToGrid w:val="0"/>
      <w:spacing w:beforeLines="50" w:afterLines="100" w:after="240" w:line="259" w:lineRule="auto"/>
      <w:ind w:left="1890" w:right="0" w:hanging="1890"/>
      <w:outlineLvl w:val="9"/>
    </w:pPr>
    <w:rPr>
      <w:rFonts w:ascii="Calibri Light" w:hAnsi="Calibri Light"/>
      <w:b w:val="0"/>
      <w:bCs/>
      <w:caps/>
      <w:color w:val="2E74B5"/>
      <w:sz w:val="32"/>
      <w:szCs w:val="32"/>
      <w:lang w:val="en-US" w:eastAsia="nl-NL"/>
    </w:rPr>
  </w:style>
  <w:style w:type="table" w:customStyle="1" w:styleId="TableGrid0">
    <w:name w:val="Table Grid0"/>
    <w:basedOn w:val="TableNormal"/>
    <w:uiPriority w:val="39"/>
    <w:rsid w:val="004A7B2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3Char">
    <w:name w:val="CH3 Char"/>
    <w:link w:val="CH3"/>
    <w:rsid w:val="004A7B24"/>
    <w:rPr>
      <w:rFonts w:eastAsia="Times New Roman"/>
      <w:b/>
      <w:lang w:val="en-GB" w:eastAsia="en-US"/>
    </w:rPr>
  </w:style>
  <w:style w:type="character" w:customStyle="1" w:styleId="Heading4Char1">
    <w:name w:val="Heading 4 Char1"/>
    <w:basedOn w:val="DefaultParagraphFont"/>
    <w:uiPriority w:val="9"/>
    <w:semiHidden/>
    <w:rsid w:val="004A7B24"/>
    <w:rPr>
      <w:rFonts w:ascii="Calibri Light" w:eastAsia="Times New Roman" w:hAnsi="Calibri Light" w:cs="Times New Roman"/>
      <w:i/>
      <w:iCs/>
      <w:color w:val="2F5496"/>
      <w:lang w:val="en-GB"/>
    </w:rPr>
  </w:style>
  <w:style w:type="character" w:customStyle="1" w:styleId="Hyperlink2">
    <w:name w:val="Hyperlink2"/>
    <w:basedOn w:val="DefaultParagraphFont"/>
    <w:uiPriority w:val="99"/>
    <w:semiHidden/>
    <w:unhideWhenUsed/>
    <w:rsid w:val="004A7B24"/>
    <w:rPr>
      <w:color w:val="0563C1"/>
      <w:u w:val="single"/>
      <w:lang w:val="en-GB"/>
    </w:rPr>
  </w:style>
  <w:style w:type="character" w:customStyle="1" w:styleId="BodyTextChar1">
    <w:name w:val="Body Text Char1"/>
    <w:aliases w:val=" Char Char Char1,Body Text Char Char Char Char Char Char1,Body Text Char Char Char Char Char2,Char Char3 Char1"/>
    <w:basedOn w:val="DefaultParagraphFont"/>
    <w:uiPriority w:val="99"/>
    <w:semiHidden/>
    <w:rsid w:val="004A7B24"/>
    <w:rPr>
      <w:rFonts w:ascii="Tahoma" w:eastAsia="Times New Roman" w:hAnsi="Tahoma"/>
      <w:color w:val="000000"/>
      <w:sz w:val="22"/>
      <w:szCs w:val="22"/>
      <w:lang w:val="en-US" w:eastAsia="nl-NL"/>
    </w:rPr>
  </w:style>
  <w:style w:type="table" w:customStyle="1" w:styleId="TableGrid20">
    <w:name w:val="Table Grid2"/>
    <w:basedOn w:val="TableNormal"/>
    <w:next w:val="TableGrid0"/>
    <w:uiPriority w:val="39"/>
    <w:rsid w:val="004A7B2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0"/>
    <w:uiPriority w:val="39"/>
    <w:rsid w:val="004A7B2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39"/>
    <w:rsid w:val="004A7B2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0"/>
    <w:uiPriority w:val="39"/>
    <w:rsid w:val="004A7B2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0"/>
    <w:uiPriority w:val="39"/>
    <w:rsid w:val="004A7B24"/>
    <w:rPr>
      <w:rFonts w:asciiTheme="minorHAnsi" w:eastAsia="DengXian"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0"/>
    <w:uiPriority w:val="39"/>
    <w:rsid w:val="004A7B24"/>
    <w:rPr>
      <w:rFonts w:ascii="Calibri" w:eastAsia="DengXian" w:hAnsi="Calibri"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0"/>
    <w:uiPriority w:val="39"/>
    <w:rsid w:val="004A7B24"/>
    <w:rPr>
      <w:rFonts w:ascii="Calibri" w:eastAsia="DengXian" w:hAnsi="Calibri"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0"/>
    <w:uiPriority w:val="39"/>
    <w:rsid w:val="004A7B24"/>
    <w:rPr>
      <w:rFonts w:ascii="Calibri" w:eastAsia="DengXian" w:hAnsi="Calibri"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0"/>
    <w:uiPriority w:val="39"/>
    <w:rsid w:val="004A7B24"/>
    <w:rPr>
      <w:rFonts w:ascii="Calibri" w:eastAsia="DengXian" w:hAnsi="Calibri"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0"/>
    <w:uiPriority w:val="39"/>
    <w:rsid w:val="004A7B24"/>
    <w:rPr>
      <w:rFonts w:ascii="Calibri" w:eastAsia="Times New Roman"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A7B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13">
    <w:name w:val="Normal_list13"/>
    <w:basedOn w:val="NoList"/>
    <w:rsid w:val="004A7B24"/>
  </w:style>
  <w:style w:type="paragraph" w:customStyle="1" w:styleId="style15">
    <w:name w:val="style15"/>
    <w:basedOn w:val="Normal"/>
    <w:semiHidden/>
    <w:rsid w:val="004A7B24"/>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apple-converted-space">
    <w:name w:val="apple-converted-space"/>
    <w:basedOn w:val="DefaultParagraphFont"/>
    <w:semiHidden/>
    <w:rsid w:val="004A7B24"/>
    <w:rPr>
      <w:lang w:val="en-US"/>
    </w:rPr>
  </w:style>
  <w:style w:type="character" w:customStyle="1" w:styleId="ListParagraphChar">
    <w:name w:val="List Paragraph Char"/>
    <w:link w:val="ListParagraph"/>
    <w:uiPriority w:val="34"/>
    <w:locked/>
    <w:rsid w:val="004A7B24"/>
    <w:rPr>
      <w:rFonts w:eastAsia="Times New Roman"/>
      <w:lang w:val="en-GB" w:eastAsia="en-US"/>
    </w:rPr>
  </w:style>
  <w:style w:type="character" w:customStyle="1" w:styleId="SubtitleChar1">
    <w:name w:val="Subtitle Char1"/>
    <w:basedOn w:val="DefaultParagraphFont"/>
    <w:rsid w:val="004A7B24"/>
    <w:rPr>
      <w:rFonts w:asciiTheme="minorHAnsi" w:eastAsiaTheme="majorEastAsia" w:hAnsiTheme="minorHAnsi" w:cstheme="majorBidi"/>
      <w:color w:val="595959" w:themeColor="text1" w:themeTint="A6"/>
      <w:spacing w:val="15"/>
      <w:sz w:val="28"/>
      <w:szCs w:val="28"/>
      <w:lang w:val="en-GB" w:eastAsia="en-US"/>
    </w:rPr>
  </w:style>
  <w:style w:type="paragraph" w:customStyle="1" w:styleId="BodyText1">
    <w:name w:val="Body Text1"/>
    <w:basedOn w:val="Normal"/>
    <w:next w:val="BodyText"/>
    <w:uiPriority w:val="1"/>
    <w:semiHidden/>
    <w:qFormat/>
    <w:locked/>
    <w:rsid w:val="004A7B24"/>
    <w:pPr>
      <w:tabs>
        <w:tab w:val="clear" w:pos="1247"/>
        <w:tab w:val="clear" w:pos="1814"/>
        <w:tab w:val="clear" w:pos="2381"/>
        <w:tab w:val="clear" w:pos="2948"/>
        <w:tab w:val="clear" w:pos="3515"/>
      </w:tabs>
      <w:autoSpaceDE w:val="0"/>
      <w:autoSpaceDN w:val="0"/>
      <w:adjustRightInd w:val="0"/>
    </w:pPr>
    <w:rPr>
      <w:rFonts w:ascii="Tahoma" w:hAnsi="Tahoma"/>
      <w:color w:val="000000"/>
      <w:sz w:val="22"/>
      <w:szCs w:val="22"/>
      <w:lang w:val="en-US" w:eastAsia="zh-CN"/>
    </w:rPr>
  </w:style>
  <w:style w:type="paragraph" w:customStyle="1" w:styleId="TableParagraph">
    <w:name w:val="Table Paragraph"/>
    <w:basedOn w:val="Normal"/>
    <w:uiPriority w:val="1"/>
    <w:semiHidden/>
    <w:qFormat/>
    <w:locked/>
    <w:rsid w:val="004A7B24"/>
    <w:pPr>
      <w:tabs>
        <w:tab w:val="clear" w:pos="1247"/>
        <w:tab w:val="clear" w:pos="1814"/>
        <w:tab w:val="clear" w:pos="2381"/>
        <w:tab w:val="clear" w:pos="2948"/>
        <w:tab w:val="clear" w:pos="3515"/>
      </w:tabs>
      <w:autoSpaceDE w:val="0"/>
      <w:autoSpaceDN w:val="0"/>
      <w:adjustRightInd w:val="0"/>
      <w:spacing w:beforeLines="50" w:before="50"/>
      <w:jc w:val="center"/>
    </w:pPr>
    <w:rPr>
      <w:rFonts w:eastAsia="DengXian"/>
      <w:b/>
      <w:sz w:val="22"/>
      <w:szCs w:val="24"/>
    </w:rPr>
  </w:style>
  <w:style w:type="character" w:customStyle="1" w:styleId="BodyTextChar2">
    <w:name w:val="Body Text Char2"/>
    <w:basedOn w:val="DefaultParagraphFont"/>
    <w:semiHidden/>
    <w:rsid w:val="004A7B24"/>
    <w:rPr>
      <w:rFonts w:eastAsia="Times New Roman"/>
      <w:lang w:val="en-US" w:eastAsia="en-US"/>
    </w:rPr>
  </w:style>
  <w:style w:type="character" w:customStyle="1" w:styleId="SmartLink11">
    <w:name w:val="SmartLink11"/>
    <w:basedOn w:val="DefaultParagraphFont"/>
    <w:uiPriority w:val="99"/>
    <w:semiHidden/>
    <w:unhideWhenUsed/>
    <w:rsid w:val="004A7B24"/>
    <w:rPr>
      <w:color w:val="0000FF"/>
      <w:u w:val="single"/>
      <w:shd w:val="clear" w:color="auto" w:fill="F3F2F1"/>
      <w:lang w:val="en-GB"/>
    </w:rPr>
  </w:style>
  <w:style w:type="paragraph" w:customStyle="1" w:styleId="Thesisheading1">
    <w:name w:val="Thesisheading1"/>
    <w:basedOn w:val="BodyTextIndent2"/>
    <w:rsid w:val="004A7B24"/>
    <w:pPr>
      <w:numPr>
        <w:numId w:val="19"/>
      </w:numPr>
      <w:tabs>
        <w:tab w:val="clear" w:pos="720"/>
        <w:tab w:val="clear" w:pos="1247"/>
        <w:tab w:val="clear" w:pos="1814"/>
        <w:tab w:val="clear" w:pos="2381"/>
        <w:tab w:val="clear" w:pos="2948"/>
        <w:tab w:val="clear" w:pos="3515"/>
      </w:tabs>
      <w:spacing w:after="0" w:line="360" w:lineRule="auto"/>
      <w:ind w:left="0" w:firstLine="0"/>
      <w:jc w:val="both"/>
    </w:pPr>
    <w:rPr>
      <w:rFonts w:ascii="Arial" w:hAnsi="Arial"/>
      <w:b/>
      <w:caps/>
      <w:sz w:val="32"/>
      <w:lang w:eastAsia="zh-CN"/>
    </w:rPr>
  </w:style>
  <w:style w:type="paragraph" w:customStyle="1" w:styleId="Thesisheading4">
    <w:name w:val="Thesisheading4"/>
    <w:basedOn w:val="Heading3"/>
    <w:rsid w:val="004A7B24"/>
    <w:pPr>
      <w:widowControl w:val="0"/>
      <w:numPr>
        <w:ilvl w:val="2"/>
        <w:numId w:val="19"/>
      </w:numPr>
      <w:tabs>
        <w:tab w:val="clear" w:pos="720"/>
        <w:tab w:val="clear" w:pos="1871"/>
        <w:tab w:val="clear" w:pos="2495"/>
        <w:tab w:val="clear" w:pos="3119"/>
        <w:tab w:val="clear" w:pos="3742"/>
        <w:tab w:val="clear" w:pos="4366"/>
        <w:tab w:val="num" w:pos="2880"/>
      </w:tabs>
      <w:suppressAutoHyphens w:val="0"/>
      <w:adjustRightInd w:val="0"/>
      <w:spacing w:before="120" w:after="240" w:line="360" w:lineRule="auto"/>
      <w:ind w:left="0" w:right="29" w:firstLine="0"/>
    </w:pPr>
    <w:rPr>
      <w:rFonts w:ascii="Arial" w:eastAsiaTheme="minorEastAsia" w:hAnsi="Arial" w:cstheme="majorBidi"/>
      <w:b w:val="0"/>
      <w:i/>
      <w:color w:val="000000" w:themeColor="text1"/>
      <w:sz w:val="22"/>
      <w:szCs w:val="22"/>
      <w:lang w:val="en-US" w:eastAsia="ja-JP"/>
    </w:rPr>
  </w:style>
  <w:style w:type="numbering" w:customStyle="1" w:styleId="Normallist3">
    <w:name w:val="Normal_list3"/>
    <w:basedOn w:val="NoList"/>
    <w:rsid w:val="004A7B24"/>
  </w:style>
  <w:style w:type="paragraph" w:customStyle="1" w:styleId="xmsolistparagraph">
    <w:name w:val="x_msolistparagraph"/>
    <w:basedOn w:val="Normal"/>
    <w:rsid w:val="004A7B24"/>
    <w:pPr>
      <w:tabs>
        <w:tab w:val="clear" w:pos="1247"/>
        <w:tab w:val="clear" w:pos="1814"/>
        <w:tab w:val="clear" w:pos="2381"/>
        <w:tab w:val="clear" w:pos="2948"/>
        <w:tab w:val="clear" w:pos="3515"/>
      </w:tabs>
      <w:ind w:left="720"/>
    </w:pPr>
    <w:rPr>
      <w:rFonts w:ascii="Aptos" w:eastAsiaTheme="minorHAnsi" w:hAnsi="Aptos" w:cs="Aptos"/>
      <w:sz w:val="22"/>
      <w:szCs w:val="22"/>
      <w:lang w:eastAsia="en-GB" w:bidi="te-IN"/>
    </w:rPr>
  </w:style>
  <w:style w:type="numbering" w:customStyle="1" w:styleId="Normallist9">
    <w:name w:val="Normal_list9"/>
    <w:basedOn w:val="NoList"/>
    <w:rsid w:val="004A7B24"/>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semiHidden/>
    <w:rsid w:val="004A7B24"/>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numbering" w:customStyle="1" w:styleId="Normallist91">
    <w:name w:val="Normal_list91"/>
    <w:basedOn w:val="NoList"/>
    <w:rsid w:val="004A7B24"/>
  </w:style>
  <w:style w:type="numbering" w:customStyle="1" w:styleId="Normallist92">
    <w:name w:val="Normal_list92"/>
    <w:basedOn w:val="NoList"/>
    <w:rsid w:val="004A7B24"/>
  </w:style>
  <w:style w:type="numbering" w:customStyle="1" w:styleId="Normallist5">
    <w:name w:val="Normal_list5"/>
    <w:basedOn w:val="NoList"/>
    <w:rsid w:val="004A7B24"/>
  </w:style>
  <w:style w:type="numbering" w:customStyle="1" w:styleId="Normallist93">
    <w:name w:val="Normal_list93"/>
    <w:basedOn w:val="NoList"/>
    <w:rsid w:val="004A7B24"/>
  </w:style>
  <w:style w:type="numbering" w:customStyle="1" w:styleId="Normallist94">
    <w:name w:val="Normal_list94"/>
    <w:basedOn w:val="NoList"/>
    <w:rsid w:val="004A7B24"/>
  </w:style>
  <w:style w:type="numbering" w:customStyle="1" w:styleId="Normallist95">
    <w:name w:val="Normal_list95"/>
    <w:basedOn w:val="NoList"/>
    <w:rsid w:val="004A7B24"/>
  </w:style>
  <w:style w:type="numbering" w:customStyle="1" w:styleId="Normallist96">
    <w:name w:val="Normal_list96"/>
    <w:basedOn w:val="NoList"/>
    <w:rsid w:val="004A7B24"/>
  </w:style>
  <w:style w:type="numbering" w:customStyle="1" w:styleId="Normallist97">
    <w:name w:val="Normal_list97"/>
    <w:basedOn w:val="NoList"/>
    <w:rsid w:val="004A7B24"/>
  </w:style>
  <w:style w:type="numbering" w:customStyle="1" w:styleId="Normallist98">
    <w:name w:val="Normal_list98"/>
    <w:basedOn w:val="NoList"/>
    <w:rsid w:val="004A7B24"/>
  </w:style>
  <w:style w:type="numbering" w:customStyle="1" w:styleId="Normallist99">
    <w:name w:val="Normal_list99"/>
    <w:basedOn w:val="NoList"/>
    <w:rsid w:val="004A7B24"/>
  </w:style>
  <w:style w:type="numbering" w:customStyle="1" w:styleId="Normallist910">
    <w:name w:val="Normal_list910"/>
    <w:basedOn w:val="NoList"/>
    <w:rsid w:val="004A7B24"/>
  </w:style>
  <w:style w:type="numbering" w:customStyle="1" w:styleId="Normallist911">
    <w:name w:val="Normal_list911"/>
    <w:basedOn w:val="NoList"/>
    <w:rsid w:val="004A7B24"/>
  </w:style>
  <w:style w:type="numbering" w:customStyle="1" w:styleId="Normallist912">
    <w:name w:val="Normal_list912"/>
    <w:basedOn w:val="NoList"/>
    <w:rsid w:val="004A7B24"/>
  </w:style>
  <w:style w:type="numbering" w:customStyle="1" w:styleId="Normallist913">
    <w:name w:val="Normal_list913"/>
    <w:basedOn w:val="NoList"/>
    <w:rsid w:val="004A7B24"/>
  </w:style>
  <w:style w:type="numbering" w:customStyle="1" w:styleId="Normallist914">
    <w:name w:val="Normal_list914"/>
    <w:basedOn w:val="NoList"/>
    <w:rsid w:val="004A7B24"/>
  </w:style>
  <w:style w:type="numbering" w:customStyle="1" w:styleId="Normallist915">
    <w:name w:val="Normal_list915"/>
    <w:basedOn w:val="NoList"/>
    <w:rsid w:val="004A7B24"/>
  </w:style>
  <w:style w:type="numbering" w:customStyle="1" w:styleId="Normallist916">
    <w:name w:val="Normal_list916"/>
    <w:basedOn w:val="NoList"/>
    <w:rsid w:val="004A7B24"/>
  </w:style>
  <w:style w:type="numbering" w:customStyle="1" w:styleId="Normallist917">
    <w:name w:val="Normal_list917"/>
    <w:basedOn w:val="NoList"/>
    <w:rsid w:val="004A7B24"/>
  </w:style>
  <w:style w:type="numbering" w:customStyle="1" w:styleId="Normallist918">
    <w:name w:val="Normal_list918"/>
    <w:basedOn w:val="NoList"/>
    <w:rsid w:val="004A7B24"/>
  </w:style>
  <w:style w:type="numbering" w:customStyle="1" w:styleId="Normallist6">
    <w:name w:val="Normal_list6"/>
    <w:basedOn w:val="NoList"/>
    <w:rsid w:val="004A7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system/files/documents/TEAP-RTF-supplementary-report-september202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United%20Nations\UNON%20DCS%20Templates%20Platform%20-%20Documents\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9F8128-0FEE-4A44-AA5B-5901C908D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9</TotalTime>
  <Pages>13</Pages>
  <Words>6395</Words>
  <Characters>36454</Characters>
  <Application>Microsoft Office Word</Application>
  <DocSecurity>0</DocSecurity>
  <PresentationFormat/>
  <Lines>303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Julius Njenga</cp:lastModifiedBy>
  <cp:revision>6</cp:revision>
  <cp:lastPrinted>2026-10-12T08:14:00Z</cp:lastPrinted>
  <dcterms:created xsi:type="dcterms:W3CDTF">2026-10-12T11:16:00Z</dcterms:created>
  <dcterms:modified xsi:type="dcterms:W3CDTF">2026-10-12T12:03:00Z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0x010100A8527E0A0837F64083645E115EB57567</vt:lpwstr>
  </property>
</Properties>
</file>