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2693"/>
        <w:gridCol w:w="6520"/>
        <w:gridCol w:w="283"/>
      </w:tblGrid>
      <w:tr w:rsidR="00F35924" w:rsidRPr="002A55D4" w14:paraId="4F761D95" w14:textId="77777777" w:rsidTr="002F2B1B">
        <w:trPr>
          <w:trHeight w:val="850"/>
        </w:trPr>
        <w:tc>
          <w:tcPr>
            <w:tcW w:w="2693" w:type="dxa"/>
          </w:tcPr>
          <w:p w14:paraId="4727BAC2" w14:textId="77777777" w:rsidR="00F35924" w:rsidRPr="002A55D4" w:rsidRDefault="00F35924" w:rsidP="00F35924">
            <w:pPr>
              <w:pStyle w:val="AUnitedNations"/>
              <w:tabs>
                <w:tab w:val="clear" w:pos="624"/>
                <w:tab w:val="clear" w:pos="1871"/>
                <w:tab w:val="clear" w:pos="2495"/>
                <w:tab w:val="clear" w:pos="3119"/>
                <w:tab w:val="clear" w:pos="3742"/>
                <w:tab w:val="clear" w:pos="4366"/>
                <w:tab w:val="clear" w:pos="4990"/>
              </w:tabs>
              <w:spacing w:before="0"/>
            </w:pPr>
            <w:r w:rsidRPr="002A55D4">
              <w:t xml:space="preserve">ОРГАНИЗАЦИЯ </w:t>
            </w:r>
            <w:r w:rsidRPr="002A55D4">
              <w:br/>
              <w:t xml:space="preserve">ОБЪЕДИНЕННЫХ </w:t>
            </w:r>
            <w:r w:rsidRPr="002A55D4">
              <w:br/>
              <w:t>НАЦИЙ</w:t>
            </w:r>
          </w:p>
        </w:tc>
        <w:tc>
          <w:tcPr>
            <w:tcW w:w="6520" w:type="dxa"/>
          </w:tcPr>
          <w:p w14:paraId="5A347E3D" w14:textId="77777777" w:rsidR="00F35924" w:rsidRPr="002A55D4" w:rsidRDefault="00F35924" w:rsidP="00F35924">
            <w:pPr>
              <w:pStyle w:val="Normal-pool"/>
              <w:tabs>
                <w:tab w:val="clear" w:pos="624"/>
                <w:tab w:val="clear" w:pos="1247"/>
                <w:tab w:val="clear" w:pos="1871"/>
                <w:tab w:val="clear" w:pos="2495"/>
                <w:tab w:val="clear" w:pos="3119"/>
                <w:tab w:val="clear" w:pos="3742"/>
                <w:tab w:val="clear" w:pos="4366"/>
                <w:tab w:val="clear" w:pos="4990"/>
              </w:tabs>
            </w:pPr>
            <w:r w:rsidRPr="002A55D4">
              <w:rPr>
                <w:noProof/>
              </w:rPr>
              <w:drawing>
                <wp:anchor distT="0" distB="0" distL="114300" distR="114300" simplePos="0" relativeHeight="251660288" behindDoc="0" locked="0" layoutInCell="1" allowOverlap="1" wp14:anchorId="3AEE9EDF" wp14:editId="6F51B08B">
                  <wp:simplePos x="0" y="0"/>
                  <wp:positionH relativeFrom="column">
                    <wp:posOffset>3175</wp:posOffset>
                  </wp:positionH>
                  <wp:positionV relativeFrom="paragraph">
                    <wp:posOffset>3175</wp:posOffset>
                  </wp:positionV>
                  <wp:extent cx="1269153" cy="573559"/>
                  <wp:effectExtent l="0" t="0" r="0" b="0"/>
                  <wp:wrapNone/>
                  <wp:docPr id="1485736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736527" name=""/>
                          <pic:cNvPicPr/>
                        </pic:nvPicPr>
                        <pic:blipFill>
                          <a:blip r:embed="rId11">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283" w:type="dxa"/>
          </w:tcPr>
          <w:p w14:paraId="2ADBDB3B" w14:textId="77777777" w:rsidR="00F35924" w:rsidRPr="002A55D4" w:rsidRDefault="00F35924" w:rsidP="00F35924">
            <w:pPr>
              <w:pStyle w:val="Normal-pool"/>
              <w:tabs>
                <w:tab w:val="clear" w:pos="624"/>
                <w:tab w:val="clear" w:pos="1247"/>
                <w:tab w:val="clear" w:pos="1871"/>
                <w:tab w:val="clear" w:pos="2495"/>
                <w:tab w:val="clear" w:pos="3119"/>
                <w:tab w:val="clear" w:pos="3742"/>
                <w:tab w:val="clear" w:pos="4366"/>
                <w:tab w:val="clear" w:pos="4990"/>
              </w:tabs>
            </w:pPr>
          </w:p>
        </w:tc>
      </w:tr>
    </w:tbl>
    <w:p w14:paraId="0159AAFC" w14:textId="77777777" w:rsidR="00F35924" w:rsidRPr="002A55D4" w:rsidRDefault="00F35924" w:rsidP="00F35924">
      <w:pPr>
        <w:pStyle w:val="ASpacer"/>
        <w:tabs>
          <w:tab w:val="clear" w:pos="624"/>
          <w:tab w:val="clear" w:pos="1247"/>
          <w:tab w:val="clear" w:pos="1871"/>
          <w:tab w:val="clear" w:pos="2495"/>
          <w:tab w:val="clear" w:pos="3119"/>
          <w:tab w:val="clear" w:pos="3742"/>
          <w:tab w:val="clear" w:pos="4366"/>
          <w:tab w:val="clear" w:pos="4990"/>
        </w:tabs>
      </w:pPr>
    </w:p>
    <w:tbl>
      <w:tblPr>
        <w:tblW w:w="9496" w:type="dxa"/>
        <w:tblLook w:val="0000" w:firstRow="0" w:lastRow="0" w:firstColumn="0" w:lastColumn="0" w:noHBand="0" w:noVBand="0"/>
      </w:tblPr>
      <w:tblGrid>
        <w:gridCol w:w="6378"/>
        <w:gridCol w:w="3118"/>
      </w:tblGrid>
      <w:tr w:rsidR="00F35924" w:rsidRPr="002A55D4" w14:paraId="52957977" w14:textId="77777777" w:rsidTr="002F2B1B">
        <w:trPr>
          <w:trHeight w:val="340"/>
        </w:trPr>
        <w:tc>
          <w:tcPr>
            <w:tcW w:w="3358" w:type="pct"/>
            <w:vAlign w:val="bottom"/>
          </w:tcPr>
          <w:p w14:paraId="68012E75" w14:textId="77777777" w:rsidR="00F35924" w:rsidRPr="002A55D4" w:rsidRDefault="00F35924" w:rsidP="00F35924">
            <w:pPr>
              <w:pStyle w:val="Normal-pool"/>
              <w:tabs>
                <w:tab w:val="clear" w:pos="624"/>
                <w:tab w:val="clear" w:pos="1247"/>
                <w:tab w:val="clear" w:pos="1871"/>
                <w:tab w:val="clear" w:pos="2495"/>
                <w:tab w:val="clear" w:pos="3119"/>
                <w:tab w:val="clear" w:pos="3742"/>
                <w:tab w:val="clear" w:pos="4366"/>
                <w:tab w:val="clear" w:pos="4990"/>
              </w:tabs>
            </w:pPr>
          </w:p>
        </w:tc>
        <w:tc>
          <w:tcPr>
            <w:tcW w:w="1642" w:type="pct"/>
            <w:noWrap/>
            <w:vAlign w:val="bottom"/>
          </w:tcPr>
          <w:p w14:paraId="10601F17" w14:textId="5F99354F" w:rsidR="00F35924" w:rsidRPr="00F35924" w:rsidRDefault="00F35924" w:rsidP="00F35924">
            <w:pPr>
              <w:pStyle w:val="ASymbol"/>
              <w:tabs>
                <w:tab w:val="clear" w:pos="1871"/>
                <w:tab w:val="clear" w:pos="2495"/>
                <w:tab w:val="clear" w:pos="2920"/>
                <w:tab w:val="clear" w:pos="3119"/>
                <w:tab w:val="clear" w:pos="3742"/>
                <w:tab w:val="clear" w:pos="4366"/>
                <w:tab w:val="clear" w:pos="4990"/>
              </w:tabs>
              <w:rPr>
                <w:lang w:val="ru-RU"/>
              </w:rPr>
            </w:pPr>
            <w:r w:rsidRPr="002A55D4">
              <w:rPr>
                <w:b/>
                <w:sz w:val="28"/>
              </w:rPr>
              <w:t>UNEP</w:t>
            </w:r>
            <w:r w:rsidRPr="002A55D4">
              <w:t>/OzL.Pro.38/</w:t>
            </w:r>
            <w:r>
              <w:rPr>
                <w:lang w:val="ru-RU"/>
              </w:rPr>
              <w:t>2</w:t>
            </w:r>
          </w:p>
        </w:tc>
      </w:tr>
    </w:tbl>
    <w:p w14:paraId="4B61A857" w14:textId="77777777" w:rsidR="00F35924" w:rsidRPr="002A55D4" w:rsidRDefault="00F35924" w:rsidP="00F35924">
      <w:pPr>
        <w:pStyle w:val="ASpacer"/>
        <w:tabs>
          <w:tab w:val="clear" w:pos="624"/>
          <w:tab w:val="clear" w:pos="1247"/>
          <w:tab w:val="clear" w:pos="1871"/>
          <w:tab w:val="clear" w:pos="2495"/>
          <w:tab w:val="clear" w:pos="3119"/>
          <w:tab w:val="clear" w:pos="3742"/>
          <w:tab w:val="clear" w:pos="4366"/>
          <w:tab w:val="clear" w:pos="4990"/>
        </w:tabs>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F35924" w:rsidRPr="002A55D4" w14:paraId="4F82811A" w14:textId="77777777" w:rsidTr="002F2B1B">
        <w:trPr>
          <w:trHeight w:val="2098"/>
        </w:trPr>
        <w:tc>
          <w:tcPr>
            <w:tcW w:w="5386" w:type="dxa"/>
          </w:tcPr>
          <w:p w14:paraId="7C83F0D6" w14:textId="77777777" w:rsidR="00F35924" w:rsidRPr="00F35924" w:rsidRDefault="00F35924" w:rsidP="00F35924">
            <w:pPr>
              <w:pStyle w:val="AConvName"/>
              <w:tabs>
                <w:tab w:val="clear" w:pos="624"/>
                <w:tab w:val="clear" w:pos="1247"/>
                <w:tab w:val="clear" w:pos="1871"/>
                <w:tab w:val="clear" w:pos="2495"/>
                <w:tab w:val="clear" w:pos="3119"/>
                <w:tab w:val="clear" w:pos="3742"/>
                <w:tab w:val="clear" w:pos="4366"/>
                <w:tab w:val="clear" w:pos="4990"/>
              </w:tabs>
              <w:spacing w:before="0"/>
              <w:rPr>
                <w:lang w:val="ru-RU"/>
              </w:rPr>
            </w:pPr>
            <w:r w:rsidRPr="00F35924">
              <w:rPr>
                <w:lang w:val="ru-RU"/>
              </w:rPr>
              <w:t xml:space="preserve">Монреальский протокол </w:t>
            </w:r>
            <w:r w:rsidRPr="00F35924">
              <w:rPr>
                <w:lang w:val="ru-RU"/>
              </w:rPr>
              <w:br/>
              <w:t xml:space="preserve">по веществам, разрушающим </w:t>
            </w:r>
            <w:r w:rsidRPr="00F35924">
              <w:rPr>
                <w:lang w:val="ru-RU"/>
              </w:rPr>
              <w:br/>
              <w:t>озоновый слой</w:t>
            </w:r>
          </w:p>
        </w:tc>
        <w:tc>
          <w:tcPr>
            <w:tcW w:w="992" w:type="dxa"/>
          </w:tcPr>
          <w:p w14:paraId="6CBB3CC6" w14:textId="77777777" w:rsidR="00F35924" w:rsidRPr="00F35924" w:rsidRDefault="00F35924" w:rsidP="00F35924">
            <w:pPr>
              <w:pStyle w:val="Normal-pool"/>
              <w:tabs>
                <w:tab w:val="clear" w:pos="624"/>
                <w:tab w:val="clear" w:pos="1247"/>
                <w:tab w:val="clear" w:pos="1871"/>
                <w:tab w:val="clear" w:pos="2495"/>
                <w:tab w:val="clear" w:pos="3119"/>
                <w:tab w:val="clear" w:pos="3742"/>
                <w:tab w:val="clear" w:pos="4366"/>
                <w:tab w:val="clear" w:pos="4990"/>
              </w:tabs>
              <w:rPr>
                <w:lang w:val="ru-RU"/>
              </w:rPr>
            </w:pPr>
          </w:p>
        </w:tc>
        <w:tc>
          <w:tcPr>
            <w:tcW w:w="3118" w:type="dxa"/>
          </w:tcPr>
          <w:p w14:paraId="66175BA8" w14:textId="0D8D0A8A" w:rsidR="00F35924" w:rsidRPr="008E4351" w:rsidRDefault="00F35924" w:rsidP="00F35924">
            <w:pPr>
              <w:pStyle w:val="AText"/>
              <w:tabs>
                <w:tab w:val="clear" w:pos="624"/>
                <w:tab w:val="clear" w:pos="1247"/>
                <w:tab w:val="clear" w:pos="1871"/>
                <w:tab w:val="clear" w:pos="2495"/>
                <w:tab w:val="clear" w:pos="3119"/>
                <w:tab w:val="clear" w:pos="3742"/>
                <w:tab w:val="clear" w:pos="4366"/>
                <w:tab w:val="clear" w:pos="4990"/>
              </w:tabs>
              <w:spacing w:before="0"/>
              <w:rPr>
                <w:lang w:val="en-US"/>
              </w:rPr>
            </w:pPr>
            <w:r w:rsidRPr="008E4351">
              <w:rPr>
                <w:lang w:val="en-US"/>
              </w:rPr>
              <w:t xml:space="preserve">Distr.: </w:t>
            </w:r>
            <w:r>
              <w:rPr>
                <w:lang w:val="en-US"/>
              </w:rPr>
              <w:t>General</w:t>
            </w:r>
            <w:r w:rsidRPr="008E4351">
              <w:rPr>
                <w:lang w:val="en-US"/>
              </w:rPr>
              <w:t xml:space="preserve"> </w:t>
            </w:r>
          </w:p>
          <w:p w14:paraId="2924333E" w14:textId="1CEDC414" w:rsidR="00F35924" w:rsidRPr="008E4351" w:rsidRDefault="00F35924" w:rsidP="00F35924">
            <w:pPr>
              <w:pStyle w:val="AText0"/>
              <w:tabs>
                <w:tab w:val="clear" w:pos="624"/>
                <w:tab w:val="clear" w:pos="1247"/>
                <w:tab w:val="clear" w:pos="1871"/>
                <w:tab w:val="clear" w:pos="2495"/>
                <w:tab w:val="clear" w:pos="3119"/>
                <w:tab w:val="clear" w:pos="3742"/>
                <w:tab w:val="clear" w:pos="4366"/>
              </w:tabs>
              <w:rPr>
                <w:lang w:val="en-US"/>
              </w:rPr>
            </w:pPr>
            <w:r>
              <w:rPr>
                <w:lang w:val="en-US"/>
              </w:rPr>
              <w:t>12 August 2026</w:t>
            </w:r>
          </w:p>
          <w:p w14:paraId="6CCEAAFC" w14:textId="77777777" w:rsidR="00F35924" w:rsidRPr="002A55D4" w:rsidRDefault="00F35924" w:rsidP="00F35924">
            <w:pPr>
              <w:pStyle w:val="AText"/>
              <w:tabs>
                <w:tab w:val="clear" w:pos="624"/>
                <w:tab w:val="clear" w:pos="1247"/>
                <w:tab w:val="clear" w:pos="1871"/>
                <w:tab w:val="clear" w:pos="2495"/>
                <w:tab w:val="clear" w:pos="3119"/>
                <w:tab w:val="clear" w:pos="3742"/>
                <w:tab w:val="clear" w:pos="4366"/>
                <w:tab w:val="clear" w:pos="4990"/>
              </w:tabs>
              <w:spacing w:before="0"/>
            </w:pPr>
            <w:r w:rsidRPr="002A55D4">
              <w:t xml:space="preserve">Russian </w:t>
            </w:r>
            <w:r w:rsidRPr="002A55D4">
              <w:br/>
              <w:t>Original: English</w:t>
            </w:r>
          </w:p>
        </w:tc>
      </w:tr>
    </w:tbl>
    <w:p w14:paraId="5C9FB083" w14:textId="77777777" w:rsidR="00F35924" w:rsidRPr="002A55D4" w:rsidRDefault="00F35924" w:rsidP="00F35924">
      <w:pPr>
        <w:pStyle w:val="ASpacer"/>
        <w:tabs>
          <w:tab w:val="clear" w:pos="624"/>
          <w:tab w:val="clear" w:pos="1247"/>
          <w:tab w:val="clear" w:pos="1871"/>
          <w:tab w:val="clear" w:pos="2495"/>
          <w:tab w:val="clear" w:pos="3119"/>
          <w:tab w:val="clear" w:pos="3742"/>
          <w:tab w:val="clear" w:pos="4366"/>
          <w:tab w:val="clear" w:pos="4990"/>
        </w:tabs>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F35924" w:rsidRPr="002A55D4" w14:paraId="1780955C" w14:textId="77777777" w:rsidTr="002F2B1B">
        <w:trPr>
          <w:trHeight w:val="57"/>
        </w:trPr>
        <w:tc>
          <w:tcPr>
            <w:tcW w:w="5301" w:type="dxa"/>
          </w:tcPr>
          <w:p w14:paraId="75438B45" w14:textId="77777777" w:rsidR="00F35924" w:rsidRPr="00F35924" w:rsidRDefault="00F35924" w:rsidP="00F35924">
            <w:pPr>
              <w:pStyle w:val="AATitle"/>
              <w:keepNext w:val="0"/>
              <w:keepLines w:val="0"/>
              <w:tabs>
                <w:tab w:val="clear" w:pos="624"/>
                <w:tab w:val="clear" w:pos="1247"/>
                <w:tab w:val="clear" w:pos="1871"/>
                <w:tab w:val="clear" w:pos="2495"/>
                <w:tab w:val="clear" w:pos="3119"/>
                <w:tab w:val="clear" w:pos="3742"/>
                <w:tab w:val="clear" w:pos="4366"/>
                <w:tab w:val="clear" w:pos="4990"/>
              </w:tabs>
              <w:rPr>
                <w:lang w:val="ru-RU"/>
              </w:rPr>
            </w:pPr>
            <w:r w:rsidRPr="00F35924">
              <w:rPr>
                <w:lang w:val="ru-RU"/>
              </w:rPr>
              <w:t xml:space="preserve">Тридцать восьмое Совещание Сторон </w:t>
            </w:r>
            <w:r w:rsidRPr="00F35924">
              <w:rPr>
                <w:lang w:val="ru-RU"/>
              </w:rPr>
              <w:br/>
              <w:t xml:space="preserve">Монреальского протокола по веществам, </w:t>
            </w:r>
            <w:r w:rsidRPr="00F35924">
              <w:rPr>
                <w:lang w:val="ru-RU"/>
              </w:rPr>
              <w:br/>
              <w:t xml:space="preserve">разрушающим озоновый слой </w:t>
            </w:r>
          </w:p>
          <w:p w14:paraId="79CA4ACB" w14:textId="588C6DBE" w:rsidR="00F35924" w:rsidRPr="00F35924" w:rsidRDefault="00F35924" w:rsidP="00F35924">
            <w:pPr>
              <w:pStyle w:val="AATitle1"/>
              <w:tabs>
                <w:tab w:val="clear" w:pos="624"/>
                <w:tab w:val="clear" w:pos="1247"/>
                <w:tab w:val="clear" w:pos="1871"/>
                <w:tab w:val="clear" w:pos="2495"/>
                <w:tab w:val="clear" w:pos="3119"/>
                <w:tab w:val="clear" w:pos="3742"/>
                <w:tab w:val="clear" w:pos="4366"/>
                <w:tab w:val="clear" w:pos="4990"/>
              </w:tabs>
              <w:rPr>
                <w:lang w:val="en-US"/>
              </w:rPr>
            </w:pPr>
            <w:r w:rsidRPr="00F35924">
              <w:rPr>
                <w:lang w:val="ru-RU"/>
              </w:rPr>
              <w:t xml:space="preserve">Кигали, 2–6 ноября 2026 года </w:t>
            </w:r>
          </w:p>
        </w:tc>
        <w:tc>
          <w:tcPr>
            <w:tcW w:w="4195" w:type="dxa"/>
          </w:tcPr>
          <w:p w14:paraId="60A43B37" w14:textId="77777777" w:rsidR="00F35924" w:rsidRPr="002A55D4" w:rsidRDefault="00F35924" w:rsidP="00F35924">
            <w:pPr>
              <w:pStyle w:val="Normal-pool"/>
              <w:tabs>
                <w:tab w:val="clear" w:pos="624"/>
                <w:tab w:val="clear" w:pos="1247"/>
                <w:tab w:val="clear" w:pos="1871"/>
                <w:tab w:val="clear" w:pos="2495"/>
                <w:tab w:val="clear" w:pos="3119"/>
                <w:tab w:val="clear" w:pos="3742"/>
                <w:tab w:val="clear" w:pos="4366"/>
                <w:tab w:val="clear" w:pos="4990"/>
              </w:tabs>
            </w:pPr>
          </w:p>
        </w:tc>
      </w:tr>
    </w:tbl>
    <w:p w14:paraId="7248CC44" w14:textId="77777777" w:rsidR="0041077E" w:rsidRPr="00D62886" w:rsidRDefault="0041077E" w:rsidP="00F35924">
      <w:pPr>
        <w:pStyle w:val="BBTitle"/>
        <w:keepNext w:val="0"/>
        <w:keepLines w:val="0"/>
        <w:tabs>
          <w:tab w:val="clear" w:pos="624"/>
          <w:tab w:val="clear" w:pos="1247"/>
          <w:tab w:val="clear" w:pos="1871"/>
          <w:tab w:val="clear" w:pos="2495"/>
          <w:tab w:val="clear" w:pos="3119"/>
          <w:tab w:val="clear" w:pos="3742"/>
          <w:tab w:val="clear" w:pos="4366"/>
          <w:tab w:val="clear" w:pos="4990"/>
        </w:tabs>
        <w:rPr>
          <w:lang w:val="ru-RU"/>
        </w:rPr>
      </w:pPr>
      <w:r>
        <w:rPr>
          <w:bCs/>
          <w:lang w:val="ru-RU"/>
        </w:rPr>
        <w:t>Вопросы для обсуждения и информация к сведению участников тридцать восьмого Совещания Сторон Монреальского протокола</w:t>
      </w:r>
    </w:p>
    <w:p w14:paraId="6DD143C3" w14:textId="431C604F" w:rsidR="0041077E" w:rsidRPr="007A6813" w:rsidRDefault="0041077E" w:rsidP="00F35924">
      <w:pPr>
        <w:pStyle w:val="CH2"/>
        <w:keepNext w:val="0"/>
        <w:keepLines w:val="0"/>
        <w:tabs>
          <w:tab w:val="clear" w:pos="851"/>
          <w:tab w:val="clear" w:pos="1247"/>
          <w:tab w:val="clear" w:pos="1871"/>
          <w:tab w:val="clear" w:pos="2495"/>
          <w:tab w:val="clear" w:pos="3119"/>
          <w:tab w:val="clear" w:pos="3742"/>
          <w:tab w:val="clear" w:pos="4366"/>
          <w:tab w:val="clear" w:pos="4990"/>
        </w:tabs>
        <w:spacing w:before="0"/>
        <w:ind w:left="2494"/>
      </w:pPr>
      <w:r>
        <w:rPr>
          <w:bCs/>
          <w:lang w:val="ru-RU"/>
        </w:rPr>
        <w:t>Записка секретариата</w:t>
      </w:r>
    </w:p>
    <w:p w14:paraId="102181CF" w14:textId="75411686" w:rsidR="0041077E" w:rsidRPr="007A6813" w:rsidRDefault="00F35924" w:rsidP="00F35924">
      <w:pPr>
        <w:pStyle w:val="CH1"/>
        <w:keepNext w:val="0"/>
        <w:keepLines w:val="0"/>
        <w:tabs>
          <w:tab w:val="clear" w:pos="1247"/>
          <w:tab w:val="clear" w:pos="1871"/>
          <w:tab w:val="clear" w:pos="2495"/>
          <w:tab w:val="clear" w:pos="3119"/>
          <w:tab w:val="clear" w:pos="3742"/>
          <w:tab w:val="clear" w:pos="4366"/>
          <w:tab w:val="clear" w:pos="4990"/>
        </w:tabs>
        <w:spacing w:before="0"/>
      </w:pPr>
      <w:r>
        <w:rPr>
          <w:bCs/>
          <w:lang w:val="en-US"/>
        </w:rPr>
        <w:tab/>
      </w:r>
      <w:r w:rsidR="0041077E">
        <w:rPr>
          <w:bCs/>
          <w:lang w:val="ru-RU"/>
        </w:rPr>
        <w:t>I.</w:t>
      </w:r>
      <w:r w:rsidR="0041077E">
        <w:rPr>
          <w:lang w:val="ru-RU"/>
        </w:rPr>
        <w:tab/>
      </w:r>
      <w:r w:rsidR="0041077E">
        <w:rPr>
          <w:bCs/>
          <w:lang w:val="ru-RU"/>
        </w:rPr>
        <w:t>Введение</w:t>
      </w:r>
    </w:p>
    <w:p w14:paraId="707DA050" w14:textId="3F3E9713"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В настоящей записке приводится обзор вопросов, включенных в предварительную повестку дня тридцать восьмого Совещания Сторон Монреальского протокола по веществам, разрушающим озоновый слой (UNEP/OzL.Pro.38/1), а также обновленная информация о ходе выполнения недавних решений Совещаний Сторон. В разделе II представлен обзор пунктов предварительной повестки дня подготовительного сегмента, в разделе III </w:t>
      </w:r>
      <w:r w:rsidR="00F35924" w:rsidRPr="00F35924">
        <w:rPr>
          <w:lang w:val="ru-RU"/>
        </w:rPr>
        <w:t>–</w:t>
      </w:r>
      <w:r>
        <w:rPr>
          <w:lang w:val="ru-RU"/>
        </w:rPr>
        <w:t xml:space="preserve"> обновленная информация о выполнении недавних решений Совещаний Сторон, а в разделе IV </w:t>
      </w:r>
      <w:r w:rsidR="00F35924" w:rsidRPr="00F35924">
        <w:rPr>
          <w:lang w:val="ru-RU"/>
        </w:rPr>
        <w:t>–</w:t>
      </w:r>
      <w:r>
        <w:rPr>
          <w:lang w:val="ru-RU"/>
        </w:rPr>
        <w:t xml:space="preserve"> обзор пунктов предварительной повестки дня сегмента высокого уровня. Для большинства пунктов приводится краткая справочная информация, особенно в отношении соответствующих обсуждений, состоявшихся в ходе сорок восьмого совещания Рабочей группы открытого состава Сторон Монреальского протокола, проходившего в Бангкоке с 13 по 17 июля 2026 года.</w:t>
      </w:r>
    </w:p>
    <w:p w14:paraId="1E7C0D28" w14:textId="7777777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Дополнительная информация в отношении отдельных пунктов предварительной повестки дня будет представлена в добавлении к настоящей записке, когда появится соответствующая дополнительная информация, а именно:</w:t>
      </w:r>
    </w:p>
    <w:p w14:paraId="1811872F" w14:textId="77777777" w:rsidR="0041077E" w:rsidRPr="00D62886" w:rsidRDefault="0041077E" w:rsidP="00F35924">
      <w:pPr>
        <w:pStyle w:val="Normalnumber"/>
        <w:numPr>
          <w:ilvl w:val="1"/>
          <w:numId w:val="1"/>
        </w:numPr>
        <w:tabs>
          <w:tab w:val="clear" w:pos="1247"/>
          <w:tab w:val="clear" w:pos="1814"/>
          <w:tab w:val="clear" w:pos="2381"/>
          <w:tab w:val="clear" w:pos="2495"/>
          <w:tab w:val="clear" w:pos="2948"/>
          <w:tab w:val="clear" w:pos="3515"/>
        </w:tabs>
        <w:ind w:left="1247" w:firstLine="624"/>
        <w:rPr>
          <w:lang w:val="ru-RU"/>
        </w:rPr>
      </w:pPr>
      <w:r>
        <w:rPr>
          <w:lang w:val="ru-RU"/>
        </w:rPr>
        <w:t>дополнительный доклад целевой группы по вопросу о пополнении Группы по техническому обзору и экономической оценке, подготовленный с учетом предложений о проведении дополнительного анализа, согласованных Рабочей группой открытого состава на ее сорок восьмом совещании;</w:t>
      </w:r>
    </w:p>
    <w:p w14:paraId="737BCCC5" w14:textId="4BF3D7AB" w:rsidR="0041077E" w:rsidRPr="00D62886" w:rsidRDefault="0041077E" w:rsidP="00F35924">
      <w:pPr>
        <w:pStyle w:val="Normalnumber"/>
        <w:numPr>
          <w:ilvl w:val="1"/>
          <w:numId w:val="1"/>
        </w:numPr>
        <w:tabs>
          <w:tab w:val="clear" w:pos="1247"/>
          <w:tab w:val="clear" w:pos="1814"/>
          <w:tab w:val="clear" w:pos="2381"/>
          <w:tab w:val="clear" w:pos="2495"/>
          <w:tab w:val="clear" w:pos="2948"/>
          <w:tab w:val="clear" w:pos="3515"/>
        </w:tabs>
        <w:ind w:left="1247" w:firstLine="624"/>
        <w:rPr>
          <w:lang w:val="ru-RU"/>
        </w:rPr>
      </w:pPr>
      <w:r>
        <w:rPr>
          <w:lang w:val="ru-RU"/>
        </w:rPr>
        <w:t xml:space="preserve">во исполнение пункта 4 решения XXXVII/1 </w:t>
      </w:r>
      <w:r w:rsidR="00F35924" w:rsidRPr="00F35924">
        <w:rPr>
          <w:lang w:val="ru-RU"/>
        </w:rPr>
        <w:t>–</w:t>
      </w:r>
      <w:r>
        <w:rPr>
          <w:lang w:val="ru-RU"/>
        </w:rPr>
        <w:t xml:space="preserve"> доклад секретариата о ходе работы и любых результатах деятельности, связанной с оценкой пригодности потенциальных мест для мониторинга региональных выбросов регулируемых веществ, а также о возможных дальнейших шагах по организации мониторинга в этих местах;</w:t>
      </w:r>
    </w:p>
    <w:p w14:paraId="6F6B9255" w14:textId="3F4D932B" w:rsidR="0041077E" w:rsidRPr="00D62886" w:rsidRDefault="0041077E" w:rsidP="00F35924">
      <w:pPr>
        <w:pStyle w:val="Normalnumber"/>
        <w:numPr>
          <w:ilvl w:val="1"/>
          <w:numId w:val="1"/>
        </w:numPr>
        <w:tabs>
          <w:tab w:val="clear" w:pos="1247"/>
          <w:tab w:val="clear" w:pos="1814"/>
          <w:tab w:val="clear" w:pos="2381"/>
          <w:tab w:val="clear" w:pos="2495"/>
          <w:tab w:val="clear" w:pos="2948"/>
          <w:tab w:val="clear" w:pos="3515"/>
        </w:tabs>
        <w:ind w:left="1247" w:firstLine="624"/>
        <w:rPr>
          <w:lang w:val="ru-RU"/>
        </w:rPr>
      </w:pPr>
      <w:r>
        <w:rPr>
          <w:lang w:val="ru-RU"/>
        </w:rPr>
        <w:t xml:space="preserve">во исполнение пункта 1 решения XXXVII/2 </w:t>
      </w:r>
      <w:r w:rsidR="00F35924" w:rsidRPr="00F35924">
        <w:rPr>
          <w:lang w:val="ru-RU"/>
        </w:rPr>
        <w:t>–</w:t>
      </w:r>
      <w:r>
        <w:rPr>
          <w:lang w:val="ru-RU"/>
        </w:rPr>
        <w:t xml:space="preserve"> доклады Группы по научной оценке и Группы по техническому обзору и экономической оценке о выбросах гидрофторуглерода-23 (ГФУ-23) с учетом информации, представленной Сторонами во исполнение решения XXXVI/3 и в соответствии с пунктом 2 решения XXXVII/2, о применяемых ими методологиях оценки выбросов ГФУ-23 при производстве ГХФУ-22 и представлени</w:t>
      </w:r>
      <w:r w:rsidR="00D62886">
        <w:rPr>
          <w:lang w:val="ru-RU"/>
        </w:rPr>
        <w:t>и</w:t>
      </w:r>
      <w:r>
        <w:rPr>
          <w:lang w:val="ru-RU"/>
        </w:rPr>
        <w:t xml:space="preserve"> сведений о таких выбросах;</w:t>
      </w:r>
    </w:p>
    <w:p w14:paraId="0CD9AEF5" w14:textId="753F0433" w:rsidR="0041077E" w:rsidRPr="00D62886" w:rsidRDefault="0041077E" w:rsidP="00F35924">
      <w:pPr>
        <w:pStyle w:val="Normalnumber"/>
        <w:numPr>
          <w:ilvl w:val="1"/>
          <w:numId w:val="1"/>
        </w:numPr>
        <w:tabs>
          <w:tab w:val="clear" w:pos="1247"/>
          <w:tab w:val="clear" w:pos="1814"/>
          <w:tab w:val="clear" w:pos="2381"/>
          <w:tab w:val="clear" w:pos="2495"/>
          <w:tab w:val="clear" w:pos="2948"/>
          <w:tab w:val="clear" w:pos="3515"/>
        </w:tabs>
        <w:ind w:left="1247" w:firstLine="624"/>
        <w:rPr>
          <w:lang w:val="ru-RU"/>
        </w:rPr>
      </w:pPr>
      <w:r>
        <w:rPr>
          <w:lang w:val="ru-RU"/>
        </w:rPr>
        <w:t xml:space="preserve">в ответ на просьбу Рабочей группы открытого состава, высказанную на ее сорок восьмом совещании, </w:t>
      </w:r>
      <w:r w:rsidR="00F35924" w:rsidRPr="00F35924">
        <w:rPr>
          <w:lang w:val="ru-RU"/>
        </w:rPr>
        <w:t>–</w:t>
      </w:r>
      <w:r>
        <w:rPr>
          <w:lang w:val="ru-RU"/>
        </w:rPr>
        <w:t xml:space="preserve"> информация о мерах, которые были приняты или принимаются в </w:t>
      </w:r>
      <w:r>
        <w:rPr>
          <w:lang w:val="ru-RU"/>
        </w:rPr>
        <w:lastRenderedPageBreak/>
        <w:t>настоящее время в связи с пунктами постановляющей части проектов решений, рассмотренных в рамках пункта о дальнейшем укреплении учреждений Монреальского протокола.</w:t>
      </w:r>
    </w:p>
    <w:p w14:paraId="1619AC06" w14:textId="6B23727C"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добавлении будут представлены краткие изложения докладов, указанных в пункте 2 выше, и другая соответствующая информация.</w:t>
      </w:r>
    </w:p>
    <w:p w14:paraId="71E90C70" w14:textId="5E563588" w:rsidR="0041077E" w:rsidRPr="00D62886" w:rsidRDefault="0041077E" w:rsidP="00223638">
      <w:pPr>
        <w:pStyle w:val="Normalnumber"/>
        <w:tabs>
          <w:tab w:val="clear" w:pos="624"/>
          <w:tab w:val="clear" w:pos="1247"/>
          <w:tab w:val="clear" w:pos="1814"/>
          <w:tab w:val="clear" w:pos="2381"/>
          <w:tab w:val="clear" w:pos="2948"/>
          <w:tab w:val="clear" w:pos="3515"/>
        </w:tabs>
        <w:spacing w:after="240"/>
        <w:ind w:left="1247"/>
        <w:rPr>
          <w:lang w:val="ru-RU"/>
        </w:rPr>
      </w:pPr>
      <w:r>
        <w:rPr>
          <w:szCs w:val="18"/>
          <w:lang w:val="ru-RU"/>
        </w:rPr>
        <w:t xml:space="preserve">Вопросы, которые не включены в предварительную повестку дня или не имеют прямого отношения к осуществлению решений и связанной с ними последующей деятельности, но могут по-прежнему представлять возможный интерес для Сторон, будут рассмотрены в информационной записке по вопросам, которые секретариат по озону желает довести до сведения Сторон (UNEP/OzL.Pro.38/INF/3). </w:t>
      </w:r>
      <w:bookmarkStart w:id="0" w:name="_Hlk113606343"/>
      <w:bookmarkEnd w:id="0"/>
    </w:p>
    <w:p w14:paraId="148F0F9D" w14:textId="72804F5F" w:rsidR="0041077E" w:rsidRPr="00D62886" w:rsidRDefault="00223638" w:rsidP="00F35924">
      <w:pPr>
        <w:pStyle w:val="CH1"/>
        <w:keepNext w:val="0"/>
        <w:keepLines w:val="0"/>
        <w:tabs>
          <w:tab w:val="clear" w:pos="1247"/>
          <w:tab w:val="clear" w:pos="1871"/>
          <w:tab w:val="clear" w:pos="2495"/>
          <w:tab w:val="clear" w:pos="3119"/>
          <w:tab w:val="clear" w:pos="3742"/>
          <w:tab w:val="clear" w:pos="4366"/>
          <w:tab w:val="clear" w:pos="4990"/>
        </w:tabs>
        <w:spacing w:before="0"/>
        <w:rPr>
          <w:lang w:val="ru-RU"/>
        </w:rPr>
      </w:pPr>
      <w:r w:rsidRPr="002722F7">
        <w:rPr>
          <w:bCs/>
          <w:lang w:val="ru-RU"/>
        </w:rPr>
        <w:tab/>
      </w:r>
      <w:r w:rsidR="0041077E">
        <w:rPr>
          <w:bCs/>
          <w:lang w:val="ru-RU"/>
        </w:rPr>
        <w:t>II.</w:t>
      </w:r>
      <w:r w:rsidR="0041077E">
        <w:rPr>
          <w:lang w:val="ru-RU"/>
        </w:rPr>
        <w:tab/>
      </w:r>
      <w:r w:rsidR="0041077E">
        <w:rPr>
          <w:bCs/>
          <w:lang w:val="ru-RU"/>
        </w:rPr>
        <w:t>Обзор пунктов предварительной повестки дня подготовительного сегмента (2–4 ноября 2026 года)</w:t>
      </w:r>
    </w:p>
    <w:p w14:paraId="4F56B54E" w14:textId="3F71ED3E" w:rsidR="0041077E" w:rsidRPr="00D62886" w:rsidRDefault="00223638" w:rsidP="00F35924">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2722F7">
        <w:rPr>
          <w:bCs/>
          <w:lang w:val="ru-RU"/>
        </w:rPr>
        <w:tab/>
      </w:r>
      <w:r w:rsidR="0041077E">
        <w:rPr>
          <w:bCs/>
          <w:lang w:val="ru-RU"/>
        </w:rPr>
        <w:t>A.</w:t>
      </w:r>
      <w:r w:rsidR="0041077E">
        <w:rPr>
          <w:lang w:val="ru-RU"/>
        </w:rPr>
        <w:tab/>
      </w:r>
      <w:r w:rsidR="0041077E">
        <w:rPr>
          <w:bCs/>
          <w:lang w:val="ru-RU"/>
        </w:rPr>
        <w:t>Открытие подготовительного сегмента (пункт 1 предварительной повестки дня подготовительного сегмента)</w:t>
      </w:r>
    </w:p>
    <w:p w14:paraId="4C763ED0" w14:textId="2B66786F"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Подготовительный сегмент совещания будет открыт в понедельник, 2 ноября 2026 года, в 10:00 в Конференц-центре Кигали. </w:t>
      </w:r>
    </w:p>
    <w:p w14:paraId="6F54845B" w14:textId="15271238"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Обязанности председателей подготовительного сегмента будут совместно исполнять сопредседатели Рабочей группы открытого состава Энни Габриэл (Австралия) и Игобе Мбулава (Ботсвана).</w:t>
      </w:r>
    </w:p>
    <w:p w14:paraId="18668C40" w14:textId="7777777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Поскольку совещание будет проходить почти полностью без использования бумажных документов, участникам настоятельно рекомендуется иметь при себе собственные переносные компьютеры и портативные устройства для получения доступа к документам совещаний и информации. </w:t>
      </w:r>
    </w:p>
    <w:p w14:paraId="311F2A06" w14:textId="7777777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С заявлением выступит Исполнительный секретарь секретариата по озону, представляющая также Программу Организации Объединенных Наций по окружающей среде (ЮНЕП). </w:t>
      </w:r>
    </w:p>
    <w:p w14:paraId="139BF98E" w14:textId="10A73593" w:rsidR="0041077E" w:rsidRPr="00D62886" w:rsidRDefault="00223638" w:rsidP="00F35924">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2722F7">
        <w:rPr>
          <w:bCs/>
          <w:lang w:val="ru-RU"/>
        </w:rPr>
        <w:tab/>
      </w:r>
      <w:r w:rsidR="0041077E">
        <w:rPr>
          <w:bCs/>
          <w:lang w:val="ru-RU"/>
        </w:rPr>
        <w:t>B.</w:t>
      </w:r>
      <w:r w:rsidR="0041077E">
        <w:rPr>
          <w:lang w:val="ru-RU"/>
        </w:rPr>
        <w:tab/>
      </w:r>
      <w:r w:rsidR="0041077E">
        <w:rPr>
          <w:bCs/>
          <w:lang w:val="ru-RU"/>
        </w:rPr>
        <w:t>Организационные вопросы (пункт 2 предварительной повестки дня подготовительного сегмента)</w:t>
      </w:r>
    </w:p>
    <w:p w14:paraId="61C17A1A" w14:textId="79BEF7E7" w:rsidR="0041077E" w:rsidRPr="00D62886" w:rsidRDefault="00223638" w:rsidP="00F35924">
      <w:pPr>
        <w:pStyle w:val="CH3"/>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2722F7">
        <w:rPr>
          <w:bCs/>
          <w:lang w:val="ru-RU"/>
        </w:rPr>
        <w:tab/>
      </w:r>
      <w:r w:rsidR="0041077E">
        <w:rPr>
          <w:bCs/>
          <w:lang w:val="ru-RU"/>
        </w:rPr>
        <w:t>1.</w:t>
      </w:r>
      <w:r w:rsidR="0041077E">
        <w:rPr>
          <w:lang w:val="ru-RU"/>
        </w:rPr>
        <w:tab/>
      </w:r>
      <w:r w:rsidR="0041077E">
        <w:rPr>
          <w:bCs/>
          <w:lang w:val="ru-RU"/>
        </w:rPr>
        <w:t>Утверждение повестки дня подготовительного сегмента (пункт 2 а) предварительной повестки дня подготовительного сегмента)</w:t>
      </w:r>
    </w:p>
    <w:p w14:paraId="56761627" w14:textId="2C50857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Предварительная повестка дня подготовительного сегмента изложена в разделе I документа UNEP/OzL.Pro.38/1 и будет предложена Сторонам для утверждения. Стороны могут утвердить повестку дня, в том числе любые вопросы, которые они могут пожелать обсудить в рамках пункта 15 «Прочие вопросы».</w:t>
      </w:r>
    </w:p>
    <w:p w14:paraId="0B3CC6CA" w14:textId="2E395F44" w:rsidR="0041077E" w:rsidRPr="00D62886" w:rsidRDefault="00223638" w:rsidP="00F35924">
      <w:pPr>
        <w:pStyle w:val="CH3"/>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2722F7">
        <w:rPr>
          <w:bCs/>
          <w:lang w:val="ru-RU"/>
        </w:rPr>
        <w:tab/>
      </w:r>
      <w:r w:rsidR="0041077E">
        <w:rPr>
          <w:bCs/>
          <w:lang w:val="ru-RU"/>
        </w:rPr>
        <w:t>2.</w:t>
      </w:r>
      <w:r w:rsidR="0041077E">
        <w:rPr>
          <w:lang w:val="ru-RU"/>
        </w:rPr>
        <w:tab/>
      </w:r>
      <w:r w:rsidR="0041077E">
        <w:rPr>
          <w:bCs/>
          <w:lang w:val="ru-RU"/>
        </w:rPr>
        <w:t>Организация работы (пункт 2 b) предварительной повестки дня подготовительного сегмента)</w:t>
      </w:r>
    </w:p>
    <w:p w14:paraId="35A2E716" w14:textId="19B68830"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соответствии с пунктом 2 b) сопредседатели подготовительного сегмента, как ожидается, представят Сторонам предложение относительно того, как они намерены организовать работу в отношении пунктов повестки дня.</w:t>
      </w:r>
    </w:p>
    <w:p w14:paraId="4587F735" w14:textId="6A088167" w:rsidR="0041077E" w:rsidRPr="00D62886" w:rsidRDefault="00223638" w:rsidP="00F35924">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2722F7">
        <w:rPr>
          <w:bCs/>
          <w:lang w:val="ru-RU"/>
        </w:rPr>
        <w:tab/>
      </w:r>
      <w:r w:rsidR="0041077E">
        <w:rPr>
          <w:bCs/>
          <w:lang w:val="ru-RU"/>
        </w:rPr>
        <w:t>C.</w:t>
      </w:r>
      <w:r w:rsidR="0041077E">
        <w:rPr>
          <w:lang w:val="ru-RU"/>
        </w:rPr>
        <w:tab/>
      </w:r>
      <w:r w:rsidR="0041077E">
        <w:rPr>
          <w:bCs/>
          <w:lang w:val="ru-RU"/>
        </w:rPr>
        <w:t>Административные вопросы (пункт 3 предварительной повестки дня подготовительного сегмента)</w:t>
      </w:r>
    </w:p>
    <w:p w14:paraId="0C237949" w14:textId="71F4B608" w:rsidR="0041077E" w:rsidRPr="00D62886" w:rsidRDefault="00223638" w:rsidP="00F35924">
      <w:pPr>
        <w:pStyle w:val="CH3"/>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2722F7">
        <w:rPr>
          <w:bCs/>
          <w:lang w:val="ru-RU"/>
        </w:rPr>
        <w:tab/>
      </w:r>
      <w:r w:rsidR="0041077E">
        <w:rPr>
          <w:bCs/>
          <w:lang w:val="ru-RU"/>
        </w:rPr>
        <w:t>1.</w:t>
      </w:r>
      <w:r w:rsidR="0041077E">
        <w:rPr>
          <w:lang w:val="ru-RU"/>
        </w:rPr>
        <w:tab/>
      </w:r>
      <w:r w:rsidR="0041077E">
        <w:rPr>
          <w:bCs/>
          <w:lang w:val="ru-RU"/>
        </w:rPr>
        <w:t>Бюджет Целевого фонда для Монреальского протокола и финансовые доклады (пункт</w:t>
      </w:r>
      <w:r w:rsidR="009B6007">
        <w:rPr>
          <w:bCs/>
          <w:lang w:val="ru-RU"/>
        </w:rPr>
        <w:t> </w:t>
      </w:r>
      <w:r w:rsidR="0041077E">
        <w:rPr>
          <w:bCs/>
          <w:lang w:val="ru-RU"/>
        </w:rPr>
        <w:t>3 а) предварительной повестки дня подготовительного сегмента)</w:t>
      </w:r>
      <w:bookmarkStart w:id="1" w:name="_Hlk205616426"/>
      <w:bookmarkEnd w:id="1"/>
    </w:p>
    <w:p w14:paraId="47F08E81" w14:textId="066869C6"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соответствии с решением XXXVII/23 о финансовых докладах и бюджетах для Монреальского протокола, предлагаемые бюджеты на 2027 и 2028 годы Целевого фонда для Монреальского протокола представлены в документе UNEP/OzL.Pro.38/4. В соответствии с пунктом 9 указанного решения представлены два бюджетных сценария на 2027 и 2028 годы, при этом бюджеты с нулевым номинальным увеличением определены исходя из утвержденного бюджета на 2026 год.</w:t>
      </w:r>
    </w:p>
    <w:p w14:paraId="7297D269" w14:textId="404C05BB" w:rsidR="0041077E" w:rsidRPr="007A6813" w:rsidRDefault="0041077E" w:rsidP="00F35924">
      <w:pPr>
        <w:pStyle w:val="Normalnumber"/>
        <w:tabs>
          <w:tab w:val="clear" w:pos="624"/>
          <w:tab w:val="clear" w:pos="1247"/>
          <w:tab w:val="clear" w:pos="1814"/>
          <w:tab w:val="clear" w:pos="2381"/>
          <w:tab w:val="clear" w:pos="2948"/>
          <w:tab w:val="clear" w:pos="3515"/>
        </w:tabs>
      </w:pPr>
      <w:r>
        <w:rPr>
          <w:lang w:val="ru-RU"/>
        </w:rPr>
        <w:t>Объемы рекомендуемых бюджетов на 2027 и 2028 годы превышают соответствующие сценарии с нулевым номинальным увеличением на 244 758 и 198 248 долл. США</w:t>
      </w:r>
      <w:r w:rsidR="00223638">
        <w:rPr>
          <w:lang w:val="en-US"/>
        </w:rPr>
        <w:t>,</w:t>
      </w:r>
      <w:r>
        <w:rPr>
          <w:lang w:val="ru-RU"/>
        </w:rPr>
        <w:t xml:space="preserve"> соответственно.</w:t>
      </w:r>
    </w:p>
    <w:p w14:paraId="45700765" w14:textId="6EAE919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lastRenderedPageBreak/>
        <w:t>В соответствии с пунктом 8 c) решения XXXVII/23 секретариат подготовил справки о предусмотренных мероприятиях по своим направлениям деятельности на 2027 год, используя формат, применяемый с 2019 года. Справки о предусмотренных мероприятиях имеются в документе UNEP/OzL.Pro.38/INF/1.</w:t>
      </w:r>
    </w:p>
    <w:p w14:paraId="75D89444" w14:textId="7777777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Доклад об исполнении бюджета за 2026 год по состоянию на 30 сентября 2026 года будет представлен в виде информационного документа (UNEP/OzL.Pro.38/INF/2) не позднее чем за две недели до начала совещания.</w:t>
      </w:r>
    </w:p>
    <w:p w14:paraId="10BCE819" w14:textId="3A1444B1"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Финансовые доклады целевых фондов для Венской конвенции об охране озонового слоя и для Монреальского протокола рассматриваются Сторонами ежегодно. Заверенные промежуточные финансовые ведомости и общие сведения из доклада об исполнении бюджета за 2025 год для двух целевых фондов приведены в документе UNEP/OzL.Pro.38/5. В этом документе также имеются заверенные промежуточные финансовые ведомости за 2025 год в отношении целевых взносов, поддерживающих работу секретариата. </w:t>
      </w:r>
    </w:p>
    <w:p w14:paraId="3A20B012" w14:textId="39FD181E"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Основная информация о целевых фондах для Венской конвенции и для Монреальского протокола включает в себя следующее: </w:t>
      </w:r>
    </w:p>
    <w:p w14:paraId="130F63BB" w14:textId="218EDBC7" w:rsidR="0041077E" w:rsidRPr="00D62886" w:rsidRDefault="0041077E" w:rsidP="00F35924">
      <w:pPr>
        <w:pStyle w:val="Normalnumber"/>
        <w:numPr>
          <w:ilvl w:val="1"/>
          <w:numId w:val="1"/>
        </w:numPr>
        <w:tabs>
          <w:tab w:val="clear" w:pos="1247"/>
          <w:tab w:val="clear" w:pos="1814"/>
          <w:tab w:val="clear" w:pos="2381"/>
          <w:tab w:val="clear" w:pos="2495"/>
          <w:tab w:val="clear" w:pos="2948"/>
          <w:tab w:val="clear" w:pos="3515"/>
        </w:tabs>
        <w:ind w:left="1247" w:firstLine="624"/>
        <w:rPr>
          <w:lang w:val="ru-RU"/>
        </w:rPr>
      </w:pPr>
      <w:r>
        <w:rPr>
          <w:lang w:val="ru-RU"/>
        </w:rPr>
        <w:t>в 2025 году показатели освоения средств бюджета составили 98 и 83 процентов</w:t>
      </w:r>
      <w:r w:rsidR="00C141B6">
        <w:rPr>
          <w:lang w:val="ru-RU"/>
        </w:rPr>
        <w:t>,</w:t>
      </w:r>
      <w:r w:rsidR="00D62886">
        <w:rPr>
          <w:lang w:val="ru-RU"/>
        </w:rPr>
        <w:t xml:space="preserve"> </w:t>
      </w:r>
      <w:r>
        <w:rPr>
          <w:lang w:val="ru-RU"/>
        </w:rPr>
        <w:t>соответственно;</w:t>
      </w:r>
    </w:p>
    <w:p w14:paraId="5071B175" w14:textId="02B7915F" w:rsidR="0041077E" w:rsidRPr="00D62886" w:rsidRDefault="0041077E" w:rsidP="00F35924">
      <w:pPr>
        <w:pStyle w:val="Normalnumber"/>
        <w:numPr>
          <w:ilvl w:val="1"/>
          <w:numId w:val="1"/>
        </w:numPr>
        <w:tabs>
          <w:tab w:val="clear" w:pos="1247"/>
          <w:tab w:val="clear" w:pos="1814"/>
          <w:tab w:val="clear" w:pos="2381"/>
          <w:tab w:val="clear" w:pos="2495"/>
          <w:tab w:val="clear" w:pos="2948"/>
          <w:tab w:val="clear" w:pos="3515"/>
        </w:tabs>
        <w:ind w:left="1247" w:firstLine="624"/>
        <w:rPr>
          <w:lang w:val="ru-RU"/>
        </w:rPr>
      </w:pPr>
      <w:r>
        <w:rPr>
          <w:lang w:val="ru-RU"/>
        </w:rPr>
        <w:t>резервы и остаток средств в сумме на конец 2025 года составили 2 204 312 долл. США для Целевого</w:t>
      </w:r>
      <w:r w:rsidR="00D62886">
        <w:rPr>
          <w:lang w:val="ru-RU"/>
        </w:rPr>
        <w:t xml:space="preserve"> фонда</w:t>
      </w:r>
      <w:r>
        <w:rPr>
          <w:lang w:val="ru-RU"/>
        </w:rPr>
        <w:t xml:space="preserve"> для Венской конвенции и 5 373 638 долл. США для Целевого фонда для Монреальского протокола, а остатки кассовых средств в этих фондах составили 1 994 252 и 4</w:t>
      </w:r>
      <w:r w:rsidR="00D62886">
        <w:rPr>
          <w:lang w:val="ru-RU"/>
        </w:rPr>
        <w:t> </w:t>
      </w:r>
      <w:r>
        <w:rPr>
          <w:lang w:val="ru-RU"/>
        </w:rPr>
        <w:t>693 435 долл. США</w:t>
      </w:r>
      <w:r w:rsidR="00676467">
        <w:rPr>
          <w:lang w:val="ru-RU"/>
        </w:rPr>
        <w:t>,</w:t>
      </w:r>
      <w:r>
        <w:rPr>
          <w:lang w:val="ru-RU"/>
        </w:rPr>
        <w:t xml:space="preserve"> соответственно;</w:t>
      </w:r>
    </w:p>
    <w:p w14:paraId="34B1BC02" w14:textId="20352455" w:rsidR="0041077E" w:rsidRPr="007A6813" w:rsidRDefault="0041077E" w:rsidP="00F35924">
      <w:pPr>
        <w:pStyle w:val="Normalnumber"/>
        <w:numPr>
          <w:ilvl w:val="1"/>
          <w:numId w:val="1"/>
        </w:numPr>
        <w:tabs>
          <w:tab w:val="clear" w:pos="1247"/>
          <w:tab w:val="clear" w:pos="1814"/>
          <w:tab w:val="clear" w:pos="2381"/>
          <w:tab w:val="clear" w:pos="2495"/>
          <w:tab w:val="clear" w:pos="2948"/>
          <w:tab w:val="clear" w:pos="3515"/>
        </w:tabs>
        <w:ind w:left="1247" w:firstLine="624"/>
      </w:pPr>
      <w:r>
        <w:rPr>
          <w:lang w:val="ru-RU"/>
        </w:rPr>
        <w:t>согласно прогнозам, остаток кассовых средств Целевого фонда для Монреальского протокола по состоянию на конец 2026 года составит 3 360 493 долл. США при норме поступления взносов на уровне 70 процентов, 3 631 124 долл. США при норме поступления взносов на уровне 75 процентов и 3 901 755 долл. США при норме поступления взносов на уровне 80 процентов.</w:t>
      </w:r>
    </w:p>
    <w:p w14:paraId="21865EC9" w14:textId="5E3407FC"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рамках пункта 3 a) предварительной повестки дня подготовительного сегмента Стороны, как ожидается, учредят бюджетный комитет для обсуждения проекта решения о бюджете и подготовки рекомендации о его утверждении, если это будет сочтено целесообразным, в ходе сегмента высокого уровня. Шаблон проекта решения по этому вопросу содержится в разделе IV документа UNEP/OzL.Pro.38/3 в виде проекта решения</w:t>
      </w:r>
      <w:r w:rsidR="00223638">
        <w:rPr>
          <w:lang w:val="en-US"/>
        </w:rPr>
        <w:t> </w:t>
      </w:r>
      <w:r>
        <w:rPr>
          <w:lang w:val="ru-RU"/>
        </w:rPr>
        <w:t xml:space="preserve">XXXVIII/[AAA]. </w:t>
      </w:r>
    </w:p>
    <w:p w14:paraId="3AEF187E" w14:textId="225CAB13" w:rsidR="0041077E" w:rsidRPr="00D62886" w:rsidRDefault="00223638" w:rsidP="00F35924">
      <w:pPr>
        <w:pStyle w:val="CH3"/>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2722F7">
        <w:rPr>
          <w:bCs/>
          <w:lang w:val="ru-RU"/>
        </w:rPr>
        <w:tab/>
      </w:r>
      <w:r w:rsidR="0041077E">
        <w:rPr>
          <w:bCs/>
          <w:lang w:val="ru-RU"/>
        </w:rPr>
        <w:t>2.</w:t>
      </w:r>
      <w:r w:rsidR="0041077E">
        <w:rPr>
          <w:lang w:val="ru-RU"/>
        </w:rPr>
        <w:tab/>
      </w:r>
      <w:r w:rsidR="0041077E">
        <w:rPr>
          <w:bCs/>
          <w:lang w:val="ru-RU"/>
        </w:rPr>
        <w:t>Рассмотрение вопроса о членском составе органов Монреальского протокола на 2027</w:t>
      </w:r>
      <w:r>
        <w:rPr>
          <w:bCs/>
          <w:lang w:val="en-US"/>
        </w:rPr>
        <w:t> </w:t>
      </w:r>
      <w:r w:rsidR="0041077E">
        <w:rPr>
          <w:bCs/>
          <w:lang w:val="ru-RU"/>
        </w:rPr>
        <w:t>год (пункт 3 b) предварительной повестки дня подготовительного сегмента)</w:t>
      </w:r>
      <w:bookmarkStart w:id="2" w:name="_Hlk204346571"/>
    </w:p>
    <w:bookmarkEnd w:id="2"/>
    <w:p w14:paraId="018B5A97" w14:textId="581BB365" w:rsidR="0041077E" w:rsidRPr="00D62886" w:rsidRDefault="00223638" w:rsidP="00F35924">
      <w:pPr>
        <w:pStyle w:val="CH4"/>
        <w:keepNext w:val="0"/>
        <w:keepLines w:val="0"/>
        <w:tabs>
          <w:tab w:val="clear" w:pos="1247"/>
          <w:tab w:val="clear" w:pos="1871"/>
          <w:tab w:val="clear" w:pos="2495"/>
          <w:tab w:val="clear" w:pos="3119"/>
          <w:tab w:val="clear" w:pos="3742"/>
          <w:tab w:val="clear" w:pos="4366"/>
          <w:tab w:val="clear" w:pos="4990"/>
        </w:tabs>
        <w:spacing w:before="0"/>
        <w:rPr>
          <w:lang w:val="ru-RU"/>
        </w:rPr>
      </w:pPr>
      <w:r w:rsidRPr="002722F7">
        <w:rPr>
          <w:bCs/>
          <w:lang w:val="ru-RU"/>
        </w:rPr>
        <w:tab/>
      </w:r>
      <w:r w:rsidR="0041077E">
        <w:rPr>
          <w:bCs/>
          <w:lang w:val="ru-RU"/>
        </w:rPr>
        <w:t>a)</w:t>
      </w:r>
      <w:r w:rsidR="0041077E">
        <w:rPr>
          <w:lang w:val="ru-RU"/>
        </w:rPr>
        <w:tab/>
      </w:r>
      <w:r w:rsidR="0041077E">
        <w:rPr>
          <w:bCs/>
          <w:lang w:val="ru-RU"/>
        </w:rPr>
        <w:t>Членский состав Комитета по выполнению в рамках процедуры, касающейся несоблюдения Монреальского протокола (пункт 3 b) i) предварительной повестки дня подготовительного сегмента)</w:t>
      </w:r>
    </w:p>
    <w:p w14:paraId="5A1F0AE7" w14:textId="0C7BE2AE"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Совещание Сторон ежегодно рассматривает вопрос о членском составе Комитета по выполнению в рамках процедуры, касающейся несоблюдения Монреальского протокола. В соответствии с принятой на четвертом Совещании Сторон процедурой, касающейся несоблюдения, и с учетом изменений, внесенных на десятом Совещании Сторон, в состав Комитета входят 10 Сторон, каждая из которых выбирает представляющее ее лицо. Эти Стороны избираются сроком на два года на основе справедливого географического распределения </w:t>
      </w:r>
      <w:r w:rsidR="00A938C8">
        <w:rPr>
          <w:lang w:val="ru-RU"/>
        </w:rPr>
        <w:t>–</w:t>
      </w:r>
      <w:r>
        <w:rPr>
          <w:lang w:val="ru-RU"/>
        </w:rPr>
        <w:t xml:space="preserve"> по две Стороны от каждой из региональных групп: государства Африки, государства Азии и Тихого океана, государства Восточной Европы, государства Латинской Америки и Карибского бассейна и государства Западной Европы и другие государства. Члены Комитета могут исполнять свои обязанности два двухгодичных срока подряд. Сторона, завершившая второй подряд двухгодичный срок в качестве члена Комитета, имеет право на переизбрание только после отсутствия в составе Комитета в течение одного года.</w:t>
      </w:r>
    </w:p>
    <w:p w14:paraId="73F214A9" w14:textId="60243F3E"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Из числа действующих членов Комитета по выполнению Азербайджан, Ливан, Норвегия и Эквадор в 2026 году завершат первый год своего первого двухгодичного срока, а Кения </w:t>
      </w:r>
      <w:r w:rsidR="00DE7116">
        <w:rPr>
          <w:lang w:val="ru-RU"/>
        </w:rPr>
        <w:t>–</w:t>
      </w:r>
      <w:r>
        <w:rPr>
          <w:lang w:val="ru-RU"/>
        </w:rPr>
        <w:t xml:space="preserve"> первый год своего второго двухгодичного срока; таким образом, эти Стороны останутся в составе Комитета в 2027 году. Бенин, Доминиканская Республика, Саудовская Аравия и Черногория в 2026 году завершат второй год своего первого двухгодичного срока и поэтому должны быть заменены или переизбраны. В 2026 году Королевство Нидерландов завершит второй год своего второго двухгодичного срока, в связи с чем его необходимо будет заменить.</w:t>
      </w:r>
    </w:p>
    <w:p w14:paraId="290F8D69" w14:textId="1C004054"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lastRenderedPageBreak/>
        <w:t>Согласно решению XII/13 Комитет по выполнению избирает своих Председателя и заместителя Председателя из числа своих членов посредством консультаций между членами Комитета в ходе Совещания Сторон для обеспечения непрерывности выполнения функций этих двух должностных лиц.</w:t>
      </w:r>
    </w:p>
    <w:p w14:paraId="54B0ABEB" w14:textId="0AEB76EA"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ходе подготовительного сегмента Стороны могут пожелать провести между собой консультации с целью выдвижения кандидатур новых членов Комитета по выполнению. Шаблон проекта решения по этому вопросу содержится в разделе IV документа UNEP/OzL.Pro.38/3 в виде проекта решения XXXVIII/[DDD]. Секретариат включит названия Сторон-кандидатов в проект решения для рассмотрения и возможного принятия с любыми поправками, которые Стороны могут счесть целесообразными, в ходе сегмента высокого уровня.</w:t>
      </w:r>
    </w:p>
    <w:p w14:paraId="18C027BF" w14:textId="39BE0C13" w:rsidR="0041077E" w:rsidRPr="00D62886" w:rsidRDefault="00223638" w:rsidP="00F35924">
      <w:pPr>
        <w:pStyle w:val="CH4"/>
        <w:keepNext w:val="0"/>
        <w:keepLines w:val="0"/>
        <w:tabs>
          <w:tab w:val="clear" w:pos="1247"/>
          <w:tab w:val="clear" w:pos="1871"/>
          <w:tab w:val="clear" w:pos="2495"/>
          <w:tab w:val="clear" w:pos="3119"/>
          <w:tab w:val="clear" w:pos="3742"/>
          <w:tab w:val="clear" w:pos="4366"/>
          <w:tab w:val="clear" w:pos="4990"/>
        </w:tabs>
        <w:spacing w:before="0"/>
        <w:rPr>
          <w:lang w:val="ru-RU"/>
        </w:rPr>
      </w:pPr>
      <w:r w:rsidRPr="002722F7">
        <w:rPr>
          <w:bCs/>
          <w:lang w:val="ru-RU"/>
        </w:rPr>
        <w:tab/>
      </w:r>
      <w:r w:rsidR="0041077E">
        <w:rPr>
          <w:bCs/>
          <w:lang w:val="ru-RU"/>
        </w:rPr>
        <w:t>b)</w:t>
      </w:r>
      <w:r w:rsidR="0041077E">
        <w:rPr>
          <w:lang w:val="ru-RU"/>
        </w:rPr>
        <w:tab/>
      </w:r>
      <w:r w:rsidR="0041077E">
        <w:rPr>
          <w:bCs/>
          <w:lang w:val="ru-RU"/>
        </w:rPr>
        <w:t>Членский состав Исполнительного комитета Многостороннего фонда для осуществления Монреальского протокола (пункт 3 b) ii) предварительной повестки дня подготовительного сегмента)</w:t>
      </w:r>
    </w:p>
    <w:p w14:paraId="1EC187E8" w14:textId="3CB5C46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На тридцать восьмом Совещании Сторон будет рассмотрен вопрос о членском составе Исполнительного комитета Многостороннего фонда для осуществления Монреальского протокола. В соответствии с кругом ведения Исполнительного комитета он состоит из семи членов от Сторон, действующих в рамках пункта 1 статьи 5 Монреальского протокола (Стороны, действующие в рамках статьи 5), и семи членов от Сторон, не действующих в рамках этой статьи (Стороны, не действующие в рамках статьи 5). В 2027 году семь членов от Сторон, действующих в рамках статьи 5, как ожидается, будут избраны от региональных групп следующим образом: два члена от государств Африки, два члена от государств Азии и Тихого океана, два члена от государств Латинской Америки и Карибского бассейна и один член на место, переходящее от одного региона к другому, включая регион Восточной Европы и Центральной Азии (решение XVI/38). В 2027 году место, которое переходит от одного региона к другому, будет занимать представитель государств Африки.</w:t>
      </w:r>
    </w:p>
    <w:p w14:paraId="018787A2" w14:textId="2415E5A0"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Каждая из этих двух групп Сторон избирает своих членов Исполнительного комитета и сообщает их имена и фамилии секретариату для утверждения Совещанием Сторон. Кроме того, кругом ведения Комитета предусматривается избрание из числа членов Комитета Председателя и заместителя Председателя, представляющих поочередно каждый год Стороны, действующие в рамках статьи 5, и Стороны, не действующие в рамках статьи 5. Поскольку представители Лесото и Австралии выполняли функции Председателя и заместителя Председателя</w:t>
      </w:r>
      <w:r w:rsidR="002B7591">
        <w:rPr>
          <w:lang w:val="ru-RU"/>
        </w:rPr>
        <w:t>,</w:t>
      </w:r>
      <w:r w:rsidR="00D62886">
        <w:rPr>
          <w:lang w:val="ru-RU"/>
        </w:rPr>
        <w:t xml:space="preserve"> </w:t>
      </w:r>
      <w:r>
        <w:rPr>
          <w:lang w:val="ru-RU"/>
        </w:rPr>
        <w:t>соответственно</w:t>
      </w:r>
      <w:r w:rsidR="002B7591">
        <w:rPr>
          <w:lang w:val="ru-RU"/>
        </w:rPr>
        <w:t>,</w:t>
      </w:r>
      <w:r>
        <w:rPr>
          <w:lang w:val="ru-RU"/>
        </w:rPr>
        <w:t xml:space="preserve"> в течение 2026 года, на 2027 год Стороны, не действующие в рамках статьи 5, должны будут выдвинуть кандидатуру Председателя, а Стороны, действующие в рамках статьи</w:t>
      </w:r>
      <w:r w:rsidR="00223638">
        <w:rPr>
          <w:lang w:val="en-US"/>
        </w:rPr>
        <w:t> </w:t>
      </w:r>
      <w:r>
        <w:rPr>
          <w:lang w:val="ru-RU"/>
        </w:rPr>
        <w:t>5, – кандидатуру заместителя Председателя.</w:t>
      </w:r>
    </w:p>
    <w:p w14:paraId="476AF5BE" w14:textId="2080D0CC"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Тридцать восьмое Совещание Сторон, как ожидается, примет решение, в котором оно поддержит выбор новых членов Комитета и примет к сведению выбор Председателя и заместителя Председателя Комитета на 2027 год. Шаблон проекта решения по этому вопросу содержится в разделе IV документа UNEP/OzL.Pro.38/3 в виде проекта решения</w:t>
      </w:r>
      <w:r w:rsidR="00223638">
        <w:rPr>
          <w:lang w:val="en-US"/>
        </w:rPr>
        <w:t> </w:t>
      </w:r>
      <w:r>
        <w:rPr>
          <w:lang w:val="ru-RU"/>
        </w:rPr>
        <w:t>XXXVIII/[EEE].</w:t>
      </w:r>
    </w:p>
    <w:p w14:paraId="6D625416" w14:textId="3A18EC36"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ходе подготовительного сегмента Стороны могут пожелать провести между собой консультации и рассмотреть новый состав Исполнительного комитета. Секретариат включит кандидатуры Сторон в проект решения для рассмотрения и возможного принятия с любыми поправками, которые Стороны могут счесть целесообразными, в ходе сегмента высокого уровня.</w:t>
      </w:r>
    </w:p>
    <w:p w14:paraId="7040C208" w14:textId="08D6E540" w:rsidR="0041077E" w:rsidRPr="00D62886" w:rsidRDefault="00223638" w:rsidP="00F35924">
      <w:pPr>
        <w:pStyle w:val="CH4"/>
        <w:keepNext w:val="0"/>
        <w:keepLines w:val="0"/>
        <w:tabs>
          <w:tab w:val="clear" w:pos="1247"/>
          <w:tab w:val="clear" w:pos="1871"/>
          <w:tab w:val="clear" w:pos="2495"/>
          <w:tab w:val="clear" w:pos="3119"/>
          <w:tab w:val="clear" w:pos="3742"/>
          <w:tab w:val="clear" w:pos="4366"/>
          <w:tab w:val="clear" w:pos="4990"/>
        </w:tabs>
        <w:spacing w:before="0"/>
        <w:rPr>
          <w:lang w:val="ru-RU"/>
        </w:rPr>
      </w:pPr>
      <w:r w:rsidRPr="002722F7">
        <w:rPr>
          <w:bCs/>
          <w:lang w:val="ru-RU"/>
        </w:rPr>
        <w:tab/>
      </w:r>
      <w:r w:rsidR="0041077E">
        <w:rPr>
          <w:bCs/>
          <w:lang w:val="ru-RU"/>
        </w:rPr>
        <w:t>c)</w:t>
      </w:r>
      <w:r w:rsidR="0041077E">
        <w:rPr>
          <w:lang w:val="ru-RU"/>
        </w:rPr>
        <w:tab/>
      </w:r>
      <w:r w:rsidR="0041077E">
        <w:rPr>
          <w:bCs/>
          <w:lang w:val="ru-RU"/>
        </w:rPr>
        <w:t>Сопредседатели Рабочей группы открытого состава (пункт 3 b) iii) предварительной повестки дня подготовительного сегмента)</w:t>
      </w:r>
    </w:p>
    <w:p w14:paraId="7F60986D" w14:textId="329870CC"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Совещанием Сторон ежегодно избирается один представитель из числа Сторон, действующих в рамках статьи 5, и один представитель из числа Сторон, не действующих в рамках статьи 5, для выполнения функций сопредседателей Рабочей группы открытого состава в течение последующего года. В решении XXXVII/20 тридцать седьмое Совещание Сторон одобрило избрание Энни Габриэл (Австралия) и Лейлы Акелло Гонасы (Уганда) сопредседателями Рабочей группы на 2026 год. Поскольку г-жа Акелло не смогла принять участие в сорок восьмом совещании Рабочей группы из-за ограничений на поездки, Рабочая группа избрала Игобе Мбулаву (Ботсвана) на должность сопредседателя. Ожидается, что тридцать восьмое Совещание Сторон примет решение, в котором поддержит избрание сопредседателей Рабочей группы на 2027 год. Шаблон проекта решения по этому вопросу </w:t>
      </w:r>
      <w:r>
        <w:rPr>
          <w:lang w:val="ru-RU"/>
        </w:rPr>
        <w:lastRenderedPageBreak/>
        <w:t>содержится в разделе IV документа UNEP/OzL.Pro.38/3 в виде проекта решения</w:t>
      </w:r>
      <w:r w:rsidR="00223638">
        <w:rPr>
          <w:lang w:val="en-US"/>
        </w:rPr>
        <w:t> </w:t>
      </w:r>
      <w:r>
        <w:rPr>
          <w:lang w:val="ru-RU"/>
        </w:rPr>
        <w:t>XXXVIII/[FFF].</w:t>
      </w:r>
    </w:p>
    <w:p w14:paraId="37C4809D" w14:textId="4D506AC8"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Стороны могут пожелать провести необходимые консультации в ходе подготовительного сегмента и назначить двух лиц сопредседателями Рабочей группы открытого состава в 2027 году. Секретариат включит имена и фамилии назначенных кандидатов в проект решения для рассмотрения и возможного принятия в ходе сегмента высокого уровня.</w:t>
      </w:r>
    </w:p>
    <w:p w14:paraId="0886D9FC" w14:textId="1D2C11E9" w:rsidR="0041077E" w:rsidRPr="00D62886" w:rsidRDefault="00223638" w:rsidP="00F35924">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2722F7">
        <w:rPr>
          <w:bCs/>
          <w:lang w:val="ru-RU"/>
        </w:rPr>
        <w:tab/>
      </w:r>
      <w:r w:rsidR="0041077E">
        <w:rPr>
          <w:bCs/>
          <w:lang w:val="ru-RU"/>
        </w:rPr>
        <w:t>D.</w:t>
      </w:r>
      <w:r w:rsidR="0041077E">
        <w:rPr>
          <w:lang w:val="ru-RU"/>
        </w:rPr>
        <w:tab/>
      </w:r>
      <w:r w:rsidR="0041077E">
        <w:rPr>
          <w:bCs/>
          <w:lang w:val="ru-RU"/>
        </w:rPr>
        <w:t>Пополнение Многостороннего фонда для осуществления Монреальского протокола на трехгодичный период 2027–2029 годов (пункт 4 предварительной повестки дня подготовительного сегмента)</w:t>
      </w:r>
    </w:p>
    <w:p w14:paraId="38654EF2" w14:textId="3EB7DC47" w:rsidR="0041077E" w:rsidRPr="00D62886" w:rsidRDefault="00223638" w:rsidP="00F35924">
      <w:pPr>
        <w:tabs>
          <w:tab w:val="clear" w:pos="1247"/>
          <w:tab w:val="clear" w:pos="1814"/>
          <w:tab w:val="clear" w:pos="2381"/>
          <w:tab w:val="clear" w:pos="2948"/>
          <w:tab w:val="clear" w:pos="3515"/>
          <w:tab w:val="right" w:pos="851"/>
        </w:tabs>
        <w:suppressAutoHyphens/>
        <w:spacing w:after="120"/>
        <w:ind w:left="1247" w:right="284" w:hanging="1247"/>
        <w:rPr>
          <w:b/>
          <w:lang w:val="ru-RU"/>
        </w:rPr>
      </w:pPr>
      <w:r w:rsidRPr="002722F7">
        <w:rPr>
          <w:b/>
          <w:bCs/>
          <w:lang w:val="ru-RU"/>
        </w:rPr>
        <w:tab/>
      </w:r>
      <w:r w:rsidR="0041077E">
        <w:rPr>
          <w:b/>
          <w:bCs/>
          <w:lang w:val="ru-RU"/>
        </w:rPr>
        <w:t>1.</w:t>
      </w:r>
      <w:r w:rsidR="0041077E">
        <w:rPr>
          <w:lang w:val="ru-RU"/>
        </w:rPr>
        <w:tab/>
      </w:r>
      <w:r w:rsidR="0041077E">
        <w:rPr>
          <w:b/>
          <w:bCs/>
          <w:lang w:val="ru-RU"/>
        </w:rPr>
        <w:t>Дополнительный доклад целевой группы по вопросу о пополнении Группы по техническому обзору и экономической оценке (пункт 4 a) предварительной повестки дня подготовительного сегмента)</w:t>
      </w:r>
    </w:p>
    <w:p w14:paraId="21926ECF" w14:textId="0932CCE6"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соответствии с решением XXXVII/6, Группа по техническому обзору и экономической оценке провела исследование для оценки потребностей в средствах для пополнения Многостороннего фонда на период 2027–2029 годов и представила доклад Рабочей группе открытого состава на ее сорок восьмом совещании. Доклад целевой группы по вопросу о пополнении Группы по техническому обзору и экономической оценке был выпущен в виде тома 2 доклада ГТОЭО (2026 год), а его краткое изложение было включено в добавление к записке секретариата о вопросах для обсуждения Рабочей группой на ее сорок восьмом совещании и информации для ее сведения (UNEP/OzL.Pro.WG.1/48/2/Add.1). В таблице 1 приведен диапазон общих сметных потребностей в финансировании для пополнения Многостороннего фонда на трехгодичный период 2027–2029 годов, как указано в докладе целевой группы.</w:t>
      </w:r>
    </w:p>
    <w:p w14:paraId="09B1CD53" w14:textId="105B4382"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После сообщения целевой группы Группы и обсуждения, состоявшегося на пленарном заседании, кратко изложенного в докладе о работе сорок восьмого совещания Рабочей группы открытого состава (UNEP/OzL.Pro.WG.1/48/5, пункты 45–60), Рабочая группа постановила учредить контактную группу под совместным председательством Мирузы Мохамед (Мальдивские Острова) и Ральфа Брискорна (Королевство Нидерландов), с тем чтобы Стороны могли запросить у Группы дополнительные разъяснения и разработать дополнительные руководящие указания для целевой группы в целях подготовки ее дополнительного доклада о потребностях в финансировании для пополнения Многостороннего фонда на период 2027</w:t>
      </w:r>
      <w:r w:rsidR="00223638" w:rsidRPr="00223638">
        <w:rPr>
          <w:lang w:val="ru-RU"/>
        </w:rPr>
        <w:noBreakHyphen/>
      </w:r>
      <w:r>
        <w:rPr>
          <w:lang w:val="ru-RU"/>
        </w:rPr>
        <w:t>2029</w:t>
      </w:r>
      <w:r w:rsidR="00223638">
        <w:rPr>
          <w:lang w:val="en-US"/>
        </w:rPr>
        <w:t> </w:t>
      </w:r>
      <w:r>
        <w:rPr>
          <w:lang w:val="ru-RU"/>
        </w:rPr>
        <w:t>годов.</w:t>
      </w:r>
    </w:p>
    <w:p w14:paraId="051E9FA1" w14:textId="353F91F3"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Впоследствии сопредседатель контактной группы представил информацию о работе контактной группы, сообщив, что группе удалось достичь согласия в отношении предложений о проведении дополнительного анализа в рамках дополнительного доклада по вопросу о пополнении. Рабочая группа открытого состава постановила, что текст этих предложений будет использован целевой группой Группы по вопросу о пополнении при подготовке дополнительного доклада для рассмотрения тридцать восьмым Совещанием Сторон. Согласованный перечень предложений приводится в приложении I к настоящей записке без официального редактирования на английском языке.</w:t>
      </w:r>
    </w:p>
    <w:p w14:paraId="02DE98FE" w14:textId="6B18E78B"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После завершения подготовки дополнительного доклада целевой группы секретариат опубликует его на портале совещания и включит краткое изложение доклада в добавление к настоящей записке. В качестве справочного документа Сторонам предлагается первоначальный доклад целевой группы</w:t>
      </w:r>
      <w:r w:rsidRPr="007A6813">
        <w:rPr>
          <w:vertAlign w:val="superscript"/>
          <w:lang w:val="ru-RU"/>
        </w:rPr>
        <w:footnoteReference w:id="2"/>
      </w:r>
      <w:r>
        <w:rPr>
          <w:lang w:val="ru-RU"/>
        </w:rPr>
        <w:t>. Кроме того, секретариат подготовил для рассмотрения Сторонами шаблон решения о пополнении Многостороннего фонда в 2027–2029 годах (UNEP/OzL.Pro.38/3, раздел IV, проект решения XXXVIII/[BBB]).</w:t>
      </w:r>
    </w:p>
    <w:p w14:paraId="309FEFE9" w14:textId="549EBF08" w:rsidR="0041077E" w:rsidRPr="00D62886" w:rsidRDefault="0041077E" w:rsidP="0085667D">
      <w:pPr>
        <w:pStyle w:val="Titletable"/>
        <w:tabs>
          <w:tab w:val="clear" w:pos="624"/>
          <w:tab w:val="clear" w:pos="1247"/>
          <w:tab w:val="clear" w:pos="1871"/>
          <w:tab w:val="clear" w:pos="2495"/>
          <w:tab w:val="clear" w:pos="3119"/>
          <w:tab w:val="clear" w:pos="3742"/>
          <w:tab w:val="clear" w:pos="4366"/>
          <w:tab w:val="clear" w:pos="4990"/>
        </w:tabs>
        <w:rPr>
          <w:lang w:val="ru-RU"/>
        </w:rPr>
      </w:pPr>
      <w:r w:rsidRPr="00DD571F">
        <w:rPr>
          <w:b w:val="0"/>
          <w:bCs w:val="0"/>
          <w:lang w:val="ru-RU"/>
        </w:rPr>
        <w:lastRenderedPageBreak/>
        <w:t>Таблица 1</w:t>
      </w:r>
      <w:r>
        <w:rPr>
          <w:lang w:val="ru-RU"/>
        </w:rPr>
        <w:t xml:space="preserve"> </w:t>
      </w:r>
      <w:r w:rsidR="00DD571F">
        <w:rPr>
          <w:lang w:val="ru-RU"/>
        </w:rPr>
        <w:br/>
      </w:r>
      <w:r>
        <w:rPr>
          <w:lang w:val="ru-RU"/>
        </w:rPr>
        <w:t xml:space="preserve">Расчетные общие потребности в финансировании для пополнения Многостороннего фонда на трехгодичный период 2027–2029 годов: нижний и верхний диапазоны </w:t>
      </w:r>
    </w:p>
    <w:p w14:paraId="02C39ADD" w14:textId="77777777" w:rsidR="0041077E" w:rsidRPr="00223638" w:rsidRDefault="0041077E" w:rsidP="0085667D">
      <w:pPr>
        <w:pStyle w:val="Titletable"/>
        <w:tabs>
          <w:tab w:val="clear" w:pos="624"/>
          <w:tab w:val="clear" w:pos="1247"/>
          <w:tab w:val="clear" w:pos="1871"/>
          <w:tab w:val="clear" w:pos="2495"/>
          <w:tab w:val="clear" w:pos="3119"/>
          <w:tab w:val="clear" w:pos="3742"/>
          <w:tab w:val="clear" w:pos="4366"/>
          <w:tab w:val="clear" w:pos="4990"/>
        </w:tabs>
        <w:rPr>
          <w:b w:val="0"/>
          <w:bCs w:val="0"/>
          <w:sz w:val="18"/>
          <w:szCs w:val="18"/>
        </w:rPr>
      </w:pPr>
      <w:r w:rsidRPr="00223638">
        <w:rPr>
          <w:b w:val="0"/>
          <w:bCs w:val="0"/>
          <w:sz w:val="18"/>
          <w:szCs w:val="18"/>
          <w:lang w:val="ru-RU"/>
        </w:rPr>
        <w:t>(млн долл. США)</w:t>
      </w:r>
    </w:p>
    <w:tbl>
      <w:tblPr>
        <w:tblW w:w="8307" w:type="dxa"/>
        <w:jc w:val="right"/>
        <w:tblLayout w:type="fixed"/>
        <w:tblCellMar>
          <w:left w:w="0" w:type="dxa"/>
          <w:right w:w="0" w:type="dxa"/>
        </w:tblCellMar>
        <w:tblLook w:val="04A0" w:firstRow="1" w:lastRow="0" w:firstColumn="1" w:lastColumn="0" w:noHBand="0" w:noVBand="1"/>
      </w:tblPr>
      <w:tblGrid>
        <w:gridCol w:w="4680"/>
        <w:gridCol w:w="1813"/>
        <w:gridCol w:w="1814"/>
      </w:tblGrid>
      <w:tr w:rsidR="0041077E" w:rsidRPr="007A6813" w14:paraId="03B26116" w14:textId="77777777">
        <w:trPr>
          <w:trHeight w:val="57"/>
          <w:jc w:val="right"/>
        </w:trPr>
        <w:tc>
          <w:tcPr>
            <w:tcW w:w="2817" w:type="pct"/>
            <w:tcBorders>
              <w:top w:val="single" w:sz="4" w:space="0" w:color="auto"/>
              <w:bottom w:val="single" w:sz="12" w:space="0" w:color="auto"/>
            </w:tcBorders>
            <w:noWrap/>
            <w:tcMar>
              <w:top w:w="0" w:type="dxa"/>
              <w:left w:w="108" w:type="dxa"/>
              <w:bottom w:w="0" w:type="dxa"/>
              <w:right w:w="108" w:type="dxa"/>
            </w:tcMar>
            <w:hideMark/>
          </w:tcPr>
          <w:p w14:paraId="2518B2E7" w14:textId="77777777" w:rsidR="0041077E" w:rsidRPr="007A6813" w:rsidRDefault="0041077E" w:rsidP="00147EF0">
            <w:pPr>
              <w:pStyle w:val="Normal-pool-Table"/>
              <w:keepNext/>
              <w:keepLines/>
              <w:tabs>
                <w:tab w:val="clear" w:pos="624"/>
                <w:tab w:val="clear" w:pos="1247"/>
                <w:tab w:val="clear" w:pos="1871"/>
                <w:tab w:val="clear" w:pos="2495"/>
                <w:tab w:val="clear" w:pos="3119"/>
                <w:tab w:val="clear" w:pos="3742"/>
                <w:tab w:val="clear" w:pos="4366"/>
                <w:tab w:val="clear" w:pos="4990"/>
              </w:tabs>
              <w:rPr>
                <w:i/>
              </w:rPr>
            </w:pPr>
            <w:r>
              <w:rPr>
                <w:i/>
                <w:iCs/>
                <w:color w:val="000000"/>
                <w:lang w:val="ru-RU"/>
              </w:rPr>
              <w:t>Трехгодичный период 2027–2029 годов</w:t>
            </w:r>
          </w:p>
        </w:tc>
        <w:tc>
          <w:tcPr>
            <w:tcW w:w="1091" w:type="pct"/>
            <w:tcBorders>
              <w:top w:val="single" w:sz="4" w:space="0" w:color="auto"/>
              <w:bottom w:val="single" w:sz="12" w:space="0" w:color="auto"/>
            </w:tcBorders>
            <w:tcMar>
              <w:top w:w="0" w:type="dxa"/>
              <w:left w:w="108" w:type="dxa"/>
              <w:bottom w:w="0" w:type="dxa"/>
              <w:right w:w="108" w:type="dxa"/>
            </w:tcMar>
            <w:hideMark/>
          </w:tcPr>
          <w:p w14:paraId="3F941E9D" w14:textId="77777777" w:rsidR="0041077E" w:rsidRPr="007A6813" w:rsidRDefault="0041077E" w:rsidP="00147EF0">
            <w:pPr>
              <w:pStyle w:val="Normal-pool-Table"/>
              <w:keepNext/>
              <w:keepLines/>
              <w:tabs>
                <w:tab w:val="clear" w:pos="624"/>
                <w:tab w:val="clear" w:pos="1247"/>
                <w:tab w:val="clear" w:pos="1871"/>
                <w:tab w:val="clear" w:pos="2495"/>
                <w:tab w:val="clear" w:pos="3119"/>
                <w:tab w:val="clear" w:pos="3742"/>
                <w:tab w:val="clear" w:pos="4366"/>
                <w:tab w:val="clear" w:pos="4990"/>
              </w:tabs>
              <w:jc w:val="right"/>
              <w:rPr>
                <w:i/>
              </w:rPr>
            </w:pPr>
            <w:r>
              <w:rPr>
                <w:i/>
                <w:iCs/>
                <w:color w:val="000000"/>
                <w:lang w:val="ru-RU"/>
              </w:rPr>
              <w:t>Нижний диапазон</w:t>
            </w:r>
            <w:r>
              <w:rPr>
                <w:i/>
                <w:iCs/>
                <w:color w:val="000000"/>
                <w:vertAlign w:val="superscript"/>
                <w:lang w:val="ru-RU"/>
              </w:rPr>
              <w:t>a</w:t>
            </w:r>
          </w:p>
        </w:tc>
        <w:tc>
          <w:tcPr>
            <w:tcW w:w="1092" w:type="pct"/>
            <w:tcBorders>
              <w:top w:val="single" w:sz="4" w:space="0" w:color="auto"/>
              <w:bottom w:val="single" w:sz="12" w:space="0" w:color="auto"/>
            </w:tcBorders>
            <w:tcMar>
              <w:top w:w="0" w:type="dxa"/>
              <w:left w:w="108" w:type="dxa"/>
              <w:bottom w:w="0" w:type="dxa"/>
              <w:right w:w="108" w:type="dxa"/>
            </w:tcMar>
            <w:hideMark/>
          </w:tcPr>
          <w:p w14:paraId="30673D96" w14:textId="77777777" w:rsidR="0041077E" w:rsidRPr="007A6813" w:rsidRDefault="0041077E" w:rsidP="00147EF0">
            <w:pPr>
              <w:pStyle w:val="Normal-pool-Table"/>
              <w:keepNext/>
              <w:keepLines/>
              <w:tabs>
                <w:tab w:val="clear" w:pos="624"/>
                <w:tab w:val="clear" w:pos="1247"/>
                <w:tab w:val="clear" w:pos="1871"/>
                <w:tab w:val="clear" w:pos="2495"/>
                <w:tab w:val="clear" w:pos="3119"/>
                <w:tab w:val="clear" w:pos="3742"/>
                <w:tab w:val="clear" w:pos="4366"/>
                <w:tab w:val="clear" w:pos="4990"/>
              </w:tabs>
              <w:jc w:val="right"/>
              <w:rPr>
                <w:i/>
              </w:rPr>
            </w:pPr>
            <w:r>
              <w:rPr>
                <w:i/>
                <w:iCs/>
                <w:color w:val="000000"/>
                <w:lang w:val="ru-RU"/>
              </w:rPr>
              <w:t>Верхний диапазон</w:t>
            </w:r>
            <w:r>
              <w:rPr>
                <w:i/>
                <w:iCs/>
                <w:color w:val="000000"/>
                <w:vertAlign w:val="superscript"/>
                <w:lang w:val="ru-RU"/>
              </w:rPr>
              <w:t>b</w:t>
            </w:r>
          </w:p>
        </w:tc>
      </w:tr>
      <w:tr w:rsidR="0041077E" w:rsidRPr="007A6813" w14:paraId="7FBCA9FA" w14:textId="77777777">
        <w:trPr>
          <w:trHeight w:val="135"/>
          <w:jc w:val="right"/>
        </w:trPr>
        <w:tc>
          <w:tcPr>
            <w:tcW w:w="2817" w:type="pct"/>
            <w:tcBorders>
              <w:top w:val="single" w:sz="12" w:space="0" w:color="auto"/>
            </w:tcBorders>
            <w:noWrap/>
            <w:tcMar>
              <w:top w:w="0" w:type="dxa"/>
              <w:left w:w="108" w:type="dxa"/>
              <w:bottom w:w="0" w:type="dxa"/>
              <w:right w:w="108" w:type="dxa"/>
            </w:tcMar>
            <w:vAlign w:val="center"/>
            <w:hideMark/>
          </w:tcPr>
          <w:p w14:paraId="6D43484E" w14:textId="77777777" w:rsidR="0041077E" w:rsidRPr="00D62886" w:rsidRDefault="0041077E" w:rsidP="00147EF0">
            <w:pPr>
              <w:pStyle w:val="Normal-pool-Table"/>
              <w:keepNext/>
              <w:keepLines/>
              <w:tabs>
                <w:tab w:val="clear" w:pos="624"/>
                <w:tab w:val="clear" w:pos="1247"/>
                <w:tab w:val="clear" w:pos="1871"/>
                <w:tab w:val="clear" w:pos="2495"/>
                <w:tab w:val="clear" w:pos="3119"/>
                <w:tab w:val="clear" w:pos="3742"/>
                <w:tab w:val="clear" w:pos="4366"/>
                <w:tab w:val="clear" w:pos="4990"/>
              </w:tabs>
              <w:rPr>
                <w:sz w:val="16"/>
                <w:lang w:val="ru-RU"/>
              </w:rPr>
            </w:pPr>
            <w:r>
              <w:rPr>
                <w:color w:val="000000"/>
                <w:lang w:val="ru-RU"/>
              </w:rPr>
              <w:t>Мероприятия в отношении ГХФУ (включая энергоэффективность)</w:t>
            </w:r>
          </w:p>
        </w:tc>
        <w:tc>
          <w:tcPr>
            <w:tcW w:w="1091" w:type="pct"/>
            <w:tcBorders>
              <w:top w:val="single" w:sz="12" w:space="0" w:color="auto"/>
            </w:tcBorders>
            <w:noWrap/>
            <w:tcMar>
              <w:top w:w="0" w:type="dxa"/>
              <w:left w:w="108" w:type="dxa"/>
              <w:bottom w:w="0" w:type="dxa"/>
              <w:right w:w="108" w:type="dxa"/>
            </w:tcMar>
            <w:vAlign w:val="bottom"/>
            <w:hideMark/>
          </w:tcPr>
          <w:p w14:paraId="4939C4D5" w14:textId="77777777" w:rsidR="0041077E" w:rsidRPr="007A6813" w:rsidRDefault="0041077E" w:rsidP="00147EF0">
            <w:pPr>
              <w:pStyle w:val="Normal-pool-Table"/>
              <w:keepNext/>
              <w:keepLines/>
              <w:tabs>
                <w:tab w:val="clear" w:pos="624"/>
                <w:tab w:val="clear" w:pos="1247"/>
                <w:tab w:val="clear" w:pos="1871"/>
                <w:tab w:val="clear" w:pos="2495"/>
                <w:tab w:val="clear" w:pos="3119"/>
                <w:tab w:val="clear" w:pos="3742"/>
                <w:tab w:val="clear" w:pos="4366"/>
                <w:tab w:val="clear" w:pos="4990"/>
              </w:tabs>
              <w:jc w:val="right"/>
              <w:rPr>
                <w:bCs/>
              </w:rPr>
            </w:pPr>
            <w:r>
              <w:rPr>
                <w:color w:val="000000"/>
                <w:lang w:val="ru-RU"/>
              </w:rPr>
              <w:t>451</w:t>
            </w:r>
          </w:p>
        </w:tc>
        <w:tc>
          <w:tcPr>
            <w:tcW w:w="1092" w:type="pct"/>
            <w:tcBorders>
              <w:top w:val="single" w:sz="12" w:space="0" w:color="auto"/>
            </w:tcBorders>
            <w:noWrap/>
            <w:tcMar>
              <w:top w:w="0" w:type="dxa"/>
              <w:left w:w="108" w:type="dxa"/>
              <w:bottom w:w="0" w:type="dxa"/>
              <w:right w:w="108" w:type="dxa"/>
            </w:tcMar>
            <w:vAlign w:val="bottom"/>
            <w:hideMark/>
          </w:tcPr>
          <w:p w14:paraId="4840F9D1" w14:textId="77777777" w:rsidR="0041077E" w:rsidRPr="007A6813" w:rsidRDefault="0041077E" w:rsidP="00147EF0">
            <w:pPr>
              <w:pStyle w:val="Normal-pool-Table"/>
              <w:keepNext/>
              <w:keepLines/>
              <w:tabs>
                <w:tab w:val="clear" w:pos="624"/>
                <w:tab w:val="clear" w:pos="1247"/>
                <w:tab w:val="clear" w:pos="1871"/>
                <w:tab w:val="clear" w:pos="2495"/>
                <w:tab w:val="clear" w:pos="3119"/>
                <w:tab w:val="clear" w:pos="3742"/>
                <w:tab w:val="clear" w:pos="4366"/>
                <w:tab w:val="clear" w:pos="4990"/>
              </w:tabs>
              <w:jc w:val="right"/>
              <w:rPr>
                <w:bCs/>
              </w:rPr>
            </w:pPr>
            <w:r>
              <w:rPr>
                <w:color w:val="000000"/>
                <w:lang w:val="ru-RU"/>
              </w:rPr>
              <w:t>573</w:t>
            </w:r>
          </w:p>
        </w:tc>
      </w:tr>
      <w:tr w:rsidR="0041077E" w:rsidRPr="007A6813" w14:paraId="7AB33039" w14:textId="77777777">
        <w:trPr>
          <w:trHeight w:val="42"/>
          <w:jc w:val="right"/>
        </w:trPr>
        <w:tc>
          <w:tcPr>
            <w:tcW w:w="2817" w:type="pct"/>
            <w:noWrap/>
            <w:tcMar>
              <w:top w:w="0" w:type="dxa"/>
              <w:left w:w="108" w:type="dxa"/>
              <w:bottom w:w="0" w:type="dxa"/>
              <w:right w:w="108" w:type="dxa"/>
            </w:tcMar>
            <w:vAlign w:val="center"/>
            <w:hideMark/>
          </w:tcPr>
          <w:p w14:paraId="25B05B65" w14:textId="11541C3C" w:rsidR="0041077E" w:rsidRPr="00147EF0" w:rsidRDefault="0041077E" w:rsidP="00147EF0">
            <w:pPr>
              <w:pStyle w:val="Normal-pool-Table"/>
              <w:tabs>
                <w:tab w:val="clear" w:pos="624"/>
                <w:tab w:val="clear" w:pos="1247"/>
                <w:tab w:val="clear" w:pos="1871"/>
                <w:tab w:val="clear" w:pos="2495"/>
                <w:tab w:val="clear" w:pos="3119"/>
                <w:tab w:val="clear" w:pos="3742"/>
                <w:tab w:val="clear" w:pos="4366"/>
                <w:tab w:val="clear" w:pos="4990"/>
              </w:tabs>
              <w:rPr>
                <w:sz w:val="16"/>
                <w:lang w:val="ru-RU"/>
              </w:rPr>
            </w:pPr>
            <w:r>
              <w:rPr>
                <w:color w:val="000000"/>
                <w:lang w:val="ru-RU"/>
              </w:rPr>
              <w:t>Мероприятия в отношении ГФУ (включая энергоэффективность, меры по сокращению выбросов ГФУ-23 и региональный мониторинг атмосферы)</w:t>
            </w:r>
          </w:p>
        </w:tc>
        <w:tc>
          <w:tcPr>
            <w:tcW w:w="1091" w:type="pct"/>
            <w:noWrap/>
            <w:tcMar>
              <w:top w:w="0" w:type="dxa"/>
              <w:left w:w="108" w:type="dxa"/>
              <w:bottom w:w="0" w:type="dxa"/>
              <w:right w:w="108" w:type="dxa"/>
            </w:tcMar>
            <w:vAlign w:val="bottom"/>
            <w:hideMark/>
          </w:tcPr>
          <w:p w14:paraId="79AEE83C" w14:textId="77777777" w:rsidR="0041077E" w:rsidRPr="007A6813" w:rsidRDefault="0041077E" w:rsidP="00147EF0">
            <w:pPr>
              <w:pStyle w:val="Normal-pool-Table"/>
              <w:tabs>
                <w:tab w:val="clear" w:pos="624"/>
                <w:tab w:val="clear" w:pos="1247"/>
                <w:tab w:val="clear" w:pos="1871"/>
                <w:tab w:val="clear" w:pos="2495"/>
                <w:tab w:val="clear" w:pos="3119"/>
                <w:tab w:val="clear" w:pos="3742"/>
                <w:tab w:val="clear" w:pos="4366"/>
                <w:tab w:val="clear" w:pos="4990"/>
              </w:tabs>
              <w:jc w:val="right"/>
              <w:rPr>
                <w:bCs/>
              </w:rPr>
            </w:pPr>
            <w:r>
              <w:rPr>
                <w:color w:val="000000"/>
                <w:lang w:val="ru-RU"/>
              </w:rPr>
              <w:t>702–781</w:t>
            </w:r>
          </w:p>
        </w:tc>
        <w:tc>
          <w:tcPr>
            <w:tcW w:w="1092" w:type="pct"/>
            <w:noWrap/>
            <w:tcMar>
              <w:top w:w="0" w:type="dxa"/>
              <w:left w:w="108" w:type="dxa"/>
              <w:bottom w:w="0" w:type="dxa"/>
              <w:right w:w="108" w:type="dxa"/>
            </w:tcMar>
            <w:vAlign w:val="bottom"/>
            <w:hideMark/>
          </w:tcPr>
          <w:p w14:paraId="46104EFE" w14:textId="277FE875" w:rsidR="0041077E" w:rsidRPr="007A6813" w:rsidRDefault="0041077E" w:rsidP="00147EF0">
            <w:pPr>
              <w:pStyle w:val="Normal-pool-Table"/>
              <w:tabs>
                <w:tab w:val="clear" w:pos="624"/>
                <w:tab w:val="clear" w:pos="1247"/>
                <w:tab w:val="clear" w:pos="1871"/>
                <w:tab w:val="clear" w:pos="2495"/>
                <w:tab w:val="clear" w:pos="3119"/>
                <w:tab w:val="clear" w:pos="3742"/>
                <w:tab w:val="clear" w:pos="4366"/>
                <w:tab w:val="clear" w:pos="4990"/>
              </w:tabs>
              <w:jc w:val="right"/>
              <w:rPr>
                <w:bCs/>
              </w:rPr>
            </w:pPr>
            <w:r>
              <w:rPr>
                <w:color w:val="000000"/>
                <w:lang w:val="ru-RU"/>
              </w:rPr>
              <w:t>970–1</w:t>
            </w:r>
            <w:r w:rsidR="00223638">
              <w:rPr>
                <w:color w:val="000000"/>
                <w:lang w:val="en-US"/>
              </w:rPr>
              <w:t xml:space="preserve"> </w:t>
            </w:r>
            <w:r>
              <w:rPr>
                <w:color w:val="000000"/>
                <w:lang w:val="ru-RU"/>
              </w:rPr>
              <w:t>053</w:t>
            </w:r>
          </w:p>
        </w:tc>
      </w:tr>
      <w:tr w:rsidR="0041077E" w:rsidRPr="007A6813" w14:paraId="14F1CAEE" w14:textId="77777777">
        <w:trPr>
          <w:trHeight w:val="57"/>
          <w:jc w:val="right"/>
        </w:trPr>
        <w:tc>
          <w:tcPr>
            <w:tcW w:w="2817" w:type="pct"/>
            <w:tcBorders>
              <w:bottom w:val="single" w:sz="4" w:space="0" w:color="auto"/>
            </w:tcBorders>
            <w:tcMar>
              <w:top w:w="0" w:type="dxa"/>
              <w:left w:w="108" w:type="dxa"/>
              <w:bottom w:w="0" w:type="dxa"/>
              <w:right w:w="108" w:type="dxa"/>
            </w:tcMar>
            <w:vAlign w:val="center"/>
            <w:hideMark/>
          </w:tcPr>
          <w:p w14:paraId="474E05A0" w14:textId="77777777" w:rsidR="0041077E" w:rsidRPr="00D62886" w:rsidRDefault="0041077E" w:rsidP="00147EF0">
            <w:pPr>
              <w:pStyle w:val="Normal-pool-Table"/>
              <w:tabs>
                <w:tab w:val="clear" w:pos="624"/>
                <w:tab w:val="clear" w:pos="1247"/>
                <w:tab w:val="clear" w:pos="1871"/>
                <w:tab w:val="clear" w:pos="2495"/>
                <w:tab w:val="clear" w:pos="3119"/>
                <w:tab w:val="clear" w:pos="3742"/>
                <w:tab w:val="clear" w:pos="4366"/>
                <w:tab w:val="clear" w:pos="4990"/>
              </w:tabs>
              <w:rPr>
                <w:lang w:val="ru-RU"/>
              </w:rPr>
            </w:pPr>
            <w:r>
              <w:rPr>
                <w:color w:val="000000"/>
                <w:lang w:val="ru-RU"/>
              </w:rPr>
              <w:t xml:space="preserve">Институциональное укрепление и стандартные виды деятельности </w:t>
            </w:r>
          </w:p>
        </w:tc>
        <w:tc>
          <w:tcPr>
            <w:tcW w:w="1091" w:type="pct"/>
            <w:tcBorders>
              <w:bottom w:val="single" w:sz="4" w:space="0" w:color="auto"/>
            </w:tcBorders>
            <w:noWrap/>
            <w:tcMar>
              <w:top w:w="0" w:type="dxa"/>
              <w:left w:w="108" w:type="dxa"/>
              <w:bottom w:w="0" w:type="dxa"/>
              <w:right w:w="108" w:type="dxa"/>
            </w:tcMar>
            <w:vAlign w:val="bottom"/>
            <w:hideMark/>
          </w:tcPr>
          <w:p w14:paraId="173A9BFA" w14:textId="77777777" w:rsidR="0041077E" w:rsidRPr="007A6813" w:rsidRDefault="0041077E" w:rsidP="00147EF0">
            <w:pPr>
              <w:pStyle w:val="Normal-pool-Table"/>
              <w:tabs>
                <w:tab w:val="clear" w:pos="624"/>
                <w:tab w:val="clear" w:pos="1247"/>
                <w:tab w:val="clear" w:pos="1871"/>
                <w:tab w:val="clear" w:pos="2495"/>
                <w:tab w:val="clear" w:pos="3119"/>
                <w:tab w:val="clear" w:pos="3742"/>
                <w:tab w:val="clear" w:pos="4366"/>
                <w:tab w:val="clear" w:pos="4990"/>
              </w:tabs>
              <w:jc w:val="right"/>
              <w:rPr>
                <w:bCs/>
              </w:rPr>
            </w:pPr>
            <w:r>
              <w:rPr>
                <w:color w:val="000000"/>
                <w:lang w:val="ru-RU"/>
              </w:rPr>
              <w:t>129</w:t>
            </w:r>
          </w:p>
        </w:tc>
        <w:tc>
          <w:tcPr>
            <w:tcW w:w="1092" w:type="pct"/>
            <w:tcBorders>
              <w:bottom w:val="single" w:sz="4" w:space="0" w:color="auto"/>
            </w:tcBorders>
            <w:noWrap/>
            <w:tcMar>
              <w:top w:w="0" w:type="dxa"/>
              <w:left w:w="108" w:type="dxa"/>
              <w:bottom w:w="0" w:type="dxa"/>
              <w:right w:w="108" w:type="dxa"/>
            </w:tcMar>
            <w:vAlign w:val="bottom"/>
            <w:hideMark/>
          </w:tcPr>
          <w:p w14:paraId="3E7E78EC" w14:textId="77777777" w:rsidR="0041077E" w:rsidRPr="007A6813" w:rsidRDefault="0041077E" w:rsidP="00147EF0">
            <w:pPr>
              <w:pStyle w:val="Normal-pool-Table"/>
              <w:tabs>
                <w:tab w:val="clear" w:pos="624"/>
                <w:tab w:val="clear" w:pos="1247"/>
                <w:tab w:val="clear" w:pos="1871"/>
                <w:tab w:val="clear" w:pos="2495"/>
                <w:tab w:val="clear" w:pos="3119"/>
                <w:tab w:val="clear" w:pos="3742"/>
                <w:tab w:val="clear" w:pos="4366"/>
                <w:tab w:val="clear" w:pos="4990"/>
              </w:tabs>
              <w:jc w:val="right"/>
              <w:rPr>
                <w:bCs/>
              </w:rPr>
            </w:pPr>
            <w:r>
              <w:rPr>
                <w:color w:val="000000"/>
                <w:lang w:val="ru-RU"/>
              </w:rPr>
              <w:t>129</w:t>
            </w:r>
          </w:p>
        </w:tc>
      </w:tr>
      <w:tr w:rsidR="0041077E" w:rsidRPr="007A6813" w14:paraId="6D2EC1D4" w14:textId="77777777">
        <w:trPr>
          <w:trHeight w:val="57"/>
          <w:jc w:val="right"/>
        </w:trPr>
        <w:tc>
          <w:tcPr>
            <w:tcW w:w="2817" w:type="pct"/>
            <w:tcBorders>
              <w:top w:val="single" w:sz="4" w:space="0" w:color="auto"/>
              <w:bottom w:val="single" w:sz="12" w:space="0" w:color="auto"/>
            </w:tcBorders>
            <w:noWrap/>
            <w:tcMar>
              <w:top w:w="0" w:type="dxa"/>
              <w:left w:w="108" w:type="dxa"/>
              <w:bottom w:w="0" w:type="dxa"/>
              <w:right w:w="108" w:type="dxa"/>
            </w:tcMar>
            <w:vAlign w:val="center"/>
            <w:hideMark/>
          </w:tcPr>
          <w:p w14:paraId="1B02D418" w14:textId="77777777" w:rsidR="0041077E" w:rsidRPr="007A6813" w:rsidRDefault="0041077E" w:rsidP="00147EF0">
            <w:pPr>
              <w:pStyle w:val="Normal-pool-Table"/>
              <w:tabs>
                <w:tab w:val="clear" w:pos="624"/>
                <w:tab w:val="clear" w:pos="1247"/>
                <w:tab w:val="clear" w:pos="1871"/>
                <w:tab w:val="clear" w:pos="2495"/>
                <w:tab w:val="clear" w:pos="3119"/>
                <w:tab w:val="clear" w:pos="3742"/>
                <w:tab w:val="clear" w:pos="4366"/>
                <w:tab w:val="clear" w:pos="4990"/>
              </w:tabs>
              <w:rPr>
                <w:b/>
              </w:rPr>
            </w:pPr>
            <w:r>
              <w:rPr>
                <w:b/>
                <w:bCs/>
                <w:color w:val="000000"/>
                <w:lang w:val="ru-RU"/>
              </w:rPr>
              <w:t>Всего</w:t>
            </w:r>
          </w:p>
        </w:tc>
        <w:tc>
          <w:tcPr>
            <w:tcW w:w="1091" w:type="pct"/>
            <w:tcBorders>
              <w:top w:val="single" w:sz="4" w:space="0" w:color="auto"/>
              <w:bottom w:val="single" w:sz="12" w:space="0" w:color="auto"/>
            </w:tcBorders>
            <w:noWrap/>
            <w:tcMar>
              <w:top w:w="0" w:type="dxa"/>
              <w:left w:w="108" w:type="dxa"/>
              <w:bottom w:w="0" w:type="dxa"/>
              <w:right w:w="108" w:type="dxa"/>
            </w:tcMar>
            <w:hideMark/>
          </w:tcPr>
          <w:p w14:paraId="568F6912" w14:textId="567A28E6" w:rsidR="0041077E" w:rsidRPr="007A6813" w:rsidRDefault="0041077E" w:rsidP="00147EF0">
            <w:pPr>
              <w:pStyle w:val="Normal-pool-Table"/>
              <w:tabs>
                <w:tab w:val="clear" w:pos="624"/>
                <w:tab w:val="clear" w:pos="1247"/>
                <w:tab w:val="clear" w:pos="1871"/>
                <w:tab w:val="clear" w:pos="2495"/>
                <w:tab w:val="clear" w:pos="3119"/>
                <w:tab w:val="clear" w:pos="3742"/>
                <w:tab w:val="clear" w:pos="4366"/>
                <w:tab w:val="clear" w:pos="4990"/>
              </w:tabs>
              <w:jc w:val="right"/>
              <w:rPr>
                <w:b/>
              </w:rPr>
            </w:pPr>
            <w:r>
              <w:rPr>
                <w:b/>
                <w:bCs/>
                <w:color w:val="000000"/>
                <w:lang w:val="ru-RU"/>
              </w:rPr>
              <w:t>1</w:t>
            </w:r>
            <w:r w:rsidR="00223638">
              <w:rPr>
                <w:b/>
                <w:bCs/>
                <w:color w:val="000000"/>
                <w:lang w:val="en-US"/>
              </w:rPr>
              <w:t xml:space="preserve"> </w:t>
            </w:r>
            <w:r>
              <w:rPr>
                <w:b/>
                <w:bCs/>
                <w:color w:val="000000"/>
                <w:lang w:val="ru-RU"/>
              </w:rPr>
              <w:t>282–1</w:t>
            </w:r>
            <w:r w:rsidR="00223638">
              <w:rPr>
                <w:b/>
                <w:bCs/>
                <w:color w:val="000000"/>
                <w:lang w:val="en-US"/>
              </w:rPr>
              <w:t xml:space="preserve"> </w:t>
            </w:r>
            <w:r>
              <w:rPr>
                <w:b/>
                <w:bCs/>
                <w:color w:val="000000"/>
                <w:lang w:val="ru-RU"/>
              </w:rPr>
              <w:t>361</w:t>
            </w:r>
          </w:p>
        </w:tc>
        <w:tc>
          <w:tcPr>
            <w:tcW w:w="1092" w:type="pct"/>
            <w:tcBorders>
              <w:top w:val="single" w:sz="4" w:space="0" w:color="auto"/>
              <w:bottom w:val="single" w:sz="12" w:space="0" w:color="auto"/>
            </w:tcBorders>
            <w:noWrap/>
            <w:tcMar>
              <w:top w:w="0" w:type="dxa"/>
              <w:left w:w="108" w:type="dxa"/>
              <w:bottom w:w="0" w:type="dxa"/>
              <w:right w:w="108" w:type="dxa"/>
            </w:tcMar>
            <w:hideMark/>
          </w:tcPr>
          <w:p w14:paraId="56BEB4E6" w14:textId="77777777" w:rsidR="0041077E" w:rsidRPr="007A6813" w:rsidRDefault="0041077E" w:rsidP="00147EF0">
            <w:pPr>
              <w:pStyle w:val="Normal-pool-Table"/>
              <w:tabs>
                <w:tab w:val="clear" w:pos="624"/>
                <w:tab w:val="clear" w:pos="1247"/>
                <w:tab w:val="clear" w:pos="1871"/>
                <w:tab w:val="clear" w:pos="2495"/>
                <w:tab w:val="clear" w:pos="3119"/>
                <w:tab w:val="clear" w:pos="3742"/>
                <w:tab w:val="clear" w:pos="4366"/>
                <w:tab w:val="clear" w:pos="4990"/>
              </w:tabs>
              <w:jc w:val="right"/>
              <w:rPr>
                <w:b/>
              </w:rPr>
            </w:pPr>
            <w:r>
              <w:rPr>
                <w:b/>
                <w:bCs/>
                <w:color w:val="000000"/>
                <w:lang w:val="ru-RU"/>
              </w:rPr>
              <w:t>1 672–1 755</w:t>
            </w:r>
          </w:p>
        </w:tc>
      </w:tr>
    </w:tbl>
    <w:p w14:paraId="35CEDFE5" w14:textId="77777777" w:rsidR="0041077E" w:rsidRPr="003C0F9E" w:rsidRDefault="0041077E" w:rsidP="00223638">
      <w:pPr>
        <w:pStyle w:val="Normal-pool"/>
        <w:tabs>
          <w:tab w:val="clear" w:pos="624"/>
          <w:tab w:val="clear" w:pos="1247"/>
          <w:tab w:val="clear" w:pos="1871"/>
          <w:tab w:val="clear" w:pos="2495"/>
          <w:tab w:val="clear" w:pos="3119"/>
          <w:tab w:val="clear" w:pos="3742"/>
          <w:tab w:val="clear" w:pos="4366"/>
          <w:tab w:val="clear" w:pos="4990"/>
        </w:tabs>
        <w:spacing w:before="40"/>
        <w:ind w:left="1247"/>
        <w:rPr>
          <w:sz w:val="18"/>
          <w:szCs w:val="18"/>
          <w:lang w:val="ru-RU"/>
        </w:rPr>
      </w:pPr>
      <w:r>
        <w:rPr>
          <w:sz w:val="17"/>
          <w:szCs w:val="17"/>
          <w:lang w:val="ru-RU"/>
        </w:rPr>
        <w:tab/>
      </w:r>
      <w:r>
        <w:rPr>
          <w:sz w:val="17"/>
          <w:szCs w:val="17"/>
          <w:lang w:val="ru-RU"/>
        </w:rPr>
        <w:tab/>
      </w:r>
      <w:r w:rsidRPr="003C0F9E">
        <w:rPr>
          <w:i/>
          <w:iCs/>
          <w:sz w:val="18"/>
          <w:szCs w:val="18"/>
          <w:lang w:val="ru-RU"/>
        </w:rPr>
        <w:t>Сокращения</w:t>
      </w:r>
      <w:r w:rsidRPr="003C0F9E">
        <w:rPr>
          <w:sz w:val="18"/>
          <w:szCs w:val="18"/>
          <w:lang w:val="ru-RU"/>
        </w:rPr>
        <w:t>: ГХФУ – гидрохлорфторуглероды; ГФУ – гидрофторуглероды.</w:t>
      </w:r>
    </w:p>
    <w:p w14:paraId="5C703406" w14:textId="77777777" w:rsidR="0041077E" w:rsidRPr="003C0F9E" w:rsidRDefault="0041077E" w:rsidP="00223638">
      <w:pPr>
        <w:pStyle w:val="Normal-pool"/>
        <w:tabs>
          <w:tab w:val="clear" w:pos="624"/>
          <w:tab w:val="clear" w:pos="1247"/>
          <w:tab w:val="clear" w:pos="1871"/>
          <w:tab w:val="clear" w:pos="2495"/>
          <w:tab w:val="clear" w:pos="3119"/>
          <w:tab w:val="clear" w:pos="3742"/>
          <w:tab w:val="clear" w:pos="4366"/>
          <w:tab w:val="clear" w:pos="4990"/>
        </w:tabs>
        <w:spacing w:before="40"/>
        <w:ind w:left="1247"/>
        <w:rPr>
          <w:sz w:val="18"/>
          <w:szCs w:val="18"/>
          <w:lang w:val="ru-RU"/>
        </w:rPr>
      </w:pPr>
      <w:r w:rsidRPr="003C0F9E">
        <w:rPr>
          <w:sz w:val="18"/>
          <w:szCs w:val="18"/>
          <w:lang w:val="ru-RU"/>
        </w:rPr>
        <w:tab/>
      </w:r>
      <w:r w:rsidRPr="003C0F9E">
        <w:rPr>
          <w:sz w:val="18"/>
          <w:szCs w:val="18"/>
          <w:lang w:val="ru-RU"/>
        </w:rPr>
        <w:tab/>
      </w:r>
      <w:r w:rsidRPr="003C0F9E">
        <w:rPr>
          <w:sz w:val="18"/>
          <w:szCs w:val="18"/>
          <w:vertAlign w:val="superscript"/>
          <w:lang w:val="ru-RU"/>
        </w:rPr>
        <w:t>a</w:t>
      </w:r>
      <w:r w:rsidRPr="003C0F9E">
        <w:rPr>
          <w:sz w:val="18"/>
          <w:szCs w:val="18"/>
          <w:lang w:val="ru-RU"/>
        </w:rPr>
        <w:t xml:space="preserve"> Нижний диапазон рассчитан на основе следующих сценариев:</w:t>
      </w:r>
    </w:p>
    <w:p w14:paraId="5788B03B" w14:textId="4D3CD5A9" w:rsidR="0041077E" w:rsidRPr="003C0F9E" w:rsidRDefault="0041077E" w:rsidP="00223638">
      <w:pPr>
        <w:pStyle w:val="Normal-pool"/>
        <w:numPr>
          <w:ilvl w:val="0"/>
          <w:numId w:val="19"/>
        </w:numPr>
        <w:tabs>
          <w:tab w:val="clear" w:pos="624"/>
          <w:tab w:val="clear" w:pos="1247"/>
          <w:tab w:val="clear" w:pos="1871"/>
          <w:tab w:val="clear" w:pos="2495"/>
          <w:tab w:val="clear" w:pos="3119"/>
          <w:tab w:val="clear" w:pos="3742"/>
          <w:tab w:val="clear" w:pos="4366"/>
          <w:tab w:val="clear" w:pos="4990"/>
        </w:tabs>
        <w:spacing w:before="40"/>
        <w:ind w:left="1871" w:firstLine="624"/>
        <w:rPr>
          <w:sz w:val="18"/>
          <w:szCs w:val="18"/>
          <w:lang w:val="ru-RU"/>
        </w:rPr>
      </w:pPr>
      <w:r w:rsidRPr="003C0F9E">
        <w:rPr>
          <w:sz w:val="18"/>
          <w:szCs w:val="18"/>
          <w:lang w:val="ru-RU"/>
        </w:rPr>
        <w:t xml:space="preserve">сценарий 1 для ГХФУ (исторические пороговые значения для </w:t>
      </w:r>
      <w:r w:rsidR="00423389" w:rsidRPr="003C0F9E">
        <w:rPr>
          <w:sz w:val="18"/>
          <w:szCs w:val="18"/>
          <w:lang w:val="ru-RU"/>
        </w:rPr>
        <w:t>з</w:t>
      </w:r>
      <w:r w:rsidR="00924400" w:rsidRPr="003C0F9E">
        <w:rPr>
          <w:sz w:val="18"/>
          <w:szCs w:val="18"/>
          <w:lang w:val="ru-RU"/>
        </w:rPr>
        <w:t>атрато</w:t>
      </w:r>
      <w:r w:rsidRPr="003C0F9E">
        <w:rPr>
          <w:sz w:val="18"/>
          <w:szCs w:val="18"/>
          <w:lang w:val="ru-RU"/>
        </w:rPr>
        <w:t>эффективности в производственных секторах)</w:t>
      </w:r>
      <w:r w:rsidR="00B10C44" w:rsidRPr="003C0F9E">
        <w:rPr>
          <w:sz w:val="18"/>
          <w:szCs w:val="18"/>
          <w:lang w:val="ru-RU"/>
        </w:rPr>
        <w:t>, при котором</w:t>
      </w:r>
      <w:r w:rsidRPr="003C0F9E">
        <w:rPr>
          <w:sz w:val="18"/>
          <w:szCs w:val="18"/>
          <w:lang w:val="ru-RU"/>
        </w:rPr>
        <w:t xml:space="preserve"> 90 процентов финансирования </w:t>
      </w:r>
      <w:r w:rsidR="00B10C44" w:rsidRPr="003C0F9E">
        <w:rPr>
          <w:sz w:val="18"/>
          <w:szCs w:val="18"/>
          <w:lang w:val="ru-RU"/>
        </w:rPr>
        <w:t xml:space="preserve">выделяется </w:t>
      </w:r>
      <w:r w:rsidRPr="003C0F9E">
        <w:rPr>
          <w:sz w:val="18"/>
          <w:szCs w:val="18"/>
          <w:lang w:val="ru-RU"/>
        </w:rPr>
        <w:t>в течение трехгодичного периода 2027–2029 годов и 10 процентов – в течение трехгодичного периода 2030</w:t>
      </w:r>
      <w:r w:rsidR="00223638" w:rsidRPr="003C0F9E">
        <w:rPr>
          <w:sz w:val="18"/>
          <w:szCs w:val="18"/>
          <w:lang w:val="ru-RU"/>
        </w:rPr>
        <w:noBreakHyphen/>
      </w:r>
      <w:r w:rsidRPr="003C0F9E">
        <w:rPr>
          <w:sz w:val="18"/>
          <w:szCs w:val="18"/>
          <w:lang w:val="ru-RU"/>
        </w:rPr>
        <w:t>2032</w:t>
      </w:r>
      <w:r w:rsidR="00223638" w:rsidRPr="003C0F9E">
        <w:rPr>
          <w:sz w:val="18"/>
          <w:szCs w:val="18"/>
          <w:lang w:val="en-US"/>
        </w:rPr>
        <w:t> </w:t>
      </w:r>
      <w:r w:rsidRPr="003C0F9E">
        <w:rPr>
          <w:sz w:val="18"/>
          <w:szCs w:val="18"/>
          <w:lang w:val="ru-RU"/>
        </w:rPr>
        <w:t xml:space="preserve">годов; </w:t>
      </w:r>
    </w:p>
    <w:p w14:paraId="31DDB069" w14:textId="4CC8088D" w:rsidR="0041077E" w:rsidRPr="003C0F9E" w:rsidRDefault="0041077E" w:rsidP="00223638">
      <w:pPr>
        <w:pStyle w:val="Normal-pool"/>
        <w:numPr>
          <w:ilvl w:val="0"/>
          <w:numId w:val="19"/>
        </w:numPr>
        <w:tabs>
          <w:tab w:val="clear" w:pos="624"/>
          <w:tab w:val="clear" w:pos="1247"/>
          <w:tab w:val="clear" w:pos="1871"/>
          <w:tab w:val="clear" w:pos="2495"/>
          <w:tab w:val="clear" w:pos="3119"/>
          <w:tab w:val="clear" w:pos="3742"/>
          <w:tab w:val="clear" w:pos="4366"/>
          <w:tab w:val="clear" w:pos="4990"/>
        </w:tabs>
        <w:spacing w:before="40"/>
        <w:ind w:left="1871" w:firstLine="624"/>
        <w:rPr>
          <w:sz w:val="18"/>
          <w:szCs w:val="18"/>
          <w:lang w:val="ru-RU"/>
        </w:rPr>
      </w:pPr>
      <w:r w:rsidRPr="003C0F9E">
        <w:rPr>
          <w:sz w:val="18"/>
          <w:szCs w:val="18"/>
          <w:lang w:val="ru-RU"/>
        </w:rPr>
        <w:t xml:space="preserve">для ГФУ диапазон </w:t>
      </w:r>
      <w:r w:rsidR="00C51C94" w:rsidRPr="003C0F9E">
        <w:rPr>
          <w:sz w:val="18"/>
          <w:szCs w:val="18"/>
          <w:lang w:val="ru-RU"/>
        </w:rPr>
        <w:t xml:space="preserve">совокупных </w:t>
      </w:r>
      <w:r w:rsidRPr="003C0F9E">
        <w:rPr>
          <w:sz w:val="18"/>
          <w:szCs w:val="18"/>
          <w:lang w:val="ru-RU"/>
        </w:rPr>
        <w:t xml:space="preserve">расходов оценивается с использованием двух сценариев: сценарий 1 для ГФУ (руководящие указания для расчета расходов или пороговые значения </w:t>
      </w:r>
      <w:r w:rsidR="00C51C94" w:rsidRPr="003C0F9E">
        <w:rPr>
          <w:sz w:val="18"/>
          <w:szCs w:val="18"/>
          <w:lang w:val="ru-RU"/>
        </w:rPr>
        <w:t>затрато</w:t>
      </w:r>
      <w:r w:rsidRPr="003C0F9E">
        <w:rPr>
          <w:sz w:val="18"/>
          <w:szCs w:val="18"/>
          <w:lang w:val="ru-RU"/>
        </w:rPr>
        <w:t xml:space="preserve">эффективности, определенные экспертами без учета малых и средних предприятий) и сценарий 2 для ГФУ (руководящие указания для расчета расходов или пороговые значения для </w:t>
      </w:r>
      <w:r w:rsidR="00362634" w:rsidRPr="003C0F9E">
        <w:rPr>
          <w:sz w:val="18"/>
          <w:szCs w:val="18"/>
          <w:lang w:val="ru-RU"/>
        </w:rPr>
        <w:t>затрато</w:t>
      </w:r>
      <w:r w:rsidRPr="003C0F9E">
        <w:rPr>
          <w:sz w:val="18"/>
          <w:szCs w:val="18"/>
          <w:lang w:val="ru-RU"/>
        </w:rPr>
        <w:t>эффективности, определенные экспертами с учетом малых и средних предприятий) с графиком распределения ресурсов B (подход с постепенным финансированием).</w:t>
      </w:r>
    </w:p>
    <w:p w14:paraId="20C571FB" w14:textId="77777777" w:rsidR="0041077E" w:rsidRPr="003C0F9E" w:rsidRDefault="0041077E" w:rsidP="00223638">
      <w:pPr>
        <w:pStyle w:val="Normal-pool"/>
        <w:tabs>
          <w:tab w:val="clear" w:pos="624"/>
          <w:tab w:val="clear" w:pos="1247"/>
          <w:tab w:val="clear" w:pos="1871"/>
          <w:tab w:val="clear" w:pos="2495"/>
          <w:tab w:val="clear" w:pos="3119"/>
          <w:tab w:val="clear" w:pos="3742"/>
          <w:tab w:val="clear" w:pos="4366"/>
          <w:tab w:val="clear" w:pos="4990"/>
        </w:tabs>
        <w:spacing w:before="40"/>
        <w:ind w:left="1247"/>
        <w:rPr>
          <w:sz w:val="18"/>
          <w:szCs w:val="18"/>
          <w:lang w:val="ru-RU"/>
        </w:rPr>
      </w:pPr>
      <w:r w:rsidRPr="003C0F9E">
        <w:rPr>
          <w:sz w:val="18"/>
          <w:szCs w:val="18"/>
          <w:lang w:val="ru-RU"/>
        </w:rPr>
        <w:tab/>
      </w:r>
      <w:r w:rsidRPr="003C0F9E">
        <w:rPr>
          <w:sz w:val="18"/>
          <w:szCs w:val="18"/>
          <w:lang w:val="ru-RU"/>
        </w:rPr>
        <w:tab/>
      </w:r>
      <w:r w:rsidRPr="003C0F9E">
        <w:rPr>
          <w:sz w:val="18"/>
          <w:szCs w:val="18"/>
          <w:vertAlign w:val="superscript"/>
          <w:lang w:val="ru-RU"/>
        </w:rPr>
        <w:t>b</w:t>
      </w:r>
      <w:r w:rsidRPr="003C0F9E">
        <w:rPr>
          <w:sz w:val="18"/>
          <w:szCs w:val="18"/>
          <w:lang w:val="ru-RU"/>
        </w:rPr>
        <w:t xml:space="preserve"> Верхний диапазон рассчитан на основе следующих сценариев:</w:t>
      </w:r>
    </w:p>
    <w:p w14:paraId="51B268BF" w14:textId="7185A423" w:rsidR="0041077E" w:rsidRPr="003C0F9E" w:rsidRDefault="0041077E" w:rsidP="00223638">
      <w:pPr>
        <w:pStyle w:val="Normal-pool"/>
        <w:numPr>
          <w:ilvl w:val="0"/>
          <w:numId w:val="18"/>
        </w:numPr>
        <w:tabs>
          <w:tab w:val="clear" w:pos="624"/>
          <w:tab w:val="clear" w:pos="1247"/>
          <w:tab w:val="clear" w:pos="1871"/>
          <w:tab w:val="clear" w:pos="2495"/>
          <w:tab w:val="clear" w:pos="3119"/>
          <w:tab w:val="clear" w:pos="3742"/>
          <w:tab w:val="clear" w:pos="4366"/>
          <w:tab w:val="clear" w:pos="4990"/>
        </w:tabs>
        <w:spacing w:before="40"/>
        <w:ind w:left="1871" w:firstLine="624"/>
        <w:rPr>
          <w:sz w:val="18"/>
          <w:szCs w:val="18"/>
          <w:lang w:val="ru-RU"/>
        </w:rPr>
      </w:pPr>
      <w:r w:rsidRPr="003C0F9E">
        <w:rPr>
          <w:sz w:val="18"/>
          <w:szCs w:val="18"/>
          <w:lang w:val="ru-RU"/>
        </w:rPr>
        <w:t xml:space="preserve">сценарий 2 для ГХФУ (пороговые значения для </w:t>
      </w:r>
      <w:r w:rsidR="00D630C9" w:rsidRPr="003C0F9E">
        <w:rPr>
          <w:sz w:val="18"/>
          <w:szCs w:val="18"/>
          <w:lang w:val="ru-RU"/>
        </w:rPr>
        <w:t>затрато</w:t>
      </w:r>
      <w:r w:rsidRPr="003C0F9E">
        <w:rPr>
          <w:sz w:val="18"/>
          <w:szCs w:val="18"/>
          <w:lang w:val="ru-RU"/>
        </w:rPr>
        <w:t>эффективности применены в соответствии с руководящими указаниями для расчета расходов в производственных секторах)</w:t>
      </w:r>
      <w:r w:rsidR="00D630C9" w:rsidRPr="003C0F9E">
        <w:rPr>
          <w:sz w:val="18"/>
          <w:szCs w:val="18"/>
          <w:lang w:val="ru-RU"/>
        </w:rPr>
        <w:t xml:space="preserve">, при котором </w:t>
      </w:r>
      <w:r w:rsidRPr="003C0F9E">
        <w:rPr>
          <w:sz w:val="18"/>
          <w:szCs w:val="18"/>
          <w:lang w:val="ru-RU"/>
        </w:rPr>
        <w:t xml:space="preserve">90 процентов финансирования </w:t>
      </w:r>
      <w:r w:rsidR="00435AD1" w:rsidRPr="003C0F9E">
        <w:rPr>
          <w:sz w:val="18"/>
          <w:szCs w:val="18"/>
          <w:lang w:val="ru-RU"/>
        </w:rPr>
        <w:t xml:space="preserve">выделяется </w:t>
      </w:r>
      <w:r w:rsidRPr="003C0F9E">
        <w:rPr>
          <w:sz w:val="18"/>
          <w:szCs w:val="18"/>
          <w:lang w:val="ru-RU"/>
        </w:rPr>
        <w:t>в течение трехгодичного периода 2027</w:t>
      </w:r>
      <w:r w:rsidR="00BE17E3" w:rsidRPr="003C0F9E">
        <w:rPr>
          <w:sz w:val="18"/>
          <w:szCs w:val="18"/>
          <w:lang w:val="ru-RU"/>
        </w:rPr>
        <w:noBreakHyphen/>
      </w:r>
      <w:r w:rsidRPr="003C0F9E">
        <w:rPr>
          <w:sz w:val="18"/>
          <w:szCs w:val="18"/>
          <w:lang w:val="ru-RU"/>
        </w:rPr>
        <w:t>2029</w:t>
      </w:r>
      <w:r w:rsidR="00BE17E3" w:rsidRPr="003C0F9E">
        <w:rPr>
          <w:sz w:val="18"/>
          <w:szCs w:val="18"/>
          <w:lang w:val="en-US"/>
        </w:rPr>
        <w:t> </w:t>
      </w:r>
      <w:r w:rsidRPr="003C0F9E">
        <w:rPr>
          <w:sz w:val="18"/>
          <w:szCs w:val="18"/>
          <w:lang w:val="ru-RU"/>
        </w:rPr>
        <w:t>годов и 10 процентов – в течение трехгодичного периода 2030–2032 годов;</w:t>
      </w:r>
    </w:p>
    <w:p w14:paraId="44695AED" w14:textId="2EF6BBB1" w:rsidR="0041077E" w:rsidRPr="003C0F9E" w:rsidRDefault="0041077E" w:rsidP="00223638">
      <w:pPr>
        <w:pStyle w:val="Normal-pool"/>
        <w:numPr>
          <w:ilvl w:val="0"/>
          <w:numId w:val="18"/>
        </w:numPr>
        <w:tabs>
          <w:tab w:val="clear" w:pos="624"/>
          <w:tab w:val="clear" w:pos="1247"/>
          <w:tab w:val="clear" w:pos="1871"/>
          <w:tab w:val="clear" w:pos="2495"/>
          <w:tab w:val="clear" w:pos="3119"/>
          <w:tab w:val="clear" w:pos="3742"/>
          <w:tab w:val="clear" w:pos="4366"/>
          <w:tab w:val="clear" w:pos="4990"/>
        </w:tabs>
        <w:spacing w:before="40" w:after="160"/>
        <w:ind w:left="1871" w:firstLine="624"/>
        <w:rPr>
          <w:sz w:val="18"/>
          <w:szCs w:val="18"/>
          <w:lang w:val="ru-RU"/>
        </w:rPr>
      </w:pPr>
      <w:r w:rsidRPr="003C0F9E">
        <w:rPr>
          <w:sz w:val="18"/>
          <w:szCs w:val="18"/>
          <w:lang w:val="ru-RU"/>
        </w:rPr>
        <w:t xml:space="preserve">для ГФУ диапазон </w:t>
      </w:r>
      <w:r w:rsidR="00B75B67" w:rsidRPr="003C0F9E">
        <w:rPr>
          <w:sz w:val="18"/>
          <w:szCs w:val="18"/>
          <w:lang w:val="ru-RU"/>
        </w:rPr>
        <w:t xml:space="preserve">совокупных </w:t>
      </w:r>
      <w:r w:rsidRPr="003C0F9E">
        <w:rPr>
          <w:sz w:val="18"/>
          <w:szCs w:val="18"/>
          <w:lang w:val="ru-RU"/>
        </w:rPr>
        <w:t>расходов оценивается с использованием двух сценариев: сценария 1 для ГФУ и сценария 2 для ГФУ с графиком распределения ресурсов А (подход с опережающим финансированием).</w:t>
      </w:r>
    </w:p>
    <w:p w14:paraId="18D21363" w14:textId="14F4280A" w:rsidR="0041077E" w:rsidRPr="00D62886" w:rsidRDefault="00BE17E3" w:rsidP="00F35924">
      <w:pPr>
        <w:tabs>
          <w:tab w:val="clear" w:pos="1247"/>
          <w:tab w:val="clear" w:pos="1814"/>
          <w:tab w:val="clear" w:pos="2381"/>
          <w:tab w:val="clear" w:pos="2948"/>
          <w:tab w:val="clear" w:pos="3515"/>
          <w:tab w:val="right" w:pos="851"/>
        </w:tabs>
        <w:suppressAutoHyphens/>
        <w:spacing w:after="120"/>
        <w:ind w:left="1247" w:right="284" w:hanging="1247"/>
        <w:rPr>
          <w:b/>
          <w:lang w:val="ru-RU"/>
        </w:rPr>
      </w:pPr>
      <w:r w:rsidRPr="002722F7">
        <w:rPr>
          <w:b/>
          <w:bCs/>
          <w:lang w:val="ru-RU"/>
        </w:rPr>
        <w:tab/>
      </w:r>
      <w:r w:rsidR="0041077E">
        <w:rPr>
          <w:b/>
          <w:bCs/>
          <w:lang w:val="ru-RU"/>
        </w:rPr>
        <w:t>2.</w:t>
      </w:r>
      <w:r w:rsidR="0041077E">
        <w:rPr>
          <w:lang w:val="ru-RU"/>
        </w:rPr>
        <w:tab/>
      </w:r>
      <w:r w:rsidR="0041077E">
        <w:rPr>
          <w:b/>
          <w:bCs/>
          <w:lang w:val="ru-RU"/>
        </w:rPr>
        <w:t>Продление срока действия механизма фиксированного обменного курса валют на трехгодичный период 2027–2029 годов (пункт 4 b) предварительной повестки дня подготовительного сегмента)</w:t>
      </w:r>
    </w:p>
    <w:p w14:paraId="4E3E75E9" w14:textId="1C8A5440" w:rsidR="0041077E" w:rsidRPr="007A6813" w:rsidRDefault="0041077E" w:rsidP="00F35924">
      <w:pPr>
        <w:pStyle w:val="Normalnumber"/>
        <w:tabs>
          <w:tab w:val="clear" w:pos="624"/>
          <w:tab w:val="clear" w:pos="1247"/>
          <w:tab w:val="clear" w:pos="1814"/>
          <w:tab w:val="clear" w:pos="2381"/>
          <w:tab w:val="clear" w:pos="2948"/>
          <w:tab w:val="clear" w:pos="3515"/>
        </w:tabs>
      </w:pPr>
      <w:r>
        <w:rPr>
          <w:lang w:val="ru-RU"/>
        </w:rPr>
        <w:t xml:space="preserve">Этот механизм, который впервые был внедрен на одиннадцатом Совещании Сторон, с тех пор используется многими Сторонами, вносящими взносы в Многосторонний фонд, для </w:t>
      </w:r>
      <w:r w:rsidR="00D62886">
        <w:rPr>
          <w:lang w:val="ru-RU"/>
        </w:rPr>
        <w:t>устранения</w:t>
      </w:r>
      <w:r>
        <w:rPr>
          <w:lang w:val="ru-RU"/>
        </w:rPr>
        <w:t xml:space="preserve"> административных сложностей, связанных с внесением взносов в валюте, отличной от их национальных валют, и для содействия своевременному внесению платежей. Одной из заявленных целей механизма является устранение возможного негативного влияния на уровень ресурсов, предоставляемых Многостороннему фонду. Начиная с третьего пополнения Многостороннего фонда в 2000 году, в механизм включено положение об определении среднего обменного курса, который будет применяться при использовании механизма для следующего пополнения. Сторонами также определяется временной период для усреднения обменных курсов. </w:t>
      </w:r>
    </w:p>
    <w:p w14:paraId="4D3E4748" w14:textId="0FD29450"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Шкала взносов и обменные курсы для взносов в рамках предстоящего пополнения Многостороннего фонда на 2027–2029 годы содержатся в записке секретариата по этому вопросу (UNEP/OzL.Pro.WG.1/48/INF/3). Шкала была скорректирована применительно к взносам в Многосторонний фонд на основе шкалы взносов Организации Объединенных Наций на период 2024–2026 годов. Скорректированная шкала взносов и обменные курсы представлены в том виде, в котором они были получены от ЮНЕП как казначея Многостороннего фонда. </w:t>
      </w:r>
    </w:p>
    <w:p w14:paraId="6941749D" w14:textId="6D90059D"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Как и в прошлом, секретариат подготовил шаблон проекта решения, основанный на предыдущем решении, принятом Сторонами в отношении механизма в 2023 году (решение</w:t>
      </w:r>
      <w:r w:rsidR="00BE17E3">
        <w:rPr>
          <w:lang w:val="en-US"/>
        </w:rPr>
        <w:t> </w:t>
      </w:r>
      <w:r>
        <w:rPr>
          <w:lang w:val="ru-RU"/>
        </w:rPr>
        <w:t>XXXV/2), на рассмотрение Сторон (UNEP/OzL.Pro.38/3, раздел IV, проект решения</w:t>
      </w:r>
      <w:r w:rsidR="00BE17E3">
        <w:rPr>
          <w:lang w:val="en-US"/>
        </w:rPr>
        <w:t> </w:t>
      </w:r>
      <w:r>
        <w:rPr>
          <w:lang w:val="ru-RU"/>
        </w:rPr>
        <w:t xml:space="preserve">XXXVIII/[CCC]). В ходе подготовительного сегмента Стороны могут пожелать рассмотреть и при необходимости вынести рекомендации о применении механизма с учетом текущей ситуации с его функционированием. </w:t>
      </w:r>
    </w:p>
    <w:p w14:paraId="75D8BAC1" w14:textId="49345949" w:rsidR="009F2540" w:rsidRPr="00D62886" w:rsidRDefault="00BE17E3" w:rsidP="00F35924">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2722F7">
        <w:rPr>
          <w:bCs/>
          <w:lang w:val="ru-RU"/>
        </w:rPr>
        <w:lastRenderedPageBreak/>
        <w:tab/>
      </w:r>
      <w:r w:rsidR="0041077E">
        <w:rPr>
          <w:bCs/>
          <w:lang w:val="ru-RU"/>
        </w:rPr>
        <w:t>E.</w:t>
      </w:r>
      <w:r w:rsidR="0041077E">
        <w:rPr>
          <w:lang w:val="ru-RU"/>
        </w:rPr>
        <w:tab/>
      </w:r>
      <w:r w:rsidR="0041077E">
        <w:rPr>
          <w:bCs/>
          <w:lang w:val="ru-RU"/>
        </w:rPr>
        <w:t>Дальнейшее укрепление учреждений Монреальского протокола (UNEP/OzL.Pro.37/9, п. 166) (пункт 5 предварительной повестки дня подготовительного сегмента)</w:t>
      </w:r>
    </w:p>
    <w:p w14:paraId="16816392" w14:textId="77777777" w:rsidR="009F2540" w:rsidRPr="00D62886" w:rsidRDefault="009F2540" w:rsidP="00F35924">
      <w:pPr>
        <w:pStyle w:val="Normalnumber"/>
        <w:tabs>
          <w:tab w:val="clear" w:pos="624"/>
          <w:tab w:val="clear" w:pos="1247"/>
          <w:tab w:val="clear" w:pos="1814"/>
          <w:tab w:val="clear" w:pos="2381"/>
          <w:tab w:val="clear" w:pos="2948"/>
          <w:tab w:val="clear" w:pos="3515"/>
        </w:tabs>
        <w:rPr>
          <w:lang w:val="ru-RU"/>
        </w:rPr>
      </w:pPr>
      <w:r>
        <w:rPr>
          <w:lang w:val="ru-RU"/>
        </w:rPr>
        <w:t>На сорок восьмом совещании Рабочей группы открытого состава в рамках данного пункта повестки дня были представлены два документа зала заседаний.</w:t>
      </w:r>
    </w:p>
    <w:p w14:paraId="7CD5896A" w14:textId="4F029517" w:rsidR="009F2540" w:rsidRPr="00D62886" w:rsidRDefault="009F2540" w:rsidP="00F35924">
      <w:pPr>
        <w:pStyle w:val="Normalnumber"/>
        <w:tabs>
          <w:tab w:val="clear" w:pos="624"/>
          <w:tab w:val="clear" w:pos="1247"/>
          <w:tab w:val="clear" w:pos="1814"/>
          <w:tab w:val="clear" w:pos="2381"/>
          <w:tab w:val="clear" w:pos="2948"/>
          <w:tab w:val="clear" w:pos="3515"/>
        </w:tabs>
        <w:rPr>
          <w:lang w:val="ru-RU"/>
        </w:rPr>
      </w:pPr>
      <w:r>
        <w:rPr>
          <w:lang w:val="ru-RU"/>
        </w:rPr>
        <w:t xml:space="preserve">Представитель Камеруна </w:t>
      </w:r>
      <w:r w:rsidR="005D3404" w:rsidRPr="00B7224B">
        <w:rPr>
          <w:lang w:val="ru-RU"/>
        </w:rPr>
        <w:t xml:space="preserve">внес </w:t>
      </w:r>
      <w:r w:rsidR="005D3404">
        <w:rPr>
          <w:lang w:val="ru-RU"/>
        </w:rPr>
        <w:t xml:space="preserve">на рассмотрение </w:t>
      </w:r>
      <w:r>
        <w:rPr>
          <w:lang w:val="ru-RU"/>
        </w:rPr>
        <w:t>документ зала заседаний, содержащий проект решения об укреплении функционирования Монреальского протокола, представленный его делегацией от имени Группы африканских государств. Он пояснил, что с учетом информации о незаконной торговле, собранной с 2002 года и обобщенной секретариатом, Группа африканских государств считает необходимым принятие более конкретных мер, чем те, которые представлены в соответствующем сводном документе, подготовленном секретариатом (UNEP/OzL.Pro.WG.1/48/3). В проекте этого решения секретариату предлагается подготовить доклад об инструментах борьбы с незаконной торговлей и контрольный перечень, определяющий основные характеристики эффективных систем лицензирования, а также изучить целесообразность и стоимость разработки программного обеспечения для лицензирования с открытым исходным кодом, которое можно интегрировать в таможенные системы и системы «единого окна». Кроме того, Исполнительному комитету Многостороннего фонда будет поручено провести оценку дополнительных потребностей Сторон, действующих в рамках статьи 5, в подготовке кадров и потенциале в связи с незаконной торговлей, системами лицензирования и представлением данных, в консультации, сообразно обстоятельствам, с национальными должностными лицами по озоновому слою, Программой содействия соблюдению и Всемирной таможенной организацией.</w:t>
      </w:r>
    </w:p>
    <w:p w14:paraId="27059C3F" w14:textId="0372881D" w:rsidR="009F2540" w:rsidRPr="00D62886" w:rsidRDefault="009F2540" w:rsidP="00F35924">
      <w:pPr>
        <w:pStyle w:val="Normalnumber"/>
        <w:tabs>
          <w:tab w:val="clear" w:pos="624"/>
          <w:tab w:val="clear" w:pos="1247"/>
          <w:tab w:val="clear" w:pos="1814"/>
          <w:tab w:val="clear" w:pos="2381"/>
          <w:tab w:val="clear" w:pos="2948"/>
          <w:tab w:val="clear" w:pos="3515"/>
        </w:tabs>
        <w:rPr>
          <w:lang w:val="ru-RU"/>
        </w:rPr>
      </w:pPr>
      <w:r>
        <w:rPr>
          <w:lang w:val="ru-RU"/>
        </w:rPr>
        <w:t>Представитель Канады, выступая также от имени Австралии, Европейского союза, Норвегии и Швейцарии, представил документ зала заседаний, содержащий проект решения об укреплении систем лицензирования и представления данных для предотвращения незаконной торговли. Он отметил, что, как и проект решения Группы африканских государств, предложение его группы направлено на решение ключевых вопросов, выявленных в последние годы, главным образом путем укрепления систем лицензирования Сторон в сфере импорта и экспорта регулируемых веществ и совершенствования представления данных, хотя в нем также вновь подтверждались решения, которые, вероятно, были забыты или не выполнялись Сторонами на систематической основе. В проекте этого решения секретариату по озону предлагается подготовить для информационных целей контрольный перечень основных характеристик систем лицензирования и информировать Стороны о тех Сторонах, которые не представили к установленному сроку 30 сентября данные, требуемые в соответствии со статьей</w:t>
      </w:r>
      <w:r w:rsidR="00BE17E3">
        <w:rPr>
          <w:lang w:val="ru-RU"/>
        </w:rPr>
        <w:t> </w:t>
      </w:r>
      <w:r>
        <w:rPr>
          <w:lang w:val="ru-RU"/>
        </w:rPr>
        <w:t>7. В нем также содержатся обращения к Сторонам с просьбой представить информацию о характеристиках их систем лицензирования, а также рекомендации в отношении сферы действия этих систем, механизмов проверки импорта и экспорта и представления данных. Кроме того, национальным органам по озоновому слою и сотрудникам таможенных органов будет рекомендовано обмениваться данными в целях более эффективного отслеживания и мониторинга импорта регулируемых веществ. В проекте решения также содержится напоминание о том, что Стороны, действующие в рамках статьи 5, могут воспользоваться поддержкой Программы содействия соблюдению при разработке и внедрении своих национальных систем лицензирования. Наконец, в нем секретариату по озону поручается взаимодействовать с секретариатом Многостороннего фонда в интересах рассмотрения возможных вариантов формирования скоординированного подхода к представлению данных.</w:t>
      </w:r>
    </w:p>
    <w:p w14:paraId="1D47F6BA" w14:textId="77777777" w:rsidR="009F2540" w:rsidRPr="00D62886" w:rsidRDefault="009F2540" w:rsidP="00F35924">
      <w:pPr>
        <w:pStyle w:val="Normalnumber"/>
        <w:tabs>
          <w:tab w:val="clear" w:pos="624"/>
          <w:tab w:val="clear" w:pos="1247"/>
          <w:tab w:val="clear" w:pos="1814"/>
          <w:tab w:val="clear" w:pos="2381"/>
          <w:tab w:val="clear" w:pos="2948"/>
          <w:tab w:val="clear" w:pos="3515"/>
        </w:tabs>
        <w:rPr>
          <w:lang w:val="ru-RU"/>
        </w:rPr>
      </w:pPr>
      <w:r>
        <w:rPr>
          <w:lang w:val="ru-RU"/>
        </w:rPr>
        <w:t>Краткое изложение обсуждений этого вопроса, состоявшихся на сорок восьмом совещании Рабочей группы открытого состава, приводится в пунктах 172–181 доклада о работе совещания.</w:t>
      </w:r>
    </w:p>
    <w:p w14:paraId="5CC42CC1" w14:textId="5C33056C" w:rsidR="00E2756B" w:rsidRPr="00D62886" w:rsidRDefault="009F2540" w:rsidP="00F35924">
      <w:pPr>
        <w:pStyle w:val="Normalnumber"/>
        <w:tabs>
          <w:tab w:val="clear" w:pos="624"/>
          <w:tab w:val="clear" w:pos="1247"/>
          <w:tab w:val="clear" w:pos="1814"/>
          <w:tab w:val="clear" w:pos="2381"/>
          <w:tab w:val="clear" w:pos="2948"/>
          <w:tab w:val="clear" w:pos="3515"/>
        </w:tabs>
        <w:rPr>
          <w:lang w:val="ru-RU"/>
        </w:rPr>
      </w:pPr>
      <w:r>
        <w:rPr>
          <w:lang w:val="ru-RU"/>
        </w:rPr>
        <w:t xml:space="preserve">Рабочая группа открытого состава постановила учредить контактную группу под совместным председательством Лианы Гахраманян (Армения) и Пауля Крайника (Австрия) для дальнейшего обсуждения этого вопроса, в том числе путем рассмотрения двух проектов решений, изложенных в документах зала заседаний. Были достигнуты успехи в рассмотрении обоих предложений по проектам решений, и контактная группа пришла к выводу, что эти предложения следует дополнительно рассмотреть на тридцать восьмом Совещании Сторон. </w:t>
      </w:r>
    </w:p>
    <w:p w14:paraId="2B4296EA" w14:textId="15CF7E1E" w:rsidR="009F2540" w:rsidRPr="00D62886" w:rsidRDefault="009F2540" w:rsidP="00F35924">
      <w:pPr>
        <w:pStyle w:val="Normalnumber"/>
        <w:tabs>
          <w:tab w:val="clear" w:pos="624"/>
          <w:tab w:val="clear" w:pos="1247"/>
          <w:tab w:val="clear" w:pos="1814"/>
          <w:tab w:val="clear" w:pos="2381"/>
          <w:tab w:val="clear" w:pos="2948"/>
          <w:tab w:val="clear" w:pos="3515"/>
        </w:tabs>
        <w:rPr>
          <w:lang w:val="ru-RU"/>
        </w:rPr>
      </w:pPr>
      <w:r>
        <w:rPr>
          <w:lang w:val="ru-RU"/>
        </w:rPr>
        <w:t>Рабочая группа открытого состава поручила секретариату представить информацию о мерах, которые были приняты или принимаются в связи с пунктами постановляющей части обоих предложений, либо, в соответствующих случаях, указать на отсутствие такой информации</w:t>
      </w:r>
      <w:r w:rsidR="00D62886">
        <w:rPr>
          <w:lang w:val="ru-RU"/>
        </w:rPr>
        <w:t>,</w:t>
      </w:r>
      <w:r>
        <w:rPr>
          <w:lang w:val="ru-RU"/>
        </w:rPr>
        <w:t xml:space="preserve"> и постановила передать оба предложения по проектам решений на дальнейшее рассмотрение тридцать восьмого Совещания Сторон. Проекты решений, представленные на </w:t>
      </w:r>
      <w:r>
        <w:rPr>
          <w:lang w:val="ru-RU"/>
        </w:rPr>
        <w:lastRenderedPageBreak/>
        <w:t>сорок восьмом совещании Рабочей группы Камеруном от имени Группы африканских государств и Канадой от своего имени, а также от имени Австралии, Европейского союза, Норвегии и Швейцарии, приводятся в разделе III документа UNEP/OzL.Pro.38/3 в качестве проектов решений XXXVIII/[AA] и XXXVIII/[BB]</w:t>
      </w:r>
      <w:r w:rsidR="006A638B">
        <w:rPr>
          <w:lang w:val="ru-RU"/>
        </w:rPr>
        <w:t>,</w:t>
      </w:r>
      <w:r>
        <w:rPr>
          <w:lang w:val="ru-RU"/>
        </w:rPr>
        <w:t xml:space="preserve"> соответственно. Информация, запрошенная Рабочей группой, будет включена в добавление к настоящей записке.</w:t>
      </w:r>
    </w:p>
    <w:p w14:paraId="34A45D4F" w14:textId="77777777" w:rsidR="009F2540" w:rsidRPr="00D62886" w:rsidRDefault="009F2540" w:rsidP="00F35924">
      <w:pPr>
        <w:pStyle w:val="Normalnumber"/>
        <w:tabs>
          <w:tab w:val="clear" w:pos="624"/>
          <w:tab w:val="clear" w:pos="1247"/>
          <w:tab w:val="clear" w:pos="1814"/>
          <w:tab w:val="clear" w:pos="2381"/>
          <w:tab w:val="clear" w:pos="2948"/>
          <w:tab w:val="clear" w:pos="3515"/>
        </w:tabs>
        <w:rPr>
          <w:lang w:val="ru-RU"/>
        </w:rPr>
      </w:pPr>
      <w:r>
        <w:rPr>
          <w:lang w:val="ru-RU"/>
        </w:rPr>
        <w:t>В ходе подготовительного сегмента Стороны могут пожелать продолжить рассмотрение ими этого вопроса.</w:t>
      </w:r>
    </w:p>
    <w:p w14:paraId="1E3594C4" w14:textId="5BDC6985" w:rsidR="009F2540" w:rsidRPr="00D62886" w:rsidRDefault="00BE17E3" w:rsidP="00F35924">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A34A22">
        <w:rPr>
          <w:bCs/>
          <w:lang w:val="ru-RU"/>
        </w:rPr>
        <w:t>F.</w:t>
      </w:r>
      <w:r w:rsidR="00A34A22">
        <w:rPr>
          <w:lang w:val="ru-RU"/>
        </w:rPr>
        <w:tab/>
      </w:r>
      <w:r w:rsidR="00A34A22">
        <w:rPr>
          <w:bCs/>
          <w:lang w:val="ru-RU"/>
        </w:rPr>
        <w:t>Обеспечение устойчивости деятельности в рамках Монреальского протокола (решение XXXVII/7) (пункт 6 предварительной повестки дня подготовительного этапа)</w:t>
      </w:r>
    </w:p>
    <w:p w14:paraId="0898F5ED" w14:textId="77777777" w:rsidR="009F2540" w:rsidRPr="00D62886" w:rsidRDefault="009F2540" w:rsidP="00F35924">
      <w:pPr>
        <w:pStyle w:val="Normalnumber"/>
        <w:tabs>
          <w:tab w:val="clear" w:pos="624"/>
          <w:tab w:val="clear" w:pos="1247"/>
          <w:tab w:val="clear" w:pos="1814"/>
          <w:tab w:val="clear" w:pos="2381"/>
          <w:tab w:val="clear" w:pos="2948"/>
          <w:tab w:val="clear" w:pos="3515"/>
        </w:tabs>
        <w:rPr>
          <w:lang w:val="ru-RU"/>
        </w:rPr>
      </w:pPr>
      <w:r>
        <w:rPr>
          <w:lang w:val="ru-RU"/>
        </w:rPr>
        <w:t>В пункте 1 решения XXXVII/7 тридцать седьмое Совещание Сторон поручило секретариату подготовить для рассмотрения Рабочей группой открытого состава на ее сорок восьмом совещании доклад о вариантах внесения эффективных и рациональных изменений, с соответствующими сметами, в отношении сроков проведения, поддержки секретариатом и продолжительности совещаний Сторон и совещаний Рабочей группы, Комитета по выполнению и групп по оценке, а также сроков принятия решений о пополнении. Этот доклад изложен в документах UNEP/OzL.Pro.WG.1/48/4 и UNEP/OzL.Pro.WG.1/48/4/Add.1.</w:t>
      </w:r>
    </w:p>
    <w:p w14:paraId="6F1F4CF4" w14:textId="1635636E" w:rsidR="009F2540" w:rsidRPr="00D62886" w:rsidRDefault="009F2540" w:rsidP="00F35924">
      <w:pPr>
        <w:pStyle w:val="Normalnumber"/>
        <w:tabs>
          <w:tab w:val="clear" w:pos="624"/>
          <w:tab w:val="clear" w:pos="1247"/>
          <w:tab w:val="clear" w:pos="1814"/>
          <w:tab w:val="clear" w:pos="2381"/>
          <w:tab w:val="clear" w:pos="2948"/>
          <w:tab w:val="clear" w:pos="3515"/>
        </w:tabs>
        <w:rPr>
          <w:lang w:val="ru-RU"/>
        </w:rPr>
      </w:pPr>
      <w:r>
        <w:rPr>
          <w:lang w:val="ru-RU"/>
        </w:rPr>
        <w:t>После первоначального обсуждения этого вопроса, краткое содержание которого приводится в пунктах 154–164 доклада о работе сорок восьмого совещания, Рабочая группа постановила учредить контактную группу под совместным председательством Алессандро Перу (Италия) и Серхио Мерино (Мексика) для углубленного обсуждения документов UNEP/OzL.Pro.WG.1/48/4 и UNEP/OzL.Pro.WG.1/48/4/Add.1, а также предложения, выдвинутые в ходе обсуждений на пленарных заседаниях.</w:t>
      </w:r>
    </w:p>
    <w:p w14:paraId="1ED80DE6" w14:textId="6E50E4C5" w:rsidR="009F2540" w:rsidRPr="00D62886" w:rsidRDefault="009F2540" w:rsidP="00F35924">
      <w:pPr>
        <w:pStyle w:val="Normalnumber"/>
        <w:tabs>
          <w:tab w:val="clear" w:pos="624"/>
          <w:tab w:val="clear" w:pos="1247"/>
          <w:tab w:val="clear" w:pos="1814"/>
          <w:tab w:val="clear" w:pos="2381"/>
          <w:tab w:val="clear" w:pos="2948"/>
          <w:tab w:val="clear" w:pos="3515"/>
        </w:tabs>
        <w:rPr>
          <w:lang w:val="ru-RU"/>
        </w:rPr>
      </w:pPr>
      <w:r>
        <w:rPr>
          <w:lang w:val="ru-RU"/>
        </w:rPr>
        <w:t>Впоследствии сопредседатели контактной группы сообщили, что группа завершила обсуждение. Секретариат составил перечень всех вопросов, заданных участниками в ходе обсуждения, и выразил готовность и далее принимать вопросы по электронной почте</w:t>
      </w:r>
      <w:r w:rsidRPr="007A6813">
        <w:rPr>
          <w:rStyle w:val="FootnoteReference"/>
          <w:lang w:val="ru-RU"/>
        </w:rPr>
        <w:footnoteReference w:id="3"/>
      </w:r>
      <w:r>
        <w:rPr>
          <w:lang w:val="ru-RU"/>
        </w:rPr>
        <w:t xml:space="preserve"> не позднее 31 августа 2026 года, чтобы использовать их в качестве основы для дополнения сведений, представленных в его докладе. </w:t>
      </w:r>
    </w:p>
    <w:p w14:paraId="619A01B3" w14:textId="19342384" w:rsidR="009F2540" w:rsidRPr="00D62886" w:rsidRDefault="009F2540" w:rsidP="00F35924">
      <w:pPr>
        <w:pStyle w:val="Normalnumber"/>
        <w:tabs>
          <w:tab w:val="clear" w:pos="624"/>
          <w:tab w:val="clear" w:pos="1247"/>
          <w:tab w:val="clear" w:pos="1814"/>
          <w:tab w:val="clear" w:pos="2381"/>
          <w:tab w:val="clear" w:pos="2948"/>
          <w:tab w:val="clear" w:pos="3515"/>
        </w:tabs>
        <w:rPr>
          <w:lang w:val="ru-RU"/>
        </w:rPr>
      </w:pPr>
      <w:r>
        <w:rPr>
          <w:lang w:val="ru-RU"/>
        </w:rPr>
        <w:t xml:space="preserve">В этой связи Рабочая группа открытого состава постановила предложить Сторонам представить дополнительные вопросы не позднее 31 августа 2026 года и возобновить обсуждение вопроса об обеспечении устойчивости деятельности в рамках Монреальского протокола на тридцать восьмом Совещании Сторон с учетом дополнительного доклада, который будет подготовлен секретариатом. </w:t>
      </w:r>
    </w:p>
    <w:p w14:paraId="6C40255D" w14:textId="32EF9162" w:rsidR="009F2540" w:rsidRPr="00D62886" w:rsidRDefault="009F2540" w:rsidP="00F35924">
      <w:pPr>
        <w:pStyle w:val="Normalnumber"/>
        <w:tabs>
          <w:tab w:val="clear" w:pos="624"/>
          <w:tab w:val="clear" w:pos="1247"/>
          <w:tab w:val="clear" w:pos="1814"/>
          <w:tab w:val="clear" w:pos="2381"/>
          <w:tab w:val="clear" w:pos="2948"/>
          <w:tab w:val="clear" w:pos="3515"/>
        </w:tabs>
        <w:rPr>
          <w:lang w:val="ru-RU"/>
        </w:rPr>
      </w:pPr>
      <w:r>
        <w:rPr>
          <w:lang w:val="ru-RU"/>
        </w:rPr>
        <w:t>На рассмотрение Сторон будет представлена записка секретариата, подготовленная в ответ на дополнительные вопросы, полученные от Сторон до 31 августа 2026 года (UNEP/OzL.Pro.38/7).</w:t>
      </w:r>
    </w:p>
    <w:p w14:paraId="0F23949D" w14:textId="69642E26" w:rsidR="0041077E" w:rsidRPr="00D62886" w:rsidRDefault="00F05C5F" w:rsidP="00F35924">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A34A22">
        <w:rPr>
          <w:bCs/>
          <w:lang w:val="ru-RU"/>
        </w:rPr>
        <w:t>G.</w:t>
      </w:r>
      <w:r w:rsidR="00A34A22">
        <w:rPr>
          <w:lang w:val="ru-RU"/>
        </w:rPr>
        <w:tab/>
      </w:r>
      <w:r w:rsidR="00A34A22">
        <w:rPr>
          <w:bCs/>
          <w:lang w:val="ru-RU"/>
        </w:rPr>
        <w:t>Выбросы гидрофторуглерода-23 (ГФУ-23) (решение XXXVII/2) (пункт 7 предварительной повестки дня подготовительного сегмента)</w:t>
      </w:r>
    </w:p>
    <w:p w14:paraId="6308FBE3" w14:textId="5C16E375"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пункте 1 решения XXXVII/2 Группе по научной оценке и Группе по техническому обзору и экономической оценке было поручено представить тридцать восьмому Совещанию Сторон обновленную информацию о выбросах ГФУ-23 с учетом данных, представленных Сторонами во исполнение решения XXXVI/3 и в соответствии с пунктом 2 решения XXXVII/2.</w:t>
      </w:r>
    </w:p>
    <w:p w14:paraId="6AB41DC9" w14:textId="5CDBEF83"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Информация, полученная секретариатом от Сторон, имеющих объекты по производству ГХФУ-22, о применяемых ими в настоящее время методологиях оценки выбросов ГФУ-23 при производстве ГХФУ-22 и представлени</w:t>
      </w:r>
      <w:r w:rsidR="00D62886">
        <w:rPr>
          <w:lang w:val="ru-RU"/>
        </w:rPr>
        <w:t>и</w:t>
      </w:r>
      <w:r>
        <w:rPr>
          <w:lang w:val="ru-RU"/>
        </w:rPr>
        <w:t xml:space="preserve"> сведений о таких выбросах во исполнение решения</w:t>
      </w:r>
      <w:r w:rsidR="00C12214">
        <w:rPr>
          <w:lang w:val="ru-RU"/>
        </w:rPr>
        <w:t> </w:t>
      </w:r>
      <w:r>
        <w:rPr>
          <w:lang w:val="ru-RU"/>
        </w:rPr>
        <w:t>XXXVI/3 и пункта 2 решения XXXVII/2, была направлена Группе по научной оценке и Группе по техническому обзору и экономической оценке для рассмотрения при подготовке их докладов.</w:t>
      </w:r>
    </w:p>
    <w:p w14:paraId="1AE79E8F" w14:textId="5309813A"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Ожидается, что доклады групп будут представлены в сентябре 2026 года, а их краткие изложения будут включены в добавление к настоящей записке.</w:t>
      </w:r>
    </w:p>
    <w:p w14:paraId="42BA9510" w14:textId="434B635D" w:rsidR="0041077E" w:rsidRPr="00D62886" w:rsidRDefault="00F05C5F" w:rsidP="00F35924">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lastRenderedPageBreak/>
        <w:tab/>
      </w:r>
      <w:r w:rsidR="0041077E">
        <w:rPr>
          <w:bCs/>
          <w:lang w:val="ru-RU"/>
        </w:rPr>
        <w:t>H.</w:t>
      </w:r>
      <w:r w:rsidR="0041077E">
        <w:rPr>
          <w:lang w:val="ru-RU"/>
        </w:rPr>
        <w:tab/>
      </w:r>
      <w:r w:rsidR="0041077E">
        <w:rPr>
          <w:bCs/>
          <w:lang w:val="ru-RU"/>
        </w:rPr>
        <w:t>Усиление регионального атмосферного мониторинга веществ, регулируемых в рамках Монреальского протокола (решение XXXVII/1) (пункт 8 предварительной повестки дня подготовительного сегмента)</w:t>
      </w:r>
    </w:p>
    <w:p w14:paraId="0AF55ABC" w14:textId="521ABDAA"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пункте 4 решения XXXVII/1 секретариату было поручено представить Рабочей группе открытого состава на ее сорок восьмом совещании, а также тридцать восьмому Совещанию Сторон доклад о ходе осуществления и любых результатах деятельности, связанной с оценкой пригодности потенциальных мест для мониторинга выбросов регулируемых веществ, расположенных в регионах и местах, указанных в сведениях, представленных Консультативным комитетом Общего целевого фонда для финансирования связанной с Венской конвенцией об охране озонового слоя деятельности по проведению исследований и систематических наблюдений, а также подготовить возможные дальнейшие шаги по организации мониторинга в этих местах.</w:t>
      </w:r>
    </w:p>
    <w:p w14:paraId="01A6A290" w14:textId="0938FAE4"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Во исполнение этого поручения на сорок восьмом совещании Рабочей группы открытого состава представитель секретариата и сопредседатель Консультативного комитета А.</w:t>
      </w:r>
      <w:r w:rsidR="0070723C">
        <w:rPr>
          <w:lang w:val="ru-RU"/>
        </w:rPr>
        <w:t> </w:t>
      </w:r>
      <w:r>
        <w:rPr>
          <w:lang w:val="ru-RU"/>
        </w:rPr>
        <w:t xml:space="preserve">Р. Равишанкара представили информацию о ходе осуществления решения XXXVII/1, в том числе о разработке интерактивного онлайнового инструмента для расчета затрат, который заинтересованные Стороны смогут использовать для оценки затрат на создание и эксплуатацию станций мониторинга на своей территории с учетом национальных обстоятельств; </w:t>
      </w:r>
      <w:r w:rsidR="005D3404">
        <w:rPr>
          <w:lang w:val="ru-RU"/>
        </w:rPr>
        <w:t xml:space="preserve">о </w:t>
      </w:r>
      <w:r>
        <w:rPr>
          <w:lang w:val="ru-RU"/>
        </w:rPr>
        <w:t>10</w:t>
      </w:r>
      <w:r w:rsidR="003C0F9E">
        <w:rPr>
          <w:lang w:val="en-US"/>
        </w:rPr>
        <w:t> </w:t>
      </w:r>
      <w:r>
        <w:rPr>
          <w:lang w:val="ru-RU"/>
        </w:rPr>
        <w:t>регион</w:t>
      </w:r>
      <w:r w:rsidR="00D62886">
        <w:rPr>
          <w:lang w:val="ru-RU"/>
        </w:rPr>
        <w:t>ах</w:t>
      </w:r>
      <w:r>
        <w:rPr>
          <w:lang w:val="ru-RU"/>
        </w:rPr>
        <w:t xml:space="preserve"> и мест</w:t>
      </w:r>
      <w:r w:rsidR="00D62886">
        <w:rPr>
          <w:lang w:val="ru-RU"/>
        </w:rPr>
        <w:t>ах</w:t>
      </w:r>
      <w:r>
        <w:rPr>
          <w:lang w:val="ru-RU"/>
        </w:rPr>
        <w:t xml:space="preserve">, определенных Консультативным комитетом для устранения пробелов в региональном мониторинге регулируемых веществ в атмосфере; </w:t>
      </w:r>
      <w:r w:rsidR="005D3404">
        <w:rPr>
          <w:lang w:val="ru-RU"/>
        </w:rPr>
        <w:t xml:space="preserve">о </w:t>
      </w:r>
      <w:r>
        <w:rPr>
          <w:lang w:val="ru-RU"/>
        </w:rPr>
        <w:t xml:space="preserve">продолжении оценки пригодности пяти приоритетных регионов и мест, включая наличие соответствующей инфраструктуры; </w:t>
      </w:r>
      <w:r w:rsidR="005D3404">
        <w:rPr>
          <w:lang w:val="ru-RU"/>
        </w:rPr>
        <w:t xml:space="preserve">о </w:t>
      </w:r>
      <w:r>
        <w:rPr>
          <w:lang w:val="ru-RU"/>
        </w:rPr>
        <w:t xml:space="preserve">создании механизма финансирования в рамках Многостороннего фонда; и </w:t>
      </w:r>
      <w:r w:rsidR="005D3404">
        <w:rPr>
          <w:lang w:val="ru-RU"/>
        </w:rPr>
        <w:t xml:space="preserve">о </w:t>
      </w:r>
      <w:r>
        <w:rPr>
          <w:lang w:val="ru-RU"/>
        </w:rPr>
        <w:t xml:space="preserve">новых соображениях. </w:t>
      </w:r>
    </w:p>
    <w:p w14:paraId="70B70DA1" w14:textId="5DB9AC9E"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Краткое изложение обсуждений этого вопроса, состоявшихся на сорок восьмом совещании Рабочей группы открытого состава, приводится в пунктах 143–151 доклада о работе совещания.</w:t>
      </w:r>
    </w:p>
    <w:p w14:paraId="3992D6D8" w14:textId="68DF2483" w:rsidR="0041077E" w:rsidRPr="00D62886" w:rsidRDefault="00EE0852" w:rsidP="00F35924">
      <w:pPr>
        <w:pStyle w:val="Normalnumber"/>
        <w:tabs>
          <w:tab w:val="clear" w:pos="624"/>
          <w:tab w:val="clear" w:pos="1247"/>
          <w:tab w:val="clear" w:pos="1814"/>
          <w:tab w:val="clear" w:pos="2381"/>
          <w:tab w:val="clear" w:pos="2948"/>
          <w:tab w:val="clear" w:pos="3515"/>
        </w:tabs>
        <w:rPr>
          <w:lang w:val="ru-RU"/>
        </w:rPr>
      </w:pPr>
      <w:r>
        <w:rPr>
          <w:lang w:val="ru-RU"/>
        </w:rPr>
        <w:t xml:space="preserve">По итогам обсуждения Рабочая группа открытого состава постановила, что Стороны продолжат неофициальные обсуждения в кулуарах сорок восьмого совещания и в межсессионный период, включая консультации в отношении проекта решения, и продолжат обсуждение этого вопроса на тридцать восьмом Совещании Сторон. </w:t>
      </w:r>
    </w:p>
    <w:p w14:paraId="5148FD80" w14:textId="3AAB0CD9"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Секретариат совместно с Консультативным комитетом представит на рассмотрение тридцать восьмого Совещания Сторон доклад о ходе выполнения решения XXXVII/1. Краткое изложение доклада секретариата и Консультативного комитета будет приведено в добавлении к настоящей записке.</w:t>
      </w:r>
    </w:p>
    <w:p w14:paraId="156F7510" w14:textId="4A6A3E4C" w:rsidR="0041077E" w:rsidRPr="00D62886" w:rsidRDefault="0070723C" w:rsidP="00F35924">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41077E">
        <w:rPr>
          <w:bCs/>
          <w:lang w:val="ru-RU"/>
        </w:rPr>
        <w:t>I.</w:t>
      </w:r>
      <w:r w:rsidR="0041077E">
        <w:rPr>
          <w:lang w:val="ru-RU"/>
        </w:rPr>
        <w:tab/>
      </w:r>
      <w:r w:rsidR="0041077E">
        <w:rPr>
          <w:bCs/>
          <w:lang w:val="ru-RU"/>
        </w:rPr>
        <w:t>Организационные вопросы Группы по техническому обзору и экономической оценке (пункт 9 предварительной повестки дня подготовительного сегмента)</w:t>
      </w:r>
    </w:p>
    <w:p w14:paraId="6FEA9F3B" w14:textId="17287A94" w:rsidR="0041077E" w:rsidRPr="00D62886" w:rsidRDefault="0070723C" w:rsidP="00F35924">
      <w:pPr>
        <w:pStyle w:val="CH2"/>
        <w:keepNext w:val="0"/>
        <w:keepLines w:val="0"/>
        <w:tabs>
          <w:tab w:val="clear" w:pos="1247"/>
          <w:tab w:val="clear" w:pos="1871"/>
          <w:tab w:val="clear" w:pos="2495"/>
          <w:tab w:val="clear" w:pos="3119"/>
          <w:tab w:val="clear" w:pos="3742"/>
          <w:tab w:val="clear" w:pos="4366"/>
          <w:tab w:val="clear" w:pos="4990"/>
        </w:tabs>
        <w:spacing w:before="0"/>
        <w:ind w:right="284"/>
        <w:rPr>
          <w:sz w:val="20"/>
          <w:szCs w:val="20"/>
          <w:lang w:val="ru-RU"/>
        </w:rPr>
      </w:pPr>
      <w:r>
        <w:rPr>
          <w:bCs/>
          <w:sz w:val="20"/>
          <w:szCs w:val="20"/>
          <w:lang w:val="ru-RU"/>
        </w:rPr>
        <w:tab/>
      </w:r>
      <w:r w:rsidR="0041077E">
        <w:rPr>
          <w:bCs/>
          <w:sz w:val="20"/>
          <w:szCs w:val="20"/>
          <w:lang w:val="ru-RU"/>
        </w:rPr>
        <w:t>1.</w:t>
      </w:r>
      <w:r w:rsidR="0041077E">
        <w:rPr>
          <w:sz w:val="20"/>
          <w:szCs w:val="20"/>
          <w:lang w:val="ru-RU"/>
        </w:rPr>
        <w:tab/>
      </w:r>
      <w:r w:rsidR="0041077E">
        <w:rPr>
          <w:bCs/>
          <w:sz w:val="20"/>
          <w:szCs w:val="20"/>
          <w:lang w:val="ru-RU"/>
        </w:rPr>
        <w:t>Варианты организации работы Группы по техническому обзору и экономической оценке и ее комитетов по техническим вариантам замены (решение XXXV/20) (пункт</w:t>
      </w:r>
      <w:r>
        <w:rPr>
          <w:bCs/>
          <w:sz w:val="20"/>
          <w:szCs w:val="20"/>
          <w:lang w:val="ru-RU"/>
        </w:rPr>
        <w:t> </w:t>
      </w:r>
      <w:r w:rsidR="0041077E">
        <w:rPr>
          <w:bCs/>
          <w:sz w:val="20"/>
          <w:szCs w:val="20"/>
          <w:lang w:val="ru-RU"/>
        </w:rPr>
        <w:t>9</w:t>
      </w:r>
      <w:r>
        <w:rPr>
          <w:bCs/>
          <w:sz w:val="20"/>
          <w:szCs w:val="20"/>
          <w:lang w:val="ru-RU"/>
        </w:rPr>
        <w:t> </w:t>
      </w:r>
      <w:r w:rsidR="0041077E">
        <w:rPr>
          <w:bCs/>
          <w:sz w:val="20"/>
          <w:szCs w:val="20"/>
          <w:lang w:val="ru-RU"/>
        </w:rPr>
        <w:t>а) предварительной повестки дня подготовительного сегмента)</w:t>
      </w:r>
      <w:bookmarkStart w:id="3" w:name="_Hlk204354375"/>
    </w:p>
    <w:bookmarkEnd w:id="3"/>
    <w:p w14:paraId="16EB9206" w14:textId="1C9B5080" w:rsidR="0041077E" w:rsidRPr="00D62886" w:rsidRDefault="0071491B" w:rsidP="00F35924">
      <w:pPr>
        <w:pStyle w:val="Normalnumber"/>
        <w:tabs>
          <w:tab w:val="clear" w:pos="624"/>
          <w:tab w:val="clear" w:pos="1247"/>
          <w:tab w:val="clear" w:pos="1814"/>
          <w:tab w:val="clear" w:pos="2381"/>
          <w:tab w:val="clear" w:pos="2948"/>
          <w:tab w:val="clear" w:pos="3515"/>
        </w:tabs>
        <w:rPr>
          <w:lang w:val="ru-RU"/>
        </w:rPr>
      </w:pPr>
      <w:r>
        <w:rPr>
          <w:lang w:val="ru-RU"/>
        </w:rPr>
        <w:t>В кулуарах сорок седьмого совещания Рабочей группы открытого состава неофициальная группа заинтересованных Сторон провела совещание с сопредседателями Группы по техническому обзору и экономической оценке и ее комитетов по техническим вариантам замены для обсуждения вариантов организации работы Группы и комитетов, представленных Группой в главе 8 ее доклада о ходе работы за 2025 год. На тридцать седьмом Совещании Сторон неофициальная группа пришла к выводу о том, что время для реорганизации Группы по техническому обзору и экономической оценке и ее комитетов по техническим вариантам еще не наступило, и Стороны постановили включить этот вопрос в повестку дня сорок восьмого совещания Рабочей группы. В главе 8 своего доклада о ходе работы (2026 год) Группа представила дополнительный анализ и выделила предпочтительные варианты реорганизации.</w:t>
      </w:r>
    </w:p>
    <w:p w14:paraId="664D9FC2" w14:textId="3D54A86D"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Первоначальный обмен мнениями по данному вопросу состоялся в ходе сессии вопросов и ответов, последовавшей за сообщениями Группы о ее докладе о ходе работы (2026</w:t>
      </w:r>
      <w:r w:rsidR="0070723C">
        <w:rPr>
          <w:lang w:val="ru-RU"/>
        </w:rPr>
        <w:t> </w:t>
      </w:r>
      <w:r>
        <w:rPr>
          <w:lang w:val="ru-RU"/>
        </w:rPr>
        <w:t>год). Краткое изложение обсуждений этого вопроса, состоявшихся на сорок восьмом совещании Рабочей группы открытого состава, приводится в пунктах 126–129 доклада о работе совещания.</w:t>
      </w:r>
    </w:p>
    <w:p w14:paraId="4AF6BC6D" w14:textId="14829C29"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lastRenderedPageBreak/>
        <w:t xml:space="preserve">Рабочая группа открытого состава постановила учредить неофициальную группу, координаторами которой являлись Хайди Штокхаус (Германия) и Камилла Ноэль (Вануату), для дальнейшего обсуждения вариантов организации Группы и ее комитетов по техническим вариантам замены. </w:t>
      </w:r>
    </w:p>
    <w:p w14:paraId="76A79176" w14:textId="71AD9048"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Впоследствии, информируя об обсуждениях в группе, один из координаторов неофициальной группы сообщил, что из-за нехватки времени группе не удалось завершить свою работу. В этой связи Рабочая группа открытого состава постановила возобновить на тридцать восьмом Совещании Сторон обсуждение вариантов организации Группы и ее комитетов по техническим вариантам замены, отметив, что до начала Совещания Группа ответит на ряд вопросов, поднятых Сторонами в неофициальной группе.</w:t>
      </w:r>
      <w:bookmarkStart w:id="4" w:name="_Hlk203124166"/>
      <w:bookmarkEnd w:id="4"/>
    </w:p>
    <w:p w14:paraId="15846357" w14:textId="2A850D9F"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ходе подготовительного сегмента Стороны могут пожелать продолжить рассмотрение ими этого вопроса с учетом дополнительной информации, которая будет представлена Группой, и предложить рекомендации относительно дальнейших действий.</w:t>
      </w:r>
    </w:p>
    <w:p w14:paraId="12E3C3AB" w14:textId="73CE2DEB" w:rsidR="0041077E" w:rsidRPr="00D62886" w:rsidRDefault="0070723C" w:rsidP="00F35924">
      <w:pPr>
        <w:pStyle w:val="CH2"/>
        <w:keepNext w:val="0"/>
        <w:keepLines w:val="0"/>
        <w:tabs>
          <w:tab w:val="clear" w:pos="1247"/>
          <w:tab w:val="clear" w:pos="1871"/>
          <w:tab w:val="clear" w:pos="2495"/>
          <w:tab w:val="clear" w:pos="3119"/>
          <w:tab w:val="clear" w:pos="3742"/>
          <w:tab w:val="clear" w:pos="4366"/>
          <w:tab w:val="clear" w:pos="4990"/>
        </w:tabs>
        <w:spacing w:before="0"/>
        <w:ind w:right="284"/>
        <w:rPr>
          <w:sz w:val="20"/>
          <w:szCs w:val="20"/>
          <w:lang w:val="ru-RU"/>
        </w:rPr>
      </w:pPr>
      <w:r>
        <w:rPr>
          <w:bCs/>
          <w:sz w:val="20"/>
          <w:szCs w:val="20"/>
          <w:lang w:val="ru-RU"/>
        </w:rPr>
        <w:tab/>
      </w:r>
      <w:r w:rsidR="0041077E">
        <w:rPr>
          <w:bCs/>
          <w:sz w:val="20"/>
          <w:szCs w:val="20"/>
          <w:lang w:val="ru-RU"/>
        </w:rPr>
        <w:t>2.</w:t>
      </w:r>
      <w:r w:rsidR="0041077E">
        <w:rPr>
          <w:sz w:val="20"/>
          <w:szCs w:val="20"/>
          <w:lang w:val="ru-RU"/>
        </w:rPr>
        <w:tab/>
      </w:r>
      <w:r w:rsidR="0041077E">
        <w:rPr>
          <w:sz w:val="20"/>
          <w:szCs w:val="20"/>
          <w:lang w:val="ru-RU"/>
        </w:rPr>
        <w:tab/>
      </w:r>
      <w:r w:rsidR="0041077E">
        <w:rPr>
          <w:bCs/>
          <w:sz w:val="20"/>
          <w:szCs w:val="20"/>
          <w:lang w:val="ru-RU"/>
        </w:rPr>
        <w:t>Изменения в членском составе Группы по техническому обзору и экономической оценке (пункт 9 b) предварительной повестки дня подготовительного сегмента)</w:t>
      </w:r>
    </w:p>
    <w:p w14:paraId="46D64067" w14:textId="7777777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В приложении 2 к ее докладу о ходе работы за 2026 год Группой по техническому обзору и экономической оценке представлена информация о положении дел с ее членским составом и членским составом комитетов по техническим вариантам замены по состоянию на май 2026 года. </w:t>
      </w:r>
    </w:p>
    <w:p w14:paraId="24717B9F" w14:textId="22EE3A5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таблице 2 приводится перечень членов Группы по техническому обзору и экономической оценке, срок пребывания которых в составе Группы истекает в конце 2026 года и для повторного назначения которых требуется решение тридцать восьмого Совещания Сторон. Перечень членов комитетов по техническим вариантам замены, срок пребывания которых в составе комитета истекает в конце 2026 года и для повторного назначения которых не требуется решение тридцать восьмого Совещания Сторон, приводится в приложении II к настоящей записке.</w:t>
      </w:r>
    </w:p>
    <w:p w14:paraId="30A05230" w14:textId="691381BA" w:rsidR="0041077E" w:rsidRPr="00D62886" w:rsidRDefault="0041077E" w:rsidP="00F35924">
      <w:pPr>
        <w:pStyle w:val="Titletable"/>
        <w:keepNext w:val="0"/>
        <w:keepLines w:val="0"/>
        <w:tabs>
          <w:tab w:val="clear" w:pos="624"/>
          <w:tab w:val="clear" w:pos="1247"/>
          <w:tab w:val="clear" w:pos="1871"/>
          <w:tab w:val="clear" w:pos="2495"/>
          <w:tab w:val="clear" w:pos="3119"/>
          <w:tab w:val="clear" w:pos="3742"/>
          <w:tab w:val="clear" w:pos="4366"/>
          <w:tab w:val="clear" w:pos="4990"/>
        </w:tabs>
        <w:rPr>
          <w:lang w:val="ru-RU"/>
        </w:rPr>
      </w:pPr>
      <w:r w:rsidRPr="00DD571F">
        <w:rPr>
          <w:b w:val="0"/>
          <w:bCs w:val="0"/>
          <w:lang w:val="ru-RU"/>
        </w:rPr>
        <w:t>Таблица 2</w:t>
      </w:r>
      <w:r>
        <w:rPr>
          <w:lang w:val="ru-RU"/>
        </w:rPr>
        <w:t xml:space="preserve"> </w:t>
      </w:r>
      <w:r w:rsidR="00DD571F">
        <w:rPr>
          <w:lang w:val="ru-RU"/>
        </w:rPr>
        <w:br/>
      </w:r>
      <w:r>
        <w:rPr>
          <w:lang w:val="ru-RU"/>
        </w:rPr>
        <w:t>Члены Группы по техническому обзору и экономической оценке, срок пребывания которых в составе Группы истекает в конце 2026 года и для повторного назначения которых требуется решение тридцать восьмого Совещания Сторон</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263"/>
        <w:gridCol w:w="4201"/>
      </w:tblGrid>
      <w:tr w:rsidR="0041077E" w:rsidRPr="00736EEF" w14:paraId="0F6CEE23" w14:textId="77777777" w:rsidTr="00DD571F">
        <w:trPr>
          <w:trHeight w:val="51"/>
          <w:jc w:val="right"/>
        </w:trPr>
        <w:tc>
          <w:tcPr>
            <w:tcW w:w="1843" w:type="dxa"/>
            <w:tcBorders>
              <w:top w:val="single" w:sz="4" w:space="0" w:color="auto"/>
              <w:bottom w:val="single" w:sz="12" w:space="0" w:color="auto"/>
            </w:tcBorders>
            <w:vAlign w:val="bottom"/>
          </w:tcPr>
          <w:p w14:paraId="117DC399"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i/>
                <w:szCs w:val="18"/>
              </w:rPr>
            </w:pPr>
            <w:r>
              <w:rPr>
                <w:i/>
                <w:iCs/>
                <w:color w:val="000000"/>
                <w:szCs w:val="18"/>
                <w:lang w:val="ru-RU"/>
              </w:rPr>
              <w:t>Имя, фамилия</w:t>
            </w:r>
          </w:p>
        </w:tc>
        <w:tc>
          <w:tcPr>
            <w:tcW w:w="2263" w:type="dxa"/>
            <w:tcBorders>
              <w:top w:val="single" w:sz="4" w:space="0" w:color="auto"/>
              <w:bottom w:val="single" w:sz="12" w:space="0" w:color="auto"/>
            </w:tcBorders>
            <w:vAlign w:val="bottom"/>
          </w:tcPr>
          <w:p w14:paraId="20C574FD"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i/>
                <w:szCs w:val="18"/>
              </w:rPr>
            </w:pPr>
            <w:r>
              <w:rPr>
                <w:i/>
                <w:iCs/>
                <w:color w:val="000000"/>
                <w:szCs w:val="18"/>
                <w:lang w:val="ru-RU"/>
              </w:rPr>
              <w:t>Должность</w:t>
            </w:r>
          </w:p>
        </w:tc>
        <w:tc>
          <w:tcPr>
            <w:tcW w:w="4201" w:type="dxa"/>
            <w:tcBorders>
              <w:top w:val="single" w:sz="4" w:space="0" w:color="auto"/>
              <w:bottom w:val="single" w:sz="12" w:space="0" w:color="auto"/>
            </w:tcBorders>
            <w:vAlign w:val="bottom"/>
          </w:tcPr>
          <w:p w14:paraId="5225CE6C"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i/>
                <w:szCs w:val="18"/>
              </w:rPr>
            </w:pPr>
            <w:r>
              <w:rPr>
                <w:i/>
                <w:iCs/>
                <w:color w:val="000000"/>
                <w:szCs w:val="18"/>
                <w:lang w:val="ru-RU"/>
              </w:rPr>
              <w:t>Страна</w:t>
            </w:r>
          </w:p>
        </w:tc>
      </w:tr>
      <w:tr w:rsidR="0041077E" w:rsidRPr="00736EEF" w14:paraId="6E202B60" w14:textId="77777777" w:rsidTr="00DD571F">
        <w:trPr>
          <w:trHeight w:val="56"/>
          <w:jc w:val="right"/>
        </w:trPr>
        <w:tc>
          <w:tcPr>
            <w:tcW w:w="1843" w:type="dxa"/>
            <w:tcBorders>
              <w:top w:val="single" w:sz="12" w:space="0" w:color="auto"/>
            </w:tcBorders>
          </w:tcPr>
          <w:p w14:paraId="60F87394"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Марта Писано</w:t>
            </w:r>
          </w:p>
        </w:tc>
        <w:tc>
          <w:tcPr>
            <w:tcW w:w="2263" w:type="dxa"/>
            <w:tcBorders>
              <w:top w:val="single" w:sz="12" w:space="0" w:color="auto"/>
            </w:tcBorders>
          </w:tcPr>
          <w:p w14:paraId="3676DDD1"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Сопредседатель ГТОЭО</w:t>
            </w:r>
          </w:p>
        </w:tc>
        <w:tc>
          <w:tcPr>
            <w:tcW w:w="4201" w:type="dxa"/>
            <w:tcBorders>
              <w:top w:val="single" w:sz="12" w:space="0" w:color="auto"/>
            </w:tcBorders>
          </w:tcPr>
          <w:p w14:paraId="092867BB"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Колумбия</w:t>
            </w:r>
          </w:p>
        </w:tc>
      </w:tr>
      <w:tr w:rsidR="0041077E" w:rsidRPr="008E3401" w14:paraId="678CEEA0" w14:textId="01CE5BBF" w:rsidTr="00DD571F">
        <w:trPr>
          <w:trHeight w:val="57"/>
          <w:jc w:val="right"/>
        </w:trPr>
        <w:tc>
          <w:tcPr>
            <w:tcW w:w="1843" w:type="dxa"/>
          </w:tcPr>
          <w:p w14:paraId="632CF5CA" w14:textId="4A8C98C2"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Эшли Вудкок</w:t>
            </w:r>
          </w:p>
        </w:tc>
        <w:tc>
          <w:tcPr>
            <w:tcW w:w="2263" w:type="dxa"/>
          </w:tcPr>
          <w:p w14:paraId="4EDE2039" w14:textId="6FD17F44"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Сопредседатель ГТОЭО</w:t>
            </w:r>
          </w:p>
        </w:tc>
        <w:tc>
          <w:tcPr>
            <w:tcW w:w="4201" w:type="dxa"/>
          </w:tcPr>
          <w:p w14:paraId="3A86FC61" w14:textId="19F908AC" w:rsidR="0041077E" w:rsidRPr="00D62886"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lang w:val="ru-RU"/>
              </w:rPr>
            </w:pPr>
            <w:r>
              <w:rPr>
                <w:color w:val="000000"/>
                <w:szCs w:val="18"/>
                <w:lang w:val="ru-RU"/>
              </w:rPr>
              <w:t xml:space="preserve">Соединенное Королевство Великобритании и Северной Ирландии </w:t>
            </w:r>
          </w:p>
        </w:tc>
      </w:tr>
      <w:tr w:rsidR="0041077E" w:rsidRPr="00736EEF" w14:paraId="034F7DD1" w14:textId="77777777" w:rsidTr="00DD571F">
        <w:trPr>
          <w:trHeight w:val="37"/>
          <w:jc w:val="right"/>
        </w:trPr>
        <w:tc>
          <w:tcPr>
            <w:tcW w:w="1843" w:type="dxa"/>
          </w:tcPr>
          <w:p w14:paraId="24AB64B7" w14:textId="1A972349"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Фабио Полонара</w:t>
            </w:r>
            <w:r>
              <w:rPr>
                <w:color w:val="000000"/>
                <w:szCs w:val="18"/>
                <w:vertAlign w:val="superscript"/>
                <w:lang w:val="ru-RU"/>
              </w:rPr>
              <w:t>а</w:t>
            </w:r>
          </w:p>
        </w:tc>
        <w:tc>
          <w:tcPr>
            <w:tcW w:w="2263" w:type="dxa"/>
          </w:tcPr>
          <w:p w14:paraId="5E438C3B"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Сопредседатель КТВХ</w:t>
            </w:r>
          </w:p>
        </w:tc>
        <w:tc>
          <w:tcPr>
            <w:tcW w:w="4201" w:type="dxa"/>
          </w:tcPr>
          <w:p w14:paraId="6067A5C6"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Италия</w:t>
            </w:r>
          </w:p>
        </w:tc>
      </w:tr>
      <w:tr w:rsidR="0041077E" w:rsidRPr="00736EEF" w14:paraId="729F1582" w14:textId="77777777" w:rsidTr="00DD571F">
        <w:trPr>
          <w:trHeight w:val="37"/>
          <w:jc w:val="right"/>
        </w:trPr>
        <w:tc>
          <w:tcPr>
            <w:tcW w:w="1843" w:type="dxa"/>
          </w:tcPr>
          <w:p w14:paraId="1B9A6916" w14:textId="490E05D5"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Суэли Машаду Карваль</w:t>
            </w:r>
            <w:r w:rsidR="00677E09">
              <w:rPr>
                <w:color w:val="000000"/>
                <w:szCs w:val="18"/>
                <w:lang w:val="ru-RU"/>
              </w:rPr>
              <w:t>ю</w:t>
            </w:r>
            <w:r>
              <w:rPr>
                <w:color w:val="000000"/>
                <w:szCs w:val="18"/>
                <w:lang w:val="ru-RU"/>
              </w:rPr>
              <w:t xml:space="preserve"> </w:t>
            </w:r>
          </w:p>
        </w:tc>
        <w:tc>
          <w:tcPr>
            <w:tcW w:w="2263" w:type="dxa"/>
          </w:tcPr>
          <w:p w14:paraId="0DBE2047"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Старший эксперт ГТОЭО</w:t>
            </w:r>
          </w:p>
        </w:tc>
        <w:tc>
          <w:tcPr>
            <w:tcW w:w="4201" w:type="dxa"/>
          </w:tcPr>
          <w:p w14:paraId="51E8FF83"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Бразилия</w:t>
            </w:r>
          </w:p>
        </w:tc>
      </w:tr>
      <w:tr w:rsidR="0041077E" w:rsidRPr="00736EEF" w14:paraId="67BCB57B" w14:textId="77777777" w:rsidTr="00DD571F">
        <w:trPr>
          <w:trHeight w:val="92"/>
          <w:jc w:val="right"/>
        </w:trPr>
        <w:tc>
          <w:tcPr>
            <w:tcW w:w="1843" w:type="dxa"/>
          </w:tcPr>
          <w:p w14:paraId="5C092305"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Сукумар Девотта</w:t>
            </w:r>
          </w:p>
        </w:tc>
        <w:tc>
          <w:tcPr>
            <w:tcW w:w="2263" w:type="dxa"/>
          </w:tcPr>
          <w:p w14:paraId="65916E53"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Старший эксперт ГТОЭО</w:t>
            </w:r>
          </w:p>
        </w:tc>
        <w:tc>
          <w:tcPr>
            <w:tcW w:w="4201" w:type="dxa"/>
          </w:tcPr>
          <w:p w14:paraId="17425B7E"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Индия</w:t>
            </w:r>
          </w:p>
        </w:tc>
      </w:tr>
      <w:tr w:rsidR="0041077E" w:rsidRPr="00736EEF" w14:paraId="53EDA5F7" w14:textId="77777777" w:rsidTr="00DD571F">
        <w:trPr>
          <w:trHeight w:val="37"/>
          <w:jc w:val="right"/>
        </w:trPr>
        <w:tc>
          <w:tcPr>
            <w:tcW w:w="1843" w:type="dxa"/>
          </w:tcPr>
          <w:p w14:paraId="4D8B1F2D"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Бассам аль-Асад</w:t>
            </w:r>
          </w:p>
        </w:tc>
        <w:tc>
          <w:tcPr>
            <w:tcW w:w="2263" w:type="dxa"/>
          </w:tcPr>
          <w:p w14:paraId="6D37E5F9"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Старший эксперт ГТОЭО</w:t>
            </w:r>
          </w:p>
        </w:tc>
        <w:tc>
          <w:tcPr>
            <w:tcW w:w="4201" w:type="dxa"/>
          </w:tcPr>
          <w:p w14:paraId="147E7F7D"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Ливан</w:t>
            </w:r>
          </w:p>
        </w:tc>
      </w:tr>
      <w:tr w:rsidR="0041077E" w:rsidRPr="008E3401" w14:paraId="213C34EA" w14:textId="77777777" w:rsidTr="00DD571F">
        <w:trPr>
          <w:trHeight w:val="37"/>
          <w:jc w:val="right"/>
        </w:trPr>
        <w:tc>
          <w:tcPr>
            <w:tcW w:w="1843" w:type="dxa"/>
          </w:tcPr>
          <w:p w14:paraId="5F04E07A"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Рэй Глакман</w:t>
            </w:r>
          </w:p>
        </w:tc>
        <w:tc>
          <w:tcPr>
            <w:tcW w:w="2263" w:type="dxa"/>
          </w:tcPr>
          <w:p w14:paraId="592489CD"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Старший эксперт ГТОЭО</w:t>
            </w:r>
          </w:p>
        </w:tc>
        <w:tc>
          <w:tcPr>
            <w:tcW w:w="4201" w:type="dxa"/>
          </w:tcPr>
          <w:p w14:paraId="69C7635F" w14:textId="77777777" w:rsidR="0041077E" w:rsidRPr="00D62886"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lang w:val="ru-RU"/>
              </w:rPr>
            </w:pPr>
            <w:r>
              <w:rPr>
                <w:color w:val="000000"/>
                <w:szCs w:val="18"/>
                <w:lang w:val="ru-RU"/>
              </w:rPr>
              <w:t>Соединенное Королевство Великобритании и Северной Ирландии</w:t>
            </w:r>
          </w:p>
        </w:tc>
      </w:tr>
      <w:tr w:rsidR="0041077E" w:rsidRPr="00736EEF" w14:paraId="5FB69E01" w14:textId="77777777" w:rsidTr="00DD571F">
        <w:trPr>
          <w:trHeight w:val="37"/>
          <w:jc w:val="right"/>
        </w:trPr>
        <w:tc>
          <w:tcPr>
            <w:tcW w:w="1843" w:type="dxa"/>
          </w:tcPr>
          <w:p w14:paraId="1DC6C316"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Марко Гонсалес</w:t>
            </w:r>
          </w:p>
        </w:tc>
        <w:tc>
          <w:tcPr>
            <w:tcW w:w="2263" w:type="dxa"/>
          </w:tcPr>
          <w:p w14:paraId="6D36E0CE"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Старший эксперт ГТОЭО</w:t>
            </w:r>
          </w:p>
        </w:tc>
        <w:tc>
          <w:tcPr>
            <w:tcW w:w="4201" w:type="dxa"/>
          </w:tcPr>
          <w:p w14:paraId="6D5B396B"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Коста-Рика</w:t>
            </w:r>
          </w:p>
        </w:tc>
      </w:tr>
      <w:tr w:rsidR="0041077E" w:rsidRPr="00736EEF" w14:paraId="4D491F39" w14:textId="77777777" w:rsidTr="00DD571F">
        <w:trPr>
          <w:trHeight w:val="37"/>
          <w:jc w:val="right"/>
        </w:trPr>
        <w:tc>
          <w:tcPr>
            <w:tcW w:w="1843" w:type="dxa"/>
            <w:tcBorders>
              <w:bottom w:val="single" w:sz="12" w:space="0" w:color="auto"/>
            </w:tcBorders>
          </w:tcPr>
          <w:p w14:paraId="7BD867FF"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Шицю Чжан</w:t>
            </w:r>
          </w:p>
        </w:tc>
        <w:tc>
          <w:tcPr>
            <w:tcW w:w="2263" w:type="dxa"/>
            <w:tcBorders>
              <w:bottom w:val="single" w:sz="12" w:space="0" w:color="auto"/>
            </w:tcBorders>
          </w:tcPr>
          <w:p w14:paraId="381AA776"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Старший эксперт ГТОЭО</w:t>
            </w:r>
          </w:p>
        </w:tc>
        <w:tc>
          <w:tcPr>
            <w:tcW w:w="4201" w:type="dxa"/>
            <w:tcBorders>
              <w:bottom w:val="single" w:sz="12" w:space="0" w:color="auto"/>
            </w:tcBorders>
          </w:tcPr>
          <w:p w14:paraId="71971D3A" w14:textId="77777777" w:rsidR="0041077E" w:rsidRPr="004E2599" w:rsidRDefault="0041077E" w:rsidP="00DD571F">
            <w:pPr>
              <w:pStyle w:val="Normal-pool-Table"/>
              <w:tabs>
                <w:tab w:val="clear" w:pos="624"/>
                <w:tab w:val="clear" w:pos="1247"/>
                <w:tab w:val="clear" w:pos="1871"/>
                <w:tab w:val="clear" w:pos="2495"/>
                <w:tab w:val="clear" w:pos="3119"/>
                <w:tab w:val="clear" w:pos="3742"/>
                <w:tab w:val="clear" w:pos="4366"/>
                <w:tab w:val="clear" w:pos="4990"/>
              </w:tabs>
              <w:rPr>
                <w:szCs w:val="18"/>
              </w:rPr>
            </w:pPr>
            <w:r>
              <w:rPr>
                <w:color w:val="000000"/>
                <w:szCs w:val="18"/>
                <w:lang w:val="ru-RU"/>
              </w:rPr>
              <w:t>Китай</w:t>
            </w:r>
          </w:p>
        </w:tc>
      </w:tr>
    </w:tbl>
    <w:p w14:paraId="093FAFF1" w14:textId="35340BDA" w:rsidR="0041077E" w:rsidRPr="00D62886" w:rsidRDefault="0041077E" w:rsidP="00DD571F">
      <w:pPr>
        <w:pStyle w:val="Normal-pool"/>
        <w:tabs>
          <w:tab w:val="clear" w:pos="624"/>
          <w:tab w:val="clear" w:pos="1247"/>
          <w:tab w:val="clear" w:pos="1871"/>
          <w:tab w:val="clear" w:pos="2495"/>
          <w:tab w:val="clear" w:pos="3119"/>
          <w:tab w:val="clear" w:pos="3742"/>
          <w:tab w:val="clear" w:pos="4366"/>
          <w:tab w:val="clear" w:pos="4990"/>
        </w:tabs>
        <w:spacing w:before="40"/>
        <w:ind w:left="1247" w:firstLine="624"/>
        <w:rPr>
          <w:sz w:val="17"/>
          <w:szCs w:val="17"/>
          <w:lang w:val="ru-RU"/>
        </w:rPr>
      </w:pPr>
      <w:r>
        <w:rPr>
          <w:sz w:val="17"/>
          <w:szCs w:val="17"/>
          <w:lang w:val="ru-RU"/>
        </w:rPr>
        <w:tab/>
      </w:r>
      <w:r>
        <w:rPr>
          <w:i/>
          <w:iCs/>
          <w:sz w:val="17"/>
          <w:szCs w:val="17"/>
          <w:lang w:val="ru-RU"/>
        </w:rPr>
        <w:t>Сокращения</w:t>
      </w:r>
      <w:r>
        <w:rPr>
          <w:sz w:val="17"/>
          <w:szCs w:val="17"/>
          <w:lang w:val="ru-RU"/>
        </w:rPr>
        <w:t>: КТВХ – Комитет по техническим вариантам замены холодильного оборудования, систем кондиционирования воздуха и тепловых насосов; ГТОЭО – Группа по техническому обзору и экономической оценке.</w:t>
      </w:r>
    </w:p>
    <w:p w14:paraId="1F9CBF29" w14:textId="7D794BF5" w:rsidR="00641AF8" w:rsidRPr="00D62886" w:rsidRDefault="00641AF8" w:rsidP="00DD571F">
      <w:pPr>
        <w:pStyle w:val="Normal-pool"/>
        <w:tabs>
          <w:tab w:val="clear" w:pos="624"/>
          <w:tab w:val="clear" w:pos="1247"/>
          <w:tab w:val="clear" w:pos="1871"/>
          <w:tab w:val="clear" w:pos="2495"/>
          <w:tab w:val="clear" w:pos="3119"/>
          <w:tab w:val="clear" w:pos="3742"/>
          <w:tab w:val="clear" w:pos="4366"/>
          <w:tab w:val="clear" w:pos="4990"/>
        </w:tabs>
        <w:spacing w:before="40" w:after="120"/>
        <w:ind w:left="1247" w:firstLine="624"/>
        <w:rPr>
          <w:i/>
          <w:iCs/>
          <w:sz w:val="17"/>
          <w:szCs w:val="17"/>
          <w:lang w:val="ru-RU"/>
        </w:rPr>
      </w:pPr>
      <w:r>
        <w:rPr>
          <w:sz w:val="17"/>
          <w:szCs w:val="17"/>
          <w:lang w:val="ru-RU"/>
        </w:rPr>
        <w:tab/>
      </w:r>
      <w:r>
        <w:rPr>
          <w:i/>
          <w:iCs/>
          <w:sz w:val="17"/>
          <w:szCs w:val="17"/>
          <w:vertAlign w:val="superscript"/>
          <w:lang w:val="ru-RU"/>
        </w:rPr>
        <w:t>a</w:t>
      </w:r>
      <w:r>
        <w:rPr>
          <w:sz w:val="17"/>
          <w:szCs w:val="17"/>
          <w:vertAlign w:val="superscript"/>
          <w:lang w:val="ru-RU"/>
        </w:rPr>
        <w:t xml:space="preserve"> </w:t>
      </w:r>
      <w:r>
        <w:rPr>
          <w:sz w:val="17"/>
          <w:szCs w:val="17"/>
          <w:lang w:val="ru-RU"/>
        </w:rPr>
        <w:t>Стороны могут пожелать принять к сведению, что в июле 2026 года сопредседатели Группы по техническому обзору и экономической оценке сообщили секретариату о том, что Фабио Полонара, срок полномочий которого в должности сопредседателя Комитета по техническим вариантам замены холодильного оборудования, систем кондиционирования воздуха и тепловых насосов истекает в 2026 году, принял решение сложить свои полномочия и поэтому не будет выдвигать свою кандидатуру на повторное назначение.</w:t>
      </w:r>
    </w:p>
    <w:p w14:paraId="6B4D690B" w14:textId="3C6FA5E4"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sidRPr="0000604B">
        <w:rPr>
          <w:lang w:val="ru-RU"/>
        </w:rPr>
        <w:t>На момент подготовки настоящей записки секретариат получил предложение о выдвижении Асбьёрна</w:t>
      </w:r>
      <w:r>
        <w:rPr>
          <w:lang w:val="ru-RU"/>
        </w:rPr>
        <w:t xml:space="preserve"> Лета Вонсилля (Дания) на должность сопредседателя Комитета по техническим вариантам замены холодильного оборудования, систем кондиционирования воздуха и тепловых насосов, которое было опубликовано на портале тридцать восьмого Совещания Сторон. Секретариат предоставит дополнительную информацию о полученных кандидатурах и другие соответствующие сведения в дополнении к настоящей записке.</w:t>
      </w:r>
    </w:p>
    <w:p w14:paraId="13C3C98E" w14:textId="59EF6B3E"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lastRenderedPageBreak/>
        <w:t>Стороны могут пожелать выдвинуть дополнительные кандидатуры для рассмотрения тридцать восьмым Совещанием Сторон в соответствии с решением XXXI/8 о круге ведения Группы по техническому обзору и экономической оценке, ее комитетов по техническим вариантам замены и временных вспомогательных органов и о процедурах выдвижения кандидатур. В пункте 3 этого решения к Сторонам обращена просьба «при выдвижении кандидатур экспертов в состав Группы, ее комитетов по техническим вариантам замены или ее временных вспомогательных органов использовать принятые в Группе форму выдвижения кандидатуры и соответствующие руководящие принципы, с тем чтобы содействовать представлению соответствующих кандидатур с учетом матрицы необходимых экспертных знаний и географической и гендерной сбалансированности, в добавление к экспертному опыту, необходимому для решения новых вопросов, связанных с Кигалийской поправкой, таких как энергоэффективность, стандарты безопасности и климатические выгоды». В пункте 5 того же решения содержится настоятельный призыв к Сторонам «придерживаться круга ведения Группы и консультироваться с сопредседателями Группы, а также обращаться к матрице необходимых экспертных знаний до выдвижения кандидатур для назначения в состав Группы».</w:t>
      </w:r>
      <w:bookmarkStart w:id="5" w:name="_Hlk205688732"/>
      <w:bookmarkEnd w:id="5"/>
    </w:p>
    <w:p w14:paraId="5917F81E" w14:textId="223BEFE6"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Матрица необходимых экспертных знаний, определенных Группой по состоянию на май 2026 года, содержится в приложении 3 к ее докладу о ходе работы в 2026 году, воспроизводится в приложении III к настоящей записке и опубликована на веб-сайте секретариата</w:t>
      </w:r>
      <w:r w:rsidRPr="007A6813">
        <w:rPr>
          <w:vertAlign w:val="superscript"/>
          <w:lang w:val="ru-RU"/>
        </w:rPr>
        <w:footnoteReference w:id="4"/>
      </w:r>
      <w:r>
        <w:rPr>
          <w:lang w:val="ru-RU"/>
        </w:rPr>
        <w:t>.</w:t>
      </w:r>
    </w:p>
    <w:p w14:paraId="07968532" w14:textId="3B9D19CD"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В соответствии с пунктом 4 того же решения секретариат опубликует все другие формы, представленные Сторонами, выдвигающими кандидатуры членов Группы, на портале тридцать восьмого Совещания Сторон, чтобы упростить рассмотрение и обсуждение предлагаемых Сторонами кандидатур. </w:t>
      </w:r>
    </w:p>
    <w:p w14:paraId="34809107" w14:textId="77777777" w:rsidR="0041077E" w:rsidRPr="007A6813" w:rsidRDefault="0041077E" w:rsidP="00F35924">
      <w:pPr>
        <w:pStyle w:val="Normalnumber"/>
        <w:tabs>
          <w:tab w:val="clear" w:pos="624"/>
          <w:tab w:val="clear" w:pos="1247"/>
          <w:tab w:val="clear" w:pos="1814"/>
          <w:tab w:val="clear" w:pos="2381"/>
          <w:tab w:val="clear" w:pos="2948"/>
          <w:tab w:val="clear" w:pos="3515"/>
        </w:tabs>
      </w:pPr>
      <w:r>
        <w:rPr>
          <w:lang w:val="ru-RU"/>
        </w:rPr>
        <w:t>Кандидатуры в комитеты по техническим вариантам замены, за исключением кандидатур на должности сопредседателей, и кандидатуры на должности во временных вспомогательных органах, могут выдвигаться в любое время. Назначения производятся сопредседателями соответствующих комитетов в консультации с Группой.</w:t>
      </w:r>
    </w:p>
    <w:p w14:paraId="4348866B" w14:textId="7777777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Круг ведения Группы по техническому обзору и экономической оценке опубликован на портале совещания для удобства использования процедур выдвижения и назначения членов Группы</w:t>
      </w:r>
      <w:r w:rsidRPr="007A6813">
        <w:rPr>
          <w:vertAlign w:val="superscript"/>
          <w:lang w:val="ru-RU"/>
        </w:rPr>
        <w:footnoteReference w:id="5"/>
      </w:r>
      <w:r>
        <w:rPr>
          <w:lang w:val="ru-RU"/>
        </w:rPr>
        <w:t>. Кроме того, Стороны могут пожелать воспользоваться онлайновым пособием о деятельности Группы по техническому обзору и экономической оценке</w:t>
      </w:r>
      <w:r w:rsidRPr="007A6813">
        <w:rPr>
          <w:vertAlign w:val="superscript"/>
          <w:lang w:val="ru-RU"/>
        </w:rPr>
        <w:footnoteReference w:id="6"/>
      </w:r>
      <w:r>
        <w:rPr>
          <w:lang w:val="ru-RU"/>
        </w:rPr>
        <w:t>. Формы для выдвижения кандидатур можно найти на веб-странице Группы на сайте секретариата</w:t>
      </w:r>
      <w:r w:rsidRPr="007A6813">
        <w:rPr>
          <w:vertAlign w:val="superscript"/>
          <w:lang w:val="ru-RU"/>
        </w:rPr>
        <w:footnoteReference w:id="7"/>
      </w:r>
      <w:r>
        <w:rPr>
          <w:lang w:val="ru-RU"/>
        </w:rPr>
        <w:t xml:space="preserve">. </w:t>
      </w:r>
    </w:p>
    <w:p w14:paraId="6DC7A6BF" w14:textId="2DEF812A" w:rsidR="0041077E" w:rsidRPr="007A6813" w:rsidRDefault="00835EFC" w:rsidP="00F35924">
      <w:pPr>
        <w:pStyle w:val="CH2"/>
        <w:keepNext w:val="0"/>
        <w:keepLines w:val="0"/>
        <w:tabs>
          <w:tab w:val="clear" w:pos="1247"/>
          <w:tab w:val="clear" w:pos="1871"/>
          <w:tab w:val="clear" w:pos="2495"/>
          <w:tab w:val="clear" w:pos="3119"/>
          <w:tab w:val="clear" w:pos="3742"/>
          <w:tab w:val="clear" w:pos="4366"/>
          <w:tab w:val="clear" w:pos="4990"/>
        </w:tabs>
        <w:spacing w:before="0"/>
        <w:ind w:right="284"/>
      </w:pPr>
      <w:r>
        <w:rPr>
          <w:bCs/>
          <w:lang w:val="ru-RU"/>
        </w:rPr>
        <w:tab/>
      </w:r>
      <w:r w:rsidR="0041077E">
        <w:rPr>
          <w:bCs/>
          <w:lang w:val="ru-RU"/>
        </w:rPr>
        <w:t>J.</w:t>
      </w:r>
      <w:r w:rsidR="0041077E">
        <w:rPr>
          <w:lang w:val="ru-RU"/>
        </w:rPr>
        <w:tab/>
      </w:r>
      <w:r w:rsidR="0041077E">
        <w:rPr>
          <w:bCs/>
          <w:lang w:val="ru-RU"/>
        </w:rPr>
        <w:t>Вопросы соблюдения и представления сведений: работа и рекомендации Комитета по выполнению (пункт 10 предварительной повестки дня подготовительного сегмента)</w:t>
      </w:r>
    </w:p>
    <w:p w14:paraId="1F54DA09" w14:textId="57ABE495"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Председатель Комитета по выполнению представит доклад о вопросах соблюдения Сторонами, рассмотренных в ходе семьдесят шестого совещания Комитета, которое проходило с 18 по 19 июля 2026 года, и на семьдесят седьмом совещании, которое будет проходить с 30 по 31 октября 2026 года, непосредственно перед началом тридцать восьмого Совещания Сторон.</w:t>
      </w:r>
    </w:p>
    <w:p w14:paraId="153D4D6F" w14:textId="7777777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Любые проекты решений, подготовленные по итогам этих совещаний Комитета, будут представлены Председателем для рассмотрения и возможного принятия тридцать восьмым Совещанием Сторон.</w:t>
      </w:r>
    </w:p>
    <w:p w14:paraId="6BD05DB5" w14:textId="583B0278" w:rsidR="0041077E" w:rsidRPr="00D62886" w:rsidRDefault="00835EFC" w:rsidP="00F35924">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41077E">
        <w:rPr>
          <w:bCs/>
          <w:lang w:val="ru-RU"/>
        </w:rPr>
        <w:t>K.</w:t>
      </w:r>
      <w:r w:rsidR="0041077E">
        <w:rPr>
          <w:lang w:val="ru-RU"/>
        </w:rPr>
        <w:tab/>
      </w:r>
      <w:r w:rsidR="0041077E">
        <w:rPr>
          <w:bCs/>
          <w:lang w:val="ru-RU"/>
        </w:rPr>
        <w:t>Осуществление пунктов 2 и 4 статьи 2J Монреальского протокола в отношении Азербайджана (пункт 11 предварительной повестки дня подготовительного этапа)</w:t>
      </w:r>
    </w:p>
    <w:p w14:paraId="33A7E669" w14:textId="7777777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На сорок восьмом совещании Рабочей группы открытого состава представителем Азербайджана был представлен документ зала заседаний, содержащий текст проекта решения, касающегося применения пунктов 2 и 4 статьи 2J Монреальского протокола в отношении Азербайджана.</w:t>
      </w:r>
    </w:p>
    <w:p w14:paraId="4B3F1526" w14:textId="0A93218F"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lastRenderedPageBreak/>
        <w:t>Краткое изложение обсуждений этого вопроса, состоявшихся на сорок восьмом совещании Рабочей группы открытого состава, приводится в пунктах 230–232 доклада о работе совещания.</w:t>
      </w:r>
    </w:p>
    <w:p w14:paraId="4E1B25D3" w14:textId="14CF1BD0"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Принимая во внимание мнения, высказанные в связи с этим предложением, сопредседатель Рабочей группы открытого состава просил Азербайджан представить дополнительную информацию запросившим ее представителям, с тем чтобы обеспечить более полное понимание ими сложившейся ситуации. Впоследствии представитель Азербайджана сообщила, что она провела консультации с заинтересованными представителями, которые указали, что для лучшего понимания предложения ее делегации потребуются дополнительные разъяснения и информация. </w:t>
      </w:r>
    </w:p>
    <w:p w14:paraId="0286F363" w14:textId="3A0B429C"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По этой причине Рабочая группа открытого состава постановила возобновить обсуждение этого вопроса в ходе тридцать </w:t>
      </w:r>
      <w:r w:rsidR="00D62886">
        <w:rPr>
          <w:lang w:val="ru-RU"/>
        </w:rPr>
        <w:t>восьмого</w:t>
      </w:r>
      <w:r>
        <w:rPr>
          <w:lang w:val="ru-RU"/>
        </w:rPr>
        <w:t xml:space="preserve"> Совещания Сторон. Проект решения, представленный Азербайджаном на сорок восьмом совещании Рабочей группы, изложен в разделе III документа UNEP/OzL.Pro.38/3 в виде проекта решения XXXVIII/[CC].</w:t>
      </w:r>
    </w:p>
    <w:p w14:paraId="0E33C761" w14:textId="7777777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ходе подготовительного сегмента Стороны могут пожелать продолжить рассмотрение ими этого вопроса.</w:t>
      </w:r>
    </w:p>
    <w:p w14:paraId="7374805F" w14:textId="51DCC8FF" w:rsidR="0041077E" w:rsidRPr="00D62886" w:rsidRDefault="00835EFC" w:rsidP="00F35924">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41077E">
        <w:rPr>
          <w:bCs/>
          <w:lang w:val="ru-RU"/>
        </w:rPr>
        <w:t>L.</w:t>
      </w:r>
      <w:r w:rsidR="0041077E">
        <w:rPr>
          <w:lang w:val="ru-RU"/>
        </w:rPr>
        <w:tab/>
      </w:r>
      <w:r w:rsidR="0041077E">
        <w:rPr>
          <w:bCs/>
          <w:lang w:val="ru-RU"/>
        </w:rPr>
        <w:t>Участие государств Центральной Азии в Группе восточноевропейских государств (пункт 12 предварительной повестки дня подготовительно</w:t>
      </w:r>
      <w:r w:rsidR="00D62886">
        <w:rPr>
          <w:bCs/>
          <w:lang w:val="ru-RU"/>
        </w:rPr>
        <w:t xml:space="preserve">го сегмента </w:t>
      </w:r>
      <w:r w:rsidR="0041077E">
        <w:rPr>
          <w:bCs/>
          <w:lang w:val="ru-RU"/>
        </w:rPr>
        <w:t>сессии)</w:t>
      </w:r>
    </w:p>
    <w:p w14:paraId="576DACD4" w14:textId="1FE616FF"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На сорок восьмом совещании Рабочей группы открытого состава представитель Казахстана, выступая также от имени Кыргызстана, Таджикистана, Туркменистана и Узбекистана, представил документ зала заседаний, содержащий проект решения о дальнейшем участии этих стран в Группе восточноевропейских государств. Согласно проекту решения, на тридцать восьмом </w:t>
      </w:r>
      <w:r w:rsidR="00E378D3">
        <w:rPr>
          <w:lang w:val="ru-RU"/>
        </w:rPr>
        <w:t xml:space="preserve">Совещании </w:t>
      </w:r>
      <w:r>
        <w:rPr>
          <w:lang w:val="ru-RU"/>
        </w:rPr>
        <w:t>Сторон Сторонам будет предложено и впредь признавать государства Центральной Азии в составе Группы восточноевропейских государств и взаимодействовать с ними, а также будет поручено секретариату уведомить Стороны об этом решении.</w:t>
      </w:r>
    </w:p>
    <w:p w14:paraId="258C25A5" w14:textId="032946CA"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После первоначального обмена мнениями по этому вопросу, краткое содержание которого изложено в пунктах 196–210 доклада о работе совещания, Рабочая группа открытого состава постановила, что члены Группы восточноевропейских государств и другие заинтересованные Стороны продолжат неофициальные обсуждения в кулуарах сорок восьмого совещания. </w:t>
      </w:r>
    </w:p>
    <w:p w14:paraId="0C8D029C" w14:textId="2E704A8F"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Затем представитель Армении, </w:t>
      </w:r>
      <w:r w:rsidR="00D62886">
        <w:rPr>
          <w:lang w:val="ru-RU"/>
        </w:rPr>
        <w:t>информируя</w:t>
      </w:r>
      <w:r>
        <w:rPr>
          <w:lang w:val="ru-RU"/>
        </w:rPr>
        <w:t xml:space="preserve"> о неофициальных консультациях по этому вопросу, проведению которых она содействовала, сообщила, что, хотя в ходе этих консультаций было выдвинуто несколько предложений, которые были рассмотрены участвовавшими в них Сторонами, консенсуса не удалось достичь ни в отношении проекта решения, изложенного в документе зала заседаний, ни в отношении вопроса в целом.</w:t>
      </w:r>
    </w:p>
    <w:p w14:paraId="18A9E215" w14:textId="142D564F"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После краткого обмена мнениями, содержание которого резюмируется в пунктах</w:t>
      </w:r>
      <w:r w:rsidR="002F7F72">
        <w:rPr>
          <w:lang w:val="ru-RU"/>
        </w:rPr>
        <w:t> </w:t>
      </w:r>
      <w:r>
        <w:rPr>
          <w:lang w:val="ru-RU"/>
        </w:rPr>
        <w:t>213</w:t>
      </w:r>
      <w:r w:rsidR="002F7F72">
        <w:rPr>
          <w:lang w:val="ru-RU"/>
        </w:rPr>
        <w:noBreakHyphen/>
      </w:r>
      <w:r>
        <w:rPr>
          <w:lang w:val="ru-RU"/>
        </w:rPr>
        <w:t>220 доклада о работе совещания, Рабочая группа открытого состава постановила включить этот вопрос в предварительную повестку дня тридцать восьмого Совещания Сторон.</w:t>
      </w:r>
    </w:p>
    <w:p w14:paraId="4852F713" w14:textId="7777777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ходе подготовительного сегмента Стороны могут пожелать продолжить рассмотрение ими этого вопроса.</w:t>
      </w:r>
    </w:p>
    <w:p w14:paraId="31DD7DA1" w14:textId="2A54D55D" w:rsidR="0041077E" w:rsidRPr="00D62886" w:rsidRDefault="002F7F72" w:rsidP="00F35924">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41077E">
        <w:rPr>
          <w:bCs/>
          <w:lang w:val="ru-RU"/>
        </w:rPr>
        <w:t>M.</w:t>
      </w:r>
      <w:r w:rsidR="0041077E">
        <w:rPr>
          <w:lang w:val="ru-RU"/>
        </w:rPr>
        <w:tab/>
      </w:r>
      <w:r w:rsidR="0041077E">
        <w:rPr>
          <w:bCs/>
          <w:lang w:val="ru-RU"/>
        </w:rPr>
        <w:t>Отнесение Государства Палестина к числу Сторон, действующих в рамках пункта 1 статьи 5 Монреальского протокола, и доступ к поддержке от Многостороннего фонда (пункт 13 предварительной повестки дня подготовительного сегмента)</w:t>
      </w:r>
    </w:p>
    <w:p w14:paraId="19294848" w14:textId="7777777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На сорок седьмом совещании Рабочей группы открытого состава представитель Государства Палестина внес документ зала заседаний с изложением проекта решения, согласно которому его страна будет отнесена к числу Сторон, действующих в рамках статьи 5, с целью получения права на помощь от Многостороннего фонда.</w:t>
      </w:r>
    </w:p>
    <w:p w14:paraId="5FC6ADDF" w14:textId="7164516B"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Краткое изложение обсуждений этого вопроса, состоявшихся на сорок седьмом совещании Рабочей группы открытого состава, приводится в пунктах 186–193 доклада о работе совещания (UNEP/OzL.Pro.WG.1/47/6).</w:t>
      </w:r>
    </w:p>
    <w:p w14:paraId="64093B4C" w14:textId="04333F4B"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lastRenderedPageBreak/>
        <w:t xml:space="preserve">Поскольку консенсус не был достигнут несмотря на значительную поддержку проекта решения, Рабочая группа открытого состава постановила, что неофициальные обсуждения этого вопроса между заинтересованными </w:t>
      </w:r>
      <w:r w:rsidR="00677E09">
        <w:rPr>
          <w:lang w:val="ru-RU"/>
        </w:rPr>
        <w:t>С</w:t>
      </w:r>
      <w:r>
        <w:rPr>
          <w:lang w:val="ru-RU"/>
        </w:rPr>
        <w:t xml:space="preserve">торонами надлежит провести в кулуарах совещания, в том числе для рассмотрения вопросов, адресованных Государству Палестина. </w:t>
      </w:r>
    </w:p>
    <w:p w14:paraId="5134B30B" w14:textId="3D0FCA22"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Впоследствии представитель Государства Палестина заявил, что его делегация провела плодотворные неофициальные консультации с заинтересованными </w:t>
      </w:r>
      <w:r w:rsidR="00677E09">
        <w:rPr>
          <w:lang w:val="ru-RU"/>
        </w:rPr>
        <w:t>С</w:t>
      </w:r>
      <w:r>
        <w:rPr>
          <w:lang w:val="ru-RU"/>
        </w:rPr>
        <w:t>торонами по вопросам, связанным с ратификацией его страной поправок к Монреальскому протоколу и представлением данных и информации в соответствии с требованиями, изложенными в пункте</w:t>
      </w:r>
      <w:r w:rsidR="002F7F72">
        <w:rPr>
          <w:lang w:val="ru-RU"/>
        </w:rPr>
        <w:t> </w:t>
      </w:r>
      <w:r>
        <w:rPr>
          <w:lang w:val="ru-RU"/>
        </w:rPr>
        <w:t xml:space="preserve">1 статьи 5 Монреальского протокола. Обмен информацией по этим вопросам будет продолжаться в межсессионный период с целью проведения дальнейшего обсуждения проекта решения и с расчетом на урегулирование всех поднятых вопросов и достижение консенсуса в отношении принятия решения на тридцать седьмом Совещании Сторон. </w:t>
      </w:r>
    </w:p>
    <w:p w14:paraId="6DC57E11" w14:textId="6A4EEDCE"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По этой причине Рабочая группа открытого состава постановила возобновить обсуждение этого вопроса в ходе тридцать седьмого Совещания Сторон. На тридцать седьмом Совещании Сторон по просьбе Государства Палестина Стороны постановили отложить рассмотрение этого пункта до тридцать восьмого Совещания Сторон.</w:t>
      </w:r>
    </w:p>
    <w:p w14:paraId="4C82408B" w14:textId="09319AC1"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Проект решения, представленный Государством Палестина на сорок седьмом совещании Рабочей группы открытого состава, изложен в разделе III документа UNEP/OzL.Pro.38/3 в виде проекта решения XXXVIII/[DD].</w:t>
      </w:r>
    </w:p>
    <w:p w14:paraId="3BF303C4" w14:textId="7777777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ходе подготовительного сегмента Стороны могут пожелать продолжить рассмотрение ими этого вопроса.</w:t>
      </w:r>
    </w:p>
    <w:p w14:paraId="74E445ED" w14:textId="43C6702B" w:rsidR="0041077E" w:rsidRPr="00D62886" w:rsidRDefault="002F7F72" w:rsidP="00F35924">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41077E">
        <w:rPr>
          <w:bCs/>
          <w:lang w:val="ru-RU"/>
        </w:rPr>
        <w:t>N.</w:t>
      </w:r>
      <w:r w:rsidR="0041077E">
        <w:rPr>
          <w:lang w:val="ru-RU"/>
        </w:rPr>
        <w:tab/>
      </w:r>
      <w:r w:rsidR="0041077E">
        <w:rPr>
          <w:bCs/>
          <w:lang w:val="ru-RU"/>
        </w:rPr>
        <w:t>Положение дел с ратификацией Кигалийской поправки (пункт 14 предварительной повестки дня подготовительного этапа)</w:t>
      </w:r>
    </w:p>
    <w:p w14:paraId="745B7920" w14:textId="34D23DA9"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Кигалийская поправка была принята 15 октября 2016 года в решении XXVIII/1 «Внесение дополнительной Поправки в Монреальский протокол» и вступила в силу 1 января 2019 года. На момент подготовки настоящей записки Поправку приняли, ратифицировали или одобрили 174 Стороны. В документе UNEP/OzL.Pro.38/INF/5, который будет выпущен ближе к началу тридцать восьмого Совещания Сторон, будет изложено положение дел с ратификацией Кигалийской поправки Сторонами Протокола. Любая дополнительная информация по этому вопросу будет представлена в ходе совещания.</w:t>
      </w:r>
    </w:p>
    <w:p w14:paraId="7442AD58" w14:textId="2A666823"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ходе подготовительного сегмента Стороны могут пожелать рассмотреть для возможного принятия в ходе сегмента высокого уровня проект решения, отражающего положение дел с ратификацией на момент проведения тридцать восьмого Совещания Сторон и призывающего к дальнейшей ратификации Кигалийской поправки. Шаблон проекта решения по этому вопросу содержится в разделе IV документа UNEP/OzL.Pro.38/3 в виде проекта решения XXXVIII/[GGG].</w:t>
      </w:r>
    </w:p>
    <w:p w14:paraId="3D00F863" w14:textId="49DFCE18" w:rsidR="0041077E" w:rsidRPr="00D62886" w:rsidRDefault="00BC0D99" w:rsidP="00F35924">
      <w:pPr>
        <w:pStyle w:val="CH2"/>
        <w:keepNext w:val="0"/>
        <w:keepLines w:val="0"/>
        <w:tabs>
          <w:tab w:val="clear" w:pos="1247"/>
          <w:tab w:val="clear" w:pos="1871"/>
          <w:tab w:val="clear" w:pos="2495"/>
          <w:tab w:val="clear" w:pos="3119"/>
          <w:tab w:val="clear" w:pos="3742"/>
          <w:tab w:val="clear" w:pos="4366"/>
          <w:tab w:val="clear" w:pos="4990"/>
        </w:tabs>
        <w:spacing w:before="0"/>
        <w:ind w:right="284"/>
        <w:rPr>
          <w:b w:val="0"/>
          <w:bCs/>
          <w:lang w:val="ru-RU"/>
        </w:rPr>
      </w:pPr>
      <w:r>
        <w:rPr>
          <w:bCs/>
          <w:lang w:val="ru-RU"/>
        </w:rPr>
        <w:tab/>
      </w:r>
      <w:r w:rsidR="0041077E">
        <w:rPr>
          <w:bCs/>
          <w:lang w:val="ru-RU"/>
        </w:rPr>
        <w:t>O.</w:t>
      </w:r>
      <w:r w:rsidR="0041077E">
        <w:rPr>
          <w:lang w:val="ru-RU"/>
        </w:rPr>
        <w:tab/>
      </w:r>
      <w:r w:rsidR="0041077E">
        <w:rPr>
          <w:bCs/>
          <w:lang w:val="ru-RU"/>
        </w:rPr>
        <w:t>Прочие вопросы (пункт 15 предварительной повестки дня подготовительного сегмента)</w:t>
      </w:r>
    </w:p>
    <w:p w14:paraId="6945CBB3" w14:textId="477653E1" w:rsidR="0041077E" w:rsidRPr="00D62886" w:rsidRDefault="0041077E" w:rsidP="00BC0D99">
      <w:pPr>
        <w:pStyle w:val="Normalnumber"/>
        <w:tabs>
          <w:tab w:val="clear" w:pos="624"/>
          <w:tab w:val="clear" w:pos="1247"/>
          <w:tab w:val="clear" w:pos="1814"/>
          <w:tab w:val="clear" w:pos="2381"/>
          <w:tab w:val="clear" w:pos="2948"/>
          <w:tab w:val="clear" w:pos="3515"/>
        </w:tabs>
        <w:spacing w:after="240"/>
        <w:ind w:left="1247"/>
        <w:rPr>
          <w:lang w:val="ru-RU"/>
        </w:rPr>
      </w:pPr>
      <w:r>
        <w:rPr>
          <w:lang w:val="ru-RU"/>
        </w:rPr>
        <w:t>В рамках этого пункта повестки дня Стороны рассмотрят любые прочие вопросы, которые могут быть согласованы ими для включения в повестку дня при ее утверждении.</w:t>
      </w:r>
    </w:p>
    <w:p w14:paraId="73B52B0D" w14:textId="29F2596B" w:rsidR="00A16657" w:rsidRPr="00D62886" w:rsidRDefault="00BC0D99" w:rsidP="00F35924">
      <w:pPr>
        <w:pStyle w:val="CH1"/>
        <w:keepNext w:val="0"/>
        <w:keepLines w:val="0"/>
        <w:tabs>
          <w:tab w:val="clear" w:pos="1247"/>
          <w:tab w:val="clear" w:pos="1871"/>
          <w:tab w:val="clear" w:pos="2495"/>
          <w:tab w:val="clear" w:pos="3119"/>
          <w:tab w:val="clear" w:pos="3742"/>
          <w:tab w:val="clear" w:pos="4366"/>
          <w:tab w:val="clear" w:pos="4990"/>
        </w:tabs>
        <w:spacing w:before="0"/>
        <w:rPr>
          <w:lang w:val="ru-RU"/>
        </w:rPr>
      </w:pPr>
      <w:r>
        <w:rPr>
          <w:bCs/>
          <w:lang w:val="ru-RU"/>
        </w:rPr>
        <w:tab/>
      </w:r>
      <w:r w:rsidR="0041077E">
        <w:rPr>
          <w:bCs/>
          <w:lang w:val="ru-RU"/>
        </w:rPr>
        <w:t>III.</w:t>
      </w:r>
      <w:r w:rsidR="0041077E">
        <w:rPr>
          <w:lang w:val="ru-RU"/>
        </w:rPr>
        <w:tab/>
      </w:r>
      <w:r w:rsidR="0041077E">
        <w:rPr>
          <w:bCs/>
          <w:lang w:val="ru-RU"/>
        </w:rPr>
        <w:t>Обновленная информация о ходе выполнения недавних решений Совещаний Сторон</w:t>
      </w:r>
    </w:p>
    <w:p w14:paraId="35107993" w14:textId="0C5DEE27" w:rsidR="00A26C3F" w:rsidRPr="00D62886" w:rsidRDefault="00BC0D99" w:rsidP="00F35924">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A26C3F">
        <w:rPr>
          <w:bCs/>
          <w:lang w:val="ru-RU"/>
        </w:rPr>
        <w:t>A.</w:t>
      </w:r>
      <w:r w:rsidR="00A26C3F">
        <w:rPr>
          <w:lang w:val="ru-RU"/>
        </w:rPr>
        <w:tab/>
      </w:r>
      <w:r w:rsidR="00A26C3F">
        <w:rPr>
          <w:bCs/>
          <w:lang w:val="ru-RU"/>
        </w:rPr>
        <w:t>Рециркулированные, использованные и невостребованные регулируемые вещества (решения XXXVII/3, пункт 3, XXXVII/4, пункт</w:t>
      </w:r>
      <w:r>
        <w:rPr>
          <w:bCs/>
          <w:lang w:val="ru-RU"/>
        </w:rPr>
        <w:t> </w:t>
      </w:r>
      <w:r w:rsidR="00A26C3F">
        <w:rPr>
          <w:bCs/>
          <w:lang w:val="ru-RU"/>
        </w:rPr>
        <w:t>3, и XXXVI/7, пункт 5)</w:t>
      </w:r>
    </w:p>
    <w:p w14:paraId="5414C78E" w14:textId="51982D02" w:rsidR="00A26C3F" w:rsidRPr="00D62886" w:rsidRDefault="00A26C3F" w:rsidP="00F35924">
      <w:pPr>
        <w:pStyle w:val="Normalnumber"/>
        <w:tabs>
          <w:tab w:val="clear" w:pos="624"/>
          <w:tab w:val="clear" w:pos="1247"/>
          <w:tab w:val="clear" w:pos="1814"/>
          <w:tab w:val="clear" w:pos="2381"/>
          <w:tab w:val="clear" w:pos="2948"/>
          <w:tab w:val="clear" w:pos="3515"/>
        </w:tabs>
        <w:rPr>
          <w:lang w:val="ru-RU"/>
        </w:rPr>
      </w:pPr>
      <w:r>
        <w:rPr>
          <w:lang w:val="ru-RU"/>
        </w:rPr>
        <w:t xml:space="preserve">В пункте 3 решения XXXVII/3 тридцать седьмое Совещание Сторон предложило Сторонам на добровольной основе представить в секретариат не позднее 31 мая 2026 года информацию о действующих объектах по восстановлению и уничтожению и, при наличии, о соответствующих мощностях этих объектов, включая информацию об определении действующих объектов по восстановлению и уничтожению, которые могут принимать отработанные хладагенты из других стран, а также об условиях, связанных с экспортом отработанных хладагентов для удаления с использованием таких объектов с учетом любых законодательных ограничений в отношении трансграничных перевозок. В том же пункте секретариату было поручено представить эту информацию Сторонам. На момент подготовки </w:t>
      </w:r>
      <w:r>
        <w:rPr>
          <w:lang w:val="ru-RU"/>
        </w:rPr>
        <w:lastRenderedPageBreak/>
        <w:t>настоящей записки 33 Стороны (Австралия, Аргентина, Европейский союз и его государства</w:t>
      </w:r>
      <w:r w:rsidR="00BC0D99">
        <w:rPr>
          <w:lang w:val="ru-RU"/>
        </w:rPr>
        <w:noBreakHyphen/>
      </w:r>
      <w:r>
        <w:rPr>
          <w:lang w:val="ru-RU"/>
        </w:rPr>
        <w:t xml:space="preserve">члены, Канада, Перу и Соединенные Штаты Америки) представили запрошенную информацию, которую секретариат направил Группе по техническому обзору и экономической оценке. </w:t>
      </w:r>
    </w:p>
    <w:p w14:paraId="3C38738B" w14:textId="302B1FDF" w:rsidR="00A26C3F" w:rsidRPr="00D62886" w:rsidRDefault="00A26C3F" w:rsidP="00F35924">
      <w:pPr>
        <w:pStyle w:val="Normalnumber"/>
        <w:tabs>
          <w:tab w:val="clear" w:pos="624"/>
          <w:tab w:val="clear" w:pos="1247"/>
          <w:tab w:val="clear" w:pos="1814"/>
          <w:tab w:val="clear" w:pos="2381"/>
          <w:tab w:val="clear" w:pos="2948"/>
          <w:tab w:val="clear" w:pos="3515"/>
        </w:tabs>
        <w:ind w:left="1247"/>
        <w:rPr>
          <w:lang w:val="ru-RU"/>
        </w:rPr>
      </w:pPr>
      <w:r>
        <w:rPr>
          <w:lang w:val="ru-RU"/>
        </w:rPr>
        <w:t>Информация о действующих объектах по восстановлению и уничтожению, а также, при наличии таких данных, о соответствующих мощностях этих объектов, основанная на материалах, представленных Сторонами, и других источниках, будет предоставлена Сторонам на веб-сайте секретариата.</w:t>
      </w:r>
    </w:p>
    <w:p w14:paraId="5CB576FB" w14:textId="58F640D9" w:rsidR="00A26C3F" w:rsidRPr="00D62886" w:rsidRDefault="00A26C3F" w:rsidP="00F35924">
      <w:pPr>
        <w:pStyle w:val="Normalnumber"/>
        <w:tabs>
          <w:tab w:val="clear" w:pos="624"/>
          <w:tab w:val="clear" w:pos="1247"/>
          <w:tab w:val="clear" w:pos="1814"/>
          <w:tab w:val="clear" w:pos="2381"/>
          <w:tab w:val="clear" w:pos="2948"/>
          <w:tab w:val="clear" w:pos="3515"/>
        </w:tabs>
        <w:ind w:left="1247"/>
        <w:rPr>
          <w:lang w:val="ru-RU"/>
        </w:rPr>
      </w:pPr>
      <w:r>
        <w:rPr>
          <w:lang w:val="ru-RU"/>
        </w:rPr>
        <w:t>В пункте 3 решения XXXVII/4 Сторонам было рекомендовано провести повторную оценку любых национальных ограничений на импорт и экспорт, кроме требований в отношении лицензирования или квотирования, в целях оказания содействия импорту и экспорту утилизированных, рециркулированных или восстановленных галонов и других регулируемых веществ, используемых для пожаротушения, с целью содействия удовлетворению сохраняющихся потребностей Сторон и с учетом требований Базельской конвенции о контроле за трансграничной перевозкой опасных отходов и их удалением, где это применимо.</w:t>
      </w:r>
    </w:p>
    <w:p w14:paraId="38A27312" w14:textId="1EB5EA6A" w:rsidR="00A26C3F" w:rsidRPr="00D62886" w:rsidRDefault="00A26C3F" w:rsidP="00F35924">
      <w:pPr>
        <w:pStyle w:val="Normalnumber"/>
        <w:tabs>
          <w:tab w:val="clear" w:pos="624"/>
          <w:tab w:val="clear" w:pos="1247"/>
          <w:tab w:val="clear" w:pos="1814"/>
          <w:tab w:val="clear" w:pos="2381"/>
          <w:tab w:val="clear" w:pos="2948"/>
          <w:tab w:val="clear" w:pos="3515"/>
        </w:tabs>
        <w:ind w:left="1247"/>
        <w:rPr>
          <w:lang w:val="ru-RU"/>
        </w:rPr>
      </w:pPr>
      <w:r>
        <w:rPr>
          <w:lang w:val="ru-RU"/>
        </w:rPr>
        <w:t xml:space="preserve">В пункте 5 решения XXXVI/7 секретариату по озону было поручено продолжать поддерживать связь с соответствующими международными органами, включая </w:t>
      </w:r>
      <w:r w:rsidR="00D62886">
        <w:rPr>
          <w:lang w:val="ru-RU"/>
        </w:rPr>
        <w:t>секретариат</w:t>
      </w:r>
      <w:r>
        <w:rPr>
          <w:lang w:val="ru-RU"/>
        </w:rPr>
        <w:t xml:space="preserve"> Базельской конвенции, по вопросам важности рационального регулирования галонов и связанных с этим элементов решения и представлять доклады Сторонам при необходимости.</w:t>
      </w:r>
    </w:p>
    <w:p w14:paraId="4B2544FE" w14:textId="217CB761" w:rsidR="00A26C3F" w:rsidRDefault="00A26C3F" w:rsidP="00F35924">
      <w:pPr>
        <w:pStyle w:val="Normalnumber"/>
        <w:tabs>
          <w:tab w:val="clear" w:pos="624"/>
          <w:tab w:val="clear" w:pos="1247"/>
          <w:tab w:val="clear" w:pos="1814"/>
          <w:tab w:val="clear" w:pos="2381"/>
          <w:tab w:val="clear" w:pos="2948"/>
          <w:tab w:val="clear" w:pos="3515"/>
        </w:tabs>
        <w:ind w:left="1247"/>
      </w:pPr>
      <w:r>
        <w:rPr>
          <w:lang w:val="ru-RU"/>
        </w:rPr>
        <w:t>Секретариат по озону в сотрудничестве с секретариатом Базельской, Роттердамской и Стокгольмской конвенций и секретариатом Многостороннего фонда подготовил практическое пособие по вопросам трансграничных перевозок веществ, регулируемых Монреальским протоколом, и оборудования, в котором используются такие вещества. Проект практического пособия был опубликован на портале сорок восьмого совещания Рабочей группы открытого состава для рассмотрения и использования Сторонами. Замечания, полученные от Сторон не позднее 31 августа 2026 года, будут учтены в новой версии практического пособия, которая будет опубликована к тридцать восьмому Совещанию Сторон.</w:t>
      </w:r>
    </w:p>
    <w:p w14:paraId="6FD49ABD" w14:textId="61D29FDA" w:rsidR="00A26C3F" w:rsidRPr="00D62886" w:rsidRDefault="00A23EA1" w:rsidP="00BC0D99">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A26C3F">
        <w:rPr>
          <w:bCs/>
          <w:lang w:val="ru-RU"/>
        </w:rPr>
        <w:t>B.</w:t>
      </w:r>
      <w:r w:rsidR="00A26C3F">
        <w:rPr>
          <w:lang w:val="ru-RU"/>
        </w:rPr>
        <w:tab/>
      </w:r>
      <w:r w:rsidR="00A26C3F">
        <w:rPr>
          <w:bCs/>
          <w:lang w:val="ru-RU"/>
        </w:rPr>
        <w:t>Национальные и региональные инициативы в поддержку осуществления Кигалийской поправки к Монреальскому протоколу (решение XXXVII/5)</w:t>
      </w:r>
    </w:p>
    <w:p w14:paraId="4A413607" w14:textId="630CF0F6" w:rsidR="00A26C3F" w:rsidRPr="00D62886" w:rsidRDefault="00A26C3F" w:rsidP="00F35924">
      <w:pPr>
        <w:pStyle w:val="Normalnumber"/>
        <w:tabs>
          <w:tab w:val="clear" w:pos="624"/>
          <w:tab w:val="clear" w:pos="1247"/>
          <w:tab w:val="clear" w:pos="1814"/>
          <w:tab w:val="clear" w:pos="2381"/>
          <w:tab w:val="clear" w:pos="2948"/>
          <w:tab w:val="clear" w:pos="3515"/>
        </w:tabs>
        <w:rPr>
          <w:lang w:val="ru-RU"/>
        </w:rPr>
      </w:pPr>
      <w:r>
        <w:rPr>
          <w:lang w:val="ru-RU"/>
        </w:rPr>
        <w:t xml:space="preserve">В пункте 1 решения XXXVII/5 тридцать седьмое Совещание Сторон предложило Сторонам представить в секретариат не позднее 1 июня 2026 года информацию, в том числе о мерах политики, мероприятиях и основных извлеченных уроках, в отношении центров передового опыта в вопросах устойчивого охлаждения и испытательных центров в сфере энергоэффективности в связи с реализацией Кигалийской поправки. В пункте 2 этого решения секретариату было поручено обобщить и кратко изложить представленную информацию и опубликовать ее до тридцать восьмого Совещания Сторон, принимая во внимание обновленный документ о центрах передового опыта в вопросах устойчивого охлаждения и испытательных центров в сфере энергоэффективности, испрошенный в решении 95/87 Исполнительного комитета Многостороннего фонда. </w:t>
      </w:r>
    </w:p>
    <w:p w14:paraId="42C27DA3" w14:textId="30053A2B" w:rsidR="00A26C3F" w:rsidRDefault="00A26C3F" w:rsidP="00F35924">
      <w:pPr>
        <w:pStyle w:val="Normalnumber"/>
        <w:tabs>
          <w:tab w:val="clear" w:pos="624"/>
          <w:tab w:val="clear" w:pos="1247"/>
          <w:tab w:val="clear" w:pos="1814"/>
          <w:tab w:val="clear" w:pos="2381"/>
          <w:tab w:val="clear" w:pos="2948"/>
          <w:tab w:val="clear" w:pos="3515"/>
        </w:tabs>
      </w:pPr>
      <w:r>
        <w:rPr>
          <w:szCs w:val="18"/>
          <w:lang w:val="ru-RU"/>
        </w:rPr>
        <w:t>На момент подготовки настоящей записки запрошенную информацию представили 23</w:t>
      </w:r>
      <w:r w:rsidR="00A23EA1">
        <w:rPr>
          <w:szCs w:val="18"/>
          <w:lang w:val="ru-RU"/>
        </w:rPr>
        <w:t> </w:t>
      </w:r>
      <w:r>
        <w:rPr>
          <w:szCs w:val="18"/>
          <w:lang w:val="ru-RU"/>
        </w:rPr>
        <w:t>Стороны, а именно: Армения, Буркина-Фасо, Вануату, Гаити, Грузия, Зимбабве, Иордания, Катар, Кения, Китай, Колумбия, Либерия, Мали, Нигерия, Оман, Перу, Словакия, Сомали, Соединенное Королевство Великобритании и Северной Ирландии, Турция, Тувалу, Эквадор и Южная Африка. Информация, представленная этими Сторонами, опубликована на веб-сайте секретариата</w:t>
      </w:r>
      <w:r w:rsidR="006906B1" w:rsidRPr="006906B1">
        <w:rPr>
          <w:szCs w:val="18"/>
          <w:vertAlign w:val="superscript"/>
          <w:lang w:val="ru-RU"/>
        </w:rPr>
        <w:footnoteReference w:id="8"/>
      </w:r>
      <w:r>
        <w:rPr>
          <w:szCs w:val="18"/>
          <w:lang w:val="ru-RU"/>
        </w:rPr>
        <w:t xml:space="preserve">. </w:t>
      </w:r>
    </w:p>
    <w:p w14:paraId="3EA98F27" w14:textId="6790DB2B" w:rsidR="00114BD6" w:rsidRPr="00D62886" w:rsidRDefault="00A26C3F" w:rsidP="00A23EA1">
      <w:pPr>
        <w:pStyle w:val="Normalnumber"/>
        <w:tabs>
          <w:tab w:val="clear" w:pos="624"/>
          <w:tab w:val="clear" w:pos="1247"/>
          <w:tab w:val="clear" w:pos="1814"/>
          <w:tab w:val="clear" w:pos="2381"/>
          <w:tab w:val="clear" w:pos="2948"/>
          <w:tab w:val="clear" w:pos="3515"/>
        </w:tabs>
        <w:spacing w:after="240"/>
        <w:ind w:left="1247"/>
        <w:rPr>
          <w:lang w:val="ru-RU"/>
        </w:rPr>
      </w:pPr>
      <w:r>
        <w:rPr>
          <w:lang w:val="ru-RU"/>
        </w:rPr>
        <w:t xml:space="preserve">Сводная информация, полученная от Сторон во исполнение решения XXXVII/5, будет представлена Сторонам </w:t>
      </w:r>
      <w:r w:rsidR="00765EF1" w:rsidRPr="00765EF1">
        <w:rPr>
          <w:lang w:val="ru-RU"/>
        </w:rPr>
        <w:t>на веб-сайте, указанном в пункте 96 выше.</w:t>
      </w:r>
    </w:p>
    <w:p w14:paraId="35A474C9" w14:textId="6F39444D" w:rsidR="0041077E" w:rsidRPr="00D62886" w:rsidRDefault="00A23EA1" w:rsidP="00831CC1">
      <w:pPr>
        <w:pStyle w:val="CH1"/>
        <w:tabs>
          <w:tab w:val="clear" w:pos="1247"/>
          <w:tab w:val="clear" w:pos="1871"/>
          <w:tab w:val="clear" w:pos="2495"/>
          <w:tab w:val="clear" w:pos="3119"/>
          <w:tab w:val="clear" w:pos="3742"/>
          <w:tab w:val="clear" w:pos="4366"/>
          <w:tab w:val="clear" w:pos="4990"/>
        </w:tabs>
        <w:spacing w:before="0"/>
        <w:rPr>
          <w:lang w:val="ru-RU"/>
        </w:rPr>
      </w:pPr>
      <w:r>
        <w:rPr>
          <w:bCs/>
          <w:lang w:val="ru-RU"/>
        </w:rPr>
        <w:lastRenderedPageBreak/>
        <w:tab/>
      </w:r>
      <w:r w:rsidR="004A3186">
        <w:rPr>
          <w:bCs/>
          <w:lang w:val="ru-RU"/>
        </w:rPr>
        <w:t>IV.</w:t>
      </w:r>
      <w:r w:rsidR="004A3186">
        <w:rPr>
          <w:lang w:val="ru-RU"/>
        </w:rPr>
        <w:tab/>
      </w:r>
      <w:r w:rsidR="004A3186">
        <w:rPr>
          <w:bCs/>
          <w:lang w:val="ru-RU"/>
        </w:rPr>
        <w:t>Обзор пунктов предварительной повестки дня сегмента высокого уровня (5 и 6 ноября 2026 года)</w:t>
      </w:r>
    </w:p>
    <w:p w14:paraId="012105EF" w14:textId="02FE39D5" w:rsidR="0041077E" w:rsidRPr="00D62886" w:rsidRDefault="00A23EA1" w:rsidP="00BC0D99">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41077E">
        <w:rPr>
          <w:bCs/>
          <w:lang w:val="ru-RU"/>
        </w:rPr>
        <w:t>A.</w:t>
      </w:r>
      <w:r w:rsidR="0041077E">
        <w:rPr>
          <w:lang w:val="ru-RU"/>
        </w:rPr>
        <w:tab/>
      </w:r>
      <w:r w:rsidR="0041077E">
        <w:rPr>
          <w:bCs/>
          <w:lang w:val="ru-RU"/>
        </w:rPr>
        <w:t>Открытие сегмента высокого уровня (пункт 1 предварительной повестки дня сегмента высокого уровня)</w:t>
      </w:r>
    </w:p>
    <w:p w14:paraId="2F1C0F11" w14:textId="4A5856B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Открытие сегмента высокого уровня запланировано на 10</w:t>
      </w:r>
      <w:r w:rsidR="00BA3C8C">
        <w:rPr>
          <w:lang w:val="ru-RU"/>
        </w:rPr>
        <w:t>:</w:t>
      </w:r>
      <w:r>
        <w:rPr>
          <w:lang w:val="ru-RU"/>
        </w:rPr>
        <w:t>00 в четверг, 5 ноября 2026</w:t>
      </w:r>
      <w:r w:rsidR="00743B58">
        <w:rPr>
          <w:lang w:val="ru-RU"/>
        </w:rPr>
        <w:t> </w:t>
      </w:r>
      <w:r>
        <w:rPr>
          <w:lang w:val="ru-RU"/>
        </w:rPr>
        <w:t>года.</w:t>
      </w:r>
    </w:p>
    <w:p w14:paraId="1DF57F5A" w14:textId="652784D8"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Со вступительными заявлениями выступят Председатель тридцать седьмого Совещания Сторон, представители ЮНЕП и правительства Руанды (пункты 1 a), b) и c) предварительной повестки дня сегмента высокого уровня).</w:t>
      </w:r>
    </w:p>
    <w:p w14:paraId="6E23605B" w14:textId="6DFD5D98" w:rsidR="0041077E" w:rsidRPr="00D62886" w:rsidRDefault="00A23EA1" w:rsidP="00A23EA1">
      <w:pPr>
        <w:pStyle w:val="CH2"/>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41077E">
        <w:rPr>
          <w:bCs/>
          <w:lang w:val="ru-RU"/>
        </w:rPr>
        <w:t>B.</w:t>
      </w:r>
      <w:r w:rsidR="0041077E">
        <w:rPr>
          <w:lang w:val="ru-RU"/>
        </w:rPr>
        <w:tab/>
      </w:r>
      <w:r w:rsidR="0041077E">
        <w:rPr>
          <w:bCs/>
          <w:lang w:val="ru-RU"/>
        </w:rPr>
        <w:t>Организационные вопросы (пункт 2 предварительной повестки дня сегмента высокого уровня)</w:t>
      </w:r>
    </w:p>
    <w:p w14:paraId="5E3479E5" w14:textId="2BFC796C" w:rsidR="0041077E" w:rsidRPr="00D62886" w:rsidRDefault="00A23EA1" w:rsidP="00A23EA1">
      <w:pPr>
        <w:pStyle w:val="CH3"/>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41077E">
        <w:rPr>
          <w:bCs/>
          <w:lang w:val="ru-RU"/>
        </w:rPr>
        <w:t>1.</w:t>
      </w:r>
      <w:r w:rsidR="0041077E">
        <w:rPr>
          <w:lang w:val="ru-RU"/>
        </w:rPr>
        <w:tab/>
      </w:r>
      <w:r w:rsidR="0041077E">
        <w:rPr>
          <w:bCs/>
          <w:lang w:val="ru-RU"/>
        </w:rPr>
        <w:t>Избрание должностных лиц тридцать восьмого Совещания Сторон Монреальского протокола (пункт 2 а) предварительной повестки дня сегмента высокого уровня)</w:t>
      </w:r>
    </w:p>
    <w:p w14:paraId="1E352354" w14:textId="49F0EF1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соответствии с правилом 21 правил процедуры совещаний Сторон Монреальского протокола тридцать восьмое Совещание Сторон должно избрать Председателя, трех заместителей Председателя и Докладчика. Представитель Стороны из Группы западноевропейских и других государств (Австрия) председательствовал на тридцать седьмом Совещании Сторон, а представитель Стороны из Группы латиноамериканских и карибских государств (Панама) выполнял функции Докладчика. Исходя из согласованной Сторонами региональной ротации, Стороны, возможно, пожелают избрать на пост Председателя тридцать восьмого Совещания Сторон Сторону, входящую в группу африканских государств, и избрать в качестве Докладчика Сторону, входящую в группу западноевропейских и других государств. Стороны, возможно, также пожелают избрать трех заместителей Председателя – по одному от Группы азиатско-тихоокеанских государств, восточноевропейских государств и латиноамериканских и карибских государств.</w:t>
      </w:r>
    </w:p>
    <w:p w14:paraId="77991EE2" w14:textId="312F217B" w:rsidR="0041077E" w:rsidRPr="00D62886" w:rsidRDefault="00A23EA1" w:rsidP="00BC0D99">
      <w:pPr>
        <w:pStyle w:val="CH3"/>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41077E">
        <w:rPr>
          <w:bCs/>
          <w:lang w:val="ru-RU"/>
        </w:rPr>
        <w:t>2.</w:t>
      </w:r>
      <w:r w:rsidR="0041077E">
        <w:rPr>
          <w:lang w:val="ru-RU"/>
        </w:rPr>
        <w:tab/>
      </w:r>
      <w:r w:rsidR="0041077E">
        <w:rPr>
          <w:bCs/>
          <w:lang w:val="ru-RU"/>
        </w:rPr>
        <w:t>Утверждение повестки дня сегмента высокого уровня (пункт 2 b) предварительной повестки дня сегмента высокого уровня)</w:t>
      </w:r>
    </w:p>
    <w:p w14:paraId="4842CE58" w14:textId="7494525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Предварительная повестка дня сегмента высокого уровня изложена в разделе II документа UNEP/OzL.Pro.38/1 и будет предложена Сторонам для утверждения. Стороны могут пожелать утвердить эту повестку дня, включая любые пункты, которые они, возможно, договорятся включить в нее в рамках пункта 8 «Прочие вопросы».</w:t>
      </w:r>
    </w:p>
    <w:p w14:paraId="45F2E4C1" w14:textId="78244C7D" w:rsidR="0041077E" w:rsidRPr="00D62886" w:rsidRDefault="00A23EA1" w:rsidP="00BC0D99">
      <w:pPr>
        <w:pStyle w:val="CH3"/>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41077E">
        <w:rPr>
          <w:bCs/>
          <w:lang w:val="ru-RU"/>
        </w:rPr>
        <w:t>3.</w:t>
      </w:r>
      <w:r w:rsidR="0041077E">
        <w:rPr>
          <w:lang w:val="ru-RU"/>
        </w:rPr>
        <w:tab/>
      </w:r>
      <w:r w:rsidR="0041077E">
        <w:rPr>
          <w:bCs/>
          <w:lang w:val="ru-RU"/>
        </w:rPr>
        <w:t>Организация работы (пункт 2 c) предварительной повестки дня сегмента высокого уровня)</w:t>
      </w:r>
    </w:p>
    <w:p w14:paraId="123E9157" w14:textId="0B7F63C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Ожидается, что Председатель тридцать восьмого Совещания Сторон изложит план работы по обсуждению вопросов повестки дня в ходе сегмента высокого уровня.</w:t>
      </w:r>
    </w:p>
    <w:p w14:paraId="055A6630" w14:textId="23974B54" w:rsidR="0041077E" w:rsidRPr="00D62886" w:rsidRDefault="00A23EA1" w:rsidP="00BC0D99">
      <w:pPr>
        <w:pStyle w:val="CH3"/>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41077E">
        <w:rPr>
          <w:bCs/>
          <w:lang w:val="ru-RU"/>
        </w:rPr>
        <w:t>4.</w:t>
      </w:r>
      <w:r w:rsidR="0041077E">
        <w:rPr>
          <w:lang w:val="ru-RU"/>
        </w:rPr>
        <w:tab/>
      </w:r>
      <w:r w:rsidR="0041077E">
        <w:rPr>
          <w:bCs/>
          <w:lang w:val="ru-RU"/>
        </w:rPr>
        <w:t>Полномочия представителей (пункт 2 d) предварительной повестки дня сегмента высокого уровня)</w:t>
      </w:r>
    </w:p>
    <w:p w14:paraId="780F0006" w14:textId="1256A7D4"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соответствии с правилом 18 правил процедуры совещаний Сторон Монреальского протокола документы, подтверждающие полномочия представителей Сторон, присутствующих на совещании, должны быть представлены Исполнительному секретарю по возможности не позднее чем через 24 часа после открытия совещания. Представителей настоятельно просят прибывать на совещание с должным образом заверенными документами о полномочиях и представлять их в секретариат как можно скорее после начала работы совещания. В соответствии с правилом 19 правил процедуры избранные должностные лица совещания проверяют документы о полномочиях и представляют свой доклад об этом Сторонам. В соответствии с правилом 20 до вынесения Совещанием Сторон решения о полномочиях представителей они имеют право временно участвовать в работе совещания.</w:t>
      </w:r>
    </w:p>
    <w:p w14:paraId="7280D60B" w14:textId="7E3188FD" w:rsidR="0041077E" w:rsidRPr="00D62886" w:rsidRDefault="00A23EA1" w:rsidP="00BC0D99">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41077E">
        <w:rPr>
          <w:bCs/>
          <w:lang w:val="ru-RU"/>
        </w:rPr>
        <w:t>C.</w:t>
      </w:r>
      <w:r w:rsidR="0041077E">
        <w:rPr>
          <w:lang w:val="ru-RU"/>
        </w:rPr>
        <w:tab/>
      </w:r>
      <w:r w:rsidR="0041077E">
        <w:rPr>
          <w:bCs/>
          <w:lang w:val="ru-RU"/>
        </w:rPr>
        <w:t>Сообщения групп по оценке, посвященные их докладам о ходе работы, включая любые возникающие вопросы (пункт 3 предварительной повестки дня сегмента высокого уровня)</w:t>
      </w:r>
    </w:p>
    <w:p w14:paraId="53A06B8A" w14:textId="2171230B"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 xml:space="preserve">В рамках этого пункта повестки дня три группы по оценке сообщат о ходе работы над их оценками и любых возникающих вопросах. Стороны могут пожелать принять эти доклады к </w:t>
      </w:r>
      <w:r>
        <w:rPr>
          <w:lang w:val="ru-RU"/>
        </w:rPr>
        <w:lastRenderedPageBreak/>
        <w:t>сведению и, по своему усмотрению, принять соответствующее решение в ходе текущего совещания или позднее.</w:t>
      </w:r>
    </w:p>
    <w:p w14:paraId="4C4A7D9A" w14:textId="4D6149F2" w:rsidR="0041077E" w:rsidRPr="00D62886" w:rsidRDefault="00A23EA1" w:rsidP="00BC0D99">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41077E">
        <w:rPr>
          <w:bCs/>
          <w:lang w:val="ru-RU"/>
        </w:rPr>
        <w:t>D.</w:t>
      </w:r>
      <w:r w:rsidR="0041077E">
        <w:rPr>
          <w:lang w:val="ru-RU"/>
        </w:rPr>
        <w:tab/>
      </w:r>
      <w:r w:rsidR="0041077E">
        <w:rPr>
          <w:bCs/>
          <w:lang w:val="ru-RU"/>
        </w:rPr>
        <w:t>Сообщение Председателя Исполнительного комитета Многостороннего фонда для осуществления Монреальского протокола, посвященное работе Исполнительного комитета, секретариата Многостороннего фонда и учреждений – исполнителей Фонда (пункт 4 предварительной повестки дня сегмента высокого уровня)</w:t>
      </w:r>
    </w:p>
    <w:p w14:paraId="60C14912" w14:textId="28A6E039"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рамках этого пункта повестки дня Председатель Исполнительного комитета Многостороннего фонда представит Сторонам доклад Исполнительного комитета, в котором освещаются ключевые решения, принятые Комитетом, и работа, выполненная секретариатом Многостороннего фонда и учреждениями – исполнителями Фонда после тридцать седьмого Совещания Сторон. Доклад Исполнительного комитета тридцать восьмому Совещанию Сторон будет представлен в документе UNEP/OzL.Pro.38/8.</w:t>
      </w:r>
    </w:p>
    <w:p w14:paraId="721D265B" w14:textId="285EA275" w:rsidR="0041077E" w:rsidRPr="00D62886" w:rsidRDefault="00A23EA1" w:rsidP="00BC0D99">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41077E">
        <w:rPr>
          <w:bCs/>
          <w:lang w:val="ru-RU"/>
        </w:rPr>
        <w:t>E.</w:t>
      </w:r>
      <w:r w:rsidR="0041077E">
        <w:rPr>
          <w:lang w:val="ru-RU"/>
        </w:rPr>
        <w:tab/>
      </w:r>
      <w:r w:rsidR="0041077E">
        <w:rPr>
          <w:bCs/>
          <w:lang w:val="ru-RU"/>
        </w:rPr>
        <w:t>Заявления глав делегаций и обсуждение ключевых тем (пункт 5 предварительной повестки дня сегмента высокого уровня)</w:t>
      </w:r>
      <w:bookmarkStart w:id="6" w:name="_Hlk205475511"/>
      <w:bookmarkEnd w:id="6"/>
    </w:p>
    <w:p w14:paraId="635563B2" w14:textId="1D234C4C"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рамках данного пункта повестки дня главам делегаций будет предложено выступить с заявлениями. Начиная с первого дня подготовительного сегмента совещания секретариат будет принимать заявки от желающих выступить и составлять на их основе перечень выступающих. В интересах того чтобы все делегации находились в равном положении и чтобы все желающие выступить получили такую возможность, важно, чтобы главы делегаций ограничивали длительность своих выступлений четырьмя-пятью минутами. Заявления глав делегаций Сторон будут делаться в том порядке, в котором были получены их заявки на выступление, при том понимании, что приоритет будет отдаваться министрам.</w:t>
      </w:r>
    </w:p>
    <w:p w14:paraId="5DDEA091" w14:textId="518B184D" w:rsidR="0041077E" w:rsidRPr="00D62886" w:rsidRDefault="00A23EA1" w:rsidP="00BC0D99">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41077E">
        <w:rPr>
          <w:bCs/>
          <w:lang w:val="ru-RU"/>
        </w:rPr>
        <w:t>F.</w:t>
      </w:r>
      <w:r w:rsidR="0041077E">
        <w:rPr>
          <w:lang w:val="ru-RU"/>
        </w:rPr>
        <w:tab/>
      </w:r>
      <w:r w:rsidR="0041077E">
        <w:rPr>
          <w:bCs/>
          <w:lang w:val="ru-RU"/>
        </w:rPr>
        <w:t>Доклад сопредседателей подготовительного сегмента и рассмотрение решений, рекомендованных для принятия тридцать восьмым Совещанием Сторон (пункт 6 предварительной повестки дня сегмента высокого уровня)</w:t>
      </w:r>
    </w:p>
    <w:p w14:paraId="40C2D303" w14:textId="00B63E56"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рамках этого пункта повестки дня сопредседателям подготовительного сегмента будет предложено представить Сторонам доклад о ходе достижения консенсуса по вопросам существа, включенным в повестку дня сорок восьмого совещания Рабочей группы открытого состава и подготовительного сегмента тридцать восьмого Совещания Сторон.</w:t>
      </w:r>
    </w:p>
    <w:p w14:paraId="0D25E8FE" w14:textId="60302BD8" w:rsidR="0041077E" w:rsidRPr="00D62886" w:rsidRDefault="00A23EA1" w:rsidP="00BC0D99">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41077E">
        <w:rPr>
          <w:bCs/>
          <w:lang w:val="ru-RU"/>
        </w:rPr>
        <w:t>G.</w:t>
      </w:r>
      <w:r w:rsidR="0041077E">
        <w:rPr>
          <w:lang w:val="ru-RU"/>
        </w:rPr>
        <w:tab/>
      </w:r>
      <w:r w:rsidR="0041077E">
        <w:rPr>
          <w:bCs/>
          <w:lang w:val="ru-RU"/>
        </w:rPr>
        <w:t>Сроки и место проведения тридцать девятого Совещания Сторон Монреальского протокола (пункт 7 предварительной повестки дня сегмента высокого уровня)</w:t>
      </w:r>
    </w:p>
    <w:p w14:paraId="02681605" w14:textId="5F2F77C9"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До сведения Сторон будет доведена информация о возможном месте проведения тридцать девятого Совещания Сторон, и они, возможно, пожелают принять решение по данному вопросу. На момент подготовки настоящей записки ни от одного правительства не поступило предложения принять тридцать девятое Совещание Сторон. Если такое предложение не поступит, совещание будет проведено в штаб-квартире секретариата в Отделении Организации Объединенных Наций в Найроби, где конференционные помещения предварительно заказаны на период 25–29 октября 2027 года. Шаблон проекта решения по этому вопросу содержится в разделе IV документа UNEP/OzL.Pro.38/3 в виде проекта решения</w:t>
      </w:r>
      <w:r w:rsidR="00A23EA1">
        <w:rPr>
          <w:lang w:val="ru-RU"/>
        </w:rPr>
        <w:t> </w:t>
      </w:r>
      <w:r>
        <w:rPr>
          <w:lang w:val="ru-RU"/>
        </w:rPr>
        <w:t>XXXVIII/[HHH].</w:t>
      </w:r>
    </w:p>
    <w:p w14:paraId="6E2164B4" w14:textId="3B13520E" w:rsidR="0041077E" w:rsidRPr="00D62886" w:rsidRDefault="00A23EA1" w:rsidP="00BC0D99">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41077E">
        <w:rPr>
          <w:bCs/>
          <w:lang w:val="ru-RU"/>
        </w:rPr>
        <w:t>H.</w:t>
      </w:r>
      <w:r w:rsidR="0041077E">
        <w:rPr>
          <w:lang w:val="ru-RU"/>
        </w:rPr>
        <w:tab/>
      </w:r>
      <w:r w:rsidR="0041077E">
        <w:rPr>
          <w:bCs/>
          <w:lang w:val="ru-RU"/>
        </w:rPr>
        <w:t xml:space="preserve">Прочие вопросы (пункт 8 предварительной повестки дня </w:t>
      </w:r>
      <w:r w:rsidR="00F544D0">
        <w:rPr>
          <w:bCs/>
          <w:lang w:val="ru-RU"/>
        </w:rPr>
        <w:t>сегмента высокого уровня</w:t>
      </w:r>
      <w:r w:rsidR="0041077E">
        <w:rPr>
          <w:bCs/>
          <w:lang w:val="ru-RU"/>
        </w:rPr>
        <w:t>)</w:t>
      </w:r>
    </w:p>
    <w:p w14:paraId="122131A6" w14:textId="77777777"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рамках этого пункта будут рассмотрены любые дополнительные вопросы существа, согласованные для включения в повестку дня в рамках пункта 2 b) «Утверждение повестки дня сегмента высокого уровня».</w:t>
      </w:r>
    </w:p>
    <w:p w14:paraId="1E7A7936" w14:textId="6F3FBC79" w:rsidR="0041077E" w:rsidRPr="00D62886" w:rsidRDefault="00A23EA1" w:rsidP="00BC0D99">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9474A0">
        <w:rPr>
          <w:bCs/>
          <w:lang w:val="ru-RU"/>
        </w:rPr>
        <w:t>I.</w:t>
      </w:r>
      <w:r w:rsidR="009474A0">
        <w:rPr>
          <w:lang w:val="ru-RU"/>
        </w:rPr>
        <w:tab/>
      </w:r>
      <w:r w:rsidR="009474A0">
        <w:rPr>
          <w:bCs/>
          <w:lang w:val="ru-RU"/>
        </w:rPr>
        <w:t>Принятие решений тридцать восьмым Совещанием Сторон (пункт 9 предварительной повестки дня сегмента высокого уровня)</w:t>
      </w:r>
    </w:p>
    <w:p w14:paraId="5B88C02B" w14:textId="005A4CBC"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рамках этого пункта повестки дня тридцать восьмое Совещание Сторон примет решения на основе проектов решений, препровожденных ему Рабочей группой открытого состава и по итогам подготовительного сегмента.</w:t>
      </w:r>
    </w:p>
    <w:p w14:paraId="28410A43" w14:textId="7B2E628B" w:rsidR="0041077E" w:rsidRPr="00D62886" w:rsidRDefault="00A23EA1" w:rsidP="00BC0D99">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lastRenderedPageBreak/>
        <w:tab/>
      </w:r>
      <w:r w:rsidR="0041077E">
        <w:rPr>
          <w:bCs/>
          <w:lang w:val="ru-RU"/>
        </w:rPr>
        <w:t>J.</w:t>
      </w:r>
      <w:r w:rsidR="0041077E">
        <w:rPr>
          <w:lang w:val="ru-RU"/>
        </w:rPr>
        <w:tab/>
      </w:r>
      <w:r w:rsidR="0041077E">
        <w:rPr>
          <w:bCs/>
          <w:lang w:val="ru-RU"/>
        </w:rPr>
        <w:t>Принятие доклада о работе совещания (пункт 10 предварительной повестки дня сегмента высокого уровня)</w:t>
      </w:r>
    </w:p>
    <w:p w14:paraId="6233819B" w14:textId="0DA21ED1"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В рамках этого пункта повестки дня Сторонами будет принят доклад о работе тридцать восьмого Совещания Сторон.</w:t>
      </w:r>
    </w:p>
    <w:p w14:paraId="6D000C45" w14:textId="3D87609D" w:rsidR="0041077E" w:rsidRPr="00D62886" w:rsidRDefault="00A23EA1" w:rsidP="00BC0D99">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Pr>
          <w:bCs/>
          <w:lang w:val="ru-RU"/>
        </w:rPr>
        <w:tab/>
      </w:r>
      <w:r w:rsidR="0041077E">
        <w:rPr>
          <w:bCs/>
          <w:lang w:val="ru-RU"/>
        </w:rPr>
        <w:t>K.</w:t>
      </w:r>
      <w:r w:rsidR="0041077E">
        <w:rPr>
          <w:lang w:val="ru-RU"/>
        </w:rPr>
        <w:tab/>
      </w:r>
      <w:r w:rsidR="0041077E">
        <w:rPr>
          <w:bCs/>
          <w:lang w:val="ru-RU"/>
        </w:rPr>
        <w:t>Закрытие совещания (пункт 11 предварительной повестки дня сегмента высокого уровня)</w:t>
      </w:r>
    </w:p>
    <w:p w14:paraId="35E3A1A9" w14:textId="668A0705" w:rsidR="0041077E" w:rsidRPr="00D62886" w:rsidRDefault="0041077E" w:rsidP="00F35924">
      <w:pPr>
        <w:pStyle w:val="Normalnumber"/>
        <w:tabs>
          <w:tab w:val="clear" w:pos="624"/>
          <w:tab w:val="clear" w:pos="1247"/>
          <w:tab w:val="clear" w:pos="1814"/>
          <w:tab w:val="clear" w:pos="2381"/>
          <w:tab w:val="clear" w:pos="2948"/>
          <w:tab w:val="clear" w:pos="3515"/>
        </w:tabs>
        <w:rPr>
          <w:lang w:val="ru-RU"/>
        </w:rPr>
      </w:pPr>
      <w:r>
        <w:rPr>
          <w:lang w:val="ru-RU"/>
        </w:rPr>
        <w:t>Как ожидается, тридцать восьмое Совещание Сторон завершится не позднее 18:00 в пятницу, 6 ноября 2026 года.</w:t>
      </w:r>
    </w:p>
    <w:p w14:paraId="78BDAE20" w14:textId="77777777" w:rsidR="0041077E" w:rsidRPr="00D62886" w:rsidRDefault="0041077E" w:rsidP="00F35924">
      <w:pPr>
        <w:tabs>
          <w:tab w:val="clear" w:pos="1247"/>
          <w:tab w:val="clear" w:pos="1814"/>
          <w:tab w:val="clear" w:pos="2381"/>
          <w:tab w:val="clear" w:pos="2948"/>
          <w:tab w:val="clear" w:pos="3515"/>
        </w:tabs>
        <w:rPr>
          <w:lang w:val="ru-RU"/>
        </w:rPr>
      </w:pPr>
      <w:r w:rsidRPr="00D62886">
        <w:rPr>
          <w:lang w:val="ru-RU"/>
        </w:rPr>
        <w:br w:type="page"/>
      </w:r>
    </w:p>
    <w:p w14:paraId="1FCE0ABF" w14:textId="77777777" w:rsidR="0041077E" w:rsidRPr="00D62886" w:rsidRDefault="0041077E" w:rsidP="00A23EA1">
      <w:pPr>
        <w:tabs>
          <w:tab w:val="clear" w:pos="1247"/>
          <w:tab w:val="clear" w:pos="1814"/>
          <w:tab w:val="clear" w:pos="2381"/>
          <w:tab w:val="clear" w:pos="2948"/>
          <w:tab w:val="clear" w:pos="3515"/>
        </w:tabs>
        <w:spacing w:after="240"/>
        <w:rPr>
          <w:b/>
          <w:bCs/>
          <w:sz w:val="28"/>
          <w:szCs w:val="22"/>
          <w:lang w:val="ru-RU"/>
        </w:rPr>
      </w:pPr>
      <w:r>
        <w:rPr>
          <w:b/>
          <w:bCs/>
          <w:sz w:val="28"/>
          <w:szCs w:val="22"/>
          <w:lang w:val="ru-RU"/>
        </w:rPr>
        <w:lastRenderedPageBreak/>
        <w:t>Приложение I</w:t>
      </w:r>
      <w:r w:rsidRPr="007A6813">
        <w:rPr>
          <w:sz w:val="28"/>
          <w:szCs w:val="22"/>
          <w:lang w:val="ru-RU"/>
        </w:rPr>
        <w:footnoteReference w:customMarkFollows="1" w:id="9"/>
        <w:t>*</w:t>
      </w:r>
    </w:p>
    <w:p w14:paraId="6EC98147" w14:textId="173C5FAD" w:rsidR="003C0F9E" w:rsidRPr="00E1048B" w:rsidRDefault="003C0F9E" w:rsidP="003C0F9E">
      <w:pPr>
        <w:pStyle w:val="CH2"/>
        <w:keepNext w:val="0"/>
        <w:keepLines w:val="0"/>
        <w:tabs>
          <w:tab w:val="clear" w:pos="1247"/>
          <w:tab w:val="clear" w:pos="1871"/>
          <w:tab w:val="clear" w:pos="2495"/>
          <w:tab w:val="clear" w:pos="3119"/>
          <w:tab w:val="clear" w:pos="3742"/>
          <w:tab w:val="clear" w:pos="4366"/>
          <w:tab w:val="clear" w:pos="4990"/>
        </w:tabs>
        <w:spacing w:before="0"/>
        <w:ind w:right="567" w:firstLine="0"/>
        <w:rPr>
          <w:lang w:val="ru-RU"/>
        </w:rPr>
      </w:pPr>
      <w:r w:rsidRPr="00E1048B">
        <w:rPr>
          <w:lang w:val="ru-RU"/>
        </w:rPr>
        <w:tab/>
      </w:r>
      <w:r w:rsidRPr="00E1048B">
        <w:rPr>
          <w:bCs/>
          <w:lang w:val="ru-RU"/>
        </w:rPr>
        <w:t xml:space="preserve">Предложения </w:t>
      </w:r>
      <w:r>
        <w:rPr>
          <w:bCs/>
          <w:lang w:val="ru-RU"/>
        </w:rPr>
        <w:t>для</w:t>
      </w:r>
      <w:r w:rsidRPr="00E1048B">
        <w:rPr>
          <w:bCs/>
          <w:lang w:val="ru-RU"/>
        </w:rPr>
        <w:t xml:space="preserve"> до</w:t>
      </w:r>
      <w:r>
        <w:rPr>
          <w:bCs/>
          <w:lang w:val="ru-RU"/>
        </w:rPr>
        <w:t>бавочного</w:t>
      </w:r>
      <w:r w:rsidRPr="00E1048B">
        <w:rPr>
          <w:bCs/>
          <w:lang w:val="ru-RU"/>
        </w:rPr>
        <w:t xml:space="preserve"> анализа в дополнительно</w:t>
      </w:r>
      <w:r>
        <w:rPr>
          <w:bCs/>
          <w:lang w:val="ru-RU"/>
        </w:rPr>
        <w:t>м</w:t>
      </w:r>
      <w:r w:rsidRPr="00E1048B">
        <w:rPr>
          <w:bCs/>
          <w:lang w:val="ru-RU"/>
        </w:rPr>
        <w:t xml:space="preserve"> доклад</w:t>
      </w:r>
      <w:r>
        <w:rPr>
          <w:bCs/>
          <w:lang w:val="ru-RU"/>
        </w:rPr>
        <w:t>е</w:t>
      </w:r>
      <w:r w:rsidRPr="00E1048B">
        <w:rPr>
          <w:bCs/>
          <w:lang w:val="ru-RU"/>
        </w:rPr>
        <w:t xml:space="preserve"> о пополнении Многостороннего фонда </w:t>
      </w:r>
      <w:r>
        <w:rPr>
          <w:bCs/>
          <w:lang w:val="ru-RU"/>
        </w:rPr>
        <w:t>для</w:t>
      </w:r>
      <w:r w:rsidRPr="00E1048B">
        <w:rPr>
          <w:bCs/>
          <w:lang w:val="ru-RU"/>
        </w:rPr>
        <w:t xml:space="preserve"> осуществлени</w:t>
      </w:r>
      <w:r>
        <w:rPr>
          <w:bCs/>
          <w:lang w:val="ru-RU"/>
        </w:rPr>
        <w:t>я</w:t>
      </w:r>
      <w:r w:rsidRPr="00E1048B">
        <w:rPr>
          <w:bCs/>
          <w:lang w:val="ru-RU"/>
        </w:rPr>
        <w:t xml:space="preserve"> Монреальского протокола на период 2027–2029 годов </w:t>
      </w:r>
    </w:p>
    <w:p w14:paraId="43717349" w14:textId="77777777" w:rsidR="003C0F9E" w:rsidRPr="00E1048B" w:rsidRDefault="003C0F9E" w:rsidP="003C0F9E">
      <w:pPr>
        <w:pStyle w:val="CH5"/>
        <w:keepNext w:val="0"/>
        <w:keepLines w:val="0"/>
        <w:tabs>
          <w:tab w:val="clear" w:pos="851"/>
          <w:tab w:val="clear" w:pos="1247"/>
          <w:tab w:val="clear" w:pos="1871"/>
          <w:tab w:val="clear" w:pos="2495"/>
          <w:tab w:val="clear" w:pos="3119"/>
          <w:tab w:val="clear" w:pos="3742"/>
          <w:tab w:val="clear" w:pos="4082"/>
          <w:tab w:val="clear" w:pos="4366"/>
          <w:tab w:val="clear" w:pos="4990"/>
        </w:tabs>
        <w:ind w:left="2494" w:right="284"/>
        <w:rPr>
          <w:i/>
          <w:iCs/>
          <w:lang w:val="ru-RU"/>
        </w:rPr>
      </w:pPr>
      <w:r>
        <w:rPr>
          <w:lang w:val="ru-RU"/>
        </w:rPr>
        <w:t>М</w:t>
      </w:r>
      <w:r w:rsidRPr="00E1048B">
        <w:rPr>
          <w:lang w:val="ru-RU"/>
        </w:rPr>
        <w:t>ОП – О</w:t>
      </w:r>
      <w:r>
        <w:rPr>
          <w:lang w:val="ru-RU"/>
        </w:rPr>
        <w:t>М</w:t>
      </w:r>
      <w:r w:rsidRPr="00E1048B">
        <w:rPr>
          <w:lang w:val="ru-RU"/>
        </w:rPr>
        <w:t>ОП</w:t>
      </w:r>
    </w:p>
    <w:p w14:paraId="72607FF9" w14:textId="77777777" w:rsidR="003C0F9E" w:rsidRPr="00E1048B" w:rsidRDefault="003C0F9E" w:rsidP="003C0F9E">
      <w:pPr>
        <w:pStyle w:val="NormalNonumber"/>
        <w:tabs>
          <w:tab w:val="clear" w:pos="624"/>
          <w:tab w:val="clear" w:pos="1247"/>
          <w:tab w:val="clear" w:pos="1871"/>
          <w:tab w:val="clear" w:pos="2495"/>
          <w:tab w:val="clear" w:pos="3119"/>
          <w:tab w:val="clear" w:pos="3742"/>
          <w:tab w:val="clear" w:pos="4366"/>
          <w:tab w:val="clear" w:pos="4990"/>
        </w:tabs>
        <w:rPr>
          <w:lang w:val="ru-RU"/>
        </w:rPr>
      </w:pPr>
      <w:r w:rsidRPr="00E1048B">
        <w:rPr>
          <w:lang w:val="ru-RU"/>
        </w:rPr>
        <w:t>Ссылаясь на ТЗ, содержащееся в решении XXXVII/6, поручить ЦГП пред</w:t>
      </w:r>
      <w:r>
        <w:rPr>
          <w:lang w:val="ru-RU"/>
        </w:rPr>
        <w:t>усмотреть</w:t>
      </w:r>
      <w:r w:rsidRPr="00E1048B">
        <w:rPr>
          <w:lang w:val="ru-RU"/>
        </w:rPr>
        <w:t xml:space="preserve"> сценарий с максимальными значениями применительно к возможному увеличению расчетного объема финансирования в таблицах распределения ресурсов в главе 3 для стран</w:t>
      </w:r>
      <w:r>
        <w:rPr>
          <w:lang w:val="ru-RU"/>
        </w:rPr>
        <w:t xml:space="preserve"> с</w:t>
      </w:r>
      <w:r w:rsidRPr="00E1048B">
        <w:rPr>
          <w:lang w:val="ru-RU"/>
        </w:rPr>
        <w:t xml:space="preserve"> </w:t>
      </w:r>
      <w:r>
        <w:rPr>
          <w:lang w:val="ru-RU"/>
        </w:rPr>
        <w:t>М</w:t>
      </w:r>
      <w:r w:rsidRPr="00E1048B">
        <w:rPr>
          <w:lang w:val="ru-RU"/>
        </w:rPr>
        <w:t xml:space="preserve">ОП и </w:t>
      </w:r>
      <w:r>
        <w:rPr>
          <w:lang w:val="ru-RU"/>
        </w:rPr>
        <w:t xml:space="preserve">с </w:t>
      </w:r>
      <w:r w:rsidRPr="00E1048B">
        <w:rPr>
          <w:lang w:val="ru-RU"/>
        </w:rPr>
        <w:t>О</w:t>
      </w:r>
      <w:r>
        <w:rPr>
          <w:lang w:val="ru-RU"/>
        </w:rPr>
        <w:t>М</w:t>
      </w:r>
      <w:r w:rsidRPr="00E1048B">
        <w:rPr>
          <w:lang w:val="ru-RU"/>
        </w:rPr>
        <w:t xml:space="preserve">ОП </w:t>
      </w:r>
      <w:r>
        <w:rPr>
          <w:lang w:val="ru-RU"/>
        </w:rPr>
        <w:t>для</w:t>
      </w:r>
      <w:r w:rsidRPr="00E1048B">
        <w:rPr>
          <w:lang w:val="ru-RU"/>
        </w:rPr>
        <w:t xml:space="preserve"> этап</w:t>
      </w:r>
      <w:r>
        <w:rPr>
          <w:lang w:val="ru-RU"/>
        </w:rPr>
        <w:t>а</w:t>
      </w:r>
      <w:r w:rsidRPr="00E1048B">
        <w:rPr>
          <w:lang w:val="ru-RU"/>
        </w:rPr>
        <w:t xml:space="preserve"> II их ПВК, в консультации с секретариатом МФ и с учетом способности этих стран освоить </w:t>
      </w:r>
      <w:r>
        <w:rPr>
          <w:lang w:val="ru-RU"/>
        </w:rPr>
        <w:t>увеличенные объемы средств</w:t>
      </w:r>
      <w:r w:rsidRPr="00E1048B">
        <w:rPr>
          <w:lang w:val="ru-RU"/>
        </w:rPr>
        <w:t>.</w:t>
      </w:r>
    </w:p>
    <w:p w14:paraId="7B1A6618" w14:textId="77777777" w:rsidR="003C0F9E" w:rsidRPr="00E1048B" w:rsidRDefault="003C0F9E" w:rsidP="003C0F9E">
      <w:pPr>
        <w:pStyle w:val="CH4"/>
        <w:keepNext w:val="0"/>
        <w:keepLines w:val="0"/>
        <w:tabs>
          <w:tab w:val="clear" w:pos="851"/>
          <w:tab w:val="clear" w:pos="1247"/>
          <w:tab w:val="clear" w:pos="1871"/>
          <w:tab w:val="clear" w:pos="2495"/>
          <w:tab w:val="clear" w:pos="3119"/>
          <w:tab w:val="clear" w:pos="3742"/>
          <w:tab w:val="clear" w:pos="4366"/>
          <w:tab w:val="clear" w:pos="4990"/>
        </w:tabs>
        <w:spacing w:before="0"/>
        <w:ind w:firstLine="0"/>
        <w:rPr>
          <w:color w:val="000000" w:themeColor="text1"/>
          <w:lang w:val="ru-RU"/>
        </w:rPr>
      </w:pPr>
      <w:r w:rsidRPr="00E1048B">
        <w:rPr>
          <w:lang w:val="ru-RU"/>
        </w:rPr>
        <w:t>Сценарии и методологические вопросы</w:t>
      </w:r>
      <w:r w:rsidRPr="00E1048B">
        <w:rPr>
          <w:color w:val="000000" w:themeColor="text1"/>
          <w:lang w:val="ru-RU"/>
        </w:rPr>
        <w:t xml:space="preserve"> </w:t>
      </w:r>
    </w:p>
    <w:p w14:paraId="3ECBA3A0" w14:textId="77777777" w:rsidR="003C0F9E" w:rsidRPr="00E1048B" w:rsidRDefault="003C0F9E" w:rsidP="003C0F9E">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871" w:hanging="624"/>
        <w:rPr>
          <w:lang w:val="ru-RU"/>
        </w:rPr>
      </w:pPr>
      <w:r w:rsidRPr="00E1048B">
        <w:rPr>
          <w:lang w:val="ru-RU"/>
        </w:rPr>
        <w:t xml:space="preserve">При оценке потребностей в финансировании </w:t>
      </w:r>
      <w:r>
        <w:rPr>
          <w:lang w:val="ru-RU"/>
        </w:rPr>
        <w:t xml:space="preserve">для </w:t>
      </w:r>
      <w:r w:rsidRPr="00E1048B">
        <w:rPr>
          <w:lang w:val="ru-RU"/>
        </w:rPr>
        <w:t xml:space="preserve">ПРПГ и ПВК применять коэффициенты </w:t>
      </w:r>
      <w:r>
        <w:rPr>
          <w:lang w:val="ru-RU"/>
        </w:rPr>
        <w:t>З</w:t>
      </w:r>
      <w:r w:rsidRPr="00E1048B">
        <w:rPr>
          <w:lang w:val="ru-RU"/>
        </w:rPr>
        <w:t xml:space="preserve">Э </w:t>
      </w:r>
      <w:r>
        <w:rPr>
          <w:lang w:val="ru-RU"/>
        </w:rPr>
        <w:t>согласно</w:t>
      </w:r>
      <w:r w:rsidRPr="00E1048B">
        <w:rPr>
          <w:lang w:val="ru-RU"/>
        </w:rPr>
        <w:t xml:space="preserve"> сценариям: первый – на основе исторических показателей </w:t>
      </w:r>
      <w:r>
        <w:rPr>
          <w:lang w:val="ru-RU"/>
        </w:rPr>
        <w:t>З</w:t>
      </w:r>
      <w:r w:rsidRPr="00E1048B">
        <w:rPr>
          <w:lang w:val="ru-RU"/>
        </w:rPr>
        <w:t xml:space="preserve">Э; второй – на основе коэффициентов </w:t>
      </w:r>
      <w:r>
        <w:rPr>
          <w:lang w:val="ru-RU"/>
        </w:rPr>
        <w:t>З</w:t>
      </w:r>
      <w:r w:rsidRPr="00E1048B">
        <w:rPr>
          <w:lang w:val="ru-RU"/>
        </w:rPr>
        <w:t>Э для каждой Стороны</w:t>
      </w:r>
      <w:r>
        <w:rPr>
          <w:lang w:val="ru-RU"/>
        </w:rPr>
        <w:t>, действующей в рамках статьи 5,</w:t>
      </w:r>
      <w:r w:rsidRPr="00E1048B">
        <w:rPr>
          <w:lang w:val="ru-RU"/>
        </w:rPr>
        <w:t xml:space="preserve"> за последние 6 лет; и третий – на основе средних объемов финансирования для каждой Стороны</w:t>
      </w:r>
      <w:r>
        <w:rPr>
          <w:lang w:val="ru-RU"/>
        </w:rPr>
        <w:t>, действующей в рамках статьи 5,</w:t>
      </w:r>
      <w:r w:rsidRPr="00E1048B">
        <w:rPr>
          <w:lang w:val="ru-RU"/>
        </w:rPr>
        <w:t xml:space="preserve"> за последние 6 лет</w:t>
      </w:r>
    </w:p>
    <w:p w14:paraId="2551032C" w14:textId="77777777" w:rsidR="003C0F9E" w:rsidRPr="00E1048B" w:rsidRDefault="003C0F9E" w:rsidP="003C0F9E">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871" w:hanging="624"/>
        <w:rPr>
          <w:lang w:val="ru-RU"/>
        </w:rPr>
      </w:pPr>
      <w:r w:rsidRPr="00E1048B">
        <w:rPr>
          <w:lang w:val="ru-RU"/>
        </w:rPr>
        <w:t xml:space="preserve">Поручить Группе представить пересмотренные диапазоны финансирования с альтернативными сценариями, </w:t>
      </w:r>
      <w:r>
        <w:rPr>
          <w:lang w:val="ru-RU"/>
        </w:rPr>
        <w:t xml:space="preserve">в которых оценивается </w:t>
      </w:r>
      <w:r w:rsidRPr="00E1048B">
        <w:rPr>
          <w:lang w:val="ru-RU"/>
        </w:rPr>
        <w:t>влияние следующих факторов:</w:t>
      </w:r>
    </w:p>
    <w:p w14:paraId="2FF384DA" w14:textId="77777777" w:rsidR="003C0F9E" w:rsidRPr="00E1048B" w:rsidRDefault="003C0F9E" w:rsidP="003C0F9E">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2552" w:hanging="624"/>
        <w:rPr>
          <w:lang w:val="ru-RU"/>
        </w:rPr>
      </w:pPr>
      <w:r w:rsidRPr="00E1048B">
        <w:rPr>
          <w:lang w:val="ru-RU"/>
        </w:rPr>
        <w:t>сценарий с минимальными значениями, основанный на последних представленных данных о потреблении ГХФУ и ГФУ, и сценарий с максимальными значениями, основанный на установленных базовых уровнях ГФУ и оставшемся объеме потребления ГХФУ, на которое может быть выделено финансирование;</w:t>
      </w:r>
    </w:p>
    <w:p w14:paraId="2C3C7F2E" w14:textId="77777777" w:rsidR="003C0F9E" w:rsidRPr="00E1048B" w:rsidRDefault="003C0F9E" w:rsidP="003C0F9E">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2552" w:hanging="624"/>
        <w:rPr>
          <w:lang w:val="ru-RU"/>
        </w:rPr>
      </w:pPr>
      <w:r w:rsidRPr="00E1048B">
        <w:rPr>
          <w:lang w:val="ru-RU"/>
        </w:rPr>
        <w:t xml:space="preserve">реалистичные сроки осуществления проектов, например изменение графика </w:t>
      </w:r>
      <w:r>
        <w:rPr>
          <w:lang w:val="ru-RU"/>
        </w:rPr>
        <w:t xml:space="preserve">А </w:t>
      </w:r>
      <w:r w:rsidRPr="00E1048B">
        <w:rPr>
          <w:lang w:val="ru-RU"/>
        </w:rPr>
        <w:t>распределения ресурсов для этапа II ПВК</w:t>
      </w:r>
      <w:r>
        <w:rPr>
          <w:lang w:val="ru-RU"/>
        </w:rPr>
        <w:t xml:space="preserve"> и</w:t>
      </w:r>
      <w:r w:rsidRPr="00E1048B">
        <w:rPr>
          <w:lang w:val="ru-RU"/>
        </w:rPr>
        <w:t xml:space="preserve"> учет темпов ратификации Кигалийской поправки государствами, </w:t>
      </w:r>
      <w:r>
        <w:rPr>
          <w:lang w:val="ru-RU"/>
        </w:rPr>
        <w:t xml:space="preserve">еще </w:t>
      </w:r>
      <w:r w:rsidRPr="00E1048B">
        <w:rPr>
          <w:lang w:val="ru-RU"/>
        </w:rPr>
        <w:t>не являющимися ее Сторонами;</w:t>
      </w:r>
    </w:p>
    <w:p w14:paraId="27E7D557" w14:textId="77777777" w:rsidR="003C0F9E" w:rsidRPr="00E1048B" w:rsidRDefault="003C0F9E" w:rsidP="003C0F9E">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2552" w:hanging="624"/>
        <w:rPr>
          <w:lang w:val="ru-RU"/>
        </w:rPr>
      </w:pPr>
      <w:r w:rsidRPr="00E1048B">
        <w:rPr>
          <w:lang w:val="ru-RU"/>
        </w:rPr>
        <w:t xml:space="preserve">сценарии сокращения выбросов ГФУ-23, учитывающие текущие эксплуатационные расходы и ДЭР </w:t>
      </w:r>
      <w:r>
        <w:rPr>
          <w:lang w:val="ru-RU"/>
        </w:rPr>
        <w:t>для</w:t>
      </w:r>
      <w:r w:rsidRPr="00E1048B">
        <w:rPr>
          <w:lang w:val="ru-RU"/>
        </w:rPr>
        <w:t xml:space="preserve"> утвержденны</w:t>
      </w:r>
      <w:r>
        <w:rPr>
          <w:lang w:val="ru-RU"/>
        </w:rPr>
        <w:t>х</w:t>
      </w:r>
      <w:r w:rsidRPr="00E1048B">
        <w:rPr>
          <w:lang w:val="ru-RU"/>
        </w:rPr>
        <w:t xml:space="preserve"> проект</w:t>
      </w:r>
      <w:r>
        <w:rPr>
          <w:lang w:val="ru-RU"/>
        </w:rPr>
        <w:t>ов</w:t>
      </w:r>
      <w:r w:rsidRPr="00E1048B">
        <w:rPr>
          <w:lang w:val="ru-RU"/>
        </w:rPr>
        <w:t xml:space="preserve"> МФ; </w:t>
      </w:r>
    </w:p>
    <w:p w14:paraId="03F024FB" w14:textId="77777777" w:rsidR="003C0F9E" w:rsidRPr="00E1048B" w:rsidRDefault="003C0F9E" w:rsidP="003C0F9E">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2552" w:hanging="624"/>
        <w:rPr>
          <w:lang w:val="ru-RU"/>
        </w:rPr>
      </w:pPr>
      <w:r w:rsidRPr="00E1048B">
        <w:rPr>
          <w:lang w:val="ru-RU"/>
        </w:rPr>
        <w:t xml:space="preserve">сценарий с минимальными показателями </w:t>
      </w:r>
      <w:r>
        <w:rPr>
          <w:lang w:val="ru-RU"/>
        </w:rPr>
        <w:t>ЭЭ</w:t>
      </w:r>
      <w:r w:rsidRPr="00E1048B">
        <w:rPr>
          <w:lang w:val="ru-RU"/>
        </w:rPr>
        <w:t xml:space="preserve"> (решение 94/60), основанный на проектах, включенных в план деятельности МФ, и сценарий с максимальными значениями, отражающий полное освоение остающихся средств в рамках механизма финансирования, предусмотренного решением 94/60, направленного на содействие повышению </w:t>
      </w:r>
      <w:r>
        <w:rPr>
          <w:lang w:val="ru-RU"/>
        </w:rPr>
        <w:t>ЭЭ</w:t>
      </w:r>
      <w:r w:rsidRPr="00E1048B">
        <w:rPr>
          <w:lang w:val="ru-RU"/>
        </w:rPr>
        <w:t xml:space="preserve"> в контексте поэтапного сокращения оборота ГФУ в ходе следующего трехгодичного периода;</w:t>
      </w:r>
    </w:p>
    <w:p w14:paraId="2EC75167" w14:textId="77777777" w:rsidR="003C0F9E" w:rsidRPr="00E1048B" w:rsidRDefault="003C0F9E" w:rsidP="003C0F9E">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2552" w:hanging="624"/>
        <w:rPr>
          <w:lang w:val="ru-RU"/>
        </w:rPr>
      </w:pPr>
      <w:r w:rsidRPr="00E1048B">
        <w:rPr>
          <w:lang w:val="ru-RU"/>
        </w:rPr>
        <w:t>надлежащее отражение распределения финанс</w:t>
      </w:r>
      <w:r>
        <w:rPr>
          <w:lang w:val="ru-RU"/>
        </w:rPr>
        <w:t xml:space="preserve">овых средств </w:t>
      </w:r>
      <w:r w:rsidRPr="00E1048B">
        <w:rPr>
          <w:lang w:val="ru-RU"/>
        </w:rPr>
        <w:t>между странами с разными уровнями потребления в целях удовлетворения потребностей Сторон</w:t>
      </w:r>
      <w:r w:rsidRPr="003A176E">
        <w:rPr>
          <w:lang w:val="ru-RU"/>
        </w:rPr>
        <w:t>, действующей в рамках статьи 5,</w:t>
      </w:r>
      <w:r w:rsidRPr="00E1048B">
        <w:rPr>
          <w:lang w:val="ru-RU"/>
        </w:rPr>
        <w:t xml:space="preserve"> для обеспечения соблюдения.</w:t>
      </w:r>
    </w:p>
    <w:p w14:paraId="2F8ABA4E" w14:textId="77777777" w:rsidR="003C0F9E" w:rsidRPr="00E1048B" w:rsidRDefault="003C0F9E" w:rsidP="003C0F9E">
      <w:pPr>
        <w:pStyle w:val="CH4"/>
        <w:keepNext w:val="0"/>
        <w:keepLines w:val="0"/>
        <w:tabs>
          <w:tab w:val="clear" w:pos="851"/>
          <w:tab w:val="clear" w:pos="1247"/>
          <w:tab w:val="clear" w:pos="1871"/>
          <w:tab w:val="clear" w:pos="2495"/>
          <w:tab w:val="clear" w:pos="3119"/>
          <w:tab w:val="clear" w:pos="3742"/>
          <w:tab w:val="clear" w:pos="4366"/>
          <w:tab w:val="clear" w:pos="4990"/>
        </w:tabs>
        <w:spacing w:before="0"/>
        <w:ind w:left="2494"/>
        <w:rPr>
          <w:b w:val="0"/>
          <w:bCs/>
          <w:color w:val="000000" w:themeColor="text1"/>
          <w:lang w:val="ru-RU"/>
        </w:rPr>
      </w:pPr>
      <w:r w:rsidRPr="00E1048B">
        <w:rPr>
          <w:lang w:val="ru-RU"/>
        </w:rPr>
        <w:t>Решение ИК-98</w:t>
      </w:r>
    </w:p>
    <w:p w14:paraId="781A0CA9" w14:textId="77777777" w:rsidR="003C0F9E" w:rsidRPr="00E1048B" w:rsidRDefault="003C0F9E" w:rsidP="003C0F9E">
      <w:pPr>
        <w:pStyle w:val="NormalNonumber"/>
        <w:tabs>
          <w:tab w:val="clear" w:pos="624"/>
          <w:tab w:val="clear" w:pos="1247"/>
          <w:tab w:val="clear" w:pos="1871"/>
          <w:tab w:val="clear" w:pos="2495"/>
          <w:tab w:val="clear" w:pos="3119"/>
          <w:tab w:val="clear" w:pos="3742"/>
          <w:tab w:val="clear" w:pos="4366"/>
          <w:tab w:val="clear" w:pos="4990"/>
        </w:tabs>
        <w:rPr>
          <w:lang w:val="ru-RU"/>
        </w:rPr>
      </w:pPr>
      <w:r w:rsidRPr="00E1048B">
        <w:rPr>
          <w:lang w:val="ru-RU"/>
        </w:rPr>
        <w:t>Скорректировать все элементы потребностей в финансировании с учетом соответствующих решений, принятых на 98-м совещании Исполнительного комитета, и внести любые дополнительные необходимые обновления для точного отражения сумм в утвержденных ПРПГ и ПВК</w:t>
      </w:r>
      <w:r>
        <w:rPr>
          <w:lang w:val="ru-RU"/>
        </w:rPr>
        <w:t>.</w:t>
      </w:r>
    </w:p>
    <w:p w14:paraId="1A64B6CB" w14:textId="77777777" w:rsidR="003C0F9E" w:rsidRPr="00E1048B" w:rsidRDefault="003C0F9E" w:rsidP="003C0F9E">
      <w:pPr>
        <w:pStyle w:val="CH4"/>
        <w:keepNext w:val="0"/>
        <w:keepLines w:val="0"/>
        <w:tabs>
          <w:tab w:val="clear" w:pos="851"/>
          <w:tab w:val="clear" w:pos="1247"/>
          <w:tab w:val="clear" w:pos="1871"/>
          <w:tab w:val="clear" w:pos="2495"/>
          <w:tab w:val="clear" w:pos="3119"/>
          <w:tab w:val="clear" w:pos="3742"/>
          <w:tab w:val="clear" w:pos="4366"/>
          <w:tab w:val="clear" w:pos="4990"/>
        </w:tabs>
        <w:spacing w:before="0"/>
        <w:ind w:firstLine="0"/>
        <w:rPr>
          <w:b w:val="0"/>
          <w:bCs/>
          <w:color w:val="000000" w:themeColor="text1"/>
          <w:lang w:val="ru-RU"/>
        </w:rPr>
      </w:pPr>
      <w:r w:rsidRPr="00E1048B">
        <w:rPr>
          <w:lang w:val="ru-RU"/>
        </w:rPr>
        <w:t>РЖЦХ</w:t>
      </w:r>
    </w:p>
    <w:p w14:paraId="24C545EA" w14:textId="77777777" w:rsidR="003C0F9E" w:rsidRPr="00E1048B" w:rsidRDefault="003C0F9E" w:rsidP="003C0F9E">
      <w:pPr>
        <w:pStyle w:val="NormalNonumber"/>
        <w:tabs>
          <w:tab w:val="clear" w:pos="624"/>
          <w:tab w:val="clear" w:pos="1247"/>
          <w:tab w:val="clear" w:pos="1871"/>
          <w:tab w:val="clear" w:pos="2495"/>
          <w:tab w:val="clear" w:pos="3119"/>
          <w:tab w:val="clear" w:pos="3742"/>
          <w:tab w:val="clear" w:pos="4366"/>
          <w:tab w:val="clear" w:pos="4990"/>
        </w:tabs>
        <w:rPr>
          <w:lang w:val="ru-RU"/>
        </w:rPr>
      </w:pPr>
      <w:r w:rsidRPr="00E1048B">
        <w:rPr>
          <w:lang w:val="ru-RU"/>
        </w:rPr>
        <w:t xml:space="preserve">Включить смету расходов </w:t>
      </w:r>
      <w:r>
        <w:rPr>
          <w:lang w:val="ru-RU"/>
        </w:rPr>
        <w:t>для</w:t>
      </w:r>
      <w:r w:rsidRPr="00E1048B">
        <w:rPr>
          <w:lang w:val="ru-RU"/>
        </w:rPr>
        <w:t xml:space="preserve"> сценари</w:t>
      </w:r>
      <w:r>
        <w:rPr>
          <w:lang w:val="ru-RU"/>
        </w:rPr>
        <w:t>я</w:t>
      </w:r>
      <w:r w:rsidRPr="00E1048B">
        <w:rPr>
          <w:lang w:val="ru-RU"/>
        </w:rPr>
        <w:t xml:space="preserve"> с максимальными значениями применительно к возможному механизму финансирования, который будет рассмотрен на 100-м совещании ИК для период</w:t>
      </w:r>
      <w:r>
        <w:rPr>
          <w:lang w:val="ru-RU"/>
        </w:rPr>
        <w:t>а</w:t>
      </w:r>
      <w:r w:rsidRPr="00E1048B">
        <w:rPr>
          <w:lang w:val="ru-RU"/>
        </w:rPr>
        <w:t xml:space="preserve"> 2027–2029 годов в поддержку осуществления национальных планов, разработанных во исполнение решения 91/66, с учетом того, что мероприятия по </w:t>
      </w:r>
      <w:r>
        <w:rPr>
          <w:lang w:val="ru-RU"/>
        </w:rPr>
        <w:t>утилизации</w:t>
      </w:r>
      <w:r w:rsidRPr="00E1048B">
        <w:rPr>
          <w:lang w:val="ru-RU"/>
        </w:rPr>
        <w:t xml:space="preserve">, рециркуляции и </w:t>
      </w:r>
      <w:r>
        <w:rPr>
          <w:lang w:val="ru-RU"/>
        </w:rPr>
        <w:t>восстановлению</w:t>
      </w:r>
      <w:r w:rsidRPr="00E1048B">
        <w:rPr>
          <w:lang w:val="ru-RU"/>
        </w:rPr>
        <w:t xml:space="preserve"> хладагентов финансируются также в рамках ПРПГ и ПВК.</w:t>
      </w:r>
    </w:p>
    <w:p w14:paraId="3F17F661" w14:textId="77777777" w:rsidR="003C0F9E" w:rsidRPr="00CF681F" w:rsidRDefault="003C0F9E" w:rsidP="003C0F9E">
      <w:pPr>
        <w:rPr>
          <w:lang w:val="ru-RU"/>
        </w:rPr>
      </w:pPr>
    </w:p>
    <w:p w14:paraId="4C9A4E72" w14:textId="77777777" w:rsidR="0041077E" w:rsidRPr="00D62886" w:rsidRDefault="0041077E" w:rsidP="00F35924">
      <w:pPr>
        <w:pStyle w:val="Normal-pool"/>
        <w:tabs>
          <w:tab w:val="clear" w:pos="624"/>
          <w:tab w:val="clear" w:pos="1247"/>
          <w:tab w:val="clear" w:pos="1871"/>
          <w:tab w:val="clear" w:pos="2495"/>
          <w:tab w:val="clear" w:pos="3119"/>
          <w:tab w:val="clear" w:pos="3742"/>
          <w:tab w:val="clear" w:pos="4366"/>
          <w:tab w:val="clear" w:pos="4990"/>
        </w:tabs>
        <w:rPr>
          <w:lang w:val="ru-RU"/>
        </w:rPr>
      </w:pPr>
      <w:r w:rsidRPr="00D62886">
        <w:rPr>
          <w:lang w:val="ru-RU"/>
        </w:rPr>
        <w:br w:type="page"/>
      </w:r>
    </w:p>
    <w:p w14:paraId="56C05BF5" w14:textId="19E4F71F" w:rsidR="0041077E" w:rsidRPr="00D62886" w:rsidRDefault="0041077E" w:rsidP="00082D48">
      <w:pPr>
        <w:pStyle w:val="ZZAnxheader"/>
        <w:tabs>
          <w:tab w:val="clear" w:pos="624"/>
          <w:tab w:val="clear" w:pos="1247"/>
          <w:tab w:val="clear" w:pos="1871"/>
          <w:tab w:val="clear" w:pos="2495"/>
          <w:tab w:val="clear" w:pos="3119"/>
          <w:tab w:val="clear" w:pos="3742"/>
          <w:tab w:val="clear" w:pos="4366"/>
          <w:tab w:val="clear" w:pos="4990"/>
        </w:tabs>
        <w:spacing w:after="240"/>
        <w:rPr>
          <w:lang w:val="ru-RU"/>
        </w:rPr>
      </w:pPr>
      <w:r>
        <w:rPr>
          <w:lang w:val="ru-RU"/>
        </w:rPr>
        <w:lastRenderedPageBreak/>
        <w:t>Приложение II</w:t>
      </w:r>
      <w:r w:rsidR="001206DE" w:rsidRPr="007061DE">
        <w:rPr>
          <w:b w:val="0"/>
          <w:bCs w:val="0"/>
          <w:lang w:val="ru-RU"/>
        </w:rPr>
        <w:footnoteReference w:customMarkFollows="1" w:id="10"/>
        <w:t>*</w:t>
      </w:r>
    </w:p>
    <w:p w14:paraId="2C94991A" w14:textId="77777777" w:rsidR="0041077E" w:rsidRPr="00D62886" w:rsidRDefault="0041077E" w:rsidP="00082D48">
      <w:pPr>
        <w:pStyle w:val="ZZAnxtitle"/>
        <w:tabs>
          <w:tab w:val="clear" w:pos="624"/>
          <w:tab w:val="clear" w:pos="1247"/>
          <w:tab w:val="clear" w:pos="1871"/>
          <w:tab w:val="clear" w:pos="2495"/>
          <w:tab w:val="clear" w:pos="3119"/>
          <w:tab w:val="clear" w:pos="3742"/>
          <w:tab w:val="clear" w:pos="4366"/>
          <w:tab w:val="clear" w:pos="4990"/>
        </w:tabs>
        <w:spacing w:before="0"/>
        <w:ind w:right="567"/>
        <w:rPr>
          <w:lang w:val="ru-RU"/>
        </w:rPr>
      </w:pPr>
      <w:r>
        <w:rPr>
          <w:lang w:val="ru-RU"/>
        </w:rPr>
        <w:t>Члены комитетов по техническим вариантам замены Группы по техническому обзору и экономической оценке, срок полномочий которых истекает в конце 2026 года и для повторного назначения которых не требуется решения Совещания Сторон</w:t>
      </w:r>
    </w:p>
    <w:tbl>
      <w:tblPr>
        <w:tblW w:w="8307" w:type="dxa"/>
        <w:jc w:val="right"/>
        <w:tblLayout w:type="fixed"/>
        <w:tblLook w:val="04A0" w:firstRow="1" w:lastRow="0" w:firstColumn="1" w:lastColumn="0" w:noHBand="0" w:noVBand="1"/>
      </w:tblPr>
      <w:tblGrid>
        <w:gridCol w:w="3119"/>
        <w:gridCol w:w="1843"/>
        <w:gridCol w:w="3345"/>
      </w:tblGrid>
      <w:tr w:rsidR="0041077E" w:rsidRPr="00082D48" w14:paraId="246EFED5" w14:textId="77777777" w:rsidTr="00082D48">
        <w:trPr>
          <w:trHeight w:val="57"/>
          <w:tblHeader/>
          <w:jc w:val="right"/>
        </w:trPr>
        <w:tc>
          <w:tcPr>
            <w:tcW w:w="3119" w:type="dxa"/>
            <w:tcBorders>
              <w:top w:val="single" w:sz="4" w:space="0" w:color="auto"/>
              <w:left w:val="nil"/>
              <w:bottom w:val="single" w:sz="12" w:space="0" w:color="auto"/>
              <w:right w:val="nil"/>
            </w:tcBorders>
            <w:vAlign w:val="bottom"/>
            <w:hideMark/>
          </w:tcPr>
          <w:p w14:paraId="5BC23EC7"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i/>
                <w:szCs w:val="18"/>
              </w:rPr>
            </w:pPr>
            <w:r w:rsidRPr="00082D48">
              <w:rPr>
                <w:i/>
                <w:iCs/>
                <w:color w:val="000000"/>
                <w:szCs w:val="18"/>
                <w:lang w:val="ru-RU"/>
              </w:rPr>
              <w:t>Имя, фамилия</w:t>
            </w:r>
          </w:p>
        </w:tc>
        <w:tc>
          <w:tcPr>
            <w:tcW w:w="1843" w:type="dxa"/>
            <w:tcBorders>
              <w:top w:val="single" w:sz="4" w:space="0" w:color="auto"/>
              <w:left w:val="nil"/>
              <w:bottom w:val="single" w:sz="12" w:space="0" w:color="auto"/>
              <w:right w:val="nil"/>
            </w:tcBorders>
            <w:vAlign w:val="bottom"/>
            <w:hideMark/>
          </w:tcPr>
          <w:p w14:paraId="45EF4B4F"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i/>
                <w:szCs w:val="18"/>
              </w:rPr>
            </w:pPr>
            <w:r w:rsidRPr="00082D48">
              <w:rPr>
                <w:i/>
                <w:iCs/>
                <w:color w:val="000000"/>
                <w:szCs w:val="18"/>
                <w:lang w:val="ru-RU"/>
              </w:rPr>
              <w:t>Должность</w:t>
            </w:r>
          </w:p>
        </w:tc>
        <w:tc>
          <w:tcPr>
            <w:tcW w:w="3345" w:type="dxa"/>
            <w:tcBorders>
              <w:top w:val="single" w:sz="4" w:space="0" w:color="auto"/>
              <w:left w:val="nil"/>
              <w:bottom w:val="single" w:sz="12" w:space="0" w:color="auto"/>
              <w:right w:val="nil"/>
            </w:tcBorders>
            <w:vAlign w:val="bottom"/>
            <w:hideMark/>
          </w:tcPr>
          <w:p w14:paraId="0828E89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i/>
                <w:szCs w:val="18"/>
              </w:rPr>
            </w:pPr>
            <w:r w:rsidRPr="00082D48">
              <w:rPr>
                <w:i/>
                <w:iCs/>
                <w:color w:val="000000"/>
                <w:szCs w:val="18"/>
                <w:lang w:val="ru-RU"/>
              </w:rPr>
              <w:t>Страна</w:t>
            </w:r>
          </w:p>
        </w:tc>
      </w:tr>
      <w:tr w:rsidR="00082D48" w:rsidRPr="008E3401" w14:paraId="07D0C178" w14:textId="399664D6" w:rsidTr="00F51E10">
        <w:trPr>
          <w:trHeight w:val="57"/>
          <w:jc w:val="right"/>
        </w:trPr>
        <w:tc>
          <w:tcPr>
            <w:tcW w:w="8307" w:type="dxa"/>
            <w:gridSpan w:val="3"/>
            <w:tcBorders>
              <w:top w:val="single" w:sz="12" w:space="0" w:color="auto"/>
              <w:bottom w:val="single" w:sz="4" w:space="0" w:color="auto"/>
            </w:tcBorders>
          </w:tcPr>
          <w:p w14:paraId="7FF2270B" w14:textId="35FF0417" w:rsidR="00082D48" w:rsidRPr="00082D48" w:rsidRDefault="00082D48" w:rsidP="00082D48">
            <w:pPr>
              <w:pStyle w:val="Normal-pool-Table"/>
              <w:tabs>
                <w:tab w:val="clear" w:pos="624"/>
                <w:tab w:val="clear" w:pos="1247"/>
                <w:tab w:val="clear" w:pos="1871"/>
                <w:tab w:val="clear" w:pos="2495"/>
                <w:tab w:val="clear" w:pos="3119"/>
                <w:tab w:val="clear" w:pos="3742"/>
                <w:tab w:val="clear" w:pos="4366"/>
                <w:tab w:val="clear" w:pos="4990"/>
              </w:tabs>
              <w:rPr>
                <w:rFonts w:eastAsia="MS Mincho"/>
                <w:szCs w:val="18"/>
                <w:lang w:val="ru-RU"/>
              </w:rPr>
            </w:pPr>
            <w:r w:rsidRPr="00082D48">
              <w:rPr>
                <w:b/>
                <w:bCs/>
                <w:color w:val="000000"/>
                <w:szCs w:val="18"/>
                <w:lang w:val="ru-RU"/>
              </w:rPr>
              <w:t>Члены комитетов по техническим вариантам замены</w:t>
            </w:r>
          </w:p>
        </w:tc>
      </w:tr>
      <w:tr w:rsidR="0041077E" w:rsidRPr="00082D48" w14:paraId="2136430D" w14:textId="77777777" w:rsidTr="00082D48">
        <w:trPr>
          <w:trHeight w:val="57"/>
          <w:jc w:val="right"/>
        </w:trPr>
        <w:tc>
          <w:tcPr>
            <w:tcW w:w="3119" w:type="dxa"/>
            <w:tcBorders>
              <w:top w:val="single" w:sz="4" w:space="0" w:color="auto"/>
            </w:tcBorders>
          </w:tcPr>
          <w:p w14:paraId="6E9ABE6E"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Сесилия Джиротти</w:t>
            </w:r>
          </w:p>
        </w:tc>
        <w:tc>
          <w:tcPr>
            <w:tcW w:w="1843" w:type="dxa"/>
            <w:tcBorders>
              <w:top w:val="single" w:sz="4" w:space="0" w:color="auto"/>
            </w:tcBorders>
          </w:tcPr>
          <w:p w14:paraId="418877C0"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КТВП</w:t>
            </w:r>
          </w:p>
        </w:tc>
        <w:tc>
          <w:tcPr>
            <w:tcW w:w="3345" w:type="dxa"/>
            <w:tcBorders>
              <w:top w:val="single" w:sz="4" w:space="0" w:color="auto"/>
            </w:tcBorders>
          </w:tcPr>
          <w:p w14:paraId="2B66C8E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rFonts w:eastAsia="MS Mincho"/>
                <w:szCs w:val="18"/>
              </w:rPr>
            </w:pPr>
            <w:r w:rsidRPr="00082D48">
              <w:rPr>
                <w:color w:val="000000"/>
                <w:szCs w:val="18"/>
                <w:lang w:val="ru-RU"/>
              </w:rPr>
              <w:t>Италия</w:t>
            </w:r>
          </w:p>
        </w:tc>
      </w:tr>
      <w:tr w:rsidR="0041077E" w:rsidRPr="00082D48" w14:paraId="3F7788E1" w14:textId="77777777" w:rsidTr="00082D48">
        <w:trPr>
          <w:trHeight w:val="331"/>
          <w:jc w:val="right"/>
        </w:trPr>
        <w:tc>
          <w:tcPr>
            <w:tcW w:w="3119" w:type="dxa"/>
          </w:tcPr>
          <w:p w14:paraId="39B70A3D"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Саша Рульхофф</w:t>
            </w:r>
          </w:p>
        </w:tc>
        <w:tc>
          <w:tcPr>
            <w:tcW w:w="1843" w:type="dxa"/>
          </w:tcPr>
          <w:p w14:paraId="3E1088B2"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КТВП</w:t>
            </w:r>
          </w:p>
        </w:tc>
        <w:tc>
          <w:tcPr>
            <w:tcW w:w="3345" w:type="dxa"/>
          </w:tcPr>
          <w:p w14:paraId="1B58F9E5"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rFonts w:eastAsia="MS Mincho"/>
                <w:szCs w:val="18"/>
              </w:rPr>
            </w:pPr>
            <w:r w:rsidRPr="00082D48">
              <w:rPr>
                <w:color w:val="000000"/>
                <w:szCs w:val="18"/>
                <w:lang w:val="ru-RU"/>
              </w:rPr>
              <w:t>Германия</w:t>
            </w:r>
          </w:p>
        </w:tc>
      </w:tr>
      <w:tr w:rsidR="0041077E" w:rsidRPr="00082D48" w14:paraId="573D3849" w14:textId="77777777" w:rsidTr="00082D48">
        <w:trPr>
          <w:trHeight w:val="331"/>
          <w:jc w:val="right"/>
        </w:trPr>
        <w:tc>
          <w:tcPr>
            <w:tcW w:w="3119" w:type="dxa"/>
          </w:tcPr>
          <w:p w14:paraId="67CAEC8A"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Эньшань Шэн</w:t>
            </w:r>
          </w:p>
        </w:tc>
        <w:tc>
          <w:tcPr>
            <w:tcW w:w="1843" w:type="dxa"/>
          </w:tcPr>
          <w:p w14:paraId="6EE14AF0"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КТВП</w:t>
            </w:r>
          </w:p>
        </w:tc>
        <w:tc>
          <w:tcPr>
            <w:tcW w:w="3345" w:type="dxa"/>
          </w:tcPr>
          <w:p w14:paraId="5404CD1A"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rFonts w:eastAsia="MS Mincho"/>
                <w:szCs w:val="18"/>
              </w:rPr>
            </w:pPr>
            <w:r w:rsidRPr="00082D48">
              <w:rPr>
                <w:color w:val="000000"/>
                <w:szCs w:val="18"/>
                <w:lang w:val="ru-RU"/>
              </w:rPr>
              <w:t>Сингапур</w:t>
            </w:r>
          </w:p>
        </w:tc>
      </w:tr>
      <w:tr w:rsidR="0041077E" w:rsidRPr="00082D48" w14:paraId="0094A14D" w14:textId="77777777" w:rsidTr="00082D48">
        <w:trPr>
          <w:trHeight w:val="57"/>
          <w:jc w:val="right"/>
        </w:trPr>
        <w:tc>
          <w:tcPr>
            <w:tcW w:w="3119" w:type="dxa"/>
          </w:tcPr>
          <w:p w14:paraId="62A51A3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rFonts w:eastAsia="Cambria"/>
                <w:szCs w:val="18"/>
              </w:rPr>
            </w:pPr>
          </w:p>
        </w:tc>
        <w:tc>
          <w:tcPr>
            <w:tcW w:w="1843" w:type="dxa"/>
          </w:tcPr>
          <w:p w14:paraId="72EAA330"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p>
        </w:tc>
        <w:tc>
          <w:tcPr>
            <w:tcW w:w="3345" w:type="dxa"/>
          </w:tcPr>
          <w:p w14:paraId="2E835D07"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p>
        </w:tc>
      </w:tr>
      <w:tr w:rsidR="0041077E" w:rsidRPr="00082D48" w14:paraId="5D218E8C" w14:textId="77777777" w:rsidTr="00082D48">
        <w:trPr>
          <w:trHeight w:val="57"/>
          <w:jc w:val="right"/>
        </w:trPr>
        <w:tc>
          <w:tcPr>
            <w:tcW w:w="3119" w:type="dxa"/>
          </w:tcPr>
          <w:p w14:paraId="60FCAC96"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rFonts w:eastAsia="Cambria"/>
                <w:szCs w:val="18"/>
              </w:rPr>
            </w:pPr>
            <w:r w:rsidRPr="00082D48">
              <w:rPr>
                <w:color w:val="000000"/>
                <w:szCs w:val="18"/>
                <w:lang w:val="ru-RU"/>
              </w:rPr>
              <w:t>Джамаль аль-Фузайи</w:t>
            </w:r>
          </w:p>
        </w:tc>
        <w:tc>
          <w:tcPr>
            <w:tcW w:w="1843" w:type="dxa"/>
          </w:tcPr>
          <w:p w14:paraId="5875D760"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КТВПТ</w:t>
            </w:r>
          </w:p>
        </w:tc>
        <w:tc>
          <w:tcPr>
            <w:tcW w:w="3345" w:type="dxa"/>
          </w:tcPr>
          <w:p w14:paraId="3BD45DDC"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Кувейт</w:t>
            </w:r>
          </w:p>
        </w:tc>
      </w:tr>
      <w:tr w:rsidR="0041077E" w:rsidRPr="00082D48" w14:paraId="7784BB7D" w14:textId="77777777" w:rsidTr="00082D48">
        <w:trPr>
          <w:trHeight w:val="57"/>
          <w:jc w:val="right"/>
        </w:trPr>
        <w:tc>
          <w:tcPr>
            <w:tcW w:w="3119" w:type="dxa"/>
          </w:tcPr>
          <w:p w14:paraId="6B667197"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rFonts w:eastAsia="Cambria"/>
                <w:szCs w:val="18"/>
              </w:rPr>
            </w:pPr>
            <w:r w:rsidRPr="00082D48">
              <w:rPr>
                <w:color w:val="000000"/>
                <w:szCs w:val="18"/>
                <w:lang w:val="ru-RU"/>
              </w:rPr>
              <w:t>Мишель М. Коллинз</w:t>
            </w:r>
          </w:p>
        </w:tc>
        <w:tc>
          <w:tcPr>
            <w:tcW w:w="1843" w:type="dxa"/>
          </w:tcPr>
          <w:p w14:paraId="54209ACD"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КТВПТ</w:t>
            </w:r>
          </w:p>
        </w:tc>
        <w:tc>
          <w:tcPr>
            <w:tcW w:w="3345" w:type="dxa"/>
          </w:tcPr>
          <w:p w14:paraId="01DF888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Соединенные Штаты Америки</w:t>
            </w:r>
          </w:p>
        </w:tc>
      </w:tr>
      <w:tr w:rsidR="0041077E" w:rsidRPr="00082D48" w14:paraId="11A3D244" w14:textId="77777777" w:rsidTr="00082D48">
        <w:trPr>
          <w:trHeight w:val="57"/>
          <w:jc w:val="right"/>
        </w:trPr>
        <w:tc>
          <w:tcPr>
            <w:tcW w:w="3119" w:type="dxa"/>
          </w:tcPr>
          <w:p w14:paraId="3A19A99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rFonts w:eastAsia="Cambria"/>
                <w:szCs w:val="18"/>
              </w:rPr>
            </w:pPr>
            <w:r w:rsidRPr="00082D48">
              <w:rPr>
                <w:color w:val="000000"/>
                <w:szCs w:val="18"/>
                <w:lang w:val="ru-RU"/>
              </w:rPr>
              <w:t>Эмма Палумбо</w:t>
            </w:r>
          </w:p>
        </w:tc>
        <w:tc>
          <w:tcPr>
            <w:tcW w:w="1843" w:type="dxa"/>
          </w:tcPr>
          <w:p w14:paraId="058AF386"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КТВПТ</w:t>
            </w:r>
          </w:p>
        </w:tc>
        <w:tc>
          <w:tcPr>
            <w:tcW w:w="3345" w:type="dxa"/>
          </w:tcPr>
          <w:p w14:paraId="3EAD18F9"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Италия</w:t>
            </w:r>
          </w:p>
        </w:tc>
      </w:tr>
      <w:tr w:rsidR="0041077E" w:rsidRPr="00082D48" w14:paraId="7C3899C7" w14:textId="77777777" w:rsidTr="00082D48">
        <w:trPr>
          <w:trHeight w:val="57"/>
          <w:jc w:val="right"/>
        </w:trPr>
        <w:tc>
          <w:tcPr>
            <w:tcW w:w="3119" w:type="dxa"/>
          </w:tcPr>
          <w:p w14:paraId="54C62AF5"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Сяомэн Чжоу</w:t>
            </w:r>
          </w:p>
        </w:tc>
        <w:tc>
          <w:tcPr>
            <w:tcW w:w="1843" w:type="dxa"/>
          </w:tcPr>
          <w:p w14:paraId="516AD1F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КТВПТ</w:t>
            </w:r>
          </w:p>
        </w:tc>
        <w:tc>
          <w:tcPr>
            <w:tcW w:w="3345" w:type="dxa"/>
          </w:tcPr>
          <w:p w14:paraId="0A04FBB2"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Китай</w:t>
            </w:r>
          </w:p>
        </w:tc>
      </w:tr>
      <w:tr w:rsidR="0041077E" w:rsidRPr="00082D48" w14:paraId="4FD01D7C" w14:textId="77777777" w:rsidTr="00082D48">
        <w:trPr>
          <w:trHeight w:val="57"/>
          <w:jc w:val="right"/>
        </w:trPr>
        <w:tc>
          <w:tcPr>
            <w:tcW w:w="3119" w:type="dxa"/>
          </w:tcPr>
          <w:p w14:paraId="2270576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p>
        </w:tc>
        <w:tc>
          <w:tcPr>
            <w:tcW w:w="1843" w:type="dxa"/>
          </w:tcPr>
          <w:p w14:paraId="4AD5409D"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p>
        </w:tc>
        <w:tc>
          <w:tcPr>
            <w:tcW w:w="3345" w:type="dxa"/>
          </w:tcPr>
          <w:p w14:paraId="721CA41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p>
        </w:tc>
      </w:tr>
      <w:tr w:rsidR="0041077E" w:rsidRPr="00082D48" w14:paraId="6CBAF18F" w14:textId="77777777" w:rsidTr="00082D48">
        <w:trPr>
          <w:trHeight w:val="57"/>
          <w:jc w:val="right"/>
        </w:trPr>
        <w:tc>
          <w:tcPr>
            <w:tcW w:w="3119" w:type="dxa"/>
            <w:hideMark/>
          </w:tcPr>
          <w:p w14:paraId="7E08061E"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rFonts w:eastAsia="Cambria"/>
                <w:szCs w:val="18"/>
              </w:rPr>
            </w:pPr>
            <w:r w:rsidRPr="00082D48">
              <w:rPr>
                <w:color w:val="000000"/>
                <w:szCs w:val="18"/>
                <w:lang w:val="ru-RU"/>
              </w:rPr>
              <w:t>Джонатан Бэнкс</w:t>
            </w:r>
          </w:p>
        </w:tc>
        <w:tc>
          <w:tcPr>
            <w:tcW w:w="1843" w:type="dxa"/>
            <w:hideMark/>
          </w:tcPr>
          <w:p w14:paraId="14DFB89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КТВБМ</w:t>
            </w:r>
          </w:p>
        </w:tc>
        <w:tc>
          <w:tcPr>
            <w:tcW w:w="3345" w:type="dxa"/>
            <w:hideMark/>
          </w:tcPr>
          <w:p w14:paraId="65B85C5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Австралия</w:t>
            </w:r>
          </w:p>
        </w:tc>
      </w:tr>
      <w:tr w:rsidR="0041077E" w:rsidRPr="00082D48" w14:paraId="167F514F" w14:textId="77777777" w:rsidTr="00082D48">
        <w:trPr>
          <w:trHeight w:val="57"/>
          <w:jc w:val="right"/>
        </w:trPr>
        <w:tc>
          <w:tcPr>
            <w:tcW w:w="3119" w:type="dxa"/>
          </w:tcPr>
          <w:p w14:paraId="5AD1DC2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rFonts w:eastAsia="Cambria"/>
                <w:szCs w:val="18"/>
              </w:rPr>
            </w:pPr>
            <w:r w:rsidRPr="00082D48">
              <w:rPr>
                <w:color w:val="000000"/>
                <w:szCs w:val="18"/>
                <w:lang w:val="ru-RU"/>
              </w:rPr>
              <w:t>Аочэн Цао</w:t>
            </w:r>
          </w:p>
        </w:tc>
        <w:tc>
          <w:tcPr>
            <w:tcW w:w="1843" w:type="dxa"/>
          </w:tcPr>
          <w:p w14:paraId="3FF6CE75"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КТВБМ</w:t>
            </w:r>
          </w:p>
        </w:tc>
        <w:tc>
          <w:tcPr>
            <w:tcW w:w="3345" w:type="dxa"/>
          </w:tcPr>
          <w:p w14:paraId="7A5B2AA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Китай</w:t>
            </w:r>
          </w:p>
        </w:tc>
      </w:tr>
      <w:tr w:rsidR="0041077E" w:rsidRPr="00082D48" w14:paraId="07323ACD" w14:textId="77777777" w:rsidTr="00082D48">
        <w:trPr>
          <w:trHeight w:val="57"/>
          <w:jc w:val="right"/>
        </w:trPr>
        <w:tc>
          <w:tcPr>
            <w:tcW w:w="3119" w:type="dxa"/>
          </w:tcPr>
          <w:p w14:paraId="2D5F100D"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Гийермо Кастейа</w:t>
            </w:r>
          </w:p>
        </w:tc>
        <w:tc>
          <w:tcPr>
            <w:tcW w:w="1843" w:type="dxa"/>
          </w:tcPr>
          <w:p w14:paraId="32F7A016"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КТВБМ</w:t>
            </w:r>
          </w:p>
        </w:tc>
        <w:tc>
          <w:tcPr>
            <w:tcW w:w="3345" w:type="dxa"/>
          </w:tcPr>
          <w:p w14:paraId="60C52BE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Уругвай</w:t>
            </w:r>
          </w:p>
        </w:tc>
      </w:tr>
      <w:tr w:rsidR="0041077E" w:rsidRPr="00082D48" w14:paraId="04D599A5" w14:textId="77777777" w:rsidTr="00082D48">
        <w:trPr>
          <w:trHeight w:val="57"/>
          <w:jc w:val="right"/>
        </w:trPr>
        <w:tc>
          <w:tcPr>
            <w:tcW w:w="3119" w:type="dxa"/>
          </w:tcPr>
          <w:p w14:paraId="2D0683F2"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Кан Фэньфэнь</w:t>
            </w:r>
          </w:p>
        </w:tc>
        <w:tc>
          <w:tcPr>
            <w:tcW w:w="1843" w:type="dxa"/>
          </w:tcPr>
          <w:p w14:paraId="6E009A9A"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КТВБМ</w:t>
            </w:r>
          </w:p>
        </w:tc>
        <w:tc>
          <w:tcPr>
            <w:tcW w:w="3345" w:type="dxa"/>
          </w:tcPr>
          <w:p w14:paraId="2837EEEC"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Китай</w:t>
            </w:r>
          </w:p>
        </w:tc>
      </w:tr>
      <w:tr w:rsidR="0041077E" w:rsidRPr="00082D48" w14:paraId="6C5D608E" w14:textId="3600C88C" w:rsidTr="00082D48">
        <w:trPr>
          <w:trHeight w:val="57"/>
          <w:jc w:val="right"/>
        </w:trPr>
        <w:tc>
          <w:tcPr>
            <w:tcW w:w="3119" w:type="dxa"/>
          </w:tcPr>
          <w:p w14:paraId="1174147A" w14:textId="427D71C3"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Айзе Оздем</w:t>
            </w:r>
          </w:p>
        </w:tc>
        <w:tc>
          <w:tcPr>
            <w:tcW w:w="1843" w:type="dxa"/>
          </w:tcPr>
          <w:p w14:paraId="2D425560" w14:textId="591CFB56"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КТВБМ</w:t>
            </w:r>
          </w:p>
        </w:tc>
        <w:tc>
          <w:tcPr>
            <w:tcW w:w="3345" w:type="dxa"/>
          </w:tcPr>
          <w:p w14:paraId="64D22189" w14:textId="28707060" w:rsidR="0041077E" w:rsidRPr="00082D48" w:rsidRDefault="00DF1F31"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Турция</w:t>
            </w:r>
          </w:p>
        </w:tc>
      </w:tr>
      <w:tr w:rsidR="0041077E" w:rsidRPr="00082D48" w14:paraId="17752FA7" w14:textId="77777777" w:rsidTr="00082D48">
        <w:trPr>
          <w:trHeight w:val="57"/>
          <w:jc w:val="right"/>
        </w:trPr>
        <w:tc>
          <w:tcPr>
            <w:tcW w:w="3119" w:type="dxa"/>
          </w:tcPr>
          <w:p w14:paraId="554E14FB"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Кен Глэсси</w:t>
            </w:r>
          </w:p>
        </w:tc>
        <w:tc>
          <w:tcPr>
            <w:tcW w:w="1843" w:type="dxa"/>
          </w:tcPr>
          <w:p w14:paraId="2F87C28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КТВБМ</w:t>
            </w:r>
          </w:p>
        </w:tc>
        <w:tc>
          <w:tcPr>
            <w:tcW w:w="3345" w:type="dxa"/>
          </w:tcPr>
          <w:p w14:paraId="063E19EC"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Новая Зеландия</w:t>
            </w:r>
          </w:p>
        </w:tc>
      </w:tr>
      <w:tr w:rsidR="0041077E" w:rsidRPr="00082D48" w14:paraId="1E423B48" w14:textId="77777777" w:rsidTr="00082D48">
        <w:trPr>
          <w:trHeight w:val="57"/>
          <w:jc w:val="right"/>
        </w:trPr>
        <w:tc>
          <w:tcPr>
            <w:tcW w:w="3119" w:type="dxa"/>
          </w:tcPr>
          <w:p w14:paraId="05B1E6FF"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Эдуардо Гонсалес</w:t>
            </w:r>
          </w:p>
        </w:tc>
        <w:tc>
          <w:tcPr>
            <w:tcW w:w="1843" w:type="dxa"/>
          </w:tcPr>
          <w:p w14:paraId="14F78980"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КТВБМ</w:t>
            </w:r>
          </w:p>
        </w:tc>
        <w:tc>
          <w:tcPr>
            <w:tcW w:w="3345" w:type="dxa"/>
          </w:tcPr>
          <w:p w14:paraId="7762A43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Филиппины</w:t>
            </w:r>
          </w:p>
        </w:tc>
      </w:tr>
      <w:tr w:rsidR="0041077E" w:rsidRPr="00082D48" w14:paraId="5AC0C71D" w14:textId="77777777" w:rsidTr="00082D48">
        <w:trPr>
          <w:trHeight w:val="57"/>
          <w:jc w:val="right"/>
        </w:trPr>
        <w:tc>
          <w:tcPr>
            <w:tcW w:w="3119" w:type="dxa"/>
          </w:tcPr>
          <w:p w14:paraId="6DE8EB4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Такаси Мисуми</w:t>
            </w:r>
          </w:p>
        </w:tc>
        <w:tc>
          <w:tcPr>
            <w:tcW w:w="1843" w:type="dxa"/>
          </w:tcPr>
          <w:p w14:paraId="1B9716DB"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КТВБМ</w:t>
            </w:r>
          </w:p>
        </w:tc>
        <w:tc>
          <w:tcPr>
            <w:tcW w:w="3345" w:type="dxa"/>
          </w:tcPr>
          <w:p w14:paraId="0E54800A"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Япония</w:t>
            </w:r>
          </w:p>
        </w:tc>
      </w:tr>
      <w:tr w:rsidR="0041077E" w:rsidRPr="00082D48" w14:paraId="3AF76C14" w14:textId="77777777" w:rsidTr="00082D48">
        <w:trPr>
          <w:trHeight w:val="57"/>
          <w:jc w:val="right"/>
        </w:trPr>
        <w:tc>
          <w:tcPr>
            <w:tcW w:w="3119" w:type="dxa"/>
          </w:tcPr>
          <w:p w14:paraId="30A3885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Кристоф Райхмут</w:t>
            </w:r>
          </w:p>
        </w:tc>
        <w:tc>
          <w:tcPr>
            <w:tcW w:w="1843" w:type="dxa"/>
          </w:tcPr>
          <w:p w14:paraId="0CB14AAB"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КТВБМ</w:t>
            </w:r>
          </w:p>
        </w:tc>
        <w:tc>
          <w:tcPr>
            <w:tcW w:w="3345" w:type="dxa"/>
          </w:tcPr>
          <w:p w14:paraId="088A414A"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Германия</w:t>
            </w:r>
          </w:p>
        </w:tc>
      </w:tr>
      <w:tr w:rsidR="0041077E" w:rsidRPr="00082D48" w14:paraId="29FAB50E" w14:textId="77777777" w:rsidTr="00082D48">
        <w:trPr>
          <w:trHeight w:val="57"/>
          <w:jc w:val="right"/>
        </w:trPr>
        <w:tc>
          <w:tcPr>
            <w:tcW w:w="3119" w:type="dxa"/>
          </w:tcPr>
          <w:p w14:paraId="40FA1DF2"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Алехандро Валейро</w:t>
            </w:r>
          </w:p>
        </w:tc>
        <w:tc>
          <w:tcPr>
            <w:tcW w:w="1843" w:type="dxa"/>
          </w:tcPr>
          <w:p w14:paraId="565BAF3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КТВБМ</w:t>
            </w:r>
          </w:p>
        </w:tc>
        <w:tc>
          <w:tcPr>
            <w:tcW w:w="3345" w:type="dxa"/>
          </w:tcPr>
          <w:p w14:paraId="165DDD2D"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Аргентина</w:t>
            </w:r>
          </w:p>
        </w:tc>
      </w:tr>
      <w:tr w:rsidR="0041077E" w:rsidRPr="00082D48" w14:paraId="54B0F28C" w14:textId="77777777" w:rsidTr="00082D48">
        <w:trPr>
          <w:trHeight w:val="57"/>
          <w:jc w:val="right"/>
        </w:trPr>
        <w:tc>
          <w:tcPr>
            <w:tcW w:w="3119" w:type="dxa"/>
          </w:tcPr>
          <w:p w14:paraId="1200AC49"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p>
        </w:tc>
        <w:tc>
          <w:tcPr>
            <w:tcW w:w="1843" w:type="dxa"/>
          </w:tcPr>
          <w:p w14:paraId="3EDE29F6"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p>
        </w:tc>
        <w:tc>
          <w:tcPr>
            <w:tcW w:w="3345" w:type="dxa"/>
          </w:tcPr>
          <w:p w14:paraId="6BFC9A1B"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p>
        </w:tc>
      </w:tr>
      <w:tr w:rsidR="0041077E" w:rsidRPr="00082D48" w14:paraId="155ECD19" w14:textId="77777777" w:rsidTr="00082D48">
        <w:trPr>
          <w:trHeight w:val="57"/>
          <w:jc w:val="right"/>
        </w:trPr>
        <w:tc>
          <w:tcPr>
            <w:tcW w:w="3119" w:type="dxa"/>
            <w:hideMark/>
          </w:tcPr>
          <w:p w14:paraId="2355BEB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Эммануэль Аддо-Йобо</w:t>
            </w:r>
          </w:p>
        </w:tc>
        <w:tc>
          <w:tcPr>
            <w:tcW w:w="1843" w:type="dxa"/>
            <w:hideMark/>
          </w:tcPr>
          <w:p w14:paraId="2B81AAB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КТВМХ</w:t>
            </w:r>
          </w:p>
        </w:tc>
        <w:tc>
          <w:tcPr>
            <w:tcW w:w="3345" w:type="dxa"/>
            <w:hideMark/>
          </w:tcPr>
          <w:p w14:paraId="287E6E6B"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Гана</w:t>
            </w:r>
          </w:p>
        </w:tc>
      </w:tr>
      <w:tr w:rsidR="0041077E" w:rsidRPr="00082D48" w14:paraId="3A57CED5" w14:textId="77777777" w:rsidTr="00082D48">
        <w:trPr>
          <w:trHeight w:val="57"/>
          <w:jc w:val="right"/>
        </w:trPr>
        <w:tc>
          <w:tcPr>
            <w:tcW w:w="3119" w:type="dxa"/>
            <w:hideMark/>
          </w:tcPr>
          <w:p w14:paraId="70EF03D5"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Фатима аль-Шатти</w:t>
            </w:r>
          </w:p>
        </w:tc>
        <w:tc>
          <w:tcPr>
            <w:tcW w:w="1843" w:type="dxa"/>
            <w:hideMark/>
          </w:tcPr>
          <w:p w14:paraId="1C72F4B9"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КТВМХ</w:t>
            </w:r>
          </w:p>
        </w:tc>
        <w:tc>
          <w:tcPr>
            <w:tcW w:w="3345" w:type="dxa"/>
          </w:tcPr>
          <w:p w14:paraId="012317E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Кувейт</w:t>
            </w:r>
          </w:p>
        </w:tc>
      </w:tr>
      <w:tr w:rsidR="0041077E" w:rsidRPr="00082D48" w14:paraId="7F734B4D" w14:textId="77777777" w:rsidTr="00082D48">
        <w:trPr>
          <w:trHeight w:val="251"/>
          <w:jc w:val="right"/>
        </w:trPr>
        <w:tc>
          <w:tcPr>
            <w:tcW w:w="3119" w:type="dxa"/>
            <w:hideMark/>
          </w:tcPr>
          <w:p w14:paraId="55A68EC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Пол Аткинс</w:t>
            </w:r>
          </w:p>
        </w:tc>
        <w:tc>
          <w:tcPr>
            <w:tcW w:w="1843" w:type="dxa"/>
            <w:hideMark/>
          </w:tcPr>
          <w:p w14:paraId="71C065F2"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КТВМХ</w:t>
            </w:r>
          </w:p>
        </w:tc>
        <w:tc>
          <w:tcPr>
            <w:tcW w:w="3345" w:type="dxa"/>
            <w:hideMark/>
          </w:tcPr>
          <w:p w14:paraId="7D13E63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Соединенные Штаты Америки</w:t>
            </w:r>
          </w:p>
        </w:tc>
      </w:tr>
      <w:tr w:rsidR="0041077E" w:rsidRPr="008E3401" w14:paraId="3350A17E" w14:textId="77777777" w:rsidTr="00082D48">
        <w:trPr>
          <w:trHeight w:val="251"/>
          <w:jc w:val="right"/>
        </w:trPr>
        <w:tc>
          <w:tcPr>
            <w:tcW w:w="3119" w:type="dxa"/>
          </w:tcPr>
          <w:p w14:paraId="051CD74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Ник Кэмпбелл</w:t>
            </w:r>
          </w:p>
        </w:tc>
        <w:tc>
          <w:tcPr>
            <w:tcW w:w="1843" w:type="dxa"/>
          </w:tcPr>
          <w:p w14:paraId="3E7AFCC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КТВМХ</w:t>
            </w:r>
          </w:p>
        </w:tc>
        <w:tc>
          <w:tcPr>
            <w:tcW w:w="3345" w:type="dxa"/>
          </w:tcPr>
          <w:p w14:paraId="0F405D86"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lang w:val="ru-RU"/>
              </w:rPr>
            </w:pPr>
            <w:r w:rsidRPr="00082D48">
              <w:rPr>
                <w:color w:val="000000"/>
                <w:szCs w:val="18"/>
                <w:lang w:val="ru-RU"/>
              </w:rPr>
              <w:t>Соединенное Королевство Великобритании и Северной Ирландии</w:t>
            </w:r>
          </w:p>
        </w:tc>
      </w:tr>
      <w:tr w:rsidR="0041077E" w:rsidRPr="00082D48" w14:paraId="0D794ECC" w14:textId="77777777" w:rsidTr="00082D48">
        <w:trPr>
          <w:trHeight w:val="251"/>
          <w:jc w:val="right"/>
        </w:trPr>
        <w:tc>
          <w:tcPr>
            <w:tcW w:w="3119" w:type="dxa"/>
          </w:tcPr>
          <w:p w14:paraId="3750210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lang w:val="ru-RU"/>
              </w:rPr>
            </w:pPr>
            <w:r w:rsidRPr="00082D48">
              <w:rPr>
                <w:color w:val="000000"/>
                <w:szCs w:val="18"/>
                <w:lang w:val="ru-RU"/>
              </w:rPr>
              <w:t>Ни Сан (Роберт) Чунг Квет Йиве</w:t>
            </w:r>
          </w:p>
        </w:tc>
        <w:tc>
          <w:tcPr>
            <w:tcW w:w="1843" w:type="dxa"/>
          </w:tcPr>
          <w:p w14:paraId="180F397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КТВМХ</w:t>
            </w:r>
          </w:p>
        </w:tc>
        <w:tc>
          <w:tcPr>
            <w:tcW w:w="3345" w:type="dxa"/>
          </w:tcPr>
          <w:p w14:paraId="1B1B9D96"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Маврикий</w:t>
            </w:r>
          </w:p>
        </w:tc>
      </w:tr>
      <w:tr w:rsidR="0041077E" w:rsidRPr="00082D48" w14:paraId="3C339583" w14:textId="77777777" w:rsidTr="00082D48">
        <w:trPr>
          <w:trHeight w:val="251"/>
          <w:jc w:val="right"/>
        </w:trPr>
        <w:tc>
          <w:tcPr>
            <w:tcW w:w="3119" w:type="dxa"/>
          </w:tcPr>
          <w:p w14:paraId="01D0B0A5"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Цзяньсинь Ху</w:t>
            </w:r>
          </w:p>
        </w:tc>
        <w:tc>
          <w:tcPr>
            <w:tcW w:w="1843" w:type="dxa"/>
          </w:tcPr>
          <w:p w14:paraId="3E1556D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КТВМХ</w:t>
            </w:r>
          </w:p>
        </w:tc>
        <w:tc>
          <w:tcPr>
            <w:tcW w:w="3345" w:type="dxa"/>
          </w:tcPr>
          <w:p w14:paraId="53B0AEED"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Китай</w:t>
            </w:r>
          </w:p>
        </w:tc>
      </w:tr>
      <w:tr w:rsidR="0041077E" w:rsidRPr="00082D48" w14:paraId="08275063" w14:textId="77777777" w:rsidTr="00082D48">
        <w:trPr>
          <w:trHeight w:val="251"/>
          <w:jc w:val="right"/>
        </w:trPr>
        <w:tc>
          <w:tcPr>
            <w:tcW w:w="3119" w:type="dxa"/>
          </w:tcPr>
          <w:p w14:paraId="21FB8D25"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Джавид Хан</w:t>
            </w:r>
          </w:p>
        </w:tc>
        <w:tc>
          <w:tcPr>
            <w:tcW w:w="1843" w:type="dxa"/>
          </w:tcPr>
          <w:p w14:paraId="4A62940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КТВМХ</w:t>
            </w:r>
          </w:p>
        </w:tc>
        <w:tc>
          <w:tcPr>
            <w:tcW w:w="3345" w:type="dxa"/>
          </w:tcPr>
          <w:p w14:paraId="42D5338C"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Пакистан</w:t>
            </w:r>
          </w:p>
        </w:tc>
      </w:tr>
      <w:tr w:rsidR="0041077E" w:rsidRPr="008E3401" w14:paraId="4D5C281E" w14:textId="77777777" w:rsidTr="00082D48">
        <w:trPr>
          <w:trHeight w:val="251"/>
          <w:jc w:val="right"/>
        </w:trPr>
        <w:tc>
          <w:tcPr>
            <w:tcW w:w="3119" w:type="dxa"/>
          </w:tcPr>
          <w:p w14:paraId="6743A73A"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Тим Ноукс</w:t>
            </w:r>
          </w:p>
        </w:tc>
        <w:tc>
          <w:tcPr>
            <w:tcW w:w="1843" w:type="dxa"/>
          </w:tcPr>
          <w:p w14:paraId="29733DEE"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КТВМХ</w:t>
            </w:r>
          </w:p>
        </w:tc>
        <w:tc>
          <w:tcPr>
            <w:tcW w:w="3345" w:type="dxa"/>
          </w:tcPr>
          <w:p w14:paraId="451B8F7B"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lang w:val="ru-RU"/>
              </w:rPr>
            </w:pPr>
            <w:r w:rsidRPr="00082D48">
              <w:rPr>
                <w:color w:val="000000"/>
                <w:szCs w:val="18"/>
                <w:lang w:val="ru-RU"/>
              </w:rPr>
              <w:t>Соединенное Королевство Великобритании и Северной Ирландии</w:t>
            </w:r>
          </w:p>
        </w:tc>
      </w:tr>
      <w:tr w:rsidR="0041077E" w:rsidRPr="008E3401" w14:paraId="7399EC86" w14:textId="77777777" w:rsidTr="00082D48">
        <w:trPr>
          <w:trHeight w:val="251"/>
          <w:jc w:val="right"/>
        </w:trPr>
        <w:tc>
          <w:tcPr>
            <w:tcW w:w="3119" w:type="dxa"/>
          </w:tcPr>
          <w:p w14:paraId="637BD6D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Джон Причард</w:t>
            </w:r>
          </w:p>
        </w:tc>
        <w:tc>
          <w:tcPr>
            <w:tcW w:w="1843" w:type="dxa"/>
          </w:tcPr>
          <w:p w14:paraId="20EE156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КТВМХ</w:t>
            </w:r>
          </w:p>
        </w:tc>
        <w:tc>
          <w:tcPr>
            <w:tcW w:w="3345" w:type="dxa"/>
          </w:tcPr>
          <w:p w14:paraId="68B7F0B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lang w:val="ru-RU"/>
              </w:rPr>
            </w:pPr>
            <w:r w:rsidRPr="00082D48">
              <w:rPr>
                <w:color w:val="000000"/>
                <w:szCs w:val="18"/>
                <w:lang w:val="ru-RU"/>
              </w:rPr>
              <w:t>Соединенное Королевство Великобритании и Северной Ирландии</w:t>
            </w:r>
          </w:p>
        </w:tc>
      </w:tr>
      <w:tr w:rsidR="0041077E" w:rsidRPr="00082D48" w14:paraId="1B280FD3" w14:textId="77777777" w:rsidTr="00082D48">
        <w:trPr>
          <w:trHeight w:val="251"/>
          <w:jc w:val="right"/>
        </w:trPr>
        <w:tc>
          <w:tcPr>
            <w:tcW w:w="3119" w:type="dxa"/>
          </w:tcPr>
          <w:p w14:paraId="7313C74A"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Раббур Реза</w:t>
            </w:r>
          </w:p>
        </w:tc>
        <w:tc>
          <w:tcPr>
            <w:tcW w:w="1843" w:type="dxa"/>
          </w:tcPr>
          <w:p w14:paraId="58D15067"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КТВМХ</w:t>
            </w:r>
          </w:p>
        </w:tc>
        <w:tc>
          <w:tcPr>
            <w:tcW w:w="3345" w:type="dxa"/>
          </w:tcPr>
          <w:p w14:paraId="71065642"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Бангладеш</w:t>
            </w:r>
          </w:p>
        </w:tc>
      </w:tr>
      <w:tr w:rsidR="0041077E" w:rsidRPr="00082D48" w14:paraId="4D48FAFF" w14:textId="77777777" w:rsidTr="00082D48">
        <w:trPr>
          <w:trHeight w:val="251"/>
          <w:jc w:val="right"/>
        </w:trPr>
        <w:tc>
          <w:tcPr>
            <w:tcW w:w="3119" w:type="dxa"/>
          </w:tcPr>
          <w:p w14:paraId="6AF3D037"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Кристин Уорлоу</w:t>
            </w:r>
          </w:p>
        </w:tc>
        <w:tc>
          <w:tcPr>
            <w:tcW w:w="1843" w:type="dxa"/>
          </w:tcPr>
          <w:p w14:paraId="2687C186"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КТВМХ</w:t>
            </w:r>
          </w:p>
        </w:tc>
        <w:tc>
          <w:tcPr>
            <w:tcW w:w="3345" w:type="dxa"/>
          </w:tcPr>
          <w:p w14:paraId="4117E8C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Австралия</w:t>
            </w:r>
          </w:p>
        </w:tc>
      </w:tr>
      <w:tr w:rsidR="0041077E" w:rsidRPr="00082D48" w14:paraId="2921068C" w14:textId="77777777" w:rsidTr="00082D48">
        <w:trPr>
          <w:trHeight w:val="251"/>
          <w:jc w:val="right"/>
        </w:trPr>
        <w:tc>
          <w:tcPr>
            <w:tcW w:w="3119" w:type="dxa"/>
          </w:tcPr>
          <w:p w14:paraId="03D1DC09"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Лифэй Чжан</w:t>
            </w:r>
          </w:p>
        </w:tc>
        <w:tc>
          <w:tcPr>
            <w:tcW w:w="1843" w:type="dxa"/>
          </w:tcPr>
          <w:p w14:paraId="24F2FF1E"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КТВМХ</w:t>
            </w:r>
          </w:p>
        </w:tc>
        <w:tc>
          <w:tcPr>
            <w:tcW w:w="3345" w:type="dxa"/>
          </w:tcPr>
          <w:p w14:paraId="1931DE12"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Китай</w:t>
            </w:r>
          </w:p>
        </w:tc>
      </w:tr>
      <w:tr w:rsidR="0041077E" w:rsidRPr="00082D48" w14:paraId="7EC75006" w14:textId="77777777" w:rsidTr="00082D48">
        <w:trPr>
          <w:trHeight w:val="197"/>
          <w:jc w:val="right"/>
        </w:trPr>
        <w:tc>
          <w:tcPr>
            <w:tcW w:w="3119" w:type="dxa"/>
            <w:tcBorders>
              <w:top w:val="nil"/>
              <w:left w:val="nil"/>
              <w:right w:val="nil"/>
            </w:tcBorders>
          </w:tcPr>
          <w:p w14:paraId="7304F090"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p>
        </w:tc>
        <w:tc>
          <w:tcPr>
            <w:tcW w:w="1843" w:type="dxa"/>
            <w:tcBorders>
              <w:top w:val="nil"/>
              <w:left w:val="nil"/>
              <w:right w:val="nil"/>
            </w:tcBorders>
          </w:tcPr>
          <w:p w14:paraId="1F8DBE00"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p>
        </w:tc>
        <w:tc>
          <w:tcPr>
            <w:tcW w:w="3345" w:type="dxa"/>
            <w:tcBorders>
              <w:top w:val="nil"/>
              <w:left w:val="nil"/>
              <w:right w:val="nil"/>
            </w:tcBorders>
          </w:tcPr>
          <w:p w14:paraId="1BBEB8E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p>
        </w:tc>
      </w:tr>
      <w:tr w:rsidR="0041077E" w:rsidRPr="00082D48" w14:paraId="53239597" w14:textId="77777777" w:rsidTr="00082D48">
        <w:trPr>
          <w:trHeight w:val="256"/>
          <w:jc w:val="right"/>
        </w:trPr>
        <w:tc>
          <w:tcPr>
            <w:tcW w:w="3119" w:type="dxa"/>
          </w:tcPr>
          <w:p w14:paraId="3F55F08A"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Йосер Аллуш</w:t>
            </w:r>
          </w:p>
        </w:tc>
        <w:tc>
          <w:tcPr>
            <w:tcW w:w="1843" w:type="dxa"/>
            <w:tcBorders>
              <w:top w:val="nil"/>
              <w:left w:val="nil"/>
              <w:right w:val="nil"/>
            </w:tcBorders>
          </w:tcPr>
          <w:p w14:paraId="5EF9A96F"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2AE5F63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Тунис</w:t>
            </w:r>
          </w:p>
        </w:tc>
      </w:tr>
      <w:tr w:rsidR="0041077E" w:rsidRPr="00082D48" w14:paraId="1253B19A" w14:textId="77777777" w:rsidTr="00082D48">
        <w:trPr>
          <w:trHeight w:val="256"/>
          <w:jc w:val="right"/>
        </w:trPr>
        <w:tc>
          <w:tcPr>
            <w:tcW w:w="3119" w:type="dxa"/>
          </w:tcPr>
          <w:p w14:paraId="172E942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Джитендра Бхамбур</w:t>
            </w:r>
          </w:p>
        </w:tc>
        <w:tc>
          <w:tcPr>
            <w:tcW w:w="1843" w:type="dxa"/>
            <w:tcBorders>
              <w:top w:val="nil"/>
              <w:left w:val="nil"/>
              <w:right w:val="nil"/>
            </w:tcBorders>
          </w:tcPr>
          <w:p w14:paraId="70F57A65"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14656EAD"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Индия</w:t>
            </w:r>
          </w:p>
        </w:tc>
      </w:tr>
      <w:tr w:rsidR="0041077E" w:rsidRPr="00082D48" w14:paraId="609FA7C6" w14:textId="77777777" w:rsidTr="00082D48">
        <w:trPr>
          <w:trHeight w:val="197"/>
          <w:jc w:val="right"/>
        </w:trPr>
        <w:tc>
          <w:tcPr>
            <w:tcW w:w="3119" w:type="dxa"/>
          </w:tcPr>
          <w:p w14:paraId="2FD110C0"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Мария К. Бритту Баселлар</w:t>
            </w:r>
          </w:p>
        </w:tc>
        <w:tc>
          <w:tcPr>
            <w:tcW w:w="1843" w:type="dxa"/>
            <w:tcBorders>
              <w:top w:val="nil"/>
              <w:left w:val="nil"/>
              <w:right w:val="nil"/>
            </w:tcBorders>
          </w:tcPr>
          <w:p w14:paraId="027C6B3F"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7A2B0D06"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Бразилия</w:t>
            </w:r>
          </w:p>
        </w:tc>
      </w:tr>
      <w:tr w:rsidR="0041077E" w:rsidRPr="00082D48" w14:paraId="63E84348" w14:textId="77777777" w:rsidTr="00082D48">
        <w:trPr>
          <w:trHeight w:val="197"/>
          <w:jc w:val="right"/>
        </w:trPr>
        <w:tc>
          <w:tcPr>
            <w:tcW w:w="3119" w:type="dxa"/>
          </w:tcPr>
          <w:p w14:paraId="67F44CCA"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lastRenderedPageBreak/>
              <w:t>Фэн Цао</w:t>
            </w:r>
          </w:p>
        </w:tc>
        <w:tc>
          <w:tcPr>
            <w:tcW w:w="1843" w:type="dxa"/>
            <w:tcBorders>
              <w:top w:val="nil"/>
              <w:left w:val="nil"/>
              <w:right w:val="nil"/>
            </w:tcBorders>
          </w:tcPr>
          <w:p w14:paraId="2232D6DF"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1369FBA9"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Китай</w:t>
            </w:r>
          </w:p>
        </w:tc>
      </w:tr>
      <w:tr w:rsidR="0041077E" w:rsidRPr="00082D48" w14:paraId="546B99CE" w14:textId="77777777" w:rsidTr="00082D48">
        <w:trPr>
          <w:trHeight w:val="197"/>
          <w:jc w:val="right"/>
        </w:trPr>
        <w:tc>
          <w:tcPr>
            <w:tcW w:w="3119" w:type="dxa"/>
          </w:tcPr>
          <w:p w14:paraId="606A068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Ана Мария Карреньо</w:t>
            </w:r>
          </w:p>
        </w:tc>
        <w:tc>
          <w:tcPr>
            <w:tcW w:w="1843" w:type="dxa"/>
            <w:tcBorders>
              <w:top w:val="nil"/>
              <w:left w:val="nil"/>
              <w:right w:val="nil"/>
            </w:tcBorders>
          </w:tcPr>
          <w:p w14:paraId="5E89866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5CF59540"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Колумбия</w:t>
            </w:r>
          </w:p>
        </w:tc>
      </w:tr>
      <w:tr w:rsidR="0041077E" w:rsidRPr="00082D48" w14:paraId="75047B7B" w14:textId="77777777" w:rsidTr="00082D48">
        <w:trPr>
          <w:trHeight w:val="197"/>
          <w:jc w:val="right"/>
        </w:trPr>
        <w:tc>
          <w:tcPr>
            <w:tcW w:w="3119" w:type="dxa"/>
          </w:tcPr>
          <w:p w14:paraId="3EF860B5"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Радим Чермак</w:t>
            </w:r>
          </w:p>
        </w:tc>
        <w:tc>
          <w:tcPr>
            <w:tcW w:w="1843" w:type="dxa"/>
            <w:tcBorders>
              <w:top w:val="nil"/>
              <w:left w:val="nil"/>
              <w:right w:val="nil"/>
            </w:tcBorders>
          </w:tcPr>
          <w:p w14:paraId="59A2D6AB"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571252EF"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Чехия</w:t>
            </w:r>
          </w:p>
        </w:tc>
      </w:tr>
      <w:tr w:rsidR="0041077E" w:rsidRPr="00082D48" w14:paraId="179AEBF5" w14:textId="77777777" w:rsidTr="00082D48">
        <w:trPr>
          <w:trHeight w:val="197"/>
          <w:jc w:val="right"/>
        </w:trPr>
        <w:tc>
          <w:tcPr>
            <w:tcW w:w="3119" w:type="dxa"/>
          </w:tcPr>
          <w:p w14:paraId="480203A9"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Юй Чэнь</w:t>
            </w:r>
          </w:p>
        </w:tc>
        <w:tc>
          <w:tcPr>
            <w:tcW w:w="1843" w:type="dxa"/>
            <w:tcBorders>
              <w:top w:val="nil"/>
              <w:left w:val="nil"/>
              <w:right w:val="nil"/>
            </w:tcBorders>
          </w:tcPr>
          <w:p w14:paraId="10534C7B"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66A9B53E"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Соединенные Штаты Америки</w:t>
            </w:r>
          </w:p>
        </w:tc>
      </w:tr>
      <w:tr w:rsidR="0041077E" w:rsidRPr="008E3401" w14:paraId="117C0319" w14:textId="77777777" w:rsidTr="00082D48">
        <w:trPr>
          <w:trHeight w:val="197"/>
          <w:jc w:val="right"/>
        </w:trPr>
        <w:tc>
          <w:tcPr>
            <w:tcW w:w="3119" w:type="dxa"/>
          </w:tcPr>
          <w:p w14:paraId="2D5AE71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Даниэл Колборн</w:t>
            </w:r>
          </w:p>
        </w:tc>
        <w:tc>
          <w:tcPr>
            <w:tcW w:w="1843" w:type="dxa"/>
            <w:tcBorders>
              <w:top w:val="nil"/>
              <w:left w:val="nil"/>
              <w:right w:val="nil"/>
            </w:tcBorders>
          </w:tcPr>
          <w:p w14:paraId="135FB246"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5946F042"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lang w:val="ru-RU"/>
              </w:rPr>
            </w:pPr>
            <w:r w:rsidRPr="00082D48">
              <w:rPr>
                <w:color w:val="000000"/>
                <w:szCs w:val="18"/>
                <w:lang w:val="ru-RU"/>
              </w:rPr>
              <w:t>Соединенное Королевство Великобритании и Северной Ирландии</w:t>
            </w:r>
          </w:p>
        </w:tc>
      </w:tr>
      <w:tr w:rsidR="0041077E" w:rsidRPr="00082D48" w14:paraId="583F7A1F" w14:textId="77777777" w:rsidTr="00082D48">
        <w:trPr>
          <w:trHeight w:val="197"/>
          <w:jc w:val="right"/>
        </w:trPr>
        <w:tc>
          <w:tcPr>
            <w:tcW w:w="3119" w:type="dxa"/>
          </w:tcPr>
          <w:p w14:paraId="5D8F97DE"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Сукумар Девотта</w:t>
            </w:r>
          </w:p>
        </w:tc>
        <w:tc>
          <w:tcPr>
            <w:tcW w:w="1843" w:type="dxa"/>
            <w:tcBorders>
              <w:top w:val="nil"/>
              <w:left w:val="nil"/>
              <w:right w:val="nil"/>
            </w:tcBorders>
          </w:tcPr>
          <w:p w14:paraId="68C20BEB"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7750224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Индия</w:t>
            </w:r>
          </w:p>
        </w:tc>
      </w:tr>
      <w:tr w:rsidR="0041077E" w:rsidRPr="00082D48" w14:paraId="04A7EBA8" w14:textId="77777777" w:rsidTr="00082D48">
        <w:trPr>
          <w:trHeight w:val="197"/>
          <w:jc w:val="right"/>
        </w:trPr>
        <w:tc>
          <w:tcPr>
            <w:tcW w:w="3119" w:type="dxa"/>
          </w:tcPr>
          <w:p w14:paraId="163CD500"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Хильде Донт</w:t>
            </w:r>
          </w:p>
        </w:tc>
        <w:tc>
          <w:tcPr>
            <w:tcW w:w="1843" w:type="dxa"/>
            <w:tcBorders>
              <w:top w:val="nil"/>
              <w:left w:val="nil"/>
              <w:right w:val="nil"/>
            </w:tcBorders>
          </w:tcPr>
          <w:p w14:paraId="36C41D65"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1CA86E9B"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Бельгия</w:t>
            </w:r>
          </w:p>
        </w:tc>
      </w:tr>
      <w:tr w:rsidR="0041077E" w:rsidRPr="00082D48" w14:paraId="67A37A8A" w14:textId="77777777" w:rsidTr="00082D48">
        <w:trPr>
          <w:trHeight w:val="197"/>
          <w:jc w:val="right"/>
        </w:trPr>
        <w:tc>
          <w:tcPr>
            <w:tcW w:w="3119" w:type="dxa"/>
          </w:tcPr>
          <w:p w14:paraId="39083A1D"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Габриэль Дрейфус</w:t>
            </w:r>
          </w:p>
        </w:tc>
        <w:tc>
          <w:tcPr>
            <w:tcW w:w="1843" w:type="dxa"/>
            <w:tcBorders>
              <w:top w:val="nil"/>
              <w:left w:val="nil"/>
              <w:right w:val="nil"/>
            </w:tcBorders>
          </w:tcPr>
          <w:p w14:paraId="0BAA3937"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1C619BD2"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Соединенные Штаты Америки</w:t>
            </w:r>
          </w:p>
        </w:tc>
      </w:tr>
      <w:tr w:rsidR="0041077E" w:rsidRPr="00082D48" w14:paraId="09CDDE9C" w14:textId="77777777" w:rsidTr="00082D48">
        <w:trPr>
          <w:trHeight w:val="197"/>
          <w:jc w:val="right"/>
        </w:trPr>
        <w:tc>
          <w:tcPr>
            <w:tcW w:w="3119" w:type="dxa"/>
          </w:tcPr>
          <w:p w14:paraId="05A0E34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Бассам аль-Асад</w:t>
            </w:r>
          </w:p>
        </w:tc>
        <w:tc>
          <w:tcPr>
            <w:tcW w:w="1843" w:type="dxa"/>
            <w:tcBorders>
              <w:top w:val="nil"/>
              <w:left w:val="nil"/>
              <w:right w:val="nil"/>
            </w:tcBorders>
          </w:tcPr>
          <w:p w14:paraId="083B6719"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69EED0D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Ливан</w:t>
            </w:r>
          </w:p>
        </w:tc>
      </w:tr>
      <w:tr w:rsidR="0041077E" w:rsidRPr="00082D48" w14:paraId="2C7DA84C" w14:textId="77777777" w:rsidTr="00082D48">
        <w:trPr>
          <w:trHeight w:val="197"/>
          <w:jc w:val="right"/>
        </w:trPr>
        <w:tc>
          <w:tcPr>
            <w:tcW w:w="3119" w:type="dxa"/>
          </w:tcPr>
          <w:p w14:paraId="39E1C3BD"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Кайли Фаррелли</w:t>
            </w:r>
          </w:p>
        </w:tc>
        <w:tc>
          <w:tcPr>
            <w:tcW w:w="1843" w:type="dxa"/>
            <w:tcBorders>
              <w:top w:val="nil"/>
              <w:left w:val="nil"/>
              <w:right w:val="nil"/>
            </w:tcBorders>
          </w:tcPr>
          <w:p w14:paraId="251F04ED"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320CB4B7"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Австралия</w:t>
            </w:r>
          </w:p>
        </w:tc>
      </w:tr>
      <w:tr w:rsidR="0041077E" w:rsidRPr="00082D48" w14:paraId="72C2626B" w14:textId="77777777" w:rsidTr="00082D48">
        <w:trPr>
          <w:trHeight w:val="197"/>
          <w:jc w:val="right"/>
        </w:trPr>
        <w:tc>
          <w:tcPr>
            <w:tcW w:w="3119" w:type="dxa"/>
          </w:tcPr>
          <w:p w14:paraId="6BAE40F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Цян Гао</w:t>
            </w:r>
          </w:p>
        </w:tc>
        <w:tc>
          <w:tcPr>
            <w:tcW w:w="1843" w:type="dxa"/>
            <w:tcBorders>
              <w:top w:val="nil"/>
              <w:left w:val="nil"/>
              <w:right w:val="nil"/>
            </w:tcBorders>
          </w:tcPr>
          <w:p w14:paraId="16FEA636"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423B29E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Китай</w:t>
            </w:r>
          </w:p>
        </w:tc>
      </w:tr>
      <w:tr w:rsidR="0041077E" w:rsidRPr="008E3401" w14:paraId="0290C529" w14:textId="77777777" w:rsidTr="00082D48">
        <w:trPr>
          <w:trHeight w:val="197"/>
          <w:jc w:val="right"/>
        </w:trPr>
        <w:tc>
          <w:tcPr>
            <w:tcW w:w="3119" w:type="dxa"/>
          </w:tcPr>
          <w:p w14:paraId="2646A03A"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 xml:space="preserve">Рэй Глакман </w:t>
            </w:r>
          </w:p>
        </w:tc>
        <w:tc>
          <w:tcPr>
            <w:tcW w:w="1843" w:type="dxa"/>
            <w:tcBorders>
              <w:top w:val="nil"/>
              <w:left w:val="nil"/>
              <w:right w:val="nil"/>
            </w:tcBorders>
          </w:tcPr>
          <w:p w14:paraId="7E7DA68F"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356BC5D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lang w:val="ru-RU"/>
              </w:rPr>
            </w:pPr>
            <w:r w:rsidRPr="00082D48">
              <w:rPr>
                <w:color w:val="000000"/>
                <w:szCs w:val="18"/>
                <w:lang w:val="ru-RU"/>
              </w:rPr>
              <w:t>Соединенное Королевство Великобритании и Северной Ирландии</w:t>
            </w:r>
          </w:p>
        </w:tc>
      </w:tr>
      <w:tr w:rsidR="0041077E" w:rsidRPr="00082D48" w14:paraId="38C19C5D" w14:textId="77777777" w:rsidTr="00082D48">
        <w:trPr>
          <w:trHeight w:val="197"/>
          <w:jc w:val="right"/>
        </w:trPr>
        <w:tc>
          <w:tcPr>
            <w:tcW w:w="3119" w:type="dxa"/>
          </w:tcPr>
          <w:p w14:paraId="06E86E65"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Самир Хамед</w:t>
            </w:r>
          </w:p>
        </w:tc>
        <w:tc>
          <w:tcPr>
            <w:tcW w:w="1843" w:type="dxa"/>
            <w:tcBorders>
              <w:top w:val="nil"/>
              <w:left w:val="nil"/>
              <w:right w:val="nil"/>
            </w:tcBorders>
          </w:tcPr>
          <w:p w14:paraId="1DDFCA86"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2D693922"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Иордания</w:t>
            </w:r>
          </w:p>
        </w:tc>
      </w:tr>
      <w:tr w:rsidR="0041077E" w:rsidRPr="00082D48" w14:paraId="0265BEF1" w14:textId="77777777" w:rsidTr="00082D48">
        <w:trPr>
          <w:trHeight w:val="197"/>
          <w:jc w:val="right"/>
        </w:trPr>
        <w:tc>
          <w:tcPr>
            <w:tcW w:w="3119" w:type="dxa"/>
          </w:tcPr>
          <w:p w14:paraId="7698772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Херлин Херляника</w:t>
            </w:r>
          </w:p>
        </w:tc>
        <w:tc>
          <w:tcPr>
            <w:tcW w:w="1843" w:type="dxa"/>
            <w:tcBorders>
              <w:top w:val="nil"/>
              <w:left w:val="nil"/>
              <w:right w:val="nil"/>
            </w:tcBorders>
          </w:tcPr>
          <w:p w14:paraId="52203A1B"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3962125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Индонезия</w:t>
            </w:r>
          </w:p>
        </w:tc>
      </w:tr>
      <w:tr w:rsidR="0041077E" w:rsidRPr="00082D48" w14:paraId="1967A4D4" w14:textId="77777777" w:rsidTr="00082D48">
        <w:trPr>
          <w:trHeight w:val="197"/>
          <w:jc w:val="right"/>
        </w:trPr>
        <w:tc>
          <w:tcPr>
            <w:tcW w:w="3119" w:type="dxa"/>
          </w:tcPr>
          <w:p w14:paraId="145ACD4A" w14:textId="7C93E1B2"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Юки Камиока</w:t>
            </w:r>
          </w:p>
        </w:tc>
        <w:tc>
          <w:tcPr>
            <w:tcW w:w="1843" w:type="dxa"/>
            <w:tcBorders>
              <w:top w:val="nil"/>
              <w:left w:val="nil"/>
              <w:right w:val="nil"/>
            </w:tcBorders>
          </w:tcPr>
          <w:p w14:paraId="7A824A07"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735EDD95"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Япония</w:t>
            </w:r>
          </w:p>
        </w:tc>
      </w:tr>
      <w:tr w:rsidR="0041077E" w:rsidRPr="00082D48" w14:paraId="75796531" w14:textId="77777777" w:rsidTr="00082D48">
        <w:trPr>
          <w:trHeight w:val="197"/>
          <w:jc w:val="right"/>
        </w:trPr>
        <w:tc>
          <w:tcPr>
            <w:tcW w:w="3119" w:type="dxa"/>
          </w:tcPr>
          <w:p w14:paraId="382B0AB2"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Михаэль Кауффельд</w:t>
            </w:r>
          </w:p>
        </w:tc>
        <w:tc>
          <w:tcPr>
            <w:tcW w:w="1843" w:type="dxa"/>
            <w:tcBorders>
              <w:top w:val="nil"/>
              <w:left w:val="nil"/>
              <w:right w:val="nil"/>
            </w:tcBorders>
          </w:tcPr>
          <w:p w14:paraId="6646128C"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2942746E"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Германия</w:t>
            </w:r>
          </w:p>
        </w:tc>
      </w:tr>
      <w:tr w:rsidR="0041077E" w:rsidRPr="00082D48" w14:paraId="1021497B" w14:textId="77777777" w:rsidTr="00082D48">
        <w:trPr>
          <w:trHeight w:val="197"/>
          <w:jc w:val="right"/>
        </w:trPr>
        <w:tc>
          <w:tcPr>
            <w:tcW w:w="3119" w:type="dxa"/>
          </w:tcPr>
          <w:p w14:paraId="4D2C02B5"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Мэри Кобан</w:t>
            </w:r>
          </w:p>
        </w:tc>
        <w:tc>
          <w:tcPr>
            <w:tcW w:w="1843" w:type="dxa"/>
            <w:tcBorders>
              <w:top w:val="nil"/>
              <w:left w:val="nil"/>
              <w:right w:val="nil"/>
            </w:tcBorders>
          </w:tcPr>
          <w:p w14:paraId="2C70C7FA"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7DB47CB6"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Соединенные Штаты Америки</w:t>
            </w:r>
          </w:p>
        </w:tc>
      </w:tr>
      <w:tr w:rsidR="0041077E" w:rsidRPr="00082D48" w14:paraId="4C108C4E" w14:textId="77777777" w:rsidTr="00082D48">
        <w:trPr>
          <w:trHeight w:val="197"/>
          <w:jc w:val="right"/>
        </w:trPr>
        <w:tc>
          <w:tcPr>
            <w:tcW w:w="3119" w:type="dxa"/>
          </w:tcPr>
          <w:p w14:paraId="680CB4CB"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Юрген Кёлер</w:t>
            </w:r>
          </w:p>
        </w:tc>
        <w:tc>
          <w:tcPr>
            <w:tcW w:w="1843" w:type="dxa"/>
            <w:tcBorders>
              <w:top w:val="nil"/>
              <w:left w:val="nil"/>
              <w:right w:val="nil"/>
            </w:tcBorders>
          </w:tcPr>
          <w:p w14:paraId="4A80CA07"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49D3592A"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Германия</w:t>
            </w:r>
          </w:p>
        </w:tc>
      </w:tr>
      <w:tr w:rsidR="0041077E" w:rsidRPr="00082D48" w14:paraId="4D347AD9" w14:textId="77777777" w:rsidTr="00082D48">
        <w:trPr>
          <w:trHeight w:val="197"/>
          <w:jc w:val="right"/>
        </w:trPr>
        <w:tc>
          <w:tcPr>
            <w:tcW w:w="3119" w:type="dxa"/>
          </w:tcPr>
          <w:p w14:paraId="31E3635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Ламберт Кёйперс</w:t>
            </w:r>
          </w:p>
        </w:tc>
        <w:tc>
          <w:tcPr>
            <w:tcW w:w="1843" w:type="dxa"/>
            <w:tcBorders>
              <w:top w:val="nil"/>
              <w:left w:val="nil"/>
              <w:right w:val="nil"/>
            </w:tcBorders>
          </w:tcPr>
          <w:p w14:paraId="7B6662EE"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21EE475D"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Нидерланды (Королевство)</w:t>
            </w:r>
          </w:p>
        </w:tc>
      </w:tr>
      <w:tr w:rsidR="0041077E" w:rsidRPr="00082D48" w14:paraId="4BEF7E42" w14:textId="77777777" w:rsidTr="00082D48">
        <w:trPr>
          <w:trHeight w:val="197"/>
          <w:jc w:val="right"/>
        </w:trPr>
        <w:tc>
          <w:tcPr>
            <w:tcW w:w="3119" w:type="dxa"/>
          </w:tcPr>
          <w:p w14:paraId="7159BC4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 xml:space="preserve">Стив Куджак </w:t>
            </w:r>
          </w:p>
        </w:tc>
        <w:tc>
          <w:tcPr>
            <w:tcW w:w="1843" w:type="dxa"/>
            <w:tcBorders>
              <w:top w:val="nil"/>
              <w:left w:val="nil"/>
              <w:right w:val="nil"/>
            </w:tcBorders>
          </w:tcPr>
          <w:p w14:paraId="1A99141D"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7DA55D0C"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Соединенные Штаты Америки</w:t>
            </w:r>
          </w:p>
        </w:tc>
      </w:tr>
      <w:tr w:rsidR="0041077E" w:rsidRPr="008E3401" w14:paraId="70B4B580" w14:textId="77777777" w:rsidTr="00082D48">
        <w:trPr>
          <w:trHeight w:val="197"/>
          <w:jc w:val="right"/>
        </w:trPr>
        <w:tc>
          <w:tcPr>
            <w:tcW w:w="3119" w:type="dxa"/>
          </w:tcPr>
          <w:p w14:paraId="3DCB8F35"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Ричард Лоутон</w:t>
            </w:r>
          </w:p>
        </w:tc>
        <w:tc>
          <w:tcPr>
            <w:tcW w:w="1843" w:type="dxa"/>
            <w:tcBorders>
              <w:top w:val="nil"/>
              <w:left w:val="nil"/>
              <w:right w:val="nil"/>
            </w:tcBorders>
          </w:tcPr>
          <w:p w14:paraId="4541A6F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02AE385B"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lang w:val="ru-RU"/>
              </w:rPr>
            </w:pPr>
            <w:r w:rsidRPr="00082D48">
              <w:rPr>
                <w:color w:val="000000"/>
                <w:szCs w:val="18"/>
                <w:lang w:val="ru-RU"/>
              </w:rPr>
              <w:t>Соединенное Королевство Великобритании и Северной Ирландии</w:t>
            </w:r>
          </w:p>
        </w:tc>
      </w:tr>
      <w:tr w:rsidR="0041077E" w:rsidRPr="00082D48" w14:paraId="6A8F254B" w14:textId="77777777" w:rsidTr="00082D48">
        <w:trPr>
          <w:trHeight w:val="197"/>
          <w:jc w:val="right"/>
        </w:trPr>
        <w:tc>
          <w:tcPr>
            <w:tcW w:w="3119" w:type="dxa"/>
          </w:tcPr>
          <w:p w14:paraId="5FA3E36A"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Тинсюнь Ли</w:t>
            </w:r>
          </w:p>
        </w:tc>
        <w:tc>
          <w:tcPr>
            <w:tcW w:w="1843" w:type="dxa"/>
            <w:tcBorders>
              <w:top w:val="nil"/>
              <w:left w:val="nil"/>
              <w:right w:val="nil"/>
            </w:tcBorders>
          </w:tcPr>
          <w:p w14:paraId="2D584A47"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2F26476E"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Китай</w:t>
            </w:r>
          </w:p>
        </w:tc>
      </w:tr>
      <w:tr w:rsidR="0041077E" w:rsidRPr="00082D48" w14:paraId="7B330B33" w14:textId="77777777" w:rsidTr="00082D48">
        <w:trPr>
          <w:trHeight w:val="197"/>
          <w:jc w:val="right"/>
        </w:trPr>
        <w:tc>
          <w:tcPr>
            <w:tcW w:w="3119" w:type="dxa"/>
          </w:tcPr>
          <w:p w14:paraId="1096A26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Карлоандреа Мальвичино</w:t>
            </w:r>
          </w:p>
        </w:tc>
        <w:tc>
          <w:tcPr>
            <w:tcW w:w="1843" w:type="dxa"/>
            <w:tcBorders>
              <w:top w:val="nil"/>
              <w:left w:val="nil"/>
              <w:right w:val="nil"/>
            </w:tcBorders>
          </w:tcPr>
          <w:p w14:paraId="7DE0784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2772D3C6"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Италия</w:t>
            </w:r>
          </w:p>
        </w:tc>
      </w:tr>
      <w:tr w:rsidR="0041077E" w:rsidRPr="00082D48" w14:paraId="0255ECE0" w14:textId="77777777" w:rsidTr="00082D48">
        <w:trPr>
          <w:trHeight w:val="197"/>
          <w:jc w:val="right"/>
        </w:trPr>
        <w:tc>
          <w:tcPr>
            <w:tcW w:w="3119" w:type="dxa"/>
          </w:tcPr>
          <w:p w14:paraId="70418D2C"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Акио Мияра</w:t>
            </w:r>
          </w:p>
        </w:tc>
        <w:tc>
          <w:tcPr>
            <w:tcW w:w="1843" w:type="dxa"/>
            <w:tcBorders>
              <w:top w:val="nil"/>
              <w:left w:val="nil"/>
              <w:right w:val="nil"/>
            </w:tcBorders>
          </w:tcPr>
          <w:p w14:paraId="1DD1D5AF"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15FF686D"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Япония</w:t>
            </w:r>
          </w:p>
        </w:tc>
      </w:tr>
      <w:tr w:rsidR="0041077E" w:rsidRPr="00082D48" w14:paraId="21ED3A68" w14:textId="77777777" w:rsidTr="00082D48">
        <w:trPr>
          <w:trHeight w:val="197"/>
          <w:jc w:val="right"/>
        </w:trPr>
        <w:tc>
          <w:tcPr>
            <w:tcW w:w="3119" w:type="dxa"/>
          </w:tcPr>
          <w:p w14:paraId="356D079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Петтер Нексо</w:t>
            </w:r>
          </w:p>
        </w:tc>
        <w:tc>
          <w:tcPr>
            <w:tcW w:w="1843" w:type="dxa"/>
            <w:tcBorders>
              <w:top w:val="nil"/>
              <w:left w:val="nil"/>
              <w:right w:val="nil"/>
            </w:tcBorders>
          </w:tcPr>
          <w:p w14:paraId="32C9313B"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6B727B3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Норвегия</w:t>
            </w:r>
          </w:p>
        </w:tc>
      </w:tr>
      <w:tr w:rsidR="0041077E" w:rsidRPr="00082D48" w14:paraId="6F95DCD8" w14:textId="77777777" w:rsidTr="00082D48">
        <w:trPr>
          <w:trHeight w:val="197"/>
          <w:jc w:val="right"/>
        </w:trPr>
        <w:tc>
          <w:tcPr>
            <w:tcW w:w="3119" w:type="dxa"/>
          </w:tcPr>
          <w:p w14:paraId="24E66A65"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Тецудзи Окада</w:t>
            </w:r>
          </w:p>
        </w:tc>
        <w:tc>
          <w:tcPr>
            <w:tcW w:w="1843" w:type="dxa"/>
            <w:tcBorders>
              <w:top w:val="nil"/>
              <w:left w:val="nil"/>
              <w:right w:val="nil"/>
            </w:tcBorders>
          </w:tcPr>
          <w:p w14:paraId="368C6A87"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43DF7B9C"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Япония</w:t>
            </w:r>
          </w:p>
        </w:tc>
      </w:tr>
      <w:tr w:rsidR="0041077E" w:rsidRPr="00082D48" w14:paraId="52A3E42D" w14:textId="77777777" w:rsidTr="00082D48">
        <w:trPr>
          <w:trHeight w:val="197"/>
          <w:jc w:val="right"/>
        </w:trPr>
        <w:tc>
          <w:tcPr>
            <w:tcW w:w="3119" w:type="dxa"/>
          </w:tcPr>
          <w:p w14:paraId="63464E1E"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Паллав Пурохит</w:t>
            </w:r>
          </w:p>
        </w:tc>
        <w:tc>
          <w:tcPr>
            <w:tcW w:w="1843" w:type="dxa"/>
            <w:tcBorders>
              <w:top w:val="nil"/>
              <w:left w:val="nil"/>
              <w:right w:val="nil"/>
            </w:tcBorders>
          </w:tcPr>
          <w:p w14:paraId="1B2FB449"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102410C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Индия</w:t>
            </w:r>
          </w:p>
        </w:tc>
      </w:tr>
      <w:tr w:rsidR="0041077E" w:rsidRPr="00082D48" w14:paraId="09A81402" w14:textId="77777777" w:rsidTr="00082D48">
        <w:trPr>
          <w:trHeight w:val="197"/>
          <w:jc w:val="right"/>
        </w:trPr>
        <w:tc>
          <w:tcPr>
            <w:tcW w:w="3119" w:type="dxa"/>
          </w:tcPr>
          <w:p w14:paraId="74757C4B"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Тао Рен</w:t>
            </w:r>
          </w:p>
        </w:tc>
        <w:tc>
          <w:tcPr>
            <w:tcW w:w="1843" w:type="dxa"/>
            <w:tcBorders>
              <w:top w:val="nil"/>
              <w:left w:val="nil"/>
              <w:right w:val="nil"/>
            </w:tcBorders>
          </w:tcPr>
          <w:p w14:paraId="5A2E434E"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3BD8DD2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Китай</w:t>
            </w:r>
          </w:p>
        </w:tc>
      </w:tr>
      <w:tr w:rsidR="0041077E" w:rsidRPr="00082D48" w14:paraId="3E855ACB" w14:textId="77777777" w:rsidTr="00082D48">
        <w:trPr>
          <w:trHeight w:val="197"/>
          <w:jc w:val="right"/>
        </w:trPr>
        <w:tc>
          <w:tcPr>
            <w:tcW w:w="3119" w:type="dxa"/>
          </w:tcPr>
          <w:p w14:paraId="10143C1D"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Джорджио Русиньуоло</w:t>
            </w:r>
          </w:p>
        </w:tc>
        <w:tc>
          <w:tcPr>
            <w:tcW w:w="1843" w:type="dxa"/>
            <w:tcBorders>
              <w:top w:val="nil"/>
              <w:left w:val="nil"/>
              <w:right w:val="nil"/>
            </w:tcBorders>
          </w:tcPr>
          <w:p w14:paraId="7352DE87"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4D2FD18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Соединенные Штаты Америки</w:t>
            </w:r>
          </w:p>
        </w:tc>
      </w:tr>
      <w:tr w:rsidR="0041077E" w:rsidRPr="00082D48" w14:paraId="36A9B559" w14:textId="77777777" w:rsidTr="00082D48">
        <w:trPr>
          <w:trHeight w:val="197"/>
          <w:jc w:val="right"/>
        </w:trPr>
        <w:tc>
          <w:tcPr>
            <w:tcW w:w="3119" w:type="dxa"/>
          </w:tcPr>
          <w:p w14:paraId="1CF8ED2C"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Мади Саканде</w:t>
            </w:r>
          </w:p>
        </w:tc>
        <w:tc>
          <w:tcPr>
            <w:tcW w:w="1843" w:type="dxa"/>
            <w:tcBorders>
              <w:top w:val="nil"/>
              <w:left w:val="nil"/>
              <w:right w:val="nil"/>
            </w:tcBorders>
          </w:tcPr>
          <w:p w14:paraId="14AF7925"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2AC730D9"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Буркина-Фасо</w:t>
            </w:r>
          </w:p>
        </w:tc>
      </w:tr>
      <w:tr w:rsidR="0041077E" w:rsidRPr="00082D48" w14:paraId="1E40E267" w14:textId="77777777" w:rsidTr="00082D48">
        <w:trPr>
          <w:trHeight w:val="197"/>
          <w:jc w:val="right"/>
        </w:trPr>
        <w:tc>
          <w:tcPr>
            <w:tcW w:w="3119" w:type="dxa"/>
          </w:tcPr>
          <w:p w14:paraId="279ED9DF"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Лейла Сайин</w:t>
            </w:r>
          </w:p>
        </w:tc>
        <w:tc>
          <w:tcPr>
            <w:tcW w:w="1843" w:type="dxa"/>
            <w:tcBorders>
              <w:top w:val="nil"/>
              <w:left w:val="nil"/>
              <w:right w:val="nil"/>
            </w:tcBorders>
          </w:tcPr>
          <w:p w14:paraId="1418FEE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1DF6C06D"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Турция</w:t>
            </w:r>
          </w:p>
        </w:tc>
      </w:tr>
      <w:tr w:rsidR="0041077E" w:rsidRPr="00082D48" w14:paraId="185B76EF" w14:textId="77777777" w:rsidTr="00082D48">
        <w:trPr>
          <w:trHeight w:val="197"/>
          <w:jc w:val="right"/>
        </w:trPr>
        <w:tc>
          <w:tcPr>
            <w:tcW w:w="3119" w:type="dxa"/>
          </w:tcPr>
          <w:p w14:paraId="3A3A43DD"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Андреа Фойгт</w:t>
            </w:r>
          </w:p>
        </w:tc>
        <w:tc>
          <w:tcPr>
            <w:tcW w:w="1843" w:type="dxa"/>
            <w:tcBorders>
              <w:top w:val="nil"/>
              <w:left w:val="nil"/>
              <w:right w:val="nil"/>
            </w:tcBorders>
          </w:tcPr>
          <w:p w14:paraId="684A42D5"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03F2E58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Германия</w:t>
            </w:r>
          </w:p>
        </w:tc>
      </w:tr>
      <w:tr w:rsidR="0041077E" w:rsidRPr="00082D48" w14:paraId="7DB3A909" w14:textId="77777777" w:rsidTr="00082D48">
        <w:trPr>
          <w:trHeight w:val="197"/>
          <w:jc w:val="right"/>
        </w:trPr>
        <w:tc>
          <w:tcPr>
            <w:tcW w:w="3119" w:type="dxa"/>
          </w:tcPr>
          <w:p w14:paraId="07EE65FA"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Асбьёрн Л. Вонсилль</w:t>
            </w:r>
          </w:p>
        </w:tc>
        <w:tc>
          <w:tcPr>
            <w:tcW w:w="1843" w:type="dxa"/>
            <w:tcBorders>
              <w:top w:val="nil"/>
              <w:left w:val="nil"/>
              <w:right w:val="nil"/>
            </w:tcBorders>
          </w:tcPr>
          <w:p w14:paraId="5FCACF4E"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027FD8FA"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Дания</w:t>
            </w:r>
          </w:p>
        </w:tc>
      </w:tr>
      <w:tr w:rsidR="0041077E" w:rsidRPr="00082D48" w14:paraId="170E603A" w14:textId="77777777" w:rsidTr="00082D48">
        <w:trPr>
          <w:trHeight w:val="197"/>
          <w:jc w:val="right"/>
        </w:trPr>
        <w:tc>
          <w:tcPr>
            <w:tcW w:w="3119" w:type="dxa"/>
          </w:tcPr>
          <w:p w14:paraId="7068C3A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 xml:space="preserve">Кристиан М. Вишневски </w:t>
            </w:r>
          </w:p>
        </w:tc>
        <w:tc>
          <w:tcPr>
            <w:tcW w:w="1843" w:type="dxa"/>
            <w:tcBorders>
              <w:top w:val="nil"/>
              <w:left w:val="nil"/>
              <w:right w:val="nil"/>
            </w:tcBorders>
          </w:tcPr>
          <w:p w14:paraId="7E2667C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Pr>
          <w:p w14:paraId="2268519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Соединенные Штаты Америки</w:t>
            </w:r>
          </w:p>
        </w:tc>
      </w:tr>
      <w:tr w:rsidR="0041077E" w:rsidRPr="00082D48" w14:paraId="220709E0" w14:textId="77777777" w:rsidTr="00082D48">
        <w:trPr>
          <w:trHeight w:val="57"/>
          <w:jc w:val="right"/>
        </w:trPr>
        <w:tc>
          <w:tcPr>
            <w:tcW w:w="3119" w:type="dxa"/>
            <w:tcBorders>
              <w:top w:val="nil"/>
              <w:left w:val="nil"/>
              <w:bottom w:val="single" w:sz="12" w:space="0" w:color="auto"/>
              <w:right w:val="nil"/>
            </w:tcBorders>
          </w:tcPr>
          <w:p w14:paraId="1D8E5329"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Самуэль Яна Мотта</w:t>
            </w:r>
          </w:p>
        </w:tc>
        <w:tc>
          <w:tcPr>
            <w:tcW w:w="1843" w:type="dxa"/>
            <w:tcBorders>
              <w:top w:val="nil"/>
              <w:left w:val="nil"/>
              <w:bottom w:val="single" w:sz="12" w:space="0" w:color="auto"/>
              <w:right w:val="nil"/>
            </w:tcBorders>
          </w:tcPr>
          <w:p w14:paraId="7819074F"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Член КТВХ</w:t>
            </w:r>
          </w:p>
        </w:tc>
        <w:tc>
          <w:tcPr>
            <w:tcW w:w="3345" w:type="dxa"/>
            <w:tcBorders>
              <w:top w:val="nil"/>
              <w:left w:val="nil"/>
              <w:bottom w:val="single" w:sz="12" w:space="0" w:color="auto"/>
              <w:right w:val="nil"/>
            </w:tcBorders>
          </w:tcPr>
          <w:p w14:paraId="733A6379"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t>Перу</w:t>
            </w:r>
          </w:p>
        </w:tc>
      </w:tr>
    </w:tbl>
    <w:p w14:paraId="0312A607" w14:textId="18F787C4" w:rsidR="0041077E" w:rsidRPr="00D62886" w:rsidRDefault="0041077E" w:rsidP="00082D48">
      <w:pPr>
        <w:pStyle w:val="Normal-pool"/>
        <w:tabs>
          <w:tab w:val="clear" w:pos="624"/>
          <w:tab w:val="clear" w:pos="1247"/>
          <w:tab w:val="clear" w:pos="1871"/>
          <w:tab w:val="clear" w:pos="2495"/>
          <w:tab w:val="clear" w:pos="3119"/>
          <w:tab w:val="clear" w:pos="3742"/>
          <w:tab w:val="clear" w:pos="4366"/>
          <w:tab w:val="clear" w:pos="4990"/>
        </w:tabs>
        <w:spacing w:before="40" w:after="120"/>
        <w:ind w:left="1247" w:firstLine="624"/>
        <w:rPr>
          <w:iCs/>
          <w:sz w:val="17"/>
          <w:szCs w:val="17"/>
          <w:lang w:val="ru-RU"/>
        </w:rPr>
      </w:pPr>
      <w:r>
        <w:rPr>
          <w:sz w:val="17"/>
          <w:szCs w:val="17"/>
          <w:lang w:val="ru-RU"/>
        </w:rPr>
        <w:tab/>
      </w:r>
      <w:r>
        <w:rPr>
          <w:i/>
          <w:iCs/>
          <w:sz w:val="17"/>
          <w:szCs w:val="17"/>
          <w:lang w:val="ru-RU"/>
        </w:rPr>
        <w:t>Сокращения</w:t>
      </w:r>
      <w:r>
        <w:rPr>
          <w:sz w:val="17"/>
          <w:szCs w:val="17"/>
          <w:lang w:val="ru-RU"/>
        </w:rPr>
        <w:t xml:space="preserve">: КТВПТ </w:t>
      </w:r>
      <w:r w:rsidR="00082D48">
        <w:rPr>
          <w:sz w:val="17"/>
          <w:szCs w:val="17"/>
          <w:lang w:val="ru-RU"/>
        </w:rPr>
        <w:t>–</w:t>
      </w:r>
      <w:r>
        <w:rPr>
          <w:sz w:val="17"/>
          <w:szCs w:val="17"/>
          <w:lang w:val="ru-RU"/>
        </w:rPr>
        <w:t xml:space="preserve"> Комитет по техническим вариантам замены для пожаротушения; КТВП</w:t>
      </w:r>
      <w:r w:rsidR="00082D48">
        <w:rPr>
          <w:sz w:val="17"/>
          <w:szCs w:val="17"/>
          <w:lang w:val="ru-RU"/>
        </w:rPr>
        <w:t> </w:t>
      </w:r>
      <w:r w:rsidR="00082D48">
        <w:rPr>
          <w:sz w:val="17"/>
          <w:szCs w:val="17"/>
          <w:lang w:val="ru-RU"/>
        </w:rPr>
        <w:noBreakHyphen/>
        <w:t> </w:t>
      </w:r>
      <w:r>
        <w:rPr>
          <w:sz w:val="17"/>
          <w:szCs w:val="17"/>
          <w:lang w:val="ru-RU"/>
        </w:rPr>
        <w:t xml:space="preserve">Комитет по техническим вариантам замены гибких и жестких пеноматериалов; КТВБМ </w:t>
      </w:r>
      <w:r w:rsidR="00082D48">
        <w:rPr>
          <w:sz w:val="17"/>
          <w:szCs w:val="17"/>
          <w:lang w:val="ru-RU"/>
        </w:rPr>
        <w:t>–</w:t>
      </w:r>
      <w:r>
        <w:rPr>
          <w:sz w:val="17"/>
          <w:szCs w:val="17"/>
          <w:lang w:val="ru-RU"/>
        </w:rPr>
        <w:t xml:space="preserve"> Комитет по техническим вариантам замены бромистого метила; КТВМХ </w:t>
      </w:r>
      <w:r w:rsidR="00082D48">
        <w:rPr>
          <w:sz w:val="17"/>
          <w:szCs w:val="17"/>
          <w:lang w:val="ru-RU"/>
        </w:rPr>
        <w:t>–</w:t>
      </w:r>
      <w:r>
        <w:rPr>
          <w:sz w:val="17"/>
          <w:szCs w:val="17"/>
          <w:lang w:val="ru-RU"/>
        </w:rPr>
        <w:t xml:space="preserve"> Комитет по техническим вариантам замены медицинских видов применения и химических веществ; КТВХ </w:t>
      </w:r>
      <w:r w:rsidR="00082D48">
        <w:rPr>
          <w:sz w:val="17"/>
          <w:szCs w:val="17"/>
          <w:lang w:val="ru-RU"/>
        </w:rPr>
        <w:t>–</w:t>
      </w:r>
      <w:r>
        <w:rPr>
          <w:sz w:val="17"/>
          <w:szCs w:val="17"/>
          <w:lang w:val="ru-RU"/>
        </w:rPr>
        <w:t xml:space="preserve"> Комитет по техническим вариантам замены холодильного оборудования, систем кондиционирования воздуха и тепловых насосов. </w:t>
      </w:r>
    </w:p>
    <w:p w14:paraId="7D78113D" w14:textId="77777777" w:rsidR="0041077E" w:rsidRPr="00D62886" w:rsidRDefault="0041077E" w:rsidP="00F35924">
      <w:pPr>
        <w:pStyle w:val="Normal-pool"/>
        <w:tabs>
          <w:tab w:val="clear" w:pos="624"/>
          <w:tab w:val="clear" w:pos="1247"/>
          <w:tab w:val="clear" w:pos="1871"/>
          <w:tab w:val="clear" w:pos="2495"/>
          <w:tab w:val="clear" w:pos="3119"/>
          <w:tab w:val="clear" w:pos="3742"/>
          <w:tab w:val="clear" w:pos="4366"/>
          <w:tab w:val="clear" w:pos="4990"/>
        </w:tabs>
        <w:rPr>
          <w:lang w:val="ru-RU"/>
        </w:rPr>
        <w:sectPr w:rsidR="0041077E" w:rsidRPr="00D62886" w:rsidSect="003C0F9E">
          <w:headerReference w:type="even" r:id="rId12"/>
          <w:headerReference w:type="default" r:id="rId13"/>
          <w:footerReference w:type="even" r:id="rId14"/>
          <w:footerReference w:type="default" r:id="rId15"/>
          <w:footerReference w:type="first" r:id="rId16"/>
          <w:pgSz w:w="11907" w:h="16839" w:code="9"/>
          <w:pgMar w:top="907" w:right="992" w:bottom="1418" w:left="1418" w:header="539" w:footer="975" w:gutter="0"/>
          <w:cols w:space="708"/>
          <w:titlePg/>
          <w:docGrid w:linePitch="360"/>
        </w:sectPr>
      </w:pPr>
      <w:r w:rsidRPr="00D62886">
        <w:rPr>
          <w:lang w:val="ru-RU"/>
        </w:rPr>
        <w:t xml:space="preserve"> </w:t>
      </w:r>
    </w:p>
    <w:p w14:paraId="023A41EF" w14:textId="03B6F4C9" w:rsidR="0041077E" w:rsidRPr="00D62886" w:rsidRDefault="0041077E" w:rsidP="00082D48">
      <w:pPr>
        <w:pStyle w:val="ZZAnxheader"/>
        <w:tabs>
          <w:tab w:val="clear" w:pos="624"/>
          <w:tab w:val="clear" w:pos="1247"/>
          <w:tab w:val="clear" w:pos="1871"/>
          <w:tab w:val="clear" w:pos="2495"/>
          <w:tab w:val="clear" w:pos="3119"/>
          <w:tab w:val="clear" w:pos="3742"/>
          <w:tab w:val="clear" w:pos="4366"/>
          <w:tab w:val="clear" w:pos="4990"/>
        </w:tabs>
        <w:spacing w:after="240"/>
        <w:rPr>
          <w:lang w:val="ru-RU"/>
        </w:rPr>
      </w:pPr>
      <w:r>
        <w:rPr>
          <w:lang w:val="ru-RU"/>
        </w:rPr>
        <w:lastRenderedPageBreak/>
        <w:t>Приложение III</w:t>
      </w:r>
      <w:r w:rsidR="001206DE" w:rsidRPr="007061DE">
        <w:rPr>
          <w:b w:val="0"/>
          <w:bCs w:val="0"/>
          <w:lang w:val="ru-RU"/>
        </w:rPr>
        <w:footnoteReference w:customMarkFollows="1" w:id="11"/>
        <w:t>*</w:t>
      </w:r>
    </w:p>
    <w:p w14:paraId="1000201B" w14:textId="77777777" w:rsidR="0041077E" w:rsidRPr="00D62886" w:rsidRDefault="0041077E" w:rsidP="00082D48">
      <w:pPr>
        <w:pStyle w:val="ZZAnxtitle"/>
        <w:tabs>
          <w:tab w:val="clear" w:pos="624"/>
          <w:tab w:val="clear" w:pos="1247"/>
          <w:tab w:val="clear" w:pos="1871"/>
          <w:tab w:val="clear" w:pos="2495"/>
          <w:tab w:val="clear" w:pos="3119"/>
          <w:tab w:val="clear" w:pos="3742"/>
          <w:tab w:val="clear" w:pos="4366"/>
          <w:tab w:val="clear" w:pos="4990"/>
        </w:tabs>
        <w:spacing w:before="0"/>
        <w:ind w:right="567"/>
        <w:rPr>
          <w:lang w:val="ru-RU"/>
        </w:rPr>
      </w:pPr>
      <w:r>
        <w:rPr>
          <w:lang w:val="ru-RU"/>
        </w:rPr>
        <w:t>Матрица экспертных знаний, необходимых Группе по техническому обзору и экономической оценке, по состоянию на май 2026 года</w:t>
      </w:r>
    </w:p>
    <w:tbl>
      <w:tblPr>
        <w:tblStyle w:val="ListTable3-Accent5"/>
        <w:tblW w:w="83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6A0" w:firstRow="1" w:lastRow="0" w:firstColumn="1" w:lastColumn="0" w:noHBand="1" w:noVBand="1"/>
      </w:tblPr>
      <w:tblGrid>
        <w:gridCol w:w="1975"/>
        <w:gridCol w:w="3827"/>
        <w:gridCol w:w="2505"/>
      </w:tblGrid>
      <w:tr w:rsidR="0041077E" w:rsidRPr="008E3401" w14:paraId="1A59002B" w14:textId="77777777" w:rsidTr="00082D48">
        <w:trPr>
          <w:cnfStyle w:val="100000000000" w:firstRow="1" w:lastRow="0" w:firstColumn="0" w:lastColumn="0" w:oddVBand="0" w:evenVBand="0" w:oddHBand="0" w:evenHBand="0" w:firstRowFirstColumn="0" w:firstRowLastColumn="0" w:lastRowFirstColumn="0" w:lastRowLastColumn="0"/>
          <w:trHeight w:val="56"/>
          <w:jc w:val="right"/>
        </w:trPr>
        <w:tc>
          <w:tcPr>
            <w:cnfStyle w:val="001000000100" w:firstRow="0" w:lastRow="0" w:firstColumn="1" w:lastColumn="0" w:oddVBand="0" w:evenVBand="0" w:oddHBand="0" w:evenHBand="0" w:firstRowFirstColumn="1" w:firstRowLastColumn="0" w:lastRowFirstColumn="0" w:lastRowLastColumn="0"/>
            <w:tcW w:w="1975" w:type="dxa"/>
            <w:tcBorders>
              <w:bottom w:val="none" w:sz="0" w:space="0" w:color="auto"/>
              <w:right w:val="none" w:sz="0" w:space="0" w:color="auto"/>
            </w:tcBorders>
            <w:shd w:val="clear" w:color="auto" w:fill="auto"/>
            <w:tcMar>
              <w:left w:w="108" w:type="dxa"/>
              <w:right w:w="108" w:type="dxa"/>
            </w:tcMar>
            <w:vAlign w:val="center"/>
          </w:tcPr>
          <w:p w14:paraId="6FDC5AB7"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color w:val="auto"/>
                <w:szCs w:val="18"/>
              </w:rPr>
            </w:pPr>
            <w:r w:rsidRPr="00082D48">
              <w:rPr>
                <w:color w:val="000000"/>
                <w:szCs w:val="18"/>
                <w:lang w:val="ru-RU"/>
              </w:rPr>
              <w:t>Орган</w:t>
            </w:r>
          </w:p>
        </w:tc>
        <w:tc>
          <w:tcPr>
            <w:tcW w:w="3827" w:type="dxa"/>
            <w:shd w:val="clear" w:color="auto" w:fill="auto"/>
            <w:tcMar>
              <w:left w:w="108" w:type="dxa"/>
              <w:right w:w="108" w:type="dxa"/>
            </w:tcMar>
            <w:vAlign w:val="center"/>
          </w:tcPr>
          <w:p w14:paraId="73910415"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100000000000" w:firstRow="1" w:lastRow="0" w:firstColumn="0" w:lastColumn="0" w:oddVBand="0" w:evenVBand="0" w:oddHBand="0" w:evenHBand="0" w:firstRowFirstColumn="0" w:firstRowLastColumn="0" w:lastRowFirstColumn="0" w:lastRowLastColumn="0"/>
              <w:rPr>
                <w:color w:val="auto"/>
                <w:szCs w:val="18"/>
              </w:rPr>
            </w:pPr>
            <w:r w:rsidRPr="00082D48">
              <w:rPr>
                <w:color w:val="000000"/>
                <w:szCs w:val="18"/>
                <w:lang w:val="ru-RU"/>
              </w:rPr>
              <w:t>Необходимые экспертные знания</w:t>
            </w:r>
          </w:p>
        </w:tc>
        <w:tc>
          <w:tcPr>
            <w:tcW w:w="2505" w:type="dxa"/>
            <w:shd w:val="clear" w:color="auto" w:fill="auto"/>
            <w:tcMar>
              <w:left w:w="108" w:type="dxa"/>
              <w:right w:w="108" w:type="dxa"/>
            </w:tcMar>
            <w:vAlign w:val="center"/>
          </w:tcPr>
          <w:p w14:paraId="1D567F29" w14:textId="15A30981"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100000000000" w:firstRow="1" w:lastRow="0" w:firstColumn="0" w:lastColumn="0" w:oddVBand="0" w:evenVBand="0" w:oddHBand="0" w:evenHBand="0" w:firstRowFirstColumn="0" w:firstRowLastColumn="0" w:lastRowFirstColumn="0" w:lastRowLastColumn="0"/>
              <w:rPr>
                <w:color w:val="auto"/>
                <w:szCs w:val="18"/>
                <w:lang w:val="ru-RU"/>
              </w:rPr>
            </w:pPr>
            <w:r w:rsidRPr="00082D48">
              <w:rPr>
                <w:color w:val="000000"/>
                <w:szCs w:val="18"/>
                <w:lang w:val="ru-RU"/>
              </w:rPr>
              <w:t>Стороны, действующие в рамках статьи 5 (С5) / Стороны, не действующие в рамках статьи 5 (не С5)</w:t>
            </w:r>
          </w:p>
        </w:tc>
      </w:tr>
      <w:tr w:rsidR="0041077E" w:rsidRPr="008E3401" w14:paraId="1BB297E0" w14:textId="77777777" w:rsidTr="00082D48">
        <w:trPr>
          <w:trHeight w:val="208"/>
          <w:jc w:val="right"/>
        </w:trPr>
        <w:tc>
          <w:tcPr>
            <w:cnfStyle w:val="001000000000" w:firstRow="0" w:lastRow="0" w:firstColumn="1" w:lastColumn="0" w:oddVBand="0" w:evenVBand="0" w:oddHBand="0" w:evenHBand="0" w:firstRowFirstColumn="0" w:firstRowLastColumn="0" w:lastRowFirstColumn="0" w:lastRowLastColumn="0"/>
            <w:tcW w:w="1975" w:type="dxa"/>
            <w:vMerge w:val="restart"/>
            <w:tcBorders>
              <w:right w:val="none" w:sz="0" w:space="0" w:color="auto"/>
            </w:tcBorders>
            <w:tcMar>
              <w:left w:w="108" w:type="dxa"/>
              <w:right w:w="108" w:type="dxa"/>
            </w:tcMar>
            <w:vAlign w:val="center"/>
          </w:tcPr>
          <w:p w14:paraId="636834E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lang w:val="ru-RU"/>
              </w:rPr>
            </w:pPr>
            <w:r w:rsidRPr="00082D48">
              <w:rPr>
                <w:color w:val="000000"/>
                <w:szCs w:val="18"/>
                <w:lang w:val="ru-RU"/>
              </w:rPr>
              <w:t>Комитет по техническим вариантам замены для пожаротушения</w:t>
            </w:r>
          </w:p>
        </w:tc>
        <w:tc>
          <w:tcPr>
            <w:tcW w:w="3827" w:type="dxa"/>
            <w:tcMar>
              <w:left w:w="108" w:type="dxa"/>
              <w:right w:w="108" w:type="dxa"/>
            </w:tcMar>
          </w:tcPr>
          <w:p w14:paraId="2FC2867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rPr>
            </w:pPr>
            <w:r w:rsidRPr="00082D48">
              <w:rPr>
                <w:color w:val="000000"/>
                <w:szCs w:val="18"/>
                <w:lang w:val="ru-RU"/>
              </w:rPr>
              <w:t>Использование ГФУ и альтернатив</w:t>
            </w:r>
          </w:p>
        </w:tc>
        <w:tc>
          <w:tcPr>
            <w:tcW w:w="2505" w:type="dxa"/>
            <w:tcMar>
              <w:left w:w="108" w:type="dxa"/>
              <w:right w:w="108" w:type="dxa"/>
            </w:tcMar>
          </w:tcPr>
          <w:p w14:paraId="54AD696F" w14:textId="749AB68B"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lang w:val="ru-RU"/>
              </w:rPr>
            </w:pPr>
            <w:r w:rsidRPr="00082D48">
              <w:rPr>
                <w:color w:val="000000"/>
                <w:szCs w:val="18"/>
                <w:lang w:val="ru-RU"/>
              </w:rPr>
              <w:t>Центральная и (или) Южная Америка, Ближний Восток и юг Африки (2)</w:t>
            </w:r>
          </w:p>
        </w:tc>
      </w:tr>
      <w:tr w:rsidR="0041077E" w:rsidRPr="00082D48" w14:paraId="1059763C" w14:textId="77777777" w:rsidTr="00082D48">
        <w:trPr>
          <w:trHeight w:val="54"/>
          <w:jc w:val="right"/>
        </w:trPr>
        <w:tc>
          <w:tcPr>
            <w:cnfStyle w:val="001000000000" w:firstRow="0" w:lastRow="0" w:firstColumn="1" w:lastColumn="0" w:oddVBand="0" w:evenVBand="0" w:oddHBand="0" w:evenHBand="0" w:firstRowFirstColumn="0" w:firstRowLastColumn="0" w:lastRowFirstColumn="0" w:lastRowLastColumn="0"/>
            <w:tcW w:w="1975" w:type="dxa"/>
            <w:vMerge/>
            <w:tcBorders>
              <w:right w:val="none" w:sz="0" w:space="0" w:color="auto"/>
            </w:tcBorders>
            <w:tcMar>
              <w:left w:w="108" w:type="dxa"/>
              <w:right w:w="108" w:type="dxa"/>
            </w:tcMar>
            <w:vAlign w:val="center"/>
          </w:tcPr>
          <w:p w14:paraId="2D7929F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lang w:val="ru-RU"/>
              </w:rPr>
            </w:pPr>
          </w:p>
        </w:tc>
        <w:tc>
          <w:tcPr>
            <w:tcW w:w="3827" w:type="dxa"/>
            <w:tcMar>
              <w:left w:w="108" w:type="dxa"/>
              <w:right w:w="108" w:type="dxa"/>
            </w:tcMar>
          </w:tcPr>
          <w:p w14:paraId="1C4BCE69"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lang w:val="ru-RU"/>
              </w:rPr>
            </w:pPr>
            <w:r w:rsidRPr="00082D48">
              <w:rPr>
                <w:color w:val="000000"/>
                <w:szCs w:val="18"/>
                <w:lang w:val="ru-RU"/>
              </w:rPr>
              <w:t xml:space="preserve">Использование галонов и альтернатив им в торговом судоходстве и рекуперация при демонтаже судов </w:t>
            </w:r>
          </w:p>
        </w:tc>
        <w:tc>
          <w:tcPr>
            <w:tcW w:w="2505" w:type="dxa"/>
            <w:tcMar>
              <w:left w:w="108" w:type="dxa"/>
              <w:right w:w="108" w:type="dxa"/>
            </w:tcMar>
          </w:tcPr>
          <w:p w14:paraId="233A584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rPr>
            </w:pPr>
            <w:r w:rsidRPr="00082D48">
              <w:rPr>
                <w:color w:val="000000"/>
                <w:szCs w:val="18"/>
                <w:lang w:val="ru-RU"/>
              </w:rPr>
              <w:t>Пакистан</w:t>
            </w:r>
          </w:p>
        </w:tc>
      </w:tr>
      <w:tr w:rsidR="0041077E" w:rsidRPr="00082D48" w14:paraId="61F840E8" w14:textId="77777777" w:rsidTr="00082D48">
        <w:trPr>
          <w:trHeight w:val="244"/>
          <w:jc w:val="right"/>
        </w:trPr>
        <w:tc>
          <w:tcPr>
            <w:cnfStyle w:val="001000000000" w:firstRow="0" w:lastRow="0" w:firstColumn="1" w:lastColumn="0" w:oddVBand="0" w:evenVBand="0" w:oddHBand="0" w:evenHBand="0" w:firstRowFirstColumn="0" w:firstRowLastColumn="0" w:lastRowFirstColumn="0" w:lastRowLastColumn="0"/>
            <w:tcW w:w="1975" w:type="dxa"/>
            <w:vMerge/>
            <w:tcBorders>
              <w:right w:val="none" w:sz="0" w:space="0" w:color="auto"/>
            </w:tcBorders>
            <w:tcMar>
              <w:left w:w="108" w:type="dxa"/>
              <w:right w:w="108" w:type="dxa"/>
            </w:tcMar>
            <w:vAlign w:val="center"/>
          </w:tcPr>
          <w:p w14:paraId="5319987D"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p>
        </w:tc>
        <w:tc>
          <w:tcPr>
            <w:tcW w:w="3827" w:type="dxa"/>
            <w:tcMar>
              <w:left w:w="108" w:type="dxa"/>
              <w:right w:w="108" w:type="dxa"/>
            </w:tcMar>
          </w:tcPr>
          <w:p w14:paraId="17FBD232"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rPr>
            </w:pPr>
            <w:r w:rsidRPr="00082D48">
              <w:rPr>
                <w:color w:val="000000"/>
                <w:szCs w:val="18"/>
                <w:lang w:val="ru-RU"/>
              </w:rPr>
              <w:t xml:space="preserve">Атомные электростанции </w:t>
            </w:r>
          </w:p>
        </w:tc>
        <w:tc>
          <w:tcPr>
            <w:tcW w:w="2505" w:type="dxa"/>
            <w:tcMar>
              <w:left w:w="108" w:type="dxa"/>
              <w:right w:w="108" w:type="dxa"/>
            </w:tcMar>
          </w:tcPr>
          <w:p w14:paraId="32BB996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rPr>
            </w:pPr>
            <w:r w:rsidRPr="00082D48">
              <w:rPr>
                <w:color w:val="000000"/>
                <w:szCs w:val="18"/>
                <w:lang w:val="ru-RU"/>
              </w:rPr>
              <w:t>С5 и не С5</w:t>
            </w:r>
          </w:p>
        </w:tc>
      </w:tr>
      <w:tr w:rsidR="0041077E" w:rsidRPr="00082D48" w14:paraId="77C79DB0" w14:textId="77777777" w:rsidTr="00082D48">
        <w:trPr>
          <w:trHeight w:val="221"/>
          <w:jc w:val="right"/>
        </w:trPr>
        <w:tc>
          <w:tcPr>
            <w:cnfStyle w:val="001000000000" w:firstRow="0" w:lastRow="0" w:firstColumn="1" w:lastColumn="0" w:oddVBand="0" w:evenVBand="0" w:oddHBand="0" w:evenHBand="0" w:firstRowFirstColumn="0" w:firstRowLastColumn="0" w:lastRowFirstColumn="0" w:lastRowLastColumn="0"/>
            <w:tcW w:w="1975" w:type="dxa"/>
            <w:vMerge/>
            <w:tcBorders>
              <w:right w:val="none" w:sz="0" w:space="0" w:color="auto"/>
            </w:tcBorders>
            <w:tcMar>
              <w:left w:w="108" w:type="dxa"/>
              <w:right w:w="108" w:type="dxa"/>
            </w:tcMar>
            <w:vAlign w:val="center"/>
          </w:tcPr>
          <w:p w14:paraId="0BDEEB3C"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p>
        </w:tc>
        <w:tc>
          <w:tcPr>
            <w:tcW w:w="3827" w:type="dxa"/>
            <w:tcMar>
              <w:left w:w="108" w:type="dxa"/>
              <w:right w:w="108" w:type="dxa"/>
            </w:tcMar>
          </w:tcPr>
          <w:p w14:paraId="01F3264E" w14:textId="2FFFCF08"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lang w:val="ru-RU"/>
              </w:rPr>
            </w:pPr>
            <w:r w:rsidRPr="00082D48">
              <w:rPr>
                <w:color w:val="000000"/>
                <w:szCs w:val="18"/>
                <w:lang w:val="ru-RU"/>
              </w:rPr>
              <w:t xml:space="preserve">Гражданская авиация (особенно при техническом обслуживании, ремонте и восстановлении (ТОРВ) </w:t>
            </w:r>
          </w:p>
        </w:tc>
        <w:tc>
          <w:tcPr>
            <w:tcW w:w="2505" w:type="dxa"/>
            <w:tcMar>
              <w:left w:w="108" w:type="dxa"/>
              <w:right w:w="108" w:type="dxa"/>
            </w:tcMar>
          </w:tcPr>
          <w:p w14:paraId="6811391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rPr>
            </w:pPr>
            <w:r w:rsidRPr="00082D48">
              <w:rPr>
                <w:color w:val="000000"/>
                <w:szCs w:val="18"/>
                <w:lang w:val="ru-RU"/>
              </w:rPr>
              <w:t>С5 и не С5</w:t>
            </w:r>
          </w:p>
        </w:tc>
      </w:tr>
      <w:tr w:rsidR="0041077E" w:rsidRPr="00082D48" w14:paraId="52C5C4A2" w14:textId="77777777" w:rsidTr="00082D48">
        <w:trPr>
          <w:trHeight w:val="159"/>
          <w:jc w:val="right"/>
        </w:trPr>
        <w:tc>
          <w:tcPr>
            <w:cnfStyle w:val="001000000000" w:firstRow="0" w:lastRow="0" w:firstColumn="1" w:lastColumn="0" w:oddVBand="0" w:evenVBand="0" w:oddHBand="0" w:evenHBand="0" w:firstRowFirstColumn="0" w:firstRowLastColumn="0" w:lastRowFirstColumn="0" w:lastRowLastColumn="0"/>
            <w:tcW w:w="1975" w:type="dxa"/>
            <w:vMerge/>
            <w:tcBorders>
              <w:right w:val="none" w:sz="0" w:space="0" w:color="auto"/>
            </w:tcBorders>
            <w:tcMar>
              <w:left w:w="108" w:type="dxa"/>
              <w:right w:w="108" w:type="dxa"/>
            </w:tcMar>
            <w:vAlign w:val="center"/>
          </w:tcPr>
          <w:p w14:paraId="3FF96F95"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p>
        </w:tc>
        <w:tc>
          <w:tcPr>
            <w:tcW w:w="3827" w:type="dxa"/>
            <w:tcMar>
              <w:left w:w="108" w:type="dxa"/>
              <w:right w:w="108" w:type="dxa"/>
            </w:tcMar>
          </w:tcPr>
          <w:p w14:paraId="5F3A90B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rPr>
            </w:pPr>
            <w:r w:rsidRPr="00082D48">
              <w:rPr>
                <w:color w:val="000000"/>
                <w:szCs w:val="18"/>
                <w:lang w:val="ru-RU"/>
              </w:rPr>
              <w:t xml:space="preserve">Рециркуляция галонов и ГФУ </w:t>
            </w:r>
          </w:p>
        </w:tc>
        <w:tc>
          <w:tcPr>
            <w:tcW w:w="2505" w:type="dxa"/>
            <w:tcMar>
              <w:left w:w="108" w:type="dxa"/>
              <w:right w:w="108" w:type="dxa"/>
            </w:tcMar>
          </w:tcPr>
          <w:p w14:paraId="64CE209B"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rPr>
            </w:pPr>
            <w:r w:rsidRPr="00082D48">
              <w:rPr>
                <w:color w:val="000000"/>
                <w:szCs w:val="18"/>
                <w:lang w:val="ru-RU"/>
              </w:rPr>
              <w:t>С5</w:t>
            </w:r>
          </w:p>
        </w:tc>
      </w:tr>
      <w:tr w:rsidR="0041077E" w:rsidRPr="00082D48" w14:paraId="1930C0E7" w14:textId="77777777" w:rsidTr="00082D48">
        <w:trPr>
          <w:trHeight w:val="159"/>
          <w:jc w:val="right"/>
        </w:trPr>
        <w:tc>
          <w:tcPr>
            <w:cnfStyle w:val="001000000000" w:firstRow="0" w:lastRow="0" w:firstColumn="1" w:lastColumn="0" w:oddVBand="0" w:evenVBand="0" w:oddHBand="0" w:evenHBand="0" w:firstRowFirstColumn="0" w:firstRowLastColumn="0" w:lastRowFirstColumn="0" w:lastRowLastColumn="0"/>
            <w:tcW w:w="1975" w:type="dxa"/>
            <w:vMerge/>
            <w:tcBorders>
              <w:right w:val="none" w:sz="0" w:space="0" w:color="auto"/>
            </w:tcBorders>
            <w:tcMar>
              <w:left w:w="108" w:type="dxa"/>
              <w:right w:w="108" w:type="dxa"/>
            </w:tcMar>
            <w:vAlign w:val="center"/>
          </w:tcPr>
          <w:p w14:paraId="08154B07"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p>
        </w:tc>
        <w:tc>
          <w:tcPr>
            <w:tcW w:w="3827" w:type="dxa"/>
            <w:tcMar>
              <w:left w:w="108" w:type="dxa"/>
              <w:right w:w="108" w:type="dxa"/>
            </w:tcMar>
          </w:tcPr>
          <w:p w14:paraId="33EC0CA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lang w:val="ru-RU"/>
              </w:rPr>
            </w:pPr>
            <w:r w:rsidRPr="00082D48">
              <w:rPr>
                <w:color w:val="000000"/>
                <w:szCs w:val="18"/>
                <w:lang w:val="ru-RU"/>
              </w:rPr>
              <w:t xml:space="preserve">Использование в качестве исходного сырья и выбросы галона 1301 </w:t>
            </w:r>
          </w:p>
        </w:tc>
        <w:tc>
          <w:tcPr>
            <w:tcW w:w="2505" w:type="dxa"/>
            <w:tcMar>
              <w:left w:w="108" w:type="dxa"/>
              <w:right w:w="108" w:type="dxa"/>
            </w:tcMar>
          </w:tcPr>
          <w:p w14:paraId="01AE5CF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rPr>
            </w:pPr>
            <w:r w:rsidRPr="00082D48">
              <w:rPr>
                <w:color w:val="000000"/>
                <w:szCs w:val="18"/>
                <w:lang w:val="ru-RU"/>
              </w:rPr>
              <w:t>С5 и не С5</w:t>
            </w:r>
          </w:p>
        </w:tc>
      </w:tr>
      <w:tr w:rsidR="0041077E" w:rsidRPr="00082D48" w14:paraId="4EA16CEB" w14:textId="77777777" w:rsidTr="00082D48">
        <w:trPr>
          <w:trHeight w:val="1709"/>
          <w:jc w:val="right"/>
        </w:trPr>
        <w:tc>
          <w:tcPr>
            <w:cnfStyle w:val="001000000000" w:firstRow="0" w:lastRow="0" w:firstColumn="1" w:lastColumn="0" w:oddVBand="0" w:evenVBand="0" w:oddHBand="0" w:evenHBand="0" w:firstRowFirstColumn="0" w:firstRowLastColumn="0" w:lastRowFirstColumn="0" w:lastRowLastColumn="0"/>
            <w:tcW w:w="1975" w:type="dxa"/>
            <w:tcBorders>
              <w:right w:val="none" w:sz="0" w:space="0" w:color="auto"/>
            </w:tcBorders>
            <w:tcMar>
              <w:left w:w="108" w:type="dxa"/>
              <w:right w:w="108" w:type="dxa"/>
            </w:tcMar>
          </w:tcPr>
          <w:p w14:paraId="7E65239A" w14:textId="266144A9"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lang w:val="ru-RU"/>
              </w:rPr>
            </w:pPr>
            <w:r w:rsidRPr="00082D48">
              <w:rPr>
                <w:color w:val="000000"/>
                <w:szCs w:val="18"/>
                <w:lang w:val="ru-RU"/>
              </w:rPr>
              <w:t>Комитет по техническим вариантам замены пеноматериалов</w:t>
            </w:r>
          </w:p>
        </w:tc>
        <w:tc>
          <w:tcPr>
            <w:tcW w:w="3827" w:type="dxa"/>
            <w:tcMar>
              <w:left w:w="108" w:type="dxa"/>
              <w:right w:w="108" w:type="dxa"/>
            </w:tcMar>
          </w:tcPr>
          <w:p w14:paraId="0913B8F2" w14:textId="473E5BF9"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lang w:val="ru-RU"/>
              </w:rPr>
            </w:pPr>
            <w:r w:rsidRPr="00082D48">
              <w:rPr>
                <w:color w:val="000000"/>
                <w:szCs w:val="18"/>
                <w:lang w:val="ru-RU"/>
              </w:rPr>
              <w:t>Производство экструдированного полистирола (ЭПС) в Индии и Китае – на замену выбывающим экспертам.</w:t>
            </w:r>
          </w:p>
          <w:p w14:paraId="35DD9848" w14:textId="6F4C64E8"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lang w:val="ru-RU"/>
              </w:rPr>
            </w:pPr>
            <w:r w:rsidRPr="00082D48">
              <w:rPr>
                <w:color w:val="000000"/>
                <w:szCs w:val="18"/>
                <w:lang w:val="ru-RU"/>
              </w:rPr>
              <w:t xml:space="preserve">Технические специалисты системотехнических фирм, занимающихся полиуретаном, </w:t>
            </w:r>
            <w:r w:rsidR="00044D3B">
              <w:rPr>
                <w:color w:val="000000"/>
                <w:szCs w:val="18"/>
                <w:lang w:val="ru-RU"/>
              </w:rPr>
              <w:t>–</w:t>
            </w:r>
            <w:r w:rsidRPr="00082D48">
              <w:rPr>
                <w:color w:val="000000"/>
                <w:szCs w:val="18"/>
                <w:lang w:val="ru-RU"/>
              </w:rPr>
              <w:t xml:space="preserve"> в частности из стран юга Африки, Ближнего Востока и Латинской Америки, а также из Республики Корея, особенно эксперты, работающие на малых и средних предприятиях (МСП)</w:t>
            </w:r>
          </w:p>
          <w:p w14:paraId="1127C21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lang w:val="ru-RU"/>
              </w:rPr>
            </w:pPr>
            <w:r w:rsidRPr="00082D48">
              <w:rPr>
                <w:color w:val="000000"/>
                <w:szCs w:val="18"/>
                <w:lang w:val="ru-RU"/>
              </w:rPr>
              <w:t xml:space="preserve">Химия ПОВ и взаимодействия пеноматериалов </w:t>
            </w:r>
          </w:p>
        </w:tc>
        <w:tc>
          <w:tcPr>
            <w:tcW w:w="2505" w:type="dxa"/>
            <w:tcMar>
              <w:left w:w="108" w:type="dxa"/>
              <w:right w:w="108" w:type="dxa"/>
            </w:tcMar>
          </w:tcPr>
          <w:p w14:paraId="3D4D040E" w14:textId="2005A53E"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rPr>
            </w:pPr>
            <w:r w:rsidRPr="00082D48">
              <w:rPr>
                <w:color w:val="000000"/>
                <w:szCs w:val="18"/>
                <w:lang w:val="ru-RU"/>
              </w:rPr>
              <w:t>С5 или не С5</w:t>
            </w:r>
          </w:p>
        </w:tc>
      </w:tr>
      <w:tr w:rsidR="0041077E" w:rsidRPr="00082D48" w14:paraId="60E5FEB4" w14:textId="77777777" w:rsidTr="00082D48">
        <w:trPr>
          <w:trHeight w:val="708"/>
          <w:jc w:val="right"/>
        </w:trPr>
        <w:tc>
          <w:tcPr>
            <w:cnfStyle w:val="001000000000" w:firstRow="0" w:lastRow="0" w:firstColumn="1" w:lastColumn="0" w:oddVBand="0" w:evenVBand="0" w:oddHBand="0" w:evenHBand="0" w:firstRowFirstColumn="0" w:firstRowLastColumn="0" w:lastRowFirstColumn="0" w:lastRowLastColumn="0"/>
            <w:tcW w:w="1975" w:type="dxa"/>
            <w:tcBorders>
              <w:right w:val="none" w:sz="0" w:space="0" w:color="auto"/>
            </w:tcBorders>
            <w:tcMar>
              <w:left w:w="108" w:type="dxa"/>
              <w:right w:w="108" w:type="dxa"/>
            </w:tcMar>
          </w:tcPr>
          <w:p w14:paraId="21DC596D"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lang w:val="ru-RU"/>
              </w:rPr>
            </w:pPr>
            <w:r w:rsidRPr="00082D48">
              <w:rPr>
                <w:color w:val="000000"/>
                <w:szCs w:val="18"/>
                <w:lang w:val="ru-RU"/>
              </w:rPr>
              <w:t>Комитет по техническим вариантам замены бромистого метила</w:t>
            </w:r>
          </w:p>
        </w:tc>
        <w:tc>
          <w:tcPr>
            <w:tcW w:w="3827" w:type="dxa"/>
            <w:tcMar>
              <w:left w:w="108" w:type="dxa"/>
              <w:right w:w="108" w:type="dxa"/>
            </w:tcMar>
          </w:tcPr>
          <w:p w14:paraId="1D5F6D36" w14:textId="1D46C56E"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lang w:val="ru-RU"/>
              </w:rPr>
            </w:pPr>
            <w:r w:rsidRPr="00082D48">
              <w:rPr>
                <w:color w:val="000000"/>
                <w:szCs w:val="18"/>
                <w:lang w:val="ru-RU"/>
              </w:rPr>
              <w:t>Члены комитета, обладающие экспертными знаниями в области альтернатив БМ, которые могут эффективно применяться для борьбы с карантинными вредителями, влияющими на импорт и экспорт сельскохозяйственных товаров во всем мире</w:t>
            </w:r>
          </w:p>
        </w:tc>
        <w:tc>
          <w:tcPr>
            <w:tcW w:w="2505" w:type="dxa"/>
            <w:tcMar>
              <w:left w:w="108" w:type="dxa"/>
              <w:right w:w="108" w:type="dxa"/>
            </w:tcMar>
          </w:tcPr>
          <w:p w14:paraId="70ED7673"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rPr>
            </w:pPr>
            <w:r w:rsidRPr="00082D48">
              <w:rPr>
                <w:color w:val="000000"/>
                <w:szCs w:val="18"/>
                <w:lang w:val="ru-RU"/>
              </w:rPr>
              <w:t>С5 или не С5</w:t>
            </w:r>
          </w:p>
        </w:tc>
      </w:tr>
      <w:tr w:rsidR="0041077E" w:rsidRPr="008E3401" w14:paraId="2C23573F" w14:textId="77777777" w:rsidTr="00082D48">
        <w:trPr>
          <w:trHeight w:val="56"/>
          <w:jc w:val="right"/>
        </w:trPr>
        <w:tc>
          <w:tcPr>
            <w:cnfStyle w:val="001000000000" w:firstRow="0" w:lastRow="0" w:firstColumn="1" w:lastColumn="0" w:oddVBand="0" w:evenVBand="0" w:oddHBand="0" w:evenHBand="0" w:firstRowFirstColumn="0" w:firstRowLastColumn="0" w:lastRowFirstColumn="0" w:lastRowLastColumn="0"/>
            <w:tcW w:w="1975" w:type="dxa"/>
            <w:vMerge w:val="restart"/>
            <w:tcBorders>
              <w:right w:val="none" w:sz="0" w:space="0" w:color="auto"/>
            </w:tcBorders>
            <w:tcMar>
              <w:left w:w="108" w:type="dxa"/>
              <w:right w:w="108" w:type="dxa"/>
            </w:tcMar>
            <w:vAlign w:val="center"/>
          </w:tcPr>
          <w:p w14:paraId="72693301" w14:textId="2DD4871F"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lang w:val="ru-RU"/>
              </w:rPr>
            </w:pPr>
            <w:r w:rsidRPr="00082D48">
              <w:rPr>
                <w:color w:val="000000"/>
                <w:szCs w:val="18"/>
                <w:lang w:val="ru-RU"/>
              </w:rPr>
              <w:t>Комитет по техническим вариантам замены медицинских видов применения и химических веществ</w:t>
            </w:r>
          </w:p>
        </w:tc>
        <w:tc>
          <w:tcPr>
            <w:tcW w:w="3827" w:type="dxa"/>
            <w:tcMar>
              <w:left w:w="108" w:type="dxa"/>
              <w:right w:w="108" w:type="dxa"/>
            </w:tcMar>
          </w:tcPr>
          <w:p w14:paraId="48D6919E"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lang w:val="ru-RU"/>
              </w:rPr>
            </w:pPr>
            <w:r w:rsidRPr="00082D48">
              <w:rPr>
                <w:color w:val="000000"/>
                <w:szCs w:val="18"/>
                <w:lang w:val="ru-RU"/>
              </w:rPr>
              <w:t>Производство аэрозолей и пропеллентов для ДИ</w:t>
            </w:r>
          </w:p>
        </w:tc>
        <w:tc>
          <w:tcPr>
            <w:tcW w:w="2505" w:type="dxa"/>
            <w:tcMar>
              <w:left w:w="108" w:type="dxa"/>
              <w:right w:w="108" w:type="dxa"/>
            </w:tcMar>
          </w:tcPr>
          <w:p w14:paraId="6A9D35BC"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lang w:val="ru-RU"/>
              </w:rPr>
            </w:pPr>
            <w:r w:rsidRPr="00082D48">
              <w:rPr>
                <w:color w:val="000000"/>
                <w:szCs w:val="18"/>
                <w:lang w:val="ru-RU"/>
              </w:rPr>
              <w:t>С5 (Африка, Китай, Южная Америка), не С5</w:t>
            </w:r>
          </w:p>
        </w:tc>
      </w:tr>
      <w:tr w:rsidR="0041077E" w:rsidRPr="00082D48" w14:paraId="29B5579C" w14:textId="77777777" w:rsidTr="00082D48">
        <w:trPr>
          <w:trHeight w:val="56"/>
          <w:jc w:val="right"/>
        </w:trPr>
        <w:tc>
          <w:tcPr>
            <w:cnfStyle w:val="001000000000" w:firstRow="0" w:lastRow="0" w:firstColumn="1" w:lastColumn="0" w:oddVBand="0" w:evenVBand="0" w:oddHBand="0" w:evenHBand="0" w:firstRowFirstColumn="0" w:firstRowLastColumn="0" w:lastRowFirstColumn="0" w:lastRowLastColumn="0"/>
            <w:tcW w:w="1975" w:type="dxa"/>
            <w:vMerge/>
            <w:tcBorders>
              <w:right w:val="none" w:sz="0" w:space="0" w:color="auto"/>
            </w:tcBorders>
            <w:tcMar>
              <w:left w:w="108" w:type="dxa"/>
              <w:right w:w="108" w:type="dxa"/>
            </w:tcMar>
          </w:tcPr>
          <w:p w14:paraId="62D6DF9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lang w:val="ru-RU"/>
              </w:rPr>
            </w:pPr>
          </w:p>
        </w:tc>
        <w:tc>
          <w:tcPr>
            <w:tcW w:w="3827" w:type="dxa"/>
            <w:tcMar>
              <w:left w:w="108" w:type="dxa"/>
              <w:right w:w="108" w:type="dxa"/>
            </w:tcMar>
          </w:tcPr>
          <w:p w14:paraId="684C2CD8"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lang w:val="ru-RU"/>
              </w:rPr>
            </w:pPr>
            <w:r w:rsidRPr="00082D48">
              <w:rPr>
                <w:color w:val="000000"/>
                <w:szCs w:val="18"/>
                <w:lang w:val="ru-RU"/>
              </w:rPr>
              <w:t>Глобальное производство и использование ТХМ и ОКЖВ</w:t>
            </w:r>
          </w:p>
        </w:tc>
        <w:tc>
          <w:tcPr>
            <w:tcW w:w="2505" w:type="dxa"/>
            <w:tcMar>
              <w:left w:w="108" w:type="dxa"/>
              <w:right w:w="108" w:type="dxa"/>
            </w:tcMar>
          </w:tcPr>
          <w:p w14:paraId="4D6152E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rPr>
            </w:pPr>
            <w:r w:rsidRPr="00082D48">
              <w:rPr>
                <w:color w:val="000000"/>
                <w:szCs w:val="18"/>
                <w:lang w:val="ru-RU"/>
              </w:rPr>
              <w:t>С5 или не С5</w:t>
            </w:r>
          </w:p>
        </w:tc>
      </w:tr>
      <w:tr w:rsidR="0041077E" w:rsidRPr="00082D48" w14:paraId="627007F8" w14:textId="77777777" w:rsidTr="00082D48">
        <w:trPr>
          <w:trHeight w:val="56"/>
          <w:jc w:val="right"/>
        </w:trPr>
        <w:tc>
          <w:tcPr>
            <w:cnfStyle w:val="001000000000" w:firstRow="0" w:lastRow="0" w:firstColumn="1" w:lastColumn="0" w:oddVBand="0" w:evenVBand="0" w:oddHBand="0" w:evenHBand="0" w:firstRowFirstColumn="0" w:firstRowLastColumn="0" w:lastRowFirstColumn="0" w:lastRowLastColumn="0"/>
            <w:tcW w:w="1975" w:type="dxa"/>
            <w:vMerge/>
            <w:tcBorders>
              <w:right w:val="none" w:sz="0" w:space="0" w:color="auto"/>
            </w:tcBorders>
            <w:tcMar>
              <w:left w:w="108" w:type="dxa"/>
              <w:right w:w="108" w:type="dxa"/>
            </w:tcMar>
          </w:tcPr>
          <w:p w14:paraId="2CEEB54B"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p>
        </w:tc>
        <w:tc>
          <w:tcPr>
            <w:tcW w:w="3827" w:type="dxa"/>
            <w:tcMar>
              <w:left w:w="108" w:type="dxa"/>
              <w:right w:w="108" w:type="dxa"/>
            </w:tcMar>
          </w:tcPr>
          <w:p w14:paraId="5CADCBDF"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lang w:val="ru-RU"/>
              </w:rPr>
            </w:pPr>
            <w:r w:rsidRPr="00082D48">
              <w:rPr>
                <w:color w:val="000000"/>
                <w:szCs w:val="18"/>
                <w:lang w:val="ru-RU"/>
              </w:rPr>
              <w:t>Производство полупроводников и другой электроники</w:t>
            </w:r>
          </w:p>
        </w:tc>
        <w:tc>
          <w:tcPr>
            <w:tcW w:w="2505" w:type="dxa"/>
            <w:tcMar>
              <w:left w:w="108" w:type="dxa"/>
              <w:right w:w="108" w:type="dxa"/>
            </w:tcMar>
          </w:tcPr>
          <w:p w14:paraId="12730ABF" w14:textId="13A0EFC0"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rPr>
            </w:pPr>
            <w:r w:rsidRPr="00082D48">
              <w:rPr>
                <w:color w:val="000000"/>
                <w:szCs w:val="18"/>
                <w:lang w:val="ru-RU"/>
              </w:rPr>
              <w:t>Восточная Азия, не С5</w:t>
            </w:r>
          </w:p>
        </w:tc>
      </w:tr>
      <w:tr w:rsidR="0041077E" w:rsidRPr="00082D48" w14:paraId="6596A937" w14:textId="77777777" w:rsidTr="00082D48">
        <w:trPr>
          <w:trHeight w:val="56"/>
          <w:jc w:val="right"/>
        </w:trPr>
        <w:tc>
          <w:tcPr>
            <w:cnfStyle w:val="001000000000" w:firstRow="0" w:lastRow="0" w:firstColumn="1" w:lastColumn="0" w:oddVBand="0" w:evenVBand="0" w:oddHBand="0" w:evenHBand="0" w:firstRowFirstColumn="0" w:firstRowLastColumn="0" w:lastRowFirstColumn="0" w:lastRowLastColumn="0"/>
            <w:tcW w:w="1975" w:type="dxa"/>
            <w:vMerge/>
            <w:tcBorders>
              <w:right w:val="none" w:sz="0" w:space="0" w:color="auto"/>
            </w:tcBorders>
            <w:vAlign w:val="center"/>
          </w:tcPr>
          <w:p w14:paraId="7EEE92FA"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p>
        </w:tc>
        <w:tc>
          <w:tcPr>
            <w:tcW w:w="3827" w:type="dxa"/>
            <w:tcMar>
              <w:left w:w="108" w:type="dxa"/>
              <w:right w:w="108" w:type="dxa"/>
            </w:tcMar>
          </w:tcPr>
          <w:p w14:paraId="21897184"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lang w:val="ru-RU"/>
              </w:rPr>
            </w:pPr>
            <w:r w:rsidRPr="00082D48">
              <w:rPr>
                <w:color w:val="000000"/>
                <w:szCs w:val="18"/>
                <w:lang w:val="ru-RU"/>
              </w:rPr>
              <w:t>Регулирование по достижении предельного состояния и технологии уничтожения</w:t>
            </w:r>
          </w:p>
        </w:tc>
        <w:tc>
          <w:tcPr>
            <w:tcW w:w="2505" w:type="dxa"/>
            <w:tcMar>
              <w:left w:w="108" w:type="dxa"/>
              <w:right w:w="108" w:type="dxa"/>
            </w:tcMar>
          </w:tcPr>
          <w:p w14:paraId="30D48FA0"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rPr>
            </w:pPr>
            <w:r w:rsidRPr="00082D48">
              <w:rPr>
                <w:color w:val="000000"/>
                <w:szCs w:val="18"/>
                <w:lang w:val="ru-RU"/>
              </w:rPr>
              <w:t>С5 и не С5</w:t>
            </w:r>
          </w:p>
        </w:tc>
      </w:tr>
      <w:tr w:rsidR="0041077E" w:rsidRPr="008E3401" w14:paraId="756C21DB" w14:textId="77777777" w:rsidTr="00082D48">
        <w:trPr>
          <w:trHeight w:val="56"/>
          <w:jc w:val="right"/>
        </w:trPr>
        <w:tc>
          <w:tcPr>
            <w:cnfStyle w:val="001000000000" w:firstRow="0" w:lastRow="0" w:firstColumn="1" w:lastColumn="0" w:oddVBand="0" w:evenVBand="0" w:oddHBand="0" w:evenHBand="0" w:firstRowFirstColumn="0" w:firstRowLastColumn="0" w:lastRowFirstColumn="0" w:lastRowLastColumn="0"/>
            <w:tcW w:w="1975" w:type="dxa"/>
            <w:tcBorders>
              <w:right w:val="none" w:sz="0" w:space="0" w:color="auto"/>
            </w:tcBorders>
            <w:vAlign w:val="center"/>
          </w:tcPr>
          <w:p w14:paraId="5FE696BE"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lang w:val="ru-RU"/>
              </w:rPr>
            </w:pPr>
            <w:r w:rsidRPr="00082D48">
              <w:rPr>
                <w:color w:val="000000"/>
                <w:szCs w:val="18"/>
                <w:lang w:val="ru-RU"/>
              </w:rPr>
              <w:t>Комитет по техническим вариантам замены холодильного оборудования, систем кондиционирования воздуха и тепловых насосов</w:t>
            </w:r>
          </w:p>
        </w:tc>
        <w:tc>
          <w:tcPr>
            <w:tcW w:w="3827" w:type="dxa"/>
            <w:tcMar>
              <w:left w:w="108" w:type="dxa"/>
              <w:right w:w="108" w:type="dxa"/>
            </w:tcMar>
          </w:tcPr>
          <w:p w14:paraId="2C31E937"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lang w:val="ru-RU"/>
              </w:rPr>
            </w:pPr>
            <w:r w:rsidRPr="00082D48">
              <w:rPr>
                <w:color w:val="000000"/>
                <w:szCs w:val="18"/>
                <w:lang w:val="ru-RU"/>
              </w:rPr>
              <w:t>В настоящий момент нет необходимости в дополнительных экспертных знаниях</w:t>
            </w:r>
          </w:p>
        </w:tc>
        <w:tc>
          <w:tcPr>
            <w:tcW w:w="2505" w:type="dxa"/>
            <w:tcMar>
              <w:left w:w="108" w:type="dxa"/>
              <w:right w:w="108" w:type="dxa"/>
            </w:tcMar>
          </w:tcPr>
          <w:p w14:paraId="11CCB5EE"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lang w:val="ru-RU"/>
              </w:rPr>
            </w:pPr>
          </w:p>
        </w:tc>
      </w:tr>
      <w:tr w:rsidR="0041077E" w:rsidRPr="008E3401" w14:paraId="44D359EB" w14:textId="77777777" w:rsidTr="00082D48">
        <w:trPr>
          <w:trHeight w:val="56"/>
          <w:jc w:val="right"/>
        </w:trPr>
        <w:tc>
          <w:tcPr>
            <w:cnfStyle w:val="001000000000" w:firstRow="0" w:lastRow="0" w:firstColumn="1" w:lastColumn="0" w:oddVBand="0" w:evenVBand="0" w:oddHBand="0" w:evenHBand="0" w:firstRowFirstColumn="0" w:firstRowLastColumn="0" w:lastRowFirstColumn="0" w:lastRowLastColumn="0"/>
            <w:tcW w:w="1975" w:type="dxa"/>
            <w:tcBorders>
              <w:right w:val="none" w:sz="0" w:space="0" w:color="auto"/>
            </w:tcBorders>
          </w:tcPr>
          <w:p w14:paraId="505BC9D1" w14:textId="201A6361"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rPr>
                <w:szCs w:val="18"/>
              </w:rPr>
            </w:pPr>
            <w:r w:rsidRPr="00082D48">
              <w:rPr>
                <w:color w:val="000000"/>
                <w:szCs w:val="18"/>
                <w:lang w:val="ru-RU"/>
              </w:rPr>
              <w:lastRenderedPageBreak/>
              <w:t>Старшие эксперты</w:t>
            </w:r>
          </w:p>
        </w:tc>
        <w:tc>
          <w:tcPr>
            <w:tcW w:w="3827" w:type="dxa"/>
            <w:tcMar>
              <w:left w:w="108" w:type="dxa"/>
              <w:right w:w="108" w:type="dxa"/>
            </w:tcMar>
          </w:tcPr>
          <w:p w14:paraId="6C5A291F"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lang w:val="ru-RU"/>
              </w:rPr>
            </w:pPr>
            <w:r w:rsidRPr="00082D48">
              <w:rPr>
                <w:color w:val="000000"/>
                <w:szCs w:val="18"/>
                <w:lang w:val="ru-RU"/>
              </w:rPr>
              <w:t xml:space="preserve">Действующие старшие эксперты в составе комитета обеспечивают необходимые экспертные знания </w:t>
            </w:r>
          </w:p>
        </w:tc>
        <w:tc>
          <w:tcPr>
            <w:tcW w:w="2505" w:type="dxa"/>
            <w:tcMar>
              <w:left w:w="108" w:type="dxa"/>
              <w:right w:w="108" w:type="dxa"/>
            </w:tcMar>
          </w:tcPr>
          <w:p w14:paraId="59E86E11" w14:textId="77777777" w:rsidR="0041077E" w:rsidRPr="00082D48" w:rsidRDefault="0041077E" w:rsidP="00082D48">
            <w:pPr>
              <w:pStyle w:val="Normal-pool-Table"/>
              <w:tabs>
                <w:tab w:val="clear" w:pos="624"/>
                <w:tab w:val="clear" w:pos="1247"/>
                <w:tab w:val="clear" w:pos="1871"/>
                <w:tab w:val="clear" w:pos="2495"/>
                <w:tab w:val="clear" w:pos="3119"/>
                <w:tab w:val="clear" w:pos="3742"/>
                <w:tab w:val="clear" w:pos="4366"/>
                <w:tab w:val="clear" w:pos="4990"/>
              </w:tabs>
              <w:cnfStyle w:val="000000000000" w:firstRow="0" w:lastRow="0" w:firstColumn="0" w:lastColumn="0" w:oddVBand="0" w:evenVBand="0" w:oddHBand="0" w:evenHBand="0" w:firstRowFirstColumn="0" w:firstRowLastColumn="0" w:lastRowFirstColumn="0" w:lastRowLastColumn="0"/>
              <w:rPr>
                <w:szCs w:val="18"/>
                <w:lang w:val="ru-RU"/>
              </w:rPr>
            </w:pPr>
          </w:p>
        </w:tc>
      </w:tr>
    </w:tbl>
    <w:p w14:paraId="7B2D5ABE" w14:textId="77777777" w:rsidR="0041077E" w:rsidRPr="00D62886" w:rsidRDefault="0041077E" w:rsidP="00D858EC">
      <w:pPr>
        <w:pStyle w:val="Normal-pool"/>
        <w:tabs>
          <w:tab w:val="clear" w:pos="624"/>
          <w:tab w:val="clear" w:pos="1247"/>
          <w:tab w:val="clear" w:pos="1871"/>
          <w:tab w:val="clear" w:pos="2495"/>
          <w:tab w:val="clear" w:pos="3119"/>
          <w:tab w:val="clear" w:pos="3742"/>
          <w:tab w:val="clear" w:pos="4366"/>
          <w:tab w:val="clear" w:pos="4990"/>
        </w:tabs>
        <w:spacing w:before="480"/>
        <w:rPr>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41077E" w:rsidRPr="008E3401" w14:paraId="2F95E342" w14:textId="77777777">
        <w:tc>
          <w:tcPr>
            <w:tcW w:w="1897" w:type="dxa"/>
          </w:tcPr>
          <w:p w14:paraId="15FF2B14" w14:textId="77777777" w:rsidR="0041077E" w:rsidRPr="00D62886" w:rsidRDefault="0041077E" w:rsidP="00F35924">
            <w:pPr>
              <w:pStyle w:val="Normal-pool"/>
              <w:tabs>
                <w:tab w:val="clear" w:pos="624"/>
                <w:tab w:val="clear" w:pos="1247"/>
                <w:tab w:val="clear" w:pos="1871"/>
                <w:tab w:val="clear" w:pos="2495"/>
                <w:tab w:val="clear" w:pos="3119"/>
                <w:tab w:val="clear" w:pos="3742"/>
                <w:tab w:val="clear" w:pos="4366"/>
                <w:tab w:val="clear" w:pos="4990"/>
              </w:tabs>
              <w:rPr>
                <w:rFonts w:eastAsiaTheme="minorEastAsia"/>
                <w:lang w:val="ru-RU"/>
              </w:rPr>
            </w:pPr>
          </w:p>
        </w:tc>
        <w:tc>
          <w:tcPr>
            <w:tcW w:w="1897" w:type="dxa"/>
          </w:tcPr>
          <w:p w14:paraId="79246213" w14:textId="77777777" w:rsidR="0041077E" w:rsidRPr="00D62886" w:rsidRDefault="0041077E" w:rsidP="00F35924">
            <w:pPr>
              <w:pStyle w:val="Normal-pool"/>
              <w:tabs>
                <w:tab w:val="clear" w:pos="624"/>
                <w:tab w:val="clear" w:pos="1247"/>
                <w:tab w:val="clear" w:pos="1871"/>
                <w:tab w:val="clear" w:pos="2495"/>
                <w:tab w:val="clear" w:pos="3119"/>
                <w:tab w:val="clear" w:pos="3742"/>
                <w:tab w:val="clear" w:pos="4366"/>
                <w:tab w:val="clear" w:pos="4990"/>
              </w:tabs>
              <w:rPr>
                <w:rFonts w:eastAsiaTheme="minorEastAsia"/>
                <w:lang w:val="ru-RU"/>
              </w:rPr>
            </w:pPr>
          </w:p>
        </w:tc>
        <w:tc>
          <w:tcPr>
            <w:tcW w:w="1897" w:type="dxa"/>
            <w:tcBorders>
              <w:bottom w:val="single" w:sz="4" w:space="0" w:color="auto"/>
            </w:tcBorders>
          </w:tcPr>
          <w:p w14:paraId="03D35B82" w14:textId="77777777" w:rsidR="0041077E" w:rsidRPr="00D62886" w:rsidRDefault="0041077E" w:rsidP="00F35924">
            <w:pPr>
              <w:pStyle w:val="Normal-pool"/>
              <w:tabs>
                <w:tab w:val="clear" w:pos="624"/>
                <w:tab w:val="clear" w:pos="1247"/>
                <w:tab w:val="clear" w:pos="1871"/>
                <w:tab w:val="clear" w:pos="2495"/>
                <w:tab w:val="clear" w:pos="3119"/>
                <w:tab w:val="clear" w:pos="3742"/>
                <w:tab w:val="clear" w:pos="4366"/>
                <w:tab w:val="clear" w:pos="4990"/>
              </w:tabs>
              <w:rPr>
                <w:rFonts w:eastAsiaTheme="minorEastAsia"/>
                <w:lang w:val="ru-RU"/>
              </w:rPr>
            </w:pPr>
          </w:p>
        </w:tc>
        <w:tc>
          <w:tcPr>
            <w:tcW w:w="1898" w:type="dxa"/>
          </w:tcPr>
          <w:p w14:paraId="5E6A2D37" w14:textId="77777777" w:rsidR="0041077E" w:rsidRPr="00D62886" w:rsidRDefault="0041077E" w:rsidP="00F35924">
            <w:pPr>
              <w:pStyle w:val="Normal-pool"/>
              <w:tabs>
                <w:tab w:val="clear" w:pos="624"/>
                <w:tab w:val="clear" w:pos="1247"/>
                <w:tab w:val="clear" w:pos="1871"/>
                <w:tab w:val="clear" w:pos="2495"/>
                <w:tab w:val="clear" w:pos="3119"/>
                <w:tab w:val="clear" w:pos="3742"/>
                <w:tab w:val="clear" w:pos="4366"/>
                <w:tab w:val="clear" w:pos="4990"/>
              </w:tabs>
              <w:rPr>
                <w:rFonts w:eastAsiaTheme="minorEastAsia"/>
                <w:lang w:val="ru-RU"/>
              </w:rPr>
            </w:pPr>
          </w:p>
        </w:tc>
        <w:tc>
          <w:tcPr>
            <w:tcW w:w="1898" w:type="dxa"/>
          </w:tcPr>
          <w:p w14:paraId="2A559084" w14:textId="77777777" w:rsidR="0041077E" w:rsidRPr="00D62886" w:rsidRDefault="0041077E" w:rsidP="00F35924">
            <w:pPr>
              <w:pStyle w:val="Normal-pool"/>
              <w:tabs>
                <w:tab w:val="clear" w:pos="624"/>
                <w:tab w:val="clear" w:pos="1247"/>
                <w:tab w:val="clear" w:pos="1871"/>
                <w:tab w:val="clear" w:pos="2495"/>
                <w:tab w:val="clear" w:pos="3119"/>
                <w:tab w:val="clear" w:pos="3742"/>
                <w:tab w:val="clear" w:pos="4366"/>
                <w:tab w:val="clear" w:pos="4990"/>
              </w:tabs>
              <w:rPr>
                <w:rFonts w:eastAsiaTheme="minorEastAsia"/>
                <w:lang w:val="ru-RU"/>
              </w:rPr>
            </w:pPr>
          </w:p>
        </w:tc>
      </w:tr>
    </w:tbl>
    <w:p w14:paraId="682625B2" w14:textId="595F7233" w:rsidR="00244AFD" w:rsidRPr="00D62886" w:rsidRDefault="00244AFD" w:rsidP="00F35924">
      <w:pPr>
        <w:pStyle w:val="Normal-pool"/>
        <w:tabs>
          <w:tab w:val="clear" w:pos="624"/>
          <w:tab w:val="clear" w:pos="1247"/>
          <w:tab w:val="clear" w:pos="1871"/>
          <w:tab w:val="clear" w:pos="2495"/>
          <w:tab w:val="clear" w:pos="3119"/>
          <w:tab w:val="clear" w:pos="3742"/>
          <w:tab w:val="clear" w:pos="4366"/>
          <w:tab w:val="clear" w:pos="4990"/>
        </w:tabs>
        <w:rPr>
          <w:rFonts w:eastAsiaTheme="minorEastAsia"/>
          <w:lang w:val="ru-RU"/>
        </w:rPr>
      </w:pPr>
    </w:p>
    <w:sectPr w:rsidR="00244AFD" w:rsidRPr="00D62886" w:rsidSect="0087202B">
      <w:footerReference w:type="first" r:id="rId17"/>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5E859" w14:textId="77777777" w:rsidR="00E93295" w:rsidRPr="00244AFD" w:rsidRDefault="00E93295">
      <w:r w:rsidRPr="00244AFD">
        <w:separator/>
      </w:r>
    </w:p>
  </w:endnote>
  <w:endnote w:type="continuationSeparator" w:id="0">
    <w:p w14:paraId="136092AC" w14:textId="77777777" w:rsidR="00E93295" w:rsidRPr="00244AFD" w:rsidRDefault="00E93295">
      <w:r w:rsidRPr="00244A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07D12" w14:textId="44AAC61E" w:rsidR="0041077E" w:rsidRPr="0087202B" w:rsidRDefault="0087202B" w:rsidP="00F35924">
    <w:pPr>
      <w:pStyle w:val="Footer-pool"/>
      <w:tabs>
        <w:tab w:val="clear" w:pos="624"/>
        <w:tab w:val="clear" w:pos="1247"/>
        <w:tab w:val="clear" w:pos="1871"/>
        <w:tab w:val="clear" w:pos="2495"/>
        <w:tab w:val="clear" w:pos="3119"/>
        <w:tab w:val="clear" w:pos="3742"/>
        <w:tab w:val="clear" w:pos="4366"/>
        <w:tab w:val="clear" w:pos="4990"/>
        <w:tab w:val="clear" w:pos="8641"/>
      </w:tabs>
    </w:pPr>
    <w:r>
      <w:rPr>
        <w:rStyle w:val="PageNumber"/>
        <w:b/>
      </w:rPr>
      <w:fldChar w:fldCharType="begin"/>
    </w:r>
    <w:r>
      <w:rPr>
        <w:rStyle w:val="PageNumber"/>
        <w:b/>
      </w:rPr>
      <w:instrText xml:space="preserve"> PAGE </w:instrText>
    </w:r>
    <w:r>
      <w:rPr>
        <w:rStyle w:val="PageNumber"/>
        <w:b/>
      </w:rPr>
      <w:fldChar w:fldCharType="separate"/>
    </w:r>
    <w:r>
      <w:rPr>
        <w:rStyle w:val="PageNumber"/>
        <w:b/>
        <w:noProof/>
      </w:rPr>
      <w:t>1</w:t>
    </w:r>
    <w:r>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BF677" w14:textId="75E9AF09" w:rsidR="0041077E" w:rsidRPr="0087202B" w:rsidRDefault="0087202B" w:rsidP="00F35924">
    <w:pPr>
      <w:pStyle w:val="Footer-pool"/>
      <w:tabs>
        <w:tab w:val="clear" w:pos="624"/>
        <w:tab w:val="clear" w:pos="1247"/>
        <w:tab w:val="clear" w:pos="1871"/>
        <w:tab w:val="clear" w:pos="2495"/>
        <w:tab w:val="clear" w:pos="3119"/>
        <w:tab w:val="clear" w:pos="3742"/>
        <w:tab w:val="clear" w:pos="4366"/>
        <w:tab w:val="clear" w:pos="4990"/>
        <w:tab w:val="clear" w:pos="8641"/>
      </w:tabs>
      <w:jc w:val="right"/>
    </w:pPr>
    <w:r>
      <w:rPr>
        <w:rStyle w:val="PageNumber"/>
        <w:b/>
      </w:rPr>
      <w:fldChar w:fldCharType="begin"/>
    </w:r>
    <w:r>
      <w:rPr>
        <w:rStyle w:val="PageNumber"/>
        <w:b/>
      </w:rPr>
      <w:instrText xml:space="preserve"> PAGE \* MERGEFORMAT </w:instrText>
    </w:r>
    <w:r>
      <w:rPr>
        <w:rStyle w:val="PageNumber"/>
        <w:b/>
      </w:rPr>
      <w:fldChar w:fldCharType="separate"/>
    </w:r>
    <w:r>
      <w:rPr>
        <w:rStyle w:val="PageNumber"/>
        <w:b/>
        <w:noProof/>
      </w:rPr>
      <w:t>1</w:t>
    </w:r>
    <w:r>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F66C5" w14:textId="3269F817" w:rsidR="0087202B" w:rsidRDefault="004709BA" w:rsidP="0087202B">
    <w:pPr>
      <w:pStyle w:val="Footer-jobnumber"/>
    </w:pPr>
    <w:bookmarkStart w:id="7" w:name="FooterJobDate"/>
    <w:r>
      <w:t>UNON_DCS_2611688[</w:t>
    </w:r>
    <w:r w:rsidR="00F35924">
      <w:t>R</w:t>
    </w:r>
    <w:r>
      <w:t>]</w:t>
    </w:r>
    <w:r w:rsidR="00F61AC4">
      <w:tab/>
    </w:r>
    <w:bookmarkEnd w:id="7"/>
    <w:r w:rsidR="00F67D8B">
      <w:t>090926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C7F1B" w14:textId="5E210204" w:rsidR="00244AFD" w:rsidRPr="00244AFD" w:rsidRDefault="00011943" w:rsidP="00244AFD">
    <w:pPr>
      <w:pStyle w:val="Footer-jobnumber"/>
    </w:pPr>
    <w:r>
      <w:t>UNON_DCS_2611688[E]</w:t>
    </w:r>
    <w:r>
      <w:tab/>
      <w:t>XX0826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23B8B" w14:textId="77777777" w:rsidR="00E93295" w:rsidRPr="00244AFD" w:rsidRDefault="00E93295" w:rsidP="00C70B49">
      <w:pPr>
        <w:pStyle w:val="Footnote-Separator"/>
        <w:rPr>
          <w:szCs w:val="18"/>
        </w:rPr>
      </w:pPr>
      <w:r w:rsidRPr="00244AFD">
        <w:separator/>
      </w:r>
    </w:p>
  </w:footnote>
  <w:footnote w:type="continuationSeparator" w:id="0">
    <w:p w14:paraId="7B583AC0" w14:textId="77777777" w:rsidR="00E93295" w:rsidRPr="00244AFD" w:rsidRDefault="00E93295" w:rsidP="00C70B49">
      <w:pPr>
        <w:pStyle w:val="Footnote-Separator"/>
      </w:pPr>
      <w:r w:rsidRPr="00244AFD">
        <w:continuationSeparator/>
      </w:r>
    </w:p>
  </w:footnote>
  <w:footnote w:type="continuationNotice" w:id="1">
    <w:p w14:paraId="6D602136" w14:textId="77777777" w:rsidR="00E93295" w:rsidRPr="00244AFD" w:rsidRDefault="00E93295" w:rsidP="00C70B49">
      <w:pPr>
        <w:pStyle w:val="ASpacer"/>
      </w:pPr>
    </w:p>
  </w:footnote>
  <w:footnote w:id="2">
    <w:p w14:paraId="377DC53B" w14:textId="6728FF41" w:rsidR="0041077E" w:rsidRPr="00D62886" w:rsidRDefault="0041077E" w:rsidP="0041077E">
      <w:pPr>
        <w:pStyle w:val="Footnote-Text"/>
        <w:tabs>
          <w:tab w:val="clear" w:pos="1247"/>
          <w:tab w:val="clear" w:pos="1871"/>
          <w:tab w:val="clear" w:pos="2495"/>
          <w:tab w:val="clear" w:pos="3119"/>
          <w:tab w:val="clear" w:pos="3742"/>
          <w:tab w:val="clear" w:pos="4366"/>
        </w:tabs>
        <w:rPr>
          <w:szCs w:val="18"/>
          <w:lang w:val="ru-RU"/>
        </w:rPr>
      </w:pPr>
      <w:r w:rsidRPr="00AF477C">
        <w:rPr>
          <w:szCs w:val="18"/>
          <w:vertAlign w:val="superscript"/>
          <w:lang w:val="ru-RU"/>
        </w:rPr>
        <w:footnoteRef/>
      </w:r>
      <w:r>
        <w:rPr>
          <w:szCs w:val="18"/>
          <w:lang w:val="ru-RU"/>
        </w:rPr>
        <w:t xml:space="preserve"> Имеется по адресу: </w:t>
      </w:r>
      <w:hyperlink r:id="rId1" w:history="1">
        <w:r w:rsidRPr="00223638">
          <w:rPr>
            <w:rStyle w:val="Hyperlink"/>
            <w:szCs w:val="18"/>
            <w:lang w:val="ru-RU"/>
          </w:rPr>
          <w:t>https://ozone.unep.org/system/files/documents/TEAP-DecisionXXXVII6-replenishment-TF-report-May2026-RTF-report.pdf</w:t>
        </w:r>
      </w:hyperlink>
      <w:r>
        <w:rPr>
          <w:szCs w:val="18"/>
          <w:lang w:val="ru-RU"/>
        </w:rPr>
        <w:t xml:space="preserve">. </w:t>
      </w:r>
      <w:hyperlink r:id="rId2" w:history="1"/>
    </w:p>
  </w:footnote>
  <w:footnote w:id="3">
    <w:p w14:paraId="6AF4C448" w14:textId="0A74E29F" w:rsidR="009F2540" w:rsidRPr="00D62886" w:rsidRDefault="009F2540" w:rsidP="009F2540">
      <w:pPr>
        <w:pStyle w:val="Footnote-Text"/>
        <w:rPr>
          <w:szCs w:val="18"/>
          <w:lang w:val="ru-RU"/>
        </w:rPr>
      </w:pPr>
      <w:r w:rsidRPr="003511F7">
        <w:rPr>
          <w:rStyle w:val="FootnoteReference"/>
          <w:lang w:val="ru-RU"/>
        </w:rPr>
        <w:footnoteRef/>
      </w:r>
      <w:r>
        <w:rPr>
          <w:szCs w:val="18"/>
          <w:lang w:val="ru-RU"/>
        </w:rPr>
        <w:t xml:space="preserve"> Просьба направлять вопросы по адресу электронной почты </w:t>
      </w:r>
      <w:hyperlink r:id="rId3" w:history="1">
        <w:r w:rsidRPr="00F05C5F">
          <w:rPr>
            <w:rStyle w:val="Hyperlink"/>
            <w:szCs w:val="18"/>
            <w:lang w:val="ru-RU"/>
          </w:rPr>
          <w:t>mea-ozoneinfo@un.org</w:t>
        </w:r>
      </w:hyperlink>
      <w:r>
        <w:rPr>
          <w:szCs w:val="18"/>
          <w:lang w:val="ru-RU"/>
        </w:rPr>
        <w:t>.</w:t>
      </w:r>
      <w:hyperlink r:id="rId4" w:history="1"/>
    </w:p>
  </w:footnote>
  <w:footnote w:id="4">
    <w:p w14:paraId="0D87F851" w14:textId="6697CD47" w:rsidR="0041077E" w:rsidRPr="00D62886" w:rsidRDefault="0041077E" w:rsidP="0041077E">
      <w:pPr>
        <w:pStyle w:val="Footnote-Text"/>
        <w:rPr>
          <w:szCs w:val="18"/>
          <w:lang w:val="ru-RU"/>
        </w:rPr>
      </w:pPr>
      <w:r w:rsidRPr="00633F35">
        <w:rPr>
          <w:szCs w:val="18"/>
          <w:vertAlign w:val="superscript"/>
          <w:lang w:val="ru-RU"/>
        </w:rPr>
        <w:footnoteRef/>
      </w:r>
      <w:r>
        <w:rPr>
          <w:szCs w:val="18"/>
          <w:lang w:val="ru-RU"/>
        </w:rPr>
        <w:t xml:space="preserve"> </w:t>
      </w:r>
      <w:hyperlink r:id="rId5" w:history="1">
        <w:r w:rsidR="00AB72F5">
          <w:rPr>
            <w:rStyle w:val="Hyperlink"/>
            <w:szCs w:val="18"/>
            <w:lang w:val="ru-RU"/>
          </w:rPr>
          <w:t>https://ozone.unep.org/science/assessment/teap/teap-expertise-required</w:t>
        </w:r>
      </w:hyperlink>
      <w:r>
        <w:rPr>
          <w:szCs w:val="18"/>
          <w:lang w:val="ru-RU"/>
        </w:rPr>
        <w:t>.</w:t>
      </w:r>
      <w:hyperlink r:id="rId6" w:history="1"/>
    </w:p>
  </w:footnote>
  <w:footnote w:id="5">
    <w:p w14:paraId="344DF891" w14:textId="50B41418" w:rsidR="0041077E" w:rsidRPr="00D62886" w:rsidRDefault="0041077E" w:rsidP="0041077E">
      <w:pPr>
        <w:pStyle w:val="Footnote-Text"/>
        <w:rPr>
          <w:szCs w:val="18"/>
          <w:lang w:val="ru-RU"/>
        </w:rPr>
      </w:pPr>
      <w:r w:rsidRPr="00633F35">
        <w:rPr>
          <w:szCs w:val="18"/>
          <w:vertAlign w:val="superscript"/>
          <w:lang w:val="ru-RU"/>
        </w:rPr>
        <w:footnoteRef/>
      </w:r>
      <w:r>
        <w:rPr>
          <w:szCs w:val="18"/>
          <w:lang w:val="ru-RU"/>
        </w:rPr>
        <w:t xml:space="preserve"> </w:t>
      </w:r>
      <w:hyperlink r:id="rId7" w:history="1">
        <w:r w:rsidR="00AB72F5">
          <w:rPr>
            <w:rStyle w:val="Hyperlink"/>
            <w:szCs w:val="18"/>
            <w:lang w:val="ru-RU"/>
          </w:rPr>
          <w:t>https://ozone.unep.org/node/1953</w:t>
        </w:r>
      </w:hyperlink>
      <w:r>
        <w:rPr>
          <w:szCs w:val="18"/>
          <w:lang w:val="ru-RU"/>
        </w:rPr>
        <w:t>.</w:t>
      </w:r>
      <w:hyperlink r:id="rId8" w:history="1"/>
    </w:p>
  </w:footnote>
  <w:footnote w:id="6">
    <w:p w14:paraId="2E45B4E8" w14:textId="79D1EACA" w:rsidR="0041077E" w:rsidRPr="00D62886" w:rsidRDefault="0041077E" w:rsidP="0041077E">
      <w:pPr>
        <w:pStyle w:val="Footnote-Text"/>
        <w:rPr>
          <w:szCs w:val="18"/>
          <w:lang w:val="ru-RU"/>
        </w:rPr>
      </w:pPr>
      <w:r w:rsidRPr="00633F35">
        <w:rPr>
          <w:szCs w:val="18"/>
          <w:vertAlign w:val="superscript"/>
          <w:lang w:val="ru-RU"/>
        </w:rPr>
        <w:footnoteRef/>
      </w:r>
      <w:r>
        <w:rPr>
          <w:szCs w:val="18"/>
          <w:lang w:val="ru-RU"/>
        </w:rPr>
        <w:t xml:space="preserve"> </w:t>
      </w:r>
      <w:hyperlink r:id="rId9" w:history="1">
        <w:r w:rsidR="00AB72F5">
          <w:rPr>
            <w:rStyle w:val="Hyperlink"/>
            <w:szCs w:val="18"/>
            <w:lang w:val="ru-RU"/>
          </w:rPr>
          <w:t>https://ozone.unep.org/teap-primer</w:t>
        </w:r>
      </w:hyperlink>
      <w:r>
        <w:rPr>
          <w:szCs w:val="18"/>
          <w:lang w:val="ru-RU"/>
        </w:rPr>
        <w:t>.</w:t>
      </w:r>
      <w:hyperlink r:id="rId10" w:history="1"/>
    </w:p>
  </w:footnote>
  <w:footnote w:id="7">
    <w:p w14:paraId="433A0724" w14:textId="71E0A311" w:rsidR="0041077E" w:rsidRPr="00D62886" w:rsidRDefault="0041077E" w:rsidP="0041077E">
      <w:pPr>
        <w:pStyle w:val="FootnoteText"/>
        <w:tabs>
          <w:tab w:val="left" w:pos="624"/>
        </w:tabs>
        <w:spacing w:before="20" w:after="40"/>
        <w:ind w:left="1247"/>
        <w:rPr>
          <w:sz w:val="18"/>
          <w:szCs w:val="18"/>
          <w:lang w:val="ru-RU"/>
        </w:rPr>
      </w:pPr>
      <w:r w:rsidRPr="00633F35">
        <w:rPr>
          <w:sz w:val="18"/>
          <w:szCs w:val="18"/>
          <w:vertAlign w:val="superscript"/>
          <w:lang w:val="ru-RU"/>
        </w:rPr>
        <w:footnoteRef/>
      </w:r>
      <w:r>
        <w:rPr>
          <w:sz w:val="18"/>
          <w:szCs w:val="18"/>
          <w:lang w:val="ru-RU"/>
        </w:rPr>
        <w:t xml:space="preserve"> </w:t>
      </w:r>
      <w:hyperlink r:id="rId11" w:history="1">
        <w:r w:rsidRPr="00835EFC">
          <w:rPr>
            <w:rStyle w:val="Hyperlink"/>
            <w:sz w:val="18"/>
            <w:szCs w:val="18"/>
            <w:lang w:val="ru-RU"/>
          </w:rPr>
          <w:t>https://ozone.unep.org/science/assessment/teap</w:t>
        </w:r>
      </w:hyperlink>
      <w:r>
        <w:rPr>
          <w:sz w:val="18"/>
          <w:szCs w:val="18"/>
          <w:lang w:val="ru-RU"/>
        </w:rPr>
        <w:t>.</w:t>
      </w:r>
      <w:hyperlink r:id="rId12" w:history="1"/>
    </w:p>
  </w:footnote>
  <w:footnote w:id="8">
    <w:p w14:paraId="1D49D285" w14:textId="3ABA300E" w:rsidR="006906B1" w:rsidRPr="00D62886" w:rsidRDefault="006906B1" w:rsidP="006906B1">
      <w:pPr>
        <w:pStyle w:val="Footnote-Text"/>
        <w:tabs>
          <w:tab w:val="clear" w:pos="1247"/>
          <w:tab w:val="clear" w:pos="1871"/>
          <w:tab w:val="clear" w:pos="2495"/>
          <w:tab w:val="clear" w:pos="3119"/>
          <w:tab w:val="clear" w:pos="3742"/>
          <w:tab w:val="clear" w:pos="4366"/>
        </w:tabs>
        <w:rPr>
          <w:szCs w:val="18"/>
          <w:lang w:val="ru-RU"/>
        </w:rPr>
      </w:pPr>
      <w:r>
        <w:rPr>
          <w:rStyle w:val="FootnoteReference"/>
          <w:lang w:val="ru-RU"/>
        </w:rPr>
        <w:footnoteRef/>
      </w:r>
      <w:r>
        <w:rPr>
          <w:lang w:val="ru-RU"/>
        </w:rPr>
        <w:t xml:space="preserve"> </w:t>
      </w:r>
      <w:hyperlink r:id="rId13" w:history="1">
        <w:r w:rsidRPr="00D50DD3">
          <w:rPr>
            <w:rStyle w:val="Hyperlink"/>
            <w:lang w:val="ru-RU"/>
          </w:rPr>
          <w:t>https://ozone.unep.org/decision-xxxvii5-ka-intiatives?q=countries/additional-reported-information/national-and-regional-initiatives-support-implementation-kigali-amendment-decision-xxxvii5</w:t>
        </w:r>
      </w:hyperlink>
      <w:r>
        <w:rPr>
          <w:lang w:val="ru-RU"/>
        </w:rPr>
        <w:t>.</w:t>
      </w:r>
      <w:hyperlink r:id="rId14" w:history="1"/>
    </w:p>
  </w:footnote>
  <w:footnote w:id="9">
    <w:p w14:paraId="65DED2E9" w14:textId="77777777" w:rsidR="0041077E" w:rsidRPr="00D62886" w:rsidRDefault="0041077E" w:rsidP="00BF0289">
      <w:pPr>
        <w:pStyle w:val="Footnote-Text"/>
        <w:tabs>
          <w:tab w:val="clear" w:pos="624"/>
          <w:tab w:val="clear" w:pos="1247"/>
          <w:tab w:val="clear" w:pos="1871"/>
          <w:tab w:val="clear" w:pos="2495"/>
          <w:tab w:val="clear" w:pos="3119"/>
          <w:tab w:val="clear" w:pos="3742"/>
          <w:tab w:val="clear" w:pos="4366"/>
          <w:tab w:val="clear" w:pos="4990"/>
        </w:tabs>
        <w:rPr>
          <w:szCs w:val="18"/>
          <w:lang w:val="ru-RU"/>
        </w:rPr>
      </w:pPr>
      <w:r>
        <w:rPr>
          <w:szCs w:val="18"/>
          <w:lang w:val="ru-RU"/>
        </w:rPr>
        <w:t>* Настоящее приложение на английском языке официально не редактировалось.</w:t>
      </w:r>
    </w:p>
  </w:footnote>
  <w:footnote w:id="10">
    <w:p w14:paraId="2654BF3E" w14:textId="77777777" w:rsidR="001206DE" w:rsidRPr="00D62886" w:rsidRDefault="001206DE" w:rsidP="00BF0289">
      <w:pPr>
        <w:pStyle w:val="Footnote-Text"/>
        <w:tabs>
          <w:tab w:val="clear" w:pos="624"/>
          <w:tab w:val="clear" w:pos="1247"/>
          <w:tab w:val="clear" w:pos="1871"/>
          <w:tab w:val="clear" w:pos="2495"/>
          <w:tab w:val="clear" w:pos="3119"/>
          <w:tab w:val="clear" w:pos="3742"/>
          <w:tab w:val="clear" w:pos="4366"/>
          <w:tab w:val="clear" w:pos="4990"/>
        </w:tabs>
        <w:rPr>
          <w:szCs w:val="18"/>
          <w:lang w:val="ru-RU"/>
        </w:rPr>
      </w:pPr>
      <w:r>
        <w:rPr>
          <w:szCs w:val="18"/>
          <w:lang w:val="ru-RU"/>
        </w:rPr>
        <w:t>* Настоящее приложение на английском языке официально не редактировалось.</w:t>
      </w:r>
    </w:p>
  </w:footnote>
  <w:footnote w:id="11">
    <w:p w14:paraId="04D92D6E" w14:textId="77777777" w:rsidR="001206DE" w:rsidRPr="00D62886" w:rsidRDefault="001206DE" w:rsidP="00BF0289">
      <w:pPr>
        <w:pStyle w:val="Footnote-Text"/>
        <w:tabs>
          <w:tab w:val="clear" w:pos="624"/>
          <w:tab w:val="clear" w:pos="1247"/>
          <w:tab w:val="clear" w:pos="1871"/>
          <w:tab w:val="clear" w:pos="2495"/>
          <w:tab w:val="clear" w:pos="3119"/>
          <w:tab w:val="clear" w:pos="3742"/>
          <w:tab w:val="clear" w:pos="4366"/>
          <w:tab w:val="clear" w:pos="4990"/>
        </w:tabs>
        <w:rPr>
          <w:szCs w:val="18"/>
          <w:lang w:val="ru-RU"/>
        </w:rPr>
      </w:pPr>
      <w:r>
        <w:rPr>
          <w:szCs w:val="18"/>
          <w:lang w:val="ru-RU"/>
        </w:rPr>
        <w:t>* Настоящее приложение на английском языке официально не редактировалось.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D7BCB" w14:textId="46B6BC26" w:rsidR="0041077E" w:rsidRPr="0087202B" w:rsidRDefault="00CA74EC" w:rsidP="00F35924">
    <w:pPr>
      <w:pStyle w:val="Header-pool"/>
      <w:tabs>
        <w:tab w:val="clear" w:pos="1247"/>
        <w:tab w:val="clear" w:pos="1814"/>
        <w:tab w:val="clear" w:pos="2381"/>
        <w:tab w:val="clear" w:pos="2948"/>
        <w:tab w:val="clear" w:pos="3515"/>
        <w:tab w:val="clear" w:pos="9072"/>
      </w:tabs>
      <w:spacing w:after="120"/>
    </w:pPr>
    <w:r>
      <w:rPr>
        <w:noProof/>
      </w:rPr>
      <w:t>UNEP/OzL.Pro.38/2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7124E" w14:textId="640603E5" w:rsidR="0041077E" w:rsidRPr="0087202B" w:rsidRDefault="00CA74EC" w:rsidP="00F35924">
    <w:pPr>
      <w:pStyle w:val="Header-pool"/>
      <w:tabs>
        <w:tab w:val="clear" w:pos="1247"/>
        <w:tab w:val="clear" w:pos="1814"/>
        <w:tab w:val="clear" w:pos="2381"/>
        <w:tab w:val="clear" w:pos="2948"/>
        <w:tab w:val="clear" w:pos="3515"/>
        <w:tab w:val="clear" w:pos="9072"/>
      </w:tabs>
      <w:spacing w:after="120"/>
      <w:jc w:val="right"/>
    </w:pPr>
    <w:r>
      <w:rPr>
        <w:noProof/>
      </w:rPr>
      <w:t>UNEP/OzL.Pro.38/2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950C2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FAE0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8942CC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5884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4E6E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C673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6A759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48FC0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1FC1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FA69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4794297"/>
    <w:multiLevelType w:val="hybridMultilevel"/>
    <w:tmpl w:val="5352DF2A"/>
    <w:lvl w:ilvl="0" w:tplc="52B45ABC">
      <w:start w:val="1"/>
      <w:numFmt w:val="upperRoman"/>
      <w:lvlText w:val="%1."/>
      <w:lvlJc w:val="left"/>
      <w:pPr>
        <w:ind w:left="2081" w:hanging="720"/>
      </w:pPr>
      <w:rPr>
        <w:rFonts w:hint="default"/>
      </w:rPr>
    </w:lvl>
    <w:lvl w:ilvl="1" w:tplc="20000019" w:tentative="1">
      <w:start w:val="1"/>
      <w:numFmt w:val="lowerLetter"/>
      <w:lvlText w:val="%2."/>
      <w:lvlJc w:val="left"/>
      <w:pPr>
        <w:ind w:left="2441" w:hanging="360"/>
      </w:pPr>
    </w:lvl>
    <w:lvl w:ilvl="2" w:tplc="2000001B" w:tentative="1">
      <w:start w:val="1"/>
      <w:numFmt w:val="lowerRoman"/>
      <w:lvlText w:val="%3."/>
      <w:lvlJc w:val="right"/>
      <w:pPr>
        <w:ind w:left="3161" w:hanging="180"/>
      </w:pPr>
    </w:lvl>
    <w:lvl w:ilvl="3" w:tplc="2000000F" w:tentative="1">
      <w:start w:val="1"/>
      <w:numFmt w:val="decimal"/>
      <w:lvlText w:val="%4."/>
      <w:lvlJc w:val="left"/>
      <w:pPr>
        <w:ind w:left="3881" w:hanging="360"/>
      </w:pPr>
    </w:lvl>
    <w:lvl w:ilvl="4" w:tplc="20000019" w:tentative="1">
      <w:start w:val="1"/>
      <w:numFmt w:val="lowerLetter"/>
      <w:lvlText w:val="%5."/>
      <w:lvlJc w:val="left"/>
      <w:pPr>
        <w:ind w:left="4601" w:hanging="360"/>
      </w:pPr>
    </w:lvl>
    <w:lvl w:ilvl="5" w:tplc="2000001B" w:tentative="1">
      <w:start w:val="1"/>
      <w:numFmt w:val="lowerRoman"/>
      <w:lvlText w:val="%6."/>
      <w:lvlJc w:val="right"/>
      <w:pPr>
        <w:ind w:left="5321" w:hanging="180"/>
      </w:pPr>
    </w:lvl>
    <w:lvl w:ilvl="6" w:tplc="2000000F" w:tentative="1">
      <w:start w:val="1"/>
      <w:numFmt w:val="decimal"/>
      <w:lvlText w:val="%7."/>
      <w:lvlJc w:val="left"/>
      <w:pPr>
        <w:ind w:left="6041" w:hanging="360"/>
      </w:pPr>
    </w:lvl>
    <w:lvl w:ilvl="7" w:tplc="20000019" w:tentative="1">
      <w:start w:val="1"/>
      <w:numFmt w:val="lowerLetter"/>
      <w:lvlText w:val="%8."/>
      <w:lvlJc w:val="left"/>
      <w:pPr>
        <w:ind w:left="6761" w:hanging="360"/>
      </w:pPr>
    </w:lvl>
    <w:lvl w:ilvl="8" w:tplc="2000001B" w:tentative="1">
      <w:start w:val="1"/>
      <w:numFmt w:val="lowerRoman"/>
      <w:lvlText w:val="%9."/>
      <w:lvlJc w:val="right"/>
      <w:pPr>
        <w:ind w:left="7481" w:hanging="180"/>
      </w:pPr>
    </w:lvl>
  </w:abstractNum>
  <w:abstractNum w:abstractNumId="12" w15:restartNumberingAfterBreak="0">
    <w:nsid w:val="171113A7"/>
    <w:multiLevelType w:val="multilevel"/>
    <w:tmpl w:val="15304444"/>
    <w:styleLink w:val="Normallist4"/>
    <w:lvl w:ilvl="0">
      <w:start w:val="1"/>
      <w:numFmt w:val="decimal"/>
      <w:lvlText w:val="%1."/>
      <w:lvlJc w:val="left"/>
      <w:pPr>
        <w:tabs>
          <w:tab w:val="num" w:pos="567"/>
        </w:tabs>
        <w:ind w:left="1247"/>
      </w:pPr>
      <w:rPr>
        <w:rFonts w:cs="Times New Roman" w:hint="default"/>
      </w:rPr>
    </w:lvl>
    <w:lvl w:ilvl="1">
      <w:start w:val="1"/>
      <w:numFmt w:val="lowerLetter"/>
      <w:lvlText w:val="%2)"/>
      <w:lvlJc w:val="left"/>
      <w:pPr>
        <w:tabs>
          <w:tab w:val="num" w:pos="567"/>
        </w:tabs>
        <w:ind w:left="1247" w:firstLine="567"/>
      </w:pPr>
      <w:rPr>
        <w:rFonts w:cs="Times New Roman" w:hint="default"/>
      </w:rPr>
    </w:lvl>
    <w:lvl w:ilvl="2">
      <w:start w:val="1"/>
      <w:numFmt w:val="lowerRoman"/>
      <w:lvlText w:val="%3)"/>
      <w:lvlJc w:val="left"/>
      <w:pPr>
        <w:tabs>
          <w:tab w:val="num" w:pos="567"/>
        </w:tabs>
        <w:ind w:left="2948" w:hanging="567"/>
      </w:pPr>
      <w:rPr>
        <w:rFonts w:cs="Times New Roman" w:hint="default"/>
      </w:rPr>
    </w:lvl>
    <w:lvl w:ilvl="3">
      <w:start w:val="1"/>
      <w:numFmt w:val="lowerLetter"/>
      <w:lvlText w:val="%4."/>
      <w:lvlJc w:val="left"/>
      <w:pPr>
        <w:tabs>
          <w:tab w:val="num" w:pos="567"/>
        </w:tabs>
        <w:ind w:left="3515" w:hanging="567"/>
      </w:pPr>
      <w:rPr>
        <w:rFonts w:cs="Times New Roman" w:hint="default"/>
      </w:rPr>
    </w:lvl>
    <w:lvl w:ilvl="4">
      <w:start w:val="1"/>
      <w:numFmt w:val="lowerLetter"/>
      <w:lvlText w:val="%5."/>
      <w:lvlJc w:val="left"/>
      <w:pPr>
        <w:tabs>
          <w:tab w:val="num" w:pos="6548"/>
        </w:tabs>
        <w:ind w:left="6548" w:hanging="360"/>
      </w:pPr>
      <w:rPr>
        <w:rFonts w:cs="Times New Roman" w:hint="default"/>
      </w:rPr>
    </w:lvl>
    <w:lvl w:ilvl="5">
      <w:start w:val="1"/>
      <w:numFmt w:val="lowerRoman"/>
      <w:lvlText w:val="%6."/>
      <w:lvlJc w:val="right"/>
      <w:pPr>
        <w:tabs>
          <w:tab w:val="num" w:pos="7268"/>
        </w:tabs>
        <w:ind w:left="7268" w:hanging="180"/>
      </w:pPr>
      <w:rPr>
        <w:rFonts w:cs="Times New Roman" w:hint="default"/>
      </w:rPr>
    </w:lvl>
    <w:lvl w:ilvl="6">
      <w:start w:val="1"/>
      <w:numFmt w:val="decimal"/>
      <w:lvlText w:val="%7."/>
      <w:lvlJc w:val="left"/>
      <w:pPr>
        <w:tabs>
          <w:tab w:val="num" w:pos="7988"/>
        </w:tabs>
        <w:ind w:left="7988" w:hanging="360"/>
      </w:pPr>
      <w:rPr>
        <w:rFonts w:cs="Times New Roman" w:hint="default"/>
      </w:rPr>
    </w:lvl>
    <w:lvl w:ilvl="7">
      <w:start w:val="1"/>
      <w:numFmt w:val="lowerLetter"/>
      <w:lvlText w:val="%8."/>
      <w:lvlJc w:val="left"/>
      <w:pPr>
        <w:tabs>
          <w:tab w:val="num" w:pos="8708"/>
        </w:tabs>
        <w:ind w:left="8708" w:hanging="360"/>
      </w:pPr>
      <w:rPr>
        <w:rFonts w:cs="Times New Roman" w:hint="default"/>
      </w:rPr>
    </w:lvl>
    <w:lvl w:ilvl="8">
      <w:start w:val="1"/>
      <w:numFmt w:val="lowerRoman"/>
      <w:lvlText w:val="%9."/>
      <w:lvlJc w:val="right"/>
      <w:pPr>
        <w:tabs>
          <w:tab w:val="num" w:pos="9428"/>
        </w:tabs>
        <w:ind w:left="9428" w:hanging="180"/>
      </w:pPr>
      <w:rPr>
        <w:rFonts w:cs="Times New Roman" w:hint="default"/>
      </w:rPr>
    </w:lvl>
  </w:abstractNum>
  <w:abstractNum w:abstractNumId="13"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24017FD2"/>
    <w:multiLevelType w:val="hybridMultilevel"/>
    <w:tmpl w:val="027A3DEE"/>
    <w:lvl w:ilvl="0" w:tplc="B938094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5191F42"/>
    <w:multiLevelType w:val="hybridMultilevel"/>
    <w:tmpl w:val="78E464A8"/>
    <w:lvl w:ilvl="0" w:tplc="06A07E12">
      <w:start w:val="1"/>
      <w:numFmt w:val="lowerLetter"/>
      <w:lvlText w:val="%1)"/>
      <w:lvlJc w:val="left"/>
      <w:pPr>
        <w:ind w:left="2232" w:hanging="360"/>
      </w:pPr>
      <w:rPr>
        <w:rFonts w:hint="default"/>
      </w:rPr>
    </w:lvl>
    <w:lvl w:ilvl="1" w:tplc="FFFFFFFF">
      <w:start w:val="1"/>
      <w:numFmt w:val="bullet"/>
      <w:lvlText w:val="o"/>
      <w:lvlJc w:val="left"/>
      <w:pPr>
        <w:ind w:left="2952" w:hanging="360"/>
      </w:pPr>
      <w:rPr>
        <w:rFonts w:ascii="Courier New" w:hAnsi="Courier New" w:cs="Courier New" w:hint="default"/>
      </w:rPr>
    </w:lvl>
    <w:lvl w:ilvl="2" w:tplc="FFFFFFFF" w:tentative="1">
      <w:start w:val="1"/>
      <w:numFmt w:val="bullet"/>
      <w:lvlText w:val=""/>
      <w:lvlJc w:val="left"/>
      <w:pPr>
        <w:ind w:left="3672" w:hanging="360"/>
      </w:pPr>
      <w:rPr>
        <w:rFonts w:ascii="Wingdings" w:hAnsi="Wingdings" w:hint="default"/>
      </w:rPr>
    </w:lvl>
    <w:lvl w:ilvl="3" w:tplc="FFFFFFFF" w:tentative="1">
      <w:start w:val="1"/>
      <w:numFmt w:val="bullet"/>
      <w:lvlText w:val=""/>
      <w:lvlJc w:val="left"/>
      <w:pPr>
        <w:ind w:left="4392" w:hanging="360"/>
      </w:pPr>
      <w:rPr>
        <w:rFonts w:ascii="Symbol" w:hAnsi="Symbol" w:hint="default"/>
      </w:rPr>
    </w:lvl>
    <w:lvl w:ilvl="4" w:tplc="FFFFFFFF" w:tentative="1">
      <w:start w:val="1"/>
      <w:numFmt w:val="bullet"/>
      <w:lvlText w:val="o"/>
      <w:lvlJc w:val="left"/>
      <w:pPr>
        <w:ind w:left="5112" w:hanging="360"/>
      </w:pPr>
      <w:rPr>
        <w:rFonts w:ascii="Courier New" w:hAnsi="Courier New" w:cs="Courier New" w:hint="default"/>
      </w:rPr>
    </w:lvl>
    <w:lvl w:ilvl="5" w:tplc="FFFFFFFF" w:tentative="1">
      <w:start w:val="1"/>
      <w:numFmt w:val="bullet"/>
      <w:lvlText w:val=""/>
      <w:lvlJc w:val="left"/>
      <w:pPr>
        <w:ind w:left="5832" w:hanging="360"/>
      </w:pPr>
      <w:rPr>
        <w:rFonts w:ascii="Wingdings" w:hAnsi="Wingdings" w:hint="default"/>
      </w:rPr>
    </w:lvl>
    <w:lvl w:ilvl="6" w:tplc="FFFFFFFF" w:tentative="1">
      <w:start w:val="1"/>
      <w:numFmt w:val="bullet"/>
      <w:lvlText w:val=""/>
      <w:lvlJc w:val="left"/>
      <w:pPr>
        <w:ind w:left="6552" w:hanging="360"/>
      </w:pPr>
      <w:rPr>
        <w:rFonts w:ascii="Symbol" w:hAnsi="Symbol" w:hint="default"/>
      </w:rPr>
    </w:lvl>
    <w:lvl w:ilvl="7" w:tplc="FFFFFFFF" w:tentative="1">
      <w:start w:val="1"/>
      <w:numFmt w:val="bullet"/>
      <w:lvlText w:val="o"/>
      <w:lvlJc w:val="left"/>
      <w:pPr>
        <w:ind w:left="7272" w:hanging="360"/>
      </w:pPr>
      <w:rPr>
        <w:rFonts w:ascii="Courier New" w:hAnsi="Courier New" w:cs="Courier New" w:hint="default"/>
      </w:rPr>
    </w:lvl>
    <w:lvl w:ilvl="8" w:tplc="FFFFFFFF" w:tentative="1">
      <w:start w:val="1"/>
      <w:numFmt w:val="bullet"/>
      <w:lvlText w:val=""/>
      <w:lvlJc w:val="left"/>
      <w:pPr>
        <w:ind w:left="7992" w:hanging="360"/>
      </w:pPr>
      <w:rPr>
        <w:rFonts w:ascii="Wingdings" w:hAnsi="Wingdings" w:hint="default"/>
      </w:r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4AB716A"/>
    <w:multiLevelType w:val="hybridMultilevel"/>
    <w:tmpl w:val="871490B8"/>
    <w:styleLink w:val="Normallist1"/>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5215237"/>
    <w:multiLevelType w:val="hybridMultilevel"/>
    <w:tmpl w:val="C2E21524"/>
    <w:lvl w:ilvl="0" w:tplc="06A07E12">
      <w:start w:val="1"/>
      <w:numFmt w:val="lowerLetter"/>
      <w:lvlText w:val="%1)"/>
      <w:lvlJc w:val="left"/>
      <w:pPr>
        <w:ind w:left="2232" w:hanging="360"/>
      </w:pPr>
      <w:rPr>
        <w:rFonts w:hint="default"/>
      </w:rPr>
    </w:lvl>
    <w:lvl w:ilvl="1" w:tplc="08090019" w:tentative="1">
      <w:start w:val="1"/>
      <w:numFmt w:val="lowerLetter"/>
      <w:lvlText w:val="%2."/>
      <w:lvlJc w:val="left"/>
      <w:pPr>
        <w:ind w:left="2952" w:hanging="360"/>
      </w:pPr>
    </w:lvl>
    <w:lvl w:ilvl="2" w:tplc="0809001B" w:tentative="1">
      <w:start w:val="1"/>
      <w:numFmt w:val="lowerRoman"/>
      <w:lvlText w:val="%3."/>
      <w:lvlJc w:val="right"/>
      <w:pPr>
        <w:ind w:left="3672" w:hanging="180"/>
      </w:pPr>
    </w:lvl>
    <w:lvl w:ilvl="3" w:tplc="0809000F" w:tentative="1">
      <w:start w:val="1"/>
      <w:numFmt w:val="decimal"/>
      <w:lvlText w:val="%4."/>
      <w:lvlJc w:val="left"/>
      <w:pPr>
        <w:ind w:left="4392" w:hanging="360"/>
      </w:pPr>
    </w:lvl>
    <w:lvl w:ilvl="4" w:tplc="08090019" w:tentative="1">
      <w:start w:val="1"/>
      <w:numFmt w:val="lowerLetter"/>
      <w:lvlText w:val="%5."/>
      <w:lvlJc w:val="left"/>
      <w:pPr>
        <w:ind w:left="5112" w:hanging="360"/>
      </w:pPr>
    </w:lvl>
    <w:lvl w:ilvl="5" w:tplc="0809001B" w:tentative="1">
      <w:start w:val="1"/>
      <w:numFmt w:val="lowerRoman"/>
      <w:lvlText w:val="%6."/>
      <w:lvlJc w:val="right"/>
      <w:pPr>
        <w:ind w:left="5832" w:hanging="180"/>
      </w:pPr>
    </w:lvl>
    <w:lvl w:ilvl="6" w:tplc="0809000F" w:tentative="1">
      <w:start w:val="1"/>
      <w:numFmt w:val="decimal"/>
      <w:lvlText w:val="%7."/>
      <w:lvlJc w:val="left"/>
      <w:pPr>
        <w:ind w:left="6552" w:hanging="360"/>
      </w:pPr>
    </w:lvl>
    <w:lvl w:ilvl="7" w:tplc="08090019" w:tentative="1">
      <w:start w:val="1"/>
      <w:numFmt w:val="lowerLetter"/>
      <w:lvlText w:val="%8."/>
      <w:lvlJc w:val="left"/>
      <w:pPr>
        <w:ind w:left="7272" w:hanging="360"/>
      </w:pPr>
    </w:lvl>
    <w:lvl w:ilvl="8" w:tplc="0809001B" w:tentative="1">
      <w:start w:val="1"/>
      <w:numFmt w:val="lowerRoman"/>
      <w:lvlText w:val="%9."/>
      <w:lvlJc w:val="right"/>
      <w:pPr>
        <w:ind w:left="7992" w:hanging="180"/>
      </w:pPr>
    </w:lvl>
  </w:abstractNum>
  <w:abstractNum w:abstractNumId="21" w15:restartNumberingAfterBreak="0">
    <w:nsid w:val="7A567899"/>
    <w:multiLevelType w:val="hybridMultilevel"/>
    <w:tmpl w:val="9E1ACACE"/>
    <w:lvl w:ilvl="0" w:tplc="3496B362">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22" w15:restartNumberingAfterBreak="0">
    <w:nsid w:val="7E6F2998"/>
    <w:multiLevelType w:val="hybridMultilevel"/>
    <w:tmpl w:val="BA004492"/>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560672902">
    <w:abstractNumId w:val="17"/>
  </w:num>
  <w:num w:numId="2" w16cid:durableId="1242644713">
    <w:abstractNumId w:val="19"/>
  </w:num>
  <w:num w:numId="3" w16cid:durableId="1933662228">
    <w:abstractNumId w:val="15"/>
  </w:num>
  <w:num w:numId="4" w16cid:durableId="1991909117">
    <w:abstractNumId w:val="10"/>
  </w:num>
  <w:num w:numId="5" w16cid:durableId="1138956019">
    <w:abstractNumId w:val="13"/>
  </w:num>
  <w:num w:numId="6" w16cid:durableId="2137142886">
    <w:abstractNumId w:val="9"/>
  </w:num>
  <w:num w:numId="7" w16cid:durableId="1675179954">
    <w:abstractNumId w:val="7"/>
  </w:num>
  <w:num w:numId="8" w16cid:durableId="758067863">
    <w:abstractNumId w:val="6"/>
  </w:num>
  <w:num w:numId="9" w16cid:durableId="337126131">
    <w:abstractNumId w:val="5"/>
  </w:num>
  <w:num w:numId="10" w16cid:durableId="901792282">
    <w:abstractNumId w:val="4"/>
  </w:num>
  <w:num w:numId="11" w16cid:durableId="1343775194">
    <w:abstractNumId w:val="8"/>
  </w:num>
  <w:num w:numId="12" w16cid:durableId="1472743955">
    <w:abstractNumId w:val="3"/>
  </w:num>
  <w:num w:numId="13" w16cid:durableId="11493644">
    <w:abstractNumId w:val="2"/>
  </w:num>
  <w:num w:numId="14" w16cid:durableId="36905062">
    <w:abstractNumId w:val="1"/>
  </w:num>
  <w:num w:numId="15" w16cid:durableId="1290160602">
    <w:abstractNumId w:val="0"/>
  </w:num>
  <w:num w:numId="16" w16cid:durableId="1665357447">
    <w:abstractNumId w:val="18"/>
  </w:num>
  <w:num w:numId="17" w16cid:durableId="1285193026">
    <w:abstractNumId w:val="12"/>
  </w:num>
  <w:num w:numId="18" w16cid:durableId="1517184686">
    <w:abstractNumId w:val="20"/>
  </w:num>
  <w:num w:numId="19" w16cid:durableId="1611203589">
    <w:abstractNumId w:val="16"/>
  </w:num>
  <w:num w:numId="20" w16cid:durableId="1683317142">
    <w:abstractNumId w:val="21"/>
  </w:num>
  <w:num w:numId="21" w16cid:durableId="1818643086">
    <w:abstractNumId w:val="22"/>
  </w:num>
  <w:num w:numId="22" w16cid:durableId="1162507959">
    <w:abstractNumId w:val="11"/>
  </w:num>
  <w:num w:numId="23" w16cid:durableId="247034179">
    <w:abstractNumId w:val="14"/>
  </w:num>
  <w:num w:numId="24" w16cid:durableId="1659450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329553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8481456">
    <w:abstractNumId w:val="17"/>
  </w:num>
  <w:num w:numId="27" w16cid:durableId="104622884">
    <w:abstractNumId w:val="17"/>
  </w:num>
  <w:num w:numId="28" w16cid:durableId="1662005649">
    <w:abstractNumId w:val="17"/>
  </w:num>
  <w:num w:numId="29" w16cid:durableId="106782370">
    <w:abstractNumId w:val="17"/>
  </w:num>
  <w:num w:numId="30" w16cid:durableId="536235652">
    <w:abstractNumId w:val="17"/>
  </w:num>
  <w:num w:numId="31" w16cid:durableId="51582576">
    <w:abstractNumId w:val="17"/>
  </w:num>
  <w:num w:numId="32" w16cid:durableId="1580014881">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ru-RU" w:vendorID="64" w:dllVersion="0" w:nlCheck="1" w:checkStyle="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C91"/>
    <w:rsid w:val="000003EF"/>
    <w:rsid w:val="000008B2"/>
    <w:rsid w:val="0000604B"/>
    <w:rsid w:val="000113EB"/>
    <w:rsid w:val="00011943"/>
    <w:rsid w:val="000123DB"/>
    <w:rsid w:val="00012864"/>
    <w:rsid w:val="000149E6"/>
    <w:rsid w:val="00016AF3"/>
    <w:rsid w:val="000208C8"/>
    <w:rsid w:val="00021B2D"/>
    <w:rsid w:val="000247B0"/>
    <w:rsid w:val="00026997"/>
    <w:rsid w:val="00030D5C"/>
    <w:rsid w:val="00031DF9"/>
    <w:rsid w:val="00033E0B"/>
    <w:rsid w:val="000348C9"/>
    <w:rsid w:val="000349FA"/>
    <w:rsid w:val="00034BDF"/>
    <w:rsid w:val="00035EDE"/>
    <w:rsid w:val="0004329A"/>
    <w:rsid w:val="00044D3B"/>
    <w:rsid w:val="000451ED"/>
    <w:rsid w:val="00045DC4"/>
    <w:rsid w:val="000509B4"/>
    <w:rsid w:val="000526DD"/>
    <w:rsid w:val="0005404F"/>
    <w:rsid w:val="00056B2C"/>
    <w:rsid w:val="0006035B"/>
    <w:rsid w:val="00062D49"/>
    <w:rsid w:val="000700D4"/>
    <w:rsid w:val="00070821"/>
    <w:rsid w:val="0007166E"/>
    <w:rsid w:val="00071854"/>
    <w:rsid w:val="00071886"/>
    <w:rsid w:val="000729A9"/>
    <w:rsid w:val="00073367"/>
    <w:rsid w:val="000742BC"/>
    <w:rsid w:val="000803CB"/>
    <w:rsid w:val="0008041D"/>
    <w:rsid w:val="00081381"/>
    <w:rsid w:val="00082665"/>
    <w:rsid w:val="00082A0C"/>
    <w:rsid w:val="00082D48"/>
    <w:rsid w:val="00082DCD"/>
    <w:rsid w:val="00083504"/>
    <w:rsid w:val="00087090"/>
    <w:rsid w:val="0008710B"/>
    <w:rsid w:val="00093CAE"/>
    <w:rsid w:val="0009640C"/>
    <w:rsid w:val="000A41F1"/>
    <w:rsid w:val="000A7C19"/>
    <w:rsid w:val="000A7D2D"/>
    <w:rsid w:val="000B0D18"/>
    <w:rsid w:val="000B1D15"/>
    <w:rsid w:val="000B21D5"/>
    <w:rsid w:val="000B22A2"/>
    <w:rsid w:val="000B320B"/>
    <w:rsid w:val="000B583C"/>
    <w:rsid w:val="000C25FF"/>
    <w:rsid w:val="000C2A52"/>
    <w:rsid w:val="000C39AF"/>
    <w:rsid w:val="000C43F5"/>
    <w:rsid w:val="000C46A9"/>
    <w:rsid w:val="000C754F"/>
    <w:rsid w:val="000D33C0"/>
    <w:rsid w:val="000D5884"/>
    <w:rsid w:val="000D6941"/>
    <w:rsid w:val="000D71B6"/>
    <w:rsid w:val="000E0405"/>
    <w:rsid w:val="000E2F65"/>
    <w:rsid w:val="000E3420"/>
    <w:rsid w:val="000E5C43"/>
    <w:rsid w:val="000E5D21"/>
    <w:rsid w:val="000F6CFF"/>
    <w:rsid w:val="001003D9"/>
    <w:rsid w:val="001020ED"/>
    <w:rsid w:val="001131E7"/>
    <w:rsid w:val="001139F6"/>
    <w:rsid w:val="0011431C"/>
    <w:rsid w:val="00114BD6"/>
    <w:rsid w:val="001154F6"/>
    <w:rsid w:val="00115F73"/>
    <w:rsid w:val="001202E3"/>
    <w:rsid w:val="001206DE"/>
    <w:rsid w:val="001219C0"/>
    <w:rsid w:val="00123699"/>
    <w:rsid w:val="00127384"/>
    <w:rsid w:val="001273BC"/>
    <w:rsid w:val="0013059D"/>
    <w:rsid w:val="00131189"/>
    <w:rsid w:val="001360B9"/>
    <w:rsid w:val="00137CA4"/>
    <w:rsid w:val="0014083A"/>
    <w:rsid w:val="00141A55"/>
    <w:rsid w:val="00141F2F"/>
    <w:rsid w:val="001446A3"/>
    <w:rsid w:val="00145B65"/>
    <w:rsid w:val="00147EF0"/>
    <w:rsid w:val="00152EE6"/>
    <w:rsid w:val="001552CC"/>
    <w:rsid w:val="00155395"/>
    <w:rsid w:val="00155AAB"/>
    <w:rsid w:val="00155DB0"/>
    <w:rsid w:val="00157473"/>
    <w:rsid w:val="001620A9"/>
    <w:rsid w:val="00163733"/>
    <w:rsid w:val="00163DEC"/>
    <w:rsid w:val="00172E6C"/>
    <w:rsid w:val="00173D27"/>
    <w:rsid w:val="00174739"/>
    <w:rsid w:val="00175039"/>
    <w:rsid w:val="001756A7"/>
    <w:rsid w:val="001771CC"/>
    <w:rsid w:val="00180BC7"/>
    <w:rsid w:val="0018127C"/>
    <w:rsid w:val="001817F7"/>
    <w:rsid w:val="00181EC8"/>
    <w:rsid w:val="00181FC0"/>
    <w:rsid w:val="00184349"/>
    <w:rsid w:val="0018464A"/>
    <w:rsid w:val="00184965"/>
    <w:rsid w:val="001872BC"/>
    <w:rsid w:val="0019161E"/>
    <w:rsid w:val="00191709"/>
    <w:rsid w:val="00195F33"/>
    <w:rsid w:val="00197C63"/>
    <w:rsid w:val="001A0F9C"/>
    <w:rsid w:val="001A444B"/>
    <w:rsid w:val="001A5EE1"/>
    <w:rsid w:val="001A6716"/>
    <w:rsid w:val="001A7253"/>
    <w:rsid w:val="001A7528"/>
    <w:rsid w:val="001A7FF9"/>
    <w:rsid w:val="001B1617"/>
    <w:rsid w:val="001B332F"/>
    <w:rsid w:val="001B344E"/>
    <w:rsid w:val="001B504B"/>
    <w:rsid w:val="001B56EB"/>
    <w:rsid w:val="001C2327"/>
    <w:rsid w:val="001C29FC"/>
    <w:rsid w:val="001C2F62"/>
    <w:rsid w:val="001D2510"/>
    <w:rsid w:val="001D2A8B"/>
    <w:rsid w:val="001D3874"/>
    <w:rsid w:val="001D5344"/>
    <w:rsid w:val="001D7E75"/>
    <w:rsid w:val="001E1EE3"/>
    <w:rsid w:val="001E22D1"/>
    <w:rsid w:val="001E3FDB"/>
    <w:rsid w:val="001E4022"/>
    <w:rsid w:val="001E56D2"/>
    <w:rsid w:val="001E7D56"/>
    <w:rsid w:val="001F321E"/>
    <w:rsid w:val="001F4F2D"/>
    <w:rsid w:val="001F75DE"/>
    <w:rsid w:val="00200D58"/>
    <w:rsid w:val="002013BE"/>
    <w:rsid w:val="00202405"/>
    <w:rsid w:val="0020272D"/>
    <w:rsid w:val="0020434D"/>
    <w:rsid w:val="002063A4"/>
    <w:rsid w:val="00206F97"/>
    <w:rsid w:val="002075DA"/>
    <w:rsid w:val="0021145B"/>
    <w:rsid w:val="00211B45"/>
    <w:rsid w:val="002128A4"/>
    <w:rsid w:val="00214277"/>
    <w:rsid w:val="002145A5"/>
    <w:rsid w:val="002156F3"/>
    <w:rsid w:val="00223336"/>
    <w:rsid w:val="00223638"/>
    <w:rsid w:val="0022690F"/>
    <w:rsid w:val="00227296"/>
    <w:rsid w:val="0022762D"/>
    <w:rsid w:val="002310AC"/>
    <w:rsid w:val="002322DF"/>
    <w:rsid w:val="00232303"/>
    <w:rsid w:val="00234806"/>
    <w:rsid w:val="00234AC4"/>
    <w:rsid w:val="002378D6"/>
    <w:rsid w:val="00243371"/>
    <w:rsid w:val="00243D36"/>
    <w:rsid w:val="00244195"/>
    <w:rsid w:val="002446F5"/>
    <w:rsid w:val="00244AFD"/>
    <w:rsid w:val="00247707"/>
    <w:rsid w:val="0025133F"/>
    <w:rsid w:val="00252115"/>
    <w:rsid w:val="002539E1"/>
    <w:rsid w:val="00253BD7"/>
    <w:rsid w:val="00255869"/>
    <w:rsid w:val="0025609A"/>
    <w:rsid w:val="002600D2"/>
    <w:rsid w:val="002602E9"/>
    <w:rsid w:val="00261DD0"/>
    <w:rsid w:val="00263171"/>
    <w:rsid w:val="00270DEF"/>
    <w:rsid w:val="002722F7"/>
    <w:rsid w:val="00273FFF"/>
    <w:rsid w:val="00277919"/>
    <w:rsid w:val="00277E4A"/>
    <w:rsid w:val="00285B01"/>
    <w:rsid w:val="00285C47"/>
    <w:rsid w:val="00286740"/>
    <w:rsid w:val="00287B42"/>
    <w:rsid w:val="00291A29"/>
    <w:rsid w:val="002929D8"/>
    <w:rsid w:val="002935C2"/>
    <w:rsid w:val="00293BEF"/>
    <w:rsid w:val="0029683E"/>
    <w:rsid w:val="002976E5"/>
    <w:rsid w:val="002A114F"/>
    <w:rsid w:val="002A237D"/>
    <w:rsid w:val="002A3430"/>
    <w:rsid w:val="002A4C53"/>
    <w:rsid w:val="002A75D6"/>
    <w:rsid w:val="002B0672"/>
    <w:rsid w:val="002B1B4C"/>
    <w:rsid w:val="002B247F"/>
    <w:rsid w:val="002B2C05"/>
    <w:rsid w:val="002B5A6F"/>
    <w:rsid w:val="002B7591"/>
    <w:rsid w:val="002C09E7"/>
    <w:rsid w:val="002C145D"/>
    <w:rsid w:val="002C2C3E"/>
    <w:rsid w:val="002C47CE"/>
    <w:rsid w:val="002C533E"/>
    <w:rsid w:val="002C534A"/>
    <w:rsid w:val="002C5525"/>
    <w:rsid w:val="002C6F9D"/>
    <w:rsid w:val="002D027F"/>
    <w:rsid w:val="002D08AE"/>
    <w:rsid w:val="002D7A85"/>
    <w:rsid w:val="002D7B60"/>
    <w:rsid w:val="002E0925"/>
    <w:rsid w:val="002E13F0"/>
    <w:rsid w:val="002E19D4"/>
    <w:rsid w:val="002E4B73"/>
    <w:rsid w:val="002E74CF"/>
    <w:rsid w:val="002E78AC"/>
    <w:rsid w:val="002E7917"/>
    <w:rsid w:val="002F0362"/>
    <w:rsid w:val="002F4761"/>
    <w:rsid w:val="002F5C79"/>
    <w:rsid w:val="002F7F72"/>
    <w:rsid w:val="003019E2"/>
    <w:rsid w:val="00301C60"/>
    <w:rsid w:val="00302909"/>
    <w:rsid w:val="00303E47"/>
    <w:rsid w:val="00306963"/>
    <w:rsid w:val="003079AF"/>
    <w:rsid w:val="00307B2F"/>
    <w:rsid w:val="003102E0"/>
    <w:rsid w:val="0031084E"/>
    <w:rsid w:val="00313317"/>
    <w:rsid w:val="0031413F"/>
    <w:rsid w:val="003148BB"/>
    <w:rsid w:val="00317976"/>
    <w:rsid w:val="00317C11"/>
    <w:rsid w:val="00323885"/>
    <w:rsid w:val="00331475"/>
    <w:rsid w:val="00340B0E"/>
    <w:rsid w:val="0034780A"/>
    <w:rsid w:val="00347D01"/>
    <w:rsid w:val="00351A93"/>
    <w:rsid w:val="00351FF5"/>
    <w:rsid w:val="0035556C"/>
    <w:rsid w:val="0035593A"/>
    <w:rsid w:val="00355EA9"/>
    <w:rsid w:val="00356DE5"/>
    <w:rsid w:val="003578DE"/>
    <w:rsid w:val="003625B4"/>
    <w:rsid w:val="0036262C"/>
    <w:rsid w:val="00362634"/>
    <w:rsid w:val="003632ED"/>
    <w:rsid w:val="00365F6B"/>
    <w:rsid w:val="00370BF9"/>
    <w:rsid w:val="00371340"/>
    <w:rsid w:val="00371FFC"/>
    <w:rsid w:val="00373D53"/>
    <w:rsid w:val="003759E2"/>
    <w:rsid w:val="00384B74"/>
    <w:rsid w:val="00386999"/>
    <w:rsid w:val="00390145"/>
    <w:rsid w:val="00392729"/>
    <w:rsid w:val="00392762"/>
    <w:rsid w:val="00394379"/>
    <w:rsid w:val="00396257"/>
    <w:rsid w:val="00397EB8"/>
    <w:rsid w:val="003A07AB"/>
    <w:rsid w:val="003A086E"/>
    <w:rsid w:val="003A37B8"/>
    <w:rsid w:val="003A4FD0"/>
    <w:rsid w:val="003A5A31"/>
    <w:rsid w:val="003A69D1"/>
    <w:rsid w:val="003A7705"/>
    <w:rsid w:val="003A78BD"/>
    <w:rsid w:val="003B1545"/>
    <w:rsid w:val="003B1BB9"/>
    <w:rsid w:val="003B1E4F"/>
    <w:rsid w:val="003B7C4F"/>
    <w:rsid w:val="003C035E"/>
    <w:rsid w:val="003C03B5"/>
    <w:rsid w:val="003C0F9E"/>
    <w:rsid w:val="003C0FBD"/>
    <w:rsid w:val="003C3267"/>
    <w:rsid w:val="003C409D"/>
    <w:rsid w:val="003C5BA6"/>
    <w:rsid w:val="003C727C"/>
    <w:rsid w:val="003D23A4"/>
    <w:rsid w:val="003D2464"/>
    <w:rsid w:val="003D553D"/>
    <w:rsid w:val="003D7210"/>
    <w:rsid w:val="003E05B2"/>
    <w:rsid w:val="003E08E0"/>
    <w:rsid w:val="003E7835"/>
    <w:rsid w:val="003F0DE1"/>
    <w:rsid w:val="003F0E85"/>
    <w:rsid w:val="003F3D11"/>
    <w:rsid w:val="003F48CF"/>
    <w:rsid w:val="00404CB5"/>
    <w:rsid w:val="00405251"/>
    <w:rsid w:val="00406399"/>
    <w:rsid w:val="0041077E"/>
    <w:rsid w:val="00410C55"/>
    <w:rsid w:val="004128A5"/>
    <w:rsid w:val="0041604D"/>
    <w:rsid w:val="00416854"/>
    <w:rsid w:val="00416AAE"/>
    <w:rsid w:val="0041735C"/>
    <w:rsid w:val="00417725"/>
    <w:rsid w:val="0041779A"/>
    <w:rsid w:val="00417B99"/>
    <w:rsid w:val="004224A2"/>
    <w:rsid w:val="00423389"/>
    <w:rsid w:val="00423888"/>
    <w:rsid w:val="004243EA"/>
    <w:rsid w:val="00434868"/>
    <w:rsid w:val="00435AD1"/>
    <w:rsid w:val="00437F26"/>
    <w:rsid w:val="00443878"/>
    <w:rsid w:val="00444097"/>
    <w:rsid w:val="00445487"/>
    <w:rsid w:val="00446FF6"/>
    <w:rsid w:val="00451B9E"/>
    <w:rsid w:val="00454769"/>
    <w:rsid w:val="00456D58"/>
    <w:rsid w:val="00465E71"/>
    <w:rsid w:val="00466991"/>
    <w:rsid w:val="0047064C"/>
    <w:rsid w:val="004709BA"/>
    <w:rsid w:val="00472328"/>
    <w:rsid w:val="004725E2"/>
    <w:rsid w:val="0047318A"/>
    <w:rsid w:val="00474A8E"/>
    <w:rsid w:val="00474D90"/>
    <w:rsid w:val="00476EF6"/>
    <w:rsid w:val="00477AFF"/>
    <w:rsid w:val="00481F0B"/>
    <w:rsid w:val="00484B82"/>
    <w:rsid w:val="00495BFE"/>
    <w:rsid w:val="00496E71"/>
    <w:rsid w:val="004A128A"/>
    <w:rsid w:val="004A1612"/>
    <w:rsid w:val="004A2676"/>
    <w:rsid w:val="004A3186"/>
    <w:rsid w:val="004A35AF"/>
    <w:rsid w:val="004A42E1"/>
    <w:rsid w:val="004A4D9B"/>
    <w:rsid w:val="004B0153"/>
    <w:rsid w:val="004B11A6"/>
    <w:rsid w:val="004B162C"/>
    <w:rsid w:val="004B2A08"/>
    <w:rsid w:val="004B2A59"/>
    <w:rsid w:val="004B3EA2"/>
    <w:rsid w:val="004B3EF9"/>
    <w:rsid w:val="004B6252"/>
    <w:rsid w:val="004B6AFB"/>
    <w:rsid w:val="004C0F80"/>
    <w:rsid w:val="004C31F1"/>
    <w:rsid w:val="004C3DBE"/>
    <w:rsid w:val="004C5C96"/>
    <w:rsid w:val="004C6368"/>
    <w:rsid w:val="004D0537"/>
    <w:rsid w:val="004D06A4"/>
    <w:rsid w:val="004D2C1B"/>
    <w:rsid w:val="004D33A2"/>
    <w:rsid w:val="004D409B"/>
    <w:rsid w:val="004D60EA"/>
    <w:rsid w:val="004E242E"/>
    <w:rsid w:val="004E2599"/>
    <w:rsid w:val="004E59D4"/>
    <w:rsid w:val="004E653D"/>
    <w:rsid w:val="004E70DC"/>
    <w:rsid w:val="004E79AC"/>
    <w:rsid w:val="004F0144"/>
    <w:rsid w:val="004F1A81"/>
    <w:rsid w:val="004F4991"/>
    <w:rsid w:val="00500BFB"/>
    <w:rsid w:val="00500CD0"/>
    <w:rsid w:val="00501A13"/>
    <w:rsid w:val="005039B9"/>
    <w:rsid w:val="00504371"/>
    <w:rsid w:val="005063C9"/>
    <w:rsid w:val="0051151F"/>
    <w:rsid w:val="00521785"/>
    <w:rsid w:val="00521802"/>
    <w:rsid w:val="005218D9"/>
    <w:rsid w:val="00521A12"/>
    <w:rsid w:val="00521CC3"/>
    <w:rsid w:val="0052377B"/>
    <w:rsid w:val="00524989"/>
    <w:rsid w:val="00524D93"/>
    <w:rsid w:val="0052723A"/>
    <w:rsid w:val="005317DA"/>
    <w:rsid w:val="00531C7A"/>
    <w:rsid w:val="00531D5D"/>
    <w:rsid w:val="005323DB"/>
    <w:rsid w:val="00532DC9"/>
    <w:rsid w:val="00532E47"/>
    <w:rsid w:val="00536186"/>
    <w:rsid w:val="00536826"/>
    <w:rsid w:val="005375A9"/>
    <w:rsid w:val="00540501"/>
    <w:rsid w:val="00541DC3"/>
    <w:rsid w:val="00544703"/>
    <w:rsid w:val="00544CBB"/>
    <w:rsid w:val="00550518"/>
    <w:rsid w:val="00552CD6"/>
    <w:rsid w:val="00553CD1"/>
    <w:rsid w:val="00555423"/>
    <w:rsid w:val="00557E32"/>
    <w:rsid w:val="005623B7"/>
    <w:rsid w:val="005642C3"/>
    <w:rsid w:val="00567219"/>
    <w:rsid w:val="0057315F"/>
    <w:rsid w:val="00575DF1"/>
    <w:rsid w:val="00576104"/>
    <w:rsid w:val="00576C80"/>
    <w:rsid w:val="005825AF"/>
    <w:rsid w:val="00583D79"/>
    <w:rsid w:val="00585517"/>
    <w:rsid w:val="005940BC"/>
    <w:rsid w:val="00594BA0"/>
    <w:rsid w:val="00596055"/>
    <w:rsid w:val="005A14BB"/>
    <w:rsid w:val="005A3E77"/>
    <w:rsid w:val="005B53E8"/>
    <w:rsid w:val="005B53FA"/>
    <w:rsid w:val="005C0216"/>
    <w:rsid w:val="005C0798"/>
    <w:rsid w:val="005C0CE7"/>
    <w:rsid w:val="005C3814"/>
    <w:rsid w:val="005C3A6E"/>
    <w:rsid w:val="005C5395"/>
    <w:rsid w:val="005C67C8"/>
    <w:rsid w:val="005C6921"/>
    <w:rsid w:val="005C702F"/>
    <w:rsid w:val="005D0249"/>
    <w:rsid w:val="005D2122"/>
    <w:rsid w:val="005D3404"/>
    <w:rsid w:val="005D35EB"/>
    <w:rsid w:val="005D6E8C"/>
    <w:rsid w:val="005E29CE"/>
    <w:rsid w:val="005E6979"/>
    <w:rsid w:val="005E7FB3"/>
    <w:rsid w:val="005F100C"/>
    <w:rsid w:val="005F1245"/>
    <w:rsid w:val="005F469B"/>
    <w:rsid w:val="005F66BA"/>
    <w:rsid w:val="005F68DA"/>
    <w:rsid w:val="005F75E6"/>
    <w:rsid w:val="006014DD"/>
    <w:rsid w:val="00603D21"/>
    <w:rsid w:val="00605384"/>
    <w:rsid w:val="006055E9"/>
    <w:rsid w:val="0060773B"/>
    <w:rsid w:val="00607D94"/>
    <w:rsid w:val="006144A4"/>
    <w:rsid w:val="006157B5"/>
    <w:rsid w:val="00616A72"/>
    <w:rsid w:val="00616C89"/>
    <w:rsid w:val="00620401"/>
    <w:rsid w:val="00620A7E"/>
    <w:rsid w:val="00620DD9"/>
    <w:rsid w:val="006248F3"/>
    <w:rsid w:val="00626FC6"/>
    <w:rsid w:val="006303B4"/>
    <w:rsid w:val="006307B3"/>
    <w:rsid w:val="00631539"/>
    <w:rsid w:val="006330E3"/>
    <w:rsid w:val="00633CEB"/>
    <w:rsid w:val="00633D3D"/>
    <w:rsid w:val="00633F3A"/>
    <w:rsid w:val="00641703"/>
    <w:rsid w:val="006417FE"/>
    <w:rsid w:val="00641AF8"/>
    <w:rsid w:val="006431A6"/>
    <w:rsid w:val="00643A80"/>
    <w:rsid w:val="006454D7"/>
    <w:rsid w:val="006459F6"/>
    <w:rsid w:val="006501AD"/>
    <w:rsid w:val="00651BFA"/>
    <w:rsid w:val="00651D1E"/>
    <w:rsid w:val="00652422"/>
    <w:rsid w:val="006533B3"/>
    <w:rsid w:val="0065423D"/>
    <w:rsid w:val="006542E4"/>
    <w:rsid w:val="00655D3E"/>
    <w:rsid w:val="00656660"/>
    <w:rsid w:val="00660B1E"/>
    <w:rsid w:val="00663A80"/>
    <w:rsid w:val="00665177"/>
    <w:rsid w:val="00665A4B"/>
    <w:rsid w:val="00666065"/>
    <w:rsid w:val="00667015"/>
    <w:rsid w:val="00670408"/>
    <w:rsid w:val="006731FE"/>
    <w:rsid w:val="00676467"/>
    <w:rsid w:val="00677E09"/>
    <w:rsid w:val="00681C5A"/>
    <w:rsid w:val="00683078"/>
    <w:rsid w:val="00683EA1"/>
    <w:rsid w:val="006906B1"/>
    <w:rsid w:val="00690CC9"/>
    <w:rsid w:val="0069123F"/>
    <w:rsid w:val="00692E2A"/>
    <w:rsid w:val="006A3F1C"/>
    <w:rsid w:val="006A638B"/>
    <w:rsid w:val="006A76F2"/>
    <w:rsid w:val="006B145D"/>
    <w:rsid w:val="006B253E"/>
    <w:rsid w:val="006B4BFE"/>
    <w:rsid w:val="006B4F0C"/>
    <w:rsid w:val="006B50BD"/>
    <w:rsid w:val="006B5E57"/>
    <w:rsid w:val="006C3C5E"/>
    <w:rsid w:val="006C3DDA"/>
    <w:rsid w:val="006D325F"/>
    <w:rsid w:val="006D3277"/>
    <w:rsid w:val="006D3C4D"/>
    <w:rsid w:val="006D6B0E"/>
    <w:rsid w:val="006D7858"/>
    <w:rsid w:val="006D7EFB"/>
    <w:rsid w:val="006E0351"/>
    <w:rsid w:val="006E23AE"/>
    <w:rsid w:val="006E23BE"/>
    <w:rsid w:val="006E62EF"/>
    <w:rsid w:val="006E6672"/>
    <w:rsid w:val="006E6722"/>
    <w:rsid w:val="006F040D"/>
    <w:rsid w:val="006F0D75"/>
    <w:rsid w:val="006F10F1"/>
    <w:rsid w:val="006F1260"/>
    <w:rsid w:val="006F195E"/>
    <w:rsid w:val="006F1F27"/>
    <w:rsid w:val="006F4BA7"/>
    <w:rsid w:val="006F78C6"/>
    <w:rsid w:val="007017DF"/>
    <w:rsid w:val="007027B9"/>
    <w:rsid w:val="0070304C"/>
    <w:rsid w:val="00703A1D"/>
    <w:rsid w:val="007045CA"/>
    <w:rsid w:val="007061DE"/>
    <w:rsid w:val="0070723C"/>
    <w:rsid w:val="00713D8F"/>
    <w:rsid w:val="0071491B"/>
    <w:rsid w:val="00715997"/>
    <w:rsid w:val="00715E88"/>
    <w:rsid w:val="00717FBF"/>
    <w:rsid w:val="007240E3"/>
    <w:rsid w:val="00724D9B"/>
    <w:rsid w:val="0072508B"/>
    <w:rsid w:val="00730CF8"/>
    <w:rsid w:val="00732257"/>
    <w:rsid w:val="007325F9"/>
    <w:rsid w:val="007331B7"/>
    <w:rsid w:val="007333BE"/>
    <w:rsid w:val="00734CAA"/>
    <w:rsid w:val="00736583"/>
    <w:rsid w:val="007365A0"/>
    <w:rsid w:val="00736A26"/>
    <w:rsid w:val="00736EEF"/>
    <w:rsid w:val="00740349"/>
    <w:rsid w:val="00742FC7"/>
    <w:rsid w:val="00743B58"/>
    <w:rsid w:val="007503E0"/>
    <w:rsid w:val="0075473A"/>
    <w:rsid w:val="00755106"/>
    <w:rsid w:val="0075533C"/>
    <w:rsid w:val="00757581"/>
    <w:rsid w:val="00760E97"/>
    <w:rsid w:val="007611A0"/>
    <w:rsid w:val="007635A8"/>
    <w:rsid w:val="00763D94"/>
    <w:rsid w:val="007658A0"/>
    <w:rsid w:val="00765EF1"/>
    <w:rsid w:val="00771992"/>
    <w:rsid w:val="007759E2"/>
    <w:rsid w:val="00781778"/>
    <w:rsid w:val="00783907"/>
    <w:rsid w:val="00792F0D"/>
    <w:rsid w:val="0079347D"/>
    <w:rsid w:val="00795EF5"/>
    <w:rsid w:val="00796D3F"/>
    <w:rsid w:val="00797516"/>
    <w:rsid w:val="007A0FF8"/>
    <w:rsid w:val="007A1683"/>
    <w:rsid w:val="007A36F8"/>
    <w:rsid w:val="007A411F"/>
    <w:rsid w:val="007A4684"/>
    <w:rsid w:val="007A4878"/>
    <w:rsid w:val="007A5C12"/>
    <w:rsid w:val="007A6813"/>
    <w:rsid w:val="007A7CB0"/>
    <w:rsid w:val="007B1F01"/>
    <w:rsid w:val="007B6811"/>
    <w:rsid w:val="007B68A3"/>
    <w:rsid w:val="007B6CF0"/>
    <w:rsid w:val="007C2541"/>
    <w:rsid w:val="007C5A9F"/>
    <w:rsid w:val="007D3779"/>
    <w:rsid w:val="007D3A12"/>
    <w:rsid w:val="007D66A8"/>
    <w:rsid w:val="007D69F9"/>
    <w:rsid w:val="007D773D"/>
    <w:rsid w:val="007E003F"/>
    <w:rsid w:val="007E0EC8"/>
    <w:rsid w:val="007E439C"/>
    <w:rsid w:val="007E4BB2"/>
    <w:rsid w:val="007E5B2F"/>
    <w:rsid w:val="007F04BA"/>
    <w:rsid w:val="007F0C6B"/>
    <w:rsid w:val="007F748C"/>
    <w:rsid w:val="00802E4A"/>
    <w:rsid w:val="00802E72"/>
    <w:rsid w:val="008048A8"/>
    <w:rsid w:val="00805F1D"/>
    <w:rsid w:val="00813A9D"/>
    <w:rsid w:val="008164F2"/>
    <w:rsid w:val="00817A84"/>
    <w:rsid w:val="00821395"/>
    <w:rsid w:val="00822609"/>
    <w:rsid w:val="00822E4E"/>
    <w:rsid w:val="00826445"/>
    <w:rsid w:val="00826FEB"/>
    <w:rsid w:val="00830E26"/>
    <w:rsid w:val="00831CC1"/>
    <w:rsid w:val="0083292B"/>
    <w:rsid w:val="00834885"/>
    <w:rsid w:val="00835EFC"/>
    <w:rsid w:val="0084143A"/>
    <w:rsid w:val="00841812"/>
    <w:rsid w:val="00843576"/>
    <w:rsid w:val="00843B64"/>
    <w:rsid w:val="00844DCD"/>
    <w:rsid w:val="008470BD"/>
    <w:rsid w:val="008478FC"/>
    <w:rsid w:val="00853AF8"/>
    <w:rsid w:val="00854B12"/>
    <w:rsid w:val="0085667D"/>
    <w:rsid w:val="008610F2"/>
    <w:rsid w:val="00867BFF"/>
    <w:rsid w:val="008715C9"/>
    <w:rsid w:val="00871F57"/>
    <w:rsid w:val="0087202B"/>
    <w:rsid w:val="00875AC1"/>
    <w:rsid w:val="00880802"/>
    <w:rsid w:val="00883420"/>
    <w:rsid w:val="0088480A"/>
    <w:rsid w:val="0088535D"/>
    <w:rsid w:val="0088757A"/>
    <w:rsid w:val="008876F5"/>
    <w:rsid w:val="008957DD"/>
    <w:rsid w:val="00897D98"/>
    <w:rsid w:val="008A1DD1"/>
    <w:rsid w:val="008A26B4"/>
    <w:rsid w:val="008A63A2"/>
    <w:rsid w:val="008A6DF2"/>
    <w:rsid w:val="008A7807"/>
    <w:rsid w:val="008B0D6B"/>
    <w:rsid w:val="008B1262"/>
    <w:rsid w:val="008B3832"/>
    <w:rsid w:val="008B4CC9"/>
    <w:rsid w:val="008B4CCA"/>
    <w:rsid w:val="008B6A23"/>
    <w:rsid w:val="008B6CB7"/>
    <w:rsid w:val="008C13F0"/>
    <w:rsid w:val="008C1B8B"/>
    <w:rsid w:val="008C323E"/>
    <w:rsid w:val="008C7679"/>
    <w:rsid w:val="008D2CD5"/>
    <w:rsid w:val="008D3688"/>
    <w:rsid w:val="008D3AE0"/>
    <w:rsid w:val="008D7C99"/>
    <w:rsid w:val="008E0FCB"/>
    <w:rsid w:val="008E3401"/>
    <w:rsid w:val="008E3551"/>
    <w:rsid w:val="008E6874"/>
    <w:rsid w:val="008F1414"/>
    <w:rsid w:val="008F1CEA"/>
    <w:rsid w:val="008F27CD"/>
    <w:rsid w:val="008F2945"/>
    <w:rsid w:val="008F70C3"/>
    <w:rsid w:val="00901FEE"/>
    <w:rsid w:val="00906FAE"/>
    <w:rsid w:val="00907D78"/>
    <w:rsid w:val="009103ED"/>
    <w:rsid w:val="00910C06"/>
    <w:rsid w:val="00915EBF"/>
    <w:rsid w:val="0092144E"/>
    <w:rsid w:val="0092178C"/>
    <w:rsid w:val="00923884"/>
    <w:rsid w:val="00924400"/>
    <w:rsid w:val="0092493F"/>
    <w:rsid w:val="00930B88"/>
    <w:rsid w:val="009344B6"/>
    <w:rsid w:val="00936A28"/>
    <w:rsid w:val="009378DC"/>
    <w:rsid w:val="00940DCC"/>
    <w:rsid w:val="0094179A"/>
    <w:rsid w:val="0094459E"/>
    <w:rsid w:val="00944C64"/>
    <w:rsid w:val="00944CE9"/>
    <w:rsid w:val="00944DBC"/>
    <w:rsid w:val="009474A0"/>
    <w:rsid w:val="0095051C"/>
    <w:rsid w:val="00950977"/>
    <w:rsid w:val="00951A7B"/>
    <w:rsid w:val="00952D90"/>
    <w:rsid w:val="00953E64"/>
    <w:rsid w:val="00954B25"/>
    <w:rsid w:val="009564A6"/>
    <w:rsid w:val="00957AF9"/>
    <w:rsid w:val="00961840"/>
    <w:rsid w:val="00961A33"/>
    <w:rsid w:val="009628B9"/>
    <w:rsid w:val="009628CD"/>
    <w:rsid w:val="00962AC2"/>
    <w:rsid w:val="00964689"/>
    <w:rsid w:val="0096680E"/>
    <w:rsid w:val="00966947"/>
    <w:rsid w:val="00967621"/>
    <w:rsid w:val="00967E6A"/>
    <w:rsid w:val="0097474B"/>
    <w:rsid w:val="00974C0B"/>
    <w:rsid w:val="00975780"/>
    <w:rsid w:val="00980050"/>
    <w:rsid w:val="00980797"/>
    <w:rsid w:val="00983A18"/>
    <w:rsid w:val="00984DDD"/>
    <w:rsid w:val="00985DCD"/>
    <w:rsid w:val="00991A52"/>
    <w:rsid w:val="00991F24"/>
    <w:rsid w:val="009935AC"/>
    <w:rsid w:val="009959F5"/>
    <w:rsid w:val="009976D9"/>
    <w:rsid w:val="009A2170"/>
    <w:rsid w:val="009A4AC0"/>
    <w:rsid w:val="009A4F00"/>
    <w:rsid w:val="009A5813"/>
    <w:rsid w:val="009A6054"/>
    <w:rsid w:val="009B32E8"/>
    <w:rsid w:val="009B4A0F"/>
    <w:rsid w:val="009B5316"/>
    <w:rsid w:val="009B6007"/>
    <w:rsid w:val="009C0FEC"/>
    <w:rsid w:val="009C11D2"/>
    <w:rsid w:val="009C6C70"/>
    <w:rsid w:val="009C7952"/>
    <w:rsid w:val="009D0922"/>
    <w:rsid w:val="009D0B63"/>
    <w:rsid w:val="009D0BBF"/>
    <w:rsid w:val="009E06F6"/>
    <w:rsid w:val="009E15A2"/>
    <w:rsid w:val="009E1A50"/>
    <w:rsid w:val="009E307E"/>
    <w:rsid w:val="009E469B"/>
    <w:rsid w:val="009E47E3"/>
    <w:rsid w:val="009F046C"/>
    <w:rsid w:val="009F1BBB"/>
    <w:rsid w:val="009F2540"/>
    <w:rsid w:val="009F3B00"/>
    <w:rsid w:val="009F6BEA"/>
    <w:rsid w:val="00A02734"/>
    <w:rsid w:val="00A03A4A"/>
    <w:rsid w:val="00A04E02"/>
    <w:rsid w:val="00A0768A"/>
    <w:rsid w:val="00A07870"/>
    <w:rsid w:val="00A07F19"/>
    <w:rsid w:val="00A1348D"/>
    <w:rsid w:val="00A138D7"/>
    <w:rsid w:val="00A13A9F"/>
    <w:rsid w:val="00A142D1"/>
    <w:rsid w:val="00A1489E"/>
    <w:rsid w:val="00A16657"/>
    <w:rsid w:val="00A178BD"/>
    <w:rsid w:val="00A17900"/>
    <w:rsid w:val="00A204D6"/>
    <w:rsid w:val="00A20640"/>
    <w:rsid w:val="00A21053"/>
    <w:rsid w:val="00A232EE"/>
    <w:rsid w:val="00A23EA1"/>
    <w:rsid w:val="00A25F4B"/>
    <w:rsid w:val="00A26C3F"/>
    <w:rsid w:val="00A27FD4"/>
    <w:rsid w:val="00A30418"/>
    <w:rsid w:val="00A31C1C"/>
    <w:rsid w:val="00A31EDC"/>
    <w:rsid w:val="00A34A22"/>
    <w:rsid w:val="00A352BB"/>
    <w:rsid w:val="00A356B5"/>
    <w:rsid w:val="00A41314"/>
    <w:rsid w:val="00A4175F"/>
    <w:rsid w:val="00A41A80"/>
    <w:rsid w:val="00A44411"/>
    <w:rsid w:val="00A46038"/>
    <w:rsid w:val="00A469FA"/>
    <w:rsid w:val="00A50E94"/>
    <w:rsid w:val="00A515A9"/>
    <w:rsid w:val="00A51A08"/>
    <w:rsid w:val="00A5581E"/>
    <w:rsid w:val="00A55B01"/>
    <w:rsid w:val="00A56B5B"/>
    <w:rsid w:val="00A603FF"/>
    <w:rsid w:val="00A60952"/>
    <w:rsid w:val="00A616EA"/>
    <w:rsid w:val="00A64858"/>
    <w:rsid w:val="00A64FF6"/>
    <w:rsid w:val="00A657DD"/>
    <w:rsid w:val="00A66142"/>
    <w:rsid w:val="00A662D8"/>
    <w:rsid w:val="00A666A6"/>
    <w:rsid w:val="00A675FD"/>
    <w:rsid w:val="00A72437"/>
    <w:rsid w:val="00A73FF8"/>
    <w:rsid w:val="00A76C6E"/>
    <w:rsid w:val="00A80611"/>
    <w:rsid w:val="00A83536"/>
    <w:rsid w:val="00A84B15"/>
    <w:rsid w:val="00A8694C"/>
    <w:rsid w:val="00A87016"/>
    <w:rsid w:val="00A90921"/>
    <w:rsid w:val="00A92A99"/>
    <w:rsid w:val="00A938C8"/>
    <w:rsid w:val="00A94044"/>
    <w:rsid w:val="00A94EC9"/>
    <w:rsid w:val="00A94F3B"/>
    <w:rsid w:val="00AA0D58"/>
    <w:rsid w:val="00AA35A3"/>
    <w:rsid w:val="00AA69C8"/>
    <w:rsid w:val="00AB1F69"/>
    <w:rsid w:val="00AB25A0"/>
    <w:rsid w:val="00AB51A6"/>
    <w:rsid w:val="00AB5340"/>
    <w:rsid w:val="00AB72F5"/>
    <w:rsid w:val="00AC010E"/>
    <w:rsid w:val="00AC01CC"/>
    <w:rsid w:val="00AC16B8"/>
    <w:rsid w:val="00AC2BE6"/>
    <w:rsid w:val="00AC52BE"/>
    <w:rsid w:val="00AC7C96"/>
    <w:rsid w:val="00AD019B"/>
    <w:rsid w:val="00AD39BE"/>
    <w:rsid w:val="00AD67EB"/>
    <w:rsid w:val="00AE0B57"/>
    <w:rsid w:val="00AE1CBD"/>
    <w:rsid w:val="00AE237D"/>
    <w:rsid w:val="00AE2A3D"/>
    <w:rsid w:val="00AE3B01"/>
    <w:rsid w:val="00AE502A"/>
    <w:rsid w:val="00AE5304"/>
    <w:rsid w:val="00AE563E"/>
    <w:rsid w:val="00AF0DF7"/>
    <w:rsid w:val="00AF35E3"/>
    <w:rsid w:val="00AF7C07"/>
    <w:rsid w:val="00AF7FBB"/>
    <w:rsid w:val="00B01758"/>
    <w:rsid w:val="00B0275E"/>
    <w:rsid w:val="00B06547"/>
    <w:rsid w:val="00B06C05"/>
    <w:rsid w:val="00B10115"/>
    <w:rsid w:val="00B10C44"/>
    <w:rsid w:val="00B14FE8"/>
    <w:rsid w:val="00B21F5C"/>
    <w:rsid w:val="00B22C93"/>
    <w:rsid w:val="00B23486"/>
    <w:rsid w:val="00B27589"/>
    <w:rsid w:val="00B35BCC"/>
    <w:rsid w:val="00B37C00"/>
    <w:rsid w:val="00B37EF9"/>
    <w:rsid w:val="00B405B7"/>
    <w:rsid w:val="00B45E6D"/>
    <w:rsid w:val="00B4654A"/>
    <w:rsid w:val="00B470D5"/>
    <w:rsid w:val="00B51197"/>
    <w:rsid w:val="00B513DF"/>
    <w:rsid w:val="00B52222"/>
    <w:rsid w:val="00B523A2"/>
    <w:rsid w:val="00B54FE7"/>
    <w:rsid w:val="00B55740"/>
    <w:rsid w:val="00B57C47"/>
    <w:rsid w:val="00B60ADD"/>
    <w:rsid w:val="00B60B9A"/>
    <w:rsid w:val="00B66901"/>
    <w:rsid w:val="00B67F89"/>
    <w:rsid w:val="00B702BB"/>
    <w:rsid w:val="00B71E6D"/>
    <w:rsid w:val="00B72070"/>
    <w:rsid w:val="00B7224B"/>
    <w:rsid w:val="00B74F2D"/>
    <w:rsid w:val="00B75A15"/>
    <w:rsid w:val="00B75B67"/>
    <w:rsid w:val="00B7673C"/>
    <w:rsid w:val="00B77208"/>
    <w:rsid w:val="00B779E1"/>
    <w:rsid w:val="00B803A4"/>
    <w:rsid w:val="00B827C9"/>
    <w:rsid w:val="00B859A3"/>
    <w:rsid w:val="00B86974"/>
    <w:rsid w:val="00B8756A"/>
    <w:rsid w:val="00B91EE1"/>
    <w:rsid w:val="00B92295"/>
    <w:rsid w:val="00B923FF"/>
    <w:rsid w:val="00B93C7A"/>
    <w:rsid w:val="00B948CC"/>
    <w:rsid w:val="00B97E0B"/>
    <w:rsid w:val="00BA0090"/>
    <w:rsid w:val="00BA0DC3"/>
    <w:rsid w:val="00BA1000"/>
    <w:rsid w:val="00BA1A67"/>
    <w:rsid w:val="00BA3C8C"/>
    <w:rsid w:val="00BA4E3D"/>
    <w:rsid w:val="00BB3828"/>
    <w:rsid w:val="00BB46D8"/>
    <w:rsid w:val="00BB49DE"/>
    <w:rsid w:val="00BC07FE"/>
    <w:rsid w:val="00BC0D99"/>
    <w:rsid w:val="00BC3F81"/>
    <w:rsid w:val="00BC6C37"/>
    <w:rsid w:val="00BC6C7F"/>
    <w:rsid w:val="00BD0163"/>
    <w:rsid w:val="00BD159E"/>
    <w:rsid w:val="00BD1C12"/>
    <w:rsid w:val="00BD3F50"/>
    <w:rsid w:val="00BD4ED2"/>
    <w:rsid w:val="00BD5595"/>
    <w:rsid w:val="00BD5E9C"/>
    <w:rsid w:val="00BE17E3"/>
    <w:rsid w:val="00BE2F60"/>
    <w:rsid w:val="00BE5B5F"/>
    <w:rsid w:val="00BF0289"/>
    <w:rsid w:val="00BF6B66"/>
    <w:rsid w:val="00C0518E"/>
    <w:rsid w:val="00C109E4"/>
    <w:rsid w:val="00C12214"/>
    <w:rsid w:val="00C141B6"/>
    <w:rsid w:val="00C21D20"/>
    <w:rsid w:val="00C236A7"/>
    <w:rsid w:val="00C25B86"/>
    <w:rsid w:val="00C26F55"/>
    <w:rsid w:val="00C27EDB"/>
    <w:rsid w:val="00C30C63"/>
    <w:rsid w:val="00C32B37"/>
    <w:rsid w:val="00C32BE1"/>
    <w:rsid w:val="00C36B8B"/>
    <w:rsid w:val="00C36F2F"/>
    <w:rsid w:val="00C41DCB"/>
    <w:rsid w:val="00C47DBF"/>
    <w:rsid w:val="00C50403"/>
    <w:rsid w:val="00C51BD3"/>
    <w:rsid w:val="00C51C94"/>
    <w:rsid w:val="00C53666"/>
    <w:rsid w:val="00C5374F"/>
    <w:rsid w:val="00C54A2C"/>
    <w:rsid w:val="00C552FF"/>
    <w:rsid w:val="00C55806"/>
    <w:rsid w:val="00C558DA"/>
    <w:rsid w:val="00C55AF3"/>
    <w:rsid w:val="00C60713"/>
    <w:rsid w:val="00C65C0F"/>
    <w:rsid w:val="00C70B49"/>
    <w:rsid w:val="00C75C7C"/>
    <w:rsid w:val="00C77C26"/>
    <w:rsid w:val="00C8087A"/>
    <w:rsid w:val="00C81951"/>
    <w:rsid w:val="00C81BFD"/>
    <w:rsid w:val="00C82F47"/>
    <w:rsid w:val="00C83A8F"/>
    <w:rsid w:val="00C84759"/>
    <w:rsid w:val="00C850D7"/>
    <w:rsid w:val="00C86F28"/>
    <w:rsid w:val="00C90C88"/>
    <w:rsid w:val="00C938A7"/>
    <w:rsid w:val="00C939F7"/>
    <w:rsid w:val="00C9473B"/>
    <w:rsid w:val="00C965AF"/>
    <w:rsid w:val="00C97578"/>
    <w:rsid w:val="00CA0565"/>
    <w:rsid w:val="00CA655A"/>
    <w:rsid w:val="00CA6C7F"/>
    <w:rsid w:val="00CA71D8"/>
    <w:rsid w:val="00CA74EC"/>
    <w:rsid w:val="00CA78AF"/>
    <w:rsid w:val="00CA7CF0"/>
    <w:rsid w:val="00CB0505"/>
    <w:rsid w:val="00CB07C1"/>
    <w:rsid w:val="00CB4BDD"/>
    <w:rsid w:val="00CB6F8C"/>
    <w:rsid w:val="00CB7573"/>
    <w:rsid w:val="00CC0260"/>
    <w:rsid w:val="00CC10A6"/>
    <w:rsid w:val="00CC2F17"/>
    <w:rsid w:val="00CC436C"/>
    <w:rsid w:val="00CC63D6"/>
    <w:rsid w:val="00CC73C4"/>
    <w:rsid w:val="00CD48CD"/>
    <w:rsid w:val="00CD5EB8"/>
    <w:rsid w:val="00CD6AC7"/>
    <w:rsid w:val="00CD7044"/>
    <w:rsid w:val="00CE02A8"/>
    <w:rsid w:val="00CE08B9"/>
    <w:rsid w:val="00CE2158"/>
    <w:rsid w:val="00CE524C"/>
    <w:rsid w:val="00CE5FE6"/>
    <w:rsid w:val="00CF141F"/>
    <w:rsid w:val="00CF4777"/>
    <w:rsid w:val="00CF5AF8"/>
    <w:rsid w:val="00D00AF6"/>
    <w:rsid w:val="00D0247A"/>
    <w:rsid w:val="00D0675C"/>
    <w:rsid w:val="00D067BB"/>
    <w:rsid w:val="00D069A2"/>
    <w:rsid w:val="00D070CC"/>
    <w:rsid w:val="00D1352A"/>
    <w:rsid w:val="00D13767"/>
    <w:rsid w:val="00D13914"/>
    <w:rsid w:val="00D13EDE"/>
    <w:rsid w:val="00D160D4"/>
    <w:rsid w:val="00D169AF"/>
    <w:rsid w:val="00D24784"/>
    <w:rsid w:val="00D25249"/>
    <w:rsid w:val="00D255A7"/>
    <w:rsid w:val="00D25CDF"/>
    <w:rsid w:val="00D2789F"/>
    <w:rsid w:val="00D301C2"/>
    <w:rsid w:val="00D31344"/>
    <w:rsid w:val="00D343E8"/>
    <w:rsid w:val="00D352E0"/>
    <w:rsid w:val="00D402F5"/>
    <w:rsid w:val="00D41176"/>
    <w:rsid w:val="00D44172"/>
    <w:rsid w:val="00D44D99"/>
    <w:rsid w:val="00D461A1"/>
    <w:rsid w:val="00D47A19"/>
    <w:rsid w:val="00D50245"/>
    <w:rsid w:val="00D50DD3"/>
    <w:rsid w:val="00D526D8"/>
    <w:rsid w:val="00D55042"/>
    <w:rsid w:val="00D55F26"/>
    <w:rsid w:val="00D56204"/>
    <w:rsid w:val="00D62886"/>
    <w:rsid w:val="00D630C9"/>
    <w:rsid w:val="00D63B8C"/>
    <w:rsid w:val="00D63C01"/>
    <w:rsid w:val="00D64F4A"/>
    <w:rsid w:val="00D65D8F"/>
    <w:rsid w:val="00D704DE"/>
    <w:rsid w:val="00D712FD"/>
    <w:rsid w:val="00D72CB6"/>
    <w:rsid w:val="00D7348E"/>
    <w:rsid w:val="00D739CC"/>
    <w:rsid w:val="00D75879"/>
    <w:rsid w:val="00D8093D"/>
    <w:rsid w:val="00D8100E"/>
    <w:rsid w:val="00D8108C"/>
    <w:rsid w:val="00D82693"/>
    <w:rsid w:val="00D82E3E"/>
    <w:rsid w:val="00D842AE"/>
    <w:rsid w:val="00D858EC"/>
    <w:rsid w:val="00D9211C"/>
    <w:rsid w:val="00D92DE0"/>
    <w:rsid w:val="00D92FEF"/>
    <w:rsid w:val="00D93559"/>
    <w:rsid w:val="00D939A0"/>
    <w:rsid w:val="00D93A0F"/>
    <w:rsid w:val="00D94BC6"/>
    <w:rsid w:val="00DA1BCA"/>
    <w:rsid w:val="00DA3FFA"/>
    <w:rsid w:val="00DA7299"/>
    <w:rsid w:val="00DB36B7"/>
    <w:rsid w:val="00DB3E23"/>
    <w:rsid w:val="00DB455F"/>
    <w:rsid w:val="00DC18EB"/>
    <w:rsid w:val="00DC39DB"/>
    <w:rsid w:val="00DC46FF"/>
    <w:rsid w:val="00DC5254"/>
    <w:rsid w:val="00DC5EAC"/>
    <w:rsid w:val="00DD074A"/>
    <w:rsid w:val="00DD149D"/>
    <w:rsid w:val="00DD1A4F"/>
    <w:rsid w:val="00DD2B28"/>
    <w:rsid w:val="00DD2B51"/>
    <w:rsid w:val="00DD3107"/>
    <w:rsid w:val="00DD571F"/>
    <w:rsid w:val="00DD58CB"/>
    <w:rsid w:val="00DD5EFF"/>
    <w:rsid w:val="00DD7C2C"/>
    <w:rsid w:val="00DD7E0F"/>
    <w:rsid w:val="00DE172D"/>
    <w:rsid w:val="00DE6E55"/>
    <w:rsid w:val="00DE7116"/>
    <w:rsid w:val="00DE7646"/>
    <w:rsid w:val="00DF0E0F"/>
    <w:rsid w:val="00DF1F31"/>
    <w:rsid w:val="00DF44B3"/>
    <w:rsid w:val="00DF5660"/>
    <w:rsid w:val="00E01815"/>
    <w:rsid w:val="00E019DF"/>
    <w:rsid w:val="00E0574F"/>
    <w:rsid w:val="00E06797"/>
    <w:rsid w:val="00E06CBF"/>
    <w:rsid w:val="00E072C8"/>
    <w:rsid w:val="00E10A32"/>
    <w:rsid w:val="00E10CB7"/>
    <w:rsid w:val="00E122BC"/>
    <w:rsid w:val="00E1265B"/>
    <w:rsid w:val="00E13B48"/>
    <w:rsid w:val="00E1404F"/>
    <w:rsid w:val="00E1725E"/>
    <w:rsid w:val="00E212EF"/>
    <w:rsid w:val="00E215FA"/>
    <w:rsid w:val="00E21C83"/>
    <w:rsid w:val="00E24ADA"/>
    <w:rsid w:val="00E256F6"/>
    <w:rsid w:val="00E2756B"/>
    <w:rsid w:val="00E32F59"/>
    <w:rsid w:val="00E336C8"/>
    <w:rsid w:val="00E352A0"/>
    <w:rsid w:val="00E37091"/>
    <w:rsid w:val="00E378D3"/>
    <w:rsid w:val="00E37F15"/>
    <w:rsid w:val="00E440CD"/>
    <w:rsid w:val="00E467AF"/>
    <w:rsid w:val="00E46D9A"/>
    <w:rsid w:val="00E46F3D"/>
    <w:rsid w:val="00E4798E"/>
    <w:rsid w:val="00E509D1"/>
    <w:rsid w:val="00E565FF"/>
    <w:rsid w:val="00E600D6"/>
    <w:rsid w:val="00E62132"/>
    <w:rsid w:val="00E62510"/>
    <w:rsid w:val="00E63C75"/>
    <w:rsid w:val="00E64EC3"/>
    <w:rsid w:val="00E65388"/>
    <w:rsid w:val="00E66080"/>
    <w:rsid w:val="00E67833"/>
    <w:rsid w:val="00E67F97"/>
    <w:rsid w:val="00E72441"/>
    <w:rsid w:val="00E72918"/>
    <w:rsid w:val="00E73C98"/>
    <w:rsid w:val="00E74ACB"/>
    <w:rsid w:val="00E74FB9"/>
    <w:rsid w:val="00E75676"/>
    <w:rsid w:val="00E815EA"/>
    <w:rsid w:val="00E836C8"/>
    <w:rsid w:val="00E85B7D"/>
    <w:rsid w:val="00E85DFF"/>
    <w:rsid w:val="00E866CA"/>
    <w:rsid w:val="00E87C86"/>
    <w:rsid w:val="00E9121B"/>
    <w:rsid w:val="00E9194B"/>
    <w:rsid w:val="00E927D3"/>
    <w:rsid w:val="00E93295"/>
    <w:rsid w:val="00E94B48"/>
    <w:rsid w:val="00E96614"/>
    <w:rsid w:val="00EA0990"/>
    <w:rsid w:val="00EA0AE2"/>
    <w:rsid w:val="00EA0E7B"/>
    <w:rsid w:val="00EA292F"/>
    <w:rsid w:val="00EA39E5"/>
    <w:rsid w:val="00EB3106"/>
    <w:rsid w:val="00EB3AFE"/>
    <w:rsid w:val="00EB5B42"/>
    <w:rsid w:val="00EB6CC6"/>
    <w:rsid w:val="00EB7F02"/>
    <w:rsid w:val="00EC3638"/>
    <w:rsid w:val="00EC4370"/>
    <w:rsid w:val="00EC503D"/>
    <w:rsid w:val="00EC5A46"/>
    <w:rsid w:val="00EC63E2"/>
    <w:rsid w:val="00ED0087"/>
    <w:rsid w:val="00ED1F3E"/>
    <w:rsid w:val="00ED5D08"/>
    <w:rsid w:val="00EE0852"/>
    <w:rsid w:val="00EE129E"/>
    <w:rsid w:val="00EE1BA8"/>
    <w:rsid w:val="00EE1E98"/>
    <w:rsid w:val="00EE397B"/>
    <w:rsid w:val="00EE3DEA"/>
    <w:rsid w:val="00EE3FA4"/>
    <w:rsid w:val="00EE4483"/>
    <w:rsid w:val="00EE5261"/>
    <w:rsid w:val="00EF04FD"/>
    <w:rsid w:val="00EF22B3"/>
    <w:rsid w:val="00EF3992"/>
    <w:rsid w:val="00EF42A2"/>
    <w:rsid w:val="00EF469A"/>
    <w:rsid w:val="00EF5C91"/>
    <w:rsid w:val="00EF7DC0"/>
    <w:rsid w:val="00F01F42"/>
    <w:rsid w:val="00F02427"/>
    <w:rsid w:val="00F03B69"/>
    <w:rsid w:val="00F05C5F"/>
    <w:rsid w:val="00F065E0"/>
    <w:rsid w:val="00F07A50"/>
    <w:rsid w:val="00F113DA"/>
    <w:rsid w:val="00F115E1"/>
    <w:rsid w:val="00F121B1"/>
    <w:rsid w:val="00F12346"/>
    <w:rsid w:val="00F149C4"/>
    <w:rsid w:val="00F15D4C"/>
    <w:rsid w:val="00F2057A"/>
    <w:rsid w:val="00F21E4D"/>
    <w:rsid w:val="00F23184"/>
    <w:rsid w:val="00F23870"/>
    <w:rsid w:val="00F23DA9"/>
    <w:rsid w:val="00F25F15"/>
    <w:rsid w:val="00F272A4"/>
    <w:rsid w:val="00F3077D"/>
    <w:rsid w:val="00F319FC"/>
    <w:rsid w:val="00F35924"/>
    <w:rsid w:val="00F37712"/>
    <w:rsid w:val="00F37DC8"/>
    <w:rsid w:val="00F439B3"/>
    <w:rsid w:val="00F43F7C"/>
    <w:rsid w:val="00F44BB4"/>
    <w:rsid w:val="00F45AA8"/>
    <w:rsid w:val="00F502DD"/>
    <w:rsid w:val="00F508CE"/>
    <w:rsid w:val="00F511D5"/>
    <w:rsid w:val="00F52A1B"/>
    <w:rsid w:val="00F544D0"/>
    <w:rsid w:val="00F61AC4"/>
    <w:rsid w:val="00F62AE1"/>
    <w:rsid w:val="00F638FC"/>
    <w:rsid w:val="00F650C3"/>
    <w:rsid w:val="00F65D85"/>
    <w:rsid w:val="00F67D8B"/>
    <w:rsid w:val="00F70544"/>
    <w:rsid w:val="00F71892"/>
    <w:rsid w:val="00F7203C"/>
    <w:rsid w:val="00F74C79"/>
    <w:rsid w:val="00F75453"/>
    <w:rsid w:val="00F8091E"/>
    <w:rsid w:val="00F8496F"/>
    <w:rsid w:val="00F8615C"/>
    <w:rsid w:val="00F876BB"/>
    <w:rsid w:val="00F9140A"/>
    <w:rsid w:val="00F93A9D"/>
    <w:rsid w:val="00F969E5"/>
    <w:rsid w:val="00F97AEE"/>
    <w:rsid w:val="00F97E54"/>
    <w:rsid w:val="00FA1C95"/>
    <w:rsid w:val="00FA1EC4"/>
    <w:rsid w:val="00FA5515"/>
    <w:rsid w:val="00FA6BB0"/>
    <w:rsid w:val="00FA7EE7"/>
    <w:rsid w:val="00FB1DFB"/>
    <w:rsid w:val="00FB303D"/>
    <w:rsid w:val="00FB6B6E"/>
    <w:rsid w:val="00FC12B8"/>
    <w:rsid w:val="00FC1AD8"/>
    <w:rsid w:val="00FC5D0D"/>
    <w:rsid w:val="00FC71D5"/>
    <w:rsid w:val="00FD00AF"/>
    <w:rsid w:val="00FD20D4"/>
    <w:rsid w:val="00FD262D"/>
    <w:rsid w:val="00FD2D28"/>
    <w:rsid w:val="00FD2D77"/>
    <w:rsid w:val="00FD55F1"/>
    <w:rsid w:val="00FD56AD"/>
    <w:rsid w:val="00FD5860"/>
    <w:rsid w:val="00FE09D3"/>
    <w:rsid w:val="00FE352D"/>
    <w:rsid w:val="00FE40EB"/>
    <w:rsid w:val="00FE4C31"/>
    <w:rsid w:val="00FE4D02"/>
    <w:rsid w:val="00FE51C9"/>
    <w:rsid w:val="00FE5E49"/>
    <w:rsid w:val="00FE696B"/>
    <w:rsid w:val="00FE7B2F"/>
    <w:rsid w:val="00FE7D62"/>
    <w:rsid w:val="00FF2F8B"/>
    <w:rsid w:val="00FF3819"/>
    <w:rsid w:val="00FF5E23"/>
    <w:rsid w:val="00FF5F6D"/>
    <w:rsid w:val="00FF6C4D"/>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40E8A"/>
  <w15:chartTrackingRefBased/>
  <w15:docId w15:val="{8AB85B6E-8582-4DEC-B7A4-70DFD46E7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244AFD"/>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qFormat/>
    <w:rsid w:val="000003E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qFormat/>
    <w:rsid w:val="000003EF"/>
    <w:pPr>
      <w:numPr>
        <w:numId w:val="3"/>
      </w:numPr>
      <w:tabs>
        <w:tab w:val="clear" w:pos="851"/>
        <w:tab w:val="clear" w:pos="1247"/>
        <w:tab w:val="clear" w:pos="4990"/>
      </w:tabs>
      <w:outlineLvl w:val="1"/>
    </w:pPr>
  </w:style>
  <w:style w:type="paragraph" w:styleId="Heading3">
    <w:name w:val="heading 3"/>
    <w:basedOn w:val="CH3"/>
    <w:next w:val="Normalnumber"/>
    <w:link w:val="Heading3Char"/>
    <w:qFormat/>
    <w:rsid w:val="000003EF"/>
    <w:pPr>
      <w:numPr>
        <w:numId w:val="4"/>
      </w:numPr>
      <w:tabs>
        <w:tab w:val="clear" w:pos="851"/>
        <w:tab w:val="clear" w:pos="1247"/>
        <w:tab w:val="clear" w:pos="4990"/>
      </w:tabs>
      <w:outlineLvl w:val="2"/>
    </w:pPr>
  </w:style>
  <w:style w:type="paragraph" w:styleId="Heading4">
    <w:name w:val="heading 4"/>
    <w:basedOn w:val="Normal"/>
    <w:next w:val="Normalnumber"/>
    <w:link w:val="Heading4Char"/>
    <w:qFormat/>
    <w:rsid w:val="000003E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qFormat/>
    <w:rsid w:val="000003E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qFormat/>
    <w:rsid w:val="000003E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qFormat/>
    <w:rsid w:val="000003E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qFormat/>
    <w:rsid w:val="000003E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qFormat/>
    <w:rsid w:val="000003E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003EF"/>
    <w:rPr>
      <w:rFonts w:ascii="Times New Roman" w:hAnsi="Times New Roman"/>
      <w:b/>
      <w:sz w:val="18"/>
      <w:lang w:val="en-GB"/>
    </w:rPr>
  </w:style>
  <w:style w:type="table" w:customStyle="1" w:styleId="Tabledocright">
    <w:name w:val="Table_doc_right"/>
    <w:basedOn w:val="TableNormal"/>
    <w:rsid w:val="000003E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0003EF"/>
    <w:pPr>
      <w:ind w:left="1000"/>
    </w:pPr>
    <w:rPr>
      <w:sz w:val="18"/>
      <w:szCs w:val="18"/>
    </w:rPr>
  </w:style>
  <w:style w:type="paragraph" w:styleId="TOC7">
    <w:name w:val="toc 7"/>
    <w:basedOn w:val="Normal"/>
    <w:next w:val="Normal"/>
    <w:autoRedefine/>
    <w:semiHidden/>
    <w:rsid w:val="000003EF"/>
    <w:pPr>
      <w:ind w:left="1200"/>
    </w:pPr>
    <w:rPr>
      <w:sz w:val="18"/>
      <w:szCs w:val="18"/>
    </w:rPr>
  </w:style>
  <w:style w:type="paragraph" w:styleId="TOC8">
    <w:name w:val="toc 8"/>
    <w:basedOn w:val="Normal"/>
    <w:next w:val="Normal"/>
    <w:autoRedefine/>
    <w:semiHidden/>
    <w:rsid w:val="000003EF"/>
    <w:pPr>
      <w:ind w:left="1400"/>
    </w:pPr>
    <w:rPr>
      <w:sz w:val="18"/>
      <w:szCs w:val="18"/>
    </w:rPr>
  </w:style>
  <w:style w:type="paragraph" w:styleId="TOC9">
    <w:name w:val="toc 9"/>
    <w:basedOn w:val="Normal"/>
    <w:next w:val="Normal"/>
    <w:autoRedefine/>
    <w:semiHidden/>
    <w:rsid w:val="000003EF"/>
    <w:pPr>
      <w:ind w:left="1600"/>
    </w:pPr>
    <w:rPr>
      <w:sz w:val="18"/>
      <w:szCs w:val="18"/>
    </w:rPr>
  </w:style>
  <w:style w:type="paragraph" w:customStyle="1" w:styleId="Titlefigure">
    <w:name w:val="Title_figure"/>
    <w:basedOn w:val="Titletable"/>
    <w:next w:val="NormalNonumber"/>
    <w:rsid w:val="000003EF"/>
    <w:pPr>
      <w:tabs>
        <w:tab w:val="clear" w:pos="4990"/>
      </w:tabs>
    </w:pPr>
    <w:rPr>
      <w:bCs w:val="0"/>
    </w:rPr>
  </w:style>
  <w:style w:type="paragraph" w:styleId="TableofFigures">
    <w:name w:val="table of figures"/>
    <w:basedOn w:val="Normal"/>
    <w:next w:val="Normal"/>
    <w:autoRedefine/>
    <w:semiHidden/>
    <w:rsid w:val="000003EF"/>
    <w:pPr>
      <w:ind w:left="1814" w:hanging="567"/>
    </w:pPr>
  </w:style>
  <w:style w:type="paragraph" w:customStyle="1" w:styleId="CH1">
    <w:name w:val="CH1"/>
    <w:basedOn w:val="Normal-pool"/>
    <w:next w:val="CH2"/>
    <w:qFormat/>
    <w:rsid w:val="000003E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0003E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0003E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0003E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0003E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0003EF"/>
    <w:pPr>
      <w:tabs>
        <w:tab w:val="left" w:pos="4321"/>
        <w:tab w:val="right" w:pos="8641"/>
      </w:tabs>
      <w:spacing w:before="60"/>
    </w:pPr>
    <w:rPr>
      <w:b/>
      <w:sz w:val="18"/>
    </w:rPr>
  </w:style>
  <w:style w:type="paragraph" w:customStyle="1" w:styleId="Footer-pool">
    <w:name w:val="Footer-pool"/>
    <w:basedOn w:val="Normal-pool"/>
    <w:next w:val="Normal-pool"/>
    <w:rsid w:val="000003EF"/>
    <w:pPr>
      <w:tabs>
        <w:tab w:val="right" w:pos="8641"/>
      </w:tabs>
      <w:spacing w:after="120"/>
    </w:pPr>
    <w:rPr>
      <w:b/>
      <w:sz w:val="18"/>
    </w:rPr>
  </w:style>
  <w:style w:type="paragraph" w:customStyle="1" w:styleId="Header-pool">
    <w:name w:val="Header-pool"/>
    <w:basedOn w:val="Normal"/>
    <w:next w:val="Normal"/>
    <w:rsid w:val="000003E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Footnote"/>
    <w:link w:val="BVIfnrCharCharCharChar"/>
    <w:unhideWhenUsed/>
    <w:qFormat/>
    <w:rsid w:val="000003EF"/>
    <w:rPr>
      <w:rFonts w:ascii="Times New Roman" w:hAnsi="Times New Roman"/>
      <w:color w:val="auto"/>
      <w:sz w:val="20"/>
      <w:szCs w:val="18"/>
      <w:vertAlign w:val="superscript"/>
      <w:lang w:val="en-GB"/>
    </w:rPr>
  </w:style>
  <w:style w:type="table" w:customStyle="1" w:styleId="AATable">
    <w:name w:val="AA_Table"/>
    <w:basedOn w:val="TableNormal"/>
    <w:semiHidden/>
    <w:rsid w:val="000003E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0003EF"/>
    <w:pPr>
      <w:keepNext/>
      <w:keepLines/>
      <w:suppressAutoHyphens/>
    </w:pPr>
    <w:rPr>
      <w:b/>
    </w:rPr>
  </w:style>
  <w:style w:type="paragraph" w:customStyle="1" w:styleId="AATitle2">
    <w:name w:val="AA_Title2"/>
    <w:basedOn w:val="AATitle"/>
    <w:qFormat/>
    <w:rsid w:val="000003EF"/>
    <w:pPr>
      <w:keepNext w:val="0"/>
      <w:keepLines w:val="0"/>
      <w:tabs>
        <w:tab w:val="clear" w:pos="4990"/>
      </w:tabs>
      <w:spacing w:before="120" w:after="120"/>
    </w:pPr>
  </w:style>
  <w:style w:type="paragraph" w:customStyle="1" w:styleId="BBTitle">
    <w:name w:val="BB_Title"/>
    <w:basedOn w:val="Normal-pool"/>
    <w:link w:val="BBTitleChar"/>
    <w:qFormat/>
    <w:rsid w:val="000003E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0003EF"/>
    <w:pPr>
      <w:keepNext/>
      <w:keepLines/>
      <w:tabs>
        <w:tab w:val="clear" w:pos="624"/>
        <w:tab w:val="right" w:pos="851"/>
      </w:tabs>
      <w:suppressAutoHyphens/>
      <w:spacing w:before="120" w:after="120"/>
      <w:ind w:left="1247" w:right="284" w:hanging="1247"/>
    </w:pPr>
    <w:rPr>
      <w:b/>
    </w:rPr>
  </w:style>
  <w:style w:type="paragraph" w:styleId="Header">
    <w:name w:val="header"/>
    <w:aliases w:val="EthylHeader"/>
    <w:basedOn w:val="Normal"/>
    <w:next w:val="Header-pool"/>
    <w:link w:val="HeaderChar"/>
    <w:rsid w:val="000003EF"/>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0003EF"/>
    <w:rPr>
      <w:color w:val="0000FF"/>
      <w:u w:val="none"/>
      <w:lang w:val="en-GB"/>
    </w:rPr>
  </w:style>
  <w:style w:type="numbering" w:customStyle="1" w:styleId="Normallist">
    <w:name w:val="Normal_list"/>
    <w:basedOn w:val="NoList"/>
    <w:rsid w:val="000003EF"/>
    <w:pPr>
      <w:numPr>
        <w:numId w:val="1"/>
      </w:numPr>
    </w:pPr>
  </w:style>
  <w:style w:type="paragraph" w:customStyle="1" w:styleId="NormalNonumber">
    <w:name w:val="Normal_No_number"/>
    <w:basedOn w:val="Normal-pool"/>
    <w:link w:val="NormalNonumberChar"/>
    <w:qFormat/>
    <w:rsid w:val="000003EF"/>
    <w:pPr>
      <w:spacing w:after="120"/>
      <w:ind w:left="1247"/>
    </w:pPr>
  </w:style>
  <w:style w:type="paragraph" w:customStyle="1" w:styleId="Normalnumber">
    <w:name w:val="Normal_number"/>
    <w:basedOn w:val="Normal"/>
    <w:link w:val="NormalnumberChar"/>
    <w:qFormat/>
    <w:rsid w:val="000003EF"/>
    <w:pPr>
      <w:numPr>
        <w:numId w:val="1"/>
      </w:numPr>
      <w:spacing w:after="120"/>
    </w:pPr>
  </w:style>
  <w:style w:type="paragraph" w:customStyle="1" w:styleId="Titletable">
    <w:name w:val="Title_table"/>
    <w:basedOn w:val="Normal-pool"/>
    <w:next w:val="NormalNonumber"/>
    <w:rsid w:val="000003EF"/>
    <w:pPr>
      <w:keepNext/>
      <w:keepLines/>
      <w:suppressAutoHyphens/>
      <w:spacing w:after="60"/>
      <w:ind w:left="1247"/>
    </w:pPr>
    <w:rPr>
      <w:b/>
      <w:bCs/>
    </w:rPr>
  </w:style>
  <w:style w:type="paragraph" w:styleId="TOC1">
    <w:name w:val="toc 1"/>
    <w:basedOn w:val="Normal"/>
    <w:next w:val="Normal"/>
    <w:autoRedefine/>
    <w:unhideWhenUsed/>
    <w:rsid w:val="000003EF"/>
    <w:pPr>
      <w:tabs>
        <w:tab w:val="right" w:leader="dot" w:pos="9486"/>
      </w:tabs>
      <w:spacing w:before="240"/>
      <w:ind w:left="1984" w:hanging="737"/>
    </w:pPr>
    <w:rPr>
      <w:bCs/>
    </w:rPr>
  </w:style>
  <w:style w:type="paragraph" w:styleId="TOC2">
    <w:name w:val="toc 2"/>
    <w:basedOn w:val="Normal"/>
    <w:next w:val="Normal"/>
    <w:unhideWhenUsed/>
    <w:rsid w:val="000003EF"/>
    <w:pPr>
      <w:tabs>
        <w:tab w:val="right" w:leader="dot" w:pos="9486"/>
      </w:tabs>
      <w:spacing w:before="60"/>
      <w:ind w:left="2608" w:hanging="737"/>
    </w:pPr>
  </w:style>
  <w:style w:type="paragraph" w:styleId="TOC3">
    <w:name w:val="toc 3"/>
    <w:basedOn w:val="Normal"/>
    <w:next w:val="Normal"/>
    <w:unhideWhenUsed/>
    <w:rsid w:val="000003EF"/>
    <w:pPr>
      <w:tabs>
        <w:tab w:val="right" w:leader="dot" w:pos="9486"/>
      </w:tabs>
      <w:ind w:left="3232" w:hanging="737"/>
    </w:pPr>
    <w:rPr>
      <w:iCs/>
    </w:rPr>
  </w:style>
  <w:style w:type="paragraph" w:styleId="TOC4">
    <w:name w:val="toc 4"/>
    <w:basedOn w:val="Normal"/>
    <w:next w:val="Normal"/>
    <w:unhideWhenUsed/>
    <w:rsid w:val="000003EF"/>
    <w:pPr>
      <w:tabs>
        <w:tab w:val="left" w:pos="1000"/>
        <w:tab w:val="right" w:leader="dot" w:pos="9486"/>
      </w:tabs>
      <w:ind w:left="3856" w:hanging="737"/>
    </w:pPr>
    <w:rPr>
      <w:szCs w:val="18"/>
    </w:rPr>
  </w:style>
  <w:style w:type="paragraph" w:styleId="TOC5">
    <w:name w:val="toc 5"/>
    <w:basedOn w:val="Normal"/>
    <w:next w:val="Normal"/>
    <w:rsid w:val="000003EF"/>
    <w:pPr>
      <w:tabs>
        <w:tab w:val="right" w:leader="dot" w:pos="9486"/>
      </w:tabs>
      <w:ind w:left="4479" w:hanging="737"/>
    </w:pPr>
    <w:rPr>
      <w:sz w:val="18"/>
      <w:szCs w:val="18"/>
    </w:rPr>
  </w:style>
  <w:style w:type="paragraph" w:customStyle="1" w:styleId="ZZAnxheader">
    <w:name w:val="ZZ_Anx_header"/>
    <w:basedOn w:val="Normal-pool"/>
    <w:link w:val="ZZAnxheaderChar"/>
    <w:rsid w:val="000003EF"/>
    <w:rPr>
      <w:b/>
      <w:bCs/>
      <w:sz w:val="28"/>
      <w:szCs w:val="22"/>
    </w:rPr>
  </w:style>
  <w:style w:type="paragraph" w:customStyle="1" w:styleId="ZZAnxtitle">
    <w:name w:val="ZZ_Anx_title"/>
    <w:basedOn w:val="Normal-pool"/>
    <w:link w:val="ZZAnxtitleChar"/>
    <w:rsid w:val="000003EF"/>
    <w:pPr>
      <w:spacing w:before="360" w:after="120"/>
      <w:ind w:left="1247"/>
    </w:pPr>
    <w:rPr>
      <w:b/>
      <w:bCs/>
      <w:sz w:val="28"/>
      <w:szCs w:val="26"/>
    </w:rPr>
  </w:style>
  <w:style w:type="paragraph" w:styleId="NormalWeb">
    <w:name w:val="Normal (Web)"/>
    <w:basedOn w:val="Normal"/>
    <w:uiPriority w:val="99"/>
    <w:unhideWhenUsed/>
    <w:rsid w:val="000003E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0003EF"/>
    <w:pPr>
      <w:spacing w:before="40" w:after="40"/>
    </w:pPr>
    <w:rPr>
      <w:sz w:val="18"/>
    </w:rPr>
  </w:style>
  <w:style w:type="paragraph" w:customStyle="1" w:styleId="Footnote-Text">
    <w:name w:val="Footnote-Text"/>
    <w:basedOn w:val="Normal-pool"/>
    <w:rsid w:val="000003EF"/>
    <w:pPr>
      <w:spacing w:before="20" w:after="40"/>
      <w:ind w:left="1247"/>
    </w:pPr>
    <w:rPr>
      <w:sz w:val="18"/>
    </w:rPr>
  </w:style>
  <w:style w:type="paragraph" w:customStyle="1" w:styleId="AConvName">
    <w:name w:val="A_ConvName"/>
    <w:basedOn w:val="Normal-pool"/>
    <w:next w:val="Normal-pool"/>
    <w:rsid w:val="000003EF"/>
    <w:pPr>
      <w:spacing w:before="120" w:after="240"/>
    </w:pPr>
    <w:rPr>
      <w:rFonts w:ascii="Arial" w:hAnsi="Arial"/>
      <w:b/>
      <w:sz w:val="28"/>
    </w:rPr>
  </w:style>
  <w:style w:type="paragraph" w:customStyle="1" w:styleId="ASymbol">
    <w:name w:val="A_Symbol"/>
    <w:basedOn w:val="Normal-pool"/>
    <w:rsid w:val="000003EF"/>
    <w:pPr>
      <w:tabs>
        <w:tab w:val="clear" w:pos="624"/>
        <w:tab w:val="clear" w:pos="1247"/>
        <w:tab w:val="right" w:pos="2920"/>
      </w:tabs>
    </w:pPr>
    <w:rPr>
      <w:rFonts w:eastAsia="SimSun"/>
    </w:rPr>
  </w:style>
  <w:style w:type="paragraph" w:customStyle="1" w:styleId="AText">
    <w:name w:val="A_Text"/>
    <w:basedOn w:val="Normal-pool"/>
    <w:rsid w:val="000003EF"/>
    <w:pPr>
      <w:spacing w:before="120"/>
    </w:pPr>
  </w:style>
  <w:style w:type="paragraph" w:customStyle="1" w:styleId="ATwoLetters">
    <w:name w:val="A_TwoLetters"/>
    <w:basedOn w:val="Normal-pool"/>
    <w:next w:val="Normal-pool"/>
    <w:rsid w:val="000003EF"/>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0003EF"/>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unhideWhenUsed/>
    <w:rsid w:val="000003EF"/>
    <w:rPr>
      <w:rFonts w:ascii="Tahoma" w:hAnsi="Tahoma" w:cs="Tahoma"/>
      <w:sz w:val="16"/>
      <w:szCs w:val="16"/>
    </w:rPr>
  </w:style>
  <w:style w:type="character" w:customStyle="1" w:styleId="BalloonTextChar">
    <w:name w:val="Balloon Text Char"/>
    <w:basedOn w:val="DefaultParagraphFont"/>
    <w:link w:val="BalloonText"/>
    <w:rsid w:val="000003EF"/>
    <w:rPr>
      <w:rFonts w:ascii="Tahoma" w:eastAsia="Times New Roman" w:hAnsi="Tahoma" w:cs="Tahoma"/>
      <w:sz w:val="16"/>
      <w:szCs w:val="16"/>
      <w:lang w:val="en-GB" w:eastAsia="en-US"/>
    </w:rPr>
  </w:style>
  <w:style w:type="character" w:styleId="CommentReference">
    <w:name w:val="annotation reference"/>
    <w:basedOn w:val="DefaultParagraphFont"/>
    <w:uiPriority w:val="99"/>
    <w:unhideWhenUsed/>
    <w:rsid w:val="000003EF"/>
    <w:rPr>
      <w:sz w:val="16"/>
      <w:szCs w:val="16"/>
      <w:lang w:val="en-GB"/>
    </w:rPr>
  </w:style>
  <w:style w:type="paragraph" w:styleId="CommentText">
    <w:name w:val="annotation text"/>
    <w:basedOn w:val="Normal"/>
    <w:link w:val="CommentTextChar"/>
    <w:uiPriority w:val="99"/>
    <w:unhideWhenUsed/>
    <w:rsid w:val="000003EF"/>
  </w:style>
  <w:style w:type="character" w:customStyle="1" w:styleId="CommentTextChar">
    <w:name w:val="Comment Text Char"/>
    <w:basedOn w:val="DefaultParagraphFont"/>
    <w:link w:val="CommentText"/>
    <w:uiPriority w:val="99"/>
    <w:rsid w:val="000003EF"/>
    <w:rPr>
      <w:rFonts w:eastAsia="Times New Roman"/>
      <w:lang w:val="en-GB" w:eastAsia="en-US"/>
    </w:rPr>
  </w:style>
  <w:style w:type="paragraph" w:styleId="CommentSubject">
    <w:name w:val="annotation subject"/>
    <w:basedOn w:val="CommentText"/>
    <w:next w:val="CommentText"/>
    <w:link w:val="CommentSubjectChar"/>
    <w:unhideWhenUsed/>
    <w:rsid w:val="000003EF"/>
    <w:rPr>
      <w:b/>
      <w:bCs/>
    </w:rPr>
  </w:style>
  <w:style w:type="character" w:customStyle="1" w:styleId="CommentSubjectChar">
    <w:name w:val="Comment Subject Char"/>
    <w:basedOn w:val="CommentTextChar"/>
    <w:link w:val="CommentSubject"/>
    <w:rsid w:val="000003EF"/>
    <w:rPr>
      <w:rFonts w:eastAsia="Times New Roman"/>
      <w:b/>
      <w:bCs/>
      <w:lang w:val="en-GB" w:eastAsia="en-US"/>
    </w:rPr>
  </w:style>
  <w:style w:type="character" w:styleId="FollowedHyperlink">
    <w:name w:val="FollowedHyperlink"/>
    <w:rsid w:val="000003EF"/>
    <w:rPr>
      <w:color w:val="0000FF"/>
      <w:u w:val="none"/>
      <w:lang w:val="en-GB"/>
    </w:rPr>
  </w:style>
  <w:style w:type="character" w:customStyle="1" w:styleId="FooterChar">
    <w:name w:val="Footer Char"/>
    <w:basedOn w:val="DefaultParagraphFont"/>
    <w:link w:val="CH4"/>
    <w:rsid w:val="000003EF"/>
    <w:rPr>
      <w:rFonts w:eastAsia="Times New Roman"/>
      <w:b/>
      <w:lang w:val="en-GB" w:eastAsia="en-US"/>
    </w:rPr>
  </w:style>
  <w:style w:type="character" w:customStyle="1" w:styleId="HeaderChar">
    <w:name w:val="Header Char"/>
    <w:aliases w:val="EthylHeader Char"/>
    <w:basedOn w:val="DefaultParagraphFont"/>
    <w:link w:val="Header"/>
    <w:rsid w:val="000003EF"/>
    <w:rPr>
      <w:rFonts w:eastAsia="Times New Roman"/>
      <w:b/>
      <w:sz w:val="18"/>
      <w:lang w:val="en-GB" w:eastAsia="en-US"/>
    </w:rPr>
  </w:style>
  <w:style w:type="character" w:customStyle="1" w:styleId="Heading1Char">
    <w:name w:val="Heading 1 Char"/>
    <w:basedOn w:val="DefaultParagraphFont"/>
    <w:link w:val="Heading1"/>
    <w:rsid w:val="000003EF"/>
    <w:rPr>
      <w:rFonts w:eastAsia="Times New Roman"/>
      <w:b/>
      <w:sz w:val="28"/>
      <w:szCs w:val="28"/>
      <w:lang w:val="en-GB" w:eastAsia="en-US"/>
    </w:rPr>
  </w:style>
  <w:style w:type="character" w:customStyle="1" w:styleId="Heading2Char">
    <w:name w:val="Heading 2 Char"/>
    <w:basedOn w:val="DefaultParagraphFont"/>
    <w:link w:val="Heading2"/>
    <w:rsid w:val="000003EF"/>
    <w:rPr>
      <w:rFonts w:eastAsia="Times New Roman"/>
      <w:b/>
      <w:sz w:val="24"/>
      <w:szCs w:val="24"/>
      <w:lang w:val="en-GB" w:eastAsia="en-US"/>
    </w:rPr>
  </w:style>
  <w:style w:type="character" w:customStyle="1" w:styleId="Heading3Char">
    <w:name w:val="Heading 3 Char"/>
    <w:basedOn w:val="DefaultParagraphFont"/>
    <w:link w:val="Heading3"/>
    <w:rsid w:val="000003EF"/>
    <w:rPr>
      <w:rFonts w:eastAsia="Times New Roman"/>
      <w:b/>
      <w:lang w:val="en-GB" w:eastAsia="en-US"/>
    </w:rPr>
  </w:style>
  <w:style w:type="character" w:customStyle="1" w:styleId="Heading4Char">
    <w:name w:val="Heading 4 Char"/>
    <w:basedOn w:val="DefaultParagraphFont"/>
    <w:link w:val="Heading4"/>
    <w:rsid w:val="000003EF"/>
    <w:rPr>
      <w:rFonts w:eastAsia="Times New Roman"/>
      <w:b/>
      <w:lang w:val="en-GB" w:eastAsia="en-US"/>
    </w:rPr>
  </w:style>
  <w:style w:type="character" w:customStyle="1" w:styleId="Heading5Char">
    <w:name w:val="Heading 5 Char"/>
    <w:basedOn w:val="DefaultParagraphFont"/>
    <w:link w:val="Heading5"/>
    <w:rsid w:val="000003EF"/>
    <w:rPr>
      <w:rFonts w:eastAsia="Times New Roman"/>
      <w:b/>
      <w:lang w:val="en-GB" w:eastAsia="en-US"/>
    </w:rPr>
  </w:style>
  <w:style w:type="character" w:customStyle="1" w:styleId="Heading6Char">
    <w:name w:val="Heading 6 Char"/>
    <w:basedOn w:val="DefaultParagraphFont"/>
    <w:link w:val="Heading6"/>
    <w:rsid w:val="000003EF"/>
    <w:rPr>
      <w:rFonts w:eastAsia="Times New Roman"/>
      <w:bCs/>
      <w:sz w:val="24"/>
      <w:lang w:val="en-GB" w:eastAsia="en-US"/>
    </w:rPr>
  </w:style>
  <w:style w:type="character" w:customStyle="1" w:styleId="Heading7Char">
    <w:name w:val="Heading 7 Char"/>
    <w:basedOn w:val="DefaultParagraphFont"/>
    <w:link w:val="Heading7"/>
    <w:rsid w:val="000003EF"/>
    <w:rPr>
      <w:rFonts w:eastAsia="Times New Roman"/>
      <w:b/>
      <w:snapToGrid w:val="0"/>
      <w:u w:val="single"/>
      <w:lang w:val="en-GB" w:eastAsia="en-US"/>
    </w:rPr>
  </w:style>
  <w:style w:type="character" w:customStyle="1" w:styleId="Heading8Char">
    <w:name w:val="Heading 8 Char"/>
    <w:basedOn w:val="DefaultParagraphFont"/>
    <w:link w:val="Heading8"/>
    <w:rsid w:val="000003EF"/>
    <w:rPr>
      <w:rFonts w:eastAsia="Times New Roman"/>
      <w:b/>
      <w:snapToGrid w:val="0"/>
      <w:u w:val="single"/>
      <w:lang w:val="en-GB" w:eastAsia="en-US"/>
    </w:rPr>
  </w:style>
  <w:style w:type="character" w:customStyle="1" w:styleId="Heading9Char">
    <w:name w:val="Heading 9 Char"/>
    <w:basedOn w:val="DefaultParagraphFont"/>
    <w:link w:val="Heading9"/>
    <w:rsid w:val="000003EF"/>
    <w:rPr>
      <w:rFonts w:eastAsia="Times New Roman"/>
      <w:snapToGrid w:val="0"/>
      <w:u w:val="single"/>
      <w:lang w:val="en-GB" w:eastAsia="en-US"/>
    </w:rPr>
  </w:style>
  <w:style w:type="paragraph" w:styleId="ListParagraph">
    <w:name w:val="List Paragraph"/>
    <w:basedOn w:val="Normal"/>
    <w:uiPriority w:val="34"/>
    <w:qFormat/>
    <w:rsid w:val="000003EF"/>
    <w:pPr>
      <w:ind w:left="720"/>
      <w:contextualSpacing/>
    </w:pPr>
  </w:style>
  <w:style w:type="paragraph" w:styleId="NoSpacing">
    <w:name w:val="No Spacing"/>
    <w:uiPriority w:val="1"/>
    <w:qFormat/>
    <w:rsid w:val="000003E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0003EF"/>
    <w:rPr>
      <w:rFonts w:eastAsia="Times New Roman"/>
      <w:lang w:val="en-GB" w:eastAsia="en-US"/>
    </w:rPr>
  </w:style>
  <w:style w:type="character" w:styleId="PlaceholderText">
    <w:name w:val="Placeholder Text"/>
    <w:basedOn w:val="DefaultParagraphFont"/>
    <w:uiPriority w:val="99"/>
    <w:semiHidden/>
    <w:rsid w:val="000003EF"/>
    <w:rPr>
      <w:color w:val="808080"/>
      <w:lang w:val="en-GB"/>
    </w:rPr>
  </w:style>
  <w:style w:type="table" w:styleId="TableGrid">
    <w:name w:val="Table Grid"/>
    <w:basedOn w:val="TableNormal"/>
    <w:rsid w:val="00000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0003EF"/>
    <w:pPr>
      <w:spacing w:before="120" w:after="240"/>
    </w:pPr>
  </w:style>
  <w:style w:type="character" w:customStyle="1" w:styleId="ALogoChar">
    <w:name w:val="A_Logo Char"/>
    <w:basedOn w:val="DefaultParagraphFont"/>
    <w:link w:val="ALogo"/>
    <w:rsid w:val="000003EF"/>
    <w:rPr>
      <w:rFonts w:eastAsia="Times New Roman"/>
      <w:lang w:val="en-GB" w:eastAsia="en-US"/>
    </w:rPr>
  </w:style>
  <w:style w:type="paragraph" w:customStyle="1" w:styleId="ASpacer">
    <w:name w:val="A_Spacer"/>
    <w:basedOn w:val="Normal-pool"/>
    <w:link w:val="ASpacerChar"/>
    <w:qFormat/>
    <w:rsid w:val="000003EF"/>
    <w:rPr>
      <w:sz w:val="2"/>
    </w:rPr>
  </w:style>
  <w:style w:type="character" w:customStyle="1" w:styleId="ASpacerChar">
    <w:name w:val="A_Spacer Char"/>
    <w:basedOn w:val="DefaultParagraphFont"/>
    <w:link w:val="ASpacer"/>
    <w:rsid w:val="000003EF"/>
    <w:rPr>
      <w:rFonts w:eastAsia="Times New Roman"/>
      <w:sz w:val="2"/>
      <w:lang w:val="en-GB" w:eastAsia="en-US"/>
    </w:rPr>
  </w:style>
  <w:style w:type="paragraph" w:customStyle="1" w:styleId="AATitle1">
    <w:name w:val="AA_Title1"/>
    <w:basedOn w:val="Normal-pool"/>
    <w:qFormat/>
    <w:rsid w:val="000003EF"/>
  </w:style>
  <w:style w:type="character" w:styleId="UnresolvedMention">
    <w:name w:val="Unresolved Mention"/>
    <w:basedOn w:val="DefaultParagraphFont"/>
    <w:uiPriority w:val="99"/>
    <w:semiHidden/>
    <w:rsid w:val="000003EF"/>
    <w:rPr>
      <w:color w:val="605E5C"/>
      <w:shd w:val="clear" w:color="auto" w:fill="E1DFDD"/>
      <w:lang w:val="en-GB"/>
    </w:rPr>
  </w:style>
  <w:style w:type="paragraph" w:customStyle="1" w:styleId="ANormal">
    <w:name w:val="A_Normal"/>
    <w:basedOn w:val="Normal-pool"/>
    <w:qFormat/>
    <w:rsid w:val="000003EF"/>
  </w:style>
  <w:style w:type="paragraph" w:customStyle="1" w:styleId="AText0">
    <w:name w:val="A_Text0"/>
    <w:basedOn w:val="AText"/>
    <w:next w:val="AText"/>
    <w:qFormat/>
    <w:rsid w:val="000003EF"/>
    <w:pPr>
      <w:tabs>
        <w:tab w:val="clear" w:pos="4990"/>
      </w:tabs>
      <w:spacing w:before="0" w:after="120"/>
    </w:pPr>
  </w:style>
  <w:style w:type="paragraph" w:styleId="Footer">
    <w:name w:val="footer"/>
    <w:basedOn w:val="Normal"/>
    <w:link w:val="FooterChar1"/>
    <w:uiPriority w:val="99"/>
    <w:unhideWhenUsed/>
    <w:rsid w:val="000003EF"/>
    <w:pPr>
      <w:tabs>
        <w:tab w:val="clear" w:pos="1247"/>
        <w:tab w:val="right" w:pos="8641"/>
      </w:tabs>
    </w:pPr>
    <w:rPr>
      <w:b/>
      <w:sz w:val="18"/>
    </w:rPr>
  </w:style>
  <w:style w:type="character" w:customStyle="1" w:styleId="FooterChar1">
    <w:name w:val="Footer Char1"/>
    <w:basedOn w:val="DefaultParagraphFont"/>
    <w:link w:val="Footer"/>
    <w:uiPriority w:val="99"/>
    <w:rsid w:val="000003EF"/>
    <w:rPr>
      <w:rFonts w:eastAsia="Times New Roman"/>
      <w:b/>
      <w:sz w:val="18"/>
      <w:lang w:val="en-GB" w:eastAsia="en-US"/>
    </w:rPr>
  </w:style>
  <w:style w:type="paragraph" w:customStyle="1" w:styleId="Normal-pool">
    <w:name w:val="Normal-pool"/>
    <w:link w:val="Normal-poolChar"/>
    <w:qFormat/>
    <w:rsid w:val="000003E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0003EF"/>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rsid w:val="000003EF"/>
    <w:pPr>
      <w:spacing w:before="60"/>
      <w:ind w:left="624"/>
    </w:pPr>
    <w:rPr>
      <w:rFonts w:eastAsiaTheme="minorEastAsia"/>
      <w:sz w:val="18"/>
    </w:rPr>
  </w:style>
  <w:style w:type="paragraph" w:styleId="Bibliography">
    <w:name w:val="Bibliography"/>
    <w:basedOn w:val="Normal"/>
    <w:next w:val="Normal"/>
    <w:uiPriority w:val="37"/>
    <w:semiHidden/>
    <w:rsid w:val="000003EF"/>
  </w:style>
  <w:style w:type="paragraph" w:styleId="BlockText">
    <w:name w:val="Block Text"/>
    <w:basedOn w:val="Normal"/>
    <w:unhideWhenUsed/>
    <w:rsid w:val="000003E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nhideWhenUsed/>
    <w:rsid w:val="000003EF"/>
    <w:pPr>
      <w:spacing w:after="120"/>
    </w:pPr>
  </w:style>
  <w:style w:type="character" w:customStyle="1" w:styleId="BodyTextChar">
    <w:name w:val="Body Text Char"/>
    <w:basedOn w:val="DefaultParagraphFont"/>
    <w:link w:val="BodyText"/>
    <w:rsid w:val="000003EF"/>
    <w:rPr>
      <w:rFonts w:eastAsia="Times New Roman"/>
      <w:lang w:val="en-GB" w:eastAsia="en-US"/>
    </w:rPr>
  </w:style>
  <w:style w:type="paragraph" w:styleId="BodyText2">
    <w:name w:val="Body Text 2"/>
    <w:basedOn w:val="Normal"/>
    <w:link w:val="BodyText2Char"/>
    <w:unhideWhenUsed/>
    <w:rsid w:val="000003EF"/>
    <w:pPr>
      <w:spacing w:after="120" w:line="480" w:lineRule="auto"/>
    </w:pPr>
  </w:style>
  <w:style w:type="character" w:customStyle="1" w:styleId="BodyText2Char">
    <w:name w:val="Body Text 2 Char"/>
    <w:basedOn w:val="DefaultParagraphFont"/>
    <w:link w:val="BodyText2"/>
    <w:rsid w:val="000003EF"/>
    <w:rPr>
      <w:rFonts w:eastAsia="Times New Roman"/>
      <w:lang w:val="en-GB" w:eastAsia="en-US"/>
    </w:rPr>
  </w:style>
  <w:style w:type="paragraph" w:styleId="BodyText3">
    <w:name w:val="Body Text 3"/>
    <w:basedOn w:val="Normal"/>
    <w:link w:val="BodyText3Char"/>
    <w:unhideWhenUsed/>
    <w:rsid w:val="000003EF"/>
    <w:pPr>
      <w:spacing w:after="120"/>
    </w:pPr>
    <w:rPr>
      <w:sz w:val="16"/>
      <w:szCs w:val="16"/>
    </w:rPr>
  </w:style>
  <w:style w:type="character" w:customStyle="1" w:styleId="BodyText3Char">
    <w:name w:val="Body Text 3 Char"/>
    <w:basedOn w:val="DefaultParagraphFont"/>
    <w:link w:val="BodyText3"/>
    <w:rsid w:val="000003EF"/>
    <w:rPr>
      <w:rFonts w:eastAsia="Times New Roman"/>
      <w:sz w:val="16"/>
      <w:szCs w:val="16"/>
      <w:lang w:val="en-GB" w:eastAsia="en-US"/>
    </w:rPr>
  </w:style>
  <w:style w:type="paragraph" w:styleId="BodyTextFirstIndent">
    <w:name w:val="Body Text First Indent"/>
    <w:basedOn w:val="BodyText"/>
    <w:link w:val="BodyTextFirstIndentChar"/>
    <w:unhideWhenUsed/>
    <w:rsid w:val="000003EF"/>
    <w:pPr>
      <w:spacing w:after="0"/>
      <w:ind w:firstLine="360"/>
    </w:pPr>
  </w:style>
  <w:style w:type="character" w:customStyle="1" w:styleId="BodyTextFirstIndentChar">
    <w:name w:val="Body Text First Indent Char"/>
    <w:basedOn w:val="BodyTextChar"/>
    <w:link w:val="BodyTextFirstIndent"/>
    <w:rsid w:val="000003EF"/>
    <w:rPr>
      <w:rFonts w:eastAsia="Times New Roman"/>
      <w:lang w:val="en-GB" w:eastAsia="en-US"/>
    </w:rPr>
  </w:style>
  <w:style w:type="paragraph" w:styleId="BodyTextIndent">
    <w:name w:val="Body Text Indent"/>
    <w:basedOn w:val="Normal"/>
    <w:link w:val="BodyTextIndentChar"/>
    <w:unhideWhenUsed/>
    <w:rsid w:val="000003EF"/>
    <w:pPr>
      <w:spacing w:after="120"/>
      <w:ind w:left="283"/>
    </w:pPr>
  </w:style>
  <w:style w:type="character" w:customStyle="1" w:styleId="BodyTextIndentChar">
    <w:name w:val="Body Text Indent Char"/>
    <w:basedOn w:val="DefaultParagraphFont"/>
    <w:link w:val="BodyTextIndent"/>
    <w:rsid w:val="000003EF"/>
    <w:rPr>
      <w:rFonts w:eastAsia="Times New Roman"/>
      <w:lang w:val="en-GB" w:eastAsia="en-US"/>
    </w:rPr>
  </w:style>
  <w:style w:type="paragraph" w:styleId="BodyTextFirstIndent2">
    <w:name w:val="Body Text First Indent 2"/>
    <w:basedOn w:val="BodyTextIndent"/>
    <w:link w:val="BodyTextFirstIndent2Char"/>
    <w:unhideWhenUsed/>
    <w:rsid w:val="000003EF"/>
    <w:pPr>
      <w:spacing w:after="0"/>
      <w:ind w:left="360" w:firstLine="360"/>
    </w:pPr>
  </w:style>
  <w:style w:type="character" w:customStyle="1" w:styleId="BodyTextFirstIndent2Char">
    <w:name w:val="Body Text First Indent 2 Char"/>
    <w:basedOn w:val="BodyTextIndentChar"/>
    <w:link w:val="BodyTextFirstIndent2"/>
    <w:rsid w:val="000003EF"/>
    <w:rPr>
      <w:rFonts w:eastAsia="Times New Roman"/>
      <w:lang w:val="en-GB" w:eastAsia="en-US"/>
    </w:rPr>
  </w:style>
  <w:style w:type="paragraph" w:styleId="BodyTextIndent2">
    <w:name w:val="Body Text Indent 2"/>
    <w:basedOn w:val="Normal"/>
    <w:link w:val="BodyTextIndent2Char"/>
    <w:unhideWhenUsed/>
    <w:rsid w:val="000003EF"/>
    <w:pPr>
      <w:spacing w:after="120" w:line="480" w:lineRule="auto"/>
      <w:ind w:left="283"/>
    </w:pPr>
  </w:style>
  <w:style w:type="character" w:customStyle="1" w:styleId="BodyTextIndent2Char">
    <w:name w:val="Body Text Indent 2 Char"/>
    <w:basedOn w:val="DefaultParagraphFont"/>
    <w:link w:val="BodyTextIndent2"/>
    <w:rsid w:val="000003EF"/>
    <w:rPr>
      <w:rFonts w:eastAsia="Times New Roman"/>
      <w:lang w:val="en-GB" w:eastAsia="en-US"/>
    </w:rPr>
  </w:style>
  <w:style w:type="paragraph" w:styleId="BodyTextIndent3">
    <w:name w:val="Body Text Indent 3"/>
    <w:basedOn w:val="Normal"/>
    <w:link w:val="BodyTextIndent3Char"/>
    <w:unhideWhenUsed/>
    <w:rsid w:val="000003EF"/>
    <w:pPr>
      <w:spacing w:after="120"/>
      <w:ind w:left="283"/>
    </w:pPr>
    <w:rPr>
      <w:sz w:val="16"/>
      <w:szCs w:val="16"/>
    </w:rPr>
  </w:style>
  <w:style w:type="character" w:customStyle="1" w:styleId="BodyTextIndent3Char">
    <w:name w:val="Body Text Indent 3 Char"/>
    <w:basedOn w:val="DefaultParagraphFont"/>
    <w:link w:val="BodyTextIndent3"/>
    <w:rsid w:val="000003EF"/>
    <w:rPr>
      <w:rFonts w:eastAsia="Times New Roman"/>
      <w:sz w:val="16"/>
      <w:szCs w:val="16"/>
      <w:lang w:val="en-GB" w:eastAsia="en-US"/>
    </w:rPr>
  </w:style>
  <w:style w:type="character" w:styleId="BookTitle">
    <w:name w:val="Book Title"/>
    <w:basedOn w:val="DefaultParagraphFont"/>
    <w:uiPriority w:val="33"/>
    <w:qFormat/>
    <w:rsid w:val="000003EF"/>
    <w:rPr>
      <w:b/>
      <w:bCs/>
      <w:i/>
      <w:iCs/>
      <w:spacing w:val="5"/>
      <w:lang w:val="en-GB"/>
    </w:rPr>
  </w:style>
  <w:style w:type="paragraph" w:styleId="Caption">
    <w:name w:val="caption"/>
    <w:basedOn w:val="Normal"/>
    <w:next w:val="Normal"/>
    <w:semiHidden/>
    <w:unhideWhenUsed/>
    <w:qFormat/>
    <w:rsid w:val="000003EF"/>
    <w:pPr>
      <w:spacing w:after="200"/>
    </w:pPr>
    <w:rPr>
      <w:i/>
      <w:iCs/>
      <w:color w:val="1F497D" w:themeColor="text2"/>
      <w:sz w:val="18"/>
      <w:szCs w:val="18"/>
    </w:rPr>
  </w:style>
  <w:style w:type="paragraph" w:styleId="Closing">
    <w:name w:val="Closing"/>
    <w:basedOn w:val="Normal"/>
    <w:link w:val="ClosingChar"/>
    <w:unhideWhenUsed/>
    <w:rsid w:val="000003EF"/>
    <w:pPr>
      <w:ind w:left="4252"/>
    </w:pPr>
  </w:style>
  <w:style w:type="character" w:customStyle="1" w:styleId="ClosingChar">
    <w:name w:val="Closing Char"/>
    <w:basedOn w:val="DefaultParagraphFont"/>
    <w:link w:val="Closing"/>
    <w:rsid w:val="000003EF"/>
    <w:rPr>
      <w:rFonts w:eastAsia="Times New Roman"/>
      <w:lang w:val="en-GB" w:eastAsia="en-US"/>
    </w:rPr>
  </w:style>
  <w:style w:type="table" w:styleId="ColorfulGrid">
    <w:name w:val="Colorful Grid"/>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0003EF"/>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003EF"/>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0003EF"/>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0003EF"/>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0003EF"/>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0003EF"/>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0003EF"/>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0003EF"/>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003EF"/>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003EF"/>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003EF"/>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0003EF"/>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003EF"/>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003EF"/>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003E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003EF"/>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0003EF"/>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0003EF"/>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0003EF"/>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0003EF"/>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0003EF"/>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nhideWhenUsed/>
    <w:rsid w:val="000003EF"/>
  </w:style>
  <w:style w:type="character" w:customStyle="1" w:styleId="DateChar">
    <w:name w:val="Date Char"/>
    <w:basedOn w:val="DefaultParagraphFont"/>
    <w:link w:val="Date"/>
    <w:rsid w:val="000003EF"/>
    <w:rPr>
      <w:rFonts w:eastAsia="Times New Roman"/>
      <w:lang w:val="en-GB" w:eastAsia="en-US"/>
    </w:rPr>
  </w:style>
  <w:style w:type="paragraph" w:styleId="DocumentMap">
    <w:name w:val="Document Map"/>
    <w:basedOn w:val="Normal"/>
    <w:link w:val="DocumentMapChar"/>
    <w:unhideWhenUsed/>
    <w:rsid w:val="000003EF"/>
    <w:rPr>
      <w:rFonts w:ascii="Segoe UI" w:hAnsi="Segoe UI" w:cs="Segoe UI"/>
      <w:sz w:val="16"/>
      <w:szCs w:val="16"/>
    </w:rPr>
  </w:style>
  <w:style w:type="character" w:customStyle="1" w:styleId="DocumentMapChar">
    <w:name w:val="Document Map Char"/>
    <w:basedOn w:val="DefaultParagraphFont"/>
    <w:link w:val="DocumentMap"/>
    <w:rsid w:val="000003EF"/>
    <w:rPr>
      <w:rFonts w:ascii="Segoe UI" w:eastAsia="Times New Roman" w:hAnsi="Segoe UI" w:cs="Segoe UI"/>
      <w:sz w:val="16"/>
      <w:szCs w:val="16"/>
      <w:lang w:val="en-GB" w:eastAsia="en-US"/>
    </w:rPr>
  </w:style>
  <w:style w:type="paragraph" w:styleId="E-mailSignature">
    <w:name w:val="E-mail Signature"/>
    <w:basedOn w:val="Normal"/>
    <w:link w:val="E-mailSignatureChar"/>
    <w:unhideWhenUsed/>
    <w:rsid w:val="000003EF"/>
  </w:style>
  <w:style w:type="character" w:customStyle="1" w:styleId="E-mailSignatureChar">
    <w:name w:val="E-mail Signature Char"/>
    <w:basedOn w:val="DefaultParagraphFont"/>
    <w:link w:val="E-mailSignature"/>
    <w:rsid w:val="000003EF"/>
    <w:rPr>
      <w:rFonts w:eastAsia="Times New Roman"/>
      <w:lang w:val="en-GB" w:eastAsia="en-US"/>
    </w:rPr>
  </w:style>
  <w:style w:type="character" w:styleId="Emphasis">
    <w:name w:val="Emphasis"/>
    <w:basedOn w:val="DefaultParagraphFont"/>
    <w:uiPriority w:val="20"/>
    <w:qFormat/>
    <w:rsid w:val="000003EF"/>
    <w:rPr>
      <w:i/>
      <w:iCs/>
      <w:lang w:val="en-GB"/>
    </w:rPr>
  </w:style>
  <w:style w:type="character" w:styleId="EndnoteReference">
    <w:name w:val="endnote reference"/>
    <w:basedOn w:val="DefaultParagraphFont"/>
    <w:unhideWhenUsed/>
    <w:rsid w:val="000003EF"/>
    <w:rPr>
      <w:vertAlign w:val="superscript"/>
      <w:lang w:val="en-GB"/>
    </w:rPr>
  </w:style>
  <w:style w:type="paragraph" w:styleId="EndnoteText">
    <w:name w:val="endnote text"/>
    <w:basedOn w:val="Normal"/>
    <w:link w:val="EndnoteTextChar"/>
    <w:unhideWhenUsed/>
    <w:rsid w:val="000003EF"/>
  </w:style>
  <w:style w:type="character" w:customStyle="1" w:styleId="EndnoteTextChar">
    <w:name w:val="Endnote Text Char"/>
    <w:basedOn w:val="DefaultParagraphFont"/>
    <w:link w:val="EndnoteText"/>
    <w:rsid w:val="000003EF"/>
    <w:rPr>
      <w:rFonts w:eastAsia="Times New Roman"/>
      <w:lang w:val="en-GB" w:eastAsia="en-US"/>
    </w:rPr>
  </w:style>
  <w:style w:type="paragraph" w:styleId="EnvelopeAddress">
    <w:name w:val="envelope address"/>
    <w:basedOn w:val="Normal"/>
    <w:unhideWhenUsed/>
    <w:rsid w:val="000003E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nhideWhenUsed/>
    <w:rsid w:val="000003EF"/>
    <w:rPr>
      <w:rFonts w:asciiTheme="majorHAnsi" w:eastAsiaTheme="majorEastAsia" w:hAnsiTheme="majorHAnsi" w:cstheme="majorBidi"/>
    </w:rPr>
  </w:style>
  <w:style w:type="paragraph" w:styleId="FootnoteText">
    <w:name w:val="footnote text"/>
    <w:aliases w:val="Geneva 9,Font: Geneva 9,Boston 10,f,DNV-FT,footnote1,text,Geneva,92,Font:,Boston,10,FOOTNOTES,fn,single,space,93,single space,Footnote Text Rail EIS,ft,Char,footnote3,Footnotes,Footnote ak,fn cafc,Footnotes Char Char,Fußnotentextf"/>
    <w:basedOn w:val="Normal"/>
    <w:link w:val="FootnoteTextChar"/>
    <w:unhideWhenUsed/>
    <w:qFormat/>
    <w:rsid w:val="000003EF"/>
  </w:style>
  <w:style w:type="character" w:customStyle="1" w:styleId="FootnoteTextChar">
    <w:name w:val="Footnote Text Char"/>
    <w:aliases w:val="Geneva 9 Char,Font: Geneva 9 Char,Boston 10 Char,f Char,DNV-FT Char,footnote1 Char,text Char,Geneva Char,92 Char,Font: Char,Boston Char,10 Char,FOOTNOTES Char,fn Char,single Char,space Char,93 Char,single space Char,ft Char,Char Char"/>
    <w:basedOn w:val="DefaultParagraphFont"/>
    <w:link w:val="FootnoteText"/>
    <w:rsid w:val="000003EF"/>
    <w:rPr>
      <w:rFonts w:eastAsia="Times New Roman"/>
      <w:lang w:val="en-GB" w:eastAsia="en-US"/>
    </w:rPr>
  </w:style>
  <w:style w:type="table" w:styleId="GridTable1Light">
    <w:name w:val="Grid Table 1 Light"/>
    <w:basedOn w:val="TableNormal"/>
    <w:uiPriority w:val="46"/>
    <w:rsid w:val="000003E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003EF"/>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003EF"/>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003EF"/>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003EF"/>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003EF"/>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003EF"/>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003E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003EF"/>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0003EF"/>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0003EF"/>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0003EF"/>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0003EF"/>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0003EF"/>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0003E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003E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0003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0003E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0003E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0003E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0003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0003E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003E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0003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0003E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0003E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0003E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0003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0003E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003EF"/>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0003EF"/>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0003EF"/>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0003EF"/>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0003EF"/>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0003EF"/>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0003E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003EF"/>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0003EF"/>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0003EF"/>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0003EF"/>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0003EF"/>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0003EF"/>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0003EF"/>
    <w:rPr>
      <w:color w:val="2B579A"/>
      <w:shd w:val="clear" w:color="auto" w:fill="E1DFDD"/>
      <w:lang w:val="en-GB"/>
    </w:rPr>
  </w:style>
  <w:style w:type="character" w:styleId="HTMLAcronym">
    <w:name w:val="HTML Acronym"/>
    <w:basedOn w:val="DefaultParagraphFont"/>
    <w:unhideWhenUsed/>
    <w:rsid w:val="000003EF"/>
    <w:rPr>
      <w:lang w:val="en-GB"/>
    </w:rPr>
  </w:style>
  <w:style w:type="paragraph" w:styleId="HTMLAddress">
    <w:name w:val="HTML Address"/>
    <w:basedOn w:val="Normal"/>
    <w:link w:val="HTMLAddressChar"/>
    <w:unhideWhenUsed/>
    <w:rsid w:val="000003EF"/>
    <w:rPr>
      <w:i/>
      <w:iCs/>
    </w:rPr>
  </w:style>
  <w:style w:type="character" w:customStyle="1" w:styleId="HTMLAddressChar">
    <w:name w:val="HTML Address Char"/>
    <w:basedOn w:val="DefaultParagraphFont"/>
    <w:link w:val="HTMLAddress"/>
    <w:rsid w:val="000003EF"/>
    <w:rPr>
      <w:rFonts w:eastAsia="Times New Roman"/>
      <w:i/>
      <w:iCs/>
      <w:lang w:val="en-GB" w:eastAsia="en-US"/>
    </w:rPr>
  </w:style>
  <w:style w:type="character" w:styleId="HTMLCite">
    <w:name w:val="HTML Cite"/>
    <w:basedOn w:val="DefaultParagraphFont"/>
    <w:unhideWhenUsed/>
    <w:rsid w:val="000003EF"/>
    <w:rPr>
      <w:i/>
      <w:iCs/>
      <w:lang w:val="en-GB"/>
    </w:rPr>
  </w:style>
  <w:style w:type="character" w:styleId="HTMLCode">
    <w:name w:val="HTML Code"/>
    <w:basedOn w:val="DefaultParagraphFont"/>
    <w:unhideWhenUsed/>
    <w:rsid w:val="000003EF"/>
    <w:rPr>
      <w:rFonts w:ascii="Consolas" w:hAnsi="Consolas" w:cs="Consolas"/>
      <w:sz w:val="20"/>
      <w:szCs w:val="20"/>
      <w:lang w:val="en-GB"/>
    </w:rPr>
  </w:style>
  <w:style w:type="character" w:styleId="HTMLDefinition">
    <w:name w:val="HTML Definition"/>
    <w:basedOn w:val="DefaultParagraphFont"/>
    <w:unhideWhenUsed/>
    <w:rsid w:val="000003EF"/>
    <w:rPr>
      <w:i/>
      <w:iCs/>
      <w:lang w:val="en-GB"/>
    </w:rPr>
  </w:style>
  <w:style w:type="character" w:styleId="HTMLKeyboard">
    <w:name w:val="HTML Keyboard"/>
    <w:basedOn w:val="DefaultParagraphFont"/>
    <w:unhideWhenUsed/>
    <w:rsid w:val="000003EF"/>
    <w:rPr>
      <w:rFonts w:ascii="Consolas" w:hAnsi="Consolas" w:cs="Consolas"/>
      <w:sz w:val="20"/>
      <w:szCs w:val="20"/>
      <w:lang w:val="en-GB"/>
    </w:rPr>
  </w:style>
  <w:style w:type="paragraph" w:styleId="HTMLPreformatted">
    <w:name w:val="HTML Preformatted"/>
    <w:basedOn w:val="Normal"/>
    <w:link w:val="HTMLPreformattedChar"/>
    <w:unhideWhenUsed/>
    <w:rsid w:val="000003EF"/>
    <w:rPr>
      <w:rFonts w:ascii="Consolas" w:hAnsi="Consolas" w:cs="Consolas"/>
    </w:rPr>
  </w:style>
  <w:style w:type="character" w:customStyle="1" w:styleId="HTMLPreformattedChar">
    <w:name w:val="HTML Preformatted Char"/>
    <w:basedOn w:val="DefaultParagraphFont"/>
    <w:link w:val="HTMLPreformatted"/>
    <w:rsid w:val="000003EF"/>
    <w:rPr>
      <w:rFonts w:ascii="Consolas" w:eastAsia="Times New Roman" w:hAnsi="Consolas" w:cs="Consolas"/>
      <w:lang w:val="en-GB" w:eastAsia="en-US"/>
    </w:rPr>
  </w:style>
  <w:style w:type="character" w:styleId="HTMLSample">
    <w:name w:val="HTML Sample"/>
    <w:basedOn w:val="DefaultParagraphFont"/>
    <w:unhideWhenUsed/>
    <w:rsid w:val="000003EF"/>
    <w:rPr>
      <w:rFonts w:ascii="Consolas" w:hAnsi="Consolas" w:cs="Consolas"/>
      <w:sz w:val="24"/>
      <w:szCs w:val="24"/>
      <w:lang w:val="en-GB"/>
    </w:rPr>
  </w:style>
  <w:style w:type="character" w:styleId="HTMLTypewriter">
    <w:name w:val="HTML Typewriter"/>
    <w:basedOn w:val="DefaultParagraphFont"/>
    <w:semiHidden/>
    <w:unhideWhenUsed/>
    <w:rsid w:val="000003EF"/>
    <w:rPr>
      <w:rFonts w:ascii="Consolas" w:hAnsi="Consolas" w:cs="Consolas"/>
      <w:sz w:val="20"/>
      <w:szCs w:val="20"/>
      <w:lang w:val="en-GB"/>
    </w:rPr>
  </w:style>
  <w:style w:type="character" w:styleId="HTMLVariable">
    <w:name w:val="HTML Variable"/>
    <w:basedOn w:val="DefaultParagraphFont"/>
    <w:semiHidden/>
    <w:unhideWhenUsed/>
    <w:rsid w:val="000003EF"/>
    <w:rPr>
      <w:i/>
      <w:iCs/>
      <w:lang w:val="en-GB"/>
    </w:rPr>
  </w:style>
  <w:style w:type="paragraph" w:styleId="Index1">
    <w:name w:val="index 1"/>
    <w:basedOn w:val="Normal"/>
    <w:next w:val="Normal"/>
    <w:autoRedefine/>
    <w:unhideWhenUsed/>
    <w:rsid w:val="000003EF"/>
    <w:pPr>
      <w:tabs>
        <w:tab w:val="clear" w:pos="1247"/>
      </w:tabs>
      <w:ind w:left="200" w:hanging="200"/>
    </w:pPr>
  </w:style>
  <w:style w:type="paragraph" w:styleId="Index2">
    <w:name w:val="index 2"/>
    <w:basedOn w:val="Normal"/>
    <w:next w:val="Normal"/>
    <w:autoRedefine/>
    <w:unhideWhenUsed/>
    <w:rsid w:val="000003EF"/>
    <w:pPr>
      <w:tabs>
        <w:tab w:val="clear" w:pos="1247"/>
      </w:tabs>
      <w:ind w:left="400" w:hanging="200"/>
    </w:pPr>
  </w:style>
  <w:style w:type="paragraph" w:styleId="Index3">
    <w:name w:val="index 3"/>
    <w:basedOn w:val="Normal"/>
    <w:next w:val="Normal"/>
    <w:autoRedefine/>
    <w:unhideWhenUsed/>
    <w:rsid w:val="000003EF"/>
    <w:pPr>
      <w:tabs>
        <w:tab w:val="clear" w:pos="1247"/>
      </w:tabs>
      <w:ind w:left="600" w:hanging="200"/>
    </w:pPr>
  </w:style>
  <w:style w:type="paragraph" w:styleId="Index4">
    <w:name w:val="index 4"/>
    <w:basedOn w:val="Normal"/>
    <w:next w:val="Normal"/>
    <w:autoRedefine/>
    <w:unhideWhenUsed/>
    <w:rsid w:val="000003EF"/>
    <w:pPr>
      <w:tabs>
        <w:tab w:val="clear" w:pos="1247"/>
      </w:tabs>
      <w:ind w:left="800" w:hanging="200"/>
    </w:pPr>
  </w:style>
  <w:style w:type="paragraph" w:styleId="Index5">
    <w:name w:val="index 5"/>
    <w:basedOn w:val="Normal"/>
    <w:next w:val="Normal"/>
    <w:autoRedefine/>
    <w:unhideWhenUsed/>
    <w:rsid w:val="000003EF"/>
    <w:pPr>
      <w:tabs>
        <w:tab w:val="clear" w:pos="1247"/>
      </w:tabs>
      <w:ind w:left="1000" w:hanging="200"/>
    </w:pPr>
  </w:style>
  <w:style w:type="paragraph" w:styleId="Index6">
    <w:name w:val="index 6"/>
    <w:basedOn w:val="Normal"/>
    <w:next w:val="Normal"/>
    <w:autoRedefine/>
    <w:unhideWhenUsed/>
    <w:rsid w:val="000003EF"/>
    <w:pPr>
      <w:tabs>
        <w:tab w:val="clear" w:pos="1247"/>
      </w:tabs>
      <w:ind w:left="1200" w:hanging="200"/>
    </w:pPr>
  </w:style>
  <w:style w:type="paragraph" w:styleId="Index7">
    <w:name w:val="index 7"/>
    <w:basedOn w:val="Normal"/>
    <w:next w:val="Normal"/>
    <w:autoRedefine/>
    <w:unhideWhenUsed/>
    <w:rsid w:val="000003EF"/>
    <w:pPr>
      <w:tabs>
        <w:tab w:val="clear" w:pos="1247"/>
      </w:tabs>
      <w:ind w:left="1400" w:hanging="200"/>
    </w:pPr>
  </w:style>
  <w:style w:type="paragraph" w:styleId="Index8">
    <w:name w:val="index 8"/>
    <w:basedOn w:val="Normal"/>
    <w:next w:val="Normal"/>
    <w:autoRedefine/>
    <w:unhideWhenUsed/>
    <w:rsid w:val="000003EF"/>
    <w:pPr>
      <w:tabs>
        <w:tab w:val="clear" w:pos="1247"/>
      </w:tabs>
      <w:ind w:left="1600" w:hanging="200"/>
    </w:pPr>
  </w:style>
  <w:style w:type="paragraph" w:styleId="Index9">
    <w:name w:val="index 9"/>
    <w:basedOn w:val="Normal"/>
    <w:next w:val="Normal"/>
    <w:autoRedefine/>
    <w:unhideWhenUsed/>
    <w:rsid w:val="000003EF"/>
    <w:pPr>
      <w:tabs>
        <w:tab w:val="clear" w:pos="1247"/>
      </w:tabs>
      <w:ind w:left="1800" w:hanging="200"/>
    </w:pPr>
  </w:style>
  <w:style w:type="paragraph" w:styleId="IndexHeading">
    <w:name w:val="index heading"/>
    <w:basedOn w:val="Normal"/>
    <w:next w:val="Index1"/>
    <w:unhideWhenUsed/>
    <w:rsid w:val="000003EF"/>
    <w:rPr>
      <w:rFonts w:asciiTheme="majorHAnsi" w:eastAsiaTheme="majorEastAsia" w:hAnsiTheme="majorHAnsi" w:cstheme="majorBidi"/>
      <w:b/>
      <w:bCs/>
    </w:rPr>
  </w:style>
  <w:style w:type="character" w:styleId="IntenseEmphasis">
    <w:name w:val="Intense Emphasis"/>
    <w:basedOn w:val="DefaultParagraphFont"/>
    <w:uiPriority w:val="21"/>
    <w:qFormat/>
    <w:rsid w:val="000003EF"/>
    <w:rPr>
      <w:i/>
      <w:iCs/>
      <w:color w:val="4F81BD" w:themeColor="accent1"/>
      <w:lang w:val="en-GB"/>
    </w:rPr>
  </w:style>
  <w:style w:type="paragraph" w:styleId="IntenseQuote">
    <w:name w:val="Intense Quote"/>
    <w:basedOn w:val="Normal"/>
    <w:next w:val="Normal"/>
    <w:link w:val="IntenseQuoteChar"/>
    <w:uiPriority w:val="30"/>
    <w:qFormat/>
    <w:rsid w:val="000003E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003EF"/>
    <w:rPr>
      <w:rFonts w:eastAsia="Times New Roman"/>
      <w:i/>
      <w:iCs/>
      <w:color w:val="4F81BD" w:themeColor="accent1"/>
      <w:lang w:val="en-GB" w:eastAsia="en-US"/>
    </w:rPr>
  </w:style>
  <w:style w:type="character" w:styleId="IntenseReference">
    <w:name w:val="Intense Reference"/>
    <w:basedOn w:val="DefaultParagraphFont"/>
    <w:uiPriority w:val="32"/>
    <w:qFormat/>
    <w:rsid w:val="000003EF"/>
    <w:rPr>
      <w:b/>
      <w:bCs/>
      <w:smallCaps/>
      <w:color w:val="4F81BD" w:themeColor="accent1"/>
      <w:spacing w:val="5"/>
      <w:lang w:val="en-GB"/>
    </w:rPr>
  </w:style>
  <w:style w:type="table" w:styleId="LightGrid">
    <w:name w:val="Light Grid"/>
    <w:basedOn w:val="TableNormal"/>
    <w:uiPriority w:val="62"/>
    <w:semiHidden/>
    <w:unhideWhenUsed/>
    <w:rsid w:val="000003E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003E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0003E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0003E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0003E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0003EF"/>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0003EF"/>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0003E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003E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0003E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0003E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0003E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0003EF"/>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0003EF"/>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0003E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003E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0003E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0003E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0003E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0003E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0003E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nhideWhenUsed/>
    <w:rsid w:val="000003EF"/>
    <w:rPr>
      <w:lang w:val="en-GB"/>
    </w:rPr>
  </w:style>
  <w:style w:type="paragraph" w:styleId="List">
    <w:name w:val="List"/>
    <w:basedOn w:val="Normal"/>
    <w:unhideWhenUsed/>
    <w:rsid w:val="000003EF"/>
    <w:pPr>
      <w:ind w:left="283" w:hanging="283"/>
      <w:contextualSpacing/>
    </w:pPr>
  </w:style>
  <w:style w:type="paragraph" w:styleId="List2">
    <w:name w:val="List 2"/>
    <w:basedOn w:val="Normal"/>
    <w:unhideWhenUsed/>
    <w:rsid w:val="000003EF"/>
    <w:pPr>
      <w:ind w:left="566" w:hanging="283"/>
      <w:contextualSpacing/>
    </w:pPr>
  </w:style>
  <w:style w:type="paragraph" w:styleId="List3">
    <w:name w:val="List 3"/>
    <w:basedOn w:val="Normal"/>
    <w:unhideWhenUsed/>
    <w:rsid w:val="000003EF"/>
    <w:pPr>
      <w:ind w:left="849" w:hanging="283"/>
      <w:contextualSpacing/>
    </w:pPr>
  </w:style>
  <w:style w:type="paragraph" w:styleId="List4">
    <w:name w:val="List 4"/>
    <w:basedOn w:val="Normal"/>
    <w:unhideWhenUsed/>
    <w:rsid w:val="000003EF"/>
    <w:pPr>
      <w:ind w:left="1132" w:hanging="283"/>
      <w:contextualSpacing/>
    </w:pPr>
  </w:style>
  <w:style w:type="paragraph" w:styleId="List5">
    <w:name w:val="List 5"/>
    <w:basedOn w:val="Normal"/>
    <w:unhideWhenUsed/>
    <w:rsid w:val="000003EF"/>
    <w:pPr>
      <w:ind w:left="1415" w:hanging="283"/>
      <w:contextualSpacing/>
    </w:pPr>
  </w:style>
  <w:style w:type="paragraph" w:styleId="ListBullet">
    <w:name w:val="List Bullet"/>
    <w:basedOn w:val="Normal"/>
    <w:rsid w:val="000003EF"/>
    <w:pPr>
      <w:numPr>
        <w:numId w:val="6"/>
      </w:numPr>
      <w:contextualSpacing/>
    </w:pPr>
  </w:style>
  <w:style w:type="paragraph" w:styleId="ListBullet2">
    <w:name w:val="List Bullet 2"/>
    <w:basedOn w:val="Normal"/>
    <w:unhideWhenUsed/>
    <w:rsid w:val="000003EF"/>
    <w:pPr>
      <w:numPr>
        <w:numId w:val="7"/>
      </w:numPr>
      <w:contextualSpacing/>
    </w:pPr>
  </w:style>
  <w:style w:type="paragraph" w:styleId="ListBullet3">
    <w:name w:val="List Bullet 3"/>
    <w:basedOn w:val="Normal"/>
    <w:unhideWhenUsed/>
    <w:rsid w:val="000003EF"/>
    <w:pPr>
      <w:numPr>
        <w:numId w:val="8"/>
      </w:numPr>
      <w:contextualSpacing/>
    </w:pPr>
  </w:style>
  <w:style w:type="paragraph" w:styleId="ListBullet4">
    <w:name w:val="List Bullet 4"/>
    <w:basedOn w:val="Normal"/>
    <w:unhideWhenUsed/>
    <w:rsid w:val="000003EF"/>
    <w:pPr>
      <w:numPr>
        <w:numId w:val="9"/>
      </w:numPr>
      <w:contextualSpacing/>
    </w:pPr>
  </w:style>
  <w:style w:type="paragraph" w:styleId="ListBullet5">
    <w:name w:val="List Bullet 5"/>
    <w:basedOn w:val="Normal"/>
    <w:unhideWhenUsed/>
    <w:rsid w:val="000003EF"/>
    <w:pPr>
      <w:numPr>
        <w:numId w:val="10"/>
      </w:numPr>
      <w:contextualSpacing/>
    </w:pPr>
  </w:style>
  <w:style w:type="paragraph" w:styleId="ListContinue">
    <w:name w:val="List Continue"/>
    <w:basedOn w:val="Normal"/>
    <w:unhideWhenUsed/>
    <w:rsid w:val="000003EF"/>
    <w:pPr>
      <w:spacing w:after="120"/>
      <w:ind w:left="283"/>
      <w:contextualSpacing/>
    </w:pPr>
  </w:style>
  <w:style w:type="paragraph" w:styleId="ListContinue2">
    <w:name w:val="List Continue 2"/>
    <w:basedOn w:val="Normal"/>
    <w:unhideWhenUsed/>
    <w:rsid w:val="000003EF"/>
    <w:pPr>
      <w:spacing w:after="120"/>
      <w:ind w:left="566"/>
      <w:contextualSpacing/>
    </w:pPr>
  </w:style>
  <w:style w:type="paragraph" w:styleId="ListContinue3">
    <w:name w:val="List Continue 3"/>
    <w:basedOn w:val="Normal"/>
    <w:rsid w:val="000003EF"/>
    <w:pPr>
      <w:spacing w:after="120"/>
      <w:ind w:left="849"/>
      <w:contextualSpacing/>
    </w:pPr>
  </w:style>
  <w:style w:type="paragraph" w:styleId="ListContinue4">
    <w:name w:val="List Continue 4"/>
    <w:basedOn w:val="Normal"/>
    <w:rsid w:val="000003EF"/>
    <w:pPr>
      <w:spacing w:after="120"/>
      <w:ind w:left="1132"/>
      <w:contextualSpacing/>
    </w:pPr>
  </w:style>
  <w:style w:type="paragraph" w:styleId="ListContinue5">
    <w:name w:val="List Continue 5"/>
    <w:basedOn w:val="Normal"/>
    <w:rsid w:val="000003EF"/>
    <w:pPr>
      <w:spacing w:after="120"/>
      <w:ind w:left="1415"/>
      <w:contextualSpacing/>
    </w:pPr>
  </w:style>
  <w:style w:type="paragraph" w:styleId="ListNumber">
    <w:name w:val="List Number"/>
    <w:basedOn w:val="Normal"/>
    <w:rsid w:val="000003EF"/>
    <w:pPr>
      <w:numPr>
        <w:numId w:val="11"/>
      </w:numPr>
      <w:contextualSpacing/>
    </w:pPr>
  </w:style>
  <w:style w:type="paragraph" w:styleId="ListNumber2">
    <w:name w:val="List Number 2"/>
    <w:basedOn w:val="Normal"/>
    <w:unhideWhenUsed/>
    <w:rsid w:val="000003EF"/>
    <w:pPr>
      <w:numPr>
        <w:numId w:val="12"/>
      </w:numPr>
      <w:contextualSpacing/>
    </w:pPr>
  </w:style>
  <w:style w:type="paragraph" w:styleId="ListNumber3">
    <w:name w:val="List Number 3"/>
    <w:basedOn w:val="Normal"/>
    <w:unhideWhenUsed/>
    <w:rsid w:val="000003EF"/>
    <w:pPr>
      <w:numPr>
        <w:numId w:val="13"/>
      </w:numPr>
      <w:contextualSpacing/>
    </w:pPr>
  </w:style>
  <w:style w:type="paragraph" w:styleId="ListNumber4">
    <w:name w:val="List Number 4"/>
    <w:basedOn w:val="Normal"/>
    <w:unhideWhenUsed/>
    <w:rsid w:val="000003EF"/>
    <w:pPr>
      <w:numPr>
        <w:numId w:val="14"/>
      </w:numPr>
      <w:contextualSpacing/>
    </w:pPr>
  </w:style>
  <w:style w:type="paragraph" w:styleId="ListNumber5">
    <w:name w:val="List Number 5"/>
    <w:basedOn w:val="Normal"/>
    <w:unhideWhenUsed/>
    <w:rsid w:val="000003EF"/>
    <w:pPr>
      <w:numPr>
        <w:numId w:val="15"/>
      </w:numPr>
      <w:contextualSpacing/>
    </w:pPr>
  </w:style>
  <w:style w:type="table" w:styleId="ListTable1Light">
    <w:name w:val="List Table 1 Light"/>
    <w:basedOn w:val="TableNormal"/>
    <w:uiPriority w:val="46"/>
    <w:rsid w:val="000003E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003EF"/>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0003EF"/>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0003EF"/>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0003EF"/>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0003EF"/>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0003EF"/>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0003E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003EF"/>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0003EF"/>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0003EF"/>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0003EF"/>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0003EF"/>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0003EF"/>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0003E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003E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0003EF"/>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0003EF"/>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0003EF"/>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0003EF"/>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0003EF"/>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0003E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003E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0003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0003E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0003E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0003E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0003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0003E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003EF"/>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003EF"/>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003EF"/>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003EF"/>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003EF"/>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003EF"/>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003E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003EF"/>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0003EF"/>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0003EF"/>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0003EF"/>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0003EF"/>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0003EF"/>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0003E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003EF"/>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003EF"/>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003EF"/>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003EF"/>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003EF"/>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003EF"/>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003EF"/>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cs="Consolas"/>
      <w:lang w:val="en-GB" w:eastAsia="en-US"/>
    </w:rPr>
  </w:style>
  <w:style w:type="character" w:customStyle="1" w:styleId="MacroTextChar">
    <w:name w:val="Macro Text Char"/>
    <w:basedOn w:val="DefaultParagraphFont"/>
    <w:link w:val="MacroText"/>
    <w:rsid w:val="000003EF"/>
    <w:rPr>
      <w:rFonts w:ascii="Consolas" w:eastAsia="Times New Roman" w:hAnsi="Consolas" w:cs="Consolas"/>
      <w:lang w:val="en-GB" w:eastAsia="en-US"/>
    </w:rPr>
  </w:style>
  <w:style w:type="table" w:styleId="MediumGrid1">
    <w:name w:val="Medium Grid 1"/>
    <w:basedOn w:val="TableNormal"/>
    <w:uiPriority w:val="67"/>
    <w:semiHidden/>
    <w:unhideWhenUsed/>
    <w:rsid w:val="000003E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003E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0003EF"/>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0003E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0003EF"/>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0003EF"/>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0003EF"/>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0003EF"/>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003EF"/>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0003EF"/>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0003EF"/>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0003EF"/>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0003EF"/>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0003EF"/>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003E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003E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003EF"/>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003E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003EF"/>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003EF"/>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003EF"/>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rsid w:val="000003EF"/>
    <w:rPr>
      <w:color w:val="2B579A"/>
      <w:shd w:val="clear" w:color="auto" w:fill="E1DFDD"/>
      <w:lang w:val="en-GB"/>
    </w:rPr>
  </w:style>
  <w:style w:type="paragraph" w:styleId="MessageHeader">
    <w:name w:val="Message Header"/>
    <w:basedOn w:val="Normal"/>
    <w:link w:val="MessageHeaderChar"/>
    <w:rsid w:val="000003E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003EF"/>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unhideWhenUsed/>
    <w:rsid w:val="000003EF"/>
    <w:pPr>
      <w:ind w:left="720"/>
    </w:pPr>
  </w:style>
  <w:style w:type="paragraph" w:styleId="NoteHeading">
    <w:name w:val="Note Heading"/>
    <w:basedOn w:val="Normal"/>
    <w:next w:val="Normal"/>
    <w:link w:val="NoteHeadingChar"/>
    <w:unhideWhenUsed/>
    <w:rsid w:val="000003EF"/>
  </w:style>
  <w:style w:type="character" w:customStyle="1" w:styleId="NoteHeadingChar">
    <w:name w:val="Note Heading Char"/>
    <w:basedOn w:val="DefaultParagraphFont"/>
    <w:link w:val="NoteHeading"/>
    <w:rsid w:val="000003EF"/>
    <w:rPr>
      <w:rFonts w:eastAsia="Times New Roman"/>
      <w:lang w:val="en-GB" w:eastAsia="en-US"/>
    </w:rPr>
  </w:style>
  <w:style w:type="table" w:styleId="PlainTable1">
    <w:name w:val="Plain Table 1"/>
    <w:basedOn w:val="TableNormal"/>
    <w:uiPriority w:val="41"/>
    <w:rsid w:val="000003E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003E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003EF"/>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003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003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nhideWhenUsed/>
    <w:rsid w:val="000003EF"/>
    <w:rPr>
      <w:rFonts w:ascii="Consolas" w:hAnsi="Consolas" w:cs="Consolas"/>
      <w:sz w:val="21"/>
      <w:szCs w:val="21"/>
    </w:rPr>
  </w:style>
  <w:style w:type="character" w:customStyle="1" w:styleId="PlainTextChar">
    <w:name w:val="Plain Text Char"/>
    <w:basedOn w:val="DefaultParagraphFont"/>
    <w:link w:val="PlainText"/>
    <w:rsid w:val="000003EF"/>
    <w:rPr>
      <w:rFonts w:ascii="Consolas" w:eastAsia="Times New Roman" w:hAnsi="Consolas" w:cs="Consolas"/>
      <w:sz w:val="21"/>
      <w:szCs w:val="21"/>
      <w:lang w:val="en-GB" w:eastAsia="en-US"/>
    </w:rPr>
  </w:style>
  <w:style w:type="paragraph" w:styleId="Quote">
    <w:name w:val="Quote"/>
    <w:basedOn w:val="Normal"/>
    <w:next w:val="Normal"/>
    <w:link w:val="QuoteChar"/>
    <w:uiPriority w:val="29"/>
    <w:qFormat/>
    <w:rsid w:val="000003E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03EF"/>
    <w:rPr>
      <w:rFonts w:eastAsia="Times New Roman"/>
      <w:i/>
      <w:iCs/>
      <w:color w:val="404040" w:themeColor="text1" w:themeTint="BF"/>
      <w:lang w:val="en-GB" w:eastAsia="en-US"/>
    </w:rPr>
  </w:style>
  <w:style w:type="paragraph" w:styleId="Salutation">
    <w:name w:val="Salutation"/>
    <w:basedOn w:val="Normal"/>
    <w:next w:val="Normal"/>
    <w:link w:val="SalutationChar"/>
    <w:unhideWhenUsed/>
    <w:rsid w:val="000003EF"/>
  </w:style>
  <w:style w:type="character" w:customStyle="1" w:styleId="SalutationChar">
    <w:name w:val="Salutation Char"/>
    <w:basedOn w:val="DefaultParagraphFont"/>
    <w:link w:val="Salutation"/>
    <w:rsid w:val="000003EF"/>
    <w:rPr>
      <w:rFonts w:eastAsia="Times New Roman"/>
      <w:lang w:val="en-GB" w:eastAsia="en-US"/>
    </w:rPr>
  </w:style>
  <w:style w:type="paragraph" w:styleId="Signature">
    <w:name w:val="Signature"/>
    <w:basedOn w:val="Normal"/>
    <w:link w:val="SignatureChar"/>
    <w:unhideWhenUsed/>
    <w:rsid w:val="000003EF"/>
    <w:pPr>
      <w:ind w:left="4252"/>
    </w:pPr>
  </w:style>
  <w:style w:type="character" w:customStyle="1" w:styleId="SignatureChar">
    <w:name w:val="Signature Char"/>
    <w:basedOn w:val="DefaultParagraphFont"/>
    <w:link w:val="Signature"/>
    <w:rsid w:val="000003EF"/>
    <w:rPr>
      <w:rFonts w:eastAsia="Times New Roman"/>
      <w:lang w:val="en-GB" w:eastAsia="en-US"/>
    </w:rPr>
  </w:style>
  <w:style w:type="character" w:styleId="SmartHyperlink">
    <w:name w:val="Smart Hyperlink"/>
    <w:basedOn w:val="DefaultParagraphFont"/>
    <w:uiPriority w:val="99"/>
    <w:semiHidden/>
    <w:rsid w:val="000003EF"/>
    <w:rPr>
      <w:u w:val="dotted"/>
      <w:lang w:val="en-GB"/>
    </w:rPr>
  </w:style>
  <w:style w:type="character" w:styleId="SmartLink">
    <w:name w:val="Smart Link"/>
    <w:basedOn w:val="DefaultParagraphFont"/>
    <w:uiPriority w:val="99"/>
    <w:semiHidden/>
    <w:unhideWhenUsed/>
    <w:rsid w:val="000003EF"/>
    <w:rPr>
      <w:color w:val="0000FF"/>
      <w:u w:val="single"/>
      <w:shd w:val="clear" w:color="auto" w:fill="F3F2F1"/>
      <w:lang w:val="en-GB"/>
    </w:rPr>
  </w:style>
  <w:style w:type="character" w:styleId="Strong">
    <w:name w:val="Strong"/>
    <w:basedOn w:val="DefaultParagraphFont"/>
    <w:qFormat/>
    <w:rsid w:val="000003EF"/>
    <w:rPr>
      <w:b/>
      <w:bCs/>
      <w:lang w:val="en-GB"/>
    </w:rPr>
  </w:style>
  <w:style w:type="paragraph" w:styleId="Subtitle">
    <w:name w:val="Subtitle"/>
    <w:basedOn w:val="Normal"/>
    <w:next w:val="Normal"/>
    <w:link w:val="SubtitleChar"/>
    <w:qFormat/>
    <w:rsid w:val="000003E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003EF"/>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0003EF"/>
    <w:rPr>
      <w:i/>
      <w:iCs/>
      <w:color w:val="404040" w:themeColor="text1" w:themeTint="BF"/>
      <w:lang w:val="en-GB"/>
    </w:rPr>
  </w:style>
  <w:style w:type="character" w:styleId="SubtleReference">
    <w:name w:val="Subtle Reference"/>
    <w:basedOn w:val="DefaultParagraphFont"/>
    <w:uiPriority w:val="31"/>
    <w:qFormat/>
    <w:rsid w:val="000003EF"/>
    <w:rPr>
      <w:smallCaps/>
      <w:color w:val="5A5A5A" w:themeColor="text1" w:themeTint="A5"/>
      <w:lang w:val="en-GB"/>
    </w:rPr>
  </w:style>
  <w:style w:type="table" w:styleId="Table3Deffects1">
    <w:name w:val="Table 3D effects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003E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nhideWhenUsed/>
    <w:rsid w:val="000003EF"/>
    <w:pPr>
      <w:tabs>
        <w:tab w:val="clear" w:pos="1247"/>
      </w:tabs>
      <w:ind w:left="200" w:hanging="200"/>
    </w:pPr>
  </w:style>
  <w:style w:type="table" w:styleId="TableProfessional">
    <w:name w:val="Table Professional"/>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003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003EF"/>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unhideWhenUsed/>
    <w:rsid w:val="000003EF"/>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003EF"/>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paragraph" w:customStyle="1" w:styleId="Headerpool">
    <w:name w:val="Header_pool"/>
    <w:basedOn w:val="Normal"/>
    <w:next w:val="Normal"/>
    <w:semiHidden/>
    <w:rsid w:val="0041077E"/>
    <w:pPr>
      <w:pBdr>
        <w:bottom w:val="single" w:sz="4" w:space="1" w:color="auto"/>
      </w:pBdr>
      <w:tabs>
        <w:tab w:val="center" w:pos="4536"/>
        <w:tab w:val="right" w:pos="9072"/>
      </w:tabs>
      <w:spacing w:after="120"/>
    </w:pPr>
    <w:rPr>
      <w:b/>
      <w:sz w:val="18"/>
      <w:lang w:val="en-US"/>
    </w:rPr>
  </w:style>
  <w:style w:type="numbering" w:customStyle="1" w:styleId="NoList1">
    <w:name w:val="No List1"/>
    <w:next w:val="NoList"/>
    <w:uiPriority w:val="99"/>
    <w:semiHidden/>
    <w:unhideWhenUsed/>
    <w:rsid w:val="0041077E"/>
  </w:style>
  <w:style w:type="table" w:customStyle="1" w:styleId="AATable1">
    <w:name w:val="AA_Table1"/>
    <w:basedOn w:val="TableNormal"/>
    <w:semiHidden/>
    <w:rsid w:val="0041077E"/>
    <w:rPr>
      <w:rFonts w:eastAsia="Times New Roman"/>
      <w:lang w:eastAsia="en-US"/>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
    <w:name w:val="Normal_list1"/>
    <w:basedOn w:val="NoList"/>
    <w:rsid w:val="0041077E"/>
    <w:pPr>
      <w:numPr>
        <w:numId w:val="16"/>
      </w:numPr>
    </w:pPr>
  </w:style>
  <w:style w:type="paragraph" w:styleId="Revision">
    <w:name w:val="Revision"/>
    <w:hidden/>
    <w:uiPriority w:val="99"/>
    <w:semiHidden/>
    <w:rsid w:val="0041077E"/>
    <w:rPr>
      <w:rFonts w:eastAsia="Times New Roman"/>
      <w:lang w:eastAsia="en-US"/>
    </w:rPr>
  </w:style>
  <w:style w:type="character" w:customStyle="1" w:styleId="FollowedHyperlink1">
    <w:name w:val="FollowedHyperlink1"/>
    <w:semiHidden/>
    <w:unhideWhenUsed/>
    <w:rsid w:val="0041077E"/>
    <w:rPr>
      <w:color w:val="800080"/>
      <w:u w:val="single"/>
      <w:lang w:val="en-US"/>
    </w:rPr>
  </w:style>
  <w:style w:type="paragraph" w:customStyle="1" w:styleId="NormalWeb1">
    <w:name w:val="Normal (Web)1"/>
    <w:basedOn w:val="Normal"/>
    <w:next w:val="NormalWeb"/>
    <w:uiPriority w:val="99"/>
    <w:semiHidden/>
    <w:unhideWhenUsed/>
    <w:rsid w:val="0041077E"/>
    <w:pPr>
      <w:spacing w:before="100" w:beforeAutospacing="1" w:after="100" w:afterAutospacing="1"/>
    </w:pPr>
    <w:rPr>
      <w:rFonts w:eastAsia="MS Mincho"/>
      <w:sz w:val="24"/>
      <w:szCs w:val="24"/>
    </w:rPr>
  </w:style>
  <w:style w:type="character" w:customStyle="1" w:styleId="UnresolvedMention1">
    <w:name w:val="Unresolved Mention1"/>
    <w:basedOn w:val="DefaultParagraphFont"/>
    <w:uiPriority w:val="99"/>
    <w:semiHidden/>
    <w:unhideWhenUsed/>
    <w:rsid w:val="0041077E"/>
    <w:rPr>
      <w:color w:val="605E5C"/>
      <w:shd w:val="clear" w:color="auto" w:fill="E1DFDD"/>
      <w:lang w:val="en-GB"/>
    </w:rPr>
  </w:style>
  <w:style w:type="character" w:customStyle="1" w:styleId="UnresolvedMention2">
    <w:name w:val="Unresolved Mention2"/>
    <w:basedOn w:val="DefaultParagraphFont"/>
    <w:uiPriority w:val="99"/>
    <w:semiHidden/>
    <w:unhideWhenUsed/>
    <w:rsid w:val="0041077E"/>
    <w:rPr>
      <w:color w:val="605E5C"/>
      <w:shd w:val="clear" w:color="auto" w:fill="E1DFDD"/>
      <w:lang w:val="en-GB"/>
    </w:rPr>
  </w:style>
  <w:style w:type="character" w:customStyle="1" w:styleId="UnresolvedMention3">
    <w:name w:val="Unresolved Mention3"/>
    <w:basedOn w:val="DefaultParagraphFont"/>
    <w:uiPriority w:val="99"/>
    <w:semiHidden/>
    <w:unhideWhenUsed/>
    <w:rsid w:val="0041077E"/>
    <w:rPr>
      <w:color w:val="605E5C"/>
      <w:shd w:val="clear" w:color="auto" w:fill="E1DFDD"/>
      <w:lang w:val="en-GB"/>
    </w:rPr>
  </w:style>
  <w:style w:type="character" w:customStyle="1" w:styleId="CH2Char">
    <w:name w:val="CH2 Char"/>
    <w:link w:val="CH2"/>
    <w:locked/>
    <w:rsid w:val="0041077E"/>
    <w:rPr>
      <w:rFonts w:eastAsia="Times New Roman"/>
      <w:b/>
      <w:sz w:val="24"/>
      <w:szCs w:val="24"/>
      <w:lang w:val="en-GB" w:eastAsia="en-US"/>
    </w:rPr>
  </w:style>
  <w:style w:type="character" w:customStyle="1" w:styleId="Normal-poolChar">
    <w:name w:val="Normal-pool Char"/>
    <w:link w:val="Normal-pool"/>
    <w:locked/>
    <w:rsid w:val="0041077E"/>
    <w:rPr>
      <w:rFonts w:eastAsia="Times New Roman"/>
      <w:lang w:val="en-GB" w:eastAsia="en-US"/>
    </w:rPr>
  </w:style>
  <w:style w:type="numbering" w:customStyle="1" w:styleId="Normallist4">
    <w:name w:val="Normal_list4"/>
    <w:rsid w:val="0041077E"/>
    <w:pPr>
      <w:numPr>
        <w:numId w:val="17"/>
      </w:numPr>
    </w:pPr>
  </w:style>
  <w:style w:type="paragraph" w:customStyle="1" w:styleId="DarkList-Accent31">
    <w:name w:val="Dark List - Accent 31"/>
    <w:hidden/>
    <w:uiPriority w:val="99"/>
    <w:semiHidden/>
    <w:rsid w:val="0041077E"/>
    <w:rPr>
      <w:rFonts w:eastAsia="Times New Roman"/>
      <w:sz w:val="22"/>
      <w:lang w:val="en-GB" w:eastAsia="en-US"/>
    </w:rPr>
  </w:style>
  <w:style w:type="character" w:customStyle="1" w:styleId="BBTitleChar">
    <w:name w:val="BB_Title Char"/>
    <w:link w:val="BBTitle"/>
    <w:rsid w:val="0041077E"/>
    <w:rPr>
      <w:rFonts w:eastAsia="Times New Roman"/>
      <w:b/>
      <w:sz w:val="28"/>
      <w:szCs w:val="28"/>
      <w:lang w:val="en-GB" w:eastAsia="en-US"/>
    </w:rPr>
  </w:style>
  <w:style w:type="character" w:customStyle="1" w:styleId="HeaderChar1">
    <w:name w:val="Header Char1"/>
    <w:basedOn w:val="DefaultParagraphFont"/>
    <w:uiPriority w:val="99"/>
    <w:semiHidden/>
    <w:rsid w:val="0041077E"/>
    <w:rPr>
      <w:lang w:val="en-GB" w:eastAsia="en-US"/>
    </w:rPr>
  </w:style>
  <w:style w:type="paragraph" w:customStyle="1" w:styleId="Default">
    <w:name w:val="Default"/>
    <w:rsid w:val="0041077E"/>
    <w:pPr>
      <w:autoSpaceDE w:val="0"/>
      <w:autoSpaceDN w:val="0"/>
      <w:adjustRightInd w:val="0"/>
    </w:pPr>
    <w:rPr>
      <w:rFonts w:ascii="Courier New" w:eastAsia="Times New Roman" w:hAnsi="Courier New" w:cs="Courier New"/>
      <w:color w:val="000000"/>
      <w:sz w:val="24"/>
      <w:szCs w:val="24"/>
      <w:lang w:val="en-US" w:eastAsia="en-GB"/>
    </w:rPr>
  </w:style>
  <w:style w:type="character" w:customStyle="1" w:styleId="UnresolvedMention4">
    <w:name w:val="Unresolved Mention4"/>
    <w:basedOn w:val="DefaultParagraphFont"/>
    <w:uiPriority w:val="99"/>
    <w:unhideWhenUsed/>
    <w:rsid w:val="0041077E"/>
    <w:rPr>
      <w:color w:val="605E5C"/>
      <w:shd w:val="clear" w:color="auto" w:fill="E1DFDD"/>
      <w:lang w:val="en-GB"/>
    </w:rPr>
  </w:style>
  <w:style w:type="character" w:customStyle="1" w:styleId="ZZAnxtitleChar">
    <w:name w:val="ZZ_Anx_title Char"/>
    <w:link w:val="ZZAnxtitle"/>
    <w:rsid w:val="0041077E"/>
    <w:rPr>
      <w:rFonts w:eastAsia="Times New Roman"/>
      <w:b/>
      <w:bCs/>
      <w:sz w:val="28"/>
      <w:szCs w:val="26"/>
      <w:lang w:val="en-GB" w:eastAsia="en-US"/>
    </w:rPr>
  </w:style>
  <w:style w:type="character" w:customStyle="1" w:styleId="date-display-range">
    <w:name w:val="date-display-range"/>
    <w:basedOn w:val="DefaultParagraphFont"/>
    <w:rsid w:val="0041077E"/>
    <w:rPr>
      <w:lang w:val="en-GB"/>
    </w:rPr>
  </w:style>
  <w:style w:type="character" w:customStyle="1" w:styleId="cf01">
    <w:name w:val="cf01"/>
    <w:basedOn w:val="DefaultParagraphFont"/>
    <w:rsid w:val="0041077E"/>
    <w:rPr>
      <w:rFonts w:ascii="Segoe UI" w:hAnsi="Segoe UI" w:cs="Segoe UI" w:hint="default"/>
      <w:sz w:val="18"/>
      <w:szCs w:val="18"/>
      <w:lang w:val="en-GB"/>
    </w:rPr>
  </w:style>
  <w:style w:type="character" w:customStyle="1" w:styleId="job-number">
    <w:name w:val="job-number"/>
    <w:basedOn w:val="DefaultParagraphFont"/>
    <w:rsid w:val="0041077E"/>
    <w:rPr>
      <w:lang w:val="en-GB"/>
    </w:rPr>
  </w:style>
  <w:style w:type="paragraph" w:customStyle="1" w:styleId="normalnumber0">
    <w:name w:val="normalnumber"/>
    <w:basedOn w:val="Normal"/>
    <w:rsid w:val="0041077E"/>
    <w:pPr>
      <w:tabs>
        <w:tab w:val="clear" w:pos="1247"/>
        <w:tab w:val="clear" w:pos="1814"/>
        <w:tab w:val="clear" w:pos="2381"/>
        <w:tab w:val="clear" w:pos="2948"/>
        <w:tab w:val="clear" w:pos="3515"/>
      </w:tabs>
      <w:spacing w:after="120"/>
      <w:ind w:left="1248"/>
    </w:pPr>
    <w:rPr>
      <w:rFonts w:eastAsiaTheme="minorHAnsi"/>
      <w:sz w:val="22"/>
      <w:szCs w:val="22"/>
      <w:lang w:eastAsia="en-GB"/>
    </w:rPr>
  </w:style>
  <w:style w:type="paragraph" w:customStyle="1" w:styleId="pf0">
    <w:name w:val="pf0"/>
    <w:basedOn w:val="Normal"/>
    <w:rsid w:val="0041077E"/>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cf11">
    <w:name w:val="cf11"/>
    <w:basedOn w:val="DefaultParagraphFont"/>
    <w:rsid w:val="0041077E"/>
    <w:rPr>
      <w:rFonts w:ascii="Segoe UI" w:hAnsi="Segoe UI" w:cs="Segoe UI" w:hint="default"/>
      <w:sz w:val="18"/>
      <w:szCs w:val="18"/>
      <w:lang w:val="en-GB"/>
    </w:rPr>
  </w:style>
  <w:style w:type="numbering" w:customStyle="1" w:styleId="Normallist2">
    <w:name w:val="Normal_list2"/>
    <w:basedOn w:val="NoList"/>
    <w:rsid w:val="0041077E"/>
  </w:style>
  <w:style w:type="numbering" w:customStyle="1" w:styleId="Normallist3">
    <w:name w:val="Normal_list3"/>
    <w:basedOn w:val="NoList"/>
    <w:rsid w:val="0041077E"/>
  </w:style>
  <w:style w:type="character" w:customStyle="1" w:styleId="NormalNonumberChar">
    <w:name w:val="Normal_No_number Char"/>
    <w:link w:val="NormalNonumber"/>
    <w:locked/>
    <w:rsid w:val="0041077E"/>
    <w:rPr>
      <w:rFonts w:eastAsia="Times New Roman"/>
      <w:lang w:val="en-GB" w:eastAsia="en-US"/>
    </w:rPr>
  </w:style>
  <w:style w:type="numbering" w:customStyle="1" w:styleId="Normallist5">
    <w:name w:val="Normal_list5"/>
    <w:basedOn w:val="NoList"/>
    <w:rsid w:val="0041077E"/>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41077E"/>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ZZAnxheaderChar">
    <w:name w:val="ZZ_Anx_header Char"/>
    <w:link w:val="ZZAnxheader"/>
    <w:rsid w:val="0041077E"/>
    <w:rPr>
      <w:rFonts w:eastAsia="Times New Roman"/>
      <w:b/>
      <w:bCs/>
      <w:sz w:val="28"/>
      <w:szCs w:val="22"/>
      <w:lang w:val="en-GB" w:eastAsia="en-US"/>
    </w:rPr>
  </w:style>
  <w:style w:type="numbering" w:customStyle="1" w:styleId="Normallist6">
    <w:name w:val="Normal_list6"/>
    <w:basedOn w:val="NoList"/>
    <w:rsid w:val="0041077E"/>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qFormat/>
    <w:rsid w:val="0041077E"/>
    <w:pPr>
      <w:tabs>
        <w:tab w:val="clear" w:pos="1247"/>
        <w:tab w:val="clear" w:pos="1814"/>
        <w:tab w:val="clear" w:pos="2381"/>
        <w:tab w:val="clear" w:pos="2948"/>
        <w:tab w:val="clear" w:pos="3515"/>
      </w:tabs>
      <w:spacing w:after="160" w:line="240" w:lineRule="exact"/>
      <w:jc w:val="both"/>
    </w:pPr>
    <w:rPr>
      <w:rFonts w:eastAsia="SimSun"/>
      <w:szCs w:val="18"/>
      <w:vertAlign w:val="superscript"/>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ozone.unep.org/node/1953" TargetMode="External"/><Relationship Id="rId13" Type="http://schemas.openxmlformats.org/officeDocument/2006/relationships/hyperlink" Target="https://ozone.unep.org/decision-xxxvii5-ka-intiatives?q=countries/additional-reported-information/national-and-regional-initiatives-support-implementation-kigali-amendment-decision-xxxvii5" TargetMode="External"/><Relationship Id="rId3" Type="http://schemas.openxmlformats.org/officeDocument/2006/relationships/hyperlink" Target="file:///C:\Users\NCHERUTI\Downloads\mea-ozoneinfo@un.org" TargetMode="External"/><Relationship Id="rId7" Type="http://schemas.openxmlformats.org/officeDocument/2006/relationships/hyperlink" Target="https://ozone.unep.org/node/1953" TargetMode="External"/><Relationship Id="rId12" Type="http://schemas.openxmlformats.org/officeDocument/2006/relationships/hyperlink" Target="https://ozone.unep.org/science/assessment/teap" TargetMode="External"/><Relationship Id="rId2" Type="http://schemas.openxmlformats.org/officeDocument/2006/relationships/hyperlink" Target="https://ozone.unep.org/system/files/documents/TEAP-DecisionXXXVII6-replenishment-TF-report-May2026-RTF-report.pdf" TargetMode="External"/><Relationship Id="rId1" Type="http://schemas.openxmlformats.org/officeDocument/2006/relationships/hyperlink" Target="https://ozone.unep.org/system/files/documents/TEAP-DecisionXXXVII6-replenishment-TF-report-May2026-RTF-report.pdf" TargetMode="External"/><Relationship Id="rId6" Type="http://schemas.openxmlformats.org/officeDocument/2006/relationships/hyperlink" Target="https://ozone.unep.org/science/assessment/teap/teap-expertise-required" TargetMode="External"/><Relationship Id="rId11" Type="http://schemas.openxmlformats.org/officeDocument/2006/relationships/hyperlink" Target="https://ozone.unep.org/science/assessment/teap" TargetMode="External"/><Relationship Id="rId5" Type="http://schemas.openxmlformats.org/officeDocument/2006/relationships/hyperlink" Target="https://ozone.unep.org/science/assessment/teap/teap-expertise-required" TargetMode="External"/><Relationship Id="rId10" Type="http://schemas.openxmlformats.org/officeDocument/2006/relationships/hyperlink" Target="https://ozone.unep.org/teap-primer" TargetMode="External"/><Relationship Id="rId4" Type="http://schemas.openxmlformats.org/officeDocument/2006/relationships/hyperlink" Target="mailto:mea-ozoneinfo@un.org" TargetMode="External"/><Relationship Id="rId9" Type="http://schemas.openxmlformats.org/officeDocument/2006/relationships/hyperlink" Target="https://ozone.unep.org/teap-primer" TargetMode="External"/><Relationship Id="rId14" Type="http://schemas.openxmlformats.org/officeDocument/2006/relationships/hyperlink" Target="https://ozone.unep.org/decision-xxxvii5-ka-intiatives?q=countries/additional-reported-information/national-and-regional-initiatives-support-implementation-kigali-amendment-decision-xxxvii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izeofdoc xmlns="44b29a07-ae0c-4297-aad9-2f7ae2e24b8e" xsi:nil="true"/>
    <lcf76f155ced4ddcb4097134ff3c332f xmlns="44b29a07-ae0c-4297-aad9-2f7ae2e24b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FC241D-C2FF-4AB3-BA44-2C8599DAD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44b29a07-ae0c-4297-aad9-2f7ae2e24b8e"/>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2</TotalTime>
  <Pages>22</Pages>
  <Words>10306</Words>
  <Characters>58746</Characters>
  <Application>Microsoft Office Word</Application>
  <DocSecurity>0</DocSecurity>
  <PresentationFormat/>
  <Lines>489</Lines>
  <Paragraphs>137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68915</CharactersWithSpaces>
  <SharedDoc>false</SharedDoc>
  <HyperlinkBase/>
  <HLinks>
    <vt:vector size="90" baseType="variant">
      <vt:variant>
        <vt:i4>2293848</vt:i4>
      </vt:variant>
      <vt:variant>
        <vt:i4>24</vt:i4>
      </vt:variant>
      <vt:variant>
        <vt:i4>0</vt:i4>
      </vt:variant>
      <vt:variant>
        <vt:i4>5</vt:i4>
      </vt:variant>
      <vt:variant>
        <vt:lpwstr>mailto:mea-ozoneinfo@un.org</vt:lpwstr>
      </vt:variant>
      <vt:variant>
        <vt:lpwstr/>
      </vt:variant>
      <vt:variant>
        <vt:i4>7602285</vt:i4>
      </vt:variant>
      <vt:variant>
        <vt:i4>21</vt:i4>
      </vt:variant>
      <vt:variant>
        <vt:i4>0</vt:i4>
      </vt:variant>
      <vt:variant>
        <vt:i4>5</vt:i4>
      </vt:variant>
      <vt:variant>
        <vt:lpwstr>https://ozone.unep.org/science/assessment/teap</vt:lpwstr>
      </vt:variant>
      <vt:variant>
        <vt:lpwstr/>
      </vt:variant>
      <vt:variant>
        <vt:i4>6815791</vt:i4>
      </vt:variant>
      <vt:variant>
        <vt:i4>18</vt:i4>
      </vt:variant>
      <vt:variant>
        <vt:i4>0</vt:i4>
      </vt:variant>
      <vt:variant>
        <vt:i4>5</vt:i4>
      </vt:variant>
      <vt:variant>
        <vt:lpwstr>https://ozone.unep.org/teap-primer</vt:lpwstr>
      </vt:variant>
      <vt:variant>
        <vt:lpwstr/>
      </vt:variant>
      <vt:variant>
        <vt:i4>1179720</vt:i4>
      </vt:variant>
      <vt:variant>
        <vt:i4>15</vt:i4>
      </vt:variant>
      <vt:variant>
        <vt:i4>0</vt:i4>
      </vt:variant>
      <vt:variant>
        <vt:i4>5</vt:i4>
      </vt:variant>
      <vt:variant>
        <vt:lpwstr>https://ozone.unep.org/node/1953</vt:lpwstr>
      </vt:variant>
      <vt:variant>
        <vt:lpwstr/>
      </vt:variant>
      <vt:variant>
        <vt:i4>8192051</vt:i4>
      </vt:variant>
      <vt:variant>
        <vt:i4>12</vt:i4>
      </vt:variant>
      <vt:variant>
        <vt:i4>0</vt:i4>
      </vt:variant>
      <vt:variant>
        <vt:i4>5</vt:i4>
      </vt:variant>
      <vt:variant>
        <vt:lpwstr>https://ozone.unep.org/science/assessment/teap/teap-expertise-required</vt:lpwstr>
      </vt:variant>
      <vt:variant>
        <vt:lpwstr/>
      </vt:variant>
      <vt:variant>
        <vt:i4>458773</vt:i4>
      </vt:variant>
      <vt:variant>
        <vt:i4>9</vt:i4>
      </vt:variant>
      <vt:variant>
        <vt:i4>0</vt:i4>
      </vt:variant>
      <vt:variant>
        <vt:i4>5</vt:i4>
      </vt:variant>
      <vt:variant>
        <vt:lpwstr>https://ozone.unep.org/decision-xxxvii5-ka-intiatives?q=countries/additional-reported-information/national-and-regional-initiatives-support-implementation-kigali-amendment-decision-xxxvii5</vt:lpwstr>
      </vt:variant>
      <vt:variant>
        <vt:lpwstr/>
      </vt:variant>
      <vt:variant>
        <vt:i4>2883634</vt:i4>
      </vt:variant>
      <vt:variant>
        <vt:i4>6</vt:i4>
      </vt:variant>
      <vt:variant>
        <vt:i4>0</vt:i4>
      </vt:variant>
      <vt:variant>
        <vt:i4>5</vt:i4>
      </vt:variant>
      <vt:variant>
        <vt:lpwstr>https://ozone.unep.org/system/files/documents/Practical-guide-on-TBM-of-MP-controlled-substances%26equipment_11July2026_draft-for-review.pdf</vt:lpwstr>
      </vt:variant>
      <vt:variant>
        <vt:lpwstr/>
      </vt:variant>
      <vt:variant>
        <vt:i4>4653083</vt:i4>
      </vt:variant>
      <vt:variant>
        <vt:i4>3</vt:i4>
      </vt:variant>
      <vt:variant>
        <vt:i4>0</vt:i4>
      </vt:variant>
      <vt:variant>
        <vt:i4>5</vt:i4>
      </vt:variant>
      <vt:variant>
        <vt:lpwstr>https://ozone.unep.org/countries/additional-reported-information/decision-xxxvii3</vt:lpwstr>
      </vt:variant>
      <vt:variant>
        <vt:lpwstr/>
      </vt:variant>
      <vt:variant>
        <vt:i4>5046347</vt:i4>
      </vt:variant>
      <vt:variant>
        <vt:i4>0</vt:i4>
      </vt:variant>
      <vt:variant>
        <vt:i4>0</vt:i4>
      </vt:variant>
      <vt:variant>
        <vt:i4>5</vt:i4>
      </vt:variant>
      <vt:variant>
        <vt:lpwstr>https://ozone.unep.org/system/files/documents/TEAP-DecisionXXXVII6-replenishment-TF-report-May2026-RTF-report.pdf</vt:lpwstr>
      </vt:variant>
      <vt:variant>
        <vt:lpwstr/>
      </vt:variant>
      <vt:variant>
        <vt:i4>720961</vt:i4>
      </vt:variant>
      <vt:variant>
        <vt:i4>15</vt:i4>
      </vt:variant>
      <vt:variant>
        <vt:i4>0</vt:i4>
      </vt:variant>
      <vt:variant>
        <vt:i4>5</vt:i4>
      </vt:variant>
      <vt:variant>
        <vt:lpwstr>https://ozone.unep.org/science/assessment/teap/refrigeration-toc-members</vt:lpwstr>
      </vt:variant>
      <vt:variant>
        <vt:lpwstr/>
      </vt:variant>
      <vt:variant>
        <vt:i4>917514</vt:i4>
      </vt:variant>
      <vt:variant>
        <vt:i4>12</vt:i4>
      </vt:variant>
      <vt:variant>
        <vt:i4>0</vt:i4>
      </vt:variant>
      <vt:variant>
        <vt:i4>5</vt:i4>
      </vt:variant>
      <vt:variant>
        <vt:lpwstr>https://ozone.unep.org/meetings/thirty-eighth-meeting-parties</vt:lpwstr>
      </vt:variant>
      <vt:variant>
        <vt:lpwstr/>
      </vt:variant>
      <vt:variant>
        <vt:i4>8323134</vt:i4>
      </vt:variant>
      <vt:variant>
        <vt:i4>9</vt:i4>
      </vt:variant>
      <vt:variant>
        <vt:i4>0</vt:i4>
      </vt:variant>
      <vt:variant>
        <vt:i4>5</vt:i4>
      </vt:variant>
      <vt:variant>
        <vt:lpwstr>https://ozone.unep.org/system/files/documents/MOP-35-2E.pdf</vt:lpwstr>
      </vt:variant>
      <vt:variant>
        <vt:lpwstr/>
      </vt:variant>
      <vt:variant>
        <vt:i4>5636132</vt:i4>
      </vt:variant>
      <vt:variant>
        <vt:i4>6</vt:i4>
      </vt:variant>
      <vt:variant>
        <vt:i4>0</vt:i4>
      </vt:variant>
      <vt:variant>
        <vt:i4>5</vt:i4>
      </vt:variant>
      <vt:variant>
        <vt:lpwstr>mailto:meg.seki@un.org</vt:lpwstr>
      </vt:variant>
      <vt:variant>
        <vt:lpwstr/>
      </vt:variant>
      <vt:variant>
        <vt:i4>7864322</vt:i4>
      </vt:variant>
      <vt:variant>
        <vt:i4>3</vt:i4>
      </vt:variant>
      <vt:variant>
        <vt:i4>0</vt:i4>
      </vt:variant>
      <vt:variant>
        <vt:i4>5</vt:i4>
      </vt:variant>
      <vt:variant>
        <vt:lpwstr>mailto:sophia.mylona@un.org</vt:lpwstr>
      </vt:variant>
      <vt:variant>
        <vt:lpwstr/>
      </vt:variant>
      <vt:variant>
        <vt:i4>2228258</vt:i4>
      </vt:variant>
      <vt:variant>
        <vt:i4>0</vt:i4>
      </vt:variant>
      <vt:variant>
        <vt:i4>0</vt:i4>
      </vt:variant>
      <vt:variant>
        <vt:i4>5</vt:i4>
      </vt:variant>
      <vt:variant>
        <vt:lpwstr>https://ozone.unep.org/system/files/documents/MOP-38-INF-1.pdf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Natalia Cherutich</cp:lastModifiedBy>
  <cp:revision>2</cp:revision>
  <cp:lastPrinted>2026-08-24T07:00:00Z</cp:lastPrinted>
  <dcterms:created xsi:type="dcterms:W3CDTF">2026-09-09T09:54:00Z</dcterms:created>
  <dcterms:modified xsi:type="dcterms:W3CDTF">2026-09-09T09:54:00Z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Order">
    <vt:r8>22800</vt:r8>
  </property>
  <property fmtid="{D5CDD505-2E9C-101B-9397-08002B2CF9AE}" pid="11" name="MediaServiceImageTags">
    <vt:lpwstr/>
  </property>
  <property fmtid="{D5CDD505-2E9C-101B-9397-08002B2CF9AE}" pid="12" name="xd_ProgID">
    <vt:lpwstr/>
  </property>
  <property fmtid="{D5CDD505-2E9C-101B-9397-08002B2CF9AE}" pid="13" name="ContentTypeId">
    <vt:lpwstr>0x010100A8527E0A0837F64083645E115EB57567</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Office of Origin">
    <vt:lpwstr/>
  </property>
  <property fmtid="{D5CDD505-2E9C-101B-9397-08002B2CF9AE}" pid="20" name="Office_x0020_of_x0020_Origin">
    <vt:lpwstr/>
  </property>
  <property fmtid="{D5CDD505-2E9C-101B-9397-08002B2CF9AE}" pid="21" name="lcf76f155ced4ddcb4097134ff3c332f">
    <vt:lpwstr/>
  </property>
  <property fmtid="{D5CDD505-2E9C-101B-9397-08002B2CF9AE}" pid="22" name="TranslatedWith">
    <vt:lpwstr>Mercury</vt:lpwstr>
  </property>
  <property fmtid="{D5CDD505-2E9C-101B-9397-08002B2CF9AE}" pid="23" name="GeneratedBy">
    <vt:lpwstr>yauheniya.yakouchyk@un.org</vt:lpwstr>
  </property>
  <property fmtid="{D5CDD505-2E9C-101B-9397-08002B2CF9AE}" pid="24" name="GeneratedDate">
    <vt:lpwstr>08/27/2026 10:10:07</vt:lpwstr>
  </property>
  <property fmtid="{D5CDD505-2E9C-101B-9397-08002B2CF9AE}" pid="25" name="OriginalDocID">
    <vt:lpwstr>61607e0b-8798-4675-8ed5-6cb50ba5e10b</vt:lpwstr>
  </property>
</Properties>
</file>