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bidiVisual/>
        <w:tblW w:w="5000" w:type="pct"/>
        <w:tblLayout w:type="fixed"/>
        <w:tblLook w:val="0000" w:firstRow="0" w:lastRow="0" w:firstColumn="0" w:lastColumn="0" w:noHBand="0" w:noVBand="0"/>
      </w:tblPr>
      <w:tblGrid>
        <w:gridCol w:w="2340"/>
        <w:gridCol w:w="1350"/>
        <w:gridCol w:w="1440"/>
        <w:gridCol w:w="1018"/>
        <w:gridCol w:w="3212"/>
      </w:tblGrid>
      <w:tr w:rsidR="0013654E" w:rsidRPr="00CB30BC" w14:paraId="2AEE10D9" w14:textId="77777777" w:rsidTr="00CB30BC">
        <w:trPr>
          <w:gridAfter w:val="1"/>
          <w:wAfter w:w="3212" w:type="dxa"/>
          <w:cantSplit/>
          <w:trHeight w:val="900"/>
        </w:trPr>
        <w:tc>
          <w:tcPr>
            <w:tcW w:w="2340" w:type="dxa"/>
          </w:tcPr>
          <w:p w14:paraId="74DB083B" w14:textId="36E1E67B" w:rsidR="0013654E" w:rsidRPr="00CB30BC" w:rsidRDefault="00CB30BC" w:rsidP="00CB30BC">
            <w:pPr>
              <w:pStyle w:val="Normal-pool"/>
              <w:bidi/>
              <w:rPr>
                <w:bCs/>
                <w:sz w:val="48"/>
                <w:szCs w:val="48"/>
              </w:rPr>
            </w:pPr>
            <w:r>
              <w:rPr>
                <w:bCs/>
                <w:sz w:val="48"/>
                <w:szCs w:val="48"/>
                <w:rtl/>
              </w:rPr>
              <w:t>الأمم المتحدة</w:t>
            </w:r>
          </w:p>
        </w:tc>
        <w:tc>
          <w:tcPr>
            <w:tcW w:w="3808" w:type="dxa"/>
            <w:gridSpan w:val="3"/>
          </w:tcPr>
          <w:p w14:paraId="11D7BB71" w14:textId="34AA4948" w:rsidR="0013654E" w:rsidRPr="00CB30BC" w:rsidRDefault="00564161" w:rsidP="00CB30BC">
            <w:pPr>
              <w:pStyle w:val="Normal-pool"/>
              <w:jc w:val="right"/>
              <w:rPr>
                <w:noProof/>
              </w:rPr>
            </w:pPr>
            <w:r>
              <w:rPr>
                <w:noProof/>
                <w:lang w:val="en-CA"/>
              </w:rPr>
              <w:drawing>
                <wp:inline distT="0" distB="0" distL="0" distR="0" wp14:anchorId="7848D4EE" wp14:editId="0C51AEC4">
                  <wp:extent cx="1277620" cy="574040"/>
                  <wp:effectExtent l="0" t="0" r="0" b="0"/>
                  <wp:docPr id="6586891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7620" cy="574040"/>
                          </a:xfrm>
                          <a:prstGeom prst="rect">
                            <a:avLst/>
                          </a:prstGeom>
                          <a:noFill/>
                          <a:ln>
                            <a:noFill/>
                          </a:ln>
                        </pic:spPr>
                      </pic:pic>
                    </a:graphicData>
                  </a:graphic>
                </wp:inline>
              </w:drawing>
            </w:r>
          </w:p>
        </w:tc>
      </w:tr>
      <w:tr w:rsidR="00192C8E" w:rsidRPr="00993B6E" w14:paraId="0524696D" w14:textId="77777777" w:rsidTr="00CB30BC">
        <w:trPr>
          <w:cantSplit/>
          <w:trHeight w:val="57"/>
        </w:trPr>
        <w:tc>
          <w:tcPr>
            <w:tcW w:w="2340" w:type="dxa"/>
            <w:tcBorders>
              <w:bottom w:val="single" w:sz="4" w:space="0" w:color="auto"/>
            </w:tcBorders>
          </w:tcPr>
          <w:p w14:paraId="0A093053" w14:textId="77777777" w:rsidR="00192C8E" w:rsidRPr="00CB30BC" w:rsidRDefault="00192C8E" w:rsidP="00F5369B">
            <w:pPr>
              <w:pStyle w:val="Normal-pool"/>
            </w:pPr>
          </w:p>
        </w:tc>
        <w:tc>
          <w:tcPr>
            <w:tcW w:w="3808" w:type="dxa"/>
            <w:gridSpan w:val="3"/>
            <w:tcBorders>
              <w:bottom w:val="single" w:sz="4" w:space="0" w:color="auto"/>
            </w:tcBorders>
          </w:tcPr>
          <w:p w14:paraId="1D8F8B50" w14:textId="5B50FB9A" w:rsidR="00192C8E" w:rsidRPr="00CB30BC" w:rsidRDefault="00192C8E" w:rsidP="00F5369B">
            <w:pPr>
              <w:pStyle w:val="Normal-pool"/>
            </w:pPr>
          </w:p>
        </w:tc>
        <w:tc>
          <w:tcPr>
            <w:tcW w:w="3212" w:type="dxa"/>
            <w:tcBorders>
              <w:bottom w:val="single" w:sz="4" w:space="0" w:color="auto"/>
            </w:tcBorders>
          </w:tcPr>
          <w:p w14:paraId="26E04784" w14:textId="25D2AA00" w:rsidR="00192C8E" w:rsidRPr="00993B6E" w:rsidRDefault="00192C8E" w:rsidP="00F5369B">
            <w:pPr>
              <w:pStyle w:val="Normal-pool"/>
              <w:rPr>
                <w:sz w:val="24"/>
                <w:szCs w:val="24"/>
              </w:rPr>
            </w:pPr>
            <w:r w:rsidRPr="00655929">
              <w:rPr>
                <w:b/>
                <w:sz w:val="32"/>
                <w:szCs w:val="32"/>
              </w:rPr>
              <w:t>UNEP</w:t>
            </w:r>
            <w:r>
              <w:rPr>
                <w:sz w:val="24"/>
                <w:szCs w:val="24"/>
              </w:rPr>
              <w:t>/</w:t>
            </w:r>
            <w:r w:rsidRPr="009D197E">
              <w:rPr>
                <w:sz w:val="22"/>
                <w:szCs w:val="22"/>
              </w:rPr>
              <w:t>OzL.Pro.38/8</w:t>
            </w:r>
          </w:p>
        </w:tc>
      </w:tr>
      <w:tr w:rsidR="00192C8E" w:rsidRPr="00CB30BC" w14:paraId="22F9FE4D" w14:textId="77777777" w:rsidTr="00193C7A">
        <w:trPr>
          <w:cantSplit/>
          <w:trHeight w:val="1882"/>
        </w:trPr>
        <w:tc>
          <w:tcPr>
            <w:tcW w:w="3690" w:type="dxa"/>
            <w:gridSpan w:val="2"/>
            <w:tcBorders>
              <w:top w:val="single" w:sz="4" w:space="0" w:color="auto"/>
              <w:bottom w:val="single" w:sz="18" w:space="0" w:color="auto"/>
            </w:tcBorders>
          </w:tcPr>
          <w:p w14:paraId="60ED1F3C" w14:textId="428E95AF" w:rsidR="00192C8E" w:rsidRPr="00193C7A" w:rsidRDefault="00193C7A" w:rsidP="00193C7A">
            <w:pPr>
              <w:pStyle w:val="Normal-pool"/>
              <w:bidi/>
              <w:spacing w:before="240" w:line="360" w:lineRule="auto"/>
              <w:rPr>
                <w:b/>
                <w:bCs/>
                <w:sz w:val="32"/>
                <w:szCs w:val="32"/>
              </w:rPr>
            </w:pPr>
            <w:r>
              <w:rPr>
                <w:b/>
                <w:bCs/>
                <w:sz w:val="32"/>
                <w:szCs w:val="32"/>
                <w:rtl/>
              </w:rPr>
              <w:t>بروتوكول مونتريال بشأن المواد المستنفدة لطبقة الأوزون</w:t>
            </w:r>
          </w:p>
        </w:tc>
        <w:tc>
          <w:tcPr>
            <w:tcW w:w="2458" w:type="dxa"/>
            <w:gridSpan w:val="2"/>
            <w:tcBorders>
              <w:top w:val="single" w:sz="4" w:space="0" w:color="auto"/>
              <w:bottom w:val="single" w:sz="18" w:space="0" w:color="auto"/>
            </w:tcBorders>
          </w:tcPr>
          <w:p w14:paraId="03D43A2F" w14:textId="6B1D812B" w:rsidR="00192C8E" w:rsidRPr="00193C7A" w:rsidRDefault="00192C8E" w:rsidP="00F5369B">
            <w:pPr>
              <w:pStyle w:val="Normal-pool"/>
              <w:spacing w:before="1400" w:after="200"/>
              <w:rPr>
                <w:b/>
                <w:sz w:val="28"/>
                <w:szCs w:val="28"/>
                <w:lang w:val="en-US"/>
              </w:rPr>
            </w:pPr>
          </w:p>
        </w:tc>
        <w:tc>
          <w:tcPr>
            <w:tcW w:w="3212" w:type="dxa"/>
            <w:tcBorders>
              <w:top w:val="single" w:sz="4" w:space="0" w:color="auto"/>
              <w:bottom w:val="single" w:sz="18" w:space="0" w:color="auto"/>
            </w:tcBorders>
          </w:tcPr>
          <w:p w14:paraId="7FC8DA70" w14:textId="523ED398" w:rsidR="00192C8E" w:rsidRPr="00BE4271" w:rsidRDefault="00192C8E" w:rsidP="00F5369B">
            <w:pPr>
              <w:pStyle w:val="Normal-pool"/>
              <w:spacing w:before="120"/>
              <w:rPr>
                <w:sz w:val="24"/>
                <w:szCs w:val="24"/>
              </w:rPr>
            </w:pPr>
            <w:r>
              <w:rPr>
                <w:sz w:val="24"/>
                <w:szCs w:val="24"/>
              </w:rPr>
              <w:t xml:space="preserve">Distr.: General </w:t>
            </w:r>
            <w:r>
              <w:rPr>
                <w:sz w:val="24"/>
                <w:szCs w:val="24"/>
              </w:rPr>
              <w:br/>
              <w:t>8 September 2026</w:t>
            </w:r>
          </w:p>
          <w:p w14:paraId="112B2825" w14:textId="77777777" w:rsidR="00BE4271" w:rsidRPr="00BE4271" w:rsidRDefault="00BE4271" w:rsidP="00BE4271">
            <w:pPr>
              <w:jc w:val="left"/>
              <w:rPr>
                <w:sz w:val="24"/>
                <w:szCs w:val="24"/>
                <w:lang w:val="en-US"/>
              </w:rPr>
            </w:pPr>
          </w:p>
          <w:p w14:paraId="4514D30D" w14:textId="57BE71A9" w:rsidR="00BE4271" w:rsidRPr="00BE4271" w:rsidRDefault="00BE4271" w:rsidP="00993B6E">
            <w:pPr>
              <w:jc w:val="left"/>
              <w:rPr>
                <w:sz w:val="24"/>
                <w:szCs w:val="24"/>
                <w:lang w:val="en-US"/>
              </w:rPr>
            </w:pPr>
            <w:r>
              <w:rPr>
                <w:sz w:val="24"/>
                <w:szCs w:val="24"/>
                <w:lang w:val="en-US"/>
              </w:rPr>
              <w:t>Arabic</w:t>
            </w:r>
          </w:p>
          <w:p w14:paraId="5770F1D3" w14:textId="04CEFD8A" w:rsidR="00192C8E" w:rsidRPr="00CB30BC" w:rsidRDefault="00192C8E" w:rsidP="00993B6E">
            <w:pPr>
              <w:pStyle w:val="Normal-pool"/>
            </w:pPr>
            <w:r>
              <w:rPr>
                <w:sz w:val="24"/>
                <w:szCs w:val="24"/>
              </w:rPr>
              <w:t>Original: English</w:t>
            </w:r>
          </w:p>
        </w:tc>
      </w:tr>
      <w:tr w:rsidR="00192C8E" w:rsidRPr="00CB30BC" w14:paraId="2707E5B7" w14:textId="77777777" w:rsidTr="00CB30BC">
        <w:trPr>
          <w:cantSplit/>
          <w:trHeight w:val="57"/>
        </w:trPr>
        <w:tc>
          <w:tcPr>
            <w:tcW w:w="5130" w:type="dxa"/>
            <w:gridSpan w:val="3"/>
            <w:tcBorders>
              <w:top w:val="single" w:sz="18" w:space="0" w:color="auto"/>
            </w:tcBorders>
          </w:tcPr>
          <w:p w14:paraId="2190BF53" w14:textId="3DA3378D" w:rsidR="00193C7A" w:rsidRPr="00193C7A" w:rsidRDefault="00193C7A" w:rsidP="00193C7A">
            <w:pPr>
              <w:pStyle w:val="AATitle"/>
              <w:bidi/>
              <w:ind w:right="0"/>
              <w:rPr>
                <w:b w:val="0"/>
                <w:bCs/>
                <w:sz w:val="24"/>
                <w:szCs w:val="24"/>
                <w:rtl/>
                <w:lang w:bidi="ar-AE"/>
              </w:rPr>
            </w:pPr>
            <w:r>
              <w:rPr>
                <w:b w:val="0"/>
                <w:bCs/>
                <w:sz w:val="24"/>
                <w:szCs w:val="24"/>
                <w:rtl/>
                <w:lang w:bidi="ar-AE"/>
              </w:rPr>
              <w:t>الاجتماع الثامن والثلاثون للأطراف</w:t>
            </w:r>
            <w:r>
              <w:rPr>
                <w:b w:val="0"/>
                <w:bCs/>
                <w:sz w:val="24"/>
                <w:szCs w:val="24"/>
                <w:rtl/>
                <w:lang w:bidi="ar-AE"/>
              </w:rPr>
              <w:br/>
              <w:t xml:space="preserve">في بروتوكول مونتريال بشأن </w:t>
            </w:r>
            <w:r>
              <w:rPr>
                <w:b w:val="0"/>
                <w:bCs/>
                <w:sz w:val="24"/>
                <w:szCs w:val="24"/>
                <w:rtl/>
                <w:lang w:bidi="ar-AE"/>
              </w:rPr>
              <w:br/>
              <w:t>المواد المستنفدة لطبقة الأوزون</w:t>
            </w:r>
          </w:p>
          <w:p w14:paraId="550AE67C" w14:textId="0C384ED1" w:rsidR="00193C7A" w:rsidRPr="009E766D" w:rsidRDefault="00193C7A" w:rsidP="009E766D">
            <w:pPr>
              <w:bidi/>
              <w:spacing w:before="120"/>
              <w:rPr>
                <w:sz w:val="24"/>
                <w:szCs w:val="24"/>
                <w:rtl/>
                <w:lang w:val="en-US" w:bidi="ar-AE"/>
              </w:rPr>
            </w:pPr>
            <w:r>
              <w:rPr>
                <w:sz w:val="24"/>
                <w:szCs w:val="24"/>
                <w:rtl/>
                <w:lang w:val="en-US" w:bidi="ar-AE"/>
              </w:rPr>
              <w:t xml:space="preserve">كيغالي، </w:t>
            </w:r>
            <w:r>
              <w:rPr>
                <w:sz w:val="24"/>
                <w:szCs w:val="24"/>
                <w:lang w:val="en-US" w:bidi="ar-AE"/>
              </w:rPr>
              <w:t>2</w:t>
            </w:r>
            <w:r>
              <w:rPr>
                <w:sz w:val="24"/>
                <w:szCs w:val="24"/>
                <w:rtl/>
                <w:lang w:val="en-US" w:bidi="ar-AE"/>
              </w:rPr>
              <w:t>-</w:t>
            </w:r>
            <w:r>
              <w:rPr>
                <w:sz w:val="24"/>
                <w:szCs w:val="24"/>
                <w:lang w:val="en-US" w:bidi="ar-AE"/>
              </w:rPr>
              <w:t>6</w:t>
            </w:r>
            <w:r>
              <w:rPr>
                <w:sz w:val="24"/>
                <w:szCs w:val="24"/>
                <w:rtl/>
                <w:lang w:val="en-US" w:bidi="ar-AE"/>
              </w:rPr>
              <w:t> </w:t>
            </w:r>
            <w:r>
              <w:rPr>
                <w:rFonts w:hint="cs"/>
                <w:sz w:val="24"/>
                <w:szCs w:val="24"/>
                <w:rtl/>
                <w:lang w:val="en-US" w:bidi="ar-AE"/>
              </w:rPr>
              <w:t>نوفمبر/</w:t>
            </w:r>
            <w:r>
              <w:rPr>
                <w:sz w:val="24"/>
                <w:szCs w:val="24"/>
                <w:rtl/>
                <w:lang w:val="en-US" w:bidi="ar-AE"/>
              </w:rPr>
              <w:t>تشرين الثاني </w:t>
            </w:r>
            <w:r>
              <w:rPr>
                <w:sz w:val="24"/>
                <w:szCs w:val="24"/>
                <w:lang w:val="en-US" w:bidi="ar-AE"/>
              </w:rPr>
              <w:t>2026</w:t>
            </w:r>
          </w:p>
          <w:p w14:paraId="217D121D" w14:textId="0E75321C" w:rsidR="00193C7A" w:rsidRPr="009E766D" w:rsidRDefault="00193C7A" w:rsidP="00193C7A">
            <w:pPr>
              <w:bidi/>
              <w:spacing w:after="120"/>
              <w:jc w:val="left"/>
              <w:rPr>
                <w:rtl/>
                <w:lang w:val="en-US" w:bidi="ar-AE"/>
              </w:rPr>
            </w:pPr>
            <w:r>
              <w:rPr>
                <w:sz w:val="24"/>
                <w:szCs w:val="24"/>
                <w:rtl/>
                <w:lang w:val="en-US" w:bidi="ar-AE"/>
              </w:rPr>
              <w:t xml:space="preserve">البند </w:t>
            </w:r>
            <w:r>
              <w:rPr>
                <w:sz w:val="24"/>
                <w:szCs w:val="24"/>
                <w:lang w:val="en-US" w:bidi="ar-AE"/>
              </w:rPr>
              <w:t>4</w:t>
            </w:r>
            <w:r>
              <w:rPr>
                <w:sz w:val="24"/>
                <w:szCs w:val="24"/>
                <w:rtl/>
                <w:lang w:val="en-US" w:bidi="ar-AE"/>
              </w:rPr>
              <w:t xml:space="preserve"> من جدول الأعمال المؤقت للجزء الرفيع المستوى</w:t>
            </w:r>
            <w:r>
              <w:rPr>
                <w:rStyle w:val="FootnoteReference"/>
                <w:sz w:val="24"/>
                <w:szCs w:val="24"/>
              </w:rPr>
              <w:footnoteReference w:customMarkFollows="1" w:id="2"/>
              <w:t>*</w:t>
            </w:r>
          </w:p>
          <w:p w14:paraId="2DE4817F" w14:textId="77470452" w:rsidR="009E766D" w:rsidRPr="009E766D" w:rsidRDefault="009E766D" w:rsidP="009E766D">
            <w:pPr>
              <w:bidi/>
              <w:jc w:val="left"/>
              <w:rPr>
                <w:bCs/>
                <w:sz w:val="24"/>
                <w:szCs w:val="24"/>
                <w:rtl/>
                <w:lang w:val="en-US" w:bidi="ar-AE"/>
              </w:rPr>
            </w:pPr>
            <w:r>
              <w:rPr>
                <w:bCs/>
                <w:sz w:val="24"/>
                <w:szCs w:val="24"/>
                <w:rtl/>
                <w:lang w:val="en-US" w:bidi="ar-AE"/>
              </w:rPr>
              <w:t xml:space="preserve">عرض </w:t>
            </w:r>
            <w:r>
              <w:rPr>
                <w:rFonts w:hint="cs"/>
                <w:bCs/>
                <w:sz w:val="24"/>
                <w:szCs w:val="24"/>
                <w:rtl/>
                <w:lang w:val="en-US" w:bidi="ar-AE"/>
              </w:rPr>
              <w:t>مُقدم</w:t>
            </w:r>
            <w:r>
              <w:rPr>
                <w:bCs/>
                <w:sz w:val="24"/>
                <w:szCs w:val="24"/>
                <w:rtl/>
                <w:lang w:val="en-US" w:bidi="ar-AE"/>
              </w:rPr>
              <w:t xml:space="preserve"> من رئيس اللجنة التنفيذية</w:t>
            </w:r>
            <w:r>
              <w:rPr>
                <w:bCs/>
                <w:sz w:val="24"/>
                <w:szCs w:val="24"/>
                <w:rtl/>
                <w:lang w:val="en-US" w:bidi="ar-AE"/>
              </w:rPr>
              <w:br/>
              <w:t>للصندوق المتعدد الأطراف</w:t>
            </w:r>
            <w:r>
              <w:rPr>
                <w:bCs/>
                <w:sz w:val="24"/>
                <w:szCs w:val="24"/>
                <w:rtl/>
                <w:lang w:val="en-US" w:bidi="ar-AE"/>
              </w:rPr>
              <w:br/>
              <w:t>لتنفيذ بروتوكول مونتريال</w:t>
            </w:r>
            <w:r>
              <w:rPr>
                <w:bCs/>
                <w:sz w:val="24"/>
                <w:szCs w:val="24"/>
                <w:rtl/>
                <w:lang w:val="en-US" w:bidi="ar-AE"/>
              </w:rPr>
              <w:br/>
              <w:t>عن أعمال اللجنة التنفيذية</w:t>
            </w:r>
          </w:p>
        </w:tc>
        <w:tc>
          <w:tcPr>
            <w:tcW w:w="4230" w:type="dxa"/>
            <w:gridSpan w:val="2"/>
            <w:tcBorders>
              <w:top w:val="single" w:sz="18" w:space="0" w:color="auto"/>
            </w:tcBorders>
          </w:tcPr>
          <w:p w14:paraId="32489EFC" w14:textId="77777777" w:rsidR="00192C8E" w:rsidRPr="00CB30BC" w:rsidRDefault="00192C8E" w:rsidP="00F5369B">
            <w:pPr>
              <w:ind w:left="142" w:hanging="142"/>
              <w:rPr>
                <w:b/>
                <w:sz w:val="20"/>
                <w:szCs w:val="20"/>
                <w:lang w:bidi="ar-AE"/>
              </w:rPr>
            </w:pPr>
          </w:p>
        </w:tc>
      </w:tr>
    </w:tbl>
    <w:p w14:paraId="755018AF" w14:textId="77777777" w:rsidR="004E1440" w:rsidRPr="004E1440" w:rsidRDefault="004E1440" w:rsidP="00885C27">
      <w:pPr>
        <w:pStyle w:val="BBTitle"/>
        <w:tabs>
          <w:tab w:val="left" w:pos="624"/>
        </w:tabs>
        <w:bidi/>
        <w:ind w:left="720" w:right="0"/>
        <w:jc w:val="both"/>
        <w:rPr>
          <w:b w:val="0"/>
          <w:bCs/>
          <w:rtl/>
        </w:rPr>
      </w:pPr>
      <w:r>
        <w:rPr>
          <w:b w:val="0"/>
          <w:bCs/>
          <w:rtl/>
        </w:rPr>
        <w:t>تقرير اللجنة التنفيذية للصندوق المتعدد الأطراف لتنفيذ بروتوكول مونتريال المقدم إلى الاجتماع الثامن والثلاثين للأطراف</w:t>
      </w:r>
    </w:p>
    <w:p w14:paraId="69F82407" w14:textId="058FBF98" w:rsidR="004E1440" w:rsidRPr="004E1440" w:rsidRDefault="004E1440" w:rsidP="00885C27">
      <w:pPr>
        <w:pStyle w:val="CH1"/>
        <w:bidi/>
        <w:spacing w:before="0" w:after="240"/>
        <w:ind w:left="720" w:right="0" w:firstLine="0"/>
        <w:rPr>
          <w:b w:val="0"/>
          <w:bCs/>
        </w:rPr>
      </w:pPr>
      <w:r>
        <w:rPr>
          <w:rFonts w:hint="cs"/>
          <w:b w:val="0"/>
          <w:bCs/>
          <w:rtl/>
        </w:rPr>
        <w:t>مقدمة</w:t>
      </w:r>
    </w:p>
    <w:p w14:paraId="459AF109" w14:textId="20E08475" w:rsidR="004E1440" w:rsidRPr="004E1440" w:rsidRDefault="004E1440" w:rsidP="00885C27">
      <w:pPr>
        <w:pStyle w:val="Heading3"/>
        <w:numPr>
          <w:ilvl w:val="2"/>
          <w:numId w:val="16"/>
        </w:numPr>
        <w:bidi/>
        <w:ind w:left="720" w:firstLine="0"/>
        <w:rPr>
          <w:sz w:val="26"/>
          <w:szCs w:val="26"/>
          <w:lang w:eastAsia="en-GB"/>
        </w:rPr>
      </w:pPr>
      <w:r>
        <w:rPr>
          <w:sz w:val="26"/>
          <w:szCs w:val="26"/>
          <w:rtl/>
          <w:lang w:eastAsia="en-GB"/>
        </w:rPr>
        <w:t>يحتوي هذا التقرير على قسمين ومرفق على النحو التالي:</w:t>
      </w:r>
    </w:p>
    <w:p w14:paraId="000A5D98" w14:textId="63F63F4A" w:rsidR="004E1440" w:rsidRPr="004E1440" w:rsidRDefault="004E1440" w:rsidP="00885C27">
      <w:pPr>
        <w:bidi/>
        <w:spacing w:after="180"/>
        <w:ind w:left="720" w:firstLine="720"/>
        <w:rPr>
          <w:sz w:val="26"/>
          <w:szCs w:val="26"/>
        </w:rPr>
      </w:pPr>
      <w:r>
        <w:rPr>
          <w:rFonts w:hint="cs"/>
          <w:sz w:val="26"/>
          <w:szCs w:val="26"/>
          <w:rtl/>
        </w:rPr>
        <w:t>أولاً:</w:t>
      </w:r>
      <w:r>
        <w:rPr>
          <w:sz w:val="26"/>
          <w:szCs w:val="26"/>
          <w:rtl/>
        </w:rPr>
        <w:tab/>
      </w:r>
      <w:r>
        <w:rPr>
          <w:sz w:val="26"/>
          <w:szCs w:val="26"/>
          <w:rtl/>
        </w:rPr>
        <w:tab/>
        <w:t>استعراض الفترة المشمولة بالتقرير منذ الاجتماع السابع والثلاثين للأطراف</w:t>
      </w:r>
      <w:r>
        <w:rPr>
          <w:rFonts w:hint="cs"/>
          <w:sz w:val="26"/>
          <w:szCs w:val="26"/>
          <w:rtl/>
        </w:rPr>
        <w:t>.</w:t>
      </w:r>
    </w:p>
    <w:p w14:paraId="0F772C83" w14:textId="06355CF7" w:rsidR="004E1440" w:rsidRPr="004E1440" w:rsidRDefault="004E1440" w:rsidP="00885C27">
      <w:pPr>
        <w:bidi/>
        <w:spacing w:after="180"/>
        <w:ind w:left="720" w:firstLine="720"/>
        <w:rPr>
          <w:sz w:val="26"/>
          <w:szCs w:val="26"/>
          <w:rtl/>
          <w:lang w:bidi="ar-AE"/>
        </w:rPr>
      </w:pPr>
      <w:r>
        <w:rPr>
          <w:rFonts w:hint="cs"/>
          <w:sz w:val="26"/>
          <w:szCs w:val="26"/>
          <w:rtl/>
          <w:lang w:bidi="ar-AE"/>
        </w:rPr>
        <w:t>ثانياً:</w:t>
      </w:r>
      <w:r>
        <w:rPr>
          <w:sz w:val="26"/>
          <w:szCs w:val="26"/>
          <w:rtl/>
          <w:lang w:bidi="ar-AE"/>
        </w:rPr>
        <w:tab/>
      </w:r>
      <w:r>
        <w:rPr>
          <w:sz w:val="26"/>
          <w:szCs w:val="26"/>
          <w:rtl/>
          <w:lang w:bidi="ar-AE"/>
        </w:rPr>
        <w:tab/>
        <w:t>الانجازات التي حققها الصندوق المتعدد الأطراف منذ إنشائه</w:t>
      </w:r>
      <w:r>
        <w:rPr>
          <w:rFonts w:hint="cs"/>
          <w:sz w:val="26"/>
          <w:szCs w:val="26"/>
          <w:rtl/>
          <w:lang w:bidi="ar-AE"/>
        </w:rPr>
        <w:t>.</w:t>
      </w:r>
    </w:p>
    <w:p w14:paraId="5BC06773" w14:textId="0D21AAC0" w:rsidR="004E1440" w:rsidRPr="004E1440" w:rsidRDefault="006735F8" w:rsidP="00885C27">
      <w:pPr>
        <w:bidi/>
        <w:spacing w:after="180"/>
        <w:ind w:left="2880" w:hanging="1440"/>
        <w:rPr>
          <w:sz w:val="26"/>
          <w:szCs w:val="26"/>
          <w:lang w:bidi="ar-AE"/>
        </w:rPr>
      </w:pPr>
      <w:r>
        <w:rPr>
          <w:sz w:val="26"/>
          <w:szCs w:val="26"/>
          <w:rtl/>
          <w:lang w:bidi="ar-AE"/>
        </w:rPr>
        <w:t>المرفق:</w:t>
      </w:r>
      <w:r>
        <w:rPr>
          <w:sz w:val="26"/>
          <w:szCs w:val="26"/>
          <w:rtl/>
          <w:lang w:bidi="ar-AE"/>
        </w:rPr>
        <w:tab/>
        <w:t xml:space="preserve">النشرة الإخبارية السنوية للصندوق المتعدد الأطراف والتي تتضمن بعض المشروعات الناجحة ونتائج السياسات في عام </w:t>
      </w:r>
      <w:r>
        <w:rPr>
          <w:sz w:val="26"/>
          <w:szCs w:val="26"/>
          <w:lang w:bidi="ar-AE"/>
        </w:rPr>
        <w:t>2025</w:t>
      </w:r>
      <w:r>
        <w:rPr>
          <w:rFonts w:hint="cs"/>
          <w:sz w:val="26"/>
          <w:szCs w:val="26"/>
          <w:rtl/>
          <w:lang w:bidi="ar-AE"/>
        </w:rPr>
        <w:t>.</w:t>
      </w:r>
    </w:p>
    <w:p w14:paraId="49546C94" w14:textId="498C8404" w:rsidR="001D6871" w:rsidRPr="001D6871" w:rsidRDefault="001D6871" w:rsidP="00885C27">
      <w:pPr>
        <w:pStyle w:val="CH2"/>
        <w:tabs>
          <w:tab w:val="clear" w:pos="851"/>
          <w:tab w:val="clear" w:pos="1247"/>
          <w:tab w:val="clear" w:pos="1814"/>
          <w:tab w:val="clear" w:pos="2381"/>
          <w:tab w:val="clear" w:pos="2948"/>
          <w:tab w:val="clear" w:pos="3515"/>
          <w:tab w:val="clear" w:pos="4082"/>
          <w:tab w:val="right" w:pos="7200"/>
        </w:tabs>
        <w:bidi/>
        <w:spacing w:after="240"/>
        <w:ind w:left="720" w:right="0" w:hanging="720"/>
        <w:rPr>
          <w:b w:val="0"/>
          <w:bCs/>
          <w:sz w:val="26"/>
          <w:szCs w:val="26"/>
          <w:lang w:val="en-CA" w:eastAsia="en-GB"/>
        </w:rPr>
      </w:pPr>
      <w:r>
        <w:rPr>
          <w:rFonts w:hint="cs"/>
          <w:b w:val="0"/>
          <w:bCs/>
          <w:sz w:val="26"/>
          <w:szCs w:val="26"/>
          <w:rtl/>
          <w:lang w:val="en-US"/>
        </w:rPr>
        <w:t>أولاً.</w:t>
      </w:r>
      <w:r>
        <w:rPr>
          <w:b w:val="0"/>
          <w:bCs/>
          <w:sz w:val="26"/>
          <w:szCs w:val="26"/>
          <w:rtl/>
          <w:lang w:val="en-US"/>
        </w:rPr>
        <w:tab/>
      </w:r>
      <w:r>
        <w:rPr>
          <w:b w:val="0"/>
          <w:bCs/>
          <w:sz w:val="26"/>
          <w:szCs w:val="26"/>
          <w:rtl/>
          <w:lang w:val="en-CA" w:eastAsia="en-GB"/>
        </w:rPr>
        <w:t>استعراض الفترة المشمولة بالتقرير منذ الاجتماع السابع والثلاثين للأطراف</w:t>
      </w:r>
    </w:p>
    <w:p w14:paraId="6841897E" w14:textId="5EBDC95D" w:rsidR="001D6871" w:rsidRPr="001D6871" w:rsidRDefault="00A9568E" w:rsidP="00885C27">
      <w:pPr>
        <w:pStyle w:val="Heading3"/>
        <w:numPr>
          <w:ilvl w:val="2"/>
          <w:numId w:val="16"/>
        </w:numPr>
        <w:bidi/>
        <w:spacing w:line="288" w:lineRule="auto"/>
        <w:ind w:left="720" w:firstLine="0"/>
        <w:rPr>
          <w:sz w:val="26"/>
          <w:szCs w:val="26"/>
          <w:lang w:eastAsia="en-GB"/>
        </w:rPr>
      </w:pPr>
      <w:r>
        <w:rPr>
          <w:sz w:val="26"/>
          <w:szCs w:val="26"/>
          <w:rtl/>
          <w:lang w:eastAsia="en-GB"/>
        </w:rPr>
        <w:t>خلال الفترة المشمولة بالتقرير، عقدت اللجنة التنفيذية اجتماعيها السابع والتسعين والثامن والتسعين. وعُقد الاجتماع السابع والتسعون في مونتريال، كندا في الفترة من</w:t>
      </w:r>
      <w:r>
        <w:rPr>
          <w:rFonts w:hint="cs"/>
          <w:sz w:val="26"/>
          <w:szCs w:val="26"/>
          <w:rtl/>
          <w:lang w:eastAsia="en-GB"/>
        </w:rPr>
        <w:t> </w:t>
      </w:r>
      <w:r>
        <w:rPr>
          <w:sz w:val="26"/>
          <w:szCs w:val="26"/>
          <w:lang w:eastAsia="en-GB"/>
        </w:rPr>
        <w:t>1</w:t>
      </w:r>
      <w:r>
        <w:rPr>
          <w:sz w:val="26"/>
          <w:szCs w:val="26"/>
          <w:rtl/>
          <w:lang w:eastAsia="en-GB"/>
        </w:rPr>
        <w:t xml:space="preserve"> إلى</w:t>
      </w:r>
      <w:r>
        <w:rPr>
          <w:rFonts w:hint="cs"/>
          <w:sz w:val="26"/>
          <w:szCs w:val="26"/>
          <w:rtl/>
          <w:lang w:eastAsia="en-GB"/>
        </w:rPr>
        <w:t> </w:t>
      </w:r>
      <w:r>
        <w:rPr>
          <w:sz w:val="26"/>
          <w:szCs w:val="26"/>
          <w:lang w:eastAsia="en-GB"/>
        </w:rPr>
        <w:t>5</w:t>
      </w:r>
      <w:r>
        <w:rPr>
          <w:sz w:val="26"/>
          <w:szCs w:val="26"/>
          <w:rtl/>
          <w:lang w:eastAsia="en-GB"/>
        </w:rPr>
        <w:t> ديسمبر/كانون الأول </w:t>
      </w:r>
      <w:r>
        <w:rPr>
          <w:sz w:val="26"/>
          <w:szCs w:val="26"/>
          <w:lang w:eastAsia="en-GB"/>
        </w:rPr>
        <w:t>2025</w:t>
      </w:r>
      <w:r>
        <w:rPr>
          <w:sz w:val="26"/>
          <w:szCs w:val="26"/>
          <w:rtl/>
          <w:lang w:eastAsia="en-GB"/>
        </w:rPr>
        <w:t xml:space="preserve">. وأدار أعضاء اللجنة التنفيذية لعام </w:t>
      </w:r>
      <w:r>
        <w:rPr>
          <w:sz w:val="26"/>
          <w:szCs w:val="26"/>
          <w:lang w:eastAsia="en-GB"/>
        </w:rPr>
        <w:t>2025</w:t>
      </w:r>
      <w:r>
        <w:rPr>
          <w:sz w:val="26"/>
          <w:szCs w:val="26"/>
          <w:rtl/>
          <w:lang w:eastAsia="en-GB"/>
        </w:rPr>
        <w:t xml:space="preserve"> أعمال الاجتماع السابع والتسعين، وفقاً للمقرر</w:t>
      </w:r>
      <w:r>
        <w:rPr>
          <w:rFonts w:hint="cs"/>
          <w:sz w:val="26"/>
          <w:szCs w:val="26"/>
          <w:rtl/>
          <w:lang w:eastAsia="en-GB"/>
        </w:rPr>
        <w:t> </w:t>
      </w:r>
      <w:r>
        <w:rPr>
          <w:sz w:val="26"/>
          <w:szCs w:val="26"/>
          <w:lang w:eastAsia="en-GB"/>
        </w:rPr>
        <w:t>36</w:t>
      </w:r>
      <w:r>
        <w:rPr>
          <w:sz w:val="26"/>
          <w:szCs w:val="26"/>
          <w:rtl/>
          <w:lang w:eastAsia="en-GB"/>
        </w:rPr>
        <w:t>/</w:t>
      </w:r>
      <w:r>
        <w:rPr>
          <w:sz w:val="26"/>
          <w:szCs w:val="26"/>
          <w:lang w:eastAsia="en-GB"/>
        </w:rPr>
        <w:t>19</w:t>
      </w:r>
      <w:r>
        <w:rPr>
          <w:sz w:val="26"/>
          <w:szCs w:val="26"/>
          <w:rtl/>
          <w:lang w:eastAsia="en-GB"/>
        </w:rPr>
        <w:t xml:space="preserve"> للاجتماع السادس والثلاثين للأطراف. وتألفت اللجنة من الأعضاء التالية أسماؤهم العاملين </w:t>
      </w:r>
      <w:r>
        <w:rPr>
          <w:rFonts w:hint="cs"/>
          <w:sz w:val="26"/>
          <w:szCs w:val="26"/>
          <w:rtl/>
          <w:lang w:eastAsia="en-GB"/>
        </w:rPr>
        <w:t>بموجب</w:t>
      </w:r>
      <w:r>
        <w:rPr>
          <w:sz w:val="26"/>
          <w:szCs w:val="26"/>
          <w:rtl/>
          <w:lang w:eastAsia="en-GB"/>
        </w:rPr>
        <w:t xml:space="preserve"> الفقرة</w:t>
      </w:r>
      <w:r>
        <w:rPr>
          <w:rFonts w:hint="cs"/>
          <w:sz w:val="26"/>
          <w:szCs w:val="26"/>
          <w:rtl/>
          <w:lang w:eastAsia="en-GB"/>
        </w:rPr>
        <w:t> </w:t>
      </w:r>
      <w:r>
        <w:rPr>
          <w:sz w:val="26"/>
          <w:szCs w:val="26"/>
          <w:lang w:eastAsia="en-GB"/>
        </w:rPr>
        <w:t>1</w:t>
      </w:r>
      <w:r>
        <w:rPr>
          <w:sz w:val="26"/>
          <w:szCs w:val="26"/>
          <w:rtl/>
          <w:lang w:eastAsia="en-GB"/>
        </w:rPr>
        <w:t xml:space="preserve"> من المادة</w:t>
      </w:r>
      <w:r>
        <w:rPr>
          <w:rFonts w:hint="cs"/>
          <w:sz w:val="26"/>
          <w:szCs w:val="26"/>
          <w:rtl/>
          <w:lang w:eastAsia="en-GB"/>
        </w:rPr>
        <w:t> </w:t>
      </w:r>
      <w:r>
        <w:rPr>
          <w:sz w:val="26"/>
          <w:szCs w:val="26"/>
          <w:lang w:eastAsia="en-GB"/>
        </w:rPr>
        <w:t>5</w:t>
      </w:r>
      <w:r>
        <w:rPr>
          <w:sz w:val="26"/>
          <w:szCs w:val="26"/>
          <w:rtl/>
          <w:lang w:eastAsia="en-GB"/>
        </w:rPr>
        <w:t xml:space="preserve"> من البروتوكول (الأطراف العاملة </w:t>
      </w:r>
      <w:r>
        <w:rPr>
          <w:rFonts w:hint="cs"/>
          <w:sz w:val="26"/>
          <w:szCs w:val="26"/>
          <w:rtl/>
          <w:lang w:eastAsia="en-GB"/>
        </w:rPr>
        <w:t>بموجب</w:t>
      </w:r>
      <w:r>
        <w:rPr>
          <w:sz w:val="26"/>
          <w:szCs w:val="26"/>
          <w:rtl/>
          <w:lang w:eastAsia="en-GB"/>
        </w:rPr>
        <w:t xml:space="preserve"> المادة</w:t>
      </w:r>
      <w:r>
        <w:rPr>
          <w:rFonts w:hint="cs"/>
          <w:sz w:val="26"/>
          <w:szCs w:val="26"/>
          <w:rtl/>
          <w:lang w:eastAsia="en-GB"/>
        </w:rPr>
        <w:t> </w:t>
      </w:r>
      <w:r>
        <w:rPr>
          <w:sz w:val="26"/>
          <w:szCs w:val="26"/>
          <w:lang w:eastAsia="en-GB"/>
        </w:rPr>
        <w:t>5</w:t>
      </w:r>
      <w:r>
        <w:rPr>
          <w:sz w:val="26"/>
          <w:szCs w:val="26"/>
          <w:rtl/>
          <w:lang w:eastAsia="en-GB"/>
        </w:rPr>
        <w:t>): الأرجنتين، والبحرين، والصين، وكوبا، وقيرغيزستان، وليسوتو</w:t>
      </w:r>
      <w:r>
        <w:rPr>
          <w:rFonts w:hint="cs"/>
          <w:sz w:val="26"/>
          <w:szCs w:val="26"/>
          <w:rtl/>
          <w:lang w:eastAsia="en-GB"/>
        </w:rPr>
        <w:t> </w:t>
      </w:r>
      <w:r>
        <w:rPr>
          <w:sz w:val="26"/>
          <w:szCs w:val="26"/>
          <w:rtl/>
          <w:lang w:eastAsia="en-GB"/>
        </w:rPr>
        <w:t xml:space="preserve">(نائب الرئيس) وتوغو؛ والأطراف التالية أسماؤهم غير العاملين </w:t>
      </w:r>
      <w:r>
        <w:rPr>
          <w:rFonts w:hint="cs"/>
          <w:sz w:val="26"/>
          <w:szCs w:val="26"/>
          <w:rtl/>
          <w:lang w:eastAsia="en-GB"/>
        </w:rPr>
        <w:t>بموجب</w:t>
      </w:r>
      <w:r>
        <w:rPr>
          <w:sz w:val="26"/>
          <w:szCs w:val="26"/>
          <w:rtl/>
          <w:lang w:eastAsia="en-GB"/>
        </w:rPr>
        <w:t xml:space="preserve"> الفقرة</w:t>
      </w:r>
      <w:r>
        <w:rPr>
          <w:rFonts w:hint="cs"/>
          <w:sz w:val="26"/>
          <w:szCs w:val="26"/>
          <w:rtl/>
          <w:lang w:eastAsia="en-GB"/>
        </w:rPr>
        <w:t> </w:t>
      </w:r>
      <w:r>
        <w:rPr>
          <w:sz w:val="26"/>
          <w:szCs w:val="26"/>
          <w:lang w:eastAsia="en-GB"/>
        </w:rPr>
        <w:t>1</w:t>
      </w:r>
      <w:r>
        <w:rPr>
          <w:sz w:val="26"/>
          <w:szCs w:val="26"/>
          <w:rtl/>
          <w:lang w:eastAsia="en-GB"/>
        </w:rPr>
        <w:t xml:space="preserve"> من المادة</w:t>
      </w:r>
      <w:r>
        <w:rPr>
          <w:rFonts w:hint="cs"/>
          <w:sz w:val="26"/>
          <w:szCs w:val="26"/>
          <w:rtl/>
          <w:lang w:eastAsia="en-GB"/>
        </w:rPr>
        <w:t> </w:t>
      </w:r>
      <w:r>
        <w:rPr>
          <w:sz w:val="26"/>
          <w:szCs w:val="26"/>
          <w:lang w:eastAsia="en-GB"/>
        </w:rPr>
        <w:t>5</w:t>
      </w:r>
      <w:r>
        <w:rPr>
          <w:sz w:val="26"/>
          <w:szCs w:val="26"/>
          <w:rtl/>
          <w:lang w:eastAsia="en-GB"/>
        </w:rPr>
        <w:t xml:space="preserve"> من البروتوكول (الأطراف غير العاملة </w:t>
      </w:r>
      <w:r>
        <w:rPr>
          <w:rFonts w:hint="cs"/>
          <w:sz w:val="26"/>
          <w:szCs w:val="26"/>
          <w:rtl/>
          <w:lang w:eastAsia="en-GB"/>
        </w:rPr>
        <w:t>بموجب</w:t>
      </w:r>
      <w:r>
        <w:rPr>
          <w:sz w:val="26"/>
          <w:szCs w:val="26"/>
          <w:rtl/>
          <w:lang w:eastAsia="en-GB"/>
        </w:rPr>
        <w:t xml:space="preserve"> المادة</w:t>
      </w:r>
      <w:r>
        <w:rPr>
          <w:rFonts w:hint="cs"/>
          <w:sz w:val="26"/>
          <w:szCs w:val="26"/>
          <w:rtl/>
          <w:lang w:eastAsia="en-GB"/>
        </w:rPr>
        <w:t> </w:t>
      </w:r>
      <w:r>
        <w:rPr>
          <w:sz w:val="26"/>
          <w:szCs w:val="26"/>
          <w:lang w:eastAsia="en-GB"/>
        </w:rPr>
        <w:t>5</w:t>
      </w:r>
      <w:r>
        <w:rPr>
          <w:sz w:val="26"/>
          <w:szCs w:val="26"/>
          <w:rtl/>
          <w:lang w:eastAsia="en-GB"/>
        </w:rPr>
        <w:t>): بلجيكا، وكندا، وإيطاليا (الرئيس)، واليابان، وليتوانيا، والسويد والولايات المتحدة الأمريكية.</w:t>
      </w:r>
    </w:p>
    <w:p w14:paraId="7AF8BE60" w14:textId="036640BD" w:rsidR="00C0471E" w:rsidRPr="00C0471E" w:rsidRDefault="00C0471E" w:rsidP="00885C27">
      <w:pPr>
        <w:pStyle w:val="Heading3"/>
        <w:numPr>
          <w:ilvl w:val="2"/>
          <w:numId w:val="16"/>
        </w:numPr>
        <w:bidi/>
        <w:spacing w:line="288" w:lineRule="auto"/>
        <w:ind w:left="720" w:firstLine="0"/>
        <w:rPr>
          <w:sz w:val="26"/>
          <w:szCs w:val="26"/>
          <w:lang w:eastAsia="en-GB"/>
        </w:rPr>
      </w:pPr>
      <w:r>
        <w:rPr>
          <w:sz w:val="26"/>
          <w:szCs w:val="26"/>
          <w:rtl/>
          <w:lang w:eastAsia="en-GB"/>
        </w:rPr>
        <w:lastRenderedPageBreak/>
        <w:t>عُقد الاجتماع الثامن والتسعون في مونتريال في الفترة من</w:t>
      </w:r>
      <w:r>
        <w:rPr>
          <w:rFonts w:hint="cs"/>
          <w:sz w:val="26"/>
          <w:szCs w:val="26"/>
          <w:rtl/>
          <w:lang w:eastAsia="en-GB"/>
        </w:rPr>
        <w:t> </w:t>
      </w:r>
      <w:r>
        <w:rPr>
          <w:sz w:val="26"/>
          <w:szCs w:val="26"/>
          <w:lang w:eastAsia="en-GB"/>
        </w:rPr>
        <w:t>22</w:t>
      </w:r>
      <w:r>
        <w:rPr>
          <w:sz w:val="26"/>
          <w:szCs w:val="26"/>
          <w:rtl/>
          <w:lang w:eastAsia="en-GB"/>
        </w:rPr>
        <w:t xml:space="preserve"> إلى</w:t>
      </w:r>
      <w:r>
        <w:rPr>
          <w:rFonts w:hint="cs"/>
          <w:sz w:val="26"/>
          <w:szCs w:val="26"/>
          <w:rtl/>
          <w:lang w:eastAsia="en-GB"/>
        </w:rPr>
        <w:t> </w:t>
      </w:r>
      <w:r>
        <w:rPr>
          <w:sz w:val="26"/>
          <w:szCs w:val="26"/>
          <w:lang w:eastAsia="en-GB"/>
        </w:rPr>
        <w:t>26</w:t>
      </w:r>
      <w:r>
        <w:rPr>
          <w:sz w:val="26"/>
          <w:szCs w:val="26"/>
          <w:rtl/>
          <w:lang w:eastAsia="en-GB"/>
        </w:rPr>
        <w:t> </w:t>
      </w:r>
      <w:r>
        <w:rPr>
          <w:rFonts w:hint="cs"/>
          <w:sz w:val="26"/>
          <w:szCs w:val="26"/>
          <w:rtl/>
          <w:lang w:eastAsia="en-GB"/>
        </w:rPr>
        <w:t>يونيو</w:t>
      </w:r>
      <w:r>
        <w:rPr>
          <w:sz w:val="26"/>
          <w:szCs w:val="26"/>
          <w:rtl/>
          <w:lang w:eastAsia="en-GB"/>
        </w:rPr>
        <w:t>/حزيران</w:t>
      </w:r>
      <w:r>
        <w:rPr>
          <w:rFonts w:hint="cs"/>
          <w:sz w:val="26"/>
          <w:szCs w:val="26"/>
          <w:rtl/>
          <w:lang w:eastAsia="en-GB"/>
        </w:rPr>
        <w:t> </w:t>
      </w:r>
      <w:r>
        <w:rPr>
          <w:sz w:val="26"/>
          <w:szCs w:val="26"/>
          <w:lang w:eastAsia="en-GB"/>
        </w:rPr>
        <w:t>2026</w:t>
      </w:r>
      <w:r>
        <w:rPr>
          <w:sz w:val="26"/>
          <w:szCs w:val="26"/>
          <w:rtl/>
          <w:lang w:eastAsia="en-GB"/>
        </w:rPr>
        <w:t xml:space="preserve">. وأدار أعمال الاجتماع الثامن والتسعين أعضاء اللجنة التنفيذية لعام </w:t>
      </w:r>
      <w:r>
        <w:rPr>
          <w:sz w:val="26"/>
          <w:szCs w:val="26"/>
          <w:lang w:eastAsia="en-GB"/>
        </w:rPr>
        <w:t>2026</w:t>
      </w:r>
      <w:r>
        <w:rPr>
          <w:sz w:val="26"/>
          <w:szCs w:val="26"/>
          <w:rtl/>
          <w:lang w:eastAsia="en-GB"/>
        </w:rPr>
        <w:t>، وفقاً للمقرر</w:t>
      </w:r>
      <w:r>
        <w:rPr>
          <w:rFonts w:hint="cs"/>
          <w:sz w:val="26"/>
          <w:szCs w:val="26"/>
          <w:rtl/>
          <w:lang w:eastAsia="en-GB"/>
        </w:rPr>
        <w:t> </w:t>
      </w:r>
      <w:r>
        <w:rPr>
          <w:sz w:val="26"/>
          <w:szCs w:val="26"/>
          <w:lang w:eastAsia="en-GB"/>
        </w:rPr>
        <w:t>37</w:t>
      </w:r>
      <w:r>
        <w:rPr>
          <w:sz w:val="26"/>
          <w:szCs w:val="26"/>
          <w:rtl/>
          <w:lang w:eastAsia="en-GB"/>
        </w:rPr>
        <w:t>/</w:t>
      </w:r>
      <w:r>
        <w:rPr>
          <w:sz w:val="26"/>
          <w:szCs w:val="26"/>
          <w:lang w:eastAsia="en-GB"/>
        </w:rPr>
        <w:t>19</w:t>
      </w:r>
      <w:r>
        <w:rPr>
          <w:sz w:val="26"/>
          <w:szCs w:val="26"/>
          <w:rtl/>
          <w:lang w:eastAsia="en-GB"/>
        </w:rPr>
        <w:t xml:space="preserve"> للاجتماع السابع والثلاثين للأطراف. وتألفت اللجنة من الأعضاء التالية أسماؤهم العاملين </w:t>
      </w:r>
      <w:r>
        <w:rPr>
          <w:rFonts w:hint="cs"/>
          <w:sz w:val="26"/>
          <w:szCs w:val="26"/>
          <w:rtl/>
          <w:lang w:eastAsia="en-GB"/>
        </w:rPr>
        <w:t>بموجب</w:t>
      </w:r>
      <w:r>
        <w:rPr>
          <w:sz w:val="26"/>
          <w:szCs w:val="26"/>
          <w:rtl/>
          <w:lang w:eastAsia="en-GB"/>
        </w:rPr>
        <w:t xml:space="preserve"> المادة </w:t>
      </w:r>
      <w:r>
        <w:rPr>
          <w:sz w:val="26"/>
          <w:szCs w:val="26"/>
          <w:lang w:eastAsia="en-GB"/>
        </w:rPr>
        <w:t>5</w:t>
      </w:r>
      <w:r>
        <w:rPr>
          <w:sz w:val="26"/>
          <w:szCs w:val="26"/>
          <w:rtl/>
          <w:lang w:eastAsia="en-GB"/>
        </w:rPr>
        <w:t xml:space="preserve">: البرازيل، والكاميرون، وكوبا، والهند، والكويت، وليسوتو (الرئيس) والمكسيك؛ والأعضاء التالية أسماؤهم غير العاملين </w:t>
      </w:r>
      <w:r>
        <w:rPr>
          <w:rFonts w:hint="cs"/>
          <w:sz w:val="26"/>
          <w:szCs w:val="26"/>
          <w:rtl/>
          <w:lang w:eastAsia="en-GB"/>
        </w:rPr>
        <w:t>بموجب</w:t>
      </w:r>
      <w:r>
        <w:rPr>
          <w:sz w:val="26"/>
          <w:szCs w:val="26"/>
          <w:rtl/>
          <w:lang w:eastAsia="en-GB"/>
        </w:rPr>
        <w:t xml:space="preserve"> المادة</w:t>
      </w:r>
      <w:r>
        <w:rPr>
          <w:rFonts w:hint="cs"/>
          <w:sz w:val="26"/>
          <w:szCs w:val="26"/>
          <w:rtl/>
          <w:lang w:eastAsia="en-GB"/>
        </w:rPr>
        <w:t> </w:t>
      </w:r>
      <w:r>
        <w:rPr>
          <w:sz w:val="26"/>
          <w:szCs w:val="26"/>
          <w:lang w:eastAsia="en-GB"/>
        </w:rPr>
        <w:t>5</w:t>
      </w:r>
      <w:r>
        <w:rPr>
          <w:sz w:val="26"/>
          <w:szCs w:val="26"/>
          <w:rtl/>
          <w:lang w:eastAsia="en-GB"/>
        </w:rPr>
        <w:t>: أستراليا (نائب الرئيس) والنمسا، وبلجيكا، وفرنسا، واليابان، وكازاخستان والولايات المتحدة الأمريكية.</w:t>
      </w:r>
    </w:p>
    <w:p w14:paraId="571251C1" w14:textId="4FEA9453" w:rsidR="00DA32A6" w:rsidRPr="00DA32A6" w:rsidRDefault="00DA32A6" w:rsidP="00885C27">
      <w:pPr>
        <w:pStyle w:val="Heading3"/>
        <w:numPr>
          <w:ilvl w:val="2"/>
          <w:numId w:val="16"/>
        </w:numPr>
        <w:bidi/>
        <w:spacing w:line="288" w:lineRule="auto"/>
        <w:ind w:left="720" w:firstLine="0"/>
        <w:rPr>
          <w:sz w:val="26"/>
          <w:szCs w:val="26"/>
          <w:lang w:eastAsia="en-GB"/>
        </w:rPr>
      </w:pPr>
      <w:r>
        <w:rPr>
          <w:rFonts w:hint="cs"/>
          <w:sz w:val="26"/>
          <w:szCs w:val="26"/>
          <w:rtl/>
          <w:lang w:eastAsia="en-GB"/>
        </w:rPr>
        <w:t xml:space="preserve">ويمكن الاطلاع على تقريري </w:t>
      </w:r>
      <w:r>
        <w:rPr>
          <w:sz w:val="26"/>
          <w:szCs w:val="26"/>
          <w:rtl/>
          <w:lang w:eastAsia="en-GB"/>
        </w:rPr>
        <w:t>الاجتماعين</w:t>
      </w:r>
      <w:r>
        <w:rPr>
          <w:sz w:val="26"/>
          <w:szCs w:val="26"/>
          <w:lang w:eastAsia="en-GB"/>
        </w:rPr>
        <w:t xml:space="preserve"> </w:t>
      </w:r>
      <w:r>
        <w:rPr>
          <w:lang w:eastAsia="en-GB"/>
        </w:rPr>
        <w:footnoteReference w:id="3"/>
      </w:r>
      <w:r>
        <w:rPr>
          <w:rFonts w:hint="cs"/>
          <w:sz w:val="26"/>
          <w:szCs w:val="26"/>
          <w:rtl/>
          <w:lang w:eastAsia="en-GB"/>
        </w:rPr>
        <w:t xml:space="preserve">السابع والتسعين والثامن والتسعين </w:t>
      </w:r>
      <w:r>
        <w:rPr>
          <w:sz w:val="26"/>
          <w:szCs w:val="26"/>
          <w:rtl/>
          <w:lang w:eastAsia="en-GB"/>
        </w:rPr>
        <w:t>على الموقع الإلكتروني للصندوق المتعدد الأطراف (</w:t>
      </w:r>
      <w:r>
        <w:rPr>
          <w:sz w:val="26"/>
          <w:szCs w:val="26"/>
          <w:lang w:eastAsia="en-GB"/>
        </w:rPr>
        <w:t>https://www.multilateralfund.org/meetings</w:t>
      </w:r>
      <w:r>
        <w:rPr>
          <w:sz w:val="26"/>
          <w:szCs w:val="26"/>
          <w:rtl/>
          <w:lang w:eastAsia="en-GB"/>
        </w:rPr>
        <w:t>)</w:t>
      </w:r>
      <w:r>
        <w:rPr>
          <w:rFonts w:hint="cs"/>
          <w:sz w:val="26"/>
          <w:szCs w:val="26"/>
          <w:rtl/>
          <w:lang w:eastAsia="en-GB"/>
        </w:rPr>
        <w:t>.</w:t>
      </w:r>
    </w:p>
    <w:p w14:paraId="5072BE91" w14:textId="2104ADE8" w:rsidR="00C13E1B" w:rsidRPr="00C13E1B" w:rsidRDefault="00E26491" w:rsidP="009537BF">
      <w:pPr>
        <w:pStyle w:val="CH2"/>
        <w:tabs>
          <w:tab w:val="clear" w:pos="851"/>
          <w:tab w:val="clear" w:pos="1247"/>
          <w:tab w:val="clear" w:pos="1814"/>
          <w:tab w:val="clear" w:pos="2381"/>
          <w:tab w:val="clear" w:pos="2948"/>
          <w:tab w:val="clear" w:pos="3515"/>
          <w:tab w:val="clear" w:pos="4082"/>
          <w:tab w:val="right" w:pos="7200"/>
        </w:tabs>
        <w:bidi/>
        <w:spacing w:after="240"/>
        <w:ind w:left="1440" w:right="0" w:hanging="720"/>
        <w:rPr>
          <w:b w:val="0"/>
          <w:bCs/>
          <w:sz w:val="26"/>
          <w:szCs w:val="26"/>
          <w:lang w:val="en-US" w:bidi="ar-AE"/>
        </w:rPr>
      </w:pPr>
      <w:r>
        <w:rPr>
          <w:rFonts w:hint="cs"/>
          <w:b w:val="0"/>
          <w:bCs/>
          <w:sz w:val="26"/>
          <w:szCs w:val="26"/>
          <w:rtl/>
          <w:lang w:val="en-US" w:bidi="ar-AE"/>
        </w:rPr>
        <w:t>ألف.</w:t>
      </w:r>
      <w:r>
        <w:rPr>
          <w:b w:val="0"/>
          <w:bCs/>
          <w:sz w:val="26"/>
          <w:szCs w:val="26"/>
          <w:rtl/>
          <w:lang w:val="en-US" w:bidi="ar-AE"/>
        </w:rPr>
        <w:tab/>
        <w:t>مسائل السياسة العامة المتعلقة بتعديل كيغالي</w:t>
      </w:r>
    </w:p>
    <w:p w14:paraId="7D42B3F1" w14:textId="4CCEEF47" w:rsidR="00E26491" w:rsidRPr="00E26491" w:rsidRDefault="00E26491">
      <w:pPr>
        <w:pStyle w:val="ListParagraph"/>
        <w:keepNext/>
        <w:numPr>
          <w:ilvl w:val="0"/>
          <w:numId w:val="20"/>
        </w:numPr>
        <w:bidi/>
        <w:spacing w:after="240"/>
        <w:ind w:left="1440" w:hanging="720"/>
        <w:outlineLvl w:val="1"/>
        <w:rPr>
          <w:rFonts w:ascii="Times New Roman" w:hAnsi="Times New Roman" w:cs="Times New Roman"/>
          <w:bCs/>
          <w:sz w:val="26"/>
          <w:szCs w:val="26"/>
        </w:rPr>
      </w:pPr>
      <w:r>
        <w:rPr>
          <w:rFonts w:ascii="Times New Roman" w:hAnsi="Times New Roman" w:cs="Times New Roman"/>
          <w:bCs/>
          <w:sz w:val="26"/>
          <w:szCs w:val="26"/>
          <w:rtl/>
        </w:rPr>
        <w:t>النهج الاستراتيجية لتنفيذ تعديل كيغالي</w:t>
      </w:r>
    </w:p>
    <w:p w14:paraId="545EF193" w14:textId="7EB180B1" w:rsidR="00E26491" w:rsidRPr="00E26491" w:rsidRDefault="00183770" w:rsidP="00885C27">
      <w:pPr>
        <w:pStyle w:val="Heading3"/>
        <w:numPr>
          <w:ilvl w:val="2"/>
          <w:numId w:val="16"/>
        </w:numPr>
        <w:bidi/>
        <w:spacing w:line="288" w:lineRule="auto"/>
        <w:ind w:left="720" w:firstLine="0"/>
        <w:rPr>
          <w:sz w:val="26"/>
          <w:szCs w:val="26"/>
          <w:lang w:eastAsia="en-GB"/>
        </w:rPr>
      </w:pPr>
      <w:r>
        <w:rPr>
          <w:sz w:val="26"/>
          <w:szCs w:val="26"/>
          <w:rtl/>
          <w:lang w:eastAsia="en-GB"/>
        </w:rPr>
        <w:t>نظرت اللجنة التنفيذية، في الاجتماع الثامن والتسعين، في وثيقة حول النهج الاستراتيجية لتنفيذ تعديل كيغالي في البلدان العاملة بموجب المادة</w:t>
      </w:r>
      <w:r>
        <w:rPr>
          <w:rFonts w:hint="cs"/>
          <w:sz w:val="26"/>
          <w:szCs w:val="26"/>
          <w:rtl/>
          <w:lang w:eastAsia="en-GB"/>
        </w:rPr>
        <w:t> </w:t>
      </w:r>
      <w:r>
        <w:rPr>
          <w:sz w:val="26"/>
          <w:szCs w:val="26"/>
          <w:lang w:eastAsia="en-GB"/>
        </w:rPr>
        <w:t>5</w:t>
      </w:r>
      <w:r>
        <w:rPr>
          <w:sz w:val="26"/>
          <w:szCs w:val="26"/>
          <w:rtl/>
          <w:lang w:eastAsia="en-GB"/>
        </w:rPr>
        <w:t>، عملاً بالعناصر المشار إليها في المقرر</w:t>
      </w:r>
      <w:r>
        <w:rPr>
          <w:rFonts w:hint="cs"/>
          <w:sz w:val="26"/>
          <w:szCs w:val="26"/>
          <w:rtl/>
          <w:lang w:eastAsia="en-GB"/>
        </w:rPr>
        <w:t> </w:t>
      </w:r>
      <w:r>
        <w:rPr>
          <w:sz w:val="26"/>
          <w:szCs w:val="26"/>
          <w:lang w:val="en-US" w:eastAsia="en-GB"/>
        </w:rPr>
        <w:t>96</w:t>
      </w:r>
      <w:r>
        <w:rPr>
          <w:rFonts w:hint="cs"/>
          <w:sz w:val="26"/>
          <w:szCs w:val="26"/>
          <w:rtl/>
          <w:lang w:val="en-US" w:eastAsia="en-GB" w:bidi="ar-AE"/>
        </w:rPr>
        <w:t>/</w:t>
      </w:r>
      <w:r>
        <w:rPr>
          <w:sz w:val="26"/>
          <w:szCs w:val="26"/>
          <w:lang w:val="en-US" w:eastAsia="en-GB" w:bidi="ar-AE"/>
        </w:rPr>
        <w:t>57</w:t>
      </w:r>
      <w:r>
        <w:rPr>
          <w:sz w:val="26"/>
          <w:szCs w:val="26"/>
          <w:rtl/>
          <w:lang w:eastAsia="en-GB"/>
        </w:rPr>
        <w:t>.</w:t>
      </w:r>
      <w:r>
        <w:rPr>
          <w:rStyle w:val="FootnoteReference"/>
          <w:sz w:val="26"/>
          <w:szCs w:val="26"/>
          <w:lang w:val="en-US" w:eastAsia="en-GB"/>
        </w:rPr>
        <w:footnoteReference w:id="4"/>
      </w:r>
      <w:r>
        <w:rPr>
          <w:rFonts w:hint="cs"/>
          <w:sz w:val="26"/>
          <w:szCs w:val="26"/>
          <w:rtl/>
          <w:lang w:val="en-US" w:eastAsia="en-GB" w:bidi="ar-AE"/>
        </w:rPr>
        <w:t xml:space="preserve"> </w:t>
      </w:r>
      <w:r>
        <w:rPr>
          <w:sz w:val="26"/>
          <w:szCs w:val="26"/>
          <w:rtl/>
          <w:lang w:eastAsia="en-GB"/>
        </w:rPr>
        <w:t>ثم طلبت اللجنة من أمانة الصندوق إعداد معلومات، للنظر فيها في اجتماعها المائة، بشأن المكونات التالية التي يمكن أن توجه إعداد خطط تنفيذ كيغالي للمواد الهيدروفلوروكربونية في المستقبل، مسترشدة بالدروس المستفادة من خبرات التنفيذ السابقة في إطار الصندوق المتعدد الأطراف، مع إعطاء الأولوية لأنشطة الامتثال:</w:t>
      </w:r>
    </w:p>
    <w:p w14:paraId="797E8423" w14:textId="69006F89" w:rsidR="001C6AA1" w:rsidRPr="001C6AA1" w:rsidRDefault="00D2157D" w:rsidP="008E0FFC">
      <w:pPr>
        <w:pStyle w:val="Heading3"/>
        <w:numPr>
          <w:ilvl w:val="0"/>
          <w:numId w:val="21"/>
        </w:numPr>
        <w:bidi/>
        <w:spacing w:line="288" w:lineRule="auto"/>
        <w:ind w:left="2160" w:hanging="720"/>
        <w:rPr>
          <w:sz w:val="26"/>
          <w:szCs w:val="26"/>
          <w:lang w:eastAsia="en-GB"/>
        </w:rPr>
      </w:pPr>
      <w:r>
        <w:rPr>
          <w:sz w:val="26"/>
          <w:szCs w:val="26"/>
          <w:rtl/>
          <w:lang w:eastAsia="en-GB"/>
        </w:rPr>
        <w:t xml:space="preserve">أنواع الأنشطة </w:t>
      </w:r>
      <w:r>
        <w:rPr>
          <w:rFonts w:hint="cs"/>
          <w:sz w:val="26"/>
          <w:szCs w:val="26"/>
          <w:rtl/>
          <w:lang w:eastAsia="en-GB"/>
        </w:rPr>
        <w:t>المتعلقة بتسهيل</w:t>
      </w:r>
      <w:r>
        <w:rPr>
          <w:sz w:val="26"/>
          <w:szCs w:val="26"/>
          <w:rtl/>
          <w:lang w:eastAsia="en-GB"/>
        </w:rPr>
        <w:t xml:space="preserve"> التحول في قطاع خدمة التبريد والقطاع غير التصنيعي، مع التركيز على تعزيز الأطر المؤسسية القائمة والاستفادة منها في تدريب واعتماد الفنيين، بما في ذلك الربط باستراتيجيات إدارة دورة حياة غازات التبريد، وتعزيز كفاءة استخدام الطاقة، على أساس الدروس المستفادة من المشاريع التجريبية بموجب المقررين</w:t>
      </w:r>
      <w:r>
        <w:rPr>
          <w:rFonts w:hint="cs"/>
          <w:sz w:val="26"/>
          <w:szCs w:val="26"/>
          <w:rtl/>
          <w:lang w:eastAsia="en-GB"/>
        </w:rPr>
        <w:t> </w:t>
      </w:r>
      <w:r>
        <w:rPr>
          <w:sz w:val="26"/>
          <w:szCs w:val="26"/>
          <w:lang w:val="en-US" w:eastAsia="en-GB"/>
        </w:rPr>
        <w:t>89</w:t>
      </w:r>
      <w:r>
        <w:rPr>
          <w:rFonts w:hint="cs"/>
          <w:sz w:val="26"/>
          <w:szCs w:val="26"/>
          <w:rtl/>
          <w:lang w:val="en-US" w:eastAsia="en-GB" w:bidi="ar-AE"/>
        </w:rPr>
        <w:t>/</w:t>
      </w:r>
      <w:r>
        <w:rPr>
          <w:sz w:val="26"/>
          <w:szCs w:val="26"/>
          <w:lang w:val="en-US" w:eastAsia="en-GB" w:bidi="ar-AE"/>
        </w:rPr>
        <w:t>6</w:t>
      </w:r>
      <w:r>
        <w:rPr>
          <w:rFonts w:hint="cs"/>
          <w:sz w:val="26"/>
          <w:szCs w:val="26"/>
          <w:rtl/>
          <w:lang w:val="en-US" w:eastAsia="en-GB" w:bidi="ar-AE"/>
        </w:rPr>
        <w:t xml:space="preserve"> و</w:t>
      </w:r>
      <w:r>
        <w:rPr>
          <w:rFonts w:hint="eastAsia"/>
          <w:sz w:val="26"/>
          <w:szCs w:val="26"/>
          <w:rtl/>
          <w:lang w:val="en-US" w:eastAsia="en-GB" w:bidi="ar-AE"/>
        </w:rPr>
        <w:t> </w:t>
      </w:r>
      <w:r>
        <w:rPr>
          <w:sz w:val="26"/>
          <w:szCs w:val="26"/>
          <w:lang w:val="en-US" w:eastAsia="en-GB" w:bidi="ar-AE"/>
        </w:rPr>
        <w:t>91</w:t>
      </w:r>
      <w:r>
        <w:rPr>
          <w:rFonts w:hint="cs"/>
          <w:sz w:val="26"/>
          <w:szCs w:val="26"/>
          <w:rtl/>
          <w:lang w:val="en-US" w:eastAsia="en-GB" w:bidi="ar-AE"/>
        </w:rPr>
        <w:t>/</w:t>
      </w:r>
      <w:r>
        <w:rPr>
          <w:sz w:val="26"/>
          <w:szCs w:val="26"/>
          <w:lang w:val="en-US" w:eastAsia="en-GB" w:bidi="ar-AE"/>
        </w:rPr>
        <w:t>65</w:t>
      </w:r>
      <w:r>
        <w:rPr>
          <w:rFonts w:hint="cs"/>
          <w:sz w:val="26"/>
          <w:szCs w:val="26"/>
          <w:rtl/>
          <w:lang w:val="en-US" w:eastAsia="en-GB" w:bidi="ar-AE"/>
        </w:rPr>
        <w:t>؛</w:t>
      </w:r>
    </w:p>
    <w:p w14:paraId="7CB09198" w14:textId="1F266AF9" w:rsidR="001C6AA1" w:rsidRPr="001C6AA1" w:rsidRDefault="002B045B" w:rsidP="008E0FFC">
      <w:pPr>
        <w:pStyle w:val="Heading3"/>
        <w:numPr>
          <w:ilvl w:val="0"/>
          <w:numId w:val="21"/>
        </w:numPr>
        <w:bidi/>
        <w:spacing w:line="288" w:lineRule="auto"/>
        <w:ind w:left="2160" w:hanging="720"/>
        <w:rPr>
          <w:sz w:val="26"/>
          <w:szCs w:val="26"/>
          <w:lang w:eastAsia="en-GB"/>
        </w:rPr>
      </w:pPr>
      <w:r>
        <w:rPr>
          <w:sz w:val="26"/>
          <w:szCs w:val="26"/>
          <w:rtl/>
          <w:lang w:eastAsia="en-GB"/>
        </w:rPr>
        <w:t xml:space="preserve">أنواع الأنشطة </w:t>
      </w:r>
      <w:r>
        <w:rPr>
          <w:rFonts w:hint="cs"/>
          <w:sz w:val="26"/>
          <w:szCs w:val="26"/>
          <w:rtl/>
          <w:lang w:eastAsia="en-GB"/>
        </w:rPr>
        <w:t>المتعلقة بتسهيل</w:t>
      </w:r>
      <w:r>
        <w:rPr>
          <w:sz w:val="26"/>
          <w:szCs w:val="26"/>
          <w:rtl/>
          <w:lang w:eastAsia="en-GB"/>
        </w:rPr>
        <w:t xml:space="preserve"> التحول في قطاع تصنيع أجهزة التبريد وتكييف الهواء والمضخات الحرارية، بما في ذلك ما يتعلق بالمنشآت الصغيرة والمتوسطة، مع مراعاة تطوير واعتماد البنية التحتية للسلامة؛</w:t>
      </w:r>
    </w:p>
    <w:p w14:paraId="27CDC738" w14:textId="24D9CFD7" w:rsidR="001C6AA1" w:rsidRPr="001C6AA1" w:rsidRDefault="002B045B" w:rsidP="008E0FFC">
      <w:pPr>
        <w:pStyle w:val="Heading3"/>
        <w:numPr>
          <w:ilvl w:val="0"/>
          <w:numId w:val="21"/>
        </w:numPr>
        <w:bidi/>
        <w:spacing w:line="288" w:lineRule="auto"/>
        <w:ind w:left="2160" w:hanging="720"/>
        <w:rPr>
          <w:sz w:val="26"/>
          <w:szCs w:val="26"/>
          <w:lang w:eastAsia="en-GB"/>
        </w:rPr>
      </w:pPr>
      <w:r>
        <w:rPr>
          <w:sz w:val="26"/>
          <w:szCs w:val="26"/>
          <w:rtl/>
          <w:lang w:eastAsia="en-GB"/>
        </w:rPr>
        <w:t>العناصر الممكن أخذها بعين الاعتبار للمراحل المقبلة من خطط تنفيذ كيغالي للمواد الهيدروفلوروكربونية، والتي يمكن أن تشكل جزءاً من نهج شامل للبرنامج القطري، مع مراعاة استراتيجيات التحول التكنولوجي، وكذلك خطط التبريد الوطنية، حيثما ينطبق ذلك؛</w:t>
      </w:r>
    </w:p>
    <w:p w14:paraId="44121EAB" w14:textId="5D93CE40" w:rsidR="001C6AA1" w:rsidRPr="001C6AA1" w:rsidRDefault="00E06408" w:rsidP="008E0FFC">
      <w:pPr>
        <w:pStyle w:val="Heading3"/>
        <w:numPr>
          <w:ilvl w:val="0"/>
          <w:numId w:val="21"/>
        </w:numPr>
        <w:bidi/>
        <w:spacing w:line="288" w:lineRule="auto"/>
        <w:ind w:left="2160" w:hanging="720"/>
        <w:rPr>
          <w:sz w:val="26"/>
          <w:szCs w:val="26"/>
          <w:lang w:eastAsia="en-GB"/>
        </w:rPr>
      </w:pPr>
      <w:r>
        <w:rPr>
          <w:sz w:val="26"/>
          <w:szCs w:val="26"/>
          <w:rtl/>
          <w:lang w:eastAsia="en-GB"/>
        </w:rPr>
        <w:t xml:space="preserve">الدروس المستفادة من استخدام الصندوق المتعدد الأطراف للتمويل الميسر منذ إنشائه، لتزويد اللجنة بالمعلومات اللازمة </w:t>
      </w:r>
      <w:r>
        <w:rPr>
          <w:rFonts w:hint="cs"/>
          <w:sz w:val="26"/>
          <w:szCs w:val="26"/>
          <w:rtl/>
          <w:lang w:eastAsia="en-GB"/>
        </w:rPr>
        <w:t>عند</w:t>
      </w:r>
      <w:r>
        <w:rPr>
          <w:sz w:val="26"/>
          <w:szCs w:val="26"/>
          <w:rtl/>
          <w:lang w:eastAsia="en-GB"/>
        </w:rPr>
        <w:t xml:space="preserve"> نظرها في الأنشطة المحتملة؛</w:t>
      </w:r>
    </w:p>
    <w:p w14:paraId="28463492" w14:textId="66780931" w:rsidR="001C6AA1" w:rsidRPr="001C6AA1" w:rsidRDefault="00E06408" w:rsidP="008E0FFC">
      <w:pPr>
        <w:pStyle w:val="Heading3"/>
        <w:numPr>
          <w:ilvl w:val="0"/>
          <w:numId w:val="21"/>
        </w:numPr>
        <w:bidi/>
        <w:spacing w:line="288" w:lineRule="auto"/>
        <w:ind w:left="2160" w:hanging="720"/>
        <w:rPr>
          <w:sz w:val="26"/>
          <w:szCs w:val="26"/>
          <w:lang w:eastAsia="en-GB"/>
        </w:rPr>
      </w:pPr>
      <w:r>
        <w:rPr>
          <w:sz w:val="26"/>
          <w:szCs w:val="26"/>
          <w:rtl/>
          <w:lang w:eastAsia="en-GB"/>
        </w:rPr>
        <w:t>تحديث لخريطة الأنشطة ذات الصلة التي تضطلع بها مؤسسات التمويل الأخرى.</w:t>
      </w:r>
    </w:p>
    <w:p w14:paraId="3E28FAC5" w14:textId="17ED9D31" w:rsidR="00E06408" w:rsidRPr="00E06408" w:rsidRDefault="00AB097E" w:rsidP="00885C27">
      <w:pPr>
        <w:pStyle w:val="Heading3"/>
        <w:numPr>
          <w:ilvl w:val="2"/>
          <w:numId w:val="16"/>
        </w:numPr>
        <w:bidi/>
        <w:spacing w:line="288" w:lineRule="auto"/>
        <w:ind w:left="720" w:firstLine="0"/>
        <w:rPr>
          <w:sz w:val="26"/>
          <w:szCs w:val="26"/>
          <w:lang w:eastAsia="en-GB"/>
        </w:rPr>
      </w:pPr>
      <w:r>
        <w:rPr>
          <w:sz w:val="26"/>
          <w:szCs w:val="26"/>
          <w:rtl/>
          <w:lang w:eastAsia="en-GB"/>
        </w:rPr>
        <w:t xml:space="preserve">طُلب من أمانة الصندوق أيضاً إعداد معلومات، للاجتماع الثاني بعد المائة، مع مراعاة النسخة المحدثة </w:t>
      </w:r>
      <w:r>
        <w:rPr>
          <w:sz w:val="26"/>
          <w:szCs w:val="26"/>
          <w:rtl/>
          <w:lang w:eastAsia="en-GB"/>
        </w:rPr>
        <w:lastRenderedPageBreak/>
        <w:t>من التقرير عن مخططات حوافز المستخدمين النهائيين الممولة في إطار خطط إدارة إزالة المواد الهيدروكلوروفلوروكربونية المعتمدة</w:t>
      </w:r>
      <w:r>
        <w:rPr>
          <w:rFonts w:hint="cs"/>
          <w:sz w:val="26"/>
          <w:szCs w:val="26"/>
          <w:rtl/>
          <w:lang w:eastAsia="en-GB"/>
        </w:rPr>
        <w:t>،</w:t>
      </w:r>
      <w:r>
        <w:rPr>
          <w:sz w:val="26"/>
          <w:szCs w:val="26"/>
          <w:rtl/>
          <w:lang w:eastAsia="en-GB"/>
        </w:rPr>
        <w:t xml:space="preserve"> وخطط تنفيذ كيغالي للمواد الهيدروفلوروكربونية، والتي ستُقدم إلى الاجتماع الثاني بعد المائة بموجب المقرر</w:t>
      </w:r>
      <w:r>
        <w:rPr>
          <w:rFonts w:hint="cs"/>
          <w:sz w:val="26"/>
          <w:szCs w:val="26"/>
          <w:rtl/>
          <w:lang w:eastAsia="en-GB"/>
        </w:rPr>
        <w:t> </w:t>
      </w:r>
      <w:r>
        <w:rPr>
          <w:sz w:val="26"/>
          <w:szCs w:val="26"/>
          <w:lang w:val="en-US" w:eastAsia="en-GB"/>
        </w:rPr>
        <w:t>92</w:t>
      </w:r>
      <w:r>
        <w:rPr>
          <w:rFonts w:hint="cs"/>
          <w:sz w:val="26"/>
          <w:szCs w:val="26"/>
          <w:rtl/>
          <w:lang w:val="en-US" w:eastAsia="en-GB" w:bidi="ar-AE"/>
        </w:rPr>
        <w:t>/</w:t>
      </w:r>
      <w:r>
        <w:rPr>
          <w:sz w:val="26"/>
          <w:szCs w:val="26"/>
          <w:lang w:val="en-US" w:eastAsia="en-GB" w:bidi="ar-AE"/>
        </w:rPr>
        <w:t>36</w:t>
      </w:r>
      <w:r>
        <w:rPr>
          <w:sz w:val="26"/>
          <w:szCs w:val="26"/>
          <w:rtl/>
          <w:lang w:eastAsia="en-GB"/>
        </w:rPr>
        <w:t>، حول خيارات للطرائق المالية والترتيبات المؤسسية لدعم المستخدمين النهائيين، بهدف المساعدة في تحويل السوق ودعم التخفيض التدريجي المستدام للمواد الهيدروفلوروكربونية في إطار المراحل المقبلة من خطط تنفيذ كيغالي (المقرر</w:t>
      </w:r>
      <w:r>
        <w:rPr>
          <w:rFonts w:hint="cs"/>
          <w:sz w:val="26"/>
          <w:szCs w:val="26"/>
          <w:rtl/>
          <w:lang w:eastAsia="en-GB"/>
        </w:rPr>
        <w:t> </w:t>
      </w:r>
      <w:r>
        <w:rPr>
          <w:sz w:val="26"/>
          <w:szCs w:val="26"/>
          <w:lang w:val="en-US" w:eastAsia="en-GB"/>
        </w:rPr>
        <w:t>98</w:t>
      </w:r>
      <w:r>
        <w:rPr>
          <w:rFonts w:hint="cs"/>
          <w:sz w:val="26"/>
          <w:szCs w:val="26"/>
          <w:rtl/>
          <w:lang w:val="en-US" w:eastAsia="en-GB" w:bidi="ar-AE"/>
        </w:rPr>
        <w:t>/</w:t>
      </w:r>
      <w:r>
        <w:rPr>
          <w:sz w:val="26"/>
          <w:szCs w:val="26"/>
          <w:lang w:val="en-US" w:eastAsia="en-GB" w:bidi="ar-AE"/>
        </w:rPr>
        <w:t>61</w:t>
      </w:r>
      <w:r>
        <w:rPr>
          <w:sz w:val="26"/>
          <w:szCs w:val="26"/>
          <w:rtl/>
          <w:lang w:eastAsia="en-GB"/>
        </w:rPr>
        <w:t>).</w:t>
      </w:r>
    </w:p>
    <w:p w14:paraId="5C563A55" w14:textId="15D3E6EF" w:rsidR="0079714B" w:rsidRPr="0079714B" w:rsidRDefault="0079714B">
      <w:pPr>
        <w:pStyle w:val="ListParagraph"/>
        <w:keepNext/>
        <w:numPr>
          <w:ilvl w:val="0"/>
          <w:numId w:val="20"/>
        </w:numPr>
        <w:bidi/>
        <w:spacing w:after="240"/>
        <w:ind w:left="1440" w:hanging="720"/>
        <w:outlineLvl w:val="1"/>
        <w:rPr>
          <w:rFonts w:ascii="Times New Roman" w:hAnsi="Times New Roman" w:cs="Times New Roman"/>
          <w:bCs/>
          <w:sz w:val="26"/>
          <w:szCs w:val="26"/>
        </w:rPr>
      </w:pPr>
      <w:r>
        <w:rPr>
          <w:rFonts w:ascii="Times New Roman" w:hAnsi="Times New Roman" w:cs="Times New Roman"/>
          <w:bCs/>
          <w:sz w:val="26"/>
          <w:szCs w:val="26"/>
          <w:rtl/>
        </w:rPr>
        <w:t>القطاع الفرعي للتركيب والتجميع المحلي</w:t>
      </w:r>
    </w:p>
    <w:p w14:paraId="5FA303F2" w14:textId="61D5BB4B" w:rsidR="0079714B" w:rsidRPr="0079714B" w:rsidRDefault="0079714B" w:rsidP="00885C27">
      <w:pPr>
        <w:pStyle w:val="Heading3"/>
        <w:numPr>
          <w:ilvl w:val="2"/>
          <w:numId w:val="16"/>
        </w:numPr>
        <w:bidi/>
        <w:spacing w:line="288" w:lineRule="auto"/>
        <w:ind w:left="720" w:firstLine="0"/>
        <w:rPr>
          <w:sz w:val="26"/>
          <w:szCs w:val="26"/>
          <w:lang w:eastAsia="en-GB"/>
        </w:rPr>
      </w:pPr>
      <w:r>
        <w:rPr>
          <w:sz w:val="26"/>
          <w:szCs w:val="26"/>
          <w:rtl/>
          <w:lang w:eastAsia="en-GB"/>
        </w:rPr>
        <w:t>عملاً بالمقرر</w:t>
      </w:r>
      <w:r>
        <w:rPr>
          <w:rFonts w:hint="cs"/>
          <w:sz w:val="26"/>
          <w:szCs w:val="26"/>
          <w:rtl/>
          <w:lang w:eastAsia="en-GB"/>
        </w:rPr>
        <w:t> </w:t>
      </w:r>
      <w:r>
        <w:rPr>
          <w:sz w:val="26"/>
          <w:szCs w:val="26"/>
          <w:lang w:val="en-US" w:eastAsia="en-GB"/>
        </w:rPr>
        <w:t>95</w:t>
      </w:r>
      <w:r>
        <w:rPr>
          <w:rFonts w:hint="cs"/>
          <w:sz w:val="26"/>
          <w:szCs w:val="26"/>
          <w:rtl/>
          <w:lang w:val="en-US" w:eastAsia="en-GB" w:bidi="ar-AE"/>
        </w:rPr>
        <w:t>/</w:t>
      </w:r>
      <w:r>
        <w:rPr>
          <w:sz w:val="26"/>
          <w:szCs w:val="26"/>
          <w:lang w:val="en-US" w:eastAsia="en-GB" w:bidi="ar-AE"/>
        </w:rPr>
        <w:t>89</w:t>
      </w:r>
      <w:r>
        <w:rPr>
          <w:sz w:val="26"/>
          <w:szCs w:val="26"/>
          <w:rtl/>
          <w:lang w:eastAsia="en-GB"/>
        </w:rPr>
        <w:t>، نظرت اللجنة التنفيذية، في الاجتماع الثامن والتسعين، في وثيقة تقدم تحديثاً عن القطاع الفرعي للتركيب والتجميع المحلي</w:t>
      </w:r>
      <w:r>
        <w:rPr>
          <w:rStyle w:val="FootnoteReference"/>
          <w:sz w:val="26"/>
          <w:szCs w:val="26"/>
          <w:lang w:val="en-US" w:eastAsia="en-GB" w:bidi="ar-AE"/>
        </w:rPr>
        <w:footnoteReference w:id="5"/>
      </w:r>
      <w:r>
        <w:rPr>
          <w:sz w:val="26"/>
          <w:szCs w:val="26"/>
          <w:rtl/>
          <w:lang w:eastAsia="en-GB"/>
        </w:rPr>
        <w:t>. وبعد اعتماد المقرر</w:t>
      </w:r>
      <w:r>
        <w:rPr>
          <w:rFonts w:hint="cs"/>
          <w:sz w:val="26"/>
          <w:szCs w:val="26"/>
          <w:rtl/>
          <w:lang w:eastAsia="en-GB"/>
        </w:rPr>
        <w:t> </w:t>
      </w:r>
      <w:r>
        <w:rPr>
          <w:sz w:val="26"/>
          <w:szCs w:val="26"/>
          <w:lang w:val="en-US" w:eastAsia="en-GB"/>
        </w:rPr>
        <w:t>98</w:t>
      </w:r>
      <w:r>
        <w:rPr>
          <w:rFonts w:hint="cs"/>
          <w:sz w:val="26"/>
          <w:szCs w:val="26"/>
          <w:rtl/>
          <w:lang w:val="en-US" w:eastAsia="en-GB" w:bidi="ar-AE"/>
        </w:rPr>
        <w:t>/</w:t>
      </w:r>
      <w:r>
        <w:rPr>
          <w:sz w:val="26"/>
          <w:szCs w:val="26"/>
          <w:lang w:val="en-US" w:eastAsia="en-GB" w:bidi="ar-AE"/>
        </w:rPr>
        <w:t>61</w:t>
      </w:r>
      <w:r>
        <w:rPr>
          <w:sz w:val="26"/>
          <w:szCs w:val="26"/>
          <w:rtl/>
          <w:lang w:eastAsia="en-GB"/>
        </w:rPr>
        <w:t xml:space="preserve"> (انظر القسم</w:t>
      </w:r>
      <w:r>
        <w:rPr>
          <w:rFonts w:hint="cs"/>
          <w:sz w:val="26"/>
          <w:szCs w:val="26"/>
          <w:rtl/>
          <w:lang w:eastAsia="en-GB"/>
        </w:rPr>
        <w:t xml:space="preserve"> أولاً. ألف.</w:t>
      </w:r>
      <w:r>
        <w:rPr>
          <w:sz w:val="26"/>
          <w:szCs w:val="26"/>
          <w:lang w:eastAsia="en-GB"/>
        </w:rPr>
        <w:t>1</w:t>
      </w:r>
      <w:r>
        <w:rPr>
          <w:rFonts w:hint="cs"/>
          <w:sz w:val="26"/>
          <w:szCs w:val="26"/>
          <w:rtl/>
          <w:lang w:eastAsia="en-GB"/>
        </w:rPr>
        <w:t xml:space="preserve"> </w:t>
      </w:r>
      <w:r>
        <w:rPr>
          <w:sz w:val="26"/>
          <w:szCs w:val="26"/>
          <w:rtl/>
          <w:lang w:eastAsia="en-GB"/>
        </w:rPr>
        <w:t>أعلاه)، قررت اللجنة التنفيذية مواصلة النظر في مشاريع القطاع الفرعي للتركيب والتجميع المحلي في سياق خطط تنفيذ كيغالي، على أساس كل حالة على حدة، وفقاً للمقرر</w:t>
      </w:r>
      <w:r>
        <w:rPr>
          <w:rFonts w:hint="cs"/>
          <w:sz w:val="26"/>
          <w:szCs w:val="26"/>
          <w:rtl/>
          <w:lang w:eastAsia="en-GB"/>
        </w:rPr>
        <w:t> </w:t>
      </w:r>
      <w:r>
        <w:rPr>
          <w:sz w:val="26"/>
          <w:szCs w:val="26"/>
          <w:lang w:val="en-US" w:eastAsia="en-GB"/>
        </w:rPr>
        <w:t>95</w:t>
      </w:r>
      <w:r>
        <w:rPr>
          <w:rFonts w:hint="cs"/>
          <w:sz w:val="26"/>
          <w:szCs w:val="26"/>
          <w:rtl/>
          <w:lang w:val="en-US" w:eastAsia="en-GB" w:bidi="ar-AE"/>
        </w:rPr>
        <w:t>/</w:t>
      </w:r>
      <w:r>
        <w:rPr>
          <w:sz w:val="26"/>
          <w:szCs w:val="26"/>
          <w:lang w:val="en-US" w:eastAsia="en-GB" w:bidi="ar-AE"/>
        </w:rPr>
        <w:t>89</w:t>
      </w:r>
      <w:r>
        <w:rPr>
          <w:rFonts w:hint="cs"/>
          <w:sz w:val="26"/>
          <w:szCs w:val="26"/>
          <w:rtl/>
          <w:lang w:val="en-US" w:eastAsia="en-GB" w:bidi="ar-AE"/>
        </w:rPr>
        <w:t>(ب)</w:t>
      </w:r>
      <w:r>
        <w:rPr>
          <w:sz w:val="26"/>
          <w:szCs w:val="26"/>
          <w:rtl/>
          <w:lang w:eastAsia="en-GB"/>
        </w:rPr>
        <w:t xml:space="preserve">، وطلبت من أمانة الصندوق مواصلة جمع المعلومات عن القطاع الفرعي للتركيب والتجميع المحلي، التي تقدمها البلدان العاملة بموجب المادة </w:t>
      </w:r>
      <w:r>
        <w:rPr>
          <w:sz w:val="26"/>
          <w:szCs w:val="26"/>
          <w:lang w:eastAsia="en-GB"/>
        </w:rPr>
        <w:t>5</w:t>
      </w:r>
      <w:r>
        <w:rPr>
          <w:sz w:val="26"/>
          <w:szCs w:val="26"/>
          <w:rtl/>
          <w:lang w:eastAsia="en-GB"/>
        </w:rPr>
        <w:t xml:space="preserve"> في خطط تنفيذ كيغالي الخاصة بها، وتقديم تحديث عن هذا القطاع، كجزء من المعلومات المطلوبة من أمانة الصندوق في الاجتماع المائة بموجب المقرر</w:t>
      </w:r>
      <w:r>
        <w:rPr>
          <w:rFonts w:hint="cs"/>
          <w:sz w:val="26"/>
          <w:szCs w:val="26"/>
          <w:rtl/>
          <w:lang w:eastAsia="en-GB"/>
        </w:rPr>
        <w:t> </w:t>
      </w:r>
      <w:r>
        <w:rPr>
          <w:sz w:val="26"/>
          <w:szCs w:val="26"/>
          <w:lang w:val="en-US" w:eastAsia="en-GB"/>
        </w:rPr>
        <w:t>98</w:t>
      </w:r>
      <w:r>
        <w:rPr>
          <w:rFonts w:hint="cs"/>
          <w:sz w:val="26"/>
          <w:szCs w:val="26"/>
          <w:rtl/>
          <w:lang w:val="en-US" w:eastAsia="en-GB" w:bidi="ar-AE"/>
        </w:rPr>
        <w:t>/</w:t>
      </w:r>
      <w:r>
        <w:rPr>
          <w:sz w:val="26"/>
          <w:szCs w:val="26"/>
          <w:lang w:val="en-US" w:eastAsia="en-GB" w:bidi="ar-AE"/>
        </w:rPr>
        <w:t>61</w:t>
      </w:r>
      <w:r>
        <w:rPr>
          <w:sz w:val="26"/>
          <w:szCs w:val="26"/>
          <w:rtl/>
          <w:lang w:eastAsia="en-GB"/>
        </w:rPr>
        <w:t xml:space="preserve"> (المقرر</w:t>
      </w:r>
      <w:r>
        <w:rPr>
          <w:rFonts w:hint="cs"/>
          <w:sz w:val="26"/>
          <w:szCs w:val="26"/>
          <w:rtl/>
          <w:lang w:eastAsia="en-GB"/>
        </w:rPr>
        <w:t> </w:t>
      </w:r>
      <w:r>
        <w:rPr>
          <w:sz w:val="26"/>
          <w:szCs w:val="26"/>
          <w:lang w:val="en-US" w:eastAsia="en-GB"/>
        </w:rPr>
        <w:t>98</w:t>
      </w:r>
      <w:r>
        <w:rPr>
          <w:rFonts w:hint="cs"/>
          <w:sz w:val="26"/>
          <w:szCs w:val="26"/>
          <w:rtl/>
          <w:lang w:val="en-US" w:eastAsia="en-GB" w:bidi="ar-AE"/>
        </w:rPr>
        <w:t>/</w:t>
      </w:r>
      <w:r>
        <w:rPr>
          <w:sz w:val="26"/>
          <w:szCs w:val="26"/>
          <w:lang w:val="en-US" w:eastAsia="en-GB" w:bidi="ar-AE"/>
        </w:rPr>
        <w:t>59</w:t>
      </w:r>
      <w:r>
        <w:rPr>
          <w:sz w:val="26"/>
          <w:szCs w:val="26"/>
          <w:rtl/>
          <w:lang w:eastAsia="en-GB"/>
        </w:rPr>
        <w:t>).</w:t>
      </w:r>
    </w:p>
    <w:p w14:paraId="28022131" w14:textId="7F9F2F0C" w:rsidR="00F735BA" w:rsidRPr="00F735BA" w:rsidRDefault="00F735BA">
      <w:pPr>
        <w:pStyle w:val="ListParagraph"/>
        <w:keepNext/>
        <w:numPr>
          <w:ilvl w:val="0"/>
          <w:numId w:val="20"/>
        </w:numPr>
        <w:bidi/>
        <w:spacing w:after="240"/>
        <w:ind w:left="1440" w:hanging="720"/>
        <w:jc w:val="both"/>
        <w:outlineLvl w:val="1"/>
        <w:rPr>
          <w:rFonts w:ascii="Times New Roman Bold" w:hAnsi="Times New Roman Bold" w:cs="Times New Roman"/>
          <w:b/>
          <w:bCs/>
          <w:sz w:val="26"/>
          <w:szCs w:val="26"/>
        </w:rPr>
      </w:pPr>
      <w:r>
        <w:rPr>
          <w:rFonts w:ascii="Times New Roman Bold" w:hAnsi="Times New Roman Bold" w:cs="Times New Roman" w:hint="cs"/>
          <w:b/>
          <w:bCs/>
          <w:sz w:val="26"/>
          <w:szCs w:val="26"/>
          <w:rtl/>
        </w:rPr>
        <w:t>ال</w:t>
      </w:r>
      <w:r>
        <w:rPr>
          <w:rFonts w:ascii="Times New Roman Bold" w:hAnsi="Times New Roman Bold" w:cs="Times New Roman"/>
          <w:b/>
          <w:bCs/>
          <w:sz w:val="26"/>
          <w:szCs w:val="26"/>
          <w:rtl/>
        </w:rPr>
        <w:t xml:space="preserve">اقتطاع من نقطة البداية لاستهلاك المواد الهيدروفلوروكربونية في الحالات التي تتضمن فيها خطط تنفيذ كيغالي للمواد الهيدروفلوروكربونية التزامات بخفض يتجاوز هدف </w:t>
      </w:r>
      <w:r>
        <w:rPr>
          <w:rFonts w:ascii="Times New Roman Bold" w:hAnsi="Times New Roman Bold" w:cs="Times New Roman"/>
          <w:b/>
          <w:bCs/>
          <w:sz w:val="26"/>
          <w:szCs w:val="26"/>
        </w:rPr>
        <w:t>10</w:t>
      </w:r>
      <w:r>
        <w:rPr>
          <w:rFonts w:ascii="Times New Roman Bold" w:hAnsi="Times New Roman Bold" w:cs="Times New Roman"/>
          <w:b/>
          <w:bCs/>
          <w:sz w:val="26"/>
          <w:szCs w:val="26"/>
          <w:rtl/>
        </w:rPr>
        <w:t> في المائة بموجب تعديل كيغالي</w:t>
      </w:r>
    </w:p>
    <w:p w14:paraId="39874D91" w14:textId="772A1AC4" w:rsidR="00C32F0C" w:rsidRPr="00C32F0C" w:rsidRDefault="003A4A48" w:rsidP="00885C27">
      <w:pPr>
        <w:pStyle w:val="Heading3"/>
        <w:numPr>
          <w:ilvl w:val="2"/>
          <w:numId w:val="16"/>
        </w:numPr>
        <w:bidi/>
        <w:spacing w:line="288" w:lineRule="auto"/>
        <w:ind w:left="720" w:firstLine="0"/>
        <w:rPr>
          <w:sz w:val="26"/>
          <w:szCs w:val="26"/>
          <w:lang w:eastAsia="en-GB"/>
        </w:rPr>
      </w:pPr>
      <w:r>
        <w:rPr>
          <w:sz w:val="26"/>
          <w:szCs w:val="26"/>
          <w:rtl/>
          <w:lang w:eastAsia="en-GB"/>
        </w:rPr>
        <w:t xml:space="preserve">نظرت اللجنة التنفيذية، في اجتماعها الثامن والتسعين، في مسألة الاقتطاع من نقطة البداية لاستهلاك المواد الهيدروفلوروكربونية في الحالات التي تضمنت فيها خطط تنفيذ كيغالي التزامات بخفض يتجاوز هدف الـ </w:t>
      </w:r>
      <w:r>
        <w:rPr>
          <w:sz w:val="26"/>
          <w:szCs w:val="26"/>
          <w:lang w:eastAsia="en-GB"/>
        </w:rPr>
        <w:t>10</w:t>
      </w:r>
      <w:r>
        <w:rPr>
          <w:rFonts w:hint="cs"/>
          <w:sz w:val="26"/>
          <w:szCs w:val="26"/>
          <w:rtl/>
          <w:lang w:eastAsia="en-GB"/>
        </w:rPr>
        <w:t> </w:t>
      </w:r>
      <w:r>
        <w:rPr>
          <w:sz w:val="26"/>
          <w:szCs w:val="26"/>
          <w:rtl/>
          <w:lang w:eastAsia="en-GB"/>
        </w:rPr>
        <w:t xml:space="preserve">في المائة بموجب تعديل كيغالي. وبعد المناقشات التي جرت في الجلسة العامة وفي إطار فريق غير رسمي، طلبت اللجنة التنفيذية من أمانة الصندوق إعداد وثيقة موجزة للنظر فيها في الاجتماع التاسع والتسعين، بشأن تطبيق الاقتطاعات من نقطة البداية للتخفيضات الإجمالية المستدامة في استهلاك المواد الهيدروفلوروكربونية في الحالات التي تضمنت فيها خطة تنفيذ كيغالي هدفاً لخفض الاستهلاك يتجاوز </w:t>
      </w:r>
      <w:r>
        <w:rPr>
          <w:sz w:val="26"/>
          <w:szCs w:val="26"/>
          <w:lang w:eastAsia="en-GB"/>
        </w:rPr>
        <w:t>10</w:t>
      </w:r>
      <w:r>
        <w:rPr>
          <w:rFonts w:hint="cs"/>
          <w:sz w:val="26"/>
          <w:szCs w:val="26"/>
          <w:rtl/>
          <w:lang w:eastAsia="en-GB"/>
        </w:rPr>
        <w:t> </w:t>
      </w:r>
      <w:r>
        <w:rPr>
          <w:sz w:val="26"/>
          <w:szCs w:val="26"/>
          <w:rtl/>
          <w:lang w:eastAsia="en-GB"/>
        </w:rPr>
        <w:t>في المائة، بما في ذلك الحالات التي شهدت تقلبات كبيرة في الاستهلاك خلال سنوات خط الأساس (المقرر</w:t>
      </w:r>
      <w:r>
        <w:rPr>
          <w:rFonts w:hint="eastAsia"/>
          <w:sz w:val="26"/>
          <w:szCs w:val="26"/>
          <w:rtl/>
          <w:lang w:eastAsia="en-GB" w:bidi="ar-AE"/>
        </w:rPr>
        <w:t> </w:t>
      </w:r>
      <w:r>
        <w:rPr>
          <w:sz w:val="26"/>
          <w:szCs w:val="26"/>
          <w:lang w:val="en-US" w:eastAsia="en-GB" w:bidi="ar-AE"/>
        </w:rPr>
        <w:t>98</w:t>
      </w:r>
      <w:r>
        <w:rPr>
          <w:rFonts w:hint="cs"/>
          <w:sz w:val="26"/>
          <w:szCs w:val="26"/>
          <w:rtl/>
          <w:lang w:val="en-US" w:eastAsia="en-GB" w:bidi="ar-AE"/>
        </w:rPr>
        <w:t>/</w:t>
      </w:r>
      <w:r>
        <w:rPr>
          <w:sz w:val="26"/>
          <w:szCs w:val="26"/>
          <w:lang w:val="en-US" w:eastAsia="en-GB" w:bidi="ar-AE"/>
        </w:rPr>
        <w:t>24</w:t>
      </w:r>
      <w:r>
        <w:rPr>
          <w:sz w:val="26"/>
          <w:szCs w:val="26"/>
          <w:rtl/>
          <w:lang w:eastAsia="en-GB"/>
        </w:rPr>
        <w:t>).</w:t>
      </w:r>
    </w:p>
    <w:p w14:paraId="619D3DDF" w14:textId="294F122F" w:rsidR="00570395" w:rsidRPr="00434F97" w:rsidRDefault="00D842C0">
      <w:pPr>
        <w:pStyle w:val="ListParagraph"/>
        <w:keepNext/>
        <w:numPr>
          <w:ilvl w:val="0"/>
          <w:numId w:val="20"/>
        </w:numPr>
        <w:bidi/>
        <w:spacing w:after="240"/>
        <w:ind w:left="1440" w:hanging="720"/>
        <w:jc w:val="both"/>
        <w:outlineLvl w:val="1"/>
        <w:rPr>
          <w:rFonts w:ascii="Times New Roman" w:hAnsi="Times New Roman" w:cs="Times New Roman"/>
          <w:b/>
          <w:bCs/>
          <w:sz w:val="26"/>
          <w:szCs w:val="26"/>
        </w:rPr>
      </w:pPr>
      <w:r>
        <w:rPr>
          <w:rFonts w:ascii="Times New Roman" w:hAnsi="Times New Roman" w:cs="Times New Roman"/>
          <w:b/>
          <w:bCs/>
          <w:sz w:val="26"/>
          <w:szCs w:val="26"/>
          <w:rtl/>
        </w:rPr>
        <w:t>المسائل المتعلقة بالمشروعات المقدمة بموجب الإطار التشغيلي بشأن كفاءة استخدام الطاقة (المقرران </w:t>
      </w:r>
      <w:r>
        <w:rPr>
          <w:rFonts w:ascii="Times New Roman" w:hAnsi="Times New Roman" w:cs="Times New Roman"/>
          <w:b/>
          <w:bCs/>
          <w:sz w:val="26"/>
          <w:szCs w:val="26"/>
        </w:rPr>
        <w:t>94</w:t>
      </w:r>
      <w:r>
        <w:rPr>
          <w:rFonts w:ascii="Times New Roman" w:hAnsi="Times New Roman" w:cs="Times New Roman"/>
          <w:b/>
          <w:bCs/>
          <w:sz w:val="26"/>
          <w:szCs w:val="26"/>
          <w:rtl/>
          <w:lang w:bidi="ar-AE"/>
        </w:rPr>
        <w:t>/</w:t>
      </w:r>
      <w:r>
        <w:rPr>
          <w:rFonts w:ascii="Times New Roman" w:hAnsi="Times New Roman" w:cs="Times New Roman"/>
          <w:b/>
          <w:bCs/>
          <w:sz w:val="26"/>
          <w:szCs w:val="26"/>
          <w:lang w:bidi="ar-AE"/>
        </w:rPr>
        <w:t>60</w:t>
      </w:r>
      <w:r>
        <w:rPr>
          <w:rFonts w:ascii="Times New Roman" w:hAnsi="Times New Roman" w:cs="Times New Roman"/>
          <w:b/>
          <w:bCs/>
          <w:sz w:val="26"/>
          <w:szCs w:val="26"/>
          <w:rtl/>
          <w:lang w:bidi="ar-AE"/>
        </w:rPr>
        <w:t xml:space="preserve"> و</w:t>
      </w:r>
      <w:r>
        <w:rPr>
          <w:rFonts w:ascii="Times New Roman" w:hAnsi="Times New Roman" w:cs="Times New Roman"/>
          <w:b/>
          <w:bCs/>
          <w:sz w:val="26"/>
          <w:szCs w:val="26"/>
          <w:lang w:bidi="ar-AE"/>
        </w:rPr>
        <w:t>95</w:t>
      </w:r>
      <w:r>
        <w:rPr>
          <w:rFonts w:ascii="Times New Roman" w:hAnsi="Times New Roman" w:cs="Times New Roman"/>
          <w:b/>
          <w:bCs/>
          <w:sz w:val="26"/>
          <w:szCs w:val="26"/>
          <w:rtl/>
          <w:lang w:bidi="ar-AE"/>
        </w:rPr>
        <w:t>/</w:t>
      </w:r>
      <w:r>
        <w:rPr>
          <w:rFonts w:ascii="Times New Roman" w:hAnsi="Times New Roman" w:cs="Times New Roman"/>
          <w:b/>
          <w:bCs/>
          <w:sz w:val="26"/>
          <w:szCs w:val="26"/>
          <w:lang w:bidi="ar-AE"/>
        </w:rPr>
        <w:t>87</w:t>
      </w:r>
      <w:r>
        <w:rPr>
          <w:rFonts w:ascii="Times New Roman" w:hAnsi="Times New Roman" w:cs="Times New Roman"/>
          <w:b/>
          <w:bCs/>
          <w:sz w:val="26"/>
          <w:szCs w:val="26"/>
          <w:rtl/>
        </w:rPr>
        <w:t>)</w:t>
      </w:r>
    </w:p>
    <w:p w14:paraId="04D2A536" w14:textId="3AB841A4" w:rsidR="00002728" w:rsidRPr="00002728" w:rsidRDefault="00002728" w:rsidP="00885C27">
      <w:pPr>
        <w:pStyle w:val="Heading3"/>
        <w:numPr>
          <w:ilvl w:val="2"/>
          <w:numId w:val="16"/>
        </w:numPr>
        <w:bidi/>
        <w:spacing w:line="288" w:lineRule="auto"/>
        <w:ind w:left="720" w:firstLine="0"/>
        <w:rPr>
          <w:sz w:val="26"/>
          <w:szCs w:val="26"/>
          <w:lang w:eastAsia="en-GB"/>
        </w:rPr>
      </w:pPr>
      <w:r>
        <w:rPr>
          <w:sz w:val="26"/>
          <w:szCs w:val="26"/>
          <w:rtl/>
          <w:lang w:eastAsia="en-GB"/>
        </w:rPr>
        <w:t>ناقشت اللجنة التنفيذية، في الاجتماعين السابع والتسعين والثامن والتسعين، عدداً من المسائل المتعلقة بالمشروعات المقدمة بموجب الإطار التشغيلي بشأن كفاءة استخدام الطاقة</w:t>
      </w:r>
      <w:r>
        <w:rPr>
          <w:rStyle w:val="FootnoteReference"/>
          <w:sz w:val="26"/>
          <w:szCs w:val="26"/>
          <w:lang w:val="en-US" w:eastAsia="en-GB" w:bidi="ar-AE"/>
        </w:rPr>
        <w:footnoteReference w:id="6"/>
      </w:r>
      <w:r>
        <w:rPr>
          <w:sz w:val="26"/>
          <w:szCs w:val="26"/>
          <w:rtl/>
          <w:lang w:eastAsia="en-GB"/>
        </w:rPr>
        <w:t>، مشيرة إلى أن اللجنة، طلبت في مقررها</w:t>
      </w:r>
      <w:r>
        <w:rPr>
          <w:rFonts w:hint="cs"/>
          <w:sz w:val="26"/>
          <w:szCs w:val="26"/>
          <w:rtl/>
          <w:lang w:eastAsia="en-GB"/>
        </w:rPr>
        <w:t> </w:t>
      </w:r>
      <w:r>
        <w:rPr>
          <w:sz w:val="26"/>
          <w:szCs w:val="26"/>
          <w:lang w:eastAsia="en-GB"/>
        </w:rPr>
        <w:t>94</w:t>
      </w:r>
      <w:r>
        <w:rPr>
          <w:rFonts w:hint="cs"/>
          <w:sz w:val="26"/>
          <w:szCs w:val="26"/>
          <w:rtl/>
          <w:lang w:eastAsia="en-GB"/>
        </w:rPr>
        <w:t>/</w:t>
      </w:r>
      <w:r>
        <w:rPr>
          <w:sz w:val="26"/>
          <w:szCs w:val="26"/>
          <w:lang w:eastAsia="en-GB"/>
        </w:rPr>
        <w:t>60</w:t>
      </w:r>
      <w:r>
        <w:rPr>
          <w:rFonts w:hint="cs"/>
          <w:sz w:val="26"/>
          <w:szCs w:val="26"/>
          <w:rtl/>
          <w:lang w:eastAsia="en-GB"/>
        </w:rPr>
        <w:t>(ب)(</w:t>
      </w:r>
      <w:r>
        <w:rPr>
          <w:sz w:val="26"/>
          <w:szCs w:val="26"/>
          <w:lang w:eastAsia="en-GB"/>
        </w:rPr>
        <w:t>2</w:t>
      </w:r>
      <w:r>
        <w:rPr>
          <w:rFonts w:hint="cs"/>
          <w:sz w:val="26"/>
          <w:szCs w:val="26"/>
          <w:rtl/>
          <w:lang w:eastAsia="en-GB"/>
        </w:rPr>
        <w:t>)</w:t>
      </w:r>
      <w:r>
        <w:rPr>
          <w:sz w:val="26"/>
          <w:szCs w:val="26"/>
          <w:rtl/>
          <w:lang w:eastAsia="en-GB"/>
        </w:rPr>
        <w:t>، من أمانة الصندوق أن تقترح دورياً تحديث المنهجية المتفق عليها في ضوء الخبرة المكتسبة.</w:t>
      </w:r>
    </w:p>
    <w:p w14:paraId="45D16AE5" w14:textId="0377BFC9" w:rsidR="00434F97" w:rsidRPr="00434F97" w:rsidRDefault="00434F97">
      <w:pPr>
        <w:pStyle w:val="ListParagraph"/>
        <w:keepNext/>
        <w:numPr>
          <w:ilvl w:val="0"/>
          <w:numId w:val="22"/>
        </w:numPr>
        <w:bidi/>
        <w:spacing w:after="240"/>
        <w:ind w:left="1440" w:hanging="720"/>
        <w:contextualSpacing w:val="0"/>
        <w:jc w:val="both"/>
        <w:outlineLvl w:val="1"/>
        <w:rPr>
          <w:rFonts w:ascii="Times New Roman" w:hAnsi="Times New Roman" w:cs="Times New Roman"/>
          <w:b/>
          <w:bCs/>
          <w:sz w:val="26"/>
          <w:szCs w:val="26"/>
        </w:rPr>
      </w:pPr>
      <w:r>
        <w:rPr>
          <w:rFonts w:ascii="Times New Roman" w:hAnsi="Times New Roman" w:cs="Times New Roman"/>
          <w:b/>
          <w:bCs/>
          <w:sz w:val="26"/>
          <w:szCs w:val="26"/>
          <w:rtl/>
        </w:rPr>
        <w:lastRenderedPageBreak/>
        <w:t xml:space="preserve">نسبة المعدات التي تصنعها </w:t>
      </w:r>
      <w:r>
        <w:rPr>
          <w:rFonts w:ascii="Times New Roman" w:hAnsi="Times New Roman" w:cs="Times New Roman" w:hint="cs"/>
          <w:b/>
          <w:bCs/>
          <w:sz w:val="26"/>
          <w:szCs w:val="26"/>
          <w:rtl/>
        </w:rPr>
        <w:t>المنشآت</w:t>
      </w:r>
      <w:r>
        <w:rPr>
          <w:rFonts w:ascii="Times New Roman" w:hAnsi="Times New Roman" w:cs="Times New Roman"/>
          <w:b/>
          <w:bCs/>
          <w:sz w:val="26"/>
          <w:szCs w:val="26"/>
          <w:rtl/>
        </w:rPr>
        <w:t xml:space="preserve"> والمؤهلة للحصول على الحافز الإضافي للمكونات</w:t>
      </w:r>
    </w:p>
    <w:p w14:paraId="45A0B470" w14:textId="3F6C266C" w:rsidR="00434F97" w:rsidRPr="00434F97" w:rsidRDefault="00F01985" w:rsidP="00885C27">
      <w:pPr>
        <w:pStyle w:val="Heading3"/>
        <w:numPr>
          <w:ilvl w:val="2"/>
          <w:numId w:val="16"/>
        </w:numPr>
        <w:bidi/>
        <w:spacing w:line="288" w:lineRule="auto"/>
        <w:ind w:left="720" w:firstLine="0"/>
        <w:rPr>
          <w:sz w:val="26"/>
          <w:szCs w:val="26"/>
          <w:lang w:eastAsia="en-GB"/>
        </w:rPr>
      </w:pPr>
      <w:r>
        <w:rPr>
          <w:rFonts w:hint="cs"/>
          <w:sz w:val="26"/>
          <w:szCs w:val="26"/>
          <w:rtl/>
          <w:lang w:eastAsia="en-GB"/>
        </w:rPr>
        <w:t xml:space="preserve">في الاجتماع السابع والتسعين، </w:t>
      </w:r>
      <w:r>
        <w:rPr>
          <w:sz w:val="26"/>
          <w:szCs w:val="26"/>
          <w:rtl/>
          <w:lang w:eastAsia="en-GB"/>
        </w:rPr>
        <w:t xml:space="preserve">قررت اللجنة التنفيذية، بالنسبة للمشروعات المقدمة بموجب الإطار التشغيلي بشأن كفاءة استخدام الطاقة، الموافقة على الشروط الإضافية </w:t>
      </w:r>
      <w:r>
        <w:rPr>
          <w:rFonts w:hint="cs"/>
          <w:sz w:val="26"/>
          <w:szCs w:val="26"/>
          <w:rtl/>
          <w:lang w:eastAsia="en-GB"/>
        </w:rPr>
        <w:t>للمنشآت</w:t>
      </w:r>
      <w:r>
        <w:rPr>
          <w:sz w:val="26"/>
          <w:szCs w:val="26"/>
          <w:rtl/>
          <w:lang w:eastAsia="en-GB"/>
        </w:rPr>
        <w:t xml:space="preserve"> التي يقل حجم </w:t>
      </w:r>
      <w:r>
        <w:rPr>
          <w:rFonts w:hint="cs"/>
          <w:sz w:val="26"/>
          <w:szCs w:val="26"/>
          <w:rtl/>
          <w:lang w:eastAsia="en-GB"/>
        </w:rPr>
        <w:t>تصنيعها</w:t>
      </w:r>
      <w:r>
        <w:rPr>
          <w:sz w:val="26"/>
          <w:szCs w:val="26"/>
          <w:rtl/>
          <w:lang w:eastAsia="en-GB"/>
        </w:rPr>
        <w:t xml:space="preserve"> المؤهل</w:t>
      </w:r>
      <w:r>
        <w:rPr>
          <w:rFonts w:hint="cs"/>
          <w:sz w:val="26"/>
          <w:szCs w:val="26"/>
          <w:rtl/>
          <w:lang w:eastAsia="en-GB"/>
        </w:rPr>
        <w:t xml:space="preserve"> للحصول على حافز المكون الإضافي</w:t>
      </w:r>
      <w:r>
        <w:rPr>
          <w:sz w:val="26"/>
          <w:szCs w:val="26"/>
          <w:rtl/>
          <w:lang w:eastAsia="en-GB"/>
        </w:rPr>
        <w:t xml:space="preserve"> عن </w:t>
      </w:r>
      <w:r>
        <w:rPr>
          <w:sz w:val="26"/>
          <w:szCs w:val="26"/>
          <w:lang w:eastAsia="en-GB"/>
        </w:rPr>
        <w:t>50</w:t>
      </w:r>
      <w:r>
        <w:rPr>
          <w:rFonts w:hint="cs"/>
          <w:sz w:val="26"/>
          <w:szCs w:val="26"/>
          <w:rtl/>
          <w:lang w:eastAsia="en-GB"/>
        </w:rPr>
        <w:t> </w:t>
      </w:r>
      <w:r>
        <w:rPr>
          <w:sz w:val="26"/>
          <w:szCs w:val="26"/>
          <w:rtl/>
          <w:lang w:eastAsia="en-GB"/>
        </w:rPr>
        <w:t>في المائة</w:t>
      </w:r>
      <w:r>
        <w:rPr>
          <w:rFonts w:hint="cs"/>
          <w:sz w:val="26"/>
          <w:szCs w:val="26"/>
          <w:rtl/>
          <w:lang w:eastAsia="en-GB"/>
        </w:rPr>
        <w:t>،</w:t>
      </w:r>
      <w:r>
        <w:rPr>
          <w:sz w:val="26"/>
          <w:szCs w:val="26"/>
          <w:rtl/>
          <w:lang w:eastAsia="en-GB"/>
        </w:rPr>
        <w:t xml:space="preserve"> </w:t>
      </w:r>
      <w:r>
        <w:rPr>
          <w:rFonts w:hint="cs"/>
          <w:sz w:val="26"/>
          <w:szCs w:val="26"/>
          <w:rtl/>
          <w:lang w:eastAsia="en-GB"/>
        </w:rPr>
        <w:t>و</w:t>
      </w:r>
      <w:r>
        <w:rPr>
          <w:sz w:val="26"/>
          <w:szCs w:val="26"/>
          <w:rtl/>
          <w:lang w:eastAsia="en-GB"/>
        </w:rPr>
        <w:t>المحدد</w:t>
      </w:r>
      <w:r>
        <w:rPr>
          <w:rFonts w:hint="cs"/>
          <w:sz w:val="26"/>
          <w:szCs w:val="26"/>
          <w:rtl/>
          <w:lang w:eastAsia="en-GB"/>
        </w:rPr>
        <w:t>ة</w:t>
      </w:r>
      <w:r>
        <w:rPr>
          <w:sz w:val="26"/>
          <w:szCs w:val="26"/>
          <w:rtl/>
          <w:lang w:eastAsia="en-GB"/>
        </w:rPr>
        <w:t xml:space="preserve"> في الفقرتين الفرعيتين</w:t>
      </w:r>
      <w:r>
        <w:rPr>
          <w:rFonts w:hint="eastAsia"/>
          <w:sz w:val="26"/>
          <w:szCs w:val="26"/>
          <w:rtl/>
          <w:lang w:eastAsia="en-GB"/>
        </w:rPr>
        <w:t> </w:t>
      </w:r>
      <w:r>
        <w:rPr>
          <w:sz w:val="26"/>
          <w:szCs w:val="26"/>
          <w:lang w:val="en-US" w:eastAsia="en-GB"/>
        </w:rPr>
        <w:t>40</w:t>
      </w:r>
      <w:r>
        <w:rPr>
          <w:rFonts w:hint="cs"/>
          <w:sz w:val="26"/>
          <w:szCs w:val="26"/>
          <w:rtl/>
          <w:lang w:val="en-US" w:eastAsia="en-GB" w:bidi="ar-AE"/>
        </w:rPr>
        <w:t xml:space="preserve">(أ) و(ب) </w:t>
      </w:r>
      <w:r>
        <w:rPr>
          <w:rFonts w:hint="cs"/>
          <w:sz w:val="26"/>
          <w:szCs w:val="26"/>
          <w:rtl/>
          <w:lang w:eastAsia="en-GB"/>
        </w:rPr>
        <w:t xml:space="preserve">من </w:t>
      </w:r>
      <w:r>
        <w:rPr>
          <w:sz w:val="26"/>
          <w:szCs w:val="26"/>
          <w:rtl/>
          <w:lang w:eastAsia="en-GB"/>
        </w:rPr>
        <w:t xml:space="preserve">الوثيقة </w:t>
      </w:r>
      <w:r>
        <w:rPr>
          <w:sz w:val="26"/>
          <w:szCs w:val="26"/>
          <w:lang w:eastAsia="en-GB"/>
        </w:rPr>
        <w:t>UNEP/OzL.Pro/ExCom/97/26</w:t>
      </w:r>
      <w:r>
        <w:rPr>
          <w:sz w:val="26"/>
          <w:szCs w:val="26"/>
          <w:rtl/>
          <w:lang w:eastAsia="en-GB"/>
        </w:rPr>
        <w:t xml:space="preserve"> (المقرر</w:t>
      </w:r>
      <w:r>
        <w:rPr>
          <w:rFonts w:hint="cs"/>
          <w:sz w:val="26"/>
          <w:szCs w:val="26"/>
          <w:rtl/>
          <w:lang w:eastAsia="en-GB"/>
        </w:rPr>
        <w:t> </w:t>
      </w:r>
      <w:r>
        <w:rPr>
          <w:sz w:val="26"/>
          <w:szCs w:val="26"/>
          <w:lang w:val="en-US" w:eastAsia="en-GB"/>
        </w:rPr>
        <w:t>97</w:t>
      </w:r>
      <w:r>
        <w:rPr>
          <w:rFonts w:hint="cs"/>
          <w:sz w:val="26"/>
          <w:szCs w:val="26"/>
          <w:rtl/>
          <w:lang w:val="en-US" w:eastAsia="en-GB" w:bidi="ar-AE"/>
        </w:rPr>
        <w:t>/</w:t>
      </w:r>
      <w:r>
        <w:rPr>
          <w:sz w:val="26"/>
          <w:szCs w:val="26"/>
          <w:lang w:val="en-US" w:eastAsia="en-GB" w:bidi="ar-AE"/>
        </w:rPr>
        <w:t>32</w:t>
      </w:r>
      <w:r>
        <w:rPr>
          <w:sz w:val="26"/>
          <w:szCs w:val="26"/>
          <w:rtl/>
          <w:lang w:eastAsia="en-GB"/>
        </w:rPr>
        <w:t>).</w:t>
      </w:r>
    </w:p>
    <w:p w14:paraId="18CB1C37" w14:textId="1EC24DB7" w:rsidR="00434F97" w:rsidRPr="00434F97" w:rsidRDefault="00434F97">
      <w:pPr>
        <w:pStyle w:val="ListParagraph"/>
        <w:keepNext/>
        <w:numPr>
          <w:ilvl w:val="0"/>
          <w:numId w:val="22"/>
        </w:numPr>
        <w:bidi/>
        <w:spacing w:after="240"/>
        <w:ind w:left="1440" w:hanging="720"/>
        <w:contextualSpacing w:val="0"/>
        <w:jc w:val="both"/>
        <w:outlineLvl w:val="1"/>
        <w:rPr>
          <w:rFonts w:ascii="Times New Roman" w:hAnsi="Times New Roman" w:cs="Times New Roman"/>
          <w:b/>
          <w:bCs/>
          <w:sz w:val="26"/>
          <w:szCs w:val="26"/>
        </w:rPr>
      </w:pPr>
      <w:r>
        <w:rPr>
          <w:rFonts w:ascii="Times New Roman" w:hAnsi="Times New Roman" w:cs="Times New Roman"/>
          <w:b/>
          <w:bCs/>
          <w:sz w:val="26"/>
          <w:szCs w:val="26"/>
          <w:rtl/>
        </w:rPr>
        <w:t>مشاريع كفاءة استخدام الطاقة بموجب المقرر</w:t>
      </w:r>
      <w:r>
        <w:rPr>
          <w:rFonts w:ascii="Times New Roman" w:hAnsi="Times New Roman" w:cs="Times New Roman" w:hint="cs"/>
          <w:b/>
          <w:bCs/>
          <w:sz w:val="26"/>
          <w:szCs w:val="26"/>
          <w:rtl/>
        </w:rPr>
        <w:t> </w:t>
      </w:r>
      <w:r>
        <w:rPr>
          <w:rFonts w:ascii="Times New Roman" w:hAnsi="Times New Roman" w:cs="Times New Roman"/>
          <w:b/>
          <w:bCs/>
          <w:sz w:val="26"/>
          <w:szCs w:val="26"/>
        </w:rPr>
        <w:t>94</w:t>
      </w:r>
      <w:r>
        <w:rPr>
          <w:rFonts w:ascii="Times New Roman" w:hAnsi="Times New Roman" w:cs="Times New Roman" w:hint="cs"/>
          <w:b/>
          <w:bCs/>
          <w:sz w:val="26"/>
          <w:szCs w:val="26"/>
          <w:rtl/>
          <w:lang w:bidi="ar-AE"/>
        </w:rPr>
        <w:t>/</w:t>
      </w:r>
      <w:r>
        <w:rPr>
          <w:rFonts w:ascii="Times New Roman" w:hAnsi="Times New Roman" w:cs="Times New Roman"/>
          <w:b/>
          <w:bCs/>
          <w:sz w:val="26"/>
          <w:szCs w:val="26"/>
          <w:lang w:bidi="ar-AE"/>
        </w:rPr>
        <w:t>60</w:t>
      </w:r>
      <w:r>
        <w:rPr>
          <w:rFonts w:ascii="Times New Roman" w:hAnsi="Times New Roman" w:cs="Times New Roman"/>
          <w:b/>
          <w:bCs/>
          <w:sz w:val="26"/>
          <w:szCs w:val="26"/>
          <w:rtl/>
        </w:rPr>
        <w:t xml:space="preserve"> </w:t>
      </w:r>
      <w:r>
        <w:rPr>
          <w:rFonts w:ascii="Times New Roman" w:hAnsi="Times New Roman" w:cs="Times New Roman" w:hint="cs"/>
          <w:b/>
          <w:bCs/>
          <w:sz w:val="26"/>
          <w:szCs w:val="26"/>
          <w:rtl/>
        </w:rPr>
        <w:t>للمنشآت</w:t>
      </w:r>
      <w:r>
        <w:rPr>
          <w:rFonts w:ascii="Times New Roman" w:hAnsi="Times New Roman" w:cs="Times New Roman"/>
          <w:b/>
          <w:bCs/>
          <w:sz w:val="26"/>
          <w:szCs w:val="26"/>
          <w:rtl/>
        </w:rPr>
        <w:t xml:space="preserve"> التي قُدمت مشاريع تحويلها قبل اعتماد تعديل كيغالي</w:t>
      </w:r>
    </w:p>
    <w:p w14:paraId="01DB0FEB" w14:textId="4F644520" w:rsidR="00D85364" w:rsidRPr="00D85364" w:rsidRDefault="00D85364" w:rsidP="00885C27">
      <w:pPr>
        <w:pStyle w:val="Heading3"/>
        <w:numPr>
          <w:ilvl w:val="2"/>
          <w:numId w:val="16"/>
        </w:numPr>
        <w:bidi/>
        <w:spacing w:line="288" w:lineRule="auto"/>
        <w:ind w:left="720" w:firstLine="0"/>
        <w:rPr>
          <w:sz w:val="26"/>
          <w:szCs w:val="26"/>
          <w:lang w:eastAsia="en-GB"/>
        </w:rPr>
      </w:pPr>
      <w:r>
        <w:rPr>
          <w:sz w:val="26"/>
          <w:szCs w:val="26"/>
          <w:rtl/>
          <w:lang w:eastAsia="en-GB"/>
        </w:rPr>
        <w:t>نظرت اللجنة التنفيذية، في اجتماعها الثامن والتسعين، في مسألة مشاريع كفاءة استخدام الطاقة بموجب المقرر</w:t>
      </w:r>
      <w:r>
        <w:rPr>
          <w:rFonts w:hint="cs"/>
          <w:sz w:val="26"/>
          <w:szCs w:val="26"/>
          <w:rtl/>
          <w:lang w:eastAsia="en-GB"/>
        </w:rPr>
        <w:t> </w:t>
      </w:r>
      <w:r>
        <w:rPr>
          <w:sz w:val="26"/>
          <w:szCs w:val="26"/>
          <w:lang w:val="en-US" w:eastAsia="en-GB"/>
        </w:rPr>
        <w:t>94</w:t>
      </w:r>
      <w:r>
        <w:rPr>
          <w:rFonts w:hint="cs"/>
          <w:sz w:val="26"/>
          <w:szCs w:val="26"/>
          <w:rtl/>
          <w:lang w:val="en-US" w:eastAsia="en-GB" w:bidi="ar-AE"/>
        </w:rPr>
        <w:t>/</w:t>
      </w:r>
      <w:r>
        <w:rPr>
          <w:sz w:val="26"/>
          <w:szCs w:val="26"/>
          <w:lang w:val="en-US" w:eastAsia="en-GB" w:bidi="ar-AE"/>
        </w:rPr>
        <w:t>60</w:t>
      </w:r>
      <w:r>
        <w:rPr>
          <w:sz w:val="26"/>
          <w:szCs w:val="26"/>
          <w:rtl/>
          <w:lang w:eastAsia="en-GB"/>
        </w:rPr>
        <w:t xml:space="preserve"> </w:t>
      </w:r>
      <w:r>
        <w:rPr>
          <w:rFonts w:hint="cs"/>
          <w:sz w:val="26"/>
          <w:szCs w:val="26"/>
          <w:rtl/>
          <w:lang w:eastAsia="en-GB"/>
        </w:rPr>
        <w:t>للمنشآت</w:t>
      </w:r>
      <w:r>
        <w:rPr>
          <w:sz w:val="26"/>
          <w:szCs w:val="26"/>
          <w:rtl/>
          <w:lang w:eastAsia="en-GB"/>
        </w:rPr>
        <w:t xml:space="preserve"> التي قُدمت مشاريع تحويلها قبل اعتماد تعديل كيغالي. وبعد ذلك، طلبت اللجنة التنفيذية من أمانة الصندوق إعداد وثيقة موجزة للاجتماع التاسع والتسعين، تقدم معلومات عن خطوط تصنيع أجهزة التبريد وتكييف الهواء التي استكملت تحويلها في إطار مشاريع إزالة المواد الهيدروكلوروفلوروكربونية أو خفض المواد الهيدروفلوروكربونية المعتمدة من الصندوق المتعدد الأطراف (المقرر</w:t>
      </w:r>
      <w:r>
        <w:rPr>
          <w:rFonts w:hint="cs"/>
          <w:sz w:val="26"/>
          <w:szCs w:val="26"/>
          <w:rtl/>
          <w:lang w:eastAsia="en-GB"/>
        </w:rPr>
        <w:t> </w:t>
      </w:r>
      <w:r>
        <w:rPr>
          <w:sz w:val="26"/>
          <w:szCs w:val="26"/>
          <w:lang w:val="en-US" w:eastAsia="en-GB"/>
        </w:rPr>
        <w:t>98</w:t>
      </w:r>
      <w:r>
        <w:rPr>
          <w:rFonts w:hint="cs"/>
          <w:sz w:val="26"/>
          <w:szCs w:val="26"/>
          <w:rtl/>
          <w:lang w:val="en-US" w:eastAsia="en-GB" w:bidi="ar-AE"/>
        </w:rPr>
        <w:t>/</w:t>
      </w:r>
      <w:r>
        <w:rPr>
          <w:sz w:val="26"/>
          <w:szCs w:val="26"/>
          <w:lang w:val="en-US" w:eastAsia="en-GB" w:bidi="ar-AE"/>
        </w:rPr>
        <w:t>23</w:t>
      </w:r>
      <w:r>
        <w:rPr>
          <w:sz w:val="26"/>
          <w:szCs w:val="26"/>
          <w:rtl/>
          <w:lang w:eastAsia="en-GB"/>
        </w:rPr>
        <w:t>).</w:t>
      </w:r>
    </w:p>
    <w:p w14:paraId="23C3D01E" w14:textId="76D5A561" w:rsidR="00FA710B" w:rsidRPr="00FA710B" w:rsidRDefault="00FA710B">
      <w:pPr>
        <w:pStyle w:val="ListParagraph"/>
        <w:keepNext/>
        <w:numPr>
          <w:ilvl w:val="0"/>
          <w:numId w:val="22"/>
        </w:numPr>
        <w:bidi/>
        <w:spacing w:after="240"/>
        <w:ind w:left="1440" w:hanging="720"/>
        <w:contextualSpacing w:val="0"/>
        <w:jc w:val="both"/>
        <w:outlineLvl w:val="1"/>
        <w:rPr>
          <w:rFonts w:ascii="Times New Roman" w:hAnsi="Times New Roman" w:cs="Times New Roman"/>
          <w:b/>
          <w:bCs/>
          <w:sz w:val="26"/>
          <w:szCs w:val="26"/>
        </w:rPr>
      </w:pPr>
      <w:r>
        <w:rPr>
          <w:rFonts w:ascii="Times New Roman" w:hAnsi="Times New Roman" w:cs="Times New Roman"/>
          <w:b/>
          <w:bCs/>
          <w:sz w:val="26"/>
          <w:szCs w:val="26"/>
          <w:rtl/>
        </w:rPr>
        <w:t>أحجام التصنيع التي يتعين مراعاتها عند تقييم التكاليف الإضافية للمكونات في المشروعات الخاضعة للمقرر</w:t>
      </w:r>
      <w:r>
        <w:rPr>
          <w:rFonts w:ascii="Times New Roman" w:hAnsi="Times New Roman" w:cs="Times New Roman" w:hint="cs"/>
          <w:b/>
          <w:bCs/>
          <w:sz w:val="26"/>
          <w:szCs w:val="26"/>
          <w:rtl/>
        </w:rPr>
        <w:t> </w:t>
      </w:r>
      <w:r>
        <w:rPr>
          <w:rFonts w:ascii="Times New Roman" w:hAnsi="Times New Roman" w:cs="Times New Roman"/>
          <w:b/>
          <w:bCs/>
          <w:sz w:val="26"/>
          <w:szCs w:val="26"/>
        </w:rPr>
        <w:t>94</w:t>
      </w:r>
      <w:r>
        <w:rPr>
          <w:rFonts w:ascii="Times New Roman" w:hAnsi="Times New Roman" w:cs="Times New Roman" w:hint="cs"/>
          <w:b/>
          <w:bCs/>
          <w:sz w:val="26"/>
          <w:szCs w:val="26"/>
          <w:rtl/>
          <w:lang w:bidi="ar-AE"/>
        </w:rPr>
        <w:t>/</w:t>
      </w:r>
      <w:r>
        <w:rPr>
          <w:rFonts w:ascii="Times New Roman" w:hAnsi="Times New Roman" w:cs="Times New Roman"/>
          <w:b/>
          <w:bCs/>
          <w:sz w:val="26"/>
          <w:szCs w:val="26"/>
          <w:lang w:bidi="ar-AE"/>
        </w:rPr>
        <w:t>60</w:t>
      </w:r>
    </w:p>
    <w:p w14:paraId="77B75953" w14:textId="162A799D" w:rsidR="00ED2711" w:rsidRPr="00ED2711" w:rsidRDefault="00242350" w:rsidP="00885C27">
      <w:pPr>
        <w:pStyle w:val="Heading3"/>
        <w:numPr>
          <w:ilvl w:val="2"/>
          <w:numId w:val="16"/>
        </w:numPr>
        <w:bidi/>
        <w:spacing w:line="288" w:lineRule="auto"/>
        <w:ind w:left="720" w:firstLine="0"/>
        <w:rPr>
          <w:sz w:val="26"/>
          <w:szCs w:val="26"/>
          <w:lang w:eastAsia="en-GB"/>
        </w:rPr>
      </w:pPr>
      <w:r>
        <w:rPr>
          <w:sz w:val="26"/>
          <w:szCs w:val="26"/>
          <w:rtl/>
          <w:lang w:eastAsia="en-GB"/>
        </w:rPr>
        <w:t>قررت اللجنة التنفيذية في الاجتماع السابع والتسعين الإحاطة علماً بأنه، بالنسبة للمشروعات المقدمة بموجب الإطار التشغيلي بشأن كفاءة استخدام الطاقة، ستستخدم أمانة الصندوق إما بيانات السنة الأحدث أو متوسط بيانات السنوات الثلاث السابقة على تقديم المشروع، وذلك لتحديد أحجام التصنيع (المقرر</w:t>
      </w:r>
      <w:r>
        <w:rPr>
          <w:rFonts w:hint="cs"/>
          <w:sz w:val="26"/>
          <w:szCs w:val="26"/>
          <w:rtl/>
          <w:lang w:eastAsia="en-GB"/>
        </w:rPr>
        <w:t> </w:t>
      </w:r>
      <w:r>
        <w:rPr>
          <w:sz w:val="26"/>
          <w:szCs w:val="26"/>
          <w:lang w:val="en-US" w:eastAsia="en-GB"/>
        </w:rPr>
        <w:t>97</w:t>
      </w:r>
      <w:r>
        <w:rPr>
          <w:rFonts w:hint="cs"/>
          <w:sz w:val="26"/>
          <w:szCs w:val="26"/>
          <w:rtl/>
          <w:lang w:val="en-US" w:eastAsia="en-GB" w:bidi="ar-AE"/>
        </w:rPr>
        <w:t>/</w:t>
      </w:r>
      <w:r>
        <w:rPr>
          <w:sz w:val="26"/>
          <w:szCs w:val="26"/>
          <w:lang w:val="en-US" w:eastAsia="en-GB" w:bidi="ar-AE"/>
        </w:rPr>
        <w:t>33</w:t>
      </w:r>
      <w:r>
        <w:rPr>
          <w:sz w:val="26"/>
          <w:szCs w:val="26"/>
          <w:rtl/>
          <w:lang w:eastAsia="en-GB"/>
        </w:rPr>
        <w:t>).</w:t>
      </w:r>
    </w:p>
    <w:p w14:paraId="75EEF314" w14:textId="52673DAE" w:rsidR="004D193E" w:rsidRPr="004D193E" w:rsidRDefault="004D193E">
      <w:pPr>
        <w:pStyle w:val="ListParagraph"/>
        <w:keepNext/>
        <w:numPr>
          <w:ilvl w:val="0"/>
          <w:numId w:val="22"/>
        </w:numPr>
        <w:bidi/>
        <w:spacing w:after="240"/>
        <w:ind w:left="1440" w:hanging="720"/>
        <w:contextualSpacing w:val="0"/>
        <w:jc w:val="both"/>
        <w:outlineLvl w:val="1"/>
        <w:rPr>
          <w:rFonts w:ascii="Times New Roman" w:hAnsi="Times New Roman" w:cs="Times New Roman"/>
          <w:b/>
          <w:bCs/>
          <w:sz w:val="26"/>
          <w:szCs w:val="26"/>
        </w:rPr>
      </w:pPr>
      <w:r>
        <w:rPr>
          <w:rFonts w:ascii="Times New Roman" w:hAnsi="Times New Roman" w:cs="Times New Roman" w:hint="cs"/>
          <w:b/>
          <w:bCs/>
          <w:sz w:val="26"/>
          <w:szCs w:val="26"/>
          <w:rtl/>
        </w:rPr>
        <w:t>ت</w:t>
      </w:r>
      <w:r>
        <w:rPr>
          <w:rFonts w:ascii="Times New Roman" w:hAnsi="Times New Roman" w:cs="Times New Roman"/>
          <w:b/>
          <w:bCs/>
          <w:sz w:val="26"/>
          <w:szCs w:val="26"/>
          <w:rtl/>
        </w:rPr>
        <w:t xml:space="preserve">وفير تكاليف رأسمالية إضافية للمصنعين الذين يستخدمون مجموعات </w:t>
      </w:r>
      <w:r>
        <w:rPr>
          <w:rFonts w:ascii="Times New Roman" w:hAnsi="Times New Roman" w:cs="Times New Roman" w:hint="cs"/>
          <w:b/>
          <w:bCs/>
          <w:sz w:val="26"/>
          <w:szCs w:val="26"/>
          <w:rtl/>
        </w:rPr>
        <w:t>مجزأة</w:t>
      </w:r>
      <w:r>
        <w:rPr>
          <w:rFonts w:ascii="Times New Roman" w:hAnsi="Times New Roman" w:cs="Times New Roman"/>
          <w:b/>
          <w:bCs/>
          <w:sz w:val="26"/>
          <w:szCs w:val="26"/>
          <w:rtl/>
        </w:rPr>
        <w:t xml:space="preserve"> </w:t>
      </w:r>
      <w:r>
        <w:rPr>
          <w:rFonts w:ascii="Times New Roman" w:hAnsi="Times New Roman" w:cs="Times New Roman" w:hint="cs"/>
          <w:b/>
          <w:bCs/>
          <w:sz w:val="26"/>
          <w:szCs w:val="26"/>
          <w:rtl/>
        </w:rPr>
        <w:t>بالكامل</w:t>
      </w:r>
    </w:p>
    <w:p w14:paraId="38A0D596" w14:textId="535C7A64" w:rsidR="004D193E" w:rsidRPr="004D193E" w:rsidRDefault="004D193E" w:rsidP="00885C27">
      <w:pPr>
        <w:pStyle w:val="Heading3"/>
        <w:numPr>
          <w:ilvl w:val="2"/>
          <w:numId w:val="16"/>
        </w:numPr>
        <w:bidi/>
        <w:spacing w:line="288" w:lineRule="auto"/>
        <w:ind w:left="720" w:firstLine="0"/>
        <w:rPr>
          <w:sz w:val="26"/>
          <w:szCs w:val="26"/>
          <w:lang w:eastAsia="en-GB"/>
        </w:rPr>
      </w:pPr>
      <w:r>
        <w:rPr>
          <w:sz w:val="26"/>
          <w:szCs w:val="26"/>
          <w:rtl/>
          <w:lang w:eastAsia="en-GB"/>
        </w:rPr>
        <w:t xml:space="preserve">وفي الاجتماع السابع والتسعين أيضاً، وبعد إجراء مناقشة، وافقت اللجنة التنفيذية على تأجيل النظر، إلى اجتماع مستقبلي، في مسألة توفير تكاليف رأسمالية إضافية للمصنعين الذين يستخدمون مجموعات </w:t>
      </w:r>
      <w:r>
        <w:rPr>
          <w:rFonts w:hint="cs"/>
          <w:sz w:val="26"/>
          <w:szCs w:val="26"/>
          <w:rtl/>
          <w:lang w:eastAsia="en-GB"/>
        </w:rPr>
        <w:t>مجزأة</w:t>
      </w:r>
      <w:r>
        <w:rPr>
          <w:sz w:val="26"/>
          <w:szCs w:val="26"/>
          <w:rtl/>
          <w:lang w:eastAsia="en-GB"/>
        </w:rPr>
        <w:t xml:space="preserve"> </w:t>
      </w:r>
      <w:r>
        <w:rPr>
          <w:rFonts w:hint="cs"/>
          <w:sz w:val="26"/>
          <w:szCs w:val="26"/>
          <w:rtl/>
          <w:lang w:eastAsia="en-GB"/>
        </w:rPr>
        <w:t>بالكامل</w:t>
      </w:r>
      <w:r>
        <w:rPr>
          <w:sz w:val="26"/>
          <w:szCs w:val="26"/>
          <w:rtl/>
          <w:lang w:eastAsia="en-GB"/>
        </w:rPr>
        <w:t xml:space="preserve"> في المشاريع </w:t>
      </w:r>
      <w:r>
        <w:rPr>
          <w:rFonts w:hint="cs"/>
          <w:sz w:val="26"/>
          <w:szCs w:val="26"/>
          <w:rtl/>
          <w:lang w:eastAsia="en-GB"/>
        </w:rPr>
        <w:t>القادمة</w:t>
      </w:r>
      <w:r>
        <w:rPr>
          <w:sz w:val="26"/>
          <w:szCs w:val="26"/>
          <w:rtl/>
          <w:lang w:eastAsia="en-GB"/>
        </w:rPr>
        <w:t xml:space="preserve"> بموجب الإطار التشغيلي بشأن كفاءة استخدام الطاقة.</w:t>
      </w:r>
    </w:p>
    <w:p w14:paraId="46F7CB8B" w14:textId="1BE54811" w:rsidR="004D193E" w:rsidRPr="004D193E" w:rsidRDefault="004D193E">
      <w:pPr>
        <w:pStyle w:val="ListParagraph"/>
        <w:keepNext/>
        <w:numPr>
          <w:ilvl w:val="0"/>
          <w:numId w:val="20"/>
        </w:numPr>
        <w:bidi/>
        <w:spacing w:after="240"/>
        <w:ind w:left="1440" w:hanging="720"/>
        <w:jc w:val="both"/>
        <w:outlineLvl w:val="1"/>
        <w:rPr>
          <w:rFonts w:ascii="Times New Roman" w:hAnsi="Times New Roman" w:cs="Times New Roman"/>
          <w:b/>
          <w:bCs/>
          <w:sz w:val="26"/>
          <w:szCs w:val="26"/>
        </w:rPr>
      </w:pPr>
      <w:r>
        <w:rPr>
          <w:rFonts w:ascii="Times New Roman" w:hAnsi="Times New Roman" w:cs="Times New Roman"/>
          <w:b/>
          <w:bCs/>
          <w:sz w:val="26"/>
          <w:szCs w:val="26"/>
          <w:rtl/>
        </w:rPr>
        <w:t>تقييم نافذة التمويل لكفاءة استخدام الطاقة المنشأة بموجب المقرر</w:t>
      </w:r>
      <w:r>
        <w:rPr>
          <w:rFonts w:ascii="Times New Roman" w:hAnsi="Times New Roman" w:cs="Times New Roman" w:hint="cs"/>
          <w:b/>
          <w:bCs/>
          <w:sz w:val="26"/>
          <w:szCs w:val="26"/>
          <w:rtl/>
        </w:rPr>
        <w:t> </w:t>
      </w:r>
      <w:r>
        <w:rPr>
          <w:rFonts w:ascii="Times New Roman" w:hAnsi="Times New Roman" w:cs="Times New Roman"/>
          <w:b/>
          <w:bCs/>
          <w:sz w:val="26"/>
          <w:szCs w:val="26"/>
        </w:rPr>
        <w:t>91</w:t>
      </w:r>
      <w:r>
        <w:rPr>
          <w:rFonts w:ascii="Times New Roman" w:hAnsi="Times New Roman" w:cs="Times New Roman" w:hint="cs"/>
          <w:b/>
          <w:bCs/>
          <w:sz w:val="26"/>
          <w:szCs w:val="26"/>
          <w:rtl/>
          <w:lang w:bidi="ar-AE"/>
        </w:rPr>
        <w:t>/</w:t>
      </w:r>
      <w:r>
        <w:rPr>
          <w:rFonts w:ascii="Times New Roman" w:hAnsi="Times New Roman" w:cs="Times New Roman"/>
          <w:b/>
          <w:bCs/>
          <w:sz w:val="26"/>
          <w:szCs w:val="26"/>
          <w:lang w:bidi="ar-AE"/>
        </w:rPr>
        <w:t>65</w:t>
      </w:r>
    </w:p>
    <w:p w14:paraId="17DB477B" w14:textId="7EFD362C" w:rsidR="004D193E" w:rsidRPr="004D193E" w:rsidRDefault="00894DAC" w:rsidP="00885C27">
      <w:pPr>
        <w:pStyle w:val="Heading3"/>
        <w:numPr>
          <w:ilvl w:val="2"/>
          <w:numId w:val="16"/>
        </w:numPr>
        <w:bidi/>
        <w:spacing w:line="288" w:lineRule="auto"/>
        <w:ind w:left="720" w:firstLine="0"/>
        <w:rPr>
          <w:sz w:val="26"/>
          <w:szCs w:val="26"/>
          <w:lang w:eastAsia="en-GB"/>
        </w:rPr>
      </w:pPr>
      <w:r>
        <w:rPr>
          <w:sz w:val="26"/>
          <w:szCs w:val="26"/>
          <w:rtl/>
          <w:lang w:eastAsia="en-GB"/>
        </w:rPr>
        <w:t>أشار أحد أعضاء اللجنة التنفيذية، في الاجتماع الثامن والتسعين، إلى وجود رغبة لدى البلدان العاملة بموجب المادة</w:t>
      </w:r>
      <w:r>
        <w:rPr>
          <w:rFonts w:hint="cs"/>
          <w:sz w:val="26"/>
          <w:szCs w:val="26"/>
          <w:rtl/>
          <w:lang w:eastAsia="en-GB"/>
        </w:rPr>
        <w:t> </w:t>
      </w:r>
      <w:r>
        <w:rPr>
          <w:sz w:val="26"/>
          <w:szCs w:val="26"/>
          <w:lang w:eastAsia="en-GB"/>
        </w:rPr>
        <w:t>5</w:t>
      </w:r>
      <w:r>
        <w:rPr>
          <w:sz w:val="26"/>
          <w:szCs w:val="26"/>
          <w:rtl/>
          <w:lang w:eastAsia="en-GB"/>
        </w:rPr>
        <w:t xml:space="preserve"> في تقييم نافذة التمويل لكفاءة استخدام الطاقة المنشأة بموجب المقرر</w:t>
      </w:r>
      <w:r>
        <w:rPr>
          <w:rFonts w:hint="cs"/>
          <w:sz w:val="26"/>
          <w:szCs w:val="26"/>
          <w:rtl/>
          <w:lang w:eastAsia="en-GB"/>
        </w:rPr>
        <w:t> </w:t>
      </w:r>
      <w:r>
        <w:rPr>
          <w:sz w:val="26"/>
          <w:szCs w:val="26"/>
          <w:lang w:val="en-US" w:eastAsia="en-GB"/>
        </w:rPr>
        <w:t>91</w:t>
      </w:r>
      <w:r>
        <w:rPr>
          <w:rFonts w:hint="cs"/>
          <w:sz w:val="26"/>
          <w:szCs w:val="26"/>
          <w:rtl/>
          <w:lang w:val="en-US" w:eastAsia="en-GB" w:bidi="ar-AE"/>
        </w:rPr>
        <w:t>/</w:t>
      </w:r>
      <w:r>
        <w:rPr>
          <w:sz w:val="26"/>
          <w:szCs w:val="26"/>
          <w:lang w:val="en-US" w:eastAsia="en-GB" w:bidi="ar-AE"/>
        </w:rPr>
        <w:t>65</w:t>
      </w:r>
      <w:r>
        <w:rPr>
          <w:sz w:val="26"/>
          <w:szCs w:val="26"/>
          <w:rtl/>
          <w:lang w:eastAsia="en-GB"/>
        </w:rPr>
        <w:t>. وبعد المناقشات التي جرت في الجلسة العامة وعلى هامش الاجتماع، وافقت اللجنة التنفيذية على تأجيل النظر في هذه المسألة إلى اجتماع مستقبلي.</w:t>
      </w:r>
    </w:p>
    <w:p w14:paraId="4AC891AA" w14:textId="2BA52F1E" w:rsidR="00894DAC" w:rsidRPr="00894DAC" w:rsidRDefault="00894DAC">
      <w:pPr>
        <w:pStyle w:val="ListParagraph"/>
        <w:keepNext/>
        <w:numPr>
          <w:ilvl w:val="0"/>
          <w:numId w:val="20"/>
        </w:numPr>
        <w:bidi/>
        <w:spacing w:after="240"/>
        <w:ind w:left="1440" w:hanging="720"/>
        <w:contextualSpacing w:val="0"/>
        <w:jc w:val="both"/>
        <w:outlineLvl w:val="1"/>
        <w:rPr>
          <w:rFonts w:ascii="Times New Roman" w:hAnsi="Times New Roman" w:cs="Times New Roman"/>
          <w:b/>
          <w:bCs/>
          <w:sz w:val="26"/>
          <w:szCs w:val="26"/>
        </w:rPr>
      </w:pPr>
      <w:r>
        <w:rPr>
          <w:rFonts w:ascii="Times New Roman" w:hAnsi="Times New Roman" w:cs="Times New Roman"/>
          <w:b/>
          <w:bCs/>
          <w:sz w:val="26"/>
          <w:szCs w:val="26"/>
          <w:rtl/>
        </w:rPr>
        <w:t>تفعيل مراكز التميز من أجل التبريد المستدام ومراكز الاختبار الخاصة بكفاءة استخدام الطاقة</w:t>
      </w:r>
    </w:p>
    <w:p w14:paraId="4CBFE545" w14:textId="54367BD6" w:rsidR="00894DAC" w:rsidRDefault="00894DAC">
      <w:pPr>
        <w:pStyle w:val="ListParagraph"/>
        <w:keepNext/>
        <w:numPr>
          <w:ilvl w:val="0"/>
          <w:numId w:val="23"/>
        </w:numPr>
        <w:bidi/>
        <w:spacing w:after="240"/>
        <w:ind w:left="1440" w:hanging="720"/>
        <w:contextualSpacing w:val="0"/>
        <w:jc w:val="both"/>
        <w:outlineLvl w:val="1"/>
        <w:rPr>
          <w:rFonts w:ascii="Times New Roman" w:hAnsi="Times New Roman" w:cs="Times New Roman"/>
          <w:b/>
          <w:bCs/>
          <w:sz w:val="26"/>
          <w:szCs w:val="26"/>
        </w:rPr>
      </w:pPr>
      <w:r>
        <w:rPr>
          <w:rFonts w:ascii="Times New Roman" w:hAnsi="Times New Roman" w:cs="Times New Roman"/>
          <w:b/>
          <w:bCs/>
          <w:sz w:val="26"/>
          <w:szCs w:val="26"/>
          <w:rtl/>
        </w:rPr>
        <w:t>تفعيل مراكز التميز من أجل التبريد المستدام</w:t>
      </w:r>
    </w:p>
    <w:p w14:paraId="413CBFB1" w14:textId="60ABD22A" w:rsidR="00894DAC" w:rsidRPr="00894DAC" w:rsidRDefault="00894DAC" w:rsidP="00885C27">
      <w:pPr>
        <w:pStyle w:val="Heading3"/>
        <w:numPr>
          <w:ilvl w:val="2"/>
          <w:numId w:val="16"/>
        </w:numPr>
        <w:bidi/>
        <w:spacing w:line="288" w:lineRule="auto"/>
        <w:ind w:left="720" w:firstLine="0"/>
        <w:rPr>
          <w:sz w:val="26"/>
          <w:szCs w:val="26"/>
          <w:lang w:eastAsia="en-GB"/>
        </w:rPr>
      </w:pPr>
      <w:r>
        <w:rPr>
          <w:sz w:val="26"/>
          <w:szCs w:val="26"/>
          <w:rtl/>
          <w:lang w:eastAsia="en-GB"/>
        </w:rPr>
        <w:t>نظرت اللجنة التنفيذية في الاجتماع السابع والتسعين، وعملاً بالمقرر</w:t>
      </w:r>
      <w:r>
        <w:rPr>
          <w:rFonts w:hint="cs"/>
          <w:sz w:val="26"/>
          <w:szCs w:val="26"/>
          <w:rtl/>
          <w:lang w:eastAsia="en-GB"/>
        </w:rPr>
        <w:t> </w:t>
      </w:r>
      <w:r>
        <w:rPr>
          <w:sz w:val="26"/>
          <w:szCs w:val="26"/>
          <w:lang w:val="en-US" w:eastAsia="en-GB"/>
        </w:rPr>
        <w:t>95</w:t>
      </w:r>
      <w:r>
        <w:rPr>
          <w:rFonts w:hint="cs"/>
          <w:sz w:val="26"/>
          <w:szCs w:val="26"/>
          <w:rtl/>
          <w:lang w:val="en-US" w:eastAsia="en-GB" w:bidi="ar-AE"/>
        </w:rPr>
        <w:t>/</w:t>
      </w:r>
      <w:r>
        <w:rPr>
          <w:sz w:val="26"/>
          <w:szCs w:val="26"/>
          <w:lang w:val="en-US" w:eastAsia="en-GB" w:bidi="ar-AE"/>
        </w:rPr>
        <w:t>87</w:t>
      </w:r>
      <w:r>
        <w:rPr>
          <w:rFonts w:hint="cs"/>
          <w:sz w:val="26"/>
          <w:szCs w:val="26"/>
          <w:rtl/>
          <w:lang w:val="en-US" w:eastAsia="en-GB" w:bidi="ar-AE"/>
        </w:rPr>
        <w:t>(هـ</w:t>
      </w:r>
      <w:r>
        <w:rPr>
          <w:sz w:val="26"/>
          <w:szCs w:val="26"/>
          <w:rtl/>
          <w:lang w:eastAsia="en-GB"/>
        </w:rPr>
        <w:t xml:space="preserve">)، في وثيقة أعدتها </w:t>
      </w:r>
      <w:r>
        <w:rPr>
          <w:sz w:val="26"/>
          <w:szCs w:val="26"/>
          <w:rtl/>
          <w:lang w:eastAsia="en-GB"/>
        </w:rPr>
        <w:lastRenderedPageBreak/>
        <w:t>أمانة الصندوق بشأن تفعيل مراكز التميز من أجل التبريد المستدام</w:t>
      </w:r>
      <w:r>
        <w:rPr>
          <w:rStyle w:val="FootnoteReference"/>
          <w:sz w:val="26"/>
          <w:szCs w:val="26"/>
          <w:lang w:val="en-US" w:eastAsia="en-GB"/>
        </w:rPr>
        <w:footnoteReference w:id="7"/>
      </w:r>
      <w:r>
        <w:rPr>
          <w:sz w:val="26"/>
          <w:szCs w:val="26"/>
          <w:rtl/>
          <w:lang w:eastAsia="en-GB"/>
        </w:rPr>
        <w:t xml:space="preserve">. وعقب المناقشات التي دارت فيما بين فريق الاتصال، طلبت اللجنة التنفيذية إلى أمانة الصندوق وبرنامج المساعدة على الامتثال التابع </w:t>
      </w:r>
      <w:r>
        <w:rPr>
          <w:rFonts w:hint="cs"/>
          <w:sz w:val="26"/>
          <w:szCs w:val="26"/>
          <w:rtl/>
          <w:lang w:eastAsia="en-GB"/>
        </w:rPr>
        <w:t>لليونيب</w:t>
      </w:r>
      <w:r>
        <w:rPr>
          <w:sz w:val="26"/>
          <w:szCs w:val="26"/>
          <w:rtl/>
          <w:lang w:eastAsia="en-GB"/>
        </w:rPr>
        <w:t xml:space="preserve">، من خلال شبكاته المكونة من وحدات الأوزون الوطنية ومشروع التوأمة المتعلق بالكفاءة في استخدام الطاقة، تيسير المشاورات الإقليمية أو دون الإقليمية، بما في ذلك مع الوكالات الثنائية والمنفذة المعنية، بهدف جمع معلومات حول: مراكز التميز القائمة التي تقدم خدمات في قطاع التبريد وتكييف الهواء والمضخات الحرارية، </w:t>
      </w:r>
      <w:r>
        <w:rPr>
          <w:rFonts w:hint="cs"/>
          <w:sz w:val="26"/>
          <w:szCs w:val="26"/>
          <w:rtl/>
          <w:lang w:eastAsia="en-GB"/>
        </w:rPr>
        <w:t>فضلاً عن</w:t>
      </w:r>
      <w:r>
        <w:rPr>
          <w:sz w:val="26"/>
          <w:szCs w:val="26"/>
          <w:rtl/>
          <w:lang w:eastAsia="en-GB"/>
        </w:rPr>
        <w:t xml:space="preserve"> الخدمات المحددة التي تقدمها، وطريقة تشغيلها وتمويلها، وما إذا حققت إيرادات، وإن كانت كذلك، فكيف تم تحقيق </w:t>
      </w:r>
      <w:r>
        <w:rPr>
          <w:rFonts w:hint="cs"/>
          <w:sz w:val="26"/>
          <w:szCs w:val="26"/>
          <w:rtl/>
          <w:lang w:eastAsia="en-GB"/>
        </w:rPr>
        <w:t>تلك</w:t>
      </w:r>
      <w:r>
        <w:rPr>
          <w:sz w:val="26"/>
          <w:szCs w:val="26"/>
          <w:rtl/>
          <w:lang w:eastAsia="en-GB"/>
        </w:rPr>
        <w:t xml:space="preserve"> الإيرادات، وإمكانية عملها كمراكز مواضيعية إقليمية؛ واهتمام مختلف المناطق الفرعية باستضافة مركز إقليمي مواضيعي، بما في ذلك المواضيع الخاصة التي تهم المنطقة الفرعية وإمكانية تقديم الحكومات المعنية دعماً مقابلاً لتشغيل المراكز على المدى الطويل.</w:t>
      </w:r>
    </w:p>
    <w:p w14:paraId="07B1D211" w14:textId="0F4E49A6" w:rsidR="0083674F" w:rsidRPr="0083674F" w:rsidRDefault="0083674F" w:rsidP="00885C27">
      <w:pPr>
        <w:pStyle w:val="Heading3"/>
        <w:numPr>
          <w:ilvl w:val="2"/>
          <w:numId w:val="16"/>
        </w:numPr>
        <w:bidi/>
        <w:spacing w:line="288" w:lineRule="auto"/>
        <w:ind w:left="720" w:firstLine="0"/>
        <w:rPr>
          <w:sz w:val="26"/>
          <w:szCs w:val="26"/>
          <w:lang w:eastAsia="en-GB"/>
        </w:rPr>
      </w:pPr>
      <w:r>
        <w:rPr>
          <w:sz w:val="26"/>
          <w:szCs w:val="26"/>
          <w:rtl/>
          <w:lang w:eastAsia="en-GB"/>
        </w:rPr>
        <w:t>طلبت اللجنة إلى أمانة الصندوق إعداد تحديث للوثيقة قيد النظر</w:t>
      </w:r>
      <w:r>
        <w:rPr>
          <w:rFonts w:hint="cs"/>
          <w:sz w:val="26"/>
          <w:szCs w:val="26"/>
          <w:rtl/>
          <w:lang w:eastAsia="en-GB"/>
        </w:rPr>
        <w:t>، للاجتماع التاسع والتسعين، مع مراعاة المناقشات التي جرت في الاجتماع السابع والتسعين، بما في ذلك معلومات محددة عن</w:t>
      </w:r>
      <w:r>
        <w:rPr>
          <w:sz w:val="26"/>
          <w:szCs w:val="26"/>
          <w:rtl/>
          <w:lang w:eastAsia="en-GB"/>
        </w:rPr>
        <w:t xml:space="preserve"> المراكز الإقليمية</w:t>
      </w:r>
      <w:r>
        <w:rPr>
          <w:rFonts w:hint="cs"/>
          <w:sz w:val="26"/>
          <w:szCs w:val="26"/>
          <w:rtl/>
          <w:lang w:eastAsia="en-GB"/>
        </w:rPr>
        <w:t xml:space="preserve"> ذات الصلة</w:t>
      </w:r>
      <w:r>
        <w:rPr>
          <w:sz w:val="26"/>
          <w:szCs w:val="26"/>
          <w:rtl/>
          <w:lang w:eastAsia="en-GB"/>
        </w:rPr>
        <w:t xml:space="preserve"> القائمة والبلدان المهتمة باستضافتها، وأي نتائج للمشاورات المذكورة أعلاه والمعلومات التي أعدتها أمانة الأوزون وفقاً للمقرر</w:t>
      </w:r>
      <w:r>
        <w:rPr>
          <w:rFonts w:hint="cs"/>
          <w:sz w:val="26"/>
          <w:szCs w:val="26"/>
          <w:rtl/>
          <w:lang w:eastAsia="en-GB"/>
        </w:rPr>
        <w:t> </w:t>
      </w:r>
      <w:r>
        <w:rPr>
          <w:sz w:val="26"/>
          <w:szCs w:val="26"/>
          <w:lang w:val="en-US" w:eastAsia="en-GB"/>
        </w:rPr>
        <w:t>37</w:t>
      </w:r>
      <w:r>
        <w:rPr>
          <w:rFonts w:hint="cs"/>
          <w:sz w:val="26"/>
          <w:szCs w:val="26"/>
          <w:rtl/>
          <w:lang w:val="en-US" w:eastAsia="en-GB" w:bidi="ar-AE"/>
        </w:rPr>
        <w:t>/</w:t>
      </w:r>
      <w:r>
        <w:rPr>
          <w:sz w:val="26"/>
          <w:szCs w:val="26"/>
          <w:lang w:val="en-US" w:eastAsia="en-GB" w:bidi="ar-AE"/>
        </w:rPr>
        <w:t>5</w:t>
      </w:r>
      <w:r>
        <w:rPr>
          <w:rFonts w:hint="cs"/>
          <w:sz w:val="26"/>
          <w:szCs w:val="26"/>
          <w:rtl/>
          <w:lang w:val="en-US" w:eastAsia="en-GB" w:bidi="ar-AE"/>
        </w:rPr>
        <w:t xml:space="preserve"> </w:t>
      </w:r>
      <w:r>
        <w:rPr>
          <w:sz w:val="26"/>
          <w:szCs w:val="26"/>
          <w:rtl/>
          <w:lang w:eastAsia="en-GB"/>
        </w:rPr>
        <w:t>الصادر عن الاجتماع السابع والثلاثين للأطراف، بشأن المبادرات الوطنية والإقليمية لدعم تنفيذ تعديل كيغالي لبروتوكول مونتريال، إن وجدت، وخيارات ضمان توفير دعم طويل الأجل بعد إنجاز المشروع، مع مراعاة المناقشة التي جرت في الاجتماع السابع والتسعين للجنة التنفيذية (المقرر</w:t>
      </w:r>
      <w:r>
        <w:rPr>
          <w:rFonts w:hint="cs"/>
          <w:sz w:val="26"/>
          <w:szCs w:val="26"/>
          <w:rtl/>
          <w:lang w:eastAsia="en-GB"/>
        </w:rPr>
        <w:t> </w:t>
      </w:r>
      <w:r>
        <w:rPr>
          <w:sz w:val="26"/>
          <w:szCs w:val="26"/>
          <w:lang w:val="en-US" w:eastAsia="en-GB"/>
        </w:rPr>
        <w:t>97</w:t>
      </w:r>
      <w:r>
        <w:rPr>
          <w:rFonts w:hint="cs"/>
          <w:sz w:val="26"/>
          <w:szCs w:val="26"/>
          <w:rtl/>
          <w:lang w:val="en-US" w:eastAsia="en-GB" w:bidi="ar-AE"/>
        </w:rPr>
        <w:t>/</w:t>
      </w:r>
      <w:r>
        <w:rPr>
          <w:sz w:val="26"/>
          <w:szCs w:val="26"/>
          <w:lang w:val="en-US" w:eastAsia="en-GB" w:bidi="ar-AE"/>
        </w:rPr>
        <w:t>87</w:t>
      </w:r>
      <w:r>
        <w:rPr>
          <w:sz w:val="26"/>
          <w:szCs w:val="26"/>
          <w:rtl/>
          <w:lang w:eastAsia="en-GB"/>
        </w:rPr>
        <w:t>).</w:t>
      </w:r>
    </w:p>
    <w:p w14:paraId="5C38086B" w14:textId="2F62E9AB" w:rsidR="00876A2D" w:rsidRPr="00876A2D" w:rsidRDefault="00876A2D">
      <w:pPr>
        <w:pStyle w:val="ListParagraph"/>
        <w:keepNext/>
        <w:numPr>
          <w:ilvl w:val="0"/>
          <w:numId w:val="23"/>
        </w:numPr>
        <w:bidi/>
        <w:spacing w:after="240"/>
        <w:ind w:left="1440" w:hanging="720"/>
        <w:contextualSpacing w:val="0"/>
        <w:jc w:val="both"/>
        <w:outlineLvl w:val="1"/>
        <w:rPr>
          <w:rFonts w:ascii="Times New Roman" w:hAnsi="Times New Roman" w:cs="Times New Roman"/>
          <w:b/>
          <w:bCs/>
          <w:sz w:val="26"/>
          <w:szCs w:val="26"/>
        </w:rPr>
      </w:pPr>
      <w:r>
        <w:rPr>
          <w:rFonts w:ascii="Times New Roman" w:hAnsi="Times New Roman" w:cs="Times New Roman"/>
          <w:b/>
          <w:bCs/>
          <w:sz w:val="26"/>
          <w:szCs w:val="26"/>
          <w:rtl/>
        </w:rPr>
        <w:t>تفعيل مراكز الاختبار الخاصة بكفاءة استخدام الطاقة</w:t>
      </w:r>
    </w:p>
    <w:p w14:paraId="3C65BC5B" w14:textId="4FE2F074" w:rsidR="00876A2D" w:rsidRPr="00876A2D" w:rsidRDefault="00E07303" w:rsidP="00885C27">
      <w:pPr>
        <w:pStyle w:val="Heading3"/>
        <w:numPr>
          <w:ilvl w:val="2"/>
          <w:numId w:val="16"/>
        </w:numPr>
        <w:bidi/>
        <w:spacing w:line="288" w:lineRule="auto"/>
        <w:ind w:left="720" w:firstLine="0"/>
        <w:rPr>
          <w:sz w:val="26"/>
          <w:szCs w:val="26"/>
          <w:lang w:eastAsia="en-GB"/>
        </w:rPr>
      </w:pPr>
      <w:r>
        <w:rPr>
          <w:sz w:val="26"/>
          <w:szCs w:val="26"/>
          <w:rtl/>
          <w:lang w:eastAsia="en-GB"/>
        </w:rPr>
        <w:t>نظرت اللجنة التنفيذية خلال الاجتماع السابع والتسعين، وعملاً بالمقرر</w:t>
      </w:r>
      <w:r>
        <w:rPr>
          <w:rFonts w:hint="cs"/>
          <w:sz w:val="26"/>
          <w:szCs w:val="26"/>
          <w:rtl/>
          <w:lang w:eastAsia="en-GB"/>
        </w:rPr>
        <w:t> </w:t>
      </w:r>
      <w:r>
        <w:rPr>
          <w:sz w:val="26"/>
          <w:szCs w:val="26"/>
          <w:lang w:val="en-US" w:eastAsia="en-GB"/>
        </w:rPr>
        <w:t>95</w:t>
      </w:r>
      <w:r>
        <w:rPr>
          <w:rFonts w:hint="cs"/>
          <w:sz w:val="26"/>
          <w:szCs w:val="26"/>
          <w:rtl/>
          <w:lang w:val="en-US" w:eastAsia="en-GB" w:bidi="ar-AE"/>
        </w:rPr>
        <w:t>/</w:t>
      </w:r>
      <w:r>
        <w:rPr>
          <w:sz w:val="26"/>
          <w:szCs w:val="26"/>
          <w:lang w:val="en-US" w:eastAsia="en-GB" w:bidi="ar-AE"/>
        </w:rPr>
        <w:t>87</w:t>
      </w:r>
      <w:r>
        <w:rPr>
          <w:sz w:val="26"/>
          <w:szCs w:val="26"/>
          <w:rtl/>
          <w:lang w:eastAsia="en-GB"/>
        </w:rPr>
        <w:t>(هـ)، في وثيقة بشأن تفعيل مراكز الاختبار الخاصة بكفاءة استخدام الطاقة</w:t>
      </w:r>
      <w:r>
        <w:rPr>
          <w:rStyle w:val="FootnoteReference"/>
          <w:sz w:val="26"/>
          <w:szCs w:val="26"/>
          <w:lang w:val="en-US" w:eastAsia="en-GB"/>
        </w:rPr>
        <w:footnoteReference w:id="8"/>
      </w:r>
      <w:r>
        <w:rPr>
          <w:sz w:val="26"/>
          <w:szCs w:val="26"/>
          <w:rtl/>
          <w:lang w:eastAsia="en-GB"/>
        </w:rPr>
        <w:t>.</w:t>
      </w:r>
      <w:r>
        <w:rPr>
          <w:rFonts w:hint="cs"/>
          <w:sz w:val="26"/>
          <w:szCs w:val="26"/>
          <w:rtl/>
          <w:lang w:eastAsia="en-GB"/>
        </w:rPr>
        <w:t xml:space="preserve"> </w:t>
      </w:r>
      <w:r>
        <w:rPr>
          <w:sz w:val="26"/>
          <w:szCs w:val="26"/>
          <w:rtl/>
          <w:lang w:eastAsia="en-GB"/>
        </w:rPr>
        <w:t xml:space="preserve">وبعد مناقشة الموضوع من جانب فريق الاتصال المعني بالنظر في تفعيل مراكز التميز من أجل التبريد المستدام، قررت اللجنة التنفيذية النظر في تقديم تمويل لتعزيز أو تطوير مراكز الاختبار الخاصة بكفاءة استخدام الطاقة القائمة في البلدان </w:t>
      </w:r>
      <w:r>
        <w:rPr>
          <w:rFonts w:hint="cs"/>
          <w:sz w:val="26"/>
          <w:szCs w:val="26"/>
          <w:rtl/>
          <w:lang w:eastAsia="en-GB"/>
        </w:rPr>
        <w:t>المُصنعة</w:t>
      </w:r>
      <w:r>
        <w:rPr>
          <w:sz w:val="26"/>
          <w:szCs w:val="26"/>
          <w:rtl/>
          <w:lang w:eastAsia="en-GB"/>
        </w:rPr>
        <w:t>، في سياق المقترحات المقدمة بموجب المقرر</w:t>
      </w:r>
      <w:r>
        <w:rPr>
          <w:rFonts w:hint="cs"/>
          <w:sz w:val="26"/>
          <w:szCs w:val="26"/>
          <w:rtl/>
          <w:lang w:eastAsia="en-GB"/>
        </w:rPr>
        <w:t> </w:t>
      </w:r>
      <w:r>
        <w:rPr>
          <w:sz w:val="26"/>
          <w:szCs w:val="26"/>
          <w:lang w:val="en-US" w:eastAsia="en-GB"/>
        </w:rPr>
        <w:t>94</w:t>
      </w:r>
      <w:r>
        <w:rPr>
          <w:rFonts w:hint="cs"/>
          <w:sz w:val="26"/>
          <w:szCs w:val="26"/>
          <w:rtl/>
          <w:lang w:val="en-US" w:eastAsia="en-GB" w:bidi="ar-AE"/>
        </w:rPr>
        <w:t>/</w:t>
      </w:r>
      <w:r>
        <w:rPr>
          <w:sz w:val="26"/>
          <w:szCs w:val="26"/>
          <w:lang w:val="en-US" w:eastAsia="en-GB" w:bidi="ar-AE"/>
        </w:rPr>
        <w:t>60</w:t>
      </w:r>
      <w:r>
        <w:rPr>
          <w:sz w:val="26"/>
          <w:szCs w:val="26"/>
          <w:rtl/>
          <w:lang w:eastAsia="en-GB"/>
        </w:rPr>
        <w:t xml:space="preserve">، مع مراعاة المعلومات الواردة في الوثيقة المذكورة آنفاً بشأن تفعيل مراكز الاختبار الخاصة بكفاءة استخدام الطاقة. وطلبت اللجنة إلى أمانة الصندوق إعداد وثيقة، للاجتماع الثامن والتسعين، تتضمن معلومات إضافية حول الغرض من إنشاء مراكز الاختبار الخاصة بكفاءة استخدام الطاقة الجديدة في البلدان غير </w:t>
      </w:r>
      <w:r>
        <w:rPr>
          <w:rFonts w:hint="cs"/>
          <w:sz w:val="26"/>
          <w:szCs w:val="26"/>
          <w:rtl/>
          <w:lang w:eastAsia="en-GB"/>
        </w:rPr>
        <w:t>المُصنعة</w:t>
      </w:r>
      <w:r>
        <w:rPr>
          <w:sz w:val="26"/>
          <w:szCs w:val="26"/>
          <w:rtl/>
          <w:lang w:eastAsia="en-GB"/>
        </w:rPr>
        <w:t xml:space="preserve"> وهدفها وطُرق استدامتها، مع إمكانية تحديد منطقة فرعية أو أكثر تحتاج إلى مثل هذه المراكز لمساعدة البلدان العاملة </w:t>
      </w:r>
      <w:r>
        <w:rPr>
          <w:rFonts w:hint="cs"/>
          <w:sz w:val="26"/>
          <w:szCs w:val="26"/>
          <w:rtl/>
          <w:lang w:eastAsia="en-GB"/>
        </w:rPr>
        <w:t>بموجب</w:t>
      </w:r>
      <w:r>
        <w:rPr>
          <w:sz w:val="26"/>
          <w:szCs w:val="26"/>
          <w:rtl/>
          <w:lang w:eastAsia="en-GB"/>
        </w:rPr>
        <w:t xml:space="preserve"> المادة</w:t>
      </w:r>
      <w:r>
        <w:rPr>
          <w:rFonts w:hint="cs"/>
          <w:sz w:val="26"/>
          <w:szCs w:val="26"/>
          <w:rtl/>
          <w:lang w:eastAsia="en-GB"/>
        </w:rPr>
        <w:t> </w:t>
      </w:r>
      <w:r>
        <w:rPr>
          <w:sz w:val="26"/>
          <w:szCs w:val="26"/>
          <w:lang w:eastAsia="en-GB"/>
        </w:rPr>
        <w:t>5</w:t>
      </w:r>
      <w:r>
        <w:rPr>
          <w:sz w:val="26"/>
          <w:szCs w:val="26"/>
          <w:rtl/>
          <w:lang w:eastAsia="en-GB"/>
        </w:rPr>
        <w:t xml:space="preserve"> في تلبية المعايير الدنيا لأداء الطاقة التي تم تطويرها بدعم من الصندوق المتعدد الأطراف (المقرر</w:t>
      </w:r>
      <w:r>
        <w:rPr>
          <w:rFonts w:hint="cs"/>
          <w:sz w:val="26"/>
          <w:szCs w:val="26"/>
          <w:rtl/>
          <w:lang w:eastAsia="en-GB" w:bidi="ar-AE"/>
        </w:rPr>
        <w:t> </w:t>
      </w:r>
      <w:r>
        <w:rPr>
          <w:sz w:val="26"/>
          <w:szCs w:val="26"/>
          <w:lang w:val="en-US" w:eastAsia="en-GB" w:bidi="ar-AE"/>
        </w:rPr>
        <w:t>97</w:t>
      </w:r>
      <w:r>
        <w:rPr>
          <w:rFonts w:hint="cs"/>
          <w:sz w:val="26"/>
          <w:szCs w:val="26"/>
          <w:rtl/>
          <w:lang w:val="en-US" w:eastAsia="en-GB" w:bidi="ar-AE"/>
        </w:rPr>
        <w:t>/</w:t>
      </w:r>
      <w:r>
        <w:rPr>
          <w:sz w:val="26"/>
          <w:szCs w:val="26"/>
          <w:lang w:val="en-US" w:eastAsia="en-GB" w:bidi="ar-AE"/>
        </w:rPr>
        <w:t>88</w:t>
      </w:r>
      <w:r>
        <w:rPr>
          <w:sz w:val="26"/>
          <w:szCs w:val="26"/>
          <w:rtl/>
          <w:lang w:eastAsia="en-GB"/>
        </w:rPr>
        <w:t>).</w:t>
      </w:r>
    </w:p>
    <w:p w14:paraId="466576C5" w14:textId="35BB7D84" w:rsidR="00EA53A6" w:rsidRPr="00EA53A6" w:rsidRDefault="00EA53A6" w:rsidP="00885C27">
      <w:pPr>
        <w:pStyle w:val="Heading3"/>
        <w:numPr>
          <w:ilvl w:val="2"/>
          <w:numId w:val="16"/>
        </w:numPr>
        <w:bidi/>
        <w:spacing w:line="288" w:lineRule="auto"/>
        <w:ind w:left="720" w:firstLine="0"/>
        <w:rPr>
          <w:sz w:val="26"/>
          <w:szCs w:val="26"/>
          <w:lang w:eastAsia="en-GB"/>
        </w:rPr>
      </w:pPr>
      <w:r>
        <w:rPr>
          <w:sz w:val="26"/>
          <w:szCs w:val="26"/>
          <w:rtl/>
          <w:lang w:eastAsia="en-GB"/>
        </w:rPr>
        <w:t>نظرت اللجنة التنفيذية، في الاجتماع الثامن والتسعين، في المعلومات المطلوبة بشأن مراكز اختبار كفاءة الطاقة الجديدة في البلدان غير المصنعة</w:t>
      </w:r>
      <w:r>
        <w:rPr>
          <w:rStyle w:val="FootnoteReference"/>
          <w:sz w:val="26"/>
          <w:szCs w:val="26"/>
          <w:lang w:val="en-US" w:eastAsia="en-GB"/>
        </w:rPr>
        <w:footnoteReference w:id="9"/>
      </w:r>
      <w:r>
        <w:rPr>
          <w:sz w:val="26"/>
          <w:szCs w:val="26"/>
          <w:rtl/>
          <w:lang w:eastAsia="en-GB"/>
        </w:rPr>
        <w:t>. وطلبت من أمانة الصندوق وبرنامج المساعدة على الامتثال التابع لليونيب، من خلال شبكات وحدات الأوزون الوطنية ومشروع التوأمة المتعلق بكفاءة استخدام الطاقة، بما في ذلك مع الوكالات الثنائية والمنفذة المعنية، مواصلة المشاورات بشأن مراكز الاختبار الإقليمية لمساعدة البلدان العاملة بموجب المادة</w:t>
      </w:r>
      <w:r>
        <w:rPr>
          <w:rFonts w:hint="cs"/>
          <w:sz w:val="26"/>
          <w:szCs w:val="26"/>
          <w:rtl/>
          <w:lang w:eastAsia="en-GB"/>
        </w:rPr>
        <w:t> </w:t>
      </w:r>
      <w:r>
        <w:rPr>
          <w:sz w:val="26"/>
          <w:szCs w:val="26"/>
          <w:lang w:val="en-US" w:eastAsia="en-GB"/>
        </w:rPr>
        <w:t>5</w:t>
      </w:r>
      <w:r>
        <w:rPr>
          <w:sz w:val="26"/>
          <w:szCs w:val="26"/>
          <w:rtl/>
          <w:lang w:eastAsia="en-GB"/>
        </w:rPr>
        <w:t xml:space="preserve"> على الوفاء بالحد الأدنى من معايير أداء الطاقة التي تم تطويرها بدعم من </w:t>
      </w:r>
      <w:r>
        <w:rPr>
          <w:sz w:val="26"/>
          <w:szCs w:val="26"/>
          <w:rtl/>
          <w:lang w:eastAsia="en-GB"/>
        </w:rPr>
        <w:lastRenderedPageBreak/>
        <w:t xml:space="preserve">الصندوق المتعدد الأطراف، مع مراعاة المعلومات الواردة في الوثيقة </w:t>
      </w:r>
      <w:r>
        <w:rPr>
          <w:sz w:val="26"/>
          <w:szCs w:val="26"/>
          <w:lang w:eastAsia="en-GB"/>
        </w:rPr>
        <w:t>UNEP/OzL.Pro/ExCom/98/59</w:t>
      </w:r>
      <w:r>
        <w:rPr>
          <w:sz w:val="26"/>
          <w:szCs w:val="26"/>
          <w:rtl/>
          <w:lang w:eastAsia="en-GB"/>
        </w:rPr>
        <w:t xml:space="preserve">، فضلاً عن المناقشات التي أجرتها اللجنة التنفيذية في اجتماعها الثامن والتسعين. وطُلب من أمانة الصندوق أيضاً، بالتشاور مع الوكالات الثنائية والمنفذة، إعداد تقرير محدّث عن مراكز اختبار كفاءة الطاقة الإقليمية، لعرضه في الاجتماع الثاني بعد المائة، بالإضافة إلى معلومات عن النهج العملية للتغلب على </w:t>
      </w:r>
      <w:r>
        <w:rPr>
          <w:rFonts w:hint="cs"/>
          <w:sz w:val="26"/>
          <w:szCs w:val="26"/>
          <w:rtl/>
          <w:lang w:eastAsia="en-GB"/>
        </w:rPr>
        <w:t>العوائق</w:t>
      </w:r>
      <w:r>
        <w:rPr>
          <w:sz w:val="26"/>
          <w:szCs w:val="26"/>
          <w:rtl/>
          <w:lang w:eastAsia="en-GB"/>
        </w:rPr>
        <w:t xml:space="preserve"> المحددة التي تواجه هذه المراكز، مع مراعاة نتائج المشاورات المذكورة أعلاه والمناقشات التي جرت في الاجتماع الثامن والتسعين (المقرر</w:t>
      </w:r>
      <w:r>
        <w:rPr>
          <w:rFonts w:hint="cs"/>
          <w:sz w:val="26"/>
          <w:szCs w:val="26"/>
          <w:rtl/>
          <w:lang w:eastAsia="en-GB"/>
        </w:rPr>
        <w:t> </w:t>
      </w:r>
      <w:r>
        <w:rPr>
          <w:sz w:val="26"/>
          <w:szCs w:val="26"/>
          <w:lang w:val="en-US" w:eastAsia="en-GB"/>
        </w:rPr>
        <w:t>98</w:t>
      </w:r>
      <w:r>
        <w:rPr>
          <w:rFonts w:hint="cs"/>
          <w:sz w:val="26"/>
          <w:szCs w:val="26"/>
          <w:rtl/>
          <w:lang w:val="en-US" w:eastAsia="en-GB" w:bidi="ar-AE"/>
        </w:rPr>
        <w:t>/</w:t>
      </w:r>
      <w:r>
        <w:rPr>
          <w:sz w:val="26"/>
          <w:szCs w:val="26"/>
          <w:lang w:val="en-US" w:eastAsia="en-GB" w:bidi="ar-AE"/>
        </w:rPr>
        <w:t>60</w:t>
      </w:r>
      <w:r>
        <w:rPr>
          <w:sz w:val="26"/>
          <w:szCs w:val="26"/>
          <w:rtl/>
          <w:lang w:eastAsia="en-GB"/>
        </w:rPr>
        <w:t>).</w:t>
      </w:r>
    </w:p>
    <w:p w14:paraId="24CC7CA0" w14:textId="37EBF8BE" w:rsidR="00341BA7" w:rsidRPr="00341BA7" w:rsidRDefault="00386675">
      <w:pPr>
        <w:pStyle w:val="ListParagraph"/>
        <w:keepNext/>
        <w:numPr>
          <w:ilvl w:val="0"/>
          <w:numId w:val="20"/>
        </w:numPr>
        <w:bidi/>
        <w:spacing w:after="240"/>
        <w:ind w:left="1440" w:hanging="720"/>
        <w:jc w:val="both"/>
        <w:outlineLvl w:val="1"/>
        <w:rPr>
          <w:rFonts w:ascii="Times New Roman" w:hAnsi="Times New Roman" w:cs="Times New Roman"/>
          <w:b/>
          <w:bCs/>
          <w:sz w:val="26"/>
          <w:szCs w:val="26"/>
        </w:rPr>
      </w:pPr>
      <w:r>
        <w:rPr>
          <w:rFonts w:ascii="Times New Roman" w:hAnsi="Times New Roman" w:cs="Times New Roman"/>
          <w:b/>
          <w:bCs/>
          <w:sz w:val="26"/>
          <w:szCs w:val="26"/>
          <w:rtl/>
        </w:rPr>
        <w:t>مسألة تتعلق بالمشاريع المقدمة بموجب مشاريع المستخدمين النهائيين للصندوق المتجدد لكفاءة استخدام الطاقة المنشأة بموجب المقرر</w:t>
      </w:r>
      <w:r>
        <w:rPr>
          <w:rFonts w:ascii="Times New Roman" w:hAnsi="Times New Roman" w:cs="Times New Roman" w:hint="cs"/>
          <w:b/>
          <w:bCs/>
          <w:sz w:val="26"/>
          <w:szCs w:val="26"/>
          <w:rtl/>
        </w:rPr>
        <w:t> </w:t>
      </w:r>
      <w:r>
        <w:rPr>
          <w:rFonts w:ascii="Times New Roman" w:hAnsi="Times New Roman" w:cs="Times New Roman"/>
          <w:b/>
          <w:bCs/>
          <w:sz w:val="26"/>
          <w:szCs w:val="26"/>
        </w:rPr>
        <w:t>95</w:t>
      </w:r>
      <w:r>
        <w:rPr>
          <w:rFonts w:ascii="Times New Roman" w:hAnsi="Times New Roman" w:cs="Times New Roman" w:hint="cs"/>
          <w:b/>
          <w:bCs/>
          <w:sz w:val="26"/>
          <w:szCs w:val="26"/>
          <w:rtl/>
          <w:lang w:bidi="ar-AE"/>
        </w:rPr>
        <w:t>/</w:t>
      </w:r>
      <w:r>
        <w:rPr>
          <w:rFonts w:ascii="Times New Roman" w:hAnsi="Times New Roman" w:cs="Times New Roman"/>
          <w:b/>
          <w:bCs/>
          <w:sz w:val="26"/>
          <w:szCs w:val="26"/>
          <w:lang w:bidi="ar-AE"/>
        </w:rPr>
        <w:t>87</w:t>
      </w:r>
    </w:p>
    <w:p w14:paraId="20F854AE" w14:textId="12DBC860" w:rsidR="00231EA3" w:rsidRPr="00231EA3" w:rsidRDefault="00231EA3" w:rsidP="003B64CF">
      <w:pPr>
        <w:pStyle w:val="Heading3"/>
        <w:numPr>
          <w:ilvl w:val="2"/>
          <w:numId w:val="16"/>
        </w:numPr>
        <w:bidi/>
        <w:spacing w:line="288" w:lineRule="auto"/>
        <w:ind w:left="720" w:firstLine="0"/>
        <w:rPr>
          <w:sz w:val="26"/>
          <w:szCs w:val="26"/>
          <w:lang w:eastAsia="en-GB"/>
        </w:rPr>
      </w:pPr>
      <w:r>
        <w:rPr>
          <w:sz w:val="26"/>
          <w:szCs w:val="26"/>
          <w:rtl/>
          <w:lang w:eastAsia="en-GB"/>
        </w:rPr>
        <w:t>نظرت اللجنة التنفيذية، في الاجتماع الثامن والتسعين، في طلبات تمويل المشاريع المقدمة بموجب الصندوق المتجدد لكفاءة استخدام الطاقة للمستخدمين النهائيين، المنشأ بموجب المقرر</w:t>
      </w:r>
      <w:r>
        <w:rPr>
          <w:rFonts w:hint="cs"/>
          <w:sz w:val="26"/>
          <w:szCs w:val="26"/>
          <w:rtl/>
          <w:lang w:eastAsia="en-GB"/>
        </w:rPr>
        <w:t> </w:t>
      </w:r>
      <w:r>
        <w:rPr>
          <w:sz w:val="26"/>
          <w:szCs w:val="26"/>
          <w:lang w:val="en-US" w:eastAsia="en-GB"/>
        </w:rPr>
        <w:t>95</w:t>
      </w:r>
      <w:r>
        <w:rPr>
          <w:rFonts w:hint="cs"/>
          <w:sz w:val="26"/>
          <w:szCs w:val="26"/>
          <w:rtl/>
          <w:lang w:val="en-US" w:eastAsia="en-GB" w:bidi="ar-AE"/>
        </w:rPr>
        <w:t>/</w:t>
      </w:r>
      <w:r>
        <w:rPr>
          <w:sz w:val="26"/>
          <w:szCs w:val="26"/>
          <w:lang w:val="en-US" w:eastAsia="en-GB" w:bidi="ar-AE"/>
        </w:rPr>
        <w:t>87</w:t>
      </w:r>
      <w:r>
        <w:rPr>
          <w:sz w:val="26"/>
          <w:szCs w:val="26"/>
          <w:rtl/>
          <w:lang w:eastAsia="en-GB"/>
        </w:rPr>
        <w:t>،</w:t>
      </w:r>
      <w:r>
        <w:rPr>
          <w:rStyle w:val="FootnoteReference"/>
          <w:sz w:val="26"/>
          <w:szCs w:val="26"/>
          <w:lang w:val="en-US" w:eastAsia="en-GB"/>
        </w:rPr>
        <w:footnoteReference w:id="10"/>
      </w:r>
      <w:r>
        <w:rPr>
          <w:sz w:val="26"/>
          <w:szCs w:val="26"/>
          <w:rtl/>
          <w:lang w:eastAsia="en-GB"/>
        </w:rPr>
        <w:t xml:space="preserve"> وقررت أن النهج المُتبع في التمويل المرتبط بالمساعدة التقنية وتكاليف دعم الوكالة في إطار هذه المشاريع كان استثنائياً، بما في ذلك مسألة ما إذا كانت هذه التكاليف جزءاً من الأموال المعادة إلى الصندوق المتعدد الأطراف، وأن</w:t>
      </w:r>
      <w:r>
        <w:rPr>
          <w:rFonts w:hint="cs"/>
          <w:sz w:val="26"/>
          <w:szCs w:val="26"/>
          <w:rtl/>
          <w:lang w:eastAsia="en-GB"/>
        </w:rPr>
        <w:t xml:space="preserve"> ذلك النهج</w:t>
      </w:r>
      <w:r>
        <w:rPr>
          <w:sz w:val="26"/>
          <w:szCs w:val="26"/>
          <w:rtl/>
          <w:lang w:eastAsia="en-GB"/>
        </w:rPr>
        <w:t xml:space="preserve"> لا يشكل سابقة للمشاريع المستقبلية. وطلبت اللجنة أيضاً من الأمانة إعداد صيغة للإبلاغ عن الأداء للمشاريع المعتمدة، لعرضها على اللجنة التنفيذية للنظر فيها في اجتماعها التاسع والتسعين (المقرر</w:t>
      </w:r>
      <w:r>
        <w:rPr>
          <w:rFonts w:hint="cs"/>
          <w:sz w:val="26"/>
          <w:szCs w:val="26"/>
          <w:rtl/>
          <w:lang w:eastAsia="en-GB"/>
        </w:rPr>
        <w:t> </w:t>
      </w:r>
      <w:r>
        <w:rPr>
          <w:sz w:val="26"/>
          <w:szCs w:val="26"/>
          <w:lang w:val="en-US" w:eastAsia="en-GB"/>
        </w:rPr>
        <w:t>98</w:t>
      </w:r>
      <w:r>
        <w:rPr>
          <w:rFonts w:hint="cs"/>
          <w:sz w:val="26"/>
          <w:szCs w:val="26"/>
          <w:rtl/>
          <w:lang w:val="en-US" w:eastAsia="en-GB" w:bidi="ar-AE"/>
        </w:rPr>
        <w:t>/</w:t>
      </w:r>
      <w:r>
        <w:rPr>
          <w:sz w:val="26"/>
          <w:szCs w:val="26"/>
          <w:lang w:val="en-US" w:eastAsia="en-GB" w:bidi="ar-AE"/>
        </w:rPr>
        <w:t>54</w:t>
      </w:r>
      <w:r>
        <w:rPr>
          <w:sz w:val="26"/>
          <w:szCs w:val="26"/>
          <w:rtl/>
          <w:lang w:eastAsia="en-GB"/>
        </w:rPr>
        <w:t>).</w:t>
      </w:r>
    </w:p>
    <w:p w14:paraId="7112B1C7" w14:textId="163F26A4" w:rsidR="00ED0B4A" w:rsidRPr="00ED0B4A" w:rsidRDefault="00ED0B4A">
      <w:pPr>
        <w:pStyle w:val="ListParagraph"/>
        <w:keepNext/>
        <w:numPr>
          <w:ilvl w:val="0"/>
          <w:numId w:val="20"/>
        </w:numPr>
        <w:bidi/>
        <w:spacing w:after="240"/>
        <w:ind w:left="1440" w:hanging="720"/>
        <w:jc w:val="both"/>
        <w:outlineLvl w:val="1"/>
        <w:rPr>
          <w:rFonts w:ascii="Times New Roman" w:hAnsi="Times New Roman" w:cs="Times New Roman"/>
          <w:b/>
          <w:bCs/>
          <w:sz w:val="26"/>
          <w:szCs w:val="26"/>
        </w:rPr>
      </w:pPr>
      <w:r>
        <w:rPr>
          <w:rFonts w:ascii="Times New Roman" w:hAnsi="Times New Roman" w:cs="Times New Roman"/>
          <w:b/>
          <w:bCs/>
          <w:sz w:val="26"/>
          <w:szCs w:val="26"/>
          <w:rtl/>
        </w:rPr>
        <w:t>النظر في توفير نافذة تمويل تم</w:t>
      </w:r>
      <w:r>
        <w:rPr>
          <w:rFonts w:ascii="Times New Roman" w:hAnsi="Times New Roman" w:cs="Times New Roman" w:hint="cs"/>
          <w:b/>
          <w:bCs/>
          <w:sz w:val="26"/>
          <w:szCs w:val="26"/>
          <w:rtl/>
        </w:rPr>
        <w:t>ا</w:t>
      </w:r>
      <w:r>
        <w:rPr>
          <w:rFonts w:ascii="Times New Roman" w:hAnsi="Times New Roman" w:cs="Times New Roman"/>
          <w:b/>
          <w:bCs/>
          <w:sz w:val="26"/>
          <w:szCs w:val="26"/>
          <w:rtl/>
        </w:rPr>
        <w:t>شياً مع المقرر</w:t>
      </w:r>
      <w:r>
        <w:rPr>
          <w:rFonts w:ascii="Times New Roman" w:hAnsi="Times New Roman" w:cs="Times New Roman" w:hint="cs"/>
          <w:b/>
          <w:bCs/>
          <w:sz w:val="26"/>
          <w:szCs w:val="26"/>
          <w:rtl/>
        </w:rPr>
        <w:t> </w:t>
      </w:r>
      <w:r>
        <w:rPr>
          <w:rFonts w:ascii="Times New Roman" w:hAnsi="Times New Roman" w:cs="Times New Roman"/>
          <w:b/>
          <w:bCs/>
          <w:sz w:val="26"/>
          <w:szCs w:val="26"/>
        </w:rPr>
        <w:t>35</w:t>
      </w:r>
      <w:r>
        <w:rPr>
          <w:rFonts w:ascii="Times New Roman" w:hAnsi="Times New Roman" w:cs="Times New Roman" w:hint="cs"/>
          <w:b/>
          <w:bCs/>
          <w:sz w:val="26"/>
          <w:szCs w:val="26"/>
          <w:rtl/>
          <w:lang w:bidi="ar-AE"/>
        </w:rPr>
        <w:t>/</w:t>
      </w:r>
      <w:r>
        <w:rPr>
          <w:rFonts w:ascii="Times New Roman" w:hAnsi="Times New Roman" w:cs="Times New Roman"/>
          <w:b/>
          <w:bCs/>
          <w:sz w:val="26"/>
          <w:szCs w:val="26"/>
          <w:lang w:bidi="ar-AE"/>
        </w:rPr>
        <w:t>11</w:t>
      </w:r>
      <w:r>
        <w:rPr>
          <w:rFonts w:ascii="Times New Roman" w:hAnsi="Times New Roman" w:cs="Times New Roman"/>
          <w:b/>
          <w:bCs/>
          <w:sz w:val="26"/>
          <w:szCs w:val="26"/>
          <w:rtl/>
        </w:rPr>
        <w:t xml:space="preserve"> الصادر عن الاجتماع الخامس والثلاثين للأطراف بشأن إدارة دورة حياة غازات التبريد</w:t>
      </w:r>
    </w:p>
    <w:p w14:paraId="523E2D0E" w14:textId="42647FB9" w:rsidR="00ED0B4A" w:rsidRPr="00ED0B4A" w:rsidRDefault="00ED0B4A" w:rsidP="003B64CF">
      <w:pPr>
        <w:pStyle w:val="Heading3"/>
        <w:numPr>
          <w:ilvl w:val="2"/>
          <w:numId w:val="16"/>
        </w:numPr>
        <w:bidi/>
        <w:spacing w:line="288" w:lineRule="auto"/>
        <w:ind w:left="720" w:firstLine="0"/>
        <w:rPr>
          <w:sz w:val="26"/>
          <w:szCs w:val="26"/>
          <w:lang w:eastAsia="en-GB"/>
        </w:rPr>
      </w:pPr>
      <w:r>
        <w:rPr>
          <w:sz w:val="26"/>
          <w:szCs w:val="26"/>
          <w:rtl/>
          <w:lang w:eastAsia="en-GB"/>
        </w:rPr>
        <w:t>نظرت اللجنة التنفيذية في اجتماعها السابع والتسعين، في تقرير أُعدّ عملاً بالمقرر</w:t>
      </w:r>
      <w:r>
        <w:rPr>
          <w:rFonts w:hint="eastAsia"/>
          <w:sz w:val="26"/>
          <w:szCs w:val="26"/>
          <w:rtl/>
          <w:lang w:eastAsia="en-GB" w:bidi="ar-AE"/>
        </w:rPr>
        <w:t> </w:t>
      </w:r>
      <w:r>
        <w:rPr>
          <w:sz w:val="26"/>
          <w:szCs w:val="26"/>
          <w:lang w:val="en-US" w:eastAsia="en-GB" w:bidi="ar-AE"/>
        </w:rPr>
        <w:t>93</w:t>
      </w:r>
      <w:r>
        <w:rPr>
          <w:rFonts w:hint="cs"/>
          <w:sz w:val="26"/>
          <w:szCs w:val="26"/>
          <w:rtl/>
          <w:lang w:val="en-US" w:eastAsia="en-GB" w:bidi="ar-AE"/>
        </w:rPr>
        <w:t>/</w:t>
      </w:r>
      <w:r>
        <w:rPr>
          <w:sz w:val="26"/>
          <w:szCs w:val="26"/>
          <w:lang w:val="en-US" w:eastAsia="en-GB" w:bidi="ar-AE"/>
        </w:rPr>
        <w:t>104</w:t>
      </w:r>
      <w:r>
        <w:rPr>
          <w:sz w:val="26"/>
          <w:szCs w:val="26"/>
          <w:rtl/>
          <w:lang w:eastAsia="en-GB"/>
        </w:rPr>
        <w:t xml:space="preserve"> بشأن إدارة دورة حياة غازات التبريد، بهدف دراسة توفير نافذة تمويل تم</w:t>
      </w:r>
      <w:r>
        <w:rPr>
          <w:rFonts w:hint="cs"/>
          <w:sz w:val="26"/>
          <w:szCs w:val="26"/>
          <w:rtl/>
          <w:lang w:eastAsia="en-GB"/>
        </w:rPr>
        <w:t>ا</w:t>
      </w:r>
      <w:r>
        <w:rPr>
          <w:sz w:val="26"/>
          <w:szCs w:val="26"/>
          <w:rtl/>
          <w:lang w:eastAsia="en-GB"/>
        </w:rPr>
        <w:t>شياً مع المقرر</w:t>
      </w:r>
      <w:r>
        <w:rPr>
          <w:rFonts w:hint="cs"/>
          <w:sz w:val="26"/>
          <w:szCs w:val="26"/>
          <w:rtl/>
          <w:lang w:eastAsia="en-GB"/>
        </w:rPr>
        <w:t> </w:t>
      </w:r>
      <w:r>
        <w:rPr>
          <w:sz w:val="26"/>
          <w:szCs w:val="26"/>
          <w:lang w:val="en-US" w:eastAsia="en-GB"/>
        </w:rPr>
        <w:t>35</w:t>
      </w:r>
      <w:r>
        <w:rPr>
          <w:rFonts w:hint="cs"/>
          <w:sz w:val="26"/>
          <w:szCs w:val="26"/>
          <w:rtl/>
          <w:lang w:val="en-US" w:eastAsia="en-GB" w:bidi="ar-AE"/>
        </w:rPr>
        <w:t>/</w:t>
      </w:r>
      <w:r>
        <w:rPr>
          <w:sz w:val="26"/>
          <w:szCs w:val="26"/>
          <w:lang w:val="en-US" w:eastAsia="en-GB" w:bidi="ar-AE"/>
        </w:rPr>
        <w:t>11</w:t>
      </w:r>
      <w:r>
        <w:rPr>
          <w:sz w:val="26"/>
          <w:szCs w:val="26"/>
          <w:rtl/>
          <w:lang w:eastAsia="en-GB"/>
        </w:rPr>
        <w:t>.</w:t>
      </w:r>
      <w:r>
        <w:rPr>
          <w:rStyle w:val="FootnoteReference"/>
          <w:sz w:val="26"/>
          <w:szCs w:val="26"/>
          <w:lang w:val="en-US" w:eastAsia="en-GB"/>
        </w:rPr>
        <w:footnoteReference w:id="11"/>
      </w:r>
      <w:r>
        <w:rPr>
          <w:sz w:val="26"/>
          <w:szCs w:val="26"/>
          <w:rtl/>
          <w:lang w:eastAsia="en-GB"/>
        </w:rPr>
        <w:t xml:space="preserve"> وبعد مناقشات جرت في فريق اتصال، قررت اللجنة تشجيع الوكالات الثنائية والوكالات المنفذة على تكثيف جهودها لمساعدة البلدان العاملة </w:t>
      </w:r>
      <w:r>
        <w:rPr>
          <w:rFonts w:hint="cs"/>
          <w:sz w:val="26"/>
          <w:szCs w:val="26"/>
          <w:rtl/>
          <w:lang w:eastAsia="en-GB"/>
        </w:rPr>
        <w:t>بموجب</w:t>
      </w:r>
      <w:r>
        <w:rPr>
          <w:sz w:val="26"/>
          <w:szCs w:val="26"/>
          <w:rtl/>
          <w:lang w:eastAsia="en-GB"/>
        </w:rPr>
        <w:t xml:space="preserve"> المادة</w:t>
      </w:r>
      <w:r>
        <w:rPr>
          <w:rFonts w:hint="cs"/>
          <w:sz w:val="26"/>
          <w:szCs w:val="26"/>
          <w:rtl/>
          <w:lang w:eastAsia="en-GB"/>
        </w:rPr>
        <w:t> </w:t>
      </w:r>
      <w:r>
        <w:rPr>
          <w:sz w:val="26"/>
          <w:szCs w:val="26"/>
          <w:lang w:val="en-US" w:eastAsia="en-GB"/>
        </w:rPr>
        <w:t>5</w:t>
      </w:r>
      <w:r>
        <w:rPr>
          <w:sz w:val="26"/>
          <w:szCs w:val="26"/>
          <w:rtl/>
          <w:lang w:eastAsia="en-GB"/>
        </w:rPr>
        <w:t xml:space="preserve"> على إنجاز، في أقرب وقت ممكن، المشاريع بموجب المقرر</w:t>
      </w:r>
      <w:r>
        <w:rPr>
          <w:rFonts w:hint="cs"/>
          <w:sz w:val="26"/>
          <w:szCs w:val="26"/>
          <w:rtl/>
          <w:lang w:eastAsia="en-GB"/>
        </w:rPr>
        <w:t> </w:t>
      </w:r>
      <w:r>
        <w:rPr>
          <w:sz w:val="26"/>
          <w:szCs w:val="26"/>
          <w:lang w:val="en-US" w:eastAsia="en-GB"/>
        </w:rPr>
        <w:t>91</w:t>
      </w:r>
      <w:r>
        <w:rPr>
          <w:rFonts w:hint="cs"/>
          <w:sz w:val="26"/>
          <w:szCs w:val="26"/>
          <w:rtl/>
          <w:lang w:val="en-US" w:eastAsia="en-GB" w:bidi="ar-AE"/>
        </w:rPr>
        <w:t>/</w:t>
      </w:r>
      <w:r>
        <w:rPr>
          <w:sz w:val="26"/>
          <w:szCs w:val="26"/>
          <w:lang w:val="en-US" w:eastAsia="en-GB" w:bidi="ar-AE"/>
        </w:rPr>
        <w:t>66</w:t>
      </w:r>
      <w:r>
        <w:rPr>
          <w:sz w:val="26"/>
          <w:szCs w:val="26"/>
          <w:rtl/>
          <w:lang w:eastAsia="en-GB"/>
        </w:rPr>
        <w:t xml:space="preserve">، المتعلقة بقوائم الجرد الوطنية </w:t>
      </w:r>
      <w:r>
        <w:rPr>
          <w:rFonts w:hint="cs"/>
          <w:sz w:val="26"/>
          <w:szCs w:val="26"/>
          <w:rtl/>
          <w:lang w:eastAsia="en-GB"/>
        </w:rPr>
        <w:t>لمخزون</w:t>
      </w:r>
      <w:r>
        <w:rPr>
          <w:sz w:val="26"/>
          <w:szCs w:val="26"/>
          <w:rtl/>
          <w:lang w:eastAsia="en-GB"/>
        </w:rPr>
        <w:t xml:space="preserve"> المواد المستخدمة الخاضعة للرقابة أو غير المرغوب فيها، وخطة لجمع </w:t>
      </w:r>
      <w:r>
        <w:rPr>
          <w:rFonts w:hint="cs"/>
          <w:sz w:val="26"/>
          <w:szCs w:val="26"/>
          <w:rtl/>
          <w:lang w:eastAsia="en-GB"/>
        </w:rPr>
        <w:t>تلك</w:t>
      </w:r>
      <w:r>
        <w:rPr>
          <w:sz w:val="26"/>
          <w:szCs w:val="26"/>
          <w:rtl/>
          <w:lang w:eastAsia="en-GB"/>
        </w:rPr>
        <w:t xml:space="preserve"> المواد ونقلها والتخلص منها، بما في ذلك النظر في إعادة التدوير والاستصلاح والتدمير الفعال من حيث التكلفة، وتقديم التقارير النهائية ونسخة من قوائم الجرد الوطنية وخطط العمل الوطنية الناتجة عن ذلك. وطُلب إلى أمانة الصندوق أن تُحدّث، في الاجتماع التاسع والتسعين، المعلومات الواردة في التقرير قيد النظر، في ضوء مشاريع قوائم الجرد والخطط الوطنية المنجزة، وغيرها من المعلومات ذات الصلة، بما في ذلك المعلومات المتعلقة بنقل المواد الخاضعة للرقابة بغرض تدميرها أو استصلاحها. كما طُلب إليها إعداد وثيقة</w:t>
      </w:r>
      <w:r>
        <w:rPr>
          <w:rFonts w:hint="cs"/>
          <w:sz w:val="26"/>
          <w:szCs w:val="26"/>
          <w:rtl/>
          <w:lang w:eastAsia="en-GB"/>
        </w:rPr>
        <w:t>،</w:t>
      </w:r>
      <w:r>
        <w:rPr>
          <w:sz w:val="26"/>
          <w:szCs w:val="26"/>
          <w:rtl/>
          <w:lang w:eastAsia="en-GB"/>
        </w:rPr>
        <w:t xml:space="preserve"> </w:t>
      </w:r>
      <w:r>
        <w:rPr>
          <w:rFonts w:hint="cs"/>
          <w:sz w:val="26"/>
          <w:szCs w:val="26"/>
          <w:rtl/>
          <w:lang w:eastAsia="en-GB"/>
        </w:rPr>
        <w:t xml:space="preserve">للاجتماع المائة، </w:t>
      </w:r>
      <w:r>
        <w:rPr>
          <w:sz w:val="26"/>
          <w:szCs w:val="26"/>
          <w:rtl/>
          <w:lang w:eastAsia="en-GB"/>
        </w:rPr>
        <w:t>بشأن طرائق التمويل، بما في ذلك عناصر مشروع المبادئ التوجيهية للتكاليف لتنفيذ الخطط التي تم وضعها وفقاً للمقرر</w:t>
      </w:r>
      <w:r>
        <w:rPr>
          <w:rFonts w:hint="cs"/>
          <w:sz w:val="26"/>
          <w:szCs w:val="26"/>
          <w:rtl/>
          <w:lang w:eastAsia="en-GB"/>
        </w:rPr>
        <w:t> </w:t>
      </w:r>
      <w:r>
        <w:rPr>
          <w:sz w:val="26"/>
          <w:szCs w:val="26"/>
          <w:lang w:val="en-US" w:eastAsia="en-GB"/>
        </w:rPr>
        <w:t>91</w:t>
      </w:r>
      <w:r>
        <w:rPr>
          <w:rFonts w:hint="cs"/>
          <w:sz w:val="26"/>
          <w:szCs w:val="26"/>
          <w:rtl/>
          <w:lang w:val="en-US" w:eastAsia="en-GB" w:bidi="ar-AE"/>
        </w:rPr>
        <w:t>/</w:t>
      </w:r>
      <w:r>
        <w:rPr>
          <w:sz w:val="26"/>
          <w:szCs w:val="26"/>
          <w:lang w:val="en-US" w:eastAsia="en-GB" w:bidi="ar-AE"/>
        </w:rPr>
        <w:t>66</w:t>
      </w:r>
      <w:r>
        <w:rPr>
          <w:sz w:val="26"/>
          <w:szCs w:val="26"/>
          <w:rtl/>
          <w:lang w:eastAsia="en-GB"/>
        </w:rPr>
        <w:t>، وذلك من أجل أن تنظر اللجنة في توفير نافذة تمويل تم</w:t>
      </w:r>
      <w:r>
        <w:rPr>
          <w:rFonts w:hint="cs"/>
          <w:sz w:val="26"/>
          <w:szCs w:val="26"/>
          <w:rtl/>
          <w:lang w:eastAsia="en-GB"/>
        </w:rPr>
        <w:t>ا</w:t>
      </w:r>
      <w:r>
        <w:rPr>
          <w:sz w:val="26"/>
          <w:szCs w:val="26"/>
          <w:rtl/>
          <w:lang w:eastAsia="en-GB"/>
        </w:rPr>
        <w:t>شياً مع المقرر</w:t>
      </w:r>
      <w:r>
        <w:rPr>
          <w:rFonts w:hint="cs"/>
          <w:sz w:val="26"/>
          <w:szCs w:val="26"/>
          <w:rtl/>
          <w:lang w:eastAsia="en-GB"/>
        </w:rPr>
        <w:t> </w:t>
      </w:r>
      <w:r>
        <w:rPr>
          <w:sz w:val="26"/>
          <w:szCs w:val="26"/>
          <w:lang w:val="en-US" w:eastAsia="en-GB"/>
        </w:rPr>
        <w:t>35</w:t>
      </w:r>
      <w:r>
        <w:rPr>
          <w:rFonts w:hint="cs"/>
          <w:sz w:val="26"/>
          <w:szCs w:val="26"/>
          <w:rtl/>
          <w:lang w:val="en-US" w:eastAsia="en-GB" w:bidi="ar-AE"/>
        </w:rPr>
        <w:t>/</w:t>
      </w:r>
      <w:r>
        <w:rPr>
          <w:sz w:val="26"/>
          <w:szCs w:val="26"/>
          <w:lang w:val="en-US" w:eastAsia="en-GB" w:bidi="ar-AE"/>
        </w:rPr>
        <w:t>11</w:t>
      </w:r>
      <w:r>
        <w:rPr>
          <w:sz w:val="26"/>
          <w:szCs w:val="26"/>
          <w:rtl/>
          <w:lang w:eastAsia="en-GB"/>
        </w:rPr>
        <w:t>، مع الأخذ في الاعتبار المعلومات الواردة في التقرير المحدث والآراء التي أعربت عنها اللجنة التنفيذية بشأن ذلك التقرير (المقرر</w:t>
      </w:r>
      <w:r>
        <w:rPr>
          <w:rFonts w:hint="cs"/>
          <w:sz w:val="26"/>
          <w:szCs w:val="26"/>
          <w:rtl/>
          <w:lang w:eastAsia="en-GB"/>
        </w:rPr>
        <w:t> </w:t>
      </w:r>
      <w:r>
        <w:rPr>
          <w:sz w:val="26"/>
          <w:szCs w:val="26"/>
          <w:lang w:val="en-US" w:eastAsia="en-GB"/>
        </w:rPr>
        <w:t>97</w:t>
      </w:r>
      <w:r>
        <w:rPr>
          <w:rFonts w:hint="cs"/>
          <w:sz w:val="26"/>
          <w:szCs w:val="26"/>
          <w:rtl/>
          <w:lang w:val="en-US" w:eastAsia="en-GB" w:bidi="ar-AE"/>
        </w:rPr>
        <w:t>/</w:t>
      </w:r>
      <w:r>
        <w:rPr>
          <w:sz w:val="26"/>
          <w:szCs w:val="26"/>
          <w:lang w:val="en-US" w:eastAsia="en-GB" w:bidi="ar-AE"/>
        </w:rPr>
        <w:t>89</w:t>
      </w:r>
      <w:r>
        <w:rPr>
          <w:sz w:val="26"/>
          <w:szCs w:val="26"/>
          <w:rtl/>
          <w:lang w:eastAsia="en-GB"/>
        </w:rPr>
        <w:t>).</w:t>
      </w:r>
    </w:p>
    <w:p w14:paraId="2A8C65E6" w14:textId="4CDBA347" w:rsidR="00693A6D" w:rsidRPr="00693A6D" w:rsidRDefault="00693A6D" w:rsidP="003B64CF">
      <w:pPr>
        <w:pStyle w:val="Heading3"/>
        <w:numPr>
          <w:ilvl w:val="2"/>
          <w:numId w:val="16"/>
        </w:numPr>
        <w:bidi/>
        <w:spacing w:line="288" w:lineRule="auto"/>
        <w:ind w:left="720" w:firstLine="0"/>
        <w:rPr>
          <w:sz w:val="26"/>
          <w:szCs w:val="26"/>
          <w:lang w:eastAsia="en-GB"/>
        </w:rPr>
      </w:pPr>
      <w:r>
        <w:rPr>
          <w:sz w:val="26"/>
          <w:szCs w:val="26"/>
          <w:rtl/>
          <w:lang w:eastAsia="en-GB"/>
        </w:rPr>
        <w:t>وبحثت اللجنة التنفيذية أيضاً في اجتماعها السابع والتسعين، إمكانية تمديد فترة التمويل، المنصوص عليها في المقرر</w:t>
      </w:r>
      <w:r>
        <w:rPr>
          <w:rFonts w:hint="cs"/>
          <w:sz w:val="26"/>
          <w:szCs w:val="26"/>
          <w:rtl/>
          <w:lang w:eastAsia="en-GB"/>
        </w:rPr>
        <w:t> </w:t>
      </w:r>
      <w:r>
        <w:rPr>
          <w:sz w:val="26"/>
          <w:szCs w:val="26"/>
          <w:lang w:val="en-US" w:eastAsia="en-GB"/>
        </w:rPr>
        <w:t>91</w:t>
      </w:r>
      <w:r>
        <w:rPr>
          <w:rFonts w:hint="cs"/>
          <w:sz w:val="26"/>
          <w:szCs w:val="26"/>
          <w:rtl/>
          <w:lang w:val="en-US" w:eastAsia="en-GB" w:bidi="ar-AE"/>
        </w:rPr>
        <w:t>/</w:t>
      </w:r>
      <w:r>
        <w:rPr>
          <w:sz w:val="26"/>
          <w:szCs w:val="26"/>
          <w:lang w:val="en-US" w:eastAsia="en-GB" w:bidi="ar-AE"/>
        </w:rPr>
        <w:t>66</w:t>
      </w:r>
      <w:r>
        <w:rPr>
          <w:sz w:val="26"/>
          <w:szCs w:val="26"/>
          <w:rtl/>
          <w:lang w:eastAsia="en-GB"/>
        </w:rPr>
        <w:t xml:space="preserve">، لإعداد قوائم جرد وطنية </w:t>
      </w:r>
      <w:r>
        <w:rPr>
          <w:rFonts w:hint="cs"/>
          <w:sz w:val="26"/>
          <w:szCs w:val="26"/>
          <w:rtl/>
          <w:lang w:eastAsia="en-GB"/>
        </w:rPr>
        <w:t>لمخزون</w:t>
      </w:r>
      <w:r>
        <w:rPr>
          <w:sz w:val="26"/>
          <w:szCs w:val="26"/>
          <w:rtl/>
          <w:lang w:eastAsia="en-GB"/>
        </w:rPr>
        <w:t xml:space="preserve"> المواد المستعملة الخاضعة للرقابة أو غير </w:t>
      </w:r>
      <w:r>
        <w:rPr>
          <w:sz w:val="26"/>
          <w:szCs w:val="26"/>
          <w:rtl/>
          <w:lang w:eastAsia="en-GB"/>
        </w:rPr>
        <w:lastRenderedPageBreak/>
        <w:t xml:space="preserve">المرغوب فيها، ووضع خطة لجمع </w:t>
      </w:r>
      <w:r>
        <w:rPr>
          <w:rFonts w:hint="cs"/>
          <w:sz w:val="26"/>
          <w:szCs w:val="26"/>
          <w:rtl/>
          <w:lang w:eastAsia="en-GB"/>
        </w:rPr>
        <w:t>تلك</w:t>
      </w:r>
      <w:r>
        <w:rPr>
          <w:sz w:val="26"/>
          <w:szCs w:val="26"/>
          <w:rtl/>
          <w:lang w:eastAsia="en-GB"/>
        </w:rPr>
        <w:t xml:space="preserve"> المواد ونقلها والتخلص منها</w:t>
      </w:r>
      <w:r>
        <w:rPr>
          <w:rStyle w:val="FootnoteReference"/>
          <w:sz w:val="26"/>
          <w:szCs w:val="26"/>
          <w:lang w:val="en-US" w:eastAsia="en-GB"/>
        </w:rPr>
        <w:footnoteReference w:id="12"/>
      </w:r>
      <w:r>
        <w:rPr>
          <w:sz w:val="26"/>
          <w:szCs w:val="26"/>
          <w:rtl/>
          <w:lang w:eastAsia="en-GB"/>
        </w:rPr>
        <w:t>. وبعد مناقشات في الجلسة العامة ومشاورات غير رسمية، قررت اللجنة التنفيذية عدم تمديد فترة التمويل (المقرر</w:t>
      </w:r>
      <w:r>
        <w:rPr>
          <w:rFonts w:hint="cs"/>
          <w:sz w:val="26"/>
          <w:szCs w:val="26"/>
          <w:rtl/>
          <w:lang w:eastAsia="en-GB"/>
        </w:rPr>
        <w:t> </w:t>
      </w:r>
      <w:r>
        <w:rPr>
          <w:sz w:val="26"/>
          <w:szCs w:val="26"/>
          <w:lang w:val="en-US" w:eastAsia="en-GB"/>
        </w:rPr>
        <w:t>97</w:t>
      </w:r>
      <w:r>
        <w:rPr>
          <w:rFonts w:hint="cs"/>
          <w:sz w:val="26"/>
          <w:szCs w:val="26"/>
          <w:rtl/>
          <w:lang w:val="en-US" w:eastAsia="en-GB" w:bidi="ar-AE"/>
        </w:rPr>
        <w:t>/</w:t>
      </w:r>
      <w:r>
        <w:rPr>
          <w:sz w:val="26"/>
          <w:szCs w:val="26"/>
          <w:lang w:val="en-US" w:eastAsia="en-GB" w:bidi="ar-AE"/>
        </w:rPr>
        <w:t>31</w:t>
      </w:r>
      <w:r>
        <w:rPr>
          <w:sz w:val="26"/>
          <w:szCs w:val="26"/>
          <w:rtl/>
          <w:lang w:eastAsia="en-GB"/>
        </w:rPr>
        <w:t>).</w:t>
      </w:r>
    </w:p>
    <w:p w14:paraId="5B9C74C5" w14:textId="62C1BB35" w:rsidR="00CB4D04" w:rsidRPr="00CB4D04" w:rsidRDefault="00544B54">
      <w:pPr>
        <w:pStyle w:val="ListParagraph"/>
        <w:keepNext/>
        <w:numPr>
          <w:ilvl w:val="0"/>
          <w:numId w:val="20"/>
        </w:numPr>
        <w:bidi/>
        <w:spacing w:after="240"/>
        <w:ind w:left="1440" w:hanging="720"/>
        <w:jc w:val="both"/>
        <w:outlineLvl w:val="1"/>
        <w:rPr>
          <w:rFonts w:ascii="Times New Roman" w:hAnsi="Times New Roman" w:cs="Times New Roman"/>
          <w:b/>
          <w:bCs/>
          <w:sz w:val="26"/>
          <w:szCs w:val="26"/>
        </w:rPr>
      </w:pPr>
      <w:r>
        <w:rPr>
          <w:rFonts w:ascii="Times New Roman" w:hAnsi="Times New Roman" w:cs="Times New Roman"/>
          <w:b/>
          <w:bCs/>
          <w:sz w:val="26"/>
          <w:szCs w:val="26"/>
          <w:rtl/>
        </w:rPr>
        <w:t>التحديات التي تواجه تنفيذ مشاريع التحويل في قطاع التبريد وتكييف الهواء والمضخات الحرارية بسبب مشاكل سلسلة التوريد والسبل الممكنة لمعالجة هذه التحديات</w:t>
      </w:r>
    </w:p>
    <w:p w14:paraId="1E07BB1A" w14:textId="05EAD987" w:rsidR="00544B54" w:rsidRPr="00544B54" w:rsidRDefault="00D179DD" w:rsidP="003B64CF">
      <w:pPr>
        <w:pStyle w:val="Heading3"/>
        <w:numPr>
          <w:ilvl w:val="2"/>
          <w:numId w:val="16"/>
        </w:numPr>
        <w:bidi/>
        <w:spacing w:line="288" w:lineRule="auto"/>
        <w:ind w:left="720" w:firstLine="0"/>
        <w:rPr>
          <w:sz w:val="26"/>
          <w:szCs w:val="26"/>
          <w:lang w:eastAsia="en-GB"/>
        </w:rPr>
      </w:pPr>
      <w:r>
        <w:rPr>
          <w:sz w:val="26"/>
          <w:szCs w:val="26"/>
          <w:rtl/>
          <w:lang w:eastAsia="en-GB"/>
        </w:rPr>
        <w:t>عملاً بالمقرر</w:t>
      </w:r>
      <w:r>
        <w:rPr>
          <w:rFonts w:hint="cs"/>
          <w:sz w:val="26"/>
          <w:szCs w:val="26"/>
          <w:rtl/>
          <w:lang w:eastAsia="en-GB"/>
        </w:rPr>
        <w:t> </w:t>
      </w:r>
      <w:r>
        <w:rPr>
          <w:sz w:val="26"/>
          <w:szCs w:val="26"/>
          <w:lang w:val="en-US" w:eastAsia="en-GB"/>
        </w:rPr>
        <w:t>96</w:t>
      </w:r>
      <w:r>
        <w:rPr>
          <w:rFonts w:hint="cs"/>
          <w:sz w:val="26"/>
          <w:szCs w:val="26"/>
          <w:rtl/>
          <w:lang w:val="en-US" w:eastAsia="en-GB" w:bidi="ar-AE"/>
        </w:rPr>
        <w:t>/</w:t>
      </w:r>
      <w:r>
        <w:rPr>
          <w:sz w:val="26"/>
          <w:szCs w:val="26"/>
          <w:lang w:val="en-US" w:eastAsia="en-GB" w:bidi="ar-AE"/>
        </w:rPr>
        <w:t>59</w:t>
      </w:r>
      <w:r>
        <w:rPr>
          <w:sz w:val="26"/>
          <w:szCs w:val="26"/>
          <w:rtl/>
          <w:lang w:eastAsia="en-GB"/>
        </w:rPr>
        <w:t>، نظرت اللجنة التنفيذية، في اجتماعها الثامن والتسعين، في ورقة حول التحديات التي تواجه تنفيذ مشاريع التحويل في قطاع التبريد وتكييف الهواء والمضخات الحرارية بسبب مشاكل سلسلة التوريد والسبل الممكنة لمعالجتها</w:t>
      </w:r>
      <w:r>
        <w:rPr>
          <w:rStyle w:val="FootnoteReference"/>
          <w:sz w:val="26"/>
          <w:szCs w:val="26"/>
          <w:lang w:val="en-US" w:eastAsia="en-GB"/>
        </w:rPr>
        <w:footnoteReference w:id="13"/>
      </w:r>
      <w:r>
        <w:rPr>
          <w:sz w:val="26"/>
          <w:szCs w:val="26"/>
          <w:rtl/>
          <w:lang w:eastAsia="en-GB"/>
        </w:rPr>
        <w:t>. وبعد مناقشة المسألة في الجلسة العامة، ونظراً لضيق الوقت في فريق الاتصال الذي أحيلت إليه المسألة، وافقت اللجنة التنفيذية على تأجيل النظر في المسألة إلى اجتماعها التاسع والتسعين.</w:t>
      </w:r>
    </w:p>
    <w:p w14:paraId="4D8DE598" w14:textId="1B43391B" w:rsidR="00C01977" w:rsidRPr="00C01977" w:rsidRDefault="00C01977">
      <w:pPr>
        <w:pStyle w:val="ListParagraph"/>
        <w:keepNext/>
        <w:numPr>
          <w:ilvl w:val="0"/>
          <w:numId w:val="20"/>
        </w:numPr>
        <w:bidi/>
        <w:spacing w:after="240"/>
        <w:ind w:left="1440" w:hanging="720"/>
        <w:jc w:val="both"/>
        <w:outlineLvl w:val="1"/>
        <w:rPr>
          <w:rFonts w:ascii="Times New Roman" w:hAnsi="Times New Roman" w:cs="Times New Roman"/>
          <w:b/>
          <w:bCs/>
          <w:sz w:val="26"/>
          <w:szCs w:val="26"/>
        </w:rPr>
      </w:pPr>
      <w:r>
        <w:rPr>
          <w:rFonts w:ascii="Times New Roman" w:hAnsi="Times New Roman" w:cs="Times New Roman"/>
          <w:b/>
          <w:bCs/>
          <w:sz w:val="26"/>
          <w:szCs w:val="26"/>
          <w:rtl/>
        </w:rPr>
        <w:t>منهجية حساب الأثر المناخي لخطط التنفيذ المتعلقة بالمواد الهيدروفلوروكربونية بموجب تعديل كيغالي</w:t>
      </w:r>
    </w:p>
    <w:p w14:paraId="7E15F2A9" w14:textId="6291FD3D" w:rsidR="00C01977" w:rsidRPr="00C01977" w:rsidRDefault="00C01977" w:rsidP="003B64CF">
      <w:pPr>
        <w:pStyle w:val="Heading3"/>
        <w:numPr>
          <w:ilvl w:val="2"/>
          <w:numId w:val="16"/>
        </w:numPr>
        <w:bidi/>
        <w:spacing w:line="288" w:lineRule="auto"/>
        <w:ind w:left="720" w:firstLine="0"/>
        <w:rPr>
          <w:sz w:val="26"/>
          <w:szCs w:val="26"/>
          <w:lang w:eastAsia="en-GB"/>
        </w:rPr>
      </w:pPr>
      <w:r>
        <w:rPr>
          <w:sz w:val="26"/>
          <w:szCs w:val="26"/>
          <w:rtl/>
          <w:lang w:eastAsia="en-GB"/>
        </w:rPr>
        <w:t>ناقشت اللجنة التنفيذية، في اجتماعها السابع والتسعين، المنهجية المستخدمة لحساب الآثار المناخية الناجمة عن تنفيذ خطط تنفيذ كيغالي للمواد الهيدروفلوروكربونية</w:t>
      </w:r>
      <w:r>
        <w:rPr>
          <w:rStyle w:val="FootnoteReference"/>
          <w:sz w:val="26"/>
          <w:szCs w:val="26"/>
          <w:lang w:val="en-US" w:eastAsia="en-GB"/>
        </w:rPr>
        <w:footnoteReference w:id="14"/>
      </w:r>
      <w:r>
        <w:rPr>
          <w:sz w:val="26"/>
          <w:szCs w:val="26"/>
          <w:rtl/>
          <w:lang w:eastAsia="en-GB"/>
        </w:rPr>
        <w:t>. وبعد مناقشات في الجلسة العامة وفي فريق اتصال، وافقت اللجنة التنفيذية على مواصلة النظر، في اجتماعها الثامن والتسعين، في مسألة المنهجية المستخدمة لحساب الأثر المناخي لتنفيذ خطط تنفيذ كيغالي للمواد الهيدروفلوروكربونية، باستخدام وثائق العمل المرفقة بتقرير الاجتماع السابع والتسعين</w:t>
      </w:r>
      <w:r>
        <w:rPr>
          <w:rStyle w:val="FootnoteReference"/>
          <w:sz w:val="26"/>
          <w:szCs w:val="26"/>
          <w:lang w:val="en-US" w:eastAsia="en-GB" w:bidi="ar-AE"/>
        </w:rPr>
        <w:footnoteReference w:id="15"/>
      </w:r>
      <w:r>
        <w:rPr>
          <w:sz w:val="26"/>
          <w:szCs w:val="26"/>
          <w:rtl/>
          <w:lang w:eastAsia="en-GB"/>
        </w:rPr>
        <w:t>.</w:t>
      </w:r>
    </w:p>
    <w:p w14:paraId="6BB4A7F8" w14:textId="70DAF05C" w:rsidR="00E42FAA" w:rsidRPr="00E42FAA" w:rsidRDefault="00E42FAA" w:rsidP="003B64CF">
      <w:pPr>
        <w:pStyle w:val="Heading3"/>
        <w:numPr>
          <w:ilvl w:val="2"/>
          <w:numId w:val="16"/>
        </w:numPr>
        <w:bidi/>
        <w:spacing w:line="288" w:lineRule="auto"/>
        <w:ind w:left="720" w:firstLine="0"/>
        <w:rPr>
          <w:sz w:val="26"/>
          <w:szCs w:val="26"/>
          <w:lang w:eastAsia="en-GB"/>
        </w:rPr>
      </w:pPr>
      <w:r>
        <w:rPr>
          <w:sz w:val="26"/>
          <w:szCs w:val="26"/>
          <w:rtl/>
          <w:lang w:eastAsia="en-GB"/>
        </w:rPr>
        <w:t>واصلت اللجنة التنفيذية</w:t>
      </w:r>
      <w:r>
        <w:rPr>
          <w:rFonts w:hint="cs"/>
          <w:sz w:val="26"/>
          <w:szCs w:val="26"/>
          <w:rtl/>
          <w:lang w:eastAsia="en-GB"/>
        </w:rPr>
        <w:t>،</w:t>
      </w:r>
      <w:r>
        <w:rPr>
          <w:sz w:val="26"/>
          <w:szCs w:val="26"/>
          <w:rtl/>
          <w:lang w:eastAsia="en-GB"/>
        </w:rPr>
        <w:t xml:space="preserve"> في الاجتماع الثامن والتسعين، نظرها في هذه المسألة</w:t>
      </w:r>
      <w:r>
        <w:rPr>
          <w:rStyle w:val="FootnoteReference"/>
          <w:sz w:val="26"/>
          <w:szCs w:val="26"/>
          <w:lang w:val="en-US" w:eastAsia="en-GB"/>
        </w:rPr>
        <w:footnoteReference w:id="16"/>
      </w:r>
      <w:r>
        <w:rPr>
          <w:sz w:val="26"/>
          <w:szCs w:val="26"/>
          <w:rtl/>
          <w:lang w:eastAsia="en-GB"/>
        </w:rPr>
        <w:t>، وبعد مناقشات في الجلسة العامة وفي فريق اتصال، قررت مواصلة مداولاتها في الاجتماع التاسع والتسعين، على أساس وثيقة العمل المرفقة بتقرير الاجتماع الثامن والتسعين</w:t>
      </w:r>
      <w:r>
        <w:rPr>
          <w:rStyle w:val="FootnoteReference"/>
          <w:sz w:val="26"/>
          <w:szCs w:val="26"/>
          <w:lang w:val="en-US" w:eastAsia="en-GB" w:bidi="ar-AE"/>
        </w:rPr>
        <w:footnoteReference w:id="17"/>
      </w:r>
      <w:r>
        <w:rPr>
          <w:sz w:val="26"/>
          <w:szCs w:val="26"/>
          <w:rtl/>
          <w:lang w:eastAsia="en-GB"/>
        </w:rPr>
        <w:t xml:space="preserve"> (المقرر</w:t>
      </w:r>
      <w:r>
        <w:rPr>
          <w:rFonts w:hint="cs"/>
          <w:sz w:val="26"/>
          <w:szCs w:val="26"/>
          <w:rtl/>
          <w:lang w:eastAsia="en-GB" w:bidi="ar-AE"/>
        </w:rPr>
        <w:t> </w:t>
      </w:r>
      <w:r>
        <w:rPr>
          <w:sz w:val="26"/>
          <w:szCs w:val="26"/>
          <w:lang w:val="en-US" w:eastAsia="en-GB" w:bidi="ar-AE"/>
        </w:rPr>
        <w:t>98</w:t>
      </w:r>
      <w:r>
        <w:rPr>
          <w:rFonts w:hint="cs"/>
          <w:sz w:val="26"/>
          <w:szCs w:val="26"/>
          <w:rtl/>
          <w:lang w:val="en-US" w:eastAsia="en-GB" w:bidi="ar-AE"/>
        </w:rPr>
        <w:t>/</w:t>
      </w:r>
      <w:r>
        <w:rPr>
          <w:sz w:val="26"/>
          <w:szCs w:val="26"/>
          <w:lang w:val="en-US" w:eastAsia="en-GB" w:bidi="ar-AE"/>
        </w:rPr>
        <w:t>21</w:t>
      </w:r>
      <w:r>
        <w:rPr>
          <w:sz w:val="26"/>
          <w:szCs w:val="26"/>
          <w:rtl/>
          <w:lang w:eastAsia="en-GB"/>
        </w:rPr>
        <w:t>).</w:t>
      </w:r>
    </w:p>
    <w:p w14:paraId="3A330BAF" w14:textId="460DA6C6" w:rsidR="00A0635D" w:rsidRPr="00A0635D" w:rsidRDefault="00A0635D">
      <w:pPr>
        <w:pStyle w:val="ListParagraph"/>
        <w:keepNext/>
        <w:numPr>
          <w:ilvl w:val="0"/>
          <w:numId w:val="20"/>
        </w:numPr>
        <w:bidi/>
        <w:spacing w:after="240"/>
        <w:ind w:left="1440" w:hanging="720"/>
        <w:jc w:val="both"/>
        <w:outlineLvl w:val="1"/>
        <w:rPr>
          <w:rFonts w:ascii="Times New Roman" w:hAnsi="Times New Roman" w:cs="Times New Roman"/>
          <w:b/>
          <w:bCs/>
          <w:sz w:val="26"/>
          <w:szCs w:val="26"/>
        </w:rPr>
      </w:pPr>
      <w:r>
        <w:rPr>
          <w:rFonts w:ascii="Times New Roman" w:hAnsi="Times New Roman" w:cs="Times New Roman"/>
          <w:b/>
          <w:bCs/>
          <w:sz w:val="26"/>
          <w:szCs w:val="26"/>
          <w:rtl/>
        </w:rPr>
        <w:t>حجب التمويل في حالات عدم تقديم تقرير التحقق مع شرائح خطة تنفيذ كيغالي للمواد الهيدروفلوروكربونية</w:t>
      </w:r>
    </w:p>
    <w:p w14:paraId="3A745DA6" w14:textId="545C5FD6" w:rsidR="00A0635D" w:rsidRPr="00A0635D" w:rsidRDefault="00A0635D" w:rsidP="003B64CF">
      <w:pPr>
        <w:pStyle w:val="Heading3"/>
        <w:numPr>
          <w:ilvl w:val="2"/>
          <w:numId w:val="16"/>
        </w:numPr>
        <w:bidi/>
        <w:spacing w:line="288" w:lineRule="auto"/>
        <w:ind w:left="720" w:firstLine="0"/>
        <w:rPr>
          <w:sz w:val="26"/>
          <w:szCs w:val="26"/>
          <w:lang w:eastAsia="en-GB"/>
        </w:rPr>
      </w:pPr>
      <w:r>
        <w:rPr>
          <w:sz w:val="26"/>
          <w:szCs w:val="26"/>
          <w:rtl/>
          <w:lang w:eastAsia="en-GB"/>
        </w:rPr>
        <w:t>نظرت اللجنة التنفيذية، في اجتماعها الثامن والتسعين، في مسألة حجب التمويل في حالات عدم تقديم تقرير التحقق مع شرائح خطط تنفيذ كيغالي</w:t>
      </w:r>
      <w:r>
        <w:rPr>
          <w:rStyle w:val="FootnoteReference"/>
          <w:sz w:val="26"/>
          <w:szCs w:val="26"/>
          <w:lang w:val="en-US" w:eastAsia="en-GB"/>
        </w:rPr>
        <w:footnoteReference w:id="18"/>
      </w:r>
      <w:r>
        <w:rPr>
          <w:sz w:val="26"/>
          <w:szCs w:val="26"/>
          <w:rtl/>
          <w:lang w:eastAsia="en-GB"/>
        </w:rPr>
        <w:t>، وقررت توسيع نطاق تطبيق المقرر</w:t>
      </w:r>
      <w:r>
        <w:rPr>
          <w:rFonts w:hint="eastAsia"/>
          <w:sz w:val="26"/>
          <w:szCs w:val="26"/>
          <w:rtl/>
          <w:lang w:eastAsia="en-GB" w:bidi="ar-AE"/>
        </w:rPr>
        <w:t> </w:t>
      </w:r>
      <w:r>
        <w:rPr>
          <w:sz w:val="26"/>
          <w:szCs w:val="26"/>
          <w:lang w:val="en-US" w:eastAsia="en-GB" w:bidi="ar-AE"/>
        </w:rPr>
        <w:t>72</w:t>
      </w:r>
      <w:r>
        <w:rPr>
          <w:rFonts w:hint="cs"/>
          <w:sz w:val="26"/>
          <w:szCs w:val="26"/>
          <w:rtl/>
          <w:lang w:val="en-US" w:eastAsia="en-GB" w:bidi="ar-AE"/>
        </w:rPr>
        <w:t>/</w:t>
      </w:r>
      <w:r>
        <w:rPr>
          <w:sz w:val="26"/>
          <w:szCs w:val="26"/>
          <w:lang w:val="en-US" w:eastAsia="en-GB" w:bidi="ar-AE"/>
        </w:rPr>
        <w:t>19</w:t>
      </w:r>
      <w:r>
        <w:rPr>
          <w:sz w:val="26"/>
          <w:szCs w:val="26"/>
          <w:rtl/>
          <w:lang w:eastAsia="en-GB"/>
        </w:rPr>
        <w:t xml:space="preserve"> بشأن عدم تقديم تقارير التحقق مع طلبات شرائح خطط إدارة إزالة المواد الهيدروكلوروفلوروكربونية، ليشمل طلبات شرائح خطط تنفيذ كيغالي المقدمة إلى الاجتماع الأول من السنة (المقرر</w:t>
      </w:r>
      <w:r>
        <w:rPr>
          <w:rFonts w:hint="cs"/>
          <w:sz w:val="26"/>
          <w:szCs w:val="26"/>
          <w:rtl/>
          <w:lang w:eastAsia="en-GB"/>
        </w:rPr>
        <w:t> </w:t>
      </w:r>
      <w:r>
        <w:rPr>
          <w:sz w:val="26"/>
          <w:szCs w:val="26"/>
          <w:lang w:val="en-US" w:eastAsia="en-GB"/>
        </w:rPr>
        <w:t>98</w:t>
      </w:r>
      <w:r>
        <w:rPr>
          <w:rFonts w:hint="cs"/>
          <w:sz w:val="26"/>
          <w:szCs w:val="26"/>
          <w:rtl/>
          <w:lang w:val="en-US" w:eastAsia="en-GB" w:bidi="ar-AE"/>
        </w:rPr>
        <w:t>/</w:t>
      </w:r>
      <w:r>
        <w:rPr>
          <w:sz w:val="26"/>
          <w:szCs w:val="26"/>
          <w:lang w:val="en-US" w:eastAsia="en-GB" w:bidi="ar-AE"/>
        </w:rPr>
        <w:t>22</w:t>
      </w:r>
      <w:r>
        <w:rPr>
          <w:sz w:val="26"/>
          <w:szCs w:val="26"/>
          <w:rtl/>
          <w:lang w:eastAsia="en-GB"/>
        </w:rPr>
        <w:t>).</w:t>
      </w:r>
    </w:p>
    <w:p w14:paraId="22DF1F97" w14:textId="291647B4" w:rsidR="00993672" w:rsidRPr="00993672" w:rsidRDefault="00993672" w:rsidP="00CC0567">
      <w:pPr>
        <w:pStyle w:val="CH2"/>
        <w:tabs>
          <w:tab w:val="clear" w:pos="851"/>
          <w:tab w:val="clear" w:pos="1247"/>
          <w:tab w:val="clear" w:pos="1814"/>
          <w:tab w:val="clear" w:pos="2381"/>
          <w:tab w:val="clear" w:pos="2948"/>
          <w:tab w:val="clear" w:pos="3515"/>
          <w:tab w:val="clear" w:pos="4082"/>
          <w:tab w:val="right" w:pos="7200"/>
        </w:tabs>
        <w:bidi/>
        <w:spacing w:after="240"/>
        <w:ind w:left="1440" w:right="0" w:hanging="720"/>
        <w:rPr>
          <w:b w:val="0"/>
          <w:bCs/>
          <w:sz w:val="26"/>
          <w:szCs w:val="26"/>
          <w:rtl/>
          <w:lang w:val="en-US" w:bidi="ar-AE"/>
        </w:rPr>
      </w:pPr>
      <w:r>
        <w:rPr>
          <w:rFonts w:hint="cs"/>
          <w:b w:val="0"/>
          <w:bCs/>
          <w:sz w:val="26"/>
          <w:szCs w:val="26"/>
          <w:rtl/>
          <w:lang w:val="en-US" w:bidi="ar-AE"/>
        </w:rPr>
        <w:lastRenderedPageBreak/>
        <w:t>باء.</w:t>
      </w:r>
      <w:r>
        <w:rPr>
          <w:b w:val="0"/>
          <w:bCs/>
          <w:sz w:val="26"/>
          <w:szCs w:val="26"/>
          <w:rtl/>
          <w:lang w:val="en-US" w:bidi="ar-AE"/>
        </w:rPr>
        <w:tab/>
        <w:t>جميع مسائل السياسة العامة الأخرى</w:t>
      </w:r>
    </w:p>
    <w:p w14:paraId="0D6F4A23" w14:textId="408E0BCB" w:rsidR="00993672" w:rsidRDefault="002364FB">
      <w:pPr>
        <w:pStyle w:val="ListParagraph"/>
        <w:keepNext/>
        <w:numPr>
          <w:ilvl w:val="0"/>
          <w:numId w:val="24"/>
        </w:numPr>
        <w:bidi/>
        <w:spacing w:after="240"/>
        <w:ind w:left="1440" w:hanging="720"/>
        <w:contextualSpacing w:val="0"/>
        <w:jc w:val="both"/>
        <w:outlineLvl w:val="1"/>
        <w:rPr>
          <w:rFonts w:ascii="Times New Roman" w:hAnsi="Times New Roman" w:cs="Times New Roman"/>
          <w:b/>
          <w:bCs/>
          <w:sz w:val="26"/>
          <w:szCs w:val="26"/>
        </w:rPr>
      </w:pPr>
      <w:bookmarkStart w:id="0" w:name="_Hlk175912691"/>
      <w:r>
        <w:rPr>
          <w:rFonts w:ascii="Times New Roman" w:hAnsi="Times New Roman" w:cs="Times New Roman"/>
          <w:b/>
          <w:bCs/>
          <w:sz w:val="26"/>
          <w:szCs w:val="26"/>
          <w:rtl/>
        </w:rPr>
        <w:t>مسائل تتعلق بالمشاريع التجريبية لتعزيز الرصد الإقليمي للغلاف الجوي للمواد الخاضعة للرقابة بموجب بروتوكول مونتريال</w:t>
      </w:r>
    </w:p>
    <w:p w14:paraId="782E4C23" w14:textId="573C3632" w:rsidR="002364FB" w:rsidRPr="003B1B0E" w:rsidRDefault="007766CA" w:rsidP="003B64CF">
      <w:pPr>
        <w:pStyle w:val="Heading3"/>
        <w:numPr>
          <w:ilvl w:val="2"/>
          <w:numId w:val="16"/>
        </w:numPr>
        <w:bidi/>
        <w:spacing w:line="288" w:lineRule="auto"/>
        <w:ind w:left="720" w:firstLine="0"/>
        <w:rPr>
          <w:sz w:val="26"/>
          <w:szCs w:val="26"/>
          <w:lang w:eastAsia="en-GB"/>
        </w:rPr>
      </w:pPr>
      <w:r>
        <w:rPr>
          <w:sz w:val="26"/>
          <w:szCs w:val="26"/>
          <w:rtl/>
          <w:lang w:eastAsia="en-GB"/>
        </w:rPr>
        <w:t>عملاً بالمقرر</w:t>
      </w:r>
      <w:r>
        <w:rPr>
          <w:rFonts w:hint="cs"/>
          <w:sz w:val="26"/>
          <w:szCs w:val="26"/>
          <w:rtl/>
          <w:lang w:eastAsia="en-GB"/>
        </w:rPr>
        <w:t> </w:t>
      </w:r>
      <w:r>
        <w:rPr>
          <w:sz w:val="26"/>
          <w:szCs w:val="26"/>
          <w:lang w:val="en-US" w:eastAsia="en-GB"/>
        </w:rPr>
        <w:t>96</w:t>
      </w:r>
      <w:r>
        <w:rPr>
          <w:rFonts w:hint="cs"/>
          <w:sz w:val="26"/>
          <w:szCs w:val="26"/>
          <w:rtl/>
          <w:lang w:val="en-US" w:eastAsia="en-GB" w:bidi="ar-AE"/>
        </w:rPr>
        <w:t>/</w:t>
      </w:r>
      <w:r>
        <w:rPr>
          <w:sz w:val="26"/>
          <w:szCs w:val="26"/>
          <w:lang w:val="en-US" w:eastAsia="en-GB" w:bidi="ar-AE"/>
        </w:rPr>
        <w:t>56</w:t>
      </w:r>
      <w:r>
        <w:rPr>
          <w:sz w:val="26"/>
          <w:szCs w:val="26"/>
          <w:rtl/>
          <w:lang w:eastAsia="en-GB"/>
        </w:rPr>
        <w:t>، نظرت اللجنة التنفيذية، في اجتماعها الثامن والتسعين، في وثيقة بشأن المسائل المتعلقة بالمشاريع التجريبية لتعزيز الرصد الإقليمي للغلاف الجوي للمواد الخاضعة للرقابة بموجب بروتوكول مونتريال.</w:t>
      </w:r>
      <w:r>
        <w:rPr>
          <w:rStyle w:val="FootnoteReference"/>
          <w:sz w:val="26"/>
          <w:szCs w:val="26"/>
          <w:lang w:val="en-US" w:eastAsia="en-GB"/>
        </w:rPr>
        <w:footnoteReference w:id="19"/>
      </w:r>
    </w:p>
    <w:p w14:paraId="333ACF50" w14:textId="2DCEC71C" w:rsidR="00B162E9" w:rsidRPr="00B162E9" w:rsidRDefault="00B162E9" w:rsidP="003B64CF">
      <w:pPr>
        <w:pStyle w:val="Heading3"/>
        <w:numPr>
          <w:ilvl w:val="2"/>
          <w:numId w:val="16"/>
        </w:numPr>
        <w:bidi/>
        <w:spacing w:line="288" w:lineRule="auto"/>
        <w:ind w:left="720" w:firstLine="0"/>
        <w:rPr>
          <w:sz w:val="26"/>
          <w:szCs w:val="26"/>
          <w:lang w:eastAsia="en-GB"/>
        </w:rPr>
      </w:pPr>
      <w:r>
        <w:rPr>
          <w:sz w:val="26"/>
          <w:szCs w:val="26"/>
          <w:rtl/>
          <w:lang w:eastAsia="en-GB"/>
        </w:rPr>
        <w:t xml:space="preserve">وبعد مناقشات في الجلسة العامة وفي فريق </w:t>
      </w:r>
      <w:r>
        <w:rPr>
          <w:rFonts w:hint="cs"/>
          <w:sz w:val="26"/>
          <w:szCs w:val="26"/>
          <w:rtl/>
          <w:lang w:eastAsia="en-GB"/>
        </w:rPr>
        <w:t>ال</w:t>
      </w:r>
      <w:r>
        <w:rPr>
          <w:sz w:val="26"/>
          <w:szCs w:val="26"/>
          <w:rtl/>
          <w:lang w:eastAsia="en-GB"/>
        </w:rPr>
        <w:t>اتصال، وافقت اللجنة التنفيذية على المبادئ التوجيهية لإعداد المشاريع التجريبية لتعزيز الرصد الإقليمي للغلاف الجوي للمواد الخاضعة للرقابة بموجب بروتوكول مونتريال؛ والمبادئ التوجيهية لتنفيذ هذه المشاريع التجريبية؛ ومشروع اتفاق بين اللجنة التنفيذية والبلد المعني من البلدان العاملة بموجب المادة</w:t>
      </w:r>
      <w:r>
        <w:rPr>
          <w:rFonts w:hint="cs"/>
          <w:sz w:val="26"/>
          <w:szCs w:val="26"/>
          <w:rtl/>
          <w:lang w:eastAsia="en-GB"/>
        </w:rPr>
        <w:t> </w:t>
      </w:r>
      <w:r>
        <w:rPr>
          <w:sz w:val="26"/>
          <w:szCs w:val="26"/>
          <w:lang w:val="en-US" w:eastAsia="en-GB"/>
        </w:rPr>
        <w:t>5</w:t>
      </w:r>
      <w:r>
        <w:rPr>
          <w:sz w:val="26"/>
          <w:szCs w:val="26"/>
          <w:rtl/>
          <w:lang w:eastAsia="en-GB"/>
        </w:rPr>
        <w:t>، للمشاريع التجريبية الرامية إلى إنشاء وتشغيل محطة إقليمية لرصد الغلاف الجوي</w:t>
      </w:r>
      <w:r>
        <w:rPr>
          <w:rStyle w:val="FootnoteReference"/>
          <w:sz w:val="26"/>
          <w:szCs w:val="26"/>
          <w:lang w:val="en-US" w:eastAsia="en-GB" w:bidi="ar-AE"/>
        </w:rPr>
        <w:footnoteReference w:id="20"/>
      </w:r>
      <w:r>
        <w:rPr>
          <w:sz w:val="26"/>
          <w:szCs w:val="26"/>
          <w:rtl/>
          <w:lang w:eastAsia="en-GB"/>
        </w:rPr>
        <w:t xml:space="preserve">. وأنشأت اللجنة نافذة تمويل بمبلغ </w:t>
      </w:r>
      <w:r>
        <w:rPr>
          <w:sz w:val="26"/>
          <w:szCs w:val="26"/>
          <w:lang w:eastAsia="en-GB"/>
        </w:rPr>
        <w:t>9,250,000</w:t>
      </w:r>
      <w:r>
        <w:rPr>
          <w:sz w:val="26"/>
          <w:szCs w:val="26"/>
          <w:rtl/>
          <w:lang w:eastAsia="en-GB"/>
        </w:rPr>
        <w:t> دولار أمريكي لثلاثة مشاريع تجريبية لتعزيز الرصد الإقليمي للغلاف الجوي للمواد الخاضعة للرقابة بموجب بروتوكول مونتريال، بما في ذلك أنشطة الإعداد والتنفيذ وبناء القدرات</w:t>
      </w:r>
      <w:r>
        <w:rPr>
          <w:rStyle w:val="FootnoteReference"/>
          <w:sz w:val="26"/>
          <w:szCs w:val="26"/>
          <w:lang w:val="en-US" w:eastAsia="en-GB"/>
        </w:rPr>
        <w:footnoteReference w:id="21"/>
      </w:r>
      <w:r>
        <w:rPr>
          <w:sz w:val="26"/>
          <w:szCs w:val="26"/>
          <w:rtl/>
          <w:lang w:eastAsia="en-GB"/>
        </w:rPr>
        <w:t xml:space="preserve">. وطلبت أن تُقدم مقترحات إعداد المشاريع في إطار هذه النافذة إلى الاجتماع الثاني بعد المائة، وطلبت من أمانة الصندوق التماس التوجيه العلمي، أثناء استعراضها للطلبات المقدمة، من اللجنة الاستشارية للصندوق الاستئماني العام لتمويل الأنشطة المتعلقة بالبحث والرصد </w:t>
      </w:r>
      <w:r>
        <w:rPr>
          <w:rFonts w:hint="cs"/>
          <w:sz w:val="26"/>
          <w:szCs w:val="26"/>
          <w:rtl/>
          <w:lang w:eastAsia="en-GB"/>
        </w:rPr>
        <w:t>المنهجي</w:t>
      </w:r>
      <w:r>
        <w:rPr>
          <w:sz w:val="26"/>
          <w:szCs w:val="26"/>
          <w:rtl/>
          <w:lang w:eastAsia="en-GB"/>
        </w:rPr>
        <w:t xml:space="preserve"> ذات الصلة باتفاقية فيينا لحماية طبقة الأوزون. وعلاوة على ذلك، قررت اللجنة التنفيذية إضافة مبلغ </w:t>
      </w:r>
      <w:r>
        <w:rPr>
          <w:sz w:val="26"/>
          <w:szCs w:val="26"/>
          <w:lang w:eastAsia="en-GB"/>
        </w:rPr>
        <w:t>1,800,000</w:t>
      </w:r>
      <w:r>
        <w:rPr>
          <w:sz w:val="26"/>
          <w:szCs w:val="26"/>
          <w:rtl/>
          <w:lang w:eastAsia="en-GB"/>
        </w:rPr>
        <w:t> دولار أمريكي إلى نافذة التمويل المذكورة أعلاه، لمواصلة تشغيل ثلاث محطات لرصد الغلاف الجوي سيتم إنشاؤها بدعم من الصندوق الاستئماني العام، على أساس أن مقترحات المشاريع للحصول على التمويل ستُقدم إلى اللجنة التنفيذية.</w:t>
      </w:r>
    </w:p>
    <w:p w14:paraId="05F4E70A" w14:textId="0FBA2FE2" w:rsidR="005F06E7" w:rsidRPr="005F06E7" w:rsidRDefault="005F06E7" w:rsidP="003B64CF">
      <w:pPr>
        <w:pStyle w:val="Heading3"/>
        <w:numPr>
          <w:ilvl w:val="2"/>
          <w:numId w:val="16"/>
        </w:numPr>
        <w:bidi/>
        <w:spacing w:line="288" w:lineRule="auto"/>
        <w:ind w:left="720" w:firstLine="0"/>
        <w:rPr>
          <w:sz w:val="26"/>
          <w:szCs w:val="26"/>
          <w:lang w:eastAsia="en-GB"/>
        </w:rPr>
      </w:pPr>
      <w:r>
        <w:rPr>
          <w:sz w:val="26"/>
          <w:szCs w:val="26"/>
          <w:rtl/>
          <w:lang w:eastAsia="en-GB"/>
        </w:rPr>
        <w:t>شجعت اللجنة التنفيذية البلدان العاملة بموجب المادة</w:t>
      </w:r>
      <w:r>
        <w:rPr>
          <w:rFonts w:hint="cs"/>
          <w:sz w:val="26"/>
          <w:szCs w:val="26"/>
          <w:rtl/>
          <w:lang w:eastAsia="en-GB"/>
        </w:rPr>
        <w:t> </w:t>
      </w:r>
      <w:r>
        <w:rPr>
          <w:sz w:val="26"/>
          <w:szCs w:val="26"/>
          <w:lang w:val="en-US" w:eastAsia="en-GB"/>
        </w:rPr>
        <w:t>5</w:t>
      </w:r>
      <w:r>
        <w:rPr>
          <w:sz w:val="26"/>
          <w:szCs w:val="26"/>
          <w:rtl/>
          <w:lang w:eastAsia="en-GB"/>
        </w:rPr>
        <w:t xml:space="preserve"> على الاستفادة من خبرات المنظمة العالمية للأرصاد الجوية عن طريق اختيارها كوكالة منفذة رئيسية أو متعاونة للمشاريع التجريبية لتعزيز الرصد الإقليمي للغلاف الجوي للمواد الخاضعة للرقابة بموجب بروتوكول مونتريال. وطُلب من أمانة الصندوق، بالتعاون مع المنظمة العالمية للأرصاد الجوية، </w:t>
      </w:r>
      <w:r>
        <w:rPr>
          <w:rFonts w:hint="cs"/>
          <w:sz w:val="26"/>
          <w:szCs w:val="26"/>
          <w:rtl/>
          <w:lang w:eastAsia="en-GB"/>
        </w:rPr>
        <w:t xml:space="preserve">وضع </w:t>
      </w:r>
      <w:r>
        <w:rPr>
          <w:sz w:val="26"/>
          <w:szCs w:val="26"/>
          <w:rtl/>
          <w:lang w:eastAsia="en-GB"/>
        </w:rPr>
        <w:t>مشاريع اتفاقات مع اللجنة التنفيذية ومع أمين الخزانة، لعرضها على اللجنة للنظر فيها واعتمادها في اجتماعها التاسع والتسعين، وذلك تم</w:t>
      </w:r>
      <w:r>
        <w:rPr>
          <w:rFonts w:hint="cs"/>
          <w:sz w:val="26"/>
          <w:szCs w:val="26"/>
          <w:rtl/>
          <w:lang w:eastAsia="en-GB"/>
        </w:rPr>
        <w:t>ا</w:t>
      </w:r>
      <w:r>
        <w:rPr>
          <w:sz w:val="26"/>
          <w:szCs w:val="26"/>
          <w:rtl/>
          <w:lang w:eastAsia="en-GB"/>
        </w:rPr>
        <w:t>شياً مع الاتفاقات بين اللجنة والوكالات المنفذة، والاتفاقات بين الوكالات المنفذة وأمين الخزانة.</w:t>
      </w:r>
    </w:p>
    <w:p w14:paraId="28B742D4" w14:textId="664158A0" w:rsidR="00FB4610" w:rsidRPr="00FB4610" w:rsidRDefault="00FB4610" w:rsidP="003B64CF">
      <w:pPr>
        <w:pStyle w:val="Heading3"/>
        <w:numPr>
          <w:ilvl w:val="2"/>
          <w:numId w:val="16"/>
        </w:numPr>
        <w:bidi/>
        <w:spacing w:line="288" w:lineRule="auto"/>
        <w:ind w:left="720" w:firstLine="0"/>
        <w:rPr>
          <w:sz w:val="26"/>
          <w:szCs w:val="26"/>
          <w:lang w:eastAsia="en-GB"/>
        </w:rPr>
      </w:pPr>
      <w:r>
        <w:rPr>
          <w:sz w:val="26"/>
          <w:szCs w:val="26"/>
          <w:rtl/>
          <w:lang w:eastAsia="en-GB"/>
        </w:rPr>
        <w:t xml:space="preserve">لاحظت اللجنة أن الوكالات الثنائية والمنفذة للمشاريع التجريبية لتعزيز الرصد الإقليمي للغلاف الجوي للمواد الخاضعة للرقابة بموجب بروتوكول مونتريال ستطلب توجيه اللجنة الاستشارية بشأن إعداد وتنفيذ هذه المشاريع التجريبية، وستقدم تقارير عن تنفيذ هذه المشاريع التجريبية إلى الاجتماع السابع بعد المائة، وأن أمانة الصندوق ستشارك اللجنة الاستشارية المعلومات ذات الصلة من تلك التقارير. وطلبت اللجنة التنفيذية، للاجتماع السابع بعد المائة، من أمانة الصندوق إعداد ورقة </w:t>
      </w:r>
      <w:r>
        <w:rPr>
          <w:rFonts w:hint="cs"/>
          <w:sz w:val="26"/>
          <w:szCs w:val="26"/>
          <w:rtl/>
          <w:lang w:eastAsia="en-GB"/>
        </w:rPr>
        <w:t>تعرض</w:t>
      </w:r>
      <w:r>
        <w:rPr>
          <w:sz w:val="26"/>
          <w:szCs w:val="26"/>
          <w:rtl/>
          <w:lang w:eastAsia="en-GB"/>
        </w:rPr>
        <w:t xml:space="preserve"> تحديثاً عن حالة التنفيذ، والدروس المستفادة، والتوصيات، إن وجدت، الناتجة عن تنفيذ مقترحات إعداد المشاريع، بالإضافة إلى ورقة تحدد </w:t>
      </w:r>
      <w:r>
        <w:rPr>
          <w:sz w:val="26"/>
          <w:szCs w:val="26"/>
          <w:rtl/>
          <w:lang w:eastAsia="en-GB"/>
        </w:rPr>
        <w:lastRenderedPageBreak/>
        <w:t>خيارات لمدة التكاليف المتكررة الإضافية وتوفيرها، مع مراعاة المعلومات الواردة في التقارير المذكورة أعلاه عن تنفيذ المشاريع التجريبية من قبل الوكالات الثنائية والمنفذة، وغيرها من المعلومات ذات الصلة.</w:t>
      </w:r>
    </w:p>
    <w:p w14:paraId="21B40BAB" w14:textId="65E31E05" w:rsidR="008264E4" w:rsidRPr="008264E4" w:rsidRDefault="008264E4" w:rsidP="003B64CF">
      <w:pPr>
        <w:pStyle w:val="Heading3"/>
        <w:numPr>
          <w:ilvl w:val="2"/>
          <w:numId w:val="16"/>
        </w:numPr>
        <w:bidi/>
        <w:spacing w:line="288" w:lineRule="auto"/>
        <w:ind w:left="720" w:firstLine="0"/>
        <w:rPr>
          <w:sz w:val="26"/>
          <w:szCs w:val="26"/>
          <w:lang w:eastAsia="en-GB"/>
        </w:rPr>
      </w:pPr>
      <w:r>
        <w:rPr>
          <w:sz w:val="26"/>
          <w:szCs w:val="26"/>
          <w:rtl/>
          <w:lang w:eastAsia="en-GB"/>
        </w:rPr>
        <w:t xml:space="preserve">طلبت اللجنة من الوكالات الثنائية والمنفذة إدراج طلبات تمويل في خطط أعمالها ذات الصلة، في إطار نافذة التمويل البالغة </w:t>
      </w:r>
      <w:r>
        <w:rPr>
          <w:sz w:val="26"/>
          <w:szCs w:val="26"/>
          <w:lang w:eastAsia="en-GB"/>
        </w:rPr>
        <w:t>9,250,000</w:t>
      </w:r>
      <w:r>
        <w:rPr>
          <w:sz w:val="26"/>
          <w:szCs w:val="26"/>
          <w:rtl/>
          <w:lang w:eastAsia="en-GB"/>
        </w:rPr>
        <w:t> دولار أمريكي، للمشاريع التجريبية الرامية إلى تعزيز الرصد الإقليمي للغلاف الجوي للمواد الخاضعة للرقابة بموجب بروتوكول مونتريال، وذلك لصالح البلدان العاملة بموجب المادة</w:t>
      </w:r>
      <w:r>
        <w:rPr>
          <w:rFonts w:hint="cs"/>
          <w:sz w:val="26"/>
          <w:szCs w:val="26"/>
          <w:rtl/>
          <w:lang w:eastAsia="en-GB"/>
        </w:rPr>
        <w:t> </w:t>
      </w:r>
      <w:r>
        <w:rPr>
          <w:sz w:val="26"/>
          <w:szCs w:val="26"/>
          <w:lang w:val="en-US" w:eastAsia="en-GB"/>
        </w:rPr>
        <w:t>5</w:t>
      </w:r>
      <w:r>
        <w:rPr>
          <w:sz w:val="26"/>
          <w:szCs w:val="26"/>
          <w:rtl/>
          <w:lang w:eastAsia="en-GB"/>
        </w:rPr>
        <w:t xml:space="preserve"> التي ترغب في تنفيذ مثل هذه المشاريع (المقرر</w:t>
      </w:r>
      <w:r>
        <w:rPr>
          <w:rFonts w:hint="cs"/>
          <w:sz w:val="26"/>
          <w:szCs w:val="26"/>
          <w:rtl/>
          <w:lang w:eastAsia="en-GB"/>
        </w:rPr>
        <w:t> </w:t>
      </w:r>
      <w:r>
        <w:rPr>
          <w:sz w:val="26"/>
          <w:szCs w:val="26"/>
          <w:lang w:val="en-US" w:eastAsia="en-GB"/>
        </w:rPr>
        <w:t>98</w:t>
      </w:r>
      <w:r>
        <w:rPr>
          <w:rFonts w:hint="cs"/>
          <w:sz w:val="26"/>
          <w:szCs w:val="26"/>
          <w:rtl/>
          <w:lang w:val="en-US" w:eastAsia="en-GB" w:bidi="ar-AE"/>
        </w:rPr>
        <w:t>/</w:t>
      </w:r>
      <w:r>
        <w:rPr>
          <w:sz w:val="26"/>
          <w:szCs w:val="26"/>
          <w:lang w:val="en-US" w:eastAsia="en-GB" w:bidi="ar-AE"/>
        </w:rPr>
        <w:t>62</w:t>
      </w:r>
      <w:r>
        <w:rPr>
          <w:sz w:val="26"/>
          <w:szCs w:val="26"/>
          <w:rtl/>
          <w:lang w:eastAsia="en-GB"/>
        </w:rPr>
        <w:t>).</w:t>
      </w:r>
    </w:p>
    <w:p w14:paraId="6B2DEC39" w14:textId="38CA6B55" w:rsidR="00655E56" w:rsidRPr="00655E56" w:rsidRDefault="00655E56">
      <w:pPr>
        <w:pStyle w:val="ListParagraph"/>
        <w:keepNext/>
        <w:numPr>
          <w:ilvl w:val="0"/>
          <w:numId w:val="24"/>
        </w:numPr>
        <w:bidi/>
        <w:spacing w:after="240"/>
        <w:ind w:left="1440" w:hanging="720"/>
        <w:contextualSpacing w:val="0"/>
        <w:jc w:val="both"/>
        <w:outlineLvl w:val="1"/>
        <w:rPr>
          <w:rFonts w:ascii="Times New Roman" w:hAnsi="Times New Roman" w:cs="Times New Roman"/>
          <w:b/>
          <w:bCs/>
          <w:sz w:val="26"/>
          <w:szCs w:val="26"/>
        </w:rPr>
      </w:pPr>
      <w:r>
        <w:rPr>
          <w:rFonts w:ascii="Times New Roman" w:hAnsi="Times New Roman" w:cs="Times New Roman"/>
          <w:b/>
          <w:bCs/>
          <w:sz w:val="26"/>
          <w:szCs w:val="26"/>
          <w:rtl/>
        </w:rPr>
        <w:t>البدائل في تصنيع رغ</w:t>
      </w:r>
      <w:r>
        <w:rPr>
          <w:rFonts w:ascii="Times New Roman" w:hAnsi="Times New Roman" w:cs="Times New Roman" w:hint="cs"/>
          <w:b/>
          <w:bCs/>
          <w:sz w:val="26"/>
          <w:szCs w:val="26"/>
          <w:rtl/>
        </w:rPr>
        <w:t>اوى</w:t>
      </w:r>
      <w:r>
        <w:rPr>
          <w:rFonts w:ascii="Times New Roman" w:hAnsi="Times New Roman" w:cs="Times New Roman"/>
          <w:b/>
          <w:bCs/>
          <w:sz w:val="26"/>
          <w:szCs w:val="26"/>
          <w:rtl/>
        </w:rPr>
        <w:t xml:space="preserve"> البولي يوريثان، مع التركيز على </w:t>
      </w:r>
      <w:r>
        <w:rPr>
          <w:rFonts w:ascii="Times New Roman" w:hAnsi="Times New Roman" w:cs="Times New Roman" w:hint="cs"/>
          <w:b/>
          <w:bCs/>
          <w:sz w:val="26"/>
          <w:szCs w:val="26"/>
          <w:rtl/>
        </w:rPr>
        <w:t>المنشآت</w:t>
      </w:r>
      <w:r>
        <w:rPr>
          <w:rFonts w:ascii="Times New Roman" w:hAnsi="Times New Roman" w:cs="Times New Roman"/>
          <w:b/>
          <w:bCs/>
          <w:sz w:val="26"/>
          <w:szCs w:val="26"/>
          <w:rtl/>
        </w:rPr>
        <w:t xml:space="preserve"> الصغيرة والمتوسطة، ولا سيما في تطبيقات الرغوة الرذاذية والعازلة</w:t>
      </w:r>
    </w:p>
    <w:p w14:paraId="1C405582" w14:textId="3E38E7C4" w:rsidR="00413C2A" w:rsidRPr="00413C2A" w:rsidRDefault="00413C2A" w:rsidP="003B64CF">
      <w:pPr>
        <w:pStyle w:val="Heading3"/>
        <w:numPr>
          <w:ilvl w:val="2"/>
          <w:numId w:val="16"/>
        </w:numPr>
        <w:bidi/>
        <w:spacing w:line="288" w:lineRule="auto"/>
        <w:ind w:left="720" w:firstLine="0"/>
        <w:rPr>
          <w:sz w:val="26"/>
          <w:szCs w:val="26"/>
          <w:lang w:eastAsia="en-GB"/>
        </w:rPr>
      </w:pPr>
      <w:r>
        <w:rPr>
          <w:sz w:val="26"/>
          <w:szCs w:val="26"/>
          <w:rtl/>
          <w:lang w:eastAsia="en-GB"/>
        </w:rPr>
        <w:t>عملاً بالمقرر</w:t>
      </w:r>
      <w:r>
        <w:rPr>
          <w:rFonts w:hint="cs"/>
          <w:sz w:val="26"/>
          <w:szCs w:val="26"/>
          <w:rtl/>
          <w:lang w:eastAsia="en-GB"/>
        </w:rPr>
        <w:t> </w:t>
      </w:r>
      <w:r>
        <w:rPr>
          <w:sz w:val="26"/>
          <w:szCs w:val="26"/>
          <w:lang w:val="en-US" w:eastAsia="en-GB"/>
        </w:rPr>
        <w:t>96</w:t>
      </w:r>
      <w:r>
        <w:rPr>
          <w:rFonts w:hint="cs"/>
          <w:sz w:val="26"/>
          <w:szCs w:val="26"/>
          <w:rtl/>
          <w:lang w:val="en-US" w:eastAsia="en-GB" w:bidi="ar-AE"/>
        </w:rPr>
        <w:t>/</w:t>
      </w:r>
      <w:r>
        <w:rPr>
          <w:sz w:val="26"/>
          <w:szCs w:val="26"/>
          <w:lang w:val="en-US" w:eastAsia="en-GB" w:bidi="ar-AE"/>
        </w:rPr>
        <w:t>53</w:t>
      </w:r>
      <w:r>
        <w:rPr>
          <w:sz w:val="26"/>
          <w:szCs w:val="26"/>
          <w:rtl/>
          <w:lang w:eastAsia="en-GB"/>
        </w:rPr>
        <w:t xml:space="preserve">(ج)، نظرت اللجنة التنفيذية في اجتماعها الثامن والتسعين في تقرير محدّث عن مسألة البدائل في تصنيع </w:t>
      </w:r>
      <w:r>
        <w:rPr>
          <w:rFonts w:hint="cs"/>
          <w:sz w:val="26"/>
          <w:szCs w:val="26"/>
          <w:rtl/>
          <w:lang w:eastAsia="en-GB"/>
        </w:rPr>
        <w:t>رغاوى</w:t>
      </w:r>
      <w:r>
        <w:rPr>
          <w:sz w:val="26"/>
          <w:szCs w:val="26"/>
          <w:rtl/>
          <w:lang w:eastAsia="en-GB"/>
        </w:rPr>
        <w:t xml:space="preserve"> البولي يوريثان، مع التركيز على المنشآت الصغيرة والمتوسطة، ولا سيما في تطبيقات الرغوة الرذاذية والعازلة</w:t>
      </w:r>
      <w:r>
        <w:rPr>
          <w:rStyle w:val="FootnoteReference"/>
          <w:sz w:val="26"/>
          <w:szCs w:val="26"/>
          <w:lang w:val="en-US" w:eastAsia="en-GB" w:bidi="ar-AE"/>
        </w:rPr>
        <w:footnoteReference w:id="22"/>
      </w:r>
      <w:r>
        <w:rPr>
          <w:sz w:val="26"/>
          <w:szCs w:val="26"/>
          <w:rtl/>
          <w:lang w:eastAsia="en-GB"/>
        </w:rPr>
        <w:t>. وبعد مناقشة في الجلسة العامة، طلبت اللجنة التنفيذية من أمانة الصندوق تحديث تقريرها للنظر فيه في الاجتماع المائة (المقرر</w:t>
      </w:r>
      <w:r>
        <w:rPr>
          <w:rFonts w:hint="cs"/>
          <w:sz w:val="26"/>
          <w:szCs w:val="26"/>
          <w:rtl/>
          <w:lang w:eastAsia="en-GB"/>
        </w:rPr>
        <w:t> </w:t>
      </w:r>
      <w:r>
        <w:rPr>
          <w:sz w:val="26"/>
          <w:szCs w:val="26"/>
          <w:lang w:val="en-US" w:eastAsia="en-GB"/>
        </w:rPr>
        <w:t>98</w:t>
      </w:r>
      <w:r>
        <w:rPr>
          <w:rFonts w:hint="cs"/>
          <w:sz w:val="26"/>
          <w:szCs w:val="26"/>
          <w:rtl/>
          <w:lang w:val="en-US" w:eastAsia="en-GB" w:bidi="ar-AE"/>
        </w:rPr>
        <w:t>/</w:t>
      </w:r>
      <w:r>
        <w:rPr>
          <w:sz w:val="26"/>
          <w:szCs w:val="26"/>
          <w:lang w:val="en-US" w:eastAsia="en-GB" w:bidi="ar-AE"/>
        </w:rPr>
        <w:t>58</w:t>
      </w:r>
      <w:r>
        <w:rPr>
          <w:sz w:val="26"/>
          <w:szCs w:val="26"/>
          <w:rtl/>
          <w:lang w:eastAsia="en-GB"/>
        </w:rPr>
        <w:t>).</w:t>
      </w:r>
    </w:p>
    <w:p w14:paraId="4535ADB7" w14:textId="5AFD54EE" w:rsidR="00905012" w:rsidRPr="00905012" w:rsidRDefault="00905012">
      <w:pPr>
        <w:pStyle w:val="ListParagraph"/>
        <w:keepNext/>
        <w:numPr>
          <w:ilvl w:val="0"/>
          <w:numId w:val="24"/>
        </w:numPr>
        <w:bidi/>
        <w:spacing w:after="240"/>
        <w:ind w:left="1440" w:hanging="720"/>
        <w:contextualSpacing w:val="0"/>
        <w:jc w:val="both"/>
        <w:outlineLvl w:val="1"/>
        <w:rPr>
          <w:rFonts w:ascii="Times New Roman" w:hAnsi="Times New Roman" w:cs="Times New Roman"/>
          <w:b/>
          <w:bCs/>
          <w:sz w:val="26"/>
          <w:szCs w:val="26"/>
        </w:rPr>
      </w:pPr>
      <w:r>
        <w:rPr>
          <w:rFonts w:ascii="Times New Roman" w:hAnsi="Times New Roman" w:cs="Times New Roman"/>
          <w:b/>
          <w:bCs/>
          <w:sz w:val="26"/>
          <w:szCs w:val="26"/>
          <w:rtl/>
        </w:rPr>
        <w:t>تنفيذ المقرر</w:t>
      </w:r>
      <w:r>
        <w:rPr>
          <w:rFonts w:ascii="Times New Roman" w:hAnsi="Times New Roman" w:cs="Times New Roman" w:hint="cs"/>
          <w:b/>
          <w:bCs/>
          <w:sz w:val="26"/>
          <w:szCs w:val="26"/>
          <w:rtl/>
        </w:rPr>
        <w:t> </w:t>
      </w:r>
      <w:r>
        <w:rPr>
          <w:rFonts w:ascii="Times New Roman" w:hAnsi="Times New Roman" w:cs="Times New Roman"/>
          <w:b/>
          <w:bCs/>
          <w:sz w:val="26"/>
          <w:szCs w:val="26"/>
        </w:rPr>
        <w:t>35</w:t>
      </w:r>
      <w:r>
        <w:rPr>
          <w:rFonts w:ascii="Times New Roman" w:hAnsi="Times New Roman" w:cs="Times New Roman" w:hint="cs"/>
          <w:b/>
          <w:bCs/>
          <w:sz w:val="26"/>
          <w:szCs w:val="26"/>
          <w:rtl/>
          <w:lang w:bidi="ar-AE"/>
        </w:rPr>
        <w:t>/</w:t>
      </w:r>
      <w:r>
        <w:rPr>
          <w:rFonts w:ascii="Times New Roman" w:hAnsi="Times New Roman" w:cs="Times New Roman"/>
          <w:b/>
          <w:bCs/>
          <w:sz w:val="26"/>
          <w:szCs w:val="26"/>
          <w:lang w:bidi="ar-AE"/>
        </w:rPr>
        <w:t>13</w:t>
      </w:r>
      <w:r>
        <w:rPr>
          <w:rFonts w:ascii="Times New Roman" w:hAnsi="Times New Roman" w:cs="Times New Roman"/>
          <w:b/>
          <w:bCs/>
          <w:sz w:val="26"/>
          <w:szCs w:val="26"/>
          <w:rtl/>
        </w:rPr>
        <w:t xml:space="preserve"> بشأن استيراد وتصدير معدات التبريد المحظورة</w:t>
      </w:r>
    </w:p>
    <w:p w14:paraId="34FB291F" w14:textId="77621744" w:rsidR="00905012" w:rsidRPr="00905012" w:rsidRDefault="00932803" w:rsidP="003B64CF">
      <w:pPr>
        <w:pStyle w:val="Heading3"/>
        <w:numPr>
          <w:ilvl w:val="2"/>
          <w:numId w:val="16"/>
        </w:numPr>
        <w:bidi/>
        <w:spacing w:line="288" w:lineRule="auto"/>
        <w:ind w:left="720" w:firstLine="0"/>
        <w:rPr>
          <w:sz w:val="26"/>
          <w:szCs w:val="26"/>
          <w:lang w:eastAsia="en-GB"/>
        </w:rPr>
      </w:pPr>
      <w:r>
        <w:rPr>
          <w:sz w:val="26"/>
          <w:szCs w:val="26"/>
          <w:rtl/>
          <w:lang w:eastAsia="en-GB"/>
        </w:rPr>
        <w:t>وإذ تضع اللجنة التنفيذية في اعتبارها المقرر</w:t>
      </w:r>
      <w:r>
        <w:rPr>
          <w:rFonts w:hint="eastAsia"/>
          <w:sz w:val="26"/>
          <w:szCs w:val="26"/>
          <w:rtl/>
          <w:lang w:eastAsia="en-GB"/>
        </w:rPr>
        <w:t> </w:t>
      </w:r>
      <w:r>
        <w:rPr>
          <w:sz w:val="26"/>
          <w:szCs w:val="26"/>
          <w:lang w:val="en-US" w:eastAsia="en-GB"/>
        </w:rPr>
        <w:t>35</w:t>
      </w:r>
      <w:r>
        <w:rPr>
          <w:rFonts w:hint="cs"/>
          <w:sz w:val="26"/>
          <w:szCs w:val="26"/>
          <w:rtl/>
          <w:lang w:val="en-US" w:eastAsia="en-GB" w:bidi="ar-AE"/>
        </w:rPr>
        <w:t>/</w:t>
      </w:r>
      <w:r>
        <w:rPr>
          <w:sz w:val="26"/>
          <w:szCs w:val="26"/>
          <w:lang w:val="en-US" w:eastAsia="en-GB" w:bidi="ar-AE"/>
        </w:rPr>
        <w:t>13</w:t>
      </w:r>
      <w:r>
        <w:rPr>
          <w:sz w:val="26"/>
          <w:szCs w:val="26"/>
          <w:rtl/>
          <w:lang w:eastAsia="en-GB"/>
        </w:rPr>
        <w:t xml:space="preserve"> بشأن استيراد وتصدير معدات التبريد المحظورة، ذكّرت، في اجتماعها الثامن والتسعين، الوكالات الثنائية والمنفذة، فضلاً عن البلدان العاملة بموجب المادة</w:t>
      </w:r>
      <w:r>
        <w:rPr>
          <w:rFonts w:hint="cs"/>
          <w:sz w:val="26"/>
          <w:szCs w:val="26"/>
          <w:rtl/>
          <w:lang w:eastAsia="en-GB"/>
        </w:rPr>
        <w:t> </w:t>
      </w:r>
      <w:r>
        <w:rPr>
          <w:sz w:val="26"/>
          <w:szCs w:val="26"/>
          <w:lang w:val="en-US" w:eastAsia="en-GB"/>
        </w:rPr>
        <w:t>5</w:t>
      </w:r>
      <w:r>
        <w:rPr>
          <w:sz w:val="26"/>
          <w:szCs w:val="26"/>
          <w:rtl/>
          <w:lang w:eastAsia="en-GB"/>
        </w:rPr>
        <w:t xml:space="preserve"> التي تُبدي قلقها بشأن عدم الامتثال المحتمل الناجم عن استيراد تلك المعدات، بإمكانية إدراج أنشطة لتعزيز القدرات على منع مثل </w:t>
      </w:r>
      <w:r>
        <w:rPr>
          <w:rFonts w:hint="cs"/>
          <w:sz w:val="26"/>
          <w:szCs w:val="26"/>
          <w:rtl/>
          <w:lang w:eastAsia="en-GB"/>
        </w:rPr>
        <w:t>تلك</w:t>
      </w:r>
      <w:r>
        <w:rPr>
          <w:sz w:val="26"/>
          <w:szCs w:val="26"/>
          <w:rtl/>
          <w:lang w:eastAsia="en-GB"/>
        </w:rPr>
        <w:t xml:space="preserve"> الواردات في إطار المراحل الجديدة من خطط تنفيذ كيغالي أو خطط إدارة إزالة المواد الهيدروكلوروفلوروكربونية. وطلبت كذلك من أمانة الصندوق مناقشة كيفية تنفيذ هذه الأنشطة حتى الآن، وما هي التحديات ذات الصلة التي </w:t>
      </w:r>
      <w:r>
        <w:rPr>
          <w:rFonts w:hint="cs"/>
          <w:sz w:val="26"/>
          <w:szCs w:val="26"/>
          <w:rtl/>
          <w:lang w:eastAsia="en-GB"/>
        </w:rPr>
        <w:t>يتعين</w:t>
      </w:r>
      <w:r>
        <w:rPr>
          <w:sz w:val="26"/>
          <w:szCs w:val="26"/>
          <w:rtl/>
          <w:lang w:eastAsia="en-GB"/>
        </w:rPr>
        <w:t xml:space="preserve"> معالجتها، مع الوكالات الثنائية والمنفذة، مع مراعاة إمكانية التنسيق الإقليمي (المقرر</w:t>
      </w:r>
      <w:r>
        <w:rPr>
          <w:rFonts w:hint="cs"/>
          <w:sz w:val="26"/>
          <w:szCs w:val="26"/>
          <w:rtl/>
          <w:lang w:eastAsia="en-GB"/>
        </w:rPr>
        <w:t> </w:t>
      </w:r>
      <w:r>
        <w:rPr>
          <w:sz w:val="26"/>
          <w:szCs w:val="26"/>
          <w:lang w:val="en-US" w:eastAsia="en-GB"/>
        </w:rPr>
        <w:t>98</w:t>
      </w:r>
      <w:r>
        <w:rPr>
          <w:rFonts w:hint="cs"/>
          <w:sz w:val="26"/>
          <w:szCs w:val="26"/>
          <w:rtl/>
          <w:lang w:val="en-US" w:eastAsia="en-GB" w:bidi="ar-AE"/>
        </w:rPr>
        <w:t>/</w:t>
      </w:r>
      <w:r>
        <w:rPr>
          <w:sz w:val="26"/>
          <w:szCs w:val="26"/>
          <w:lang w:val="en-US" w:eastAsia="en-GB" w:bidi="ar-AE"/>
        </w:rPr>
        <w:t>63</w:t>
      </w:r>
      <w:r>
        <w:rPr>
          <w:sz w:val="26"/>
          <w:szCs w:val="26"/>
          <w:rtl/>
          <w:lang w:eastAsia="en-GB"/>
        </w:rPr>
        <w:t>).</w:t>
      </w:r>
    </w:p>
    <w:p w14:paraId="58AF4650" w14:textId="4E54FF1A" w:rsidR="008D5816" w:rsidRPr="008D5816" w:rsidRDefault="00547580">
      <w:pPr>
        <w:pStyle w:val="ListParagraph"/>
        <w:keepNext/>
        <w:numPr>
          <w:ilvl w:val="0"/>
          <w:numId w:val="24"/>
        </w:numPr>
        <w:bidi/>
        <w:spacing w:after="240"/>
        <w:ind w:left="1440" w:hanging="720"/>
        <w:contextualSpacing w:val="0"/>
        <w:jc w:val="both"/>
        <w:outlineLvl w:val="1"/>
        <w:rPr>
          <w:rFonts w:ascii="Times New Roman" w:hAnsi="Times New Roman" w:cs="Times New Roman"/>
          <w:b/>
          <w:bCs/>
          <w:sz w:val="26"/>
          <w:szCs w:val="26"/>
        </w:rPr>
      </w:pPr>
      <w:r>
        <w:rPr>
          <w:rFonts w:ascii="Times New Roman" w:hAnsi="Times New Roman" w:cs="Times New Roman"/>
          <w:b/>
          <w:bCs/>
          <w:sz w:val="26"/>
          <w:szCs w:val="26"/>
          <w:rtl/>
        </w:rPr>
        <w:t>استعراض إمكانية إدماج الإبلاغ من خلال تقارير إنجاز المشروعات والتقارير النهائية المفصلة للمشروعات</w:t>
      </w:r>
    </w:p>
    <w:p w14:paraId="6D72689B" w14:textId="002FFE1E" w:rsidR="00547580" w:rsidRPr="00547580" w:rsidRDefault="00547580" w:rsidP="003B64CF">
      <w:pPr>
        <w:pStyle w:val="Heading3"/>
        <w:numPr>
          <w:ilvl w:val="2"/>
          <w:numId w:val="16"/>
        </w:numPr>
        <w:bidi/>
        <w:spacing w:line="288" w:lineRule="auto"/>
        <w:ind w:left="720" w:firstLine="0"/>
        <w:rPr>
          <w:sz w:val="26"/>
          <w:szCs w:val="26"/>
          <w:lang w:eastAsia="en-GB"/>
        </w:rPr>
      </w:pPr>
      <w:r>
        <w:rPr>
          <w:sz w:val="26"/>
          <w:szCs w:val="26"/>
          <w:rtl/>
          <w:lang w:eastAsia="en-GB"/>
        </w:rPr>
        <w:t>نظرت اللجنة التنفيذية في الاجتماع السابع والتسعين، وعملاً بالمقرر</w:t>
      </w:r>
      <w:r>
        <w:rPr>
          <w:rFonts w:hint="cs"/>
          <w:sz w:val="26"/>
          <w:szCs w:val="26"/>
          <w:rtl/>
          <w:lang w:eastAsia="en-GB"/>
        </w:rPr>
        <w:t> </w:t>
      </w:r>
      <w:r>
        <w:rPr>
          <w:sz w:val="26"/>
          <w:szCs w:val="26"/>
          <w:lang w:val="en-US" w:eastAsia="en-GB"/>
        </w:rPr>
        <w:t>95</w:t>
      </w:r>
      <w:r>
        <w:rPr>
          <w:rFonts w:hint="cs"/>
          <w:sz w:val="26"/>
          <w:szCs w:val="26"/>
          <w:rtl/>
          <w:lang w:val="en-US" w:eastAsia="en-GB" w:bidi="ar-AE"/>
        </w:rPr>
        <w:t>/</w:t>
      </w:r>
      <w:r>
        <w:rPr>
          <w:sz w:val="26"/>
          <w:szCs w:val="26"/>
          <w:lang w:val="en-US" w:eastAsia="en-GB" w:bidi="ar-AE"/>
        </w:rPr>
        <w:t>91</w:t>
      </w:r>
      <w:r>
        <w:rPr>
          <w:sz w:val="26"/>
          <w:szCs w:val="26"/>
          <w:rtl/>
          <w:lang w:eastAsia="en-GB"/>
        </w:rPr>
        <w:t>(هـ)، في إمكانية إدماج الإبلاغ من خلال تقارير إنجاز المشروعات والتقارير النهائية المفصلة للمشروعات</w:t>
      </w:r>
      <w:r>
        <w:rPr>
          <w:rStyle w:val="FootnoteReference"/>
          <w:sz w:val="26"/>
          <w:szCs w:val="26"/>
          <w:lang w:val="en-US" w:eastAsia="en-GB"/>
        </w:rPr>
        <w:footnoteReference w:id="23"/>
      </w:r>
      <w:r>
        <w:rPr>
          <w:sz w:val="26"/>
          <w:szCs w:val="26"/>
          <w:rtl/>
          <w:lang w:eastAsia="en-GB"/>
        </w:rPr>
        <w:t>. وقررت مواصلة الممارسة الحالية المتمثلة في تقديم التقارير النهائية من قبل الوكالات الثنائية والمنفذة لأنواع المشروعات المختلفة، باستثناء المشروعات التدليلية أو التجريبية الفردية، على النحو الموضح في الجدول</w:t>
      </w:r>
      <w:r>
        <w:rPr>
          <w:rFonts w:hint="cs"/>
          <w:sz w:val="26"/>
          <w:szCs w:val="26"/>
          <w:rtl/>
          <w:lang w:eastAsia="en-GB"/>
        </w:rPr>
        <w:t> </w:t>
      </w:r>
      <w:r>
        <w:rPr>
          <w:sz w:val="26"/>
          <w:szCs w:val="26"/>
          <w:lang w:val="en-US" w:eastAsia="en-GB"/>
        </w:rPr>
        <w:t>1</w:t>
      </w:r>
      <w:r>
        <w:rPr>
          <w:sz w:val="26"/>
          <w:szCs w:val="26"/>
          <w:rtl/>
          <w:lang w:eastAsia="en-GB"/>
        </w:rPr>
        <w:t xml:space="preserve">، بشأن متطلبات إعداد التقارير النهائية حسب نوع المشروع، الوارد في الوثيقة </w:t>
      </w:r>
      <w:r>
        <w:rPr>
          <w:sz w:val="26"/>
          <w:szCs w:val="26"/>
          <w:lang w:eastAsia="en-GB"/>
        </w:rPr>
        <w:t>UNEP/OzL.Pro/ExCom/97/88</w:t>
      </w:r>
      <w:r>
        <w:rPr>
          <w:sz w:val="26"/>
          <w:szCs w:val="26"/>
          <w:rtl/>
          <w:lang w:eastAsia="en-GB"/>
        </w:rPr>
        <w:t xml:space="preserve">. أما بالنسبة للمشروعات التدليلية أو التجريبية، حيث يُشترط تقديم تقرير نهائي تفصيلي، فقد طلبت اللجنة إلى أمانة الصندوق، عند وضع نموذج التقارير النهائية، أن تعمل على توافق هذا النموذج مع النموذج العالمي لتقارير إنجاز المشروعات، حسب الاقتضاء، مع الإحاطة علماً بأنه لن </w:t>
      </w:r>
      <w:r>
        <w:rPr>
          <w:sz w:val="26"/>
          <w:szCs w:val="26"/>
          <w:rtl/>
          <w:lang w:eastAsia="en-GB"/>
        </w:rPr>
        <w:lastRenderedPageBreak/>
        <w:t>تكون هناك حاجة إلى تقديم تقرير إنجاز المشروع بشكل منفصل لهذا النوع من المشروعات (المقرر</w:t>
      </w:r>
      <w:r>
        <w:rPr>
          <w:rFonts w:hint="cs"/>
          <w:sz w:val="26"/>
          <w:szCs w:val="26"/>
          <w:rtl/>
          <w:lang w:eastAsia="en-GB"/>
        </w:rPr>
        <w:t> </w:t>
      </w:r>
      <w:r>
        <w:rPr>
          <w:sz w:val="26"/>
          <w:szCs w:val="26"/>
          <w:lang w:val="en-US" w:eastAsia="en-GB"/>
        </w:rPr>
        <w:t>97</w:t>
      </w:r>
      <w:r>
        <w:rPr>
          <w:rFonts w:hint="cs"/>
          <w:sz w:val="26"/>
          <w:szCs w:val="26"/>
          <w:rtl/>
          <w:lang w:val="en-US" w:eastAsia="en-GB" w:bidi="ar-AE"/>
        </w:rPr>
        <w:t>/</w:t>
      </w:r>
      <w:r>
        <w:rPr>
          <w:sz w:val="26"/>
          <w:szCs w:val="26"/>
          <w:lang w:val="en-US" w:eastAsia="en-GB" w:bidi="ar-AE"/>
        </w:rPr>
        <w:t>90</w:t>
      </w:r>
      <w:r>
        <w:rPr>
          <w:sz w:val="26"/>
          <w:szCs w:val="26"/>
          <w:rtl/>
          <w:lang w:eastAsia="en-GB"/>
        </w:rPr>
        <w:t>).</w:t>
      </w:r>
    </w:p>
    <w:p w14:paraId="2D5B41C4" w14:textId="3E234C2D" w:rsidR="008069DC" w:rsidRPr="008069DC" w:rsidRDefault="008069DC">
      <w:pPr>
        <w:pStyle w:val="ListParagraph"/>
        <w:keepNext/>
        <w:numPr>
          <w:ilvl w:val="0"/>
          <w:numId w:val="24"/>
        </w:numPr>
        <w:bidi/>
        <w:spacing w:after="240"/>
        <w:ind w:left="1440" w:hanging="720"/>
        <w:contextualSpacing w:val="0"/>
        <w:jc w:val="both"/>
        <w:outlineLvl w:val="1"/>
        <w:rPr>
          <w:rFonts w:ascii="Times New Roman" w:hAnsi="Times New Roman" w:cs="Times New Roman"/>
          <w:b/>
          <w:bCs/>
          <w:sz w:val="26"/>
          <w:szCs w:val="26"/>
        </w:rPr>
      </w:pPr>
      <w:r>
        <w:rPr>
          <w:rFonts w:ascii="Times New Roman" w:hAnsi="Times New Roman" w:cs="Times New Roman"/>
          <w:b/>
          <w:bCs/>
          <w:sz w:val="26"/>
          <w:szCs w:val="26"/>
          <w:rtl/>
        </w:rPr>
        <w:t xml:space="preserve">التقرير المرحلي </w:t>
      </w:r>
      <w:r>
        <w:rPr>
          <w:rFonts w:ascii="Times New Roman" w:hAnsi="Times New Roman" w:cs="Times New Roman" w:hint="cs"/>
          <w:b/>
          <w:bCs/>
          <w:sz w:val="26"/>
          <w:szCs w:val="26"/>
          <w:rtl/>
        </w:rPr>
        <w:t>النصفي</w:t>
      </w:r>
      <w:r>
        <w:rPr>
          <w:rFonts w:ascii="Times New Roman" w:hAnsi="Times New Roman" w:cs="Times New Roman"/>
          <w:b/>
          <w:bCs/>
          <w:sz w:val="26"/>
          <w:szCs w:val="26"/>
          <w:rtl/>
        </w:rPr>
        <w:t xml:space="preserve"> عن تنفيذ إطار النتائج</w:t>
      </w:r>
    </w:p>
    <w:p w14:paraId="52419865" w14:textId="05AD2CE3" w:rsidR="008069DC" w:rsidRPr="008069DC" w:rsidRDefault="008069DC" w:rsidP="003B64CF">
      <w:pPr>
        <w:pStyle w:val="Heading3"/>
        <w:numPr>
          <w:ilvl w:val="2"/>
          <w:numId w:val="16"/>
        </w:numPr>
        <w:bidi/>
        <w:spacing w:line="288" w:lineRule="auto"/>
        <w:ind w:left="720" w:firstLine="0"/>
        <w:rPr>
          <w:sz w:val="26"/>
          <w:szCs w:val="26"/>
          <w:lang w:eastAsia="en-GB"/>
        </w:rPr>
      </w:pPr>
      <w:r>
        <w:rPr>
          <w:sz w:val="26"/>
          <w:szCs w:val="26"/>
          <w:rtl/>
          <w:lang w:eastAsia="en-GB"/>
        </w:rPr>
        <w:t>نظرت اللجنة التنفيذية في الاجتماع السابع والتسعين، عملاً بالمقرر</w:t>
      </w:r>
      <w:r>
        <w:rPr>
          <w:rFonts w:hint="cs"/>
          <w:sz w:val="26"/>
          <w:szCs w:val="26"/>
          <w:rtl/>
          <w:lang w:eastAsia="en-GB"/>
        </w:rPr>
        <w:t> </w:t>
      </w:r>
      <w:r>
        <w:rPr>
          <w:sz w:val="26"/>
          <w:szCs w:val="26"/>
          <w:lang w:val="en-US" w:eastAsia="en-GB"/>
        </w:rPr>
        <w:t>93</w:t>
      </w:r>
      <w:r>
        <w:rPr>
          <w:rFonts w:hint="cs"/>
          <w:sz w:val="26"/>
          <w:szCs w:val="26"/>
          <w:rtl/>
          <w:lang w:val="en-US" w:eastAsia="en-GB" w:bidi="ar-AE"/>
        </w:rPr>
        <w:t>/</w:t>
      </w:r>
      <w:r>
        <w:rPr>
          <w:sz w:val="26"/>
          <w:szCs w:val="26"/>
          <w:lang w:val="en-US" w:eastAsia="en-GB" w:bidi="ar-AE"/>
        </w:rPr>
        <w:t>97</w:t>
      </w:r>
      <w:r>
        <w:rPr>
          <w:sz w:val="26"/>
          <w:szCs w:val="26"/>
          <w:rtl/>
          <w:lang w:eastAsia="en-GB"/>
        </w:rPr>
        <w:t xml:space="preserve">(ج)، وأحاطت علماً بالتقرير المرحلي </w:t>
      </w:r>
      <w:r>
        <w:rPr>
          <w:rFonts w:hint="cs"/>
          <w:sz w:val="26"/>
          <w:szCs w:val="26"/>
          <w:rtl/>
          <w:lang w:eastAsia="en-GB" w:bidi="ar-AE"/>
        </w:rPr>
        <w:t>النصفي</w:t>
      </w:r>
      <w:r>
        <w:rPr>
          <w:sz w:val="26"/>
          <w:szCs w:val="26"/>
          <w:rtl/>
          <w:lang w:eastAsia="en-GB"/>
        </w:rPr>
        <w:t xml:space="preserve"> عن تنفيذ إطار النتائج</w:t>
      </w:r>
      <w:r>
        <w:rPr>
          <w:rStyle w:val="FootnoteReference"/>
          <w:sz w:val="26"/>
          <w:szCs w:val="26"/>
          <w:lang w:val="en-US" w:eastAsia="en-GB"/>
        </w:rPr>
        <w:footnoteReference w:id="24"/>
      </w:r>
      <w:r>
        <w:rPr>
          <w:rFonts w:hint="cs"/>
          <w:sz w:val="26"/>
          <w:szCs w:val="26"/>
          <w:rtl/>
          <w:lang w:eastAsia="en-GB"/>
        </w:rPr>
        <w:t>.</w:t>
      </w:r>
    </w:p>
    <w:p w14:paraId="6558062D" w14:textId="29FEA0C3" w:rsidR="00841BD5" w:rsidRPr="00841BD5" w:rsidRDefault="00841BD5">
      <w:pPr>
        <w:pStyle w:val="ListParagraph"/>
        <w:keepNext/>
        <w:numPr>
          <w:ilvl w:val="0"/>
          <w:numId w:val="24"/>
        </w:numPr>
        <w:bidi/>
        <w:spacing w:after="240"/>
        <w:ind w:left="1440" w:hanging="720"/>
        <w:contextualSpacing w:val="0"/>
        <w:jc w:val="both"/>
        <w:outlineLvl w:val="1"/>
        <w:rPr>
          <w:rFonts w:ascii="Times New Roman" w:hAnsi="Times New Roman" w:cs="Times New Roman"/>
          <w:b/>
          <w:bCs/>
          <w:sz w:val="26"/>
          <w:szCs w:val="26"/>
        </w:rPr>
      </w:pPr>
      <w:r>
        <w:rPr>
          <w:rFonts w:ascii="Times New Roman" w:hAnsi="Times New Roman" w:cs="Times New Roman"/>
          <w:b/>
          <w:bCs/>
          <w:sz w:val="26"/>
          <w:szCs w:val="26"/>
          <w:rtl/>
        </w:rPr>
        <w:t>الفريق الفرعي المعني بقطاع الإنتاج</w:t>
      </w:r>
    </w:p>
    <w:p w14:paraId="093BDC05" w14:textId="2326B2A0" w:rsidR="00841BD5" w:rsidRPr="00841BD5" w:rsidRDefault="00841BD5" w:rsidP="003B64CF">
      <w:pPr>
        <w:pStyle w:val="Heading3"/>
        <w:numPr>
          <w:ilvl w:val="2"/>
          <w:numId w:val="16"/>
        </w:numPr>
        <w:bidi/>
        <w:spacing w:line="288" w:lineRule="auto"/>
        <w:ind w:left="720" w:firstLine="0"/>
        <w:rPr>
          <w:sz w:val="26"/>
          <w:szCs w:val="26"/>
          <w:lang w:eastAsia="en-GB"/>
        </w:rPr>
      </w:pPr>
      <w:r>
        <w:rPr>
          <w:sz w:val="26"/>
          <w:szCs w:val="26"/>
          <w:rtl/>
          <w:lang w:eastAsia="en-GB"/>
        </w:rPr>
        <w:t>اجتمع الفريق الفرعي المعني بقطاع الإنتاج على هامش الاجتماع السابع والتسعين، وأصدر تقريراً</w:t>
      </w:r>
      <w:r>
        <w:rPr>
          <w:rStyle w:val="FootnoteReference"/>
          <w:sz w:val="26"/>
          <w:szCs w:val="26"/>
          <w:lang w:val="en-US" w:eastAsia="en-GB"/>
        </w:rPr>
        <w:footnoteReference w:id="25"/>
      </w:r>
      <w:r>
        <w:rPr>
          <w:sz w:val="26"/>
          <w:szCs w:val="26"/>
          <w:rtl/>
          <w:lang w:eastAsia="en-GB"/>
        </w:rPr>
        <w:t xml:space="preserve">. وأحاطت اللجنة التنفيذية علماً بتقرير التحقق لعام </w:t>
      </w:r>
      <w:r>
        <w:rPr>
          <w:sz w:val="26"/>
          <w:szCs w:val="26"/>
          <w:lang w:eastAsia="en-GB"/>
        </w:rPr>
        <w:t>2024</w:t>
      </w:r>
      <w:r>
        <w:rPr>
          <w:sz w:val="26"/>
          <w:szCs w:val="26"/>
          <w:rtl/>
          <w:lang w:eastAsia="en-GB"/>
        </w:rPr>
        <w:t xml:space="preserve"> </w:t>
      </w:r>
      <w:r>
        <w:rPr>
          <w:rFonts w:hint="cs"/>
          <w:sz w:val="26"/>
          <w:szCs w:val="26"/>
          <w:rtl/>
          <w:lang w:eastAsia="en-GB"/>
        </w:rPr>
        <w:t>الخاص</w:t>
      </w:r>
      <w:r>
        <w:rPr>
          <w:sz w:val="26"/>
          <w:szCs w:val="26"/>
          <w:rtl/>
          <w:lang w:eastAsia="en-GB"/>
        </w:rPr>
        <w:t xml:space="preserve"> </w:t>
      </w:r>
      <w:r>
        <w:rPr>
          <w:rFonts w:hint="cs"/>
          <w:sz w:val="26"/>
          <w:szCs w:val="26"/>
          <w:rtl/>
          <w:lang w:eastAsia="en-GB"/>
        </w:rPr>
        <w:t>ب</w:t>
      </w:r>
      <w:r>
        <w:rPr>
          <w:sz w:val="26"/>
          <w:szCs w:val="26"/>
          <w:rtl/>
          <w:lang w:eastAsia="en-GB"/>
        </w:rPr>
        <w:t xml:space="preserve">قطاع إنتاج المواد الهيدروكلوروفلوروكربونية في الصين، </w:t>
      </w:r>
      <w:r>
        <w:rPr>
          <w:rFonts w:hint="cs"/>
          <w:sz w:val="26"/>
          <w:szCs w:val="26"/>
          <w:rtl/>
          <w:lang w:eastAsia="en-GB"/>
        </w:rPr>
        <w:t>و</w:t>
      </w:r>
      <w:r>
        <w:rPr>
          <w:sz w:val="26"/>
          <w:szCs w:val="26"/>
          <w:rtl/>
          <w:lang w:eastAsia="en-GB"/>
        </w:rPr>
        <w:t xml:space="preserve">الذي نظر فيه الفريق الفرعي المعني بقطاع الإنتاج. وطلبت اللجنة </w:t>
      </w:r>
      <w:r>
        <w:rPr>
          <w:rFonts w:hint="cs"/>
          <w:sz w:val="26"/>
          <w:szCs w:val="26"/>
          <w:rtl/>
          <w:lang w:eastAsia="en-GB"/>
        </w:rPr>
        <w:t>إلى</w:t>
      </w:r>
      <w:r>
        <w:rPr>
          <w:sz w:val="26"/>
          <w:szCs w:val="26"/>
          <w:rtl/>
          <w:lang w:eastAsia="en-GB"/>
        </w:rPr>
        <w:t xml:space="preserve"> البنك الدولي إدراج عدة عناصر في </w:t>
      </w:r>
      <w:r>
        <w:rPr>
          <w:rFonts w:hint="cs"/>
          <w:sz w:val="26"/>
          <w:szCs w:val="26"/>
          <w:rtl/>
          <w:lang w:eastAsia="en-GB"/>
        </w:rPr>
        <w:t xml:space="preserve">تقرير </w:t>
      </w:r>
      <w:r>
        <w:rPr>
          <w:sz w:val="26"/>
          <w:szCs w:val="26"/>
          <w:rtl/>
          <w:lang w:eastAsia="en-GB"/>
        </w:rPr>
        <w:t xml:space="preserve">التحقق من إنتاج المواد الهيدروكلوروفلوروكربونية لعام </w:t>
      </w:r>
      <w:r>
        <w:rPr>
          <w:sz w:val="26"/>
          <w:szCs w:val="26"/>
          <w:lang w:eastAsia="en-GB"/>
        </w:rPr>
        <w:t>2025</w:t>
      </w:r>
      <w:r>
        <w:rPr>
          <w:sz w:val="26"/>
          <w:szCs w:val="26"/>
          <w:rtl/>
          <w:lang w:eastAsia="en-GB"/>
        </w:rPr>
        <w:t xml:space="preserve">، والتحقق، على أساس </w:t>
      </w:r>
      <w:r>
        <w:rPr>
          <w:rFonts w:hint="cs"/>
          <w:sz w:val="26"/>
          <w:szCs w:val="26"/>
          <w:rtl/>
          <w:lang w:eastAsia="en-GB"/>
        </w:rPr>
        <w:t>فردي</w:t>
      </w:r>
      <w:r>
        <w:rPr>
          <w:sz w:val="26"/>
          <w:szCs w:val="26"/>
          <w:rtl/>
          <w:lang w:eastAsia="en-GB"/>
        </w:rPr>
        <w:t xml:space="preserve">، من عدة خطوط إنتاج تم إنشاؤها حديثاً، وتقديم تقارير </w:t>
      </w:r>
      <w:r>
        <w:rPr>
          <w:rFonts w:hint="cs"/>
          <w:sz w:val="26"/>
          <w:szCs w:val="26"/>
          <w:rtl/>
          <w:lang w:eastAsia="en-GB"/>
        </w:rPr>
        <w:t>عنها في</w:t>
      </w:r>
      <w:r>
        <w:rPr>
          <w:sz w:val="26"/>
          <w:szCs w:val="26"/>
          <w:rtl/>
          <w:lang w:eastAsia="en-GB"/>
        </w:rPr>
        <w:t xml:space="preserve"> </w:t>
      </w:r>
      <w:r>
        <w:rPr>
          <w:rFonts w:hint="cs"/>
          <w:sz w:val="26"/>
          <w:szCs w:val="26"/>
          <w:rtl/>
          <w:lang w:eastAsia="en-GB"/>
        </w:rPr>
        <w:t>ال</w:t>
      </w:r>
      <w:r>
        <w:rPr>
          <w:sz w:val="26"/>
          <w:szCs w:val="26"/>
          <w:rtl/>
          <w:lang w:eastAsia="en-GB"/>
        </w:rPr>
        <w:t xml:space="preserve">اجتماعات </w:t>
      </w:r>
      <w:r>
        <w:rPr>
          <w:rFonts w:hint="cs"/>
          <w:sz w:val="26"/>
          <w:szCs w:val="26"/>
          <w:rtl/>
          <w:lang w:eastAsia="en-GB"/>
        </w:rPr>
        <w:t>اللاحقة</w:t>
      </w:r>
      <w:r>
        <w:rPr>
          <w:sz w:val="26"/>
          <w:szCs w:val="26"/>
          <w:rtl/>
          <w:lang w:eastAsia="en-GB"/>
        </w:rPr>
        <w:t xml:space="preserve">. </w:t>
      </w:r>
      <w:r>
        <w:rPr>
          <w:rFonts w:hint="cs"/>
          <w:sz w:val="26"/>
          <w:szCs w:val="26"/>
          <w:rtl/>
          <w:lang w:eastAsia="en-GB"/>
        </w:rPr>
        <w:t>وستواصل</w:t>
      </w:r>
      <w:r>
        <w:rPr>
          <w:sz w:val="26"/>
          <w:szCs w:val="26"/>
          <w:rtl/>
          <w:lang w:eastAsia="en-GB"/>
        </w:rPr>
        <w:t xml:space="preserve"> اللجنة التنفيذية، من خلال الفريق الفرعي، النظر في مسألة المواد الهيدروكلوروفلوروكربونية </w:t>
      </w:r>
      <w:r>
        <w:rPr>
          <w:rFonts w:hint="cs"/>
          <w:sz w:val="26"/>
          <w:szCs w:val="26"/>
          <w:rtl/>
          <w:lang w:eastAsia="en-GB"/>
        </w:rPr>
        <w:t xml:space="preserve">الموجودة في </w:t>
      </w:r>
      <w:r>
        <w:rPr>
          <w:sz w:val="26"/>
          <w:szCs w:val="26"/>
          <w:rtl/>
          <w:lang w:eastAsia="en-GB"/>
        </w:rPr>
        <w:t>متبقيات النفايات ذات درجة الغليان العالية في الاجتماع الثامن والتسعين (المقرر</w:t>
      </w:r>
      <w:r>
        <w:rPr>
          <w:rFonts w:hint="cs"/>
          <w:sz w:val="26"/>
          <w:szCs w:val="26"/>
          <w:rtl/>
          <w:lang w:eastAsia="en-GB"/>
        </w:rPr>
        <w:t> </w:t>
      </w:r>
      <w:r>
        <w:rPr>
          <w:sz w:val="26"/>
          <w:szCs w:val="26"/>
          <w:lang w:val="en-US" w:eastAsia="en-GB"/>
        </w:rPr>
        <w:t>97</w:t>
      </w:r>
      <w:r>
        <w:rPr>
          <w:rFonts w:hint="cs"/>
          <w:sz w:val="26"/>
          <w:szCs w:val="26"/>
          <w:rtl/>
          <w:lang w:val="en-US" w:eastAsia="en-GB" w:bidi="ar-AE"/>
        </w:rPr>
        <w:t>/</w:t>
      </w:r>
      <w:r>
        <w:rPr>
          <w:sz w:val="26"/>
          <w:szCs w:val="26"/>
          <w:lang w:val="en-US" w:eastAsia="en-GB" w:bidi="ar-AE"/>
        </w:rPr>
        <w:t>91</w:t>
      </w:r>
      <w:r>
        <w:rPr>
          <w:sz w:val="26"/>
          <w:szCs w:val="26"/>
          <w:rtl/>
          <w:lang w:eastAsia="en-GB"/>
        </w:rPr>
        <w:t>).</w:t>
      </w:r>
    </w:p>
    <w:p w14:paraId="655FB9F9" w14:textId="4E956149" w:rsidR="003A0A63" w:rsidRPr="003A0A63" w:rsidRDefault="003A0A63" w:rsidP="003B64CF">
      <w:pPr>
        <w:pStyle w:val="Heading3"/>
        <w:numPr>
          <w:ilvl w:val="2"/>
          <w:numId w:val="16"/>
        </w:numPr>
        <w:bidi/>
        <w:spacing w:line="288" w:lineRule="auto"/>
        <w:ind w:left="720" w:firstLine="0"/>
        <w:rPr>
          <w:sz w:val="26"/>
          <w:szCs w:val="26"/>
          <w:lang w:eastAsia="en-GB"/>
        </w:rPr>
      </w:pPr>
      <w:r>
        <w:rPr>
          <w:sz w:val="26"/>
          <w:szCs w:val="26"/>
          <w:rtl/>
          <w:lang w:eastAsia="en-GB"/>
        </w:rPr>
        <w:t>غير أنه، نتيجة لضيق الوقت، لم يُعقد اجتماع للفريق الفرعي المعني بقطاع الإنتاج في الاجتماع الثامن والتسعين.</w:t>
      </w:r>
    </w:p>
    <w:p w14:paraId="58BD6245" w14:textId="4E7ED636" w:rsidR="003A0A63" w:rsidRPr="003A0A63" w:rsidRDefault="003A0A63" w:rsidP="00CC0567">
      <w:pPr>
        <w:pStyle w:val="CH2"/>
        <w:tabs>
          <w:tab w:val="clear" w:pos="851"/>
          <w:tab w:val="clear" w:pos="1247"/>
          <w:tab w:val="clear" w:pos="1814"/>
          <w:tab w:val="clear" w:pos="2381"/>
          <w:tab w:val="clear" w:pos="2948"/>
          <w:tab w:val="clear" w:pos="3515"/>
          <w:tab w:val="clear" w:pos="4082"/>
          <w:tab w:val="right" w:pos="7200"/>
        </w:tabs>
        <w:bidi/>
        <w:spacing w:after="240"/>
        <w:ind w:left="1440" w:right="0" w:hanging="720"/>
        <w:rPr>
          <w:b w:val="0"/>
          <w:bCs/>
          <w:sz w:val="26"/>
          <w:szCs w:val="26"/>
          <w:lang w:val="en-US" w:bidi="ar-AE"/>
        </w:rPr>
      </w:pPr>
      <w:r>
        <w:rPr>
          <w:rFonts w:hint="cs"/>
          <w:b w:val="0"/>
          <w:bCs/>
          <w:sz w:val="26"/>
          <w:szCs w:val="26"/>
          <w:rtl/>
          <w:lang w:val="en-US" w:bidi="ar-AE"/>
        </w:rPr>
        <w:t>جيم.</w:t>
      </w:r>
      <w:r>
        <w:rPr>
          <w:b w:val="0"/>
          <w:bCs/>
          <w:sz w:val="26"/>
          <w:szCs w:val="26"/>
          <w:rtl/>
          <w:lang w:val="en-US" w:bidi="ar-AE"/>
        </w:rPr>
        <w:tab/>
        <w:t>المشروعات والتنفيذ والرصد</w:t>
      </w:r>
    </w:p>
    <w:bookmarkEnd w:id="0"/>
    <w:p w14:paraId="7EC8D984" w14:textId="0DECB875" w:rsidR="003A0A63" w:rsidRDefault="003A0A63">
      <w:pPr>
        <w:pStyle w:val="ListParagraph"/>
        <w:keepNext/>
        <w:numPr>
          <w:ilvl w:val="0"/>
          <w:numId w:val="25"/>
        </w:numPr>
        <w:bidi/>
        <w:spacing w:after="240"/>
        <w:ind w:left="1440" w:hanging="720"/>
        <w:contextualSpacing w:val="0"/>
        <w:jc w:val="both"/>
        <w:outlineLvl w:val="1"/>
        <w:rPr>
          <w:rFonts w:ascii="Times New Roman" w:hAnsi="Times New Roman" w:cs="Times New Roman"/>
          <w:b/>
          <w:bCs/>
          <w:sz w:val="26"/>
          <w:szCs w:val="26"/>
        </w:rPr>
      </w:pPr>
      <w:r>
        <w:rPr>
          <w:rFonts w:ascii="Times New Roman" w:hAnsi="Times New Roman" w:cs="Times New Roman"/>
          <w:b/>
          <w:bCs/>
          <w:sz w:val="26"/>
          <w:szCs w:val="26"/>
          <w:rtl/>
        </w:rPr>
        <w:t>الموافقات التي تمت خلال الفترة المشمولة بالتقرير</w:t>
      </w:r>
    </w:p>
    <w:p w14:paraId="6D36EF42" w14:textId="130FD33D" w:rsidR="003A0A63" w:rsidRPr="003A0A63" w:rsidRDefault="003A0A63" w:rsidP="003B64CF">
      <w:pPr>
        <w:pStyle w:val="Heading3"/>
        <w:numPr>
          <w:ilvl w:val="2"/>
          <w:numId w:val="16"/>
        </w:numPr>
        <w:bidi/>
        <w:spacing w:line="288" w:lineRule="auto"/>
        <w:ind w:left="720" w:firstLine="0"/>
        <w:rPr>
          <w:sz w:val="26"/>
          <w:szCs w:val="26"/>
          <w:lang w:eastAsia="en-GB"/>
        </w:rPr>
      </w:pPr>
      <w:r>
        <w:rPr>
          <w:sz w:val="26"/>
          <w:szCs w:val="26"/>
          <w:rtl/>
          <w:lang w:eastAsia="en-GB"/>
        </w:rPr>
        <w:t>خلال الفترة المشمولة بالتقرير، وافقت اللجنة التنفيذية على ما مجموعه</w:t>
      </w:r>
      <w:r>
        <w:rPr>
          <w:rFonts w:hint="cs"/>
          <w:sz w:val="26"/>
          <w:szCs w:val="26"/>
          <w:rtl/>
          <w:lang w:eastAsia="en-GB"/>
        </w:rPr>
        <w:t xml:space="preserve"> </w:t>
      </w:r>
      <w:r>
        <w:rPr>
          <w:sz w:val="26"/>
          <w:szCs w:val="26"/>
          <w:lang w:val="en-US" w:eastAsia="en-GB"/>
        </w:rPr>
        <w:t>370</w:t>
      </w:r>
      <w:r>
        <w:rPr>
          <w:sz w:val="26"/>
          <w:szCs w:val="26"/>
          <w:rtl/>
          <w:lang w:eastAsia="en-GB"/>
        </w:rPr>
        <w:t xml:space="preserve"> مشروعاً ونشاطاً إضافياً، </w:t>
      </w:r>
      <w:r>
        <w:rPr>
          <w:rFonts w:hint="cs"/>
          <w:sz w:val="26"/>
          <w:szCs w:val="26"/>
          <w:rtl/>
          <w:lang w:eastAsia="en-GB"/>
        </w:rPr>
        <w:t xml:space="preserve">مع </w:t>
      </w:r>
      <w:r>
        <w:rPr>
          <w:sz w:val="26"/>
          <w:szCs w:val="26"/>
          <w:rtl/>
          <w:lang w:eastAsia="en-GB"/>
        </w:rPr>
        <w:t xml:space="preserve">خطط لإزالة </w:t>
      </w:r>
      <w:r>
        <w:rPr>
          <w:sz w:val="26"/>
          <w:szCs w:val="26"/>
          <w:lang w:val="en-GB"/>
        </w:rPr>
        <w:t>1,108</w:t>
      </w:r>
      <w:r>
        <w:rPr>
          <w:sz w:val="26"/>
          <w:szCs w:val="26"/>
          <w:rtl/>
          <w:lang w:eastAsia="en-GB"/>
        </w:rPr>
        <w:t> طن من قدرات استنفاد الأوزون من إنتاج واستهلاك المواد الهيدروكلوروفلوروكربونية، و</w:t>
      </w:r>
      <w:r>
        <w:rPr>
          <w:sz w:val="26"/>
          <w:szCs w:val="26"/>
          <w:lang w:val="en-GB"/>
        </w:rPr>
        <w:t>7,519</w:t>
      </w:r>
      <w:r>
        <w:rPr>
          <w:sz w:val="26"/>
          <w:szCs w:val="26"/>
          <w:rtl/>
          <w:lang w:eastAsia="en-GB"/>
        </w:rPr>
        <w:t> طناً مترياً (</w:t>
      </w:r>
      <w:r>
        <w:rPr>
          <w:sz w:val="26"/>
          <w:szCs w:val="26"/>
          <w:lang w:val="en-GB"/>
        </w:rPr>
        <w:t>14,763,570</w:t>
      </w:r>
      <w:r>
        <w:rPr>
          <w:sz w:val="26"/>
          <w:szCs w:val="26"/>
          <w:rtl/>
          <w:lang w:eastAsia="en-GB"/>
        </w:rPr>
        <w:t xml:space="preserve"> طناً من مكافئ ثاني أكسيد الكربون) من استهلاك المواد الهيدروفلوروكربونية، بمبلغ إجمالي قدره </w:t>
      </w:r>
      <w:r>
        <w:rPr>
          <w:sz w:val="26"/>
          <w:szCs w:val="26"/>
          <w:lang w:val="en-GB"/>
        </w:rPr>
        <w:t>211,449,160</w:t>
      </w:r>
      <w:r>
        <w:rPr>
          <w:sz w:val="26"/>
          <w:szCs w:val="26"/>
          <w:rtl/>
          <w:lang w:eastAsia="en-GB"/>
        </w:rPr>
        <w:t xml:space="preserve"> دولاراً أمريكياً، بما في ذلك </w:t>
      </w:r>
      <w:r>
        <w:rPr>
          <w:sz w:val="26"/>
          <w:szCs w:val="26"/>
          <w:lang w:val="en-GB"/>
        </w:rPr>
        <w:t>20,645,848</w:t>
      </w:r>
      <w:r>
        <w:rPr>
          <w:sz w:val="26"/>
          <w:szCs w:val="26"/>
          <w:rtl/>
          <w:lang w:eastAsia="en-GB"/>
        </w:rPr>
        <w:t> دولاراً أمريكياً من تكاليف دعم الوكالة، على النحو المبين في الجدول</w:t>
      </w:r>
      <w:r>
        <w:rPr>
          <w:rFonts w:hint="eastAsia"/>
          <w:sz w:val="26"/>
          <w:szCs w:val="26"/>
          <w:rtl/>
          <w:lang w:eastAsia="en-GB" w:bidi="ar-AE"/>
        </w:rPr>
        <w:t> </w:t>
      </w:r>
      <w:r>
        <w:rPr>
          <w:sz w:val="26"/>
          <w:szCs w:val="26"/>
          <w:lang w:val="en-US" w:eastAsia="en-GB" w:bidi="ar-AE"/>
        </w:rPr>
        <w:t>1</w:t>
      </w:r>
      <w:r>
        <w:rPr>
          <w:sz w:val="26"/>
          <w:szCs w:val="26"/>
          <w:rtl/>
          <w:lang w:eastAsia="en-GB"/>
        </w:rPr>
        <w:t xml:space="preserve"> أدناه.</w:t>
      </w:r>
    </w:p>
    <w:p w14:paraId="429C8B9D" w14:textId="2A2C1B04" w:rsidR="007D3F9B" w:rsidRPr="007D3F9B" w:rsidRDefault="007D3F9B" w:rsidP="00AD373E">
      <w:pPr>
        <w:keepNext/>
        <w:bidi/>
        <w:ind w:left="720"/>
        <w:rPr>
          <w:sz w:val="26"/>
          <w:szCs w:val="26"/>
          <w:lang w:val="en-US" w:bidi="ar-AE"/>
        </w:rPr>
      </w:pPr>
      <w:r>
        <w:rPr>
          <w:rFonts w:hint="cs"/>
          <w:sz w:val="26"/>
          <w:szCs w:val="26"/>
          <w:rtl/>
          <w:lang w:val="en-US" w:bidi="ar-AE"/>
        </w:rPr>
        <w:lastRenderedPageBreak/>
        <w:t xml:space="preserve">الجدول </w:t>
      </w:r>
      <w:r>
        <w:rPr>
          <w:sz w:val="26"/>
          <w:szCs w:val="26"/>
          <w:lang w:val="en-US" w:bidi="ar-AE"/>
        </w:rPr>
        <w:t>1</w:t>
      </w:r>
    </w:p>
    <w:p w14:paraId="3C612E2A" w14:textId="44F89806" w:rsidR="007D3F9B" w:rsidRPr="007D3F9B" w:rsidRDefault="007D3F9B" w:rsidP="00AD373E">
      <w:pPr>
        <w:keepNext/>
        <w:bidi/>
        <w:ind w:left="720"/>
        <w:rPr>
          <w:b/>
          <w:bCs/>
          <w:sz w:val="26"/>
          <w:szCs w:val="26"/>
          <w:rtl/>
          <w:lang w:val="en-GB" w:bidi="ar-AE"/>
        </w:rPr>
      </w:pPr>
      <w:r>
        <w:rPr>
          <w:rFonts w:hint="cs"/>
          <w:b/>
          <w:bCs/>
          <w:sz w:val="26"/>
          <w:szCs w:val="26"/>
          <w:rtl/>
          <w:lang w:val="en-GB" w:bidi="ar-AE"/>
        </w:rPr>
        <w:t>التمويل</w:t>
      </w:r>
      <w:r>
        <w:rPr>
          <w:b/>
          <w:bCs/>
          <w:sz w:val="26"/>
          <w:szCs w:val="26"/>
          <w:rtl/>
          <w:lang w:val="en-GB" w:bidi="ar-AE"/>
        </w:rPr>
        <w:t xml:space="preserve"> المعتمد من قبل الوكالة خلال الفترة المشمولة بالتقرير</w:t>
      </w:r>
    </w:p>
    <w:tbl>
      <w:tblPr>
        <w:bidiVisual/>
        <w:tblW w:w="4618"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9"/>
        <w:gridCol w:w="2159"/>
        <w:gridCol w:w="2159"/>
        <w:gridCol w:w="2159"/>
      </w:tblGrid>
      <w:tr w:rsidR="00470C07" w:rsidRPr="00012E78" w14:paraId="62CE8578" w14:textId="77777777" w:rsidTr="00470C07">
        <w:trPr>
          <w:trHeight w:val="179"/>
        </w:trPr>
        <w:tc>
          <w:tcPr>
            <w:tcW w:w="1250" w:type="pct"/>
            <w:noWrap/>
            <w:hideMark/>
          </w:tcPr>
          <w:p w14:paraId="6662CD3D" w14:textId="6A0472C9" w:rsidR="00470C07" w:rsidRPr="007D3F9B" w:rsidRDefault="00470C07" w:rsidP="007D3F9B">
            <w:pPr>
              <w:keepNext/>
              <w:bidi/>
              <w:jc w:val="center"/>
              <w:rPr>
                <w:rFonts w:asciiTheme="majorBidi" w:hAnsiTheme="majorBidi" w:cstheme="majorBidi"/>
                <w:b/>
                <w:bCs/>
                <w:color w:val="000000"/>
                <w:sz w:val="20"/>
                <w:szCs w:val="20"/>
                <w:rtl/>
                <w:lang w:val="en-US" w:bidi="ar-AE"/>
              </w:rPr>
            </w:pPr>
            <w:r>
              <w:rPr>
                <w:rFonts w:asciiTheme="majorBidi" w:hAnsiTheme="majorBidi" w:cstheme="majorBidi" w:hint="cs"/>
                <w:b/>
                <w:bCs/>
                <w:color w:val="000000"/>
                <w:sz w:val="20"/>
                <w:szCs w:val="20"/>
                <w:rtl/>
                <w:lang w:val="en-US" w:bidi="ar-AE"/>
              </w:rPr>
              <w:t>الوكالة</w:t>
            </w:r>
          </w:p>
        </w:tc>
        <w:tc>
          <w:tcPr>
            <w:tcW w:w="1250" w:type="pct"/>
            <w:noWrap/>
            <w:hideMark/>
          </w:tcPr>
          <w:p w14:paraId="758DC8BE" w14:textId="77777777" w:rsidR="00470C07" w:rsidRDefault="00470C07" w:rsidP="007D3F9B">
            <w:pPr>
              <w:keepNext/>
              <w:bidi/>
              <w:jc w:val="center"/>
              <w:rPr>
                <w:rFonts w:asciiTheme="majorBidi" w:hAnsiTheme="majorBidi" w:cstheme="majorBidi"/>
                <w:b/>
                <w:bCs/>
                <w:color w:val="000000"/>
                <w:sz w:val="20"/>
                <w:szCs w:val="20"/>
                <w:rtl/>
                <w:lang w:val="en-US" w:eastAsia="en-CA" w:bidi="ar-AE"/>
              </w:rPr>
            </w:pPr>
            <w:r>
              <w:rPr>
                <w:rFonts w:asciiTheme="majorBidi" w:hAnsiTheme="majorBidi" w:cstheme="majorBidi" w:hint="cs"/>
                <w:b/>
                <w:bCs/>
                <w:color w:val="000000"/>
                <w:sz w:val="20"/>
                <w:szCs w:val="20"/>
                <w:rtl/>
                <w:lang w:val="en-US" w:eastAsia="en-CA" w:bidi="ar-AE"/>
              </w:rPr>
              <w:t>التمويل المعتمد</w:t>
            </w:r>
          </w:p>
          <w:p w14:paraId="77688861" w14:textId="5B5B2AD1" w:rsidR="00470C07" w:rsidRPr="007D3F9B" w:rsidRDefault="00470C07" w:rsidP="00470C07">
            <w:pPr>
              <w:keepNext/>
              <w:bidi/>
              <w:jc w:val="center"/>
              <w:rPr>
                <w:rFonts w:asciiTheme="majorBidi" w:hAnsiTheme="majorBidi" w:cstheme="majorBidi"/>
                <w:b/>
                <w:bCs/>
                <w:color w:val="000000"/>
                <w:sz w:val="20"/>
                <w:szCs w:val="20"/>
                <w:rtl/>
                <w:lang w:val="en-US" w:bidi="ar-AE"/>
              </w:rPr>
            </w:pPr>
            <w:r>
              <w:rPr>
                <w:rFonts w:asciiTheme="majorBidi" w:hAnsiTheme="majorBidi" w:cstheme="majorBidi" w:hint="cs"/>
                <w:b/>
                <w:bCs/>
                <w:color w:val="000000"/>
                <w:sz w:val="20"/>
                <w:szCs w:val="20"/>
                <w:rtl/>
                <w:lang w:val="en-US" w:eastAsia="en-CA" w:bidi="ar-AE"/>
              </w:rPr>
              <w:t>(دولار أمريكي)</w:t>
            </w:r>
          </w:p>
        </w:tc>
        <w:tc>
          <w:tcPr>
            <w:tcW w:w="1250" w:type="pct"/>
            <w:noWrap/>
            <w:hideMark/>
          </w:tcPr>
          <w:p w14:paraId="67674749" w14:textId="77777777" w:rsidR="00470C07" w:rsidRDefault="00470C07" w:rsidP="007D3F9B">
            <w:pPr>
              <w:keepNext/>
              <w:bidi/>
              <w:jc w:val="center"/>
              <w:rPr>
                <w:rFonts w:asciiTheme="majorBidi" w:hAnsiTheme="majorBidi" w:cstheme="majorBidi"/>
                <w:b/>
                <w:bCs/>
                <w:color w:val="000000"/>
                <w:sz w:val="20"/>
                <w:szCs w:val="20"/>
                <w:rtl/>
                <w:lang w:val="en-GB" w:eastAsia="en-CA"/>
              </w:rPr>
            </w:pPr>
            <w:r>
              <w:rPr>
                <w:rFonts w:asciiTheme="majorBidi" w:hAnsiTheme="majorBidi" w:cstheme="majorBidi" w:hint="cs"/>
                <w:b/>
                <w:bCs/>
                <w:color w:val="000000"/>
                <w:sz w:val="20"/>
                <w:szCs w:val="20"/>
                <w:rtl/>
                <w:lang w:val="en-GB" w:eastAsia="en-CA"/>
              </w:rPr>
              <w:t>تكاليف دعم الوكالة</w:t>
            </w:r>
          </w:p>
          <w:p w14:paraId="0044EEAC" w14:textId="0026B595" w:rsidR="00470C07" w:rsidRPr="00012E78" w:rsidRDefault="00470C07" w:rsidP="00470C07">
            <w:pPr>
              <w:keepNext/>
              <w:bidi/>
              <w:jc w:val="center"/>
              <w:rPr>
                <w:rFonts w:asciiTheme="majorBidi" w:hAnsiTheme="majorBidi" w:cstheme="majorBidi"/>
                <w:b/>
                <w:bCs/>
                <w:color w:val="000000"/>
                <w:sz w:val="20"/>
                <w:szCs w:val="20"/>
                <w:lang w:val="en-GB"/>
              </w:rPr>
            </w:pPr>
            <w:r>
              <w:rPr>
                <w:rFonts w:asciiTheme="majorBidi" w:hAnsiTheme="majorBidi" w:cstheme="majorBidi" w:hint="cs"/>
                <w:b/>
                <w:bCs/>
                <w:color w:val="000000"/>
                <w:sz w:val="20"/>
                <w:szCs w:val="20"/>
                <w:rtl/>
                <w:lang w:val="en-GB" w:eastAsia="en-CA"/>
              </w:rPr>
              <w:t>(دولار أمريكي)</w:t>
            </w:r>
          </w:p>
        </w:tc>
        <w:tc>
          <w:tcPr>
            <w:tcW w:w="1250" w:type="pct"/>
            <w:hideMark/>
          </w:tcPr>
          <w:p w14:paraId="15CB3324" w14:textId="77777777" w:rsidR="00470C07" w:rsidRDefault="00470C07" w:rsidP="007D3F9B">
            <w:pPr>
              <w:keepNext/>
              <w:bidi/>
              <w:jc w:val="center"/>
              <w:rPr>
                <w:rFonts w:asciiTheme="majorBidi" w:hAnsiTheme="majorBidi" w:cstheme="majorBidi"/>
                <w:b/>
                <w:bCs/>
                <w:color w:val="000000"/>
                <w:sz w:val="20"/>
                <w:szCs w:val="20"/>
                <w:rtl/>
                <w:lang w:val="en-GB" w:eastAsia="en-CA"/>
              </w:rPr>
            </w:pPr>
            <w:r>
              <w:rPr>
                <w:rFonts w:asciiTheme="majorBidi" w:hAnsiTheme="majorBidi" w:cstheme="majorBidi" w:hint="cs"/>
                <w:b/>
                <w:bCs/>
                <w:color w:val="000000"/>
                <w:sz w:val="20"/>
                <w:szCs w:val="20"/>
                <w:rtl/>
                <w:lang w:val="en-GB" w:eastAsia="en-CA"/>
              </w:rPr>
              <w:t>المجموع</w:t>
            </w:r>
          </w:p>
          <w:p w14:paraId="5A5DFD62" w14:textId="4F657186" w:rsidR="00470C07" w:rsidRPr="00012E78" w:rsidRDefault="00470C07" w:rsidP="007D3F9B">
            <w:pPr>
              <w:keepNext/>
              <w:bidi/>
              <w:jc w:val="center"/>
              <w:rPr>
                <w:rFonts w:asciiTheme="majorBidi" w:hAnsiTheme="majorBidi" w:cstheme="majorBidi"/>
                <w:b/>
                <w:bCs/>
                <w:color w:val="000000"/>
                <w:sz w:val="20"/>
                <w:szCs w:val="20"/>
                <w:lang w:val="en-GB"/>
              </w:rPr>
            </w:pPr>
            <w:r>
              <w:rPr>
                <w:rFonts w:asciiTheme="majorBidi" w:hAnsiTheme="majorBidi" w:cstheme="majorBidi" w:hint="cs"/>
                <w:b/>
                <w:bCs/>
                <w:color w:val="000000"/>
                <w:sz w:val="20"/>
                <w:szCs w:val="20"/>
                <w:rtl/>
                <w:lang w:val="en-GB" w:eastAsia="en-CA"/>
              </w:rPr>
              <w:t>(دولار أمريكي</w:t>
            </w:r>
            <w:r>
              <w:rPr>
                <w:rFonts w:asciiTheme="majorBidi" w:hAnsiTheme="majorBidi" w:cstheme="majorBidi" w:hint="cs"/>
                <w:b/>
                <w:bCs/>
                <w:color w:val="000000"/>
                <w:sz w:val="20"/>
                <w:szCs w:val="20"/>
                <w:rtl/>
                <w:lang w:val="en-GB"/>
              </w:rPr>
              <w:t>)</w:t>
            </w:r>
          </w:p>
        </w:tc>
      </w:tr>
      <w:tr w:rsidR="00470C07" w:rsidRPr="00012E78" w14:paraId="2E468C63" w14:textId="77777777" w:rsidTr="00470C07">
        <w:trPr>
          <w:trHeight w:val="95"/>
        </w:trPr>
        <w:tc>
          <w:tcPr>
            <w:tcW w:w="1250" w:type="pct"/>
            <w:noWrap/>
            <w:hideMark/>
          </w:tcPr>
          <w:p w14:paraId="27E349E0" w14:textId="7EE256E0" w:rsidR="00470C07" w:rsidRPr="00012E78" w:rsidRDefault="00470C07" w:rsidP="007D3F9B">
            <w:pPr>
              <w:keepNext/>
              <w:bidi/>
              <w:jc w:val="left"/>
              <w:rPr>
                <w:rFonts w:asciiTheme="majorBidi" w:hAnsiTheme="majorBidi" w:cstheme="majorBidi"/>
                <w:color w:val="000000"/>
                <w:sz w:val="20"/>
                <w:szCs w:val="20"/>
                <w:lang w:val="en-GB"/>
              </w:rPr>
            </w:pPr>
            <w:r>
              <w:rPr>
                <w:rFonts w:hint="cs"/>
                <w:sz w:val="20"/>
                <w:szCs w:val="20"/>
                <w:rtl/>
              </w:rPr>
              <w:t>الثنائية</w:t>
            </w:r>
          </w:p>
        </w:tc>
        <w:tc>
          <w:tcPr>
            <w:tcW w:w="1250" w:type="pct"/>
            <w:noWrap/>
            <w:hideMark/>
          </w:tcPr>
          <w:p w14:paraId="5595E4D3" w14:textId="77777777" w:rsidR="00470C07" w:rsidRPr="007D3F9B" w:rsidRDefault="00470C07" w:rsidP="007D3F9B">
            <w:pPr>
              <w:keepNext/>
              <w:bidi/>
              <w:jc w:val="left"/>
              <w:rPr>
                <w:rFonts w:asciiTheme="majorBidi" w:hAnsiTheme="majorBidi" w:cstheme="majorBidi"/>
                <w:i/>
                <w:iCs/>
                <w:color w:val="000000"/>
                <w:sz w:val="20"/>
                <w:szCs w:val="20"/>
                <w:lang w:val="en-US"/>
              </w:rPr>
            </w:pPr>
            <w:r>
              <w:rPr>
                <w:sz w:val="20"/>
                <w:szCs w:val="20"/>
              </w:rPr>
              <w:t>3,442,546</w:t>
            </w:r>
          </w:p>
        </w:tc>
        <w:tc>
          <w:tcPr>
            <w:tcW w:w="1250" w:type="pct"/>
            <w:noWrap/>
            <w:hideMark/>
          </w:tcPr>
          <w:p w14:paraId="7278534F" w14:textId="77777777" w:rsidR="00470C07" w:rsidRPr="00012E78" w:rsidRDefault="00470C07" w:rsidP="007D3F9B">
            <w:pPr>
              <w:keepNext/>
              <w:bidi/>
              <w:jc w:val="left"/>
              <w:rPr>
                <w:rFonts w:asciiTheme="majorBidi" w:hAnsiTheme="majorBidi" w:cstheme="majorBidi"/>
                <w:color w:val="000000"/>
                <w:sz w:val="20"/>
                <w:szCs w:val="20"/>
                <w:lang w:val="en-GB"/>
              </w:rPr>
            </w:pPr>
            <w:r>
              <w:rPr>
                <w:sz w:val="20"/>
                <w:szCs w:val="20"/>
              </w:rPr>
              <w:t>421,461</w:t>
            </w:r>
          </w:p>
        </w:tc>
        <w:tc>
          <w:tcPr>
            <w:tcW w:w="1250" w:type="pct"/>
            <w:noWrap/>
            <w:hideMark/>
          </w:tcPr>
          <w:p w14:paraId="41CB45EE" w14:textId="77777777" w:rsidR="00470C07" w:rsidRPr="00012E78" w:rsidRDefault="00470C07" w:rsidP="007D3F9B">
            <w:pPr>
              <w:keepNext/>
              <w:bidi/>
              <w:jc w:val="left"/>
              <w:rPr>
                <w:rFonts w:asciiTheme="majorBidi" w:hAnsiTheme="majorBidi" w:cstheme="majorBidi"/>
                <w:color w:val="000000"/>
                <w:sz w:val="20"/>
                <w:szCs w:val="20"/>
                <w:lang w:val="en-GB"/>
              </w:rPr>
            </w:pPr>
            <w:r>
              <w:rPr>
                <w:sz w:val="20"/>
                <w:szCs w:val="20"/>
              </w:rPr>
              <w:t>3,864,007</w:t>
            </w:r>
          </w:p>
        </w:tc>
      </w:tr>
      <w:tr w:rsidR="00470C07" w:rsidRPr="00012E78" w14:paraId="4061DA63" w14:textId="77777777" w:rsidTr="00470C07">
        <w:trPr>
          <w:trHeight w:val="170"/>
        </w:trPr>
        <w:tc>
          <w:tcPr>
            <w:tcW w:w="1250" w:type="pct"/>
            <w:noWrap/>
            <w:hideMark/>
          </w:tcPr>
          <w:p w14:paraId="63846C08" w14:textId="19ED010B" w:rsidR="00470C07" w:rsidRPr="00012E78" w:rsidRDefault="00470C07" w:rsidP="007D3F9B">
            <w:pPr>
              <w:keepNext/>
              <w:bidi/>
              <w:jc w:val="left"/>
              <w:rPr>
                <w:rFonts w:asciiTheme="majorBidi" w:hAnsiTheme="majorBidi" w:cstheme="majorBidi"/>
                <w:color w:val="000000"/>
                <w:sz w:val="20"/>
                <w:szCs w:val="20"/>
                <w:lang w:val="en-GB"/>
              </w:rPr>
            </w:pPr>
            <w:r>
              <w:rPr>
                <w:rFonts w:hint="cs"/>
                <w:sz w:val="20"/>
                <w:szCs w:val="20"/>
                <w:rtl/>
              </w:rPr>
              <w:t>اليوئنديبي</w:t>
            </w:r>
          </w:p>
        </w:tc>
        <w:tc>
          <w:tcPr>
            <w:tcW w:w="1250" w:type="pct"/>
            <w:noWrap/>
            <w:hideMark/>
          </w:tcPr>
          <w:p w14:paraId="6A316657" w14:textId="77777777" w:rsidR="00470C07" w:rsidRPr="00012E78" w:rsidRDefault="00470C07" w:rsidP="007D3F9B">
            <w:pPr>
              <w:keepNext/>
              <w:bidi/>
              <w:jc w:val="left"/>
              <w:rPr>
                <w:rFonts w:asciiTheme="majorBidi" w:hAnsiTheme="majorBidi" w:cstheme="majorBidi"/>
                <w:color w:val="000000"/>
                <w:sz w:val="20"/>
                <w:szCs w:val="20"/>
                <w:lang w:val="en-GB"/>
              </w:rPr>
            </w:pPr>
            <w:r>
              <w:rPr>
                <w:sz w:val="20"/>
                <w:szCs w:val="20"/>
              </w:rPr>
              <w:t>60,287,691</w:t>
            </w:r>
          </w:p>
        </w:tc>
        <w:tc>
          <w:tcPr>
            <w:tcW w:w="1250" w:type="pct"/>
            <w:noWrap/>
            <w:hideMark/>
          </w:tcPr>
          <w:p w14:paraId="043005FB" w14:textId="77777777" w:rsidR="00470C07" w:rsidRPr="00012E78" w:rsidRDefault="00470C07" w:rsidP="007D3F9B">
            <w:pPr>
              <w:keepNext/>
              <w:bidi/>
              <w:jc w:val="left"/>
              <w:rPr>
                <w:rFonts w:asciiTheme="majorBidi" w:hAnsiTheme="majorBidi" w:cstheme="majorBidi"/>
                <w:color w:val="000000"/>
                <w:sz w:val="20"/>
                <w:szCs w:val="20"/>
                <w:lang w:val="en-GB"/>
              </w:rPr>
            </w:pPr>
            <w:r>
              <w:rPr>
                <w:sz w:val="20"/>
                <w:szCs w:val="20"/>
              </w:rPr>
              <w:t>6,631,382</w:t>
            </w:r>
          </w:p>
        </w:tc>
        <w:tc>
          <w:tcPr>
            <w:tcW w:w="1250" w:type="pct"/>
            <w:noWrap/>
            <w:hideMark/>
          </w:tcPr>
          <w:p w14:paraId="6A259F6C" w14:textId="77777777" w:rsidR="00470C07" w:rsidRPr="00012E78" w:rsidRDefault="00470C07" w:rsidP="007D3F9B">
            <w:pPr>
              <w:keepNext/>
              <w:bidi/>
              <w:jc w:val="left"/>
              <w:rPr>
                <w:rFonts w:asciiTheme="majorBidi" w:hAnsiTheme="majorBidi" w:cstheme="majorBidi"/>
                <w:color w:val="000000"/>
                <w:sz w:val="20"/>
                <w:szCs w:val="20"/>
                <w:lang w:val="en-GB"/>
              </w:rPr>
            </w:pPr>
            <w:r>
              <w:rPr>
                <w:sz w:val="20"/>
                <w:szCs w:val="20"/>
              </w:rPr>
              <w:t>66,919,073</w:t>
            </w:r>
          </w:p>
        </w:tc>
      </w:tr>
      <w:tr w:rsidR="00470C07" w:rsidRPr="00012E78" w14:paraId="57D02D7E" w14:textId="77777777" w:rsidTr="00470C07">
        <w:trPr>
          <w:trHeight w:val="179"/>
        </w:trPr>
        <w:tc>
          <w:tcPr>
            <w:tcW w:w="1250" w:type="pct"/>
            <w:noWrap/>
            <w:hideMark/>
          </w:tcPr>
          <w:p w14:paraId="0503CDE0" w14:textId="23BCA27E" w:rsidR="00470C07" w:rsidRPr="00012E78" w:rsidRDefault="00470C07" w:rsidP="007D3F9B">
            <w:pPr>
              <w:keepNext/>
              <w:bidi/>
              <w:jc w:val="left"/>
              <w:rPr>
                <w:rFonts w:asciiTheme="majorBidi" w:hAnsiTheme="majorBidi" w:cstheme="majorBidi"/>
                <w:color w:val="000000"/>
                <w:sz w:val="20"/>
                <w:szCs w:val="20"/>
                <w:lang w:val="en-GB"/>
              </w:rPr>
            </w:pPr>
            <w:r>
              <w:rPr>
                <w:rFonts w:hint="cs"/>
                <w:sz w:val="20"/>
                <w:szCs w:val="20"/>
                <w:rtl/>
              </w:rPr>
              <w:t>اليونيب</w:t>
            </w:r>
          </w:p>
        </w:tc>
        <w:tc>
          <w:tcPr>
            <w:tcW w:w="1250" w:type="pct"/>
            <w:noWrap/>
            <w:hideMark/>
          </w:tcPr>
          <w:p w14:paraId="7DFDCFE8" w14:textId="77777777" w:rsidR="00470C07" w:rsidRPr="00012E78" w:rsidRDefault="00470C07" w:rsidP="007D3F9B">
            <w:pPr>
              <w:keepNext/>
              <w:bidi/>
              <w:jc w:val="left"/>
              <w:rPr>
                <w:rFonts w:asciiTheme="majorBidi" w:hAnsiTheme="majorBidi" w:cstheme="majorBidi"/>
                <w:color w:val="000000"/>
                <w:sz w:val="20"/>
                <w:szCs w:val="20"/>
                <w:lang w:val="en-GB"/>
              </w:rPr>
            </w:pPr>
            <w:r>
              <w:rPr>
                <w:sz w:val="20"/>
                <w:szCs w:val="20"/>
              </w:rPr>
              <w:t>26,706,692</w:t>
            </w:r>
          </w:p>
        </w:tc>
        <w:tc>
          <w:tcPr>
            <w:tcW w:w="1250" w:type="pct"/>
            <w:noWrap/>
            <w:hideMark/>
          </w:tcPr>
          <w:p w14:paraId="0D1DE6B4" w14:textId="77777777" w:rsidR="00470C07" w:rsidRPr="00012E78" w:rsidRDefault="00470C07" w:rsidP="007D3F9B">
            <w:pPr>
              <w:keepNext/>
              <w:bidi/>
              <w:jc w:val="left"/>
              <w:rPr>
                <w:rFonts w:asciiTheme="majorBidi" w:hAnsiTheme="majorBidi" w:cstheme="majorBidi"/>
                <w:color w:val="000000"/>
                <w:sz w:val="20"/>
                <w:szCs w:val="20"/>
                <w:lang w:val="en-GB"/>
              </w:rPr>
            </w:pPr>
            <w:r>
              <w:rPr>
                <w:sz w:val="20"/>
                <w:szCs w:val="20"/>
              </w:rPr>
              <w:t>2,235,778</w:t>
            </w:r>
          </w:p>
        </w:tc>
        <w:tc>
          <w:tcPr>
            <w:tcW w:w="1250" w:type="pct"/>
            <w:noWrap/>
            <w:hideMark/>
          </w:tcPr>
          <w:p w14:paraId="55FCA198" w14:textId="77777777" w:rsidR="00470C07" w:rsidRPr="00012E78" w:rsidRDefault="00470C07" w:rsidP="007D3F9B">
            <w:pPr>
              <w:keepNext/>
              <w:bidi/>
              <w:jc w:val="left"/>
              <w:rPr>
                <w:rFonts w:asciiTheme="majorBidi" w:hAnsiTheme="majorBidi" w:cstheme="majorBidi"/>
                <w:color w:val="000000"/>
                <w:sz w:val="20"/>
                <w:szCs w:val="20"/>
                <w:lang w:val="en-GB"/>
              </w:rPr>
            </w:pPr>
            <w:r>
              <w:rPr>
                <w:sz w:val="20"/>
                <w:szCs w:val="20"/>
              </w:rPr>
              <w:t>28,942,470</w:t>
            </w:r>
          </w:p>
        </w:tc>
      </w:tr>
      <w:tr w:rsidR="00470C07" w:rsidRPr="00012E78" w14:paraId="740FC787" w14:textId="77777777" w:rsidTr="00470C07">
        <w:trPr>
          <w:trHeight w:val="188"/>
        </w:trPr>
        <w:tc>
          <w:tcPr>
            <w:tcW w:w="1250" w:type="pct"/>
            <w:noWrap/>
            <w:hideMark/>
          </w:tcPr>
          <w:p w14:paraId="686E1C7A" w14:textId="48BD77A8" w:rsidR="00470C07" w:rsidRPr="00012E78" w:rsidRDefault="00470C07" w:rsidP="007D3F9B">
            <w:pPr>
              <w:keepNext/>
              <w:bidi/>
              <w:jc w:val="left"/>
              <w:rPr>
                <w:rFonts w:asciiTheme="majorBidi" w:hAnsiTheme="majorBidi" w:cstheme="majorBidi"/>
                <w:color w:val="000000"/>
                <w:sz w:val="20"/>
                <w:szCs w:val="20"/>
                <w:lang w:val="en-GB"/>
              </w:rPr>
            </w:pPr>
            <w:r>
              <w:rPr>
                <w:rFonts w:hint="cs"/>
                <w:sz w:val="20"/>
                <w:szCs w:val="20"/>
                <w:rtl/>
              </w:rPr>
              <w:t>اليونيدو</w:t>
            </w:r>
          </w:p>
        </w:tc>
        <w:tc>
          <w:tcPr>
            <w:tcW w:w="1250" w:type="pct"/>
            <w:noWrap/>
            <w:hideMark/>
          </w:tcPr>
          <w:p w14:paraId="63476F20" w14:textId="77777777" w:rsidR="00470C07" w:rsidRPr="00012E78" w:rsidRDefault="00470C07" w:rsidP="007D3F9B">
            <w:pPr>
              <w:keepNext/>
              <w:bidi/>
              <w:jc w:val="left"/>
              <w:rPr>
                <w:rFonts w:asciiTheme="majorBidi" w:hAnsiTheme="majorBidi" w:cstheme="majorBidi"/>
                <w:color w:val="000000"/>
                <w:sz w:val="20"/>
                <w:szCs w:val="20"/>
                <w:lang w:val="en-GB"/>
              </w:rPr>
            </w:pPr>
            <w:r>
              <w:rPr>
                <w:sz w:val="20"/>
                <w:szCs w:val="20"/>
              </w:rPr>
              <w:t>62,191,267</w:t>
            </w:r>
          </w:p>
        </w:tc>
        <w:tc>
          <w:tcPr>
            <w:tcW w:w="1250" w:type="pct"/>
            <w:noWrap/>
            <w:hideMark/>
          </w:tcPr>
          <w:p w14:paraId="467F13AA" w14:textId="77777777" w:rsidR="00470C07" w:rsidRPr="00012E78" w:rsidRDefault="00470C07" w:rsidP="007D3F9B">
            <w:pPr>
              <w:keepNext/>
              <w:bidi/>
              <w:jc w:val="left"/>
              <w:rPr>
                <w:rFonts w:asciiTheme="majorBidi" w:hAnsiTheme="majorBidi" w:cstheme="majorBidi"/>
                <w:color w:val="000000"/>
                <w:sz w:val="20"/>
                <w:szCs w:val="20"/>
                <w:lang w:val="en-GB"/>
              </w:rPr>
            </w:pPr>
            <w:r>
              <w:rPr>
                <w:sz w:val="20"/>
                <w:szCs w:val="20"/>
              </w:rPr>
              <w:t>6,737,824</w:t>
            </w:r>
          </w:p>
        </w:tc>
        <w:tc>
          <w:tcPr>
            <w:tcW w:w="1250" w:type="pct"/>
            <w:noWrap/>
            <w:hideMark/>
          </w:tcPr>
          <w:p w14:paraId="7E96A39D" w14:textId="77777777" w:rsidR="00470C07" w:rsidRPr="00012E78" w:rsidRDefault="00470C07" w:rsidP="007D3F9B">
            <w:pPr>
              <w:keepNext/>
              <w:bidi/>
              <w:jc w:val="left"/>
              <w:rPr>
                <w:rFonts w:asciiTheme="majorBidi" w:hAnsiTheme="majorBidi" w:cstheme="majorBidi"/>
                <w:color w:val="000000"/>
                <w:sz w:val="20"/>
                <w:szCs w:val="20"/>
                <w:lang w:val="en-GB"/>
              </w:rPr>
            </w:pPr>
            <w:r>
              <w:rPr>
                <w:sz w:val="20"/>
                <w:szCs w:val="20"/>
              </w:rPr>
              <w:t>68,929,091</w:t>
            </w:r>
          </w:p>
        </w:tc>
      </w:tr>
      <w:tr w:rsidR="00470C07" w:rsidRPr="00012E78" w14:paraId="2AB359A2" w14:textId="77777777" w:rsidTr="00470C07">
        <w:trPr>
          <w:trHeight w:val="98"/>
        </w:trPr>
        <w:tc>
          <w:tcPr>
            <w:tcW w:w="1250" w:type="pct"/>
            <w:noWrap/>
            <w:hideMark/>
          </w:tcPr>
          <w:p w14:paraId="1C666BDF" w14:textId="391FDF00" w:rsidR="00470C07" w:rsidRPr="00012E78" w:rsidRDefault="00470C07" w:rsidP="007D3F9B">
            <w:pPr>
              <w:keepNext/>
              <w:bidi/>
              <w:jc w:val="left"/>
              <w:rPr>
                <w:rFonts w:asciiTheme="majorBidi" w:hAnsiTheme="majorBidi" w:cstheme="majorBidi"/>
                <w:color w:val="000000"/>
                <w:sz w:val="20"/>
                <w:szCs w:val="20"/>
                <w:lang w:val="en-GB"/>
              </w:rPr>
            </w:pPr>
            <w:r>
              <w:rPr>
                <w:rFonts w:hint="cs"/>
                <w:sz w:val="20"/>
                <w:szCs w:val="20"/>
                <w:rtl/>
              </w:rPr>
              <w:t>البنك الدولي</w:t>
            </w:r>
          </w:p>
        </w:tc>
        <w:tc>
          <w:tcPr>
            <w:tcW w:w="1250" w:type="pct"/>
            <w:noWrap/>
            <w:hideMark/>
          </w:tcPr>
          <w:p w14:paraId="20451E29" w14:textId="77777777" w:rsidR="00470C07" w:rsidRPr="00012E78" w:rsidRDefault="00470C07" w:rsidP="007D3F9B">
            <w:pPr>
              <w:keepNext/>
              <w:bidi/>
              <w:jc w:val="left"/>
              <w:rPr>
                <w:rFonts w:asciiTheme="majorBidi" w:hAnsiTheme="majorBidi" w:cstheme="majorBidi"/>
                <w:color w:val="000000"/>
                <w:sz w:val="20"/>
                <w:szCs w:val="20"/>
                <w:lang w:val="en-GB"/>
              </w:rPr>
            </w:pPr>
            <w:r>
              <w:rPr>
                <w:sz w:val="20"/>
                <w:szCs w:val="20"/>
              </w:rPr>
              <w:t>38,175,116</w:t>
            </w:r>
          </w:p>
        </w:tc>
        <w:tc>
          <w:tcPr>
            <w:tcW w:w="1250" w:type="pct"/>
            <w:noWrap/>
            <w:hideMark/>
          </w:tcPr>
          <w:p w14:paraId="16A2BDB3" w14:textId="77777777" w:rsidR="00470C07" w:rsidRPr="00012E78" w:rsidRDefault="00470C07" w:rsidP="007D3F9B">
            <w:pPr>
              <w:keepNext/>
              <w:bidi/>
              <w:jc w:val="left"/>
              <w:rPr>
                <w:rFonts w:asciiTheme="majorBidi" w:hAnsiTheme="majorBidi" w:cstheme="majorBidi"/>
                <w:color w:val="000000"/>
                <w:sz w:val="20"/>
                <w:szCs w:val="20"/>
                <w:lang w:val="en-GB"/>
              </w:rPr>
            </w:pPr>
            <w:r>
              <w:rPr>
                <w:sz w:val="20"/>
                <w:szCs w:val="20"/>
              </w:rPr>
              <w:t>4,619,403</w:t>
            </w:r>
          </w:p>
        </w:tc>
        <w:tc>
          <w:tcPr>
            <w:tcW w:w="1250" w:type="pct"/>
            <w:noWrap/>
            <w:hideMark/>
          </w:tcPr>
          <w:p w14:paraId="458F6F73" w14:textId="77777777" w:rsidR="00470C07" w:rsidRPr="00012E78" w:rsidRDefault="00470C07" w:rsidP="007D3F9B">
            <w:pPr>
              <w:keepNext/>
              <w:bidi/>
              <w:jc w:val="left"/>
              <w:rPr>
                <w:rFonts w:asciiTheme="majorBidi" w:hAnsiTheme="majorBidi" w:cstheme="majorBidi"/>
                <w:color w:val="000000"/>
                <w:sz w:val="20"/>
                <w:szCs w:val="20"/>
                <w:lang w:val="en-GB"/>
              </w:rPr>
            </w:pPr>
            <w:r>
              <w:rPr>
                <w:sz w:val="20"/>
                <w:szCs w:val="20"/>
              </w:rPr>
              <w:t>42,794,519</w:t>
            </w:r>
          </w:p>
        </w:tc>
      </w:tr>
      <w:tr w:rsidR="00470C07" w:rsidRPr="00012E78" w14:paraId="363880C9" w14:textId="77777777" w:rsidTr="00470C07">
        <w:trPr>
          <w:trHeight w:val="107"/>
        </w:trPr>
        <w:tc>
          <w:tcPr>
            <w:tcW w:w="1250" w:type="pct"/>
            <w:noWrap/>
            <w:hideMark/>
          </w:tcPr>
          <w:p w14:paraId="3D8260F0" w14:textId="56C95F25" w:rsidR="00470C07" w:rsidRPr="00012E78" w:rsidRDefault="00470C07" w:rsidP="007D3F9B">
            <w:pPr>
              <w:keepNext/>
              <w:bidi/>
              <w:jc w:val="left"/>
              <w:rPr>
                <w:rFonts w:asciiTheme="majorBidi" w:hAnsiTheme="majorBidi" w:cstheme="majorBidi"/>
                <w:b/>
                <w:bCs/>
                <w:color w:val="000000"/>
                <w:sz w:val="20"/>
                <w:szCs w:val="20"/>
                <w:lang w:val="en-GB"/>
              </w:rPr>
            </w:pPr>
            <w:r>
              <w:rPr>
                <w:rFonts w:hint="cs"/>
                <w:b/>
                <w:bCs/>
                <w:sz w:val="20"/>
                <w:szCs w:val="20"/>
                <w:rtl/>
              </w:rPr>
              <w:t>المجموع الإجمالي</w:t>
            </w:r>
          </w:p>
        </w:tc>
        <w:tc>
          <w:tcPr>
            <w:tcW w:w="1250" w:type="pct"/>
            <w:noWrap/>
            <w:hideMark/>
          </w:tcPr>
          <w:p w14:paraId="4DCD9CCC" w14:textId="77777777" w:rsidR="00470C07" w:rsidRPr="00012E78" w:rsidRDefault="00470C07" w:rsidP="007D3F9B">
            <w:pPr>
              <w:keepNext/>
              <w:bidi/>
              <w:jc w:val="left"/>
              <w:rPr>
                <w:rFonts w:asciiTheme="majorBidi" w:hAnsiTheme="majorBidi" w:cstheme="majorBidi"/>
                <w:b/>
                <w:bCs/>
                <w:color w:val="000000"/>
                <w:sz w:val="20"/>
                <w:szCs w:val="20"/>
                <w:lang w:val="en-GB"/>
              </w:rPr>
            </w:pPr>
            <w:r>
              <w:rPr>
                <w:b/>
                <w:bCs/>
                <w:sz w:val="20"/>
                <w:szCs w:val="20"/>
              </w:rPr>
              <w:t>190,803,312</w:t>
            </w:r>
          </w:p>
        </w:tc>
        <w:tc>
          <w:tcPr>
            <w:tcW w:w="1250" w:type="pct"/>
            <w:noWrap/>
            <w:hideMark/>
          </w:tcPr>
          <w:p w14:paraId="64050E22" w14:textId="77777777" w:rsidR="00470C07" w:rsidRPr="00012E78" w:rsidRDefault="00470C07" w:rsidP="007D3F9B">
            <w:pPr>
              <w:keepNext/>
              <w:bidi/>
              <w:jc w:val="left"/>
              <w:rPr>
                <w:rFonts w:asciiTheme="majorBidi" w:hAnsiTheme="majorBidi" w:cstheme="majorBidi"/>
                <w:b/>
                <w:bCs/>
                <w:color w:val="000000"/>
                <w:sz w:val="20"/>
                <w:szCs w:val="20"/>
                <w:lang w:val="en-GB"/>
              </w:rPr>
            </w:pPr>
            <w:r>
              <w:rPr>
                <w:b/>
                <w:bCs/>
                <w:sz w:val="20"/>
                <w:szCs w:val="20"/>
              </w:rPr>
              <w:t>20,645,848</w:t>
            </w:r>
          </w:p>
        </w:tc>
        <w:tc>
          <w:tcPr>
            <w:tcW w:w="1250" w:type="pct"/>
            <w:noWrap/>
            <w:hideMark/>
          </w:tcPr>
          <w:p w14:paraId="4FC791FD" w14:textId="77777777" w:rsidR="00470C07" w:rsidRPr="00012E78" w:rsidRDefault="00470C07" w:rsidP="007D3F9B">
            <w:pPr>
              <w:keepNext/>
              <w:bidi/>
              <w:jc w:val="left"/>
              <w:rPr>
                <w:rFonts w:asciiTheme="majorBidi" w:hAnsiTheme="majorBidi" w:cstheme="majorBidi"/>
                <w:b/>
                <w:bCs/>
                <w:color w:val="000000"/>
                <w:sz w:val="20"/>
                <w:szCs w:val="20"/>
                <w:lang w:val="en-GB"/>
              </w:rPr>
            </w:pPr>
            <w:r>
              <w:rPr>
                <w:b/>
                <w:bCs/>
                <w:sz w:val="20"/>
                <w:szCs w:val="20"/>
              </w:rPr>
              <w:t>211,449,160</w:t>
            </w:r>
          </w:p>
        </w:tc>
      </w:tr>
    </w:tbl>
    <w:p w14:paraId="2C7A47D4" w14:textId="77777777" w:rsidR="007D3F9B" w:rsidRPr="007D3F9B" w:rsidRDefault="007D3F9B" w:rsidP="002C1FD5">
      <w:pPr>
        <w:bidi/>
        <w:spacing w:after="240"/>
        <w:rPr>
          <w:sz w:val="26"/>
          <w:szCs w:val="26"/>
          <w:lang w:val="en-US" w:bidi="ar-AE"/>
        </w:rPr>
      </w:pPr>
    </w:p>
    <w:p w14:paraId="0E661732" w14:textId="7D0A6ED6" w:rsidR="007D3F9B" w:rsidRPr="007D3F9B" w:rsidRDefault="007D3F9B" w:rsidP="003B64CF">
      <w:pPr>
        <w:pStyle w:val="Heading3"/>
        <w:numPr>
          <w:ilvl w:val="2"/>
          <w:numId w:val="16"/>
        </w:numPr>
        <w:bidi/>
        <w:spacing w:line="288" w:lineRule="auto"/>
        <w:ind w:left="720" w:firstLine="0"/>
        <w:rPr>
          <w:sz w:val="26"/>
          <w:szCs w:val="26"/>
          <w:lang w:eastAsia="en-GB"/>
        </w:rPr>
      </w:pPr>
      <w:r>
        <w:rPr>
          <w:sz w:val="26"/>
          <w:szCs w:val="26"/>
          <w:rtl/>
          <w:lang w:eastAsia="en-GB"/>
        </w:rPr>
        <w:t xml:space="preserve">في الاجتماعين السابع والتسعين والثامن والتسعين، وبعد النظر في الوثائق المتعلقة بالمشروعات الموصى بالموافقة </w:t>
      </w:r>
      <w:r>
        <w:rPr>
          <w:rFonts w:hint="cs"/>
          <w:sz w:val="26"/>
          <w:szCs w:val="26"/>
          <w:rtl/>
          <w:lang w:eastAsia="en-GB"/>
        </w:rPr>
        <w:t>الشمولية عليها</w:t>
      </w:r>
      <w:r>
        <w:rPr>
          <w:rStyle w:val="FootnoteReference"/>
          <w:sz w:val="26"/>
          <w:szCs w:val="26"/>
          <w:lang w:val="en-US" w:eastAsia="en-GB" w:bidi="ar-AE"/>
        </w:rPr>
        <w:footnoteReference w:id="26"/>
      </w:r>
      <w:r>
        <w:rPr>
          <w:rFonts w:hint="cs"/>
          <w:sz w:val="26"/>
          <w:szCs w:val="26"/>
          <w:rtl/>
          <w:lang w:eastAsia="en-GB"/>
        </w:rPr>
        <w:t xml:space="preserve"> والوثائق</w:t>
      </w:r>
      <w:r>
        <w:rPr>
          <w:sz w:val="26"/>
          <w:szCs w:val="26"/>
          <w:rtl/>
          <w:lang w:eastAsia="en-GB"/>
        </w:rPr>
        <w:t xml:space="preserve"> المتعلقة بالمشروعات الموصى بالنظر فيها بشكل إفرادي</w:t>
      </w:r>
      <w:r>
        <w:rPr>
          <w:rStyle w:val="FootnoteReference"/>
          <w:sz w:val="26"/>
          <w:szCs w:val="26"/>
          <w:lang w:val="en-US" w:eastAsia="en-GB" w:bidi="ar-AE"/>
        </w:rPr>
        <w:footnoteReference w:id="27"/>
      </w:r>
      <w:r>
        <w:rPr>
          <w:sz w:val="26"/>
          <w:szCs w:val="26"/>
          <w:rtl/>
          <w:lang w:eastAsia="en-GB"/>
        </w:rPr>
        <w:t>، وافقت اللجنة التنفيذية على المشروعات والأنشطة على النحو الملخص أدناه.</w:t>
      </w:r>
    </w:p>
    <w:p w14:paraId="03FFF41F" w14:textId="54F8C4F7" w:rsidR="0055167C" w:rsidRPr="005030DF" w:rsidRDefault="00ED3845">
      <w:pPr>
        <w:pStyle w:val="ListParagraph"/>
        <w:numPr>
          <w:ilvl w:val="0"/>
          <w:numId w:val="26"/>
        </w:numPr>
        <w:bidi/>
        <w:spacing w:after="240"/>
        <w:ind w:hanging="720"/>
        <w:outlineLvl w:val="0"/>
        <w:rPr>
          <w:rFonts w:ascii="Times New Roman" w:hAnsi="Times New Roman" w:cs="Times New Roman"/>
          <w:bCs/>
          <w:sz w:val="26"/>
          <w:szCs w:val="26"/>
        </w:rPr>
      </w:pPr>
      <w:r>
        <w:rPr>
          <w:rFonts w:ascii="Times New Roman" w:hAnsi="Times New Roman" w:cs="Times New Roman"/>
          <w:bCs/>
          <w:sz w:val="26"/>
          <w:szCs w:val="26"/>
          <w:rtl/>
        </w:rPr>
        <w:t>المشروعات الاستثمارية</w:t>
      </w:r>
    </w:p>
    <w:p w14:paraId="598D705C" w14:textId="2CC32C7D" w:rsidR="00ED3845" w:rsidRPr="00ED3845" w:rsidRDefault="00ED3845" w:rsidP="00616E07">
      <w:pPr>
        <w:pStyle w:val="Heading1"/>
        <w:numPr>
          <w:ilvl w:val="0"/>
          <w:numId w:val="0"/>
        </w:numPr>
        <w:bidi/>
        <w:ind w:left="720"/>
        <w:rPr>
          <w:sz w:val="26"/>
          <w:szCs w:val="26"/>
          <w:u w:val="single"/>
          <w:lang w:val="en-GB"/>
        </w:rPr>
      </w:pPr>
      <w:r>
        <w:rPr>
          <w:sz w:val="26"/>
          <w:szCs w:val="26"/>
          <w:u w:val="single"/>
          <w:rtl/>
          <w:lang w:val="en-GB"/>
        </w:rPr>
        <w:t>خطط إدارة إزالة المواد الهيدروكلوروفلوروكربونية</w:t>
      </w:r>
    </w:p>
    <w:p w14:paraId="2C8D756E" w14:textId="21768A90" w:rsidR="00040026" w:rsidRPr="00040026" w:rsidRDefault="00040026" w:rsidP="003B64CF">
      <w:pPr>
        <w:pStyle w:val="Heading3"/>
        <w:numPr>
          <w:ilvl w:val="2"/>
          <w:numId w:val="16"/>
        </w:numPr>
        <w:bidi/>
        <w:spacing w:line="288" w:lineRule="auto"/>
        <w:ind w:left="720" w:firstLine="0"/>
        <w:rPr>
          <w:sz w:val="26"/>
          <w:szCs w:val="26"/>
          <w:lang w:eastAsia="en-GB"/>
        </w:rPr>
      </w:pPr>
      <w:r>
        <w:rPr>
          <w:sz w:val="26"/>
          <w:szCs w:val="26"/>
          <w:rtl/>
          <w:lang w:eastAsia="en-GB"/>
        </w:rPr>
        <w:t xml:space="preserve">وافقت اللجنة التنفيذية في الاجتماع السابع والتسعين، على شرائح من خطط إدارة إزالة  المواد الهيدروكلوروفلوروكربونية لنحو </w:t>
      </w:r>
      <w:r>
        <w:rPr>
          <w:sz w:val="26"/>
          <w:szCs w:val="26"/>
          <w:lang w:eastAsia="en-GB"/>
        </w:rPr>
        <w:t>19</w:t>
      </w:r>
      <w:r>
        <w:rPr>
          <w:sz w:val="26"/>
          <w:szCs w:val="26"/>
          <w:rtl/>
          <w:lang w:eastAsia="en-GB"/>
        </w:rPr>
        <w:t xml:space="preserve"> بلداً، بما في ذلك شرائح من ست خطط قطاعية في المرحلة الثانية من خطة إدارة إزالة المواد الهيدروكلوروفلوروكربونية لبلد واحد (المقررات</w:t>
      </w:r>
      <w:r>
        <w:rPr>
          <w:rFonts w:hint="cs"/>
          <w:sz w:val="26"/>
          <w:szCs w:val="26"/>
          <w:rtl/>
          <w:lang w:eastAsia="en-GB" w:bidi="ar-AE"/>
        </w:rPr>
        <w:t> </w:t>
      </w:r>
      <w:r>
        <w:rPr>
          <w:sz w:val="26"/>
          <w:szCs w:val="26"/>
          <w:lang w:val="en-US" w:eastAsia="en-GB" w:bidi="ar-AE"/>
        </w:rPr>
        <w:t>97</w:t>
      </w:r>
      <w:r>
        <w:rPr>
          <w:rFonts w:hint="cs"/>
          <w:sz w:val="26"/>
          <w:szCs w:val="26"/>
          <w:rtl/>
          <w:lang w:val="en-US" w:eastAsia="en-GB" w:bidi="ar-AE"/>
        </w:rPr>
        <w:t>/</w:t>
      </w:r>
      <w:r>
        <w:rPr>
          <w:sz w:val="26"/>
          <w:szCs w:val="26"/>
          <w:lang w:val="en-US" w:eastAsia="en-GB" w:bidi="ar-AE"/>
        </w:rPr>
        <w:t>35</w:t>
      </w:r>
      <w:r>
        <w:rPr>
          <w:sz w:val="26"/>
          <w:szCs w:val="26"/>
          <w:rtl/>
          <w:lang w:eastAsia="en-GB"/>
        </w:rPr>
        <w:t>، و</w:t>
      </w:r>
      <w:r>
        <w:rPr>
          <w:sz w:val="26"/>
          <w:szCs w:val="26"/>
          <w:lang w:val="en-US" w:eastAsia="en-GB"/>
        </w:rPr>
        <w:t>97</w:t>
      </w:r>
      <w:r>
        <w:rPr>
          <w:rFonts w:hint="cs"/>
          <w:sz w:val="26"/>
          <w:szCs w:val="26"/>
          <w:rtl/>
          <w:lang w:val="en-US" w:eastAsia="en-GB" w:bidi="ar-AE"/>
        </w:rPr>
        <w:t>/</w:t>
      </w:r>
      <w:r>
        <w:rPr>
          <w:sz w:val="26"/>
          <w:szCs w:val="26"/>
          <w:lang w:val="en-US" w:eastAsia="en-GB" w:bidi="ar-AE"/>
        </w:rPr>
        <w:t>39</w:t>
      </w:r>
      <w:r>
        <w:rPr>
          <w:sz w:val="26"/>
          <w:szCs w:val="26"/>
          <w:rtl/>
          <w:lang w:eastAsia="en-GB"/>
        </w:rPr>
        <w:t>، و</w:t>
      </w:r>
      <w:r>
        <w:rPr>
          <w:sz w:val="26"/>
          <w:szCs w:val="26"/>
          <w:lang w:val="en-US" w:eastAsia="en-GB" w:bidi="ar-AE"/>
        </w:rPr>
        <w:t>97</w:t>
      </w:r>
      <w:r>
        <w:rPr>
          <w:rFonts w:hint="cs"/>
          <w:sz w:val="26"/>
          <w:szCs w:val="26"/>
          <w:rtl/>
          <w:lang w:val="en-US" w:eastAsia="en-GB" w:bidi="ar-AE"/>
        </w:rPr>
        <w:t>/</w:t>
      </w:r>
      <w:r>
        <w:rPr>
          <w:sz w:val="26"/>
          <w:szCs w:val="26"/>
          <w:lang w:val="en-US" w:eastAsia="en-GB" w:bidi="ar-AE"/>
        </w:rPr>
        <w:t>45</w:t>
      </w:r>
      <w:r>
        <w:rPr>
          <w:sz w:val="26"/>
          <w:szCs w:val="26"/>
          <w:rtl/>
          <w:lang w:eastAsia="en-GB"/>
        </w:rPr>
        <w:t xml:space="preserve"> إلى</w:t>
      </w:r>
      <w:r>
        <w:rPr>
          <w:rFonts w:hint="cs"/>
          <w:sz w:val="26"/>
          <w:szCs w:val="26"/>
          <w:rtl/>
          <w:lang w:eastAsia="en-GB" w:bidi="ar-AE"/>
        </w:rPr>
        <w:t xml:space="preserve"> </w:t>
      </w:r>
      <w:r>
        <w:rPr>
          <w:sz w:val="26"/>
          <w:szCs w:val="26"/>
          <w:lang w:val="en-US" w:eastAsia="en-GB" w:bidi="ar-AE"/>
        </w:rPr>
        <w:t>97</w:t>
      </w:r>
      <w:r>
        <w:rPr>
          <w:rFonts w:hint="cs"/>
          <w:sz w:val="26"/>
          <w:szCs w:val="26"/>
          <w:rtl/>
          <w:lang w:val="en-US" w:eastAsia="en-GB" w:bidi="ar-AE"/>
        </w:rPr>
        <w:t>/</w:t>
      </w:r>
      <w:r>
        <w:rPr>
          <w:sz w:val="26"/>
          <w:szCs w:val="26"/>
          <w:lang w:val="en-US" w:eastAsia="en-GB" w:bidi="ar-AE"/>
        </w:rPr>
        <w:t>50</w:t>
      </w:r>
      <w:r>
        <w:rPr>
          <w:sz w:val="26"/>
          <w:szCs w:val="26"/>
          <w:rtl/>
          <w:lang w:eastAsia="en-GB"/>
        </w:rPr>
        <w:t>، و</w:t>
      </w:r>
      <w:r>
        <w:rPr>
          <w:sz w:val="26"/>
          <w:szCs w:val="26"/>
          <w:lang w:val="en-US" w:eastAsia="en-GB"/>
        </w:rPr>
        <w:t>97</w:t>
      </w:r>
      <w:r>
        <w:rPr>
          <w:rFonts w:hint="cs"/>
          <w:sz w:val="26"/>
          <w:szCs w:val="26"/>
          <w:rtl/>
          <w:lang w:val="en-US" w:eastAsia="en-GB" w:bidi="ar-AE"/>
        </w:rPr>
        <w:t>/</w:t>
      </w:r>
      <w:r>
        <w:rPr>
          <w:sz w:val="26"/>
          <w:szCs w:val="26"/>
          <w:lang w:val="en-US" w:eastAsia="en-GB" w:bidi="ar-AE"/>
        </w:rPr>
        <w:t>54</w:t>
      </w:r>
      <w:r>
        <w:rPr>
          <w:sz w:val="26"/>
          <w:szCs w:val="26"/>
          <w:rtl/>
          <w:lang w:eastAsia="en-GB"/>
        </w:rPr>
        <w:t xml:space="preserve"> و</w:t>
      </w:r>
      <w:r>
        <w:rPr>
          <w:sz w:val="26"/>
          <w:szCs w:val="26"/>
          <w:lang w:val="en-US" w:eastAsia="en-GB"/>
        </w:rPr>
        <w:t>97</w:t>
      </w:r>
      <w:r>
        <w:rPr>
          <w:rFonts w:hint="cs"/>
          <w:sz w:val="26"/>
          <w:szCs w:val="26"/>
          <w:rtl/>
          <w:lang w:val="en-US" w:eastAsia="en-GB" w:bidi="ar-AE"/>
        </w:rPr>
        <w:t>/</w:t>
      </w:r>
      <w:r>
        <w:rPr>
          <w:sz w:val="26"/>
          <w:szCs w:val="26"/>
          <w:lang w:val="en-US" w:eastAsia="en-GB" w:bidi="ar-AE"/>
        </w:rPr>
        <w:t>55</w:t>
      </w:r>
      <w:r>
        <w:rPr>
          <w:sz w:val="26"/>
          <w:szCs w:val="26"/>
          <w:rtl/>
          <w:lang w:eastAsia="en-GB"/>
        </w:rPr>
        <w:t>)؛ والشريحة الأولى من المرحلة الثانية من خطة إدارة إزالة المواد الهيدروكلوروفلوروكربونية لبلدين (المقرران</w:t>
      </w:r>
      <w:r>
        <w:rPr>
          <w:rFonts w:hint="cs"/>
          <w:sz w:val="26"/>
          <w:szCs w:val="26"/>
          <w:rtl/>
          <w:lang w:eastAsia="en-GB"/>
        </w:rPr>
        <w:t> </w:t>
      </w:r>
      <w:r>
        <w:rPr>
          <w:sz w:val="26"/>
          <w:szCs w:val="26"/>
          <w:lang w:val="en-US" w:eastAsia="en-GB"/>
        </w:rPr>
        <w:t>97</w:t>
      </w:r>
      <w:r>
        <w:rPr>
          <w:rFonts w:hint="cs"/>
          <w:sz w:val="26"/>
          <w:szCs w:val="26"/>
          <w:rtl/>
          <w:lang w:val="en-US" w:eastAsia="en-GB" w:bidi="ar-AE"/>
        </w:rPr>
        <w:t>/</w:t>
      </w:r>
      <w:r>
        <w:rPr>
          <w:sz w:val="26"/>
          <w:szCs w:val="26"/>
          <w:lang w:val="en-US" w:eastAsia="en-GB" w:bidi="ar-AE"/>
        </w:rPr>
        <w:t>51</w:t>
      </w:r>
      <w:r>
        <w:rPr>
          <w:sz w:val="26"/>
          <w:szCs w:val="26"/>
          <w:rtl/>
          <w:lang w:eastAsia="en-GB"/>
        </w:rPr>
        <w:t xml:space="preserve"> و</w:t>
      </w:r>
      <w:r>
        <w:rPr>
          <w:sz w:val="26"/>
          <w:szCs w:val="26"/>
          <w:lang w:val="en-US" w:eastAsia="en-GB"/>
        </w:rPr>
        <w:t>97</w:t>
      </w:r>
      <w:r>
        <w:rPr>
          <w:rFonts w:hint="cs"/>
          <w:sz w:val="26"/>
          <w:szCs w:val="26"/>
          <w:rtl/>
          <w:lang w:val="en-US" w:eastAsia="en-GB" w:bidi="ar-AE"/>
        </w:rPr>
        <w:t>/</w:t>
      </w:r>
      <w:r>
        <w:rPr>
          <w:sz w:val="26"/>
          <w:szCs w:val="26"/>
          <w:lang w:val="en-US" w:eastAsia="en-GB" w:bidi="ar-AE"/>
        </w:rPr>
        <w:t>53</w:t>
      </w:r>
      <w:r>
        <w:rPr>
          <w:sz w:val="26"/>
          <w:szCs w:val="26"/>
          <w:rtl/>
          <w:lang w:eastAsia="en-GB"/>
        </w:rPr>
        <w:t>)؛ والشريحة الأولى من المرحلة الثالثة من خطط إدارة إزالة المواد الهيدروكلوروفلوروكربونية لخمسة بلدان (المقررات</w:t>
      </w:r>
      <w:r>
        <w:rPr>
          <w:rFonts w:hint="eastAsia"/>
          <w:sz w:val="26"/>
          <w:szCs w:val="26"/>
          <w:rtl/>
          <w:lang w:eastAsia="en-GB"/>
        </w:rPr>
        <w:t> </w:t>
      </w:r>
      <w:r>
        <w:rPr>
          <w:sz w:val="26"/>
          <w:szCs w:val="26"/>
          <w:lang w:val="en-US" w:eastAsia="en-GB"/>
        </w:rPr>
        <w:t>97</w:t>
      </w:r>
      <w:r>
        <w:rPr>
          <w:rFonts w:hint="cs"/>
          <w:sz w:val="26"/>
          <w:szCs w:val="26"/>
          <w:rtl/>
          <w:lang w:val="en-US" w:eastAsia="en-GB" w:bidi="ar-AE"/>
        </w:rPr>
        <w:t>/</w:t>
      </w:r>
      <w:r>
        <w:rPr>
          <w:sz w:val="26"/>
          <w:szCs w:val="26"/>
          <w:lang w:val="en-US" w:eastAsia="en-GB" w:bidi="ar-AE"/>
        </w:rPr>
        <w:t>38</w:t>
      </w:r>
      <w:r>
        <w:rPr>
          <w:sz w:val="26"/>
          <w:szCs w:val="26"/>
          <w:rtl/>
          <w:lang w:eastAsia="en-GB"/>
        </w:rPr>
        <w:t>، و</w:t>
      </w:r>
      <w:r>
        <w:rPr>
          <w:sz w:val="26"/>
          <w:szCs w:val="26"/>
          <w:lang w:val="en-US" w:eastAsia="en-GB"/>
        </w:rPr>
        <w:t>97</w:t>
      </w:r>
      <w:r>
        <w:rPr>
          <w:rFonts w:hint="cs"/>
          <w:sz w:val="26"/>
          <w:szCs w:val="26"/>
          <w:rtl/>
          <w:lang w:val="en-US" w:eastAsia="en-GB" w:bidi="ar-AE"/>
        </w:rPr>
        <w:t>/</w:t>
      </w:r>
      <w:r>
        <w:rPr>
          <w:sz w:val="26"/>
          <w:szCs w:val="26"/>
          <w:lang w:val="en-US" w:eastAsia="en-GB" w:bidi="ar-AE"/>
        </w:rPr>
        <w:t>40</w:t>
      </w:r>
      <w:r>
        <w:rPr>
          <w:sz w:val="26"/>
          <w:szCs w:val="26"/>
          <w:rtl/>
          <w:lang w:eastAsia="en-GB"/>
        </w:rPr>
        <w:t>، و</w:t>
      </w:r>
      <w:r>
        <w:rPr>
          <w:sz w:val="26"/>
          <w:szCs w:val="26"/>
          <w:lang w:val="en-US" w:eastAsia="en-GB"/>
        </w:rPr>
        <w:t>97</w:t>
      </w:r>
      <w:r>
        <w:rPr>
          <w:rFonts w:hint="cs"/>
          <w:sz w:val="26"/>
          <w:szCs w:val="26"/>
          <w:rtl/>
          <w:lang w:val="en-US" w:eastAsia="en-GB" w:bidi="ar-AE"/>
        </w:rPr>
        <w:t>/</w:t>
      </w:r>
      <w:r>
        <w:rPr>
          <w:sz w:val="26"/>
          <w:szCs w:val="26"/>
          <w:lang w:val="en-US" w:eastAsia="en-GB" w:bidi="ar-AE"/>
        </w:rPr>
        <w:t>42</w:t>
      </w:r>
      <w:r>
        <w:rPr>
          <w:sz w:val="26"/>
          <w:szCs w:val="26"/>
          <w:rtl/>
          <w:lang w:eastAsia="en-GB"/>
        </w:rPr>
        <w:t>، و</w:t>
      </w:r>
      <w:r>
        <w:rPr>
          <w:sz w:val="26"/>
          <w:szCs w:val="26"/>
          <w:lang w:val="en-US" w:eastAsia="en-GB"/>
        </w:rPr>
        <w:t>97</w:t>
      </w:r>
      <w:r>
        <w:rPr>
          <w:rFonts w:hint="cs"/>
          <w:sz w:val="26"/>
          <w:szCs w:val="26"/>
          <w:rtl/>
          <w:lang w:val="en-US" w:eastAsia="en-GB" w:bidi="ar-AE"/>
        </w:rPr>
        <w:t>/</w:t>
      </w:r>
      <w:r>
        <w:rPr>
          <w:sz w:val="26"/>
          <w:szCs w:val="26"/>
          <w:lang w:val="en-US" w:eastAsia="en-GB" w:bidi="ar-AE"/>
        </w:rPr>
        <w:t>43</w:t>
      </w:r>
      <w:r>
        <w:rPr>
          <w:sz w:val="26"/>
          <w:szCs w:val="26"/>
          <w:rtl/>
          <w:lang w:eastAsia="en-GB"/>
        </w:rPr>
        <w:t xml:space="preserve"> و</w:t>
      </w:r>
      <w:r>
        <w:rPr>
          <w:sz w:val="26"/>
          <w:szCs w:val="26"/>
          <w:lang w:val="en-US" w:eastAsia="en-GB"/>
        </w:rPr>
        <w:t>97</w:t>
      </w:r>
      <w:r>
        <w:rPr>
          <w:rFonts w:hint="cs"/>
          <w:sz w:val="26"/>
          <w:szCs w:val="26"/>
          <w:rtl/>
          <w:lang w:val="en-US" w:eastAsia="en-GB" w:bidi="ar-AE"/>
        </w:rPr>
        <w:t>/</w:t>
      </w:r>
      <w:r>
        <w:rPr>
          <w:sz w:val="26"/>
          <w:szCs w:val="26"/>
          <w:lang w:val="en-US" w:eastAsia="en-GB" w:bidi="ar-AE"/>
        </w:rPr>
        <w:t>52</w:t>
      </w:r>
      <w:r>
        <w:rPr>
          <w:sz w:val="26"/>
          <w:szCs w:val="26"/>
          <w:rtl/>
          <w:lang w:eastAsia="en-GB"/>
        </w:rPr>
        <w:t>).</w:t>
      </w:r>
    </w:p>
    <w:p w14:paraId="67A89B40" w14:textId="757DF0B3" w:rsidR="009D55E1" w:rsidRPr="001411C9" w:rsidRDefault="009D55E1" w:rsidP="003B64CF">
      <w:pPr>
        <w:pStyle w:val="Heading3"/>
        <w:numPr>
          <w:ilvl w:val="2"/>
          <w:numId w:val="16"/>
        </w:numPr>
        <w:bidi/>
        <w:spacing w:line="288" w:lineRule="auto"/>
        <w:ind w:left="720" w:firstLine="0"/>
        <w:rPr>
          <w:sz w:val="26"/>
          <w:szCs w:val="26"/>
          <w:lang w:eastAsia="en-GB"/>
        </w:rPr>
      </w:pPr>
      <w:r>
        <w:rPr>
          <w:sz w:val="26"/>
          <w:szCs w:val="26"/>
          <w:rtl/>
          <w:lang w:eastAsia="en-GB"/>
        </w:rPr>
        <w:t xml:space="preserve">وفي الاجتماع السابع والتسعين أيضاً، وافقت اللجنة التنفيذية على مقترحات </w:t>
      </w:r>
      <w:r>
        <w:rPr>
          <w:rFonts w:hint="cs"/>
          <w:sz w:val="26"/>
          <w:szCs w:val="26"/>
          <w:rtl/>
          <w:lang w:eastAsia="en-GB"/>
        </w:rPr>
        <w:t>المشروعات</w:t>
      </w:r>
      <w:r>
        <w:rPr>
          <w:sz w:val="26"/>
          <w:szCs w:val="26"/>
          <w:rtl/>
          <w:lang w:eastAsia="en-GB"/>
        </w:rPr>
        <w:t xml:space="preserve"> </w:t>
      </w:r>
      <w:r>
        <w:rPr>
          <w:rFonts w:hint="cs"/>
          <w:sz w:val="26"/>
          <w:szCs w:val="26"/>
          <w:rtl/>
          <w:lang w:eastAsia="en-GB"/>
        </w:rPr>
        <w:t>ال</w:t>
      </w:r>
      <w:r>
        <w:rPr>
          <w:sz w:val="26"/>
          <w:szCs w:val="26"/>
          <w:rtl/>
          <w:lang w:eastAsia="en-GB"/>
        </w:rPr>
        <w:t xml:space="preserve">فردية </w:t>
      </w:r>
      <w:r>
        <w:rPr>
          <w:rFonts w:hint="cs"/>
          <w:sz w:val="26"/>
          <w:szCs w:val="26"/>
          <w:rtl/>
          <w:lang w:eastAsia="en-GB"/>
        </w:rPr>
        <w:t>المتعلقة</w:t>
      </w:r>
      <w:r>
        <w:rPr>
          <w:sz w:val="26"/>
          <w:szCs w:val="26"/>
          <w:rtl/>
          <w:lang w:eastAsia="en-GB"/>
        </w:rPr>
        <w:t xml:space="preserve"> </w:t>
      </w:r>
      <w:r>
        <w:rPr>
          <w:rFonts w:hint="cs"/>
          <w:sz w:val="26"/>
          <w:szCs w:val="26"/>
          <w:rtl/>
          <w:lang w:eastAsia="en-GB"/>
        </w:rPr>
        <w:t>بالأنشطة</w:t>
      </w:r>
      <w:r>
        <w:rPr>
          <w:sz w:val="26"/>
          <w:szCs w:val="26"/>
          <w:rtl/>
          <w:lang w:eastAsia="en-GB"/>
        </w:rPr>
        <w:t xml:space="preserve"> </w:t>
      </w:r>
      <w:r>
        <w:rPr>
          <w:rFonts w:hint="cs"/>
          <w:sz w:val="26"/>
          <w:szCs w:val="26"/>
          <w:rtl/>
          <w:lang w:eastAsia="en-GB"/>
        </w:rPr>
        <w:t>ال</w:t>
      </w:r>
      <w:r>
        <w:rPr>
          <w:sz w:val="26"/>
          <w:szCs w:val="26"/>
          <w:rtl/>
          <w:lang w:eastAsia="en-GB"/>
        </w:rPr>
        <w:t xml:space="preserve">إضافية لإدخال بدائل للمواد الهيدروكلوروفلوروكربونية ذات القدرة المنخفضة أو المعدومة على إحداث الاحترار العالمي، وللحفاظ على كفاءة استخدام الطاقة في قطاع </w:t>
      </w:r>
      <w:r>
        <w:rPr>
          <w:rFonts w:hint="cs"/>
          <w:sz w:val="26"/>
          <w:szCs w:val="26"/>
          <w:rtl/>
          <w:lang w:eastAsia="en-GB"/>
        </w:rPr>
        <w:t>خدمات</w:t>
      </w:r>
      <w:r>
        <w:rPr>
          <w:sz w:val="26"/>
          <w:szCs w:val="26"/>
          <w:rtl/>
          <w:lang w:eastAsia="en-GB"/>
        </w:rPr>
        <w:t xml:space="preserve"> التبريد في ثلاثة بلدان (المقرر</w:t>
      </w:r>
      <w:r>
        <w:rPr>
          <w:rFonts w:hint="cs"/>
          <w:sz w:val="26"/>
          <w:szCs w:val="26"/>
          <w:rtl/>
          <w:lang w:eastAsia="en-GB"/>
        </w:rPr>
        <w:t> </w:t>
      </w:r>
      <w:r>
        <w:rPr>
          <w:sz w:val="26"/>
          <w:szCs w:val="26"/>
          <w:lang w:val="en-US" w:eastAsia="en-GB"/>
        </w:rPr>
        <w:t>97</w:t>
      </w:r>
      <w:r>
        <w:rPr>
          <w:rFonts w:hint="cs"/>
          <w:sz w:val="26"/>
          <w:szCs w:val="26"/>
          <w:rtl/>
          <w:lang w:val="en-US" w:eastAsia="en-GB" w:bidi="ar-AE"/>
        </w:rPr>
        <w:t>/</w:t>
      </w:r>
      <w:r>
        <w:rPr>
          <w:sz w:val="26"/>
          <w:szCs w:val="26"/>
          <w:lang w:val="en-US" w:eastAsia="en-GB" w:bidi="ar-AE"/>
        </w:rPr>
        <w:t>35</w:t>
      </w:r>
      <w:r>
        <w:rPr>
          <w:sz w:val="26"/>
          <w:szCs w:val="26"/>
          <w:rtl/>
          <w:lang w:eastAsia="en-GB"/>
        </w:rPr>
        <w:t>).</w:t>
      </w:r>
    </w:p>
    <w:p w14:paraId="770B8779" w14:textId="75B3216D" w:rsidR="00901643" w:rsidRPr="00901643" w:rsidRDefault="00901643" w:rsidP="003B64CF">
      <w:pPr>
        <w:pStyle w:val="Heading3"/>
        <w:numPr>
          <w:ilvl w:val="2"/>
          <w:numId w:val="16"/>
        </w:numPr>
        <w:bidi/>
        <w:spacing w:line="288" w:lineRule="auto"/>
        <w:ind w:left="720" w:firstLine="0"/>
        <w:rPr>
          <w:sz w:val="26"/>
          <w:szCs w:val="26"/>
          <w:lang w:eastAsia="en-GB"/>
        </w:rPr>
      </w:pPr>
      <w:r>
        <w:rPr>
          <w:sz w:val="26"/>
          <w:szCs w:val="26"/>
          <w:rtl/>
          <w:lang w:eastAsia="en-GB"/>
        </w:rPr>
        <w:t xml:space="preserve">في الاجتماع الثامن والتسعين، وافقت اللجنة التنفيذية على شرائح من خطط إدارة إزالة المواد الهيدروكلوروفلوروكربونية لـ </w:t>
      </w:r>
      <w:r>
        <w:rPr>
          <w:sz w:val="26"/>
          <w:szCs w:val="26"/>
          <w:lang w:eastAsia="en-GB"/>
        </w:rPr>
        <w:t>17</w:t>
      </w:r>
      <w:r>
        <w:rPr>
          <w:sz w:val="26"/>
          <w:szCs w:val="26"/>
          <w:rtl/>
          <w:lang w:eastAsia="en-GB"/>
        </w:rPr>
        <w:t xml:space="preserve"> بلداً (المقررات</w:t>
      </w:r>
      <w:r>
        <w:rPr>
          <w:rFonts w:hint="cs"/>
          <w:sz w:val="26"/>
          <w:szCs w:val="26"/>
          <w:rtl/>
          <w:lang w:eastAsia="en-GB" w:bidi="ar-AE"/>
        </w:rPr>
        <w:t> </w:t>
      </w:r>
      <w:r>
        <w:rPr>
          <w:sz w:val="26"/>
          <w:szCs w:val="26"/>
          <w:lang w:val="en-US" w:eastAsia="en-GB" w:bidi="ar-AE"/>
        </w:rPr>
        <w:t>98</w:t>
      </w:r>
      <w:r>
        <w:rPr>
          <w:rFonts w:hint="cs"/>
          <w:sz w:val="26"/>
          <w:szCs w:val="26"/>
          <w:rtl/>
          <w:lang w:val="en-US" w:eastAsia="en-GB" w:bidi="ar-AE"/>
        </w:rPr>
        <w:t>/</w:t>
      </w:r>
      <w:r>
        <w:rPr>
          <w:sz w:val="26"/>
          <w:szCs w:val="26"/>
          <w:lang w:val="en-US" w:eastAsia="en-GB" w:bidi="ar-AE"/>
        </w:rPr>
        <w:t>26</w:t>
      </w:r>
      <w:r>
        <w:rPr>
          <w:rFonts w:hint="cs"/>
          <w:sz w:val="26"/>
          <w:szCs w:val="26"/>
          <w:rtl/>
          <w:lang w:val="en-US" w:eastAsia="en-GB" w:bidi="ar-AE"/>
        </w:rPr>
        <w:t>، و</w:t>
      </w:r>
      <w:r>
        <w:rPr>
          <w:sz w:val="26"/>
          <w:szCs w:val="26"/>
          <w:lang w:val="en-US" w:eastAsia="en-GB" w:bidi="ar-AE"/>
        </w:rPr>
        <w:t>98</w:t>
      </w:r>
      <w:r>
        <w:rPr>
          <w:rFonts w:hint="cs"/>
          <w:sz w:val="26"/>
          <w:szCs w:val="26"/>
          <w:rtl/>
          <w:lang w:val="en-US" w:eastAsia="en-GB" w:bidi="ar-AE"/>
        </w:rPr>
        <w:t>/</w:t>
      </w:r>
      <w:r>
        <w:rPr>
          <w:sz w:val="26"/>
          <w:szCs w:val="26"/>
          <w:lang w:val="en-US" w:eastAsia="en-GB" w:bidi="ar-AE"/>
        </w:rPr>
        <w:t>32</w:t>
      </w:r>
      <w:r>
        <w:rPr>
          <w:rFonts w:hint="cs"/>
          <w:sz w:val="26"/>
          <w:szCs w:val="26"/>
          <w:rtl/>
          <w:lang w:val="en-US" w:eastAsia="en-GB" w:bidi="ar-AE"/>
        </w:rPr>
        <w:t>، و</w:t>
      </w:r>
      <w:r>
        <w:rPr>
          <w:sz w:val="26"/>
          <w:szCs w:val="26"/>
          <w:lang w:val="en-US" w:eastAsia="en-GB" w:bidi="ar-AE"/>
        </w:rPr>
        <w:t>98</w:t>
      </w:r>
      <w:r>
        <w:rPr>
          <w:rFonts w:hint="cs"/>
          <w:sz w:val="26"/>
          <w:szCs w:val="26"/>
          <w:rtl/>
          <w:lang w:val="en-US" w:eastAsia="en-GB" w:bidi="ar-AE"/>
        </w:rPr>
        <w:t>/</w:t>
      </w:r>
      <w:r>
        <w:rPr>
          <w:sz w:val="26"/>
          <w:szCs w:val="26"/>
          <w:lang w:val="en-US" w:eastAsia="en-GB" w:bidi="ar-AE"/>
        </w:rPr>
        <w:t>34</w:t>
      </w:r>
      <w:r>
        <w:rPr>
          <w:sz w:val="26"/>
          <w:szCs w:val="26"/>
          <w:rtl/>
          <w:lang w:eastAsia="en-GB"/>
        </w:rPr>
        <w:t>)؛ وعلى الشريحة الأولى من المرحلة الثانية من خطة إدارة إزالة المواد الهيدروكلوروفلوروكربونية لبلدين (المقرران</w:t>
      </w:r>
      <w:r>
        <w:rPr>
          <w:rFonts w:hint="cs"/>
          <w:sz w:val="26"/>
          <w:szCs w:val="26"/>
          <w:rtl/>
          <w:lang w:eastAsia="en-GB"/>
        </w:rPr>
        <w:t> </w:t>
      </w:r>
      <w:r>
        <w:rPr>
          <w:sz w:val="26"/>
          <w:szCs w:val="26"/>
          <w:lang w:val="en-US" w:eastAsia="en-GB"/>
        </w:rPr>
        <w:t>98</w:t>
      </w:r>
      <w:r>
        <w:rPr>
          <w:rFonts w:hint="cs"/>
          <w:sz w:val="26"/>
          <w:szCs w:val="26"/>
          <w:rtl/>
          <w:lang w:val="en-US" w:eastAsia="en-GB" w:bidi="ar-AE"/>
        </w:rPr>
        <w:t>/</w:t>
      </w:r>
      <w:r>
        <w:rPr>
          <w:sz w:val="26"/>
          <w:szCs w:val="26"/>
          <w:lang w:val="en-US" w:eastAsia="en-GB" w:bidi="ar-AE"/>
        </w:rPr>
        <w:t>36</w:t>
      </w:r>
      <w:r>
        <w:rPr>
          <w:rFonts w:hint="cs"/>
          <w:sz w:val="26"/>
          <w:szCs w:val="26"/>
          <w:rtl/>
          <w:lang w:val="en-US" w:eastAsia="en-GB" w:bidi="ar-AE"/>
        </w:rPr>
        <w:t>، و</w:t>
      </w:r>
      <w:r>
        <w:rPr>
          <w:sz w:val="26"/>
          <w:szCs w:val="26"/>
          <w:lang w:val="en-US" w:eastAsia="en-GB" w:bidi="ar-AE"/>
        </w:rPr>
        <w:t>98</w:t>
      </w:r>
      <w:r>
        <w:rPr>
          <w:rFonts w:hint="cs"/>
          <w:sz w:val="26"/>
          <w:szCs w:val="26"/>
          <w:rtl/>
          <w:lang w:val="en-US" w:eastAsia="en-GB" w:bidi="ar-AE"/>
        </w:rPr>
        <w:t>/</w:t>
      </w:r>
      <w:r>
        <w:rPr>
          <w:sz w:val="26"/>
          <w:szCs w:val="26"/>
          <w:lang w:val="en-US" w:eastAsia="en-GB" w:bidi="ar-AE"/>
        </w:rPr>
        <w:t>37</w:t>
      </w:r>
      <w:r>
        <w:rPr>
          <w:sz w:val="26"/>
          <w:szCs w:val="26"/>
          <w:rtl/>
          <w:lang w:eastAsia="en-GB"/>
        </w:rPr>
        <w:t>)؛ وعلى الشريحة الأولى من المرحلة الثالثة من خطط إدارة إزالة المواد الهيدروكلوروفلوروكربونية لستة بلدان (المقررات</w:t>
      </w:r>
      <w:r>
        <w:rPr>
          <w:rFonts w:hint="cs"/>
          <w:sz w:val="26"/>
          <w:szCs w:val="26"/>
          <w:rtl/>
          <w:lang w:eastAsia="en-GB"/>
        </w:rPr>
        <w:t> </w:t>
      </w:r>
      <w:r>
        <w:rPr>
          <w:sz w:val="26"/>
          <w:szCs w:val="26"/>
          <w:lang w:val="en-US" w:eastAsia="en-GB"/>
        </w:rPr>
        <w:t>98</w:t>
      </w:r>
      <w:r>
        <w:rPr>
          <w:rFonts w:hint="cs"/>
          <w:sz w:val="26"/>
          <w:szCs w:val="26"/>
          <w:rtl/>
          <w:lang w:val="en-US" w:eastAsia="en-GB" w:bidi="ar-AE"/>
        </w:rPr>
        <w:t>/</w:t>
      </w:r>
      <w:r>
        <w:rPr>
          <w:sz w:val="26"/>
          <w:szCs w:val="26"/>
          <w:lang w:val="en-US" w:eastAsia="en-GB" w:bidi="ar-AE"/>
        </w:rPr>
        <w:t>30</w:t>
      </w:r>
      <w:r>
        <w:rPr>
          <w:rFonts w:hint="cs"/>
          <w:sz w:val="26"/>
          <w:szCs w:val="26"/>
          <w:rtl/>
          <w:lang w:val="en-US" w:eastAsia="en-GB" w:bidi="ar-AE"/>
        </w:rPr>
        <w:t>، و</w:t>
      </w:r>
      <w:r>
        <w:rPr>
          <w:sz w:val="26"/>
          <w:szCs w:val="26"/>
          <w:lang w:val="en-US" w:eastAsia="en-GB" w:bidi="ar-AE"/>
        </w:rPr>
        <w:t>98</w:t>
      </w:r>
      <w:r>
        <w:rPr>
          <w:rFonts w:hint="cs"/>
          <w:sz w:val="26"/>
          <w:szCs w:val="26"/>
          <w:rtl/>
          <w:lang w:val="en-US" w:eastAsia="en-GB" w:bidi="ar-AE"/>
        </w:rPr>
        <w:t>/</w:t>
      </w:r>
      <w:r>
        <w:rPr>
          <w:sz w:val="26"/>
          <w:szCs w:val="26"/>
          <w:lang w:val="en-US" w:eastAsia="en-GB" w:bidi="ar-AE"/>
        </w:rPr>
        <w:t>31</w:t>
      </w:r>
      <w:r>
        <w:rPr>
          <w:rFonts w:hint="cs"/>
          <w:sz w:val="26"/>
          <w:szCs w:val="26"/>
          <w:rtl/>
          <w:lang w:val="en-US" w:eastAsia="en-GB" w:bidi="ar-AE"/>
        </w:rPr>
        <w:t>، و</w:t>
      </w:r>
      <w:r>
        <w:rPr>
          <w:sz w:val="26"/>
          <w:szCs w:val="26"/>
          <w:lang w:val="en-US" w:eastAsia="en-GB" w:bidi="ar-AE"/>
        </w:rPr>
        <w:t>98</w:t>
      </w:r>
      <w:r>
        <w:rPr>
          <w:rFonts w:hint="cs"/>
          <w:sz w:val="26"/>
          <w:szCs w:val="26"/>
          <w:rtl/>
          <w:lang w:val="en-US" w:eastAsia="en-GB" w:bidi="ar-AE"/>
        </w:rPr>
        <w:t>/</w:t>
      </w:r>
      <w:r>
        <w:rPr>
          <w:sz w:val="26"/>
          <w:szCs w:val="26"/>
          <w:lang w:val="en-US" w:eastAsia="en-GB" w:bidi="ar-AE"/>
        </w:rPr>
        <w:t>33</w:t>
      </w:r>
      <w:r>
        <w:rPr>
          <w:rFonts w:hint="cs"/>
          <w:sz w:val="26"/>
          <w:szCs w:val="26"/>
          <w:rtl/>
          <w:lang w:val="en-US" w:eastAsia="en-GB" w:bidi="ar-AE"/>
        </w:rPr>
        <w:t>، و</w:t>
      </w:r>
      <w:r>
        <w:rPr>
          <w:sz w:val="26"/>
          <w:szCs w:val="26"/>
          <w:lang w:val="en-US" w:eastAsia="en-GB" w:bidi="ar-AE"/>
        </w:rPr>
        <w:t>98</w:t>
      </w:r>
      <w:r>
        <w:rPr>
          <w:rFonts w:hint="cs"/>
          <w:sz w:val="26"/>
          <w:szCs w:val="26"/>
          <w:rtl/>
          <w:lang w:val="en-US" w:eastAsia="en-GB" w:bidi="ar-AE"/>
        </w:rPr>
        <w:t>/</w:t>
      </w:r>
      <w:r>
        <w:rPr>
          <w:sz w:val="26"/>
          <w:szCs w:val="26"/>
          <w:lang w:val="en-US" w:eastAsia="en-GB" w:bidi="ar-AE"/>
        </w:rPr>
        <w:t>38</w:t>
      </w:r>
      <w:r>
        <w:rPr>
          <w:rFonts w:hint="cs"/>
          <w:sz w:val="26"/>
          <w:szCs w:val="26"/>
          <w:rtl/>
          <w:lang w:val="en-US" w:eastAsia="en-GB" w:bidi="ar-AE"/>
        </w:rPr>
        <w:t xml:space="preserve"> إلى </w:t>
      </w:r>
      <w:r>
        <w:rPr>
          <w:sz w:val="26"/>
          <w:szCs w:val="26"/>
          <w:lang w:val="en-US" w:eastAsia="en-GB" w:bidi="ar-AE"/>
        </w:rPr>
        <w:t>98</w:t>
      </w:r>
      <w:r>
        <w:rPr>
          <w:rFonts w:hint="cs"/>
          <w:sz w:val="26"/>
          <w:szCs w:val="26"/>
          <w:rtl/>
          <w:lang w:val="en-US" w:eastAsia="en-GB" w:bidi="ar-AE"/>
        </w:rPr>
        <w:t>/</w:t>
      </w:r>
      <w:r>
        <w:rPr>
          <w:sz w:val="26"/>
          <w:szCs w:val="26"/>
          <w:lang w:val="en-US" w:eastAsia="en-GB" w:bidi="ar-AE"/>
        </w:rPr>
        <w:t>40</w:t>
      </w:r>
      <w:r>
        <w:rPr>
          <w:sz w:val="26"/>
          <w:szCs w:val="26"/>
          <w:rtl/>
          <w:lang w:eastAsia="en-GB"/>
        </w:rPr>
        <w:t>)؛ وعلى الشريحة الأولى من المرحلة الرابعة من خطة إدارة إزالة المواد الهيدروكلوروفلوروكربونية لبلد واحد (المقرر</w:t>
      </w:r>
      <w:r>
        <w:rPr>
          <w:rFonts w:hint="cs"/>
          <w:sz w:val="26"/>
          <w:szCs w:val="26"/>
          <w:rtl/>
          <w:lang w:eastAsia="en-GB"/>
        </w:rPr>
        <w:t> </w:t>
      </w:r>
      <w:r>
        <w:rPr>
          <w:sz w:val="26"/>
          <w:szCs w:val="26"/>
          <w:lang w:val="en-US" w:eastAsia="en-GB"/>
        </w:rPr>
        <w:t>98</w:t>
      </w:r>
      <w:r>
        <w:rPr>
          <w:rFonts w:hint="cs"/>
          <w:sz w:val="26"/>
          <w:szCs w:val="26"/>
          <w:rtl/>
          <w:lang w:val="en-US" w:eastAsia="en-GB" w:bidi="ar-AE"/>
        </w:rPr>
        <w:t>/</w:t>
      </w:r>
      <w:r>
        <w:rPr>
          <w:sz w:val="26"/>
          <w:szCs w:val="26"/>
          <w:lang w:val="en-US" w:eastAsia="en-GB" w:bidi="ar-AE"/>
        </w:rPr>
        <w:t>35</w:t>
      </w:r>
      <w:r>
        <w:rPr>
          <w:sz w:val="26"/>
          <w:szCs w:val="26"/>
          <w:rtl/>
          <w:lang w:eastAsia="en-GB"/>
        </w:rPr>
        <w:t>).</w:t>
      </w:r>
    </w:p>
    <w:p w14:paraId="1AFDE541" w14:textId="4A0FD5BF" w:rsidR="0035137B" w:rsidRPr="0035137B" w:rsidRDefault="0035137B" w:rsidP="003B64CF">
      <w:pPr>
        <w:pStyle w:val="Heading3"/>
        <w:numPr>
          <w:ilvl w:val="2"/>
          <w:numId w:val="16"/>
        </w:numPr>
        <w:bidi/>
        <w:spacing w:line="288" w:lineRule="auto"/>
        <w:ind w:left="720" w:firstLine="0"/>
        <w:rPr>
          <w:sz w:val="26"/>
          <w:szCs w:val="26"/>
          <w:lang w:eastAsia="en-GB"/>
        </w:rPr>
      </w:pPr>
      <w:r>
        <w:rPr>
          <w:sz w:val="26"/>
          <w:szCs w:val="26"/>
          <w:rtl/>
          <w:lang w:eastAsia="en-GB"/>
        </w:rPr>
        <w:t xml:space="preserve">وفي الاجتماع الثامن والتسعين أيضاً، وافقت اللجنة التنفيذية على مقترحات مشاريع فردية تتعلق </w:t>
      </w:r>
      <w:r>
        <w:rPr>
          <w:sz w:val="26"/>
          <w:szCs w:val="26"/>
          <w:rtl/>
          <w:lang w:eastAsia="en-GB"/>
        </w:rPr>
        <w:lastRenderedPageBreak/>
        <w:t xml:space="preserve">بأنشطة إضافية لإدخال بدائل للمواد الهيدروكلوروفلوروكربونية ذات القدرة المنخفضة أو المعدومة على إحداث الاحترار العالمي، وللحفاظ على كفاءة استخدام الطاقة في قطاع </w:t>
      </w:r>
      <w:r>
        <w:rPr>
          <w:rFonts w:hint="cs"/>
          <w:sz w:val="26"/>
          <w:szCs w:val="26"/>
          <w:rtl/>
          <w:lang w:eastAsia="en-GB"/>
        </w:rPr>
        <w:t>خدمات</w:t>
      </w:r>
      <w:r>
        <w:rPr>
          <w:sz w:val="26"/>
          <w:szCs w:val="26"/>
          <w:rtl/>
          <w:lang w:eastAsia="en-GB"/>
        </w:rPr>
        <w:t xml:space="preserve"> التبريد في خمسة بلدان (المقرر</w:t>
      </w:r>
      <w:r>
        <w:rPr>
          <w:rFonts w:hint="eastAsia"/>
          <w:sz w:val="26"/>
          <w:szCs w:val="26"/>
          <w:rtl/>
          <w:lang w:eastAsia="en-GB"/>
        </w:rPr>
        <w:t> </w:t>
      </w:r>
      <w:r>
        <w:rPr>
          <w:sz w:val="26"/>
          <w:szCs w:val="26"/>
          <w:lang w:val="en-US" w:eastAsia="en-GB"/>
        </w:rPr>
        <w:t>98</w:t>
      </w:r>
      <w:r>
        <w:rPr>
          <w:rFonts w:hint="cs"/>
          <w:sz w:val="26"/>
          <w:szCs w:val="26"/>
          <w:rtl/>
          <w:lang w:val="en-US" w:eastAsia="en-GB" w:bidi="ar-AE"/>
        </w:rPr>
        <w:t>/</w:t>
      </w:r>
      <w:r>
        <w:rPr>
          <w:sz w:val="26"/>
          <w:szCs w:val="26"/>
          <w:lang w:val="en-US" w:eastAsia="en-GB" w:bidi="ar-AE"/>
        </w:rPr>
        <w:t>26</w:t>
      </w:r>
      <w:r>
        <w:rPr>
          <w:sz w:val="26"/>
          <w:szCs w:val="26"/>
          <w:rtl/>
          <w:lang w:eastAsia="en-GB"/>
        </w:rPr>
        <w:t>).</w:t>
      </w:r>
    </w:p>
    <w:p w14:paraId="60BDAC68" w14:textId="7E137090" w:rsidR="0035137B" w:rsidRPr="0035137B" w:rsidRDefault="0035137B" w:rsidP="00E07C9A">
      <w:pPr>
        <w:pStyle w:val="Heading1"/>
        <w:numPr>
          <w:ilvl w:val="0"/>
          <w:numId w:val="0"/>
        </w:numPr>
        <w:bidi/>
        <w:ind w:left="720"/>
        <w:rPr>
          <w:sz w:val="26"/>
          <w:szCs w:val="26"/>
          <w:u w:val="single"/>
          <w:lang w:val="en-GB" w:bidi="ar-AE"/>
        </w:rPr>
      </w:pPr>
      <w:r>
        <w:rPr>
          <w:sz w:val="26"/>
          <w:szCs w:val="26"/>
          <w:u w:val="single"/>
          <w:rtl/>
          <w:lang w:val="en-GB" w:bidi="ar-AE"/>
        </w:rPr>
        <w:t>المشروعات المتعلقة بالمواد الهيدروفلوروكربونية</w:t>
      </w:r>
    </w:p>
    <w:p w14:paraId="009E0211" w14:textId="45FD04DE" w:rsidR="0035137B" w:rsidRPr="0035137B" w:rsidRDefault="0035137B" w:rsidP="003B64CF">
      <w:pPr>
        <w:pStyle w:val="Heading3"/>
        <w:numPr>
          <w:ilvl w:val="2"/>
          <w:numId w:val="16"/>
        </w:numPr>
        <w:bidi/>
        <w:spacing w:line="288" w:lineRule="auto"/>
        <w:ind w:left="720" w:firstLine="0"/>
        <w:rPr>
          <w:sz w:val="26"/>
          <w:szCs w:val="26"/>
          <w:lang w:eastAsia="en-GB"/>
        </w:rPr>
      </w:pPr>
      <w:r>
        <w:rPr>
          <w:sz w:val="26"/>
          <w:szCs w:val="26"/>
          <w:rtl/>
          <w:lang w:eastAsia="en-GB"/>
        </w:rPr>
        <w:t>وافقت اللجنة التنفيذية في الاجتماع السابع والتسعين، من حيث المبدأ، على المرحلة الأولى من خطط التنفيذ المتعلقة بالمواد الهيدروفلوروكربونية بموجب تعديل كيغالي لنحو</w:t>
      </w:r>
      <w:r>
        <w:rPr>
          <w:rFonts w:hint="cs"/>
          <w:sz w:val="26"/>
          <w:szCs w:val="26"/>
          <w:rtl/>
          <w:lang w:eastAsia="en-GB"/>
        </w:rPr>
        <w:t> </w:t>
      </w:r>
      <w:r>
        <w:rPr>
          <w:sz w:val="26"/>
          <w:szCs w:val="26"/>
          <w:lang w:eastAsia="en-GB"/>
        </w:rPr>
        <w:t>11</w:t>
      </w:r>
      <w:r>
        <w:rPr>
          <w:sz w:val="26"/>
          <w:szCs w:val="26"/>
          <w:rtl/>
          <w:lang w:eastAsia="en-GB"/>
        </w:rPr>
        <w:t xml:space="preserve"> بلداً، كما وافقت على الشريحة الأولى من التمويل لكل منها (المقررات من</w:t>
      </w:r>
      <w:r>
        <w:rPr>
          <w:rFonts w:hint="cs"/>
          <w:sz w:val="26"/>
          <w:szCs w:val="26"/>
          <w:rtl/>
          <w:lang w:eastAsia="en-GB"/>
        </w:rPr>
        <w:t xml:space="preserve"> </w:t>
      </w:r>
      <w:r>
        <w:rPr>
          <w:sz w:val="26"/>
          <w:szCs w:val="26"/>
          <w:lang w:val="en-US" w:eastAsia="en-GB"/>
        </w:rPr>
        <w:t>97</w:t>
      </w:r>
      <w:r>
        <w:rPr>
          <w:rFonts w:hint="cs"/>
          <w:sz w:val="26"/>
          <w:szCs w:val="26"/>
          <w:rtl/>
          <w:lang w:val="en-US" w:eastAsia="en-GB" w:bidi="ar-AE"/>
        </w:rPr>
        <w:t>/</w:t>
      </w:r>
      <w:r>
        <w:rPr>
          <w:sz w:val="26"/>
          <w:szCs w:val="26"/>
          <w:lang w:val="en-US" w:eastAsia="en-GB" w:bidi="ar-AE"/>
        </w:rPr>
        <w:t>56</w:t>
      </w:r>
      <w:r>
        <w:rPr>
          <w:rFonts w:hint="cs"/>
          <w:sz w:val="26"/>
          <w:szCs w:val="26"/>
          <w:rtl/>
          <w:lang w:val="en-US" w:eastAsia="en-GB" w:bidi="ar-AE"/>
        </w:rPr>
        <w:t xml:space="preserve"> </w:t>
      </w:r>
      <w:r>
        <w:rPr>
          <w:sz w:val="26"/>
          <w:szCs w:val="26"/>
          <w:rtl/>
          <w:lang w:eastAsia="en-GB"/>
        </w:rPr>
        <w:t>إلى</w:t>
      </w:r>
      <w:r>
        <w:rPr>
          <w:rFonts w:hint="cs"/>
          <w:sz w:val="26"/>
          <w:szCs w:val="26"/>
          <w:rtl/>
          <w:lang w:eastAsia="en-GB"/>
        </w:rPr>
        <w:t xml:space="preserve"> </w:t>
      </w:r>
      <w:r>
        <w:rPr>
          <w:sz w:val="26"/>
          <w:szCs w:val="26"/>
          <w:lang w:val="en-US" w:eastAsia="en-GB"/>
        </w:rPr>
        <w:t>97</w:t>
      </w:r>
      <w:r>
        <w:rPr>
          <w:rFonts w:hint="cs"/>
          <w:sz w:val="26"/>
          <w:szCs w:val="26"/>
          <w:rtl/>
          <w:lang w:val="en-US" w:eastAsia="en-GB" w:bidi="ar-AE"/>
        </w:rPr>
        <w:t>/</w:t>
      </w:r>
      <w:r>
        <w:rPr>
          <w:sz w:val="26"/>
          <w:szCs w:val="26"/>
          <w:lang w:val="en-US" w:eastAsia="en-GB" w:bidi="ar-AE"/>
        </w:rPr>
        <w:t>61</w:t>
      </w:r>
      <w:r>
        <w:rPr>
          <w:sz w:val="26"/>
          <w:szCs w:val="26"/>
          <w:rtl/>
          <w:lang w:eastAsia="en-GB"/>
        </w:rPr>
        <w:t>، و</w:t>
      </w:r>
      <w:r>
        <w:rPr>
          <w:sz w:val="26"/>
          <w:szCs w:val="26"/>
          <w:lang w:val="en-US" w:eastAsia="en-GB"/>
        </w:rPr>
        <w:t>97</w:t>
      </w:r>
      <w:r>
        <w:rPr>
          <w:rFonts w:hint="cs"/>
          <w:sz w:val="26"/>
          <w:szCs w:val="26"/>
          <w:rtl/>
          <w:lang w:val="en-US" w:eastAsia="en-GB" w:bidi="ar-AE"/>
        </w:rPr>
        <w:t>/</w:t>
      </w:r>
      <w:r>
        <w:rPr>
          <w:sz w:val="26"/>
          <w:szCs w:val="26"/>
          <w:lang w:val="en-US" w:eastAsia="en-GB" w:bidi="ar-AE"/>
        </w:rPr>
        <w:t>63</w:t>
      </w:r>
      <w:r>
        <w:rPr>
          <w:sz w:val="26"/>
          <w:szCs w:val="26"/>
          <w:rtl/>
          <w:lang w:eastAsia="en-GB"/>
        </w:rPr>
        <w:t>، و</w:t>
      </w:r>
      <w:r>
        <w:rPr>
          <w:sz w:val="26"/>
          <w:szCs w:val="26"/>
          <w:lang w:val="en-US" w:eastAsia="en-GB"/>
        </w:rPr>
        <w:t>97</w:t>
      </w:r>
      <w:r>
        <w:rPr>
          <w:rFonts w:hint="cs"/>
          <w:sz w:val="26"/>
          <w:szCs w:val="26"/>
          <w:rtl/>
          <w:lang w:val="en-US" w:eastAsia="en-GB" w:bidi="ar-AE"/>
        </w:rPr>
        <w:t>/</w:t>
      </w:r>
      <w:r>
        <w:rPr>
          <w:sz w:val="26"/>
          <w:szCs w:val="26"/>
          <w:lang w:val="en-US" w:eastAsia="en-GB" w:bidi="ar-AE"/>
        </w:rPr>
        <w:t>65</w:t>
      </w:r>
      <w:r>
        <w:rPr>
          <w:sz w:val="26"/>
          <w:szCs w:val="26"/>
          <w:rtl/>
          <w:lang w:eastAsia="en-GB"/>
        </w:rPr>
        <w:t>، ومن</w:t>
      </w:r>
      <w:r>
        <w:rPr>
          <w:rFonts w:hint="cs"/>
          <w:sz w:val="26"/>
          <w:szCs w:val="26"/>
          <w:rtl/>
          <w:lang w:eastAsia="en-GB"/>
        </w:rPr>
        <w:t xml:space="preserve"> </w:t>
      </w:r>
      <w:r>
        <w:rPr>
          <w:sz w:val="26"/>
          <w:szCs w:val="26"/>
          <w:lang w:val="en-US" w:eastAsia="en-GB"/>
        </w:rPr>
        <w:t>97</w:t>
      </w:r>
      <w:r>
        <w:rPr>
          <w:rFonts w:hint="cs"/>
          <w:sz w:val="26"/>
          <w:szCs w:val="26"/>
          <w:rtl/>
          <w:lang w:val="en-US" w:eastAsia="en-GB" w:bidi="ar-AE"/>
        </w:rPr>
        <w:t>/</w:t>
      </w:r>
      <w:r>
        <w:rPr>
          <w:sz w:val="26"/>
          <w:szCs w:val="26"/>
          <w:lang w:val="en-US" w:eastAsia="en-GB" w:bidi="ar-AE"/>
        </w:rPr>
        <w:t>67</w:t>
      </w:r>
      <w:r>
        <w:rPr>
          <w:sz w:val="26"/>
          <w:szCs w:val="26"/>
          <w:rtl/>
          <w:lang w:eastAsia="en-GB"/>
        </w:rPr>
        <w:t xml:space="preserve"> إلى</w:t>
      </w:r>
      <w:r>
        <w:rPr>
          <w:rFonts w:hint="cs"/>
          <w:sz w:val="26"/>
          <w:szCs w:val="26"/>
          <w:rtl/>
          <w:lang w:eastAsia="en-GB"/>
        </w:rPr>
        <w:t xml:space="preserve"> </w:t>
      </w:r>
      <w:r>
        <w:rPr>
          <w:sz w:val="26"/>
          <w:szCs w:val="26"/>
          <w:lang w:val="en-US" w:eastAsia="en-GB"/>
        </w:rPr>
        <w:t>97</w:t>
      </w:r>
      <w:r>
        <w:rPr>
          <w:rFonts w:hint="cs"/>
          <w:sz w:val="26"/>
          <w:szCs w:val="26"/>
          <w:rtl/>
          <w:lang w:val="en-US" w:eastAsia="en-GB" w:bidi="ar-AE"/>
        </w:rPr>
        <w:t>/</w:t>
      </w:r>
      <w:r>
        <w:rPr>
          <w:sz w:val="26"/>
          <w:szCs w:val="26"/>
          <w:lang w:val="en-US" w:eastAsia="en-GB" w:bidi="ar-AE"/>
        </w:rPr>
        <w:t>69</w:t>
      </w:r>
      <w:r>
        <w:rPr>
          <w:sz w:val="26"/>
          <w:szCs w:val="26"/>
          <w:rtl/>
          <w:lang w:eastAsia="en-GB"/>
        </w:rPr>
        <w:t>). ووافقت اللجنة على شرائح من خطط التنفيذ المتعلقة بالمواد الهيدروفلوروكربونية بموجب تعديل كيغالي لبلدين (المقرر</w:t>
      </w:r>
      <w:r>
        <w:rPr>
          <w:rFonts w:hint="cs"/>
          <w:sz w:val="26"/>
          <w:szCs w:val="26"/>
          <w:rtl/>
          <w:lang w:eastAsia="en-GB"/>
        </w:rPr>
        <w:t> </w:t>
      </w:r>
      <w:r>
        <w:rPr>
          <w:sz w:val="26"/>
          <w:szCs w:val="26"/>
          <w:lang w:val="en-US" w:eastAsia="en-GB"/>
        </w:rPr>
        <w:t>97</w:t>
      </w:r>
      <w:r>
        <w:rPr>
          <w:rFonts w:hint="cs"/>
          <w:sz w:val="26"/>
          <w:szCs w:val="26"/>
          <w:rtl/>
          <w:lang w:val="en-US" w:eastAsia="en-GB" w:bidi="ar-AE"/>
        </w:rPr>
        <w:t>/</w:t>
      </w:r>
      <w:r>
        <w:rPr>
          <w:sz w:val="26"/>
          <w:szCs w:val="26"/>
          <w:lang w:val="en-US" w:eastAsia="en-GB" w:bidi="ar-AE"/>
        </w:rPr>
        <w:t>35</w:t>
      </w:r>
      <w:r>
        <w:rPr>
          <w:sz w:val="26"/>
          <w:szCs w:val="26"/>
          <w:rtl/>
          <w:lang w:eastAsia="en-GB"/>
        </w:rPr>
        <w:t>)، والشريحتين الثانية والثالثة من مشروع التحكم في انبعاثات مادة الهيدروفلوروكربون-</w:t>
      </w:r>
      <w:r>
        <w:rPr>
          <w:sz w:val="26"/>
          <w:szCs w:val="26"/>
          <w:lang w:eastAsia="en-GB"/>
        </w:rPr>
        <w:t>23</w:t>
      </w:r>
      <w:r>
        <w:rPr>
          <w:sz w:val="26"/>
          <w:szCs w:val="26"/>
          <w:rtl/>
          <w:lang w:eastAsia="en-GB"/>
        </w:rPr>
        <w:t xml:space="preserve"> </w:t>
      </w:r>
      <w:r>
        <w:rPr>
          <w:rFonts w:hint="cs"/>
          <w:sz w:val="26"/>
          <w:szCs w:val="26"/>
          <w:rtl/>
          <w:lang w:eastAsia="en-GB"/>
        </w:rPr>
        <w:t>الناجم</w:t>
      </w:r>
      <w:r>
        <w:rPr>
          <w:sz w:val="26"/>
          <w:szCs w:val="26"/>
          <w:rtl/>
          <w:lang w:eastAsia="en-GB"/>
        </w:rPr>
        <w:t xml:space="preserve"> عن إنتاج مادة الهيدروكلوروفلوروكربون-</w:t>
      </w:r>
      <w:r>
        <w:rPr>
          <w:sz w:val="26"/>
          <w:szCs w:val="26"/>
          <w:lang w:eastAsia="en-GB"/>
        </w:rPr>
        <w:t>22</w:t>
      </w:r>
      <w:r>
        <w:rPr>
          <w:sz w:val="26"/>
          <w:szCs w:val="26"/>
          <w:rtl/>
          <w:lang w:eastAsia="en-GB"/>
        </w:rPr>
        <w:t xml:space="preserve"> في بلد واحد (المقرر</w:t>
      </w:r>
      <w:r>
        <w:rPr>
          <w:rFonts w:hint="cs"/>
          <w:sz w:val="26"/>
          <w:szCs w:val="26"/>
          <w:rtl/>
          <w:lang w:eastAsia="en-GB" w:bidi="ar-AE"/>
        </w:rPr>
        <w:t> </w:t>
      </w:r>
      <w:r>
        <w:rPr>
          <w:sz w:val="26"/>
          <w:szCs w:val="26"/>
          <w:lang w:val="en-US" w:eastAsia="en-GB" w:bidi="ar-AE"/>
        </w:rPr>
        <w:t>97</w:t>
      </w:r>
      <w:r>
        <w:rPr>
          <w:rFonts w:hint="cs"/>
          <w:sz w:val="26"/>
          <w:szCs w:val="26"/>
          <w:rtl/>
          <w:lang w:val="en-US" w:eastAsia="en-GB" w:bidi="ar-AE"/>
        </w:rPr>
        <w:t>/</w:t>
      </w:r>
      <w:r>
        <w:rPr>
          <w:sz w:val="26"/>
          <w:szCs w:val="26"/>
          <w:lang w:val="en-US" w:eastAsia="en-GB" w:bidi="ar-AE"/>
        </w:rPr>
        <w:t>41</w:t>
      </w:r>
      <w:r>
        <w:rPr>
          <w:sz w:val="26"/>
          <w:szCs w:val="26"/>
          <w:rtl/>
          <w:lang w:eastAsia="en-GB"/>
        </w:rPr>
        <w:t>). وأرجأت اللجنة التنفيذية إلى الاجتماع الثامن والتسعين النظر في خطة التنفيذ المتعلقة بالمواد الهيدروفلوروكربونية بموجب تعديل كيغالي لبلد واحد (المقرر</w:t>
      </w:r>
      <w:r>
        <w:rPr>
          <w:rFonts w:hint="cs"/>
          <w:sz w:val="26"/>
          <w:szCs w:val="26"/>
          <w:rtl/>
          <w:lang w:eastAsia="en-GB"/>
        </w:rPr>
        <w:t> </w:t>
      </w:r>
      <w:r>
        <w:rPr>
          <w:sz w:val="26"/>
          <w:szCs w:val="26"/>
          <w:lang w:val="en-US" w:eastAsia="en-GB"/>
        </w:rPr>
        <w:t>97</w:t>
      </w:r>
      <w:r>
        <w:rPr>
          <w:rFonts w:hint="cs"/>
          <w:sz w:val="26"/>
          <w:szCs w:val="26"/>
          <w:rtl/>
          <w:lang w:val="en-US" w:eastAsia="en-GB" w:bidi="ar-AE"/>
        </w:rPr>
        <w:t>/</w:t>
      </w:r>
      <w:r>
        <w:rPr>
          <w:sz w:val="26"/>
          <w:szCs w:val="26"/>
          <w:lang w:val="en-US" w:eastAsia="en-GB" w:bidi="ar-AE"/>
        </w:rPr>
        <w:t>64</w:t>
      </w:r>
      <w:r>
        <w:rPr>
          <w:sz w:val="26"/>
          <w:szCs w:val="26"/>
          <w:rtl/>
          <w:lang w:eastAsia="en-GB"/>
        </w:rPr>
        <w:t>) وشريحة من خطة التنفيذ المتعلقة بالمواد الهيدروفلوروكربونية بموجب تعديل كيغالي لبلد آخر (المقرر</w:t>
      </w:r>
      <w:r>
        <w:rPr>
          <w:rFonts w:hint="cs"/>
          <w:sz w:val="26"/>
          <w:szCs w:val="26"/>
          <w:rtl/>
          <w:lang w:eastAsia="en-GB"/>
        </w:rPr>
        <w:t> </w:t>
      </w:r>
      <w:r>
        <w:rPr>
          <w:sz w:val="26"/>
          <w:szCs w:val="26"/>
          <w:lang w:val="en-US" w:eastAsia="en-GB"/>
        </w:rPr>
        <w:t>97</w:t>
      </w:r>
      <w:r>
        <w:rPr>
          <w:rFonts w:hint="cs"/>
          <w:sz w:val="26"/>
          <w:szCs w:val="26"/>
          <w:rtl/>
          <w:lang w:val="en-US" w:eastAsia="en-GB" w:bidi="ar-AE"/>
        </w:rPr>
        <w:t>/</w:t>
      </w:r>
      <w:r>
        <w:rPr>
          <w:sz w:val="26"/>
          <w:szCs w:val="26"/>
          <w:lang w:val="en-US" w:eastAsia="en-GB" w:bidi="ar-AE"/>
        </w:rPr>
        <w:t>62</w:t>
      </w:r>
      <w:r>
        <w:rPr>
          <w:sz w:val="26"/>
          <w:szCs w:val="26"/>
          <w:rtl/>
          <w:lang w:eastAsia="en-GB"/>
        </w:rPr>
        <w:t>).</w:t>
      </w:r>
    </w:p>
    <w:p w14:paraId="23849526" w14:textId="742AAC66" w:rsidR="00A15FE1" w:rsidRPr="00A15FE1" w:rsidRDefault="004E491C" w:rsidP="003B64CF">
      <w:pPr>
        <w:pStyle w:val="Heading3"/>
        <w:numPr>
          <w:ilvl w:val="2"/>
          <w:numId w:val="16"/>
        </w:numPr>
        <w:bidi/>
        <w:spacing w:line="288" w:lineRule="auto"/>
        <w:ind w:left="720" w:firstLine="0"/>
        <w:rPr>
          <w:sz w:val="26"/>
          <w:szCs w:val="26"/>
          <w:lang w:eastAsia="en-GB"/>
        </w:rPr>
      </w:pPr>
      <w:r>
        <w:rPr>
          <w:sz w:val="26"/>
          <w:szCs w:val="26"/>
          <w:rtl/>
          <w:lang w:eastAsia="en-GB"/>
        </w:rPr>
        <w:t xml:space="preserve">وفي الاجتماع السابع والتسعين أيضاً، </w:t>
      </w:r>
      <w:r>
        <w:rPr>
          <w:rFonts w:hint="cs"/>
          <w:sz w:val="26"/>
          <w:szCs w:val="26"/>
          <w:rtl/>
          <w:lang w:eastAsia="en-GB"/>
        </w:rPr>
        <w:t>و</w:t>
      </w:r>
      <w:r>
        <w:rPr>
          <w:sz w:val="26"/>
          <w:szCs w:val="26"/>
          <w:rtl/>
          <w:lang w:eastAsia="en-GB"/>
        </w:rPr>
        <w:t xml:space="preserve">فيما يتعلق بالمشاريع </w:t>
      </w:r>
      <w:r>
        <w:rPr>
          <w:rFonts w:hint="cs"/>
          <w:sz w:val="26"/>
          <w:szCs w:val="26"/>
          <w:rtl/>
          <w:lang w:eastAsia="en-GB"/>
        </w:rPr>
        <w:t>القائمة بذاتها</w:t>
      </w:r>
      <w:r>
        <w:rPr>
          <w:sz w:val="26"/>
          <w:szCs w:val="26"/>
          <w:rtl/>
          <w:lang w:eastAsia="en-GB"/>
        </w:rPr>
        <w:t xml:space="preserve"> المتعلقة </w:t>
      </w:r>
      <w:r>
        <w:rPr>
          <w:rFonts w:hint="cs"/>
          <w:sz w:val="26"/>
          <w:szCs w:val="26"/>
          <w:rtl/>
          <w:lang w:eastAsia="en-GB"/>
        </w:rPr>
        <w:t xml:space="preserve">بالحفاظ على </w:t>
      </w:r>
      <w:r>
        <w:rPr>
          <w:sz w:val="26"/>
          <w:szCs w:val="26"/>
          <w:rtl/>
          <w:lang w:eastAsia="en-GB"/>
        </w:rPr>
        <w:t>كفاءة استخدام الطاقة في سياق التخفيض التدريجي للمواد الهيدروفلوروكربونية، وافقت اللجنة على مشاريع غير استثمارية تجريبية بموجب المقرر</w:t>
      </w:r>
      <w:r>
        <w:rPr>
          <w:rFonts w:hint="cs"/>
          <w:sz w:val="26"/>
          <w:szCs w:val="26"/>
          <w:rtl/>
          <w:lang w:eastAsia="en-GB"/>
        </w:rPr>
        <w:t> </w:t>
      </w:r>
      <w:r>
        <w:rPr>
          <w:sz w:val="26"/>
          <w:szCs w:val="26"/>
          <w:lang w:val="en-US" w:eastAsia="en-GB"/>
        </w:rPr>
        <w:t>91</w:t>
      </w:r>
      <w:r>
        <w:rPr>
          <w:rFonts w:hint="cs"/>
          <w:sz w:val="26"/>
          <w:szCs w:val="26"/>
          <w:rtl/>
          <w:lang w:val="en-US" w:eastAsia="en-GB" w:bidi="ar-AE"/>
        </w:rPr>
        <w:t>/</w:t>
      </w:r>
      <w:r>
        <w:rPr>
          <w:sz w:val="26"/>
          <w:szCs w:val="26"/>
          <w:lang w:val="en-US" w:eastAsia="en-GB" w:bidi="ar-AE"/>
        </w:rPr>
        <w:t>65</w:t>
      </w:r>
      <w:r>
        <w:rPr>
          <w:rFonts w:hint="cs"/>
          <w:sz w:val="26"/>
          <w:szCs w:val="26"/>
          <w:rtl/>
          <w:lang w:val="en-US" w:eastAsia="en-GB" w:bidi="ar-AE"/>
        </w:rPr>
        <w:t xml:space="preserve"> </w:t>
      </w:r>
      <w:r>
        <w:rPr>
          <w:sz w:val="26"/>
          <w:szCs w:val="26"/>
          <w:rtl/>
          <w:lang w:eastAsia="en-GB"/>
        </w:rPr>
        <w:t xml:space="preserve">لـ </w:t>
      </w:r>
      <w:r>
        <w:rPr>
          <w:sz w:val="26"/>
          <w:szCs w:val="26"/>
          <w:lang w:eastAsia="en-GB"/>
        </w:rPr>
        <w:t>12</w:t>
      </w:r>
      <w:r>
        <w:rPr>
          <w:sz w:val="26"/>
          <w:szCs w:val="26"/>
          <w:rtl/>
          <w:lang w:eastAsia="en-GB"/>
        </w:rPr>
        <w:t xml:space="preserve"> بلداً (المقررات</w:t>
      </w:r>
      <w:r>
        <w:rPr>
          <w:rFonts w:hint="eastAsia"/>
          <w:sz w:val="26"/>
          <w:szCs w:val="26"/>
          <w:rtl/>
          <w:lang w:eastAsia="en-GB" w:bidi="ar-AE"/>
        </w:rPr>
        <w:t> </w:t>
      </w:r>
      <w:r>
        <w:rPr>
          <w:sz w:val="26"/>
          <w:szCs w:val="26"/>
          <w:lang w:val="en-US" w:eastAsia="en-GB" w:bidi="ar-AE"/>
        </w:rPr>
        <w:t>97</w:t>
      </w:r>
      <w:r>
        <w:rPr>
          <w:rFonts w:hint="cs"/>
          <w:sz w:val="26"/>
          <w:szCs w:val="26"/>
          <w:rtl/>
          <w:lang w:val="en-US" w:eastAsia="en-GB" w:bidi="ar-AE"/>
        </w:rPr>
        <w:t>/</w:t>
      </w:r>
      <w:r>
        <w:rPr>
          <w:sz w:val="26"/>
          <w:szCs w:val="26"/>
          <w:lang w:val="en-US" w:eastAsia="en-GB" w:bidi="ar-AE"/>
        </w:rPr>
        <w:t>66</w:t>
      </w:r>
      <w:r>
        <w:rPr>
          <w:rFonts w:hint="cs"/>
          <w:sz w:val="26"/>
          <w:szCs w:val="26"/>
          <w:rtl/>
          <w:lang w:val="en-US" w:eastAsia="en-GB" w:bidi="ar-AE"/>
        </w:rPr>
        <w:t>، و</w:t>
      </w:r>
      <w:r>
        <w:rPr>
          <w:sz w:val="26"/>
          <w:szCs w:val="26"/>
          <w:lang w:val="en-US" w:eastAsia="en-GB" w:bidi="ar-AE"/>
        </w:rPr>
        <w:t>97</w:t>
      </w:r>
      <w:r>
        <w:rPr>
          <w:rFonts w:hint="cs"/>
          <w:sz w:val="26"/>
          <w:szCs w:val="26"/>
          <w:rtl/>
          <w:lang w:val="en-US" w:eastAsia="en-GB" w:bidi="ar-AE"/>
        </w:rPr>
        <w:t>/</w:t>
      </w:r>
      <w:r>
        <w:rPr>
          <w:sz w:val="26"/>
          <w:szCs w:val="26"/>
          <w:lang w:val="en-US" w:eastAsia="en-GB" w:bidi="ar-AE"/>
        </w:rPr>
        <w:t>70</w:t>
      </w:r>
      <w:r>
        <w:rPr>
          <w:sz w:val="26"/>
          <w:szCs w:val="26"/>
          <w:rtl/>
          <w:lang w:eastAsia="en-GB"/>
        </w:rPr>
        <w:t xml:space="preserve"> إلى</w:t>
      </w:r>
      <w:r>
        <w:rPr>
          <w:rFonts w:hint="cs"/>
          <w:sz w:val="26"/>
          <w:szCs w:val="26"/>
          <w:rtl/>
          <w:lang w:eastAsia="en-GB"/>
        </w:rPr>
        <w:t xml:space="preserve"> </w:t>
      </w:r>
      <w:r>
        <w:rPr>
          <w:sz w:val="26"/>
          <w:szCs w:val="26"/>
          <w:lang w:val="en-US" w:eastAsia="en-GB"/>
        </w:rPr>
        <w:t>97</w:t>
      </w:r>
      <w:r>
        <w:rPr>
          <w:rFonts w:hint="cs"/>
          <w:sz w:val="26"/>
          <w:szCs w:val="26"/>
          <w:rtl/>
          <w:lang w:val="en-US" w:eastAsia="en-GB" w:bidi="ar-AE"/>
        </w:rPr>
        <w:t>/</w:t>
      </w:r>
      <w:r>
        <w:rPr>
          <w:sz w:val="26"/>
          <w:szCs w:val="26"/>
          <w:lang w:val="en-US" w:eastAsia="en-GB" w:bidi="ar-AE"/>
        </w:rPr>
        <w:t>72</w:t>
      </w:r>
      <w:r>
        <w:rPr>
          <w:rFonts w:hint="cs"/>
          <w:sz w:val="26"/>
          <w:szCs w:val="26"/>
          <w:rtl/>
          <w:lang w:val="en-US" w:eastAsia="en-GB" w:bidi="ar-AE"/>
        </w:rPr>
        <w:t>، و</w:t>
      </w:r>
      <w:r>
        <w:rPr>
          <w:sz w:val="26"/>
          <w:szCs w:val="26"/>
          <w:lang w:val="en-US" w:eastAsia="en-GB" w:bidi="ar-AE"/>
        </w:rPr>
        <w:t>97</w:t>
      </w:r>
      <w:r>
        <w:rPr>
          <w:rFonts w:hint="cs"/>
          <w:sz w:val="26"/>
          <w:szCs w:val="26"/>
          <w:rtl/>
          <w:lang w:val="en-US" w:eastAsia="en-GB" w:bidi="ar-AE"/>
        </w:rPr>
        <w:t>/</w:t>
      </w:r>
      <w:r>
        <w:rPr>
          <w:sz w:val="26"/>
          <w:szCs w:val="26"/>
          <w:lang w:val="en-US" w:eastAsia="en-GB" w:bidi="ar-AE"/>
        </w:rPr>
        <w:t>75</w:t>
      </w:r>
      <w:r>
        <w:rPr>
          <w:sz w:val="26"/>
          <w:szCs w:val="26"/>
          <w:rtl/>
          <w:lang w:eastAsia="en-GB"/>
        </w:rPr>
        <w:t xml:space="preserve"> إلى</w:t>
      </w:r>
      <w:r>
        <w:rPr>
          <w:rFonts w:hint="cs"/>
          <w:sz w:val="26"/>
          <w:szCs w:val="26"/>
          <w:rtl/>
          <w:lang w:eastAsia="en-GB"/>
        </w:rPr>
        <w:t xml:space="preserve"> </w:t>
      </w:r>
      <w:r>
        <w:rPr>
          <w:sz w:val="26"/>
          <w:szCs w:val="26"/>
          <w:lang w:val="en-US" w:eastAsia="en-GB"/>
        </w:rPr>
        <w:t>97</w:t>
      </w:r>
      <w:r>
        <w:rPr>
          <w:rFonts w:hint="cs"/>
          <w:sz w:val="26"/>
          <w:szCs w:val="26"/>
          <w:rtl/>
          <w:lang w:val="en-US" w:eastAsia="en-GB" w:bidi="ar-AE"/>
        </w:rPr>
        <w:t>/</w:t>
      </w:r>
      <w:r>
        <w:rPr>
          <w:sz w:val="26"/>
          <w:szCs w:val="26"/>
          <w:lang w:val="en-US" w:eastAsia="en-GB" w:bidi="ar-AE"/>
        </w:rPr>
        <w:t>77</w:t>
      </w:r>
      <w:r>
        <w:rPr>
          <w:rFonts w:hint="cs"/>
          <w:sz w:val="26"/>
          <w:szCs w:val="26"/>
          <w:rtl/>
          <w:lang w:val="en-US" w:eastAsia="en-GB" w:bidi="ar-AE"/>
        </w:rPr>
        <w:t>، و</w:t>
      </w:r>
      <w:r>
        <w:rPr>
          <w:sz w:val="26"/>
          <w:szCs w:val="26"/>
          <w:lang w:val="en-US" w:eastAsia="en-GB" w:bidi="ar-AE"/>
        </w:rPr>
        <w:t>97</w:t>
      </w:r>
      <w:r>
        <w:rPr>
          <w:rFonts w:hint="cs"/>
          <w:sz w:val="26"/>
          <w:szCs w:val="26"/>
          <w:rtl/>
          <w:lang w:val="en-US" w:eastAsia="en-GB" w:bidi="ar-AE"/>
        </w:rPr>
        <w:t>/</w:t>
      </w:r>
      <w:r>
        <w:rPr>
          <w:sz w:val="26"/>
          <w:szCs w:val="26"/>
          <w:lang w:val="en-US" w:eastAsia="en-GB" w:bidi="ar-AE"/>
        </w:rPr>
        <w:t>79</w:t>
      </w:r>
      <w:r>
        <w:rPr>
          <w:sz w:val="26"/>
          <w:szCs w:val="26"/>
          <w:rtl/>
          <w:lang w:eastAsia="en-GB"/>
        </w:rPr>
        <w:t xml:space="preserve"> إلى</w:t>
      </w:r>
      <w:r>
        <w:rPr>
          <w:rFonts w:hint="cs"/>
          <w:sz w:val="26"/>
          <w:szCs w:val="26"/>
          <w:rtl/>
          <w:lang w:eastAsia="en-GB"/>
        </w:rPr>
        <w:t xml:space="preserve"> </w:t>
      </w:r>
      <w:r>
        <w:rPr>
          <w:sz w:val="26"/>
          <w:szCs w:val="26"/>
          <w:lang w:val="en-US" w:eastAsia="en-GB"/>
        </w:rPr>
        <w:t>97</w:t>
      </w:r>
      <w:r>
        <w:rPr>
          <w:rFonts w:hint="cs"/>
          <w:sz w:val="26"/>
          <w:szCs w:val="26"/>
          <w:rtl/>
          <w:lang w:val="en-US" w:eastAsia="en-GB" w:bidi="ar-AE"/>
        </w:rPr>
        <w:t>/</w:t>
      </w:r>
      <w:r>
        <w:rPr>
          <w:sz w:val="26"/>
          <w:szCs w:val="26"/>
          <w:lang w:val="en-US" w:eastAsia="en-GB" w:bidi="ar-AE"/>
        </w:rPr>
        <w:t>83</w:t>
      </w:r>
      <w:r>
        <w:rPr>
          <w:sz w:val="26"/>
          <w:szCs w:val="26"/>
          <w:rtl/>
          <w:lang w:eastAsia="en-GB"/>
        </w:rPr>
        <w:t>)؛ ومشروع استثماري عن كفاءة استخدام الطاقة بموجب المقرر</w:t>
      </w:r>
      <w:r>
        <w:rPr>
          <w:rFonts w:hint="cs"/>
          <w:sz w:val="26"/>
          <w:szCs w:val="26"/>
          <w:rtl/>
          <w:lang w:eastAsia="en-GB"/>
        </w:rPr>
        <w:t> </w:t>
      </w:r>
      <w:r>
        <w:rPr>
          <w:sz w:val="26"/>
          <w:szCs w:val="26"/>
          <w:lang w:val="en-US" w:eastAsia="en-GB"/>
        </w:rPr>
        <w:t>95</w:t>
      </w:r>
      <w:r>
        <w:rPr>
          <w:rFonts w:hint="cs"/>
          <w:sz w:val="26"/>
          <w:szCs w:val="26"/>
          <w:rtl/>
          <w:lang w:val="en-US" w:eastAsia="en-GB" w:bidi="ar-AE"/>
        </w:rPr>
        <w:t>/</w:t>
      </w:r>
      <w:r>
        <w:rPr>
          <w:sz w:val="26"/>
          <w:szCs w:val="26"/>
          <w:lang w:val="en-US" w:eastAsia="en-GB" w:bidi="ar-AE"/>
        </w:rPr>
        <w:t>87</w:t>
      </w:r>
      <w:r>
        <w:rPr>
          <w:sz w:val="26"/>
          <w:szCs w:val="26"/>
          <w:rtl/>
          <w:lang w:eastAsia="en-GB"/>
        </w:rPr>
        <w:t xml:space="preserve"> لبلد واحد (المقرر</w:t>
      </w:r>
      <w:r>
        <w:rPr>
          <w:rFonts w:hint="cs"/>
          <w:sz w:val="26"/>
          <w:szCs w:val="26"/>
          <w:rtl/>
          <w:lang w:eastAsia="en-GB"/>
        </w:rPr>
        <w:t> </w:t>
      </w:r>
      <w:r>
        <w:rPr>
          <w:sz w:val="26"/>
          <w:szCs w:val="26"/>
          <w:lang w:val="en-US" w:eastAsia="en-GB"/>
        </w:rPr>
        <w:t>97</w:t>
      </w:r>
      <w:r>
        <w:rPr>
          <w:rFonts w:hint="cs"/>
          <w:sz w:val="26"/>
          <w:szCs w:val="26"/>
          <w:rtl/>
          <w:lang w:val="en-US" w:eastAsia="en-GB" w:bidi="ar-AE"/>
        </w:rPr>
        <w:t>/</w:t>
      </w:r>
      <w:r>
        <w:rPr>
          <w:sz w:val="26"/>
          <w:szCs w:val="26"/>
          <w:lang w:val="en-US" w:eastAsia="en-GB" w:bidi="ar-AE"/>
        </w:rPr>
        <w:t>73</w:t>
      </w:r>
      <w:r>
        <w:rPr>
          <w:sz w:val="26"/>
          <w:szCs w:val="26"/>
          <w:rtl/>
          <w:lang w:eastAsia="en-GB"/>
        </w:rPr>
        <w:t>)؛ ومشاريع استثمارية عن كفاءة استخدام الطاقة بموجب المقرر</w:t>
      </w:r>
      <w:r>
        <w:rPr>
          <w:rFonts w:hint="cs"/>
          <w:sz w:val="26"/>
          <w:szCs w:val="26"/>
          <w:rtl/>
          <w:lang w:eastAsia="en-GB"/>
        </w:rPr>
        <w:t> </w:t>
      </w:r>
      <w:r>
        <w:rPr>
          <w:sz w:val="26"/>
          <w:szCs w:val="26"/>
          <w:lang w:val="en-US" w:eastAsia="en-GB"/>
        </w:rPr>
        <w:t>94</w:t>
      </w:r>
      <w:r>
        <w:rPr>
          <w:rFonts w:hint="cs"/>
          <w:sz w:val="26"/>
          <w:szCs w:val="26"/>
          <w:rtl/>
          <w:lang w:val="en-US" w:eastAsia="en-GB" w:bidi="ar-AE"/>
        </w:rPr>
        <w:t>/</w:t>
      </w:r>
      <w:r>
        <w:rPr>
          <w:sz w:val="26"/>
          <w:szCs w:val="26"/>
          <w:lang w:val="en-US" w:eastAsia="en-GB" w:bidi="ar-AE"/>
        </w:rPr>
        <w:t>60</w:t>
      </w:r>
      <w:r>
        <w:rPr>
          <w:sz w:val="26"/>
          <w:szCs w:val="26"/>
          <w:rtl/>
          <w:lang w:eastAsia="en-GB"/>
        </w:rPr>
        <w:t xml:space="preserve"> لثلاثة بلدان (المقررات</w:t>
      </w:r>
      <w:r>
        <w:rPr>
          <w:rFonts w:hint="cs"/>
          <w:sz w:val="26"/>
          <w:szCs w:val="26"/>
          <w:rtl/>
          <w:lang w:eastAsia="en-GB"/>
        </w:rPr>
        <w:t> </w:t>
      </w:r>
      <w:r>
        <w:rPr>
          <w:sz w:val="26"/>
          <w:szCs w:val="26"/>
          <w:lang w:val="en-US" w:eastAsia="en-GB"/>
        </w:rPr>
        <w:t>97</w:t>
      </w:r>
      <w:r>
        <w:rPr>
          <w:rFonts w:hint="cs"/>
          <w:sz w:val="26"/>
          <w:szCs w:val="26"/>
          <w:rtl/>
          <w:lang w:val="en-US" w:eastAsia="en-GB" w:bidi="ar-AE"/>
        </w:rPr>
        <w:t>/</w:t>
      </w:r>
      <w:r>
        <w:rPr>
          <w:sz w:val="26"/>
          <w:szCs w:val="26"/>
          <w:lang w:val="en-US" w:eastAsia="en-GB" w:bidi="ar-AE"/>
        </w:rPr>
        <w:t>74</w:t>
      </w:r>
      <w:r>
        <w:rPr>
          <w:rFonts w:hint="cs"/>
          <w:sz w:val="26"/>
          <w:szCs w:val="26"/>
          <w:rtl/>
          <w:lang w:val="en-US" w:eastAsia="en-GB" w:bidi="ar-AE"/>
        </w:rPr>
        <w:t>، و</w:t>
      </w:r>
      <w:r>
        <w:rPr>
          <w:sz w:val="26"/>
          <w:szCs w:val="26"/>
          <w:lang w:val="en-US" w:eastAsia="en-GB" w:bidi="ar-AE"/>
        </w:rPr>
        <w:t>97</w:t>
      </w:r>
      <w:r>
        <w:rPr>
          <w:rFonts w:hint="cs"/>
          <w:sz w:val="26"/>
          <w:szCs w:val="26"/>
          <w:rtl/>
          <w:lang w:val="en-US" w:eastAsia="en-GB" w:bidi="ar-AE"/>
        </w:rPr>
        <w:t>/</w:t>
      </w:r>
      <w:r>
        <w:rPr>
          <w:sz w:val="26"/>
          <w:szCs w:val="26"/>
          <w:lang w:val="en-US" w:eastAsia="en-GB" w:bidi="ar-AE"/>
        </w:rPr>
        <w:t>78</w:t>
      </w:r>
      <w:r>
        <w:rPr>
          <w:rFonts w:hint="cs"/>
          <w:sz w:val="26"/>
          <w:szCs w:val="26"/>
          <w:rtl/>
          <w:lang w:val="en-US" w:eastAsia="en-GB" w:bidi="ar-AE"/>
        </w:rPr>
        <w:t>، و</w:t>
      </w:r>
      <w:r>
        <w:rPr>
          <w:sz w:val="26"/>
          <w:szCs w:val="26"/>
          <w:lang w:val="en-US" w:eastAsia="en-GB" w:bidi="ar-AE"/>
        </w:rPr>
        <w:t>97</w:t>
      </w:r>
      <w:r>
        <w:rPr>
          <w:rFonts w:hint="cs"/>
          <w:sz w:val="26"/>
          <w:szCs w:val="26"/>
          <w:rtl/>
          <w:lang w:val="en-US" w:eastAsia="en-GB" w:bidi="ar-AE"/>
        </w:rPr>
        <w:t>/</w:t>
      </w:r>
      <w:r>
        <w:rPr>
          <w:sz w:val="26"/>
          <w:szCs w:val="26"/>
          <w:lang w:val="en-US" w:eastAsia="en-GB" w:bidi="ar-AE"/>
        </w:rPr>
        <w:t>84</w:t>
      </w:r>
      <w:r>
        <w:rPr>
          <w:sz w:val="26"/>
          <w:szCs w:val="26"/>
          <w:rtl/>
          <w:lang w:eastAsia="en-GB"/>
        </w:rPr>
        <w:t>).</w:t>
      </w:r>
    </w:p>
    <w:p w14:paraId="2DF14AE7" w14:textId="3A2AAC2A" w:rsidR="00A9246C" w:rsidRPr="00A9246C" w:rsidRDefault="00DF0B19" w:rsidP="003B64CF">
      <w:pPr>
        <w:pStyle w:val="Heading3"/>
        <w:numPr>
          <w:ilvl w:val="2"/>
          <w:numId w:val="16"/>
        </w:numPr>
        <w:bidi/>
        <w:spacing w:line="288" w:lineRule="auto"/>
        <w:ind w:left="720" w:firstLine="0"/>
        <w:rPr>
          <w:sz w:val="26"/>
          <w:szCs w:val="26"/>
          <w:lang w:eastAsia="en-GB"/>
        </w:rPr>
      </w:pPr>
      <w:r>
        <w:rPr>
          <w:sz w:val="26"/>
          <w:szCs w:val="26"/>
          <w:rtl/>
          <w:lang w:eastAsia="en-GB"/>
        </w:rPr>
        <w:t>في الاجتماع الثامن والتسعين، وافقت اللجنة التنفيذية، من حيث المبدأ، على المرحلة الأولى من خطط تنفيذ كيغالي لسبعة بلدان، كما وافقت على الشريحة الأولى من التمويل بموجب كل منها (المقررات</w:t>
      </w:r>
      <w:r>
        <w:rPr>
          <w:rFonts w:hint="cs"/>
          <w:sz w:val="26"/>
          <w:szCs w:val="26"/>
          <w:rtl/>
          <w:lang w:eastAsia="en-GB" w:bidi="ar-AE"/>
        </w:rPr>
        <w:t> </w:t>
      </w:r>
      <w:r>
        <w:rPr>
          <w:sz w:val="26"/>
          <w:szCs w:val="26"/>
          <w:lang w:val="en-US" w:eastAsia="en-GB" w:bidi="ar-AE"/>
        </w:rPr>
        <w:t>98</w:t>
      </w:r>
      <w:r>
        <w:rPr>
          <w:rFonts w:hint="cs"/>
          <w:sz w:val="26"/>
          <w:szCs w:val="26"/>
          <w:rtl/>
          <w:lang w:val="en-US" w:eastAsia="en-GB" w:bidi="ar-AE"/>
        </w:rPr>
        <w:t>/</w:t>
      </w:r>
      <w:r>
        <w:rPr>
          <w:sz w:val="26"/>
          <w:szCs w:val="26"/>
          <w:lang w:val="en-US" w:eastAsia="en-GB" w:bidi="ar-AE"/>
        </w:rPr>
        <w:t>42</w:t>
      </w:r>
      <w:r>
        <w:rPr>
          <w:rFonts w:hint="cs"/>
          <w:sz w:val="26"/>
          <w:szCs w:val="26"/>
          <w:rtl/>
          <w:lang w:val="en-US" w:eastAsia="en-GB" w:bidi="ar-AE"/>
        </w:rPr>
        <w:t>، و</w:t>
      </w:r>
      <w:r>
        <w:rPr>
          <w:sz w:val="26"/>
          <w:szCs w:val="26"/>
          <w:lang w:val="en-US" w:eastAsia="en-GB" w:bidi="ar-AE"/>
        </w:rPr>
        <w:t>98</w:t>
      </w:r>
      <w:r>
        <w:rPr>
          <w:rFonts w:hint="cs"/>
          <w:sz w:val="26"/>
          <w:szCs w:val="26"/>
          <w:rtl/>
          <w:lang w:val="en-US" w:eastAsia="en-GB" w:bidi="ar-AE"/>
        </w:rPr>
        <w:t>/</w:t>
      </w:r>
      <w:r>
        <w:rPr>
          <w:sz w:val="26"/>
          <w:szCs w:val="26"/>
          <w:lang w:val="en-US" w:eastAsia="en-GB" w:bidi="ar-AE"/>
        </w:rPr>
        <w:t>43</w:t>
      </w:r>
      <w:r>
        <w:rPr>
          <w:rFonts w:hint="cs"/>
          <w:sz w:val="26"/>
          <w:szCs w:val="26"/>
          <w:rtl/>
          <w:lang w:val="en-US" w:eastAsia="en-GB" w:bidi="ar-AE"/>
        </w:rPr>
        <w:t>، و</w:t>
      </w:r>
      <w:r>
        <w:rPr>
          <w:sz w:val="26"/>
          <w:szCs w:val="26"/>
          <w:lang w:val="en-US" w:eastAsia="en-GB" w:bidi="ar-AE"/>
        </w:rPr>
        <w:t>98</w:t>
      </w:r>
      <w:r>
        <w:rPr>
          <w:rFonts w:hint="cs"/>
          <w:sz w:val="26"/>
          <w:szCs w:val="26"/>
          <w:rtl/>
          <w:lang w:val="en-US" w:eastAsia="en-GB" w:bidi="ar-AE"/>
        </w:rPr>
        <w:t>/</w:t>
      </w:r>
      <w:r>
        <w:rPr>
          <w:sz w:val="26"/>
          <w:szCs w:val="26"/>
          <w:lang w:val="en-US" w:eastAsia="en-GB" w:bidi="ar-AE"/>
        </w:rPr>
        <w:t>45</w:t>
      </w:r>
      <w:r>
        <w:rPr>
          <w:rFonts w:hint="cs"/>
          <w:sz w:val="26"/>
          <w:szCs w:val="26"/>
          <w:rtl/>
          <w:lang w:val="en-US" w:eastAsia="en-GB" w:bidi="ar-AE"/>
        </w:rPr>
        <w:t>، و</w:t>
      </w:r>
      <w:r>
        <w:rPr>
          <w:sz w:val="26"/>
          <w:szCs w:val="26"/>
          <w:lang w:val="en-US" w:eastAsia="en-GB" w:bidi="ar-AE"/>
        </w:rPr>
        <w:t>98</w:t>
      </w:r>
      <w:r>
        <w:rPr>
          <w:rFonts w:hint="cs"/>
          <w:sz w:val="26"/>
          <w:szCs w:val="26"/>
          <w:rtl/>
          <w:lang w:val="en-US" w:eastAsia="en-GB" w:bidi="ar-AE"/>
        </w:rPr>
        <w:t>/</w:t>
      </w:r>
      <w:r>
        <w:rPr>
          <w:sz w:val="26"/>
          <w:szCs w:val="26"/>
          <w:lang w:val="en-US" w:eastAsia="en-GB" w:bidi="ar-AE"/>
        </w:rPr>
        <w:t>48</w:t>
      </w:r>
      <w:r>
        <w:rPr>
          <w:rFonts w:hint="cs"/>
          <w:sz w:val="26"/>
          <w:szCs w:val="26"/>
          <w:rtl/>
          <w:lang w:val="en-US" w:eastAsia="en-GB" w:bidi="ar-AE"/>
        </w:rPr>
        <w:t>، و</w:t>
      </w:r>
      <w:r>
        <w:rPr>
          <w:sz w:val="26"/>
          <w:szCs w:val="26"/>
          <w:lang w:val="en-US" w:eastAsia="en-GB" w:bidi="ar-AE"/>
        </w:rPr>
        <w:t>98</w:t>
      </w:r>
      <w:r>
        <w:rPr>
          <w:rFonts w:hint="cs"/>
          <w:sz w:val="26"/>
          <w:szCs w:val="26"/>
          <w:rtl/>
          <w:lang w:val="en-US" w:eastAsia="en-GB" w:bidi="ar-AE"/>
        </w:rPr>
        <w:t>/</w:t>
      </w:r>
      <w:r>
        <w:rPr>
          <w:sz w:val="26"/>
          <w:szCs w:val="26"/>
          <w:lang w:val="en-US" w:eastAsia="en-GB" w:bidi="ar-AE"/>
        </w:rPr>
        <w:t>51</w:t>
      </w:r>
      <w:r>
        <w:rPr>
          <w:rFonts w:hint="cs"/>
          <w:sz w:val="26"/>
          <w:szCs w:val="26"/>
          <w:rtl/>
          <w:lang w:val="en-US" w:eastAsia="en-GB" w:bidi="ar-AE"/>
        </w:rPr>
        <w:t xml:space="preserve"> إلى </w:t>
      </w:r>
      <w:r>
        <w:rPr>
          <w:sz w:val="26"/>
          <w:szCs w:val="26"/>
          <w:lang w:val="en-US" w:eastAsia="en-GB" w:bidi="ar-AE"/>
        </w:rPr>
        <w:t>98</w:t>
      </w:r>
      <w:r>
        <w:rPr>
          <w:rFonts w:hint="cs"/>
          <w:sz w:val="26"/>
          <w:szCs w:val="26"/>
          <w:rtl/>
          <w:lang w:val="en-US" w:eastAsia="en-GB" w:bidi="ar-AE"/>
        </w:rPr>
        <w:t>/</w:t>
      </w:r>
      <w:r>
        <w:rPr>
          <w:sz w:val="26"/>
          <w:szCs w:val="26"/>
          <w:lang w:val="en-US" w:eastAsia="en-GB" w:bidi="ar-AE"/>
        </w:rPr>
        <w:t>53</w:t>
      </w:r>
      <w:r>
        <w:rPr>
          <w:sz w:val="26"/>
          <w:szCs w:val="26"/>
          <w:rtl/>
          <w:lang w:eastAsia="en-GB"/>
        </w:rPr>
        <w:t>). ووافقت اللجنة على شرائح من خطط تنفيذ كيغالي لأربعة بلدان (المقررات</w:t>
      </w:r>
      <w:r>
        <w:rPr>
          <w:rFonts w:hint="cs"/>
          <w:sz w:val="26"/>
          <w:szCs w:val="26"/>
          <w:rtl/>
          <w:lang w:eastAsia="en-GB"/>
        </w:rPr>
        <w:t> </w:t>
      </w:r>
      <w:r>
        <w:rPr>
          <w:sz w:val="26"/>
          <w:szCs w:val="26"/>
          <w:lang w:val="en-US" w:eastAsia="en-GB"/>
        </w:rPr>
        <w:t>98</w:t>
      </w:r>
      <w:r>
        <w:rPr>
          <w:rFonts w:hint="cs"/>
          <w:sz w:val="26"/>
          <w:szCs w:val="26"/>
          <w:rtl/>
          <w:lang w:val="en-US" w:eastAsia="en-GB" w:bidi="ar-AE"/>
        </w:rPr>
        <w:t>/</w:t>
      </w:r>
      <w:r>
        <w:rPr>
          <w:sz w:val="26"/>
          <w:szCs w:val="26"/>
          <w:lang w:val="en-US" w:eastAsia="en-GB" w:bidi="ar-AE"/>
        </w:rPr>
        <w:t>26</w:t>
      </w:r>
      <w:r>
        <w:rPr>
          <w:rFonts w:hint="cs"/>
          <w:sz w:val="26"/>
          <w:szCs w:val="26"/>
          <w:rtl/>
          <w:lang w:val="en-US" w:eastAsia="en-GB" w:bidi="ar-AE"/>
        </w:rPr>
        <w:t>، و</w:t>
      </w:r>
      <w:r>
        <w:rPr>
          <w:sz w:val="26"/>
          <w:szCs w:val="26"/>
          <w:lang w:val="en-US" w:eastAsia="en-GB" w:bidi="ar-AE"/>
        </w:rPr>
        <w:t>98</w:t>
      </w:r>
      <w:r>
        <w:rPr>
          <w:rFonts w:hint="cs"/>
          <w:sz w:val="26"/>
          <w:szCs w:val="26"/>
          <w:rtl/>
          <w:lang w:val="en-US" w:eastAsia="en-GB" w:bidi="ar-AE"/>
        </w:rPr>
        <w:t>/</w:t>
      </w:r>
      <w:r>
        <w:rPr>
          <w:sz w:val="26"/>
          <w:szCs w:val="26"/>
          <w:lang w:val="en-US" w:eastAsia="en-GB" w:bidi="ar-AE"/>
        </w:rPr>
        <w:t>44</w:t>
      </w:r>
      <w:r>
        <w:rPr>
          <w:rFonts w:hint="cs"/>
          <w:sz w:val="26"/>
          <w:szCs w:val="26"/>
          <w:rtl/>
          <w:lang w:val="en-US" w:eastAsia="en-GB" w:bidi="ar-AE"/>
        </w:rPr>
        <w:t>، و</w:t>
      </w:r>
      <w:r>
        <w:rPr>
          <w:sz w:val="26"/>
          <w:szCs w:val="26"/>
          <w:lang w:val="en-US" w:eastAsia="en-GB" w:bidi="ar-AE"/>
        </w:rPr>
        <w:t>98</w:t>
      </w:r>
      <w:r>
        <w:rPr>
          <w:rFonts w:hint="cs"/>
          <w:sz w:val="26"/>
          <w:szCs w:val="26"/>
          <w:rtl/>
          <w:lang w:val="en-US" w:eastAsia="en-GB" w:bidi="ar-AE"/>
        </w:rPr>
        <w:t>/</w:t>
      </w:r>
      <w:r>
        <w:rPr>
          <w:sz w:val="26"/>
          <w:szCs w:val="26"/>
          <w:lang w:val="en-US" w:eastAsia="en-GB" w:bidi="ar-AE"/>
        </w:rPr>
        <w:t>46</w:t>
      </w:r>
      <w:r>
        <w:rPr>
          <w:rFonts w:hint="cs"/>
          <w:sz w:val="26"/>
          <w:szCs w:val="26"/>
          <w:rtl/>
          <w:lang w:val="en-US" w:eastAsia="en-GB" w:bidi="ar-AE"/>
        </w:rPr>
        <w:t>، و</w:t>
      </w:r>
      <w:r>
        <w:rPr>
          <w:sz w:val="26"/>
          <w:szCs w:val="26"/>
          <w:lang w:val="en-US" w:eastAsia="en-GB" w:bidi="ar-AE"/>
        </w:rPr>
        <w:t>98</w:t>
      </w:r>
      <w:r>
        <w:rPr>
          <w:rFonts w:hint="cs"/>
          <w:sz w:val="26"/>
          <w:szCs w:val="26"/>
          <w:rtl/>
          <w:lang w:val="en-US" w:eastAsia="en-GB" w:bidi="ar-AE"/>
        </w:rPr>
        <w:t>/</w:t>
      </w:r>
      <w:r>
        <w:rPr>
          <w:sz w:val="26"/>
          <w:szCs w:val="26"/>
          <w:lang w:val="en-US" w:eastAsia="en-GB" w:bidi="ar-AE"/>
        </w:rPr>
        <w:t>47</w:t>
      </w:r>
      <w:r>
        <w:rPr>
          <w:sz w:val="26"/>
          <w:szCs w:val="26"/>
          <w:rtl/>
          <w:lang w:eastAsia="en-GB"/>
        </w:rPr>
        <w:t>) وعلى مرحلة أولى محدّثة من خطة تنفيذ كيغالي لبلد واحد، بما في ذلك الشريحة الثانية (المقرر</w:t>
      </w:r>
      <w:r>
        <w:rPr>
          <w:rFonts w:hint="cs"/>
          <w:sz w:val="26"/>
          <w:szCs w:val="26"/>
          <w:rtl/>
          <w:lang w:eastAsia="en-GB"/>
        </w:rPr>
        <w:t> </w:t>
      </w:r>
      <w:r>
        <w:rPr>
          <w:sz w:val="26"/>
          <w:szCs w:val="26"/>
          <w:lang w:val="en-US" w:eastAsia="en-GB"/>
        </w:rPr>
        <w:t>98</w:t>
      </w:r>
      <w:r>
        <w:rPr>
          <w:rFonts w:hint="cs"/>
          <w:sz w:val="26"/>
          <w:szCs w:val="26"/>
          <w:rtl/>
          <w:lang w:val="en-US" w:eastAsia="en-GB" w:bidi="ar-AE"/>
        </w:rPr>
        <w:t>/</w:t>
      </w:r>
      <w:r>
        <w:rPr>
          <w:sz w:val="26"/>
          <w:szCs w:val="26"/>
          <w:lang w:val="en-US" w:eastAsia="en-GB" w:bidi="ar-AE"/>
        </w:rPr>
        <w:t>49</w:t>
      </w:r>
      <w:r>
        <w:rPr>
          <w:sz w:val="26"/>
          <w:szCs w:val="26"/>
          <w:rtl/>
          <w:lang w:eastAsia="en-GB"/>
        </w:rPr>
        <w:t>). وأرجأت اللجنة التنفيذية النظر في خطة تنفيذ كيغالي لبلد واحد إلى اجتماع مستقبلي (المقرر</w:t>
      </w:r>
      <w:r>
        <w:rPr>
          <w:rFonts w:hint="cs"/>
          <w:sz w:val="26"/>
          <w:szCs w:val="26"/>
          <w:rtl/>
          <w:lang w:eastAsia="en-GB"/>
        </w:rPr>
        <w:t> </w:t>
      </w:r>
      <w:r>
        <w:rPr>
          <w:sz w:val="26"/>
          <w:szCs w:val="26"/>
          <w:lang w:val="en-US" w:eastAsia="en-GB"/>
        </w:rPr>
        <w:t>98</w:t>
      </w:r>
      <w:r>
        <w:rPr>
          <w:rFonts w:hint="cs"/>
          <w:sz w:val="26"/>
          <w:szCs w:val="26"/>
          <w:rtl/>
          <w:lang w:val="en-US" w:eastAsia="en-GB" w:bidi="ar-AE"/>
        </w:rPr>
        <w:t>/</w:t>
      </w:r>
      <w:r>
        <w:rPr>
          <w:sz w:val="26"/>
          <w:szCs w:val="26"/>
          <w:lang w:val="en-US" w:eastAsia="en-GB" w:bidi="ar-AE"/>
        </w:rPr>
        <w:t>50</w:t>
      </w:r>
      <w:r>
        <w:rPr>
          <w:sz w:val="26"/>
          <w:szCs w:val="26"/>
          <w:rtl/>
          <w:lang w:eastAsia="en-GB"/>
        </w:rPr>
        <w:t>). كما وافقت اللجنة على الشريحتين الرابعة والخامسة، على التوالي، من مشاريع التحكم في انبعاثات الهيدروفلوروكربون-</w:t>
      </w:r>
      <w:r>
        <w:rPr>
          <w:sz w:val="26"/>
          <w:szCs w:val="26"/>
          <w:lang w:eastAsia="en-GB"/>
        </w:rPr>
        <w:t>23</w:t>
      </w:r>
      <w:r>
        <w:rPr>
          <w:sz w:val="26"/>
          <w:szCs w:val="26"/>
          <w:rtl/>
          <w:lang w:eastAsia="en-GB"/>
        </w:rPr>
        <w:t xml:space="preserve"> </w:t>
      </w:r>
      <w:r>
        <w:rPr>
          <w:rFonts w:hint="cs"/>
          <w:sz w:val="26"/>
          <w:szCs w:val="26"/>
          <w:rtl/>
          <w:lang w:eastAsia="en-GB"/>
        </w:rPr>
        <w:t>الناجمة</w:t>
      </w:r>
      <w:r>
        <w:rPr>
          <w:sz w:val="26"/>
          <w:szCs w:val="26"/>
          <w:rtl/>
          <w:lang w:eastAsia="en-GB"/>
        </w:rPr>
        <w:t xml:space="preserve"> عن إنتاج الهيدروكلوروفلوروكربون-</w:t>
      </w:r>
      <w:r>
        <w:rPr>
          <w:sz w:val="26"/>
          <w:szCs w:val="26"/>
          <w:lang w:eastAsia="en-GB"/>
        </w:rPr>
        <w:t>22</w:t>
      </w:r>
      <w:r>
        <w:rPr>
          <w:sz w:val="26"/>
          <w:szCs w:val="26"/>
          <w:rtl/>
          <w:lang w:eastAsia="en-GB"/>
        </w:rPr>
        <w:t xml:space="preserve"> في بلدين (المقرران</w:t>
      </w:r>
      <w:r>
        <w:rPr>
          <w:rFonts w:hint="eastAsia"/>
          <w:sz w:val="26"/>
          <w:szCs w:val="26"/>
          <w:rtl/>
          <w:lang w:eastAsia="en-GB" w:bidi="ar-AE"/>
        </w:rPr>
        <w:t> </w:t>
      </w:r>
      <w:r>
        <w:rPr>
          <w:sz w:val="26"/>
          <w:szCs w:val="26"/>
          <w:lang w:val="en-US" w:eastAsia="en-GB" w:bidi="ar-AE"/>
        </w:rPr>
        <w:t>98</w:t>
      </w:r>
      <w:r>
        <w:rPr>
          <w:rFonts w:hint="cs"/>
          <w:sz w:val="26"/>
          <w:szCs w:val="26"/>
          <w:rtl/>
          <w:lang w:val="en-US" w:eastAsia="en-GB" w:bidi="ar-AE"/>
        </w:rPr>
        <w:t>/</w:t>
      </w:r>
      <w:r>
        <w:rPr>
          <w:sz w:val="26"/>
          <w:szCs w:val="26"/>
          <w:lang w:val="en-US" w:eastAsia="en-GB" w:bidi="ar-AE"/>
        </w:rPr>
        <w:t>26</w:t>
      </w:r>
      <w:r>
        <w:rPr>
          <w:rFonts w:hint="cs"/>
          <w:sz w:val="26"/>
          <w:szCs w:val="26"/>
          <w:rtl/>
          <w:lang w:val="en-US" w:eastAsia="en-GB" w:bidi="ar-AE"/>
        </w:rPr>
        <w:t>، و</w:t>
      </w:r>
      <w:r>
        <w:rPr>
          <w:sz w:val="26"/>
          <w:szCs w:val="26"/>
          <w:lang w:val="en-US" w:eastAsia="en-GB" w:bidi="ar-AE"/>
        </w:rPr>
        <w:t>98</w:t>
      </w:r>
      <w:r>
        <w:rPr>
          <w:rFonts w:hint="cs"/>
          <w:sz w:val="26"/>
          <w:szCs w:val="26"/>
          <w:rtl/>
          <w:lang w:val="en-US" w:eastAsia="en-GB" w:bidi="ar-AE"/>
        </w:rPr>
        <w:t>/</w:t>
      </w:r>
      <w:r>
        <w:rPr>
          <w:sz w:val="26"/>
          <w:szCs w:val="26"/>
          <w:lang w:val="en-US" w:eastAsia="en-GB" w:bidi="ar-AE"/>
        </w:rPr>
        <w:t>41</w:t>
      </w:r>
      <w:r>
        <w:rPr>
          <w:sz w:val="26"/>
          <w:szCs w:val="26"/>
          <w:rtl/>
          <w:lang w:eastAsia="en-GB"/>
        </w:rPr>
        <w:t>).</w:t>
      </w:r>
    </w:p>
    <w:p w14:paraId="5EF00CDF" w14:textId="32D23310" w:rsidR="001407E3" w:rsidRPr="001407E3" w:rsidRDefault="001407E3" w:rsidP="003B64CF">
      <w:pPr>
        <w:pStyle w:val="Heading3"/>
        <w:numPr>
          <w:ilvl w:val="2"/>
          <w:numId w:val="16"/>
        </w:numPr>
        <w:bidi/>
        <w:spacing w:line="288" w:lineRule="auto"/>
        <w:ind w:left="720" w:firstLine="0"/>
        <w:rPr>
          <w:sz w:val="26"/>
          <w:szCs w:val="26"/>
          <w:lang w:eastAsia="en-GB"/>
        </w:rPr>
      </w:pPr>
      <w:r>
        <w:rPr>
          <w:sz w:val="26"/>
          <w:szCs w:val="26"/>
          <w:rtl/>
          <w:lang w:eastAsia="en-GB"/>
        </w:rPr>
        <w:t xml:space="preserve">وفي الاجتماع الثامن والتسعين أيضاً، فيما يتعلق </w:t>
      </w:r>
      <w:r>
        <w:rPr>
          <w:rFonts w:hint="cs"/>
          <w:sz w:val="26"/>
          <w:szCs w:val="26"/>
          <w:rtl/>
          <w:lang w:eastAsia="en-GB"/>
        </w:rPr>
        <w:t>ب</w:t>
      </w:r>
      <w:r>
        <w:rPr>
          <w:sz w:val="26"/>
          <w:szCs w:val="26"/>
          <w:rtl/>
          <w:lang w:eastAsia="en-GB"/>
        </w:rPr>
        <w:t>المشاريع القائمة بذاتها والمتعلقة بكفاءة استخدام الطاقة في سياق التخفيض التدريجي للمواد الهيدروفلوروكربونية، وافقت اللجنة على مشروع للمستخدمين النهائيين في إطار الصندوق المتجدد لكفاءة استخدام الطاقة لبلد واحد، بالإضافة إلى مشروع عالمي للمستخدمين النهائيين في إطار الصندوق المتجدد لكفاءة استخدام الطاقة يغطي ثلاثة بلدان (المقرر</w:t>
      </w:r>
      <w:r>
        <w:rPr>
          <w:rFonts w:hint="cs"/>
          <w:sz w:val="26"/>
          <w:szCs w:val="26"/>
          <w:rtl/>
          <w:lang w:eastAsia="en-GB"/>
        </w:rPr>
        <w:t> </w:t>
      </w:r>
      <w:r>
        <w:rPr>
          <w:sz w:val="26"/>
          <w:szCs w:val="26"/>
          <w:lang w:val="en-US" w:eastAsia="en-GB"/>
        </w:rPr>
        <w:t>98</w:t>
      </w:r>
      <w:r>
        <w:rPr>
          <w:rFonts w:hint="cs"/>
          <w:sz w:val="26"/>
          <w:szCs w:val="26"/>
          <w:rtl/>
          <w:lang w:val="en-US" w:eastAsia="en-GB" w:bidi="ar-AE"/>
        </w:rPr>
        <w:t>/</w:t>
      </w:r>
      <w:r>
        <w:rPr>
          <w:sz w:val="26"/>
          <w:szCs w:val="26"/>
          <w:lang w:val="en-US" w:eastAsia="en-GB" w:bidi="ar-AE"/>
        </w:rPr>
        <w:t>54</w:t>
      </w:r>
      <w:r>
        <w:rPr>
          <w:sz w:val="26"/>
          <w:szCs w:val="26"/>
          <w:rtl/>
          <w:lang w:eastAsia="en-GB"/>
        </w:rPr>
        <w:t>)؛ ومشروع إيضاحي تجريبي في بلد واحد للحفاظ على كفاءة استخدام الطاقة و/أو تعزيزها بالنسبة لتكنولوجيات ومعدات الاستبدال في سياق التخفيض التدريجي للمواد الهيدروفلوروكربونية، بموجب المقرر</w:t>
      </w:r>
      <w:r>
        <w:rPr>
          <w:rFonts w:hint="cs"/>
          <w:sz w:val="26"/>
          <w:szCs w:val="26"/>
          <w:rtl/>
          <w:lang w:eastAsia="en-GB"/>
        </w:rPr>
        <w:t> </w:t>
      </w:r>
      <w:r>
        <w:rPr>
          <w:sz w:val="26"/>
          <w:szCs w:val="26"/>
          <w:lang w:val="en-US" w:eastAsia="en-GB"/>
        </w:rPr>
        <w:t>91</w:t>
      </w:r>
      <w:r>
        <w:rPr>
          <w:rFonts w:hint="cs"/>
          <w:sz w:val="26"/>
          <w:szCs w:val="26"/>
          <w:rtl/>
          <w:lang w:val="en-US" w:eastAsia="en-GB" w:bidi="ar-AE"/>
        </w:rPr>
        <w:t>/</w:t>
      </w:r>
      <w:r>
        <w:rPr>
          <w:sz w:val="26"/>
          <w:szCs w:val="26"/>
          <w:lang w:val="en-US" w:eastAsia="en-GB" w:bidi="ar-AE"/>
        </w:rPr>
        <w:t>65</w:t>
      </w:r>
      <w:r>
        <w:rPr>
          <w:sz w:val="26"/>
          <w:szCs w:val="26"/>
          <w:rtl/>
          <w:lang w:eastAsia="en-GB"/>
        </w:rPr>
        <w:t xml:space="preserve">؛ ومشاريع استثمارية لتعزيز كفاءة استخدام الطاقة في قطاع التصنيع في سياق التخفيض التدريجي للمواد </w:t>
      </w:r>
      <w:r>
        <w:rPr>
          <w:sz w:val="26"/>
          <w:szCs w:val="26"/>
          <w:rtl/>
          <w:lang w:eastAsia="en-GB"/>
        </w:rPr>
        <w:lastRenderedPageBreak/>
        <w:t>الهيدروفلوروكربونية، بموجب المقرر</w:t>
      </w:r>
      <w:r>
        <w:rPr>
          <w:rFonts w:hint="cs"/>
          <w:sz w:val="26"/>
          <w:szCs w:val="26"/>
          <w:rtl/>
          <w:lang w:eastAsia="en-GB"/>
        </w:rPr>
        <w:t> </w:t>
      </w:r>
      <w:r>
        <w:rPr>
          <w:sz w:val="26"/>
          <w:szCs w:val="26"/>
          <w:lang w:val="en-US" w:eastAsia="en-GB"/>
        </w:rPr>
        <w:t>94</w:t>
      </w:r>
      <w:r>
        <w:rPr>
          <w:rFonts w:hint="cs"/>
          <w:sz w:val="26"/>
          <w:szCs w:val="26"/>
          <w:rtl/>
          <w:lang w:val="en-US" w:eastAsia="en-GB" w:bidi="ar-AE"/>
        </w:rPr>
        <w:t>/</w:t>
      </w:r>
      <w:r>
        <w:rPr>
          <w:sz w:val="26"/>
          <w:szCs w:val="26"/>
          <w:lang w:val="en-US" w:eastAsia="en-GB" w:bidi="ar-AE"/>
        </w:rPr>
        <w:t>60</w:t>
      </w:r>
      <w:r>
        <w:rPr>
          <w:sz w:val="26"/>
          <w:szCs w:val="26"/>
          <w:rtl/>
          <w:lang w:eastAsia="en-GB"/>
        </w:rPr>
        <w:t>، لبلدين (المقرران</w:t>
      </w:r>
      <w:r>
        <w:rPr>
          <w:rFonts w:hint="cs"/>
          <w:sz w:val="26"/>
          <w:szCs w:val="26"/>
          <w:rtl/>
          <w:lang w:eastAsia="en-GB"/>
        </w:rPr>
        <w:t> </w:t>
      </w:r>
      <w:r>
        <w:rPr>
          <w:sz w:val="26"/>
          <w:szCs w:val="26"/>
          <w:lang w:val="en-US" w:eastAsia="en-GB"/>
        </w:rPr>
        <w:t>98</w:t>
      </w:r>
      <w:r>
        <w:rPr>
          <w:rFonts w:hint="cs"/>
          <w:sz w:val="26"/>
          <w:szCs w:val="26"/>
          <w:rtl/>
          <w:lang w:val="en-US" w:eastAsia="en-GB" w:bidi="ar-AE"/>
        </w:rPr>
        <w:t>/</w:t>
      </w:r>
      <w:r>
        <w:rPr>
          <w:sz w:val="26"/>
          <w:szCs w:val="26"/>
          <w:lang w:val="en-US" w:eastAsia="en-GB" w:bidi="ar-AE"/>
        </w:rPr>
        <w:t>56</w:t>
      </w:r>
      <w:r>
        <w:rPr>
          <w:rFonts w:hint="cs"/>
          <w:sz w:val="26"/>
          <w:szCs w:val="26"/>
          <w:rtl/>
          <w:lang w:val="en-US" w:eastAsia="en-GB" w:bidi="ar-AE"/>
        </w:rPr>
        <w:t>، و</w:t>
      </w:r>
      <w:r>
        <w:rPr>
          <w:sz w:val="26"/>
          <w:szCs w:val="26"/>
          <w:lang w:val="en-US" w:eastAsia="en-GB" w:bidi="ar-AE"/>
        </w:rPr>
        <w:t>98</w:t>
      </w:r>
      <w:r>
        <w:rPr>
          <w:rFonts w:hint="cs"/>
          <w:sz w:val="26"/>
          <w:szCs w:val="26"/>
          <w:rtl/>
          <w:lang w:val="en-US" w:eastAsia="en-GB" w:bidi="ar-AE"/>
        </w:rPr>
        <w:t>/</w:t>
      </w:r>
      <w:r>
        <w:rPr>
          <w:sz w:val="26"/>
          <w:szCs w:val="26"/>
          <w:lang w:val="en-US" w:eastAsia="en-GB" w:bidi="ar-AE"/>
        </w:rPr>
        <w:t>57</w:t>
      </w:r>
      <w:r>
        <w:rPr>
          <w:sz w:val="26"/>
          <w:szCs w:val="26"/>
          <w:rtl/>
          <w:lang w:eastAsia="en-GB"/>
        </w:rPr>
        <w:t>). كما قررت اللجنة عدم الموافقة على مشروع المستخدمين النهائيين في إطار الصندوق المتجدد لكفاءة استخدام الطاقة لبلد واحد.</w:t>
      </w:r>
    </w:p>
    <w:p w14:paraId="53622CE1" w14:textId="2707B0AE" w:rsidR="00DA25CE" w:rsidRPr="005030DF" w:rsidRDefault="00AF093D">
      <w:pPr>
        <w:pStyle w:val="ListParagraph"/>
        <w:numPr>
          <w:ilvl w:val="0"/>
          <w:numId w:val="26"/>
        </w:numPr>
        <w:bidi/>
        <w:spacing w:after="240"/>
        <w:ind w:hanging="720"/>
        <w:outlineLvl w:val="0"/>
        <w:rPr>
          <w:rFonts w:ascii="Times New Roman" w:hAnsi="Times New Roman" w:cs="Times New Roman"/>
          <w:bCs/>
          <w:sz w:val="26"/>
          <w:szCs w:val="26"/>
        </w:rPr>
      </w:pPr>
      <w:r>
        <w:rPr>
          <w:rFonts w:ascii="Times New Roman" w:hAnsi="Times New Roman" w:cs="Times New Roman"/>
          <w:bCs/>
          <w:sz w:val="26"/>
          <w:szCs w:val="26"/>
          <w:rtl/>
        </w:rPr>
        <w:t>الأنشطة غير الاستثمارية</w:t>
      </w:r>
    </w:p>
    <w:p w14:paraId="5CC82207" w14:textId="1AF23201" w:rsidR="00AF093D" w:rsidRPr="00AF093D" w:rsidRDefault="00DD6243" w:rsidP="003B64CF">
      <w:pPr>
        <w:pStyle w:val="Heading3"/>
        <w:numPr>
          <w:ilvl w:val="2"/>
          <w:numId w:val="16"/>
        </w:numPr>
        <w:bidi/>
        <w:spacing w:line="288" w:lineRule="auto"/>
        <w:ind w:left="720" w:firstLine="0"/>
        <w:rPr>
          <w:sz w:val="26"/>
          <w:szCs w:val="26"/>
          <w:lang w:eastAsia="en-GB"/>
        </w:rPr>
      </w:pPr>
      <w:r>
        <w:rPr>
          <w:sz w:val="26"/>
          <w:szCs w:val="26"/>
          <w:rtl/>
          <w:lang w:eastAsia="en-GB"/>
        </w:rPr>
        <w:t xml:space="preserve">وافقت اللجنة التنفيذية في الاجتماع السابع والتسعين، على جميع طلبات التمويل غير الاستثماري باستثناء طلب واحد. وشملت هذه الطلبات تمويل إعداد المرحلتين الثانية والثالثة من خطط إدارة إزالة المواد الهيدروكلوروفلوروكربونية لأربعة بلدان؛ وإعداد خطط التنفيذ المتعلقة بالمواد الهيدروفلوروكربونية بموجب تعديل كيغالي لأربعة بلدان؛ والتحقق من تنفيذ المرحلة الأولى من خطط التنفيذ المتعلقة بالمواد الهيدروفلوروكربونية بموجب تعديل كيغالي لسبعة بلدان؛ والأنشطة التمكينية للتخفيض التدريجي للمواد الهيدروفلوروكربونية لبلد واحد؛ وإعداد </w:t>
      </w:r>
      <w:r>
        <w:rPr>
          <w:rFonts w:hint="cs"/>
          <w:sz w:val="26"/>
          <w:szCs w:val="26"/>
          <w:rtl/>
          <w:lang w:eastAsia="en-GB"/>
        </w:rPr>
        <w:t>مشاريع</w:t>
      </w:r>
      <w:r>
        <w:rPr>
          <w:sz w:val="26"/>
          <w:szCs w:val="26"/>
          <w:rtl/>
          <w:lang w:eastAsia="en-GB"/>
        </w:rPr>
        <w:t xml:space="preserve"> تجريبي</w:t>
      </w:r>
      <w:r>
        <w:rPr>
          <w:rFonts w:hint="cs"/>
          <w:sz w:val="26"/>
          <w:szCs w:val="26"/>
          <w:rtl/>
          <w:lang w:eastAsia="en-GB"/>
        </w:rPr>
        <w:t>ة</w:t>
      </w:r>
      <w:r>
        <w:rPr>
          <w:sz w:val="26"/>
          <w:szCs w:val="26"/>
          <w:rtl/>
          <w:lang w:eastAsia="en-GB"/>
        </w:rPr>
        <w:t xml:space="preserve"> للحفاظ على كفاءة استخدام الطاقة في التكنولوجيات والمعدات البديلة و/أو تعزيزها في سياق التخفيض التدريجي للمواد الهيدروفلوروكربونية، بموجب المقررين</w:t>
      </w:r>
      <w:r>
        <w:rPr>
          <w:rFonts w:hint="cs"/>
          <w:sz w:val="26"/>
          <w:szCs w:val="26"/>
          <w:rtl/>
          <w:lang w:eastAsia="en-GB"/>
        </w:rPr>
        <w:t xml:space="preserve"> </w:t>
      </w:r>
      <w:r>
        <w:rPr>
          <w:sz w:val="26"/>
          <w:szCs w:val="26"/>
          <w:lang w:val="en-US" w:eastAsia="en-GB"/>
        </w:rPr>
        <w:t>91</w:t>
      </w:r>
      <w:r>
        <w:rPr>
          <w:rFonts w:hint="cs"/>
          <w:sz w:val="26"/>
          <w:szCs w:val="26"/>
          <w:rtl/>
          <w:lang w:val="en-US" w:eastAsia="en-GB" w:bidi="ar-AE"/>
        </w:rPr>
        <w:t>/</w:t>
      </w:r>
      <w:r>
        <w:rPr>
          <w:sz w:val="26"/>
          <w:szCs w:val="26"/>
          <w:lang w:val="en-US" w:eastAsia="en-GB" w:bidi="ar-AE"/>
        </w:rPr>
        <w:t>65</w:t>
      </w:r>
      <w:r>
        <w:rPr>
          <w:rFonts w:hint="cs"/>
          <w:sz w:val="26"/>
          <w:szCs w:val="26"/>
          <w:rtl/>
          <w:lang w:val="en-US" w:eastAsia="en-GB" w:bidi="ar-AE"/>
        </w:rPr>
        <w:t xml:space="preserve"> و</w:t>
      </w:r>
      <w:r>
        <w:rPr>
          <w:sz w:val="26"/>
          <w:szCs w:val="26"/>
          <w:lang w:val="en-US" w:eastAsia="en-GB" w:bidi="ar-AE"/>
        </w:rPr>
        <w:t>95</w:t>
      </w:r>
      <w:r>
        <w:rPr>
          <w:rFonts w:hint="cs"/>
          <w:sz w:val="26"/>
          <w:szCs w:val="26"/>
          <w:rtl/>
          <w:lang w:val="en-US" w:eastAsia="en-GB" w:bidi="ar-AE"/>
        </w:rPr>
        <w:t>/</w:t>
      </w:r>
      <w:r>
        <w:rPr>
          <w:sz w:val="26"/>
          <w:szCs w:val="26"/>
          <w:lang w:val="en-US" w:eastAsia="en-GB" w:bidi="ar-AE"/>
        </w:rPr>
        <w:t>87</w:t>
      </w:r>
      <w:r>
        <w:rPr>
          <w:sz w:val="26"/>
          <w:szCs w:val="26"/>
          <w:rtl/>
          <w:lang w:eastAsia="en-GB"/>
        </w:rPr>
        <w:t xml:space="preserve">، لبلدين؛ وتجديد مشروعات </w:t>
      </w:r>
      <w:r>
        <w:rPr>
          <w:rFonts w:hint="cs"/>
          <w:sz w:val="26"/>
          <w:szCs w:val="26"/>
          <w:rtl/>
          <w:lang w:eastAsia="en-GB"/>
        </w:rPr>
        <w:t>ال</w:t>
      </w:r>
      <w:r>
        <w:rPr>
          <w:sz w:val="26"/>
          <w:szCs w:val="26"/>
          <w:rtl/>
          <w:lang w:eastAsia="en-GB"/>
        </w:rPr>
        <w:t xml:space="preserve">تعزيز </w:t>
      </w:r>
      <w:r>
        <w:rPr>
          <w:rFonts w:hint="cs"/>
          <w:sz w:val="26"/>
          <w:szCs w:val="26"/>
          <w:rtl/>
          <w:lang w:eastAsia="en-GB"/>
        </w:rPr>
        <w:t>المؤسسي</w:t>
      </w:r>
      <w:r>
        <w:rPr>
          <w:sz w:val="26"/>
          <w:szCs w:val="26"/>
          <w:rtl/>
          <w:lang w:eastAsia="en-GB"/>
        </w:rPr>
        <w:t xml:space="preserve"> لخمسة بلدان؛ وإعداد قوائم جرد وطنية </w:t>
      </w:r>
      <w:r>
        <w:rPr>
          <w:rFonts w:hint="cs"/>
          <w:sz w:val="26"/>
          <w:szCs w:val="26"/>
          <w:rtl/>
          <w:lang w:eastAsia="en-GB"/>
        </w:rPr>
        <w:t>لمخزون</w:t>
      </w:r>
      <w:r>
        <w:rPr>
          <w:sz w:val="26"/>
          <w:szCs w:val="26"/>
          <w:rtl/>
          <w:lang w:eastAsia="en-GB"/>
        </w:rPr>
        <w:t xml:space="preserve"> النفايات الخاضعة للرقابة ووضع خطة وطنية لإدارة هذه المواد لنحو </w:t>
      </w:r>
      <w:r>
        <w:rPr>
          <w:sz w:val="26"/>
          <w:szCs w:val="26"/>
          <w:lang w:eastAsia="en-GB"/>
        </w:rPr>
        <w:t>28</w:t>
      </w:r>
      <w:r>
        <w:rPr>
          <w:sz w:val="26"/>
          <w:szCs w:val="26"/>
          <w:rtl/>
          <w:lang w:eastAsia="en-GB"/>
        </w:rPr>
        <w:t xml:space="preserve"> بلداً. وقد عُرضت هذه الطلبات في وثائق التعاون الثنائي</w:t>
      </w:r>
      <w:r>
        <w:rPr>
          <w:rStyle w:val="FootnoteReference"/>
          <w:sz w:val="26"/>
          <w:szCs w:val="26"/>
          <w:lang w:val="en-US" w:eastAsia="en-GB"/>
        </w:rPr>
        <w:footnoteReference w:id="28"/>
      </w:r>
      <w:r>
        <w:rPr>
          <w:sz w:val="26"/>
          <w:szCs w:val="26"/>
          <w:rtl/>
          <w:lang w:eastAsia="en-GB"/>
        </w:rPr>
        <w:t xml:space="preserve"> وتعديلات برنامج العمل لعام </w:t>
      </w:r>
      <w:r>
        <w:rPr>
          <w:sz w:val="26"/>
          <w:szCs w:val="26"/>
          <w:lang w:eastAsia="en-GB"/>
        </w:rPr>
        <w:t>2025</w:t>
      </w:r>
      <w:r>
        <w:rPr>
          <w:sz w:val="26"/>
          <w:szCs w:val="26"/>
          <w:rtl/>
          <w:lang w:eastAsia="en-GB"/>
        </w:rPr>
        <w:t xml:space="preserve"> </w:t>
      </w:r>
      <w:r>
        <w:rPr>
          <w:rFonts w:hint="cs"/>
          <w:sz w:val="26"/>
          <w:szCs w:val="26"/>
          <w:rtl/>
          <w:lang w:eastAsia="en-GB" w:bidi="ar-AE"/>
        </w:rPr>
        <w:t>لليوئنديبي</w:t>
      </w:r>
      <w:r>
        <w:rPr>
          <w:rStyle w:val="FootnoteReference"/>
          <w:sz w:val="26"/>
          <w:szCs w:val="26"/>
          <w:lang w:val="en-US" w:eastAsia="en-GB" w:bidi="ar-AE"/>
        </w:rPr>
        <w:footnoteReference w:id="29"/>
      </w:r>
      <w:r>
        <w:rPr>
          <w:rFonts w:hint="cs"/>
          <w:sz w:val="26"/>
          <w:szCs w:val="26"/>
          <w:rtl/>
          <w:lang w:eastAsia="en-GB" w:bidi="ar-AE"/>
        </w:rPr>
        <w:t>، واليونيب</w:t>
      </w:r>
      <w:r>
        <w:rPr>
          <w:rStyle w:val="FootnoteReference"/>
          <w:sz w:val="26"/>
          <w:szCs w:val="26"/>
          <w:lang w:val="en-US" w:eastAsia="en-GB" w:bidi="ar-AE"/>
        </w:rPr>
        <w:footnoteReference w:id="30"/>
      </w:r>
      <w:r>
        <w:rPr>
          <w:rFonts w:hint="cs"/>
          <w:sz w:val="26"/>
          <w:szCs w:val="26"/>
          <w:rtl/>
          <w:lang w:eastAsia="en-GB" w:bidi="ar-AE"/>
        </w:rPr>
        <w:t>، واليونيدو</w:t>
      </w:r>
      <w:r>
        <w:rPr>
          <w:rStyle w:val="FootnoteReference"/>
          <w:sz w:val="26"/>
          <w:szCs w:val="26"/>
          <w:lang w:val="en-US" w:eastAsia="en-GB" w:bidi="ar-AE"/>
        </w:rPr>
        <w:footnoteReference w:id="31"/>
      </w:r>
      <w:r>
        <w:rPr>
          <w:rFonts w:hint="cs"/>
          <w:sz w:val="26"/>
          <w:szCs w:val="26"/>
          <w:rtl/>
          <w:lang w:eastAsia="en-GB" w:bidi="ar-AE"/>
        </w:rPr>
        <w:t xml:space="preserve">، </w:t>
      </w:r>
      <w:r>
        <w:rPr>
          <w:sz w:val="26"/>
          <w:szCs w:val="26"/>
          <w:rtl/>
          <w:lang w:eastAsia="en-GB"/>
        </w:rPr>
        <w:t>والبنك الدولي</w:t>
      </w:r>
      <w:r>
        <w:rPr>
          <w:rStyle w:val="FootnoteReference"/>
          <w:sz w:val="26"/>
          <w:szCs w:val="26"/>
          <w:lang w:val="en-US" w:eastAsia="en-GB" w:bidi="ar-AE"/>
        </w:rPr>
        <w:footnoteReference w:id="32"/>
      </w:r>
      <w:r>
        <w:rPr>
          <w:sz w:val="26"/>
          <w:szCs w:val="26"/>
          <w:rtl/>
          <w:lang w:eastAsia="en-GB"/>
        </w:rPr>
        <w:t xml:space="preserve"> (المقرران</w:t>
      </w:r>
      <w:r>
        <w:rPr>
          <w:rFonts w:hint="cs"/>
          <w:sz w:val="26"/>
          <w:szCs w:val="26"/>
          <w:rtl/>
          <w:lang w:eastAsia="en-GB"/>
        </w:rPr>
        <w:t> </w:t>
      </w:r>
      <w:r>
        <w:rPr>
          <w:sz w:val="26"/>
          <w:szCs w:val="26"/>
          <w:lang w:val="en-US" w:eastAsia="en-GB"/>
        </w:rPr>
        <w:t>97</w:t>
      </w:r>
      <w:r>
        <w:rPr>
          <w:rFonts w:hint="cs"/>
          <w:sz w:val="26"/>
          <w:szCs w:val="26"/>
          <w:rtl/>
          <w:lang w:val="en-US" w:eastAsia="en-GB" w:bidi="ar-AE"/>
        </w:rPr>
        <w:t>/</w:t>
      </w:r>
      <w:r>
        <w:rPr>
          <w:sz w:val="26"/>
          <w:szCs w:val="26"/>
          <w:lang w:val="en-US" w:eastAsia="en-GB" w:bidi="ar-AE"/>
        </w:rPr>
        <w:t>35</w:t>
      </w:r>
      <w:r>
        <w:rPr>
          <w:rFonts w:hint="cs"/>
          <w:sz w:val="26"/>
          <w:szCs w:val="26"/>
          <w:rtl/>
          <w:lang w:val="en-US" w:eastAsia="en-GB" w:bidi="ar-AE"/>
        </w:rPr>
        <w:t xml:space="preserve"> و</w:t>
      </w:r>
      <w:r>
        <w:rPr>
          <w:sz w:val="26"/>
          <w:szCs w:val="26"/>
          <w:lang w:val="en-US" w:eastAsia="en-GB" w:bidi="ar-AE"/>
        </w:rPr>
        <w:t>97</w:t>
      </w:r>
      <w:r>
        <w:rPr>
          <w:rFonts w:hint="cs"/>
          <w:sz w:val="26"/>
          <w:szCs w:val="26"/>
          <w:rtl/>
          <w:lang w:val="en-US" w:eastAsia="en-GB" w:bidi="ar-AE"/>
        </w:rPr>
        <w:t>/</w:t>
      </w:r>
      <w:r>
        <w:rPr>
          <w:sz w:val="26"/>
          <w:szCs w:val="26"/>
          <w:lang w:val="en-US" w:eastAsia="en-GB" w:bidi="ar-AE"/>
        </w:rPr>
        <w:t>37</w:t>
      </w:r>
      <w:r>
        <w:rPr>
          <w:sz w:val="26"/>
          <w:szCs w:val="26"/>
          <w:rtl/>
          <w:lang w:eastAsia="en-GB"/>
        </w:rPr>
        <w:t>). وكان الطلب الذي لم تتم الموافقة عليه يتعلق بإعداد مشروع تجريبي للحفاظ على كفاءة استخدام الطاقة و/أو تعزيزها في سياق التخفيض التدريجي للمواد الهيدروفلوروكربونية، بموجب المقرر</w:t>
      </w:r>
      <w:r>
        <w:rPr>
          <w:rFonts w:hint="cs"/>
          <w:sz w:val="26"/>
          <w:szCs w:val="26"/>
          <w:rtl/>
          <w:lang w:eastAsia="en-GB"/>
        </w:rPr>
        <w:t> </w:t>
      </w:r>
      <w:r>
        <w:rPr>
          <w:sz w:val="26"/>
          <w:szCs w:val="26"/>
          <w:lang w:val="en-US" w:eastAsia="en-GB"/>
        </w:rPr>
        <w:t>91</w:t>
      </w:r>
      <w:r>
        <w:rPr>
          <w:rFonts w:hint="cs"/>
          <w:sz w:val="26"/>
          <w:szCs w:val="26"/>
          <w:rtl/>
          <w:lang w:val="en-US" w:eastAsia="en-GB" w:bidi="ar-AE"/>
        </w:rPr>
        <w:t>/</w:t>
      </w:r>
      <w:r>
        <w:rPr>
          <w:sz w:val="26"/>
          <w:szCs w:val="26"/>
          <w:lang w:val="en-US" w:eastAsia="en-GB" w:bidi="ar-AE"/>
        </w:rPr>
        <w:t>65</w:t>
      </w:r>
      <w:r>
        <w:rPr>
          <w:sz w:val="26"/>
          <w:szCs w:val="26"/>
          <w:rtl/>
          <w:lang w:eastAsia="en-GB"/>
        </w:rPr>
        <w:t>، في بلد واحد (المقرر</w:t>
      </w:r>
      <w:r>
        <w:rPr>
          <w:rFonts w:hint="cs"/>
          <w:sz w:val="26"/>
          <w:szCs w:val="26"/>
          <w:rtl/>
          <w:lang w:eastAsia="en-GB"/>
        </w:rPr>
        <w:t> </w:t>
      </w:r>
      <w:r>
        <w:rPr>
          <w:sz w:val="26"/>
          <w:szCs w:val="26"/>
          <w:lang w:val="en-US" w:eastAsia="en-GB"/>
        </w:rPr>
        <w:t>97</w:t>
      </w:r>
      <w:r>
        <w:rPr>
          <w:rFonts w:hint="cs"/>
          <w:sz w:val="26"/>
          <w:szCs w:val="26"/>
          <w:rtl/>
          <w:lang w:val="en-US" w:eastAsia="en-GB" w:bidi="ar-AE"/>
        </w:rPr>
        <w:t>/</w:t>
      </w:r>
      <w:r>
        <w:rPr>
          <w:sz w:val="26"/>
          <w:szCs w:val="26"/>
          <w:lang w:val="en-US" w:eastAsia="en-GB" w:bidi="ar-AE"/>
        </w:rPr>
        <w:t>36</w:t>
      </w:r>
      <w:r>
        <w:rPr>
          <w:sz w:val="26"/>
          <w:szCs w:val="26"/>
          <w:rtl/>
          <w:lang w:eastAsia="en-GB"/>
        </w:rPr>
        <w:t>).</w:t>
      </w:r>
    </w:p>
    <w:p w14:paraId="2F5EE467" w14:textId="674FF783" w:rsidR="00611611" w:rsidRPr="00611611" w:rsidRDefault="00C107DD" w:rsidP="003B64CF">
      <w:pPr>
        <w:pStyle w:val="Heading3"/>
        <w:numPr>
          <w:ilvl w:val="2"/>
          <w:numId w:val="16"/>
        </w:numPr>
        <w:bidi/>
        <w:spacing w:line="288" w:lineRule="auto"/>
        <w:ind w:left="720" w:firstLine="0"/>
        <w:rPr>
          <w:sz w:val="26"/>
          <w:szCs w:val="26"/>
          <w:lang w:eastAsia="en-GB"/>
        </w:rPr>
      </w:pPr>
      <w:r>
        <w:rPr>
          <w:sz w:val="26"/>
          <w:szCs w:val="26"/>
          <w:rtl/>
          <w:lang w:eastAsia="en-GB"/>
        </w:rPr>
        <w:t xml:space="preserve">في الاجتماع الثامن والتسعين، وافقت اللجنة التنفيذية على جميع طلبات التمويل غير الاستثماري باستثناء خمسة منها. تمثلت الطلبات المقدمة في تمويل لإعداد خطط تنفيذ كيغالي لثلاثة بلدان؛ وإعداد مشاريع استثمارية لخطط تنفيذ كيغالي لبلد واحد؛ والتحقق من خطط إدارة إزالة المواد الهيدروكلوروفلوروكربونية لثمانية بلدان، ومن خطط تنفيذ كيغالي لـ </w:t>
      </w:r>
      <w:r>
        <w:rPr>
          <w:sz w:val="26"/>
          <w:szCs w:val="26"/>
          <w:lang w:eastAsia="en-GB"/>
        </w:rPr>
        <w:t>34</w:t>
      </w:r>
      <w:r>
        <w:rPr>
          <w:sz w:val="26"/>
          <w:szCs w:val="26"/>
          <w:rtl/>
          <w:lang w:eastAsia="en-GB"/>
        </w:rPr>
        <w:t xml:space="preserve"> بلداً، ومن كليهما</w:t>
      </w:r>
      <w:r>
        <w:rPr>
          <w:rFonts w:hint="cs"/>
          <w:sz w:val="26"/>
          <w:szCs w:val="26"/>
          <w:rtl/>
          <w:lang w:eastAsia="en-GB"/>
        </w:rPr>
        <w:t>، خطط إدارة إزالة المواد الهيدروكلوروفلوروكربونية، وخطط تنفيذ كيغالي</w:t>
      </w:r>
      <w:r>
        <w:rPr>
          <w:sz w:val="26"/>
          <w:szCs w:val="26"/>
          <w:rtl/>
          <w:lang w:eastAsia="en-GB"/>
        </w:rPr>
        <w:t xml:space="preserve"> لثمانية بلدان؛ وإعداد مشاريع، بموجب المقرر</w:t>
      </w:r>
      <w:r>
        <w:rPr>
          <w:rFonts w:hint="cs"/>
          <w:sz w:val="26"/>
          <w:szCs w:val="26"/>
          <w:rtl/>
          <w:lang w:eastAsia="en-GB"/>
        </w:rPr>
        <w:t> </w:t>
      </w:r>
      <w:r>
        <w:rPr>
          <w:sz w:val="26"/>
          <w:szCs w:val="26"/>
          <w:lang w:val="en-US" w:eastAsia="en-GB"/>
        </w:rPr>
        <w:t>91</w:t>
      </w:r>
      <w:r>
        <w:rPr>
          <w:rFonts w:hint="cs"/>
          <w:sz w:val="26"/>
          <w:szCs w:val="26"/>
          <w:rtl/>
          <w:lang w:val="en-US" w:eastAsia="en-GB" w:bidi="ar-AE"/>
        </w:rPr>
        <w:t>/</w:t>
      </w:r>
      <w:r>
        <w:rPr>
          <w:sz w:val="26"/>
          <w:szCs w:val="26"/>
          <w:lang w:val="en-US" w:eastAsia="en-GB" w:bidi="ar-AE"/>
        </w:rPr>
        <w:t>65</w:t>
      </w:r>
      <w:r>
        <w:rPr>
          <w:sz w:val="26"/>
          <w:szCs w:val="26"/>
          <w:rtl/>
          <w:lang w:eastAsia="en-GB"/>
        </w:rPr>
        <w:t xml:space="preserve">، للحفاظ على كفاءة استخدام الطاقة و/أو تعزيزها في سياق التخفيض التدريجي للمواد الهيدروفلوروكربونية لـ </w:t>
      </w:r>
      <w:r>
        <w:rPr>
          <w:sz w:val="26"/>
          <w:szCs w:val="26"/>
          <w:lang w:eastAsia="en-GB"/>
        </w:rPr>
        <w:t>13</w:t>
      </w:r>
      <w:r>
        <w:rPr>
          <w:sz w:val="26"/>
          <w:szCs w:val="26"/>
          <w:rtl/>
          <w:lang w:eastAsia="en-GB"/>
        </w:rPr>
        <w:t xml:space="preserve"> بلداً، وإعداد مشروع إقليمي واحد؛ وإعداد مشاريع، بموجب المقرر</w:t>
      </w:r>
      <w:r>
        <w:rPr>
          <w:rFonts w:hint="cs"/>
          <w:sz w:val="26"/>
          <w:szCs w:val="26"/>
          <w:rtl/>
          <w:lang w:eastAsia="en-GB" w:bidi="ar-AE"/>
        </w:rPr>
        <w:t> </w:t>
      </w:r>
      <w:r>
        <w:rPr>
          <w:sz w:val="26"/>
          <w:szCs w:val="26"/>
          <w:lang w:val="en-US" w:eastAsia="en-GB" w:bidi="ar-AE"/>
        </w:rPr>
        <w:t>94</w:t>
      </w:r>
      <w:r>
        <w:rPr>
          <w:rFonts w:hint="cs"/>
          <w:sz w:val="26"/>
          <w:szCs w:val="26"/>
          <w:rtl/>
          <w:lang w:val="en-US" w:eastAsia="en-GB" w:bidi="ar-AE"/>
        </w:rPr>
        <w:t>/</w:t>
      </w:r>
      <w:r>
        <w:rPr>
          <w:sz w:val="26"/>
          <w:szCs w:val="26"/>
          <w:lang w:val="en-US" w:eastAsia="en-GB" w:bidi="ar-AE"/>
        </w:rPr>
        <w:t>60</w:t>
      </w:r>
      <w:r>
        <w:rPr>
          <w:sz w:val="26"/>
          <w:szCs w:val="26"/>
          <w:rtl/>
          <w:lang w:eastAsia="en-GB"/>
        </w:rPr>
        <w:t xml:space="preserve">، لتعزيز كفاءة استخدام الطاقة في تصنيع أجهزة التبريد وتكييف الهواء في سياق التخفيض التدريجي للمواد الهيدروفلوروكربونية في ثلاثة بلدان؛ وتجديد مشاريع التعزيز المؤسسي لـ </w:t>
      </w:r>
      <w:r>
        <w:rPr>
          <w:sz w:val="26"/>
          <w:szCs w:val="26"/>
          <w:lang w:eastAsia="en-GB"/>
        </w:rPr>
        <w:t>23</w:t>
      </w:r>
      <w:r>
        <w:rPr>
          <w:sz w:val="26"/>
          <w:szCs w:val="26"/>
          <w:rtl/>
          <w:lang w:eastAsia="en-GB"/>
        </w:rPr>
        <w:t xml:space="preserve"> بلداً. وقُدمت الطلبات في وثائق التعاون الثنائي</w:t>
      </w:r>
      <w:r>
        <w:rPr>
          <w:rStyle w:val="FootnoteReference"/>
          <w:sz w:val="26"/>
          <w:szCs w:val="26"/>
          <w:lang w:val="en-US" w:eastAsia="en-GB" w:bidi="ar-AE"/>
        </w:rPr>
        <w:footnoteReference w:id="33"/>
      </w:r>
      <w:r>
        <w:rPr>
          <w:sz w:val="26"/>
          <w:szCs w:val="26"/>
          <w:rtl/>
          <w:lang w:eastAsia="en-GB"/>
        </w:rPr>
        <w:t xml:space="preserve"> وتعديلات برامج عمل </w:t>
      </w:r>
      <w:r>
        <w:rPr>
          <w:sz w:val="26"/>
          <w:szCs w:val="26"/>
          <w:lang w:eastAsia="en-GB"/>
        </w:rPr>
        <w:t>2026</w:t>
      </w:r>
      <w:r>
        <w:rPr>
          <w:sz w:val="26"/>
          <w:szCs w:val="26"/>
          <w:rtl/>
          <w:lang w:eastAsia="en-GB"/>
        </w:rPr>
        <w:t xml:space="preserve"> لكل من اليوئنديبي</w:t>
      </w:r>
      <w:r>
        <w:rPr>
          <w:rStyle w:val="FootnoteReference"/>
          <w:sz w:val="26"/>
          <w:szCs w:val="26"/>
          <w:lang w:val="en-US" w:eastAsia="en-GB" w:bidi="ar-AE"/>
        </w:rPr>
        <w:footnoteReference w:id="34"/>
      </w:r>
      <w:r>
        <w:rPr>
          <w:sz w:val="26"/>
          <w:szCs w:val="26"/>
          <w:rtl/>
          <w:lang w:eastAsia="en-GB"/>
        </w:rPr>
        <w:t xml:space="preserve"> واليونيب</w:t>
      </w:r>
      <w:r>
        <w:rPr>
          <w:rStyle w:val="FootnoteReference"/>
          <w:sz w:val="26"/>
          <w:szCs w:val="26"/>
          <w:lang w:val="en-US" w:eastAsia="en-GB" w:bidi="ar-AE"/>
        </w:rPr>
        <w:footnoteReference w:id="35"/>
      </w:r>
      <w:r>
        <w:rPr>
          <w:sz w:val="26"/>
          <w:szCs w:val="26"/>
          <w:rtl/>
          <w:lang w:eastAsia="en-GB"/>
        </w:rPr>
        <w:t xml:space="preserve"> واليونيدو</w:t>
      </w:r>
      <w:r>
        <w:rPr>
          <w:rStyle w:val="FootnoteReference"/>
          <w:sz w:val="26"/>
          <w:szCs w:val="26"/>
          <w:lang w:val="en-US" w:eastAsia="en-GB" w:bidi="ar-AE"/>
        </w:rPr>
        <w:footnoteReference w:id="36"/>
      </w:r>
      <w:r>
        <w:rPr>
          <w:sz w:val="26"/>
          <w:szCs w:val="26"/>
          <w:rtl/>
          <w:lang w:eastAsia="en-GB"/>
        </w:rPr>
        <w:t>. وتعلقت الطلبات التي لم تتم الموافقة عليها بإعداد مشاريع تجريبية، بموجب المقرر</w:t>
      </w:r>
      <w:r>
        <w:rPr>
          <w:rFonts w:hint="cs"/>
          <w:sz w:val="26"/>
          <w:szCs w:val="26"/>
          <w:rtl/>
          <w:lang w:eastAsia="en-GB" w:bidi="ar-AE"/>
        </w:rPr>
        <w:t> </w:t>
      </w:r>
      <w:r>
        <w:rPr>
          <w:sz w:val="26"/>
          <w:szCs w:val="26"/>
          <w:lang w:val="en-US" w:eastAsia="en-GB" w:bidi="ar-AE"/>
        </w:rPr>
        <w:t>91</w:t>
      </w:r>
      <w:r>
        <w:rPr>
          <w:rFonts w:hint="cs"/>
          <w:sz w:val="26"/>
          <w:szCs w:val="26"/>
          <w:rtl/>
          <w:lang w:val="en-US" w:eastAsia="en-GB" w:bidi="ar-AE"/>
        </w:rPr>
        <w:t>/</w:t>
      </w:r>
      <w:r>
        <w:rPr>
          <w:sz w:val="26"/>
          <w:szCs w:val="26"/>
          <w:lang w:val="en-US" w:eastAsia="en-GB" w:bidi="ar-AE"/>
        </w:rPr>
        <w:t>65</w:t>
      </w:r>
      <w:r>
        <w:rPr>
          <w:sz w:val="26"/>
          <w:szCs w:val="26"/>
          <w:rtl/>
          <w:lang w:eastAsia="en-GB"/>
        </w:rPr>
        <w:t>، للحفاظ على كفاءة استخدام الطاقة و/أو تعزيزها في مراكز البيانات، في بلدين (المقرر</w:t>
      </w:r>
      <w:r>
        <w:rPr>
          <w:rFonts w:hint="cs"/>
          <w:sz w:val="26"/>
          <w:szCs w:val="26"/>
          <w:rtl/>
          <w:lang w:eastAsia="en-GB"/>
        </w:rPr>
        <w:t> </w:t>
      </w:r>
      <w:r>
        <w:rPr>
          <w:sz w:val="26"/>
          <w:szCs w:val="26"/>
          <w:lang w:val="en-US" w:eastAsia="en-GB"/>
        </w:rPr>
        <w:t>98</w:t>
      </w:r>
      <w:r>
        <w:rPr>
          <w:rFonts w:hint="cs"/>
          <w:sz w:val="26"/>
          <w:szCs w:val="26"/>
          <w:rtl/>
          <w:lang w:val="en-US" w:eastAsia="en-GB" w:bidi="ar-AE"/>
        </w:rPr>
        <w:t>/</w:t>
      </w:r>
      <w:r>
        <w:rPr>
          <w:sz w:val="26"/>
          <w:szCs w:val="26"/>
          <w:lang w:val="en-US" w:eastAsia="en-GB" w:bidi="ar-AE"/>
        </w:rPr>
        <w:t>27</w:t>
      </w:r>
      <w:r>
        <w:rPr>
          <w:sz w:val="26"/>
          <w:szCs w:val="26"/>
          <w:rtl/>
          <w:lang w:eastAsia="en-GB"/>
        </w:rPr>
        <w:t>)، وبإعداد مشاريع لتعزيز كفاءة استخدام الطاقة في تصنيع أجهزة التبريد وتكييف الهواء في سياق التخفيض التدريجي للمواد الهيدروفلوروكربونية، بموجب المقرر</w:t>
      </w:r>
      <w:r>
        <w:rPr>
          <w:rFonts w:hint="cs"/>
          <w:sz w:val="26"/>
          <w:szCs w:val="26"/>
          <w:rtl/>
          <w:lang w:eastAsia="en-GB"/>
        </w:rPr>
        <w:t> </w:t>
      </w:r>
      <w:r>
        <w:rPr>
          <w:sz w:val="26"/>
          <w:szCs w:val="26"/>
          <w:lang w:val="en-US" w:eastAsia="en-GB"/>
        </w:rPr>
        <w:t>94</w:t>
      </w:r>
      <w:r>
        <w:rPr>
          <w:rFonts w:hint="cs"/>
          <w:sz w:val="26"/>
          <w:szCs w:val="26"/>
          <w:rtl/>
          <w:lang w:val="en-US" w:eastAsia="en-GB" w:bidi="ar-AE"/>
        </w:rPr>
        <w:t>/</w:t>
      </w:r>
      <w:r>
        <w:rPr>
          <w:sz w:val="26"/>
          <w:szCs w:val="26"/>
          <w:lang w:val="en-US" w:eastAsia="en-GB" w:bidi="ar-AE"/>
        </w:rPr>
        <w:t>60</w:t>
      </w:r>
      <w:r>
        <w:rPr>
          <w:sz w:val="26"/>
          <w:szCs w:val="26"/>
          <w:rtl/>
          <w:lang w:eastAsia="en-GB"/>
        </w:rPr>
        <w:t xml:space="preserve">، في ثلاثة </w:t>
      </w:r>
      <w:r>
        <w:rPr>
          <w:sz w:val="26"/>
          <w:szCs w:val="26"/>
          <w:rtl/>
          <w:lang w:eastAsia="en-GB"/>
        </w:rPr>
        <w:lastRenderedPageBreak/>
        <w:t>بلدان. وأُرجئ النظر في أحد هذه المشاريع الأخيرة إلى اجتماع مستقبلي عندما تتوفر معلومات كافية عن المنشآت المقترحة ونطاق المشروع (المقرر</w:t>
      </w:r>
      <w:r>
        <w:rPr>
          <w:rFonts w:hint="cs"/>
          <w:sz w:val="26"/>
          <w:szCs w:val="26"/>
          <w:rtl/>
          <w:lang w:eastAsia="en-GB"/>
        </w:rPr>
        <w:t> </w:t>
      </w:r>
      <w:r>
        <w:rPr>
          <w:sz w:val="26"/>
          <w:szCs w:val="26"/>
          <w:lang w:val="en-US" w:eastAsia="en-GB"/>
        </w:rPr>
        <w:t>98</w:t>
      </w:r>
      <w:r>
        <w:rPr>
          <w:rFonts w:hint="cs"/>
          <w:sz w:val="26"/>
          <w:szCs w:val="26"/>
          <w:rtl/>
          <w:lang w:val="en-US" w:eastAsia="en-GB" w:bidi="ar-AE"/>
        </w:rPr>
        <w:t>/</w:t>
      </w:r>
      <w:r>
        <w:rPr>
          <w:sz w:val="26"/>
          <w:szCs w:val="26"/>
          <w:lang w:val="en-US" w:eastAsia="en-GB" w:bidi="ar-AE"/>
        </w:rPr>
        <w:t>28</w:t>
      </w:r>
      <w:r>
        <w:rPr>
          <w:sz w:val="26"/>
          <w:szCs w:val="26"/>
          <w:rtl/>
          <w:lang w:eastAsia="en-GB"/>
        </w:rPr>
        <w:t>)، وأُرجئ النظر في المشروعين الآخرين من هذا النوع إلى الاجتماع التاسع والتسعين (المقرر</w:t>
      </w:r>
      <w:r>
        <w:rPr>
          <w:rFonts w:hint="cs"/>
          <w:sz w:val="26"/>
          <w:szCs w:val="26"/>
          <w:rtl/>
          <w:lang w:eastAsia="en-GB"/>
        </w:rPr>
        <w:t> </w:t>
      </w:r>
      <w:r>
        <w:rPr>
          <w:sz w:val="26"/>
          <w:szCs w:val="26"/>
          <w:lang w:val="en-US" w:eastAsia="en-GB"/>
        </w:rPr>
        <w:t>98</w:t>
      </w:r>
      <w:r>
        <w:rPr>
          <w:rFonts w:hint="cs"/>
          <w:sz w:val="26"/>
          <w:szCs w:val="26"/>
          <w:rtl/>
          <w:lang w:val="en-US" w:eastAsia="en-GB" w:bidi="ar-AE"/>
        </w:rPr>
        <w:t>/</w:t>
      </w:r>
      <w:r>
        <w:rPr>
          <w:sz w:val="26"/>
          <w:szCs w:val="26"/>
          <w:lang w:val="en-US" w:eastAsia="en-GB" w:bidi="ar-AE"/>
        </w:rPr>
        <w:t>29</w:t>
      </w:r>
      <w:r>
        <w:rPr>
          <w:sz w:val="26"/>
          <w:szCs w:val="26"/>
          <w:rtl/>
          <w:lang w:eastAsia="en-GB"/>
        </w:rPr>
        <w:t>).</w:t>
      </w:r>
    </w:p>
    <w:p w14:paraId="6C37CCBC" w14:textId="522DE529" w:rsidR="00E94810" w:rsidRPr="005030DF" w:rsidRDefault="00E94810">
      <w:pPr>
        <w:pStyle w:val="ListParagraph"/>
        <w:numPr>
          <w:ilvl w:val="0"/>
          <w:numId w:val="26"/>
        </w:numPr>
        <w:bidi/>
        <w:spacing w:after="240"/>
        <w:ind w:hanging="720"/>
        <w:outlineLvl w:val="0"/>
        <w:rPr>
          <w:rFonts w:ascii="Times New Roman" w:hAnsi="Times New Roman" w:cs="Times New Roman"/>
          <w:b/>
          <w:bCs/>
          <w:sz w:val="26"/>
          <w:szCs w:val="26"/>
        </w:rPr>
      </w:pPr>
      <w:r>
        <w:rPr>
          <w:rFonts w:ascii="Times New Roman" w:hAnsi="Times New Roman" w:cs="Times New Roman"/>
          <w:b/>
          <w:bCs/>
          <w:sz w:val="26"/>
          <w:szCs w:val="26"/>
          <w:rtl/>
        </w:rPr>
        <w:t xml:space="preserve">ميزانية برنامج المساعدة على </w:t>
      </w:r>
      <w:r>
        <w:rPr>
          <w:rFonts w:ascii="Times New Roman" w:hAnsi="Times New Roman" w:cs="Times New Roman" w:hint="cs"/>
          <w:b/>
          <w:bCs/>
          <w:sz w:val="26"/>
          <w:szCs w:val="26"/>
          <w:rtl/>
        </w:rPr>
        <w:t>الامتثال</w:t>
      </w:r>
      <w:r>
        <w:rPr>
          <w:rFonts w:ascii="Times New Roman" w:hAnsi="Times New Roman" w:cs="Times New Roman"/>
          <w:b/>
          <w:bCs/>
          <w:sz w:val="26"/>
          <w:szCs w:val="26"/>
          <w:rtl/>
        </w:rPr>
        <w:t xml:space="preserve"> التابع لليونيب لعام </w:t>
      </w:r>
      <w:r>
        <w:rPr>
          <w:rFonts w:ascii="Times New Roman" w:hAnsi="Times New Roman" w:cs="Times New Roman"/>
          <w:b/>
          <w:bCs/>
          <w:sz w:val="26"/>
          <w:szCs w:val="26"/>
        </w:rPr>
        <w:t>2025</w:t>
      </w:r>
    </w:p>
    <w:p w14:paraId="617235E5" w14:textId="74CB9D75" w:rsidR="00E94810" w:rsidRPr="00E94810" w:rsidRDefault="00E94810" w:rsidP="003B64CF">
      <w:pPr>
        <w:pStyle w:val="Heading3"/>
        <w:numPr>
          <w:ilvl w:val="2"/>
          <w:numId w:val="16"/>
        </w:numPr>
        <w:bidi/>
        <w:spacing w:line="288" w:lineRule="auto"/>
        <w:ind w:left="720" w:firstLine="0"/>
        <w:rPr>
          <w:sz w:val="26"/>
          <w:szCs w:val="26"/>
          <w:lang w:eastAsia="en-GB"/>
        </w:rPr>
      </w:pPr>
      <w:r>
        <w:rPr>
          <w:sz w:val="26"/>
          <w:szCs w:val="26"/>
          <w:rtl/>
          <w:lang w:eastAsia="en-GB"/>
        </w:rPr>
        <w:t xml:space="preserve">في الاجتماع السابع والتسعين، أحاطت اللجنة التنفيذية علماً بالتقرير المرحلي لعام </w:t>
      </w:r>
      <w:r>
        <w:rPr>
          <w:sz w:val="26"/>
          <w:szCs w:val="26"/>
          <w:lang w:eastAsia="en-GB"/>
        </w:rPr>
        <w:t>2025</w:t>
      </w:r>
      <w:r>
        <w:rPr>
          <w:sz w:val="26"/>
          <w:szCs w:val="26"/>
          <w:rtl/>
          <w:lang w:eastAsia="en-GB"/>
        </w:rPr>
        <w:t xml:space="preserve"> وخطة العمل والميزانية لعام </w:t>
      </w:r>
      <w:r>
        <w:rPr>
          <w:sz w:val="26"/>
          <w:szCs w:val="26"/>
          <w:lang w:eastAsia="en-GB"/>
        </w:rPr>
        <w:t>2026</w:t>
      </w:r>
      <w:r>
        <w:rPr>
          <w:sz w:val="26"/>
          <w:szCs w:val="26"/>
          <w:rtl/>
          <w:lang w:eastAsia="en-GB"/>
        </w:rPr>
        <w:t xml:space="preserve"> لبرنامج المساعدة على الامتثال التابع </w:t>
      </w:r>
      <w:r>
        <w:rPr>
          <w:rFonts w:hint="cs"/>
          <w:sz w:val="26"/>
          <w:szCs w:val="26"/>
          <w:rtl/>
          <w:lang w:eastAsia="en-GB"/>
        </w:rPr>
        <w:t>لليونيب</w:t>
      </w:r>
      <w:r>
        <w:rPr>
          <w:rStyle w:val="FootnoteReference"/>
          <w:sz w:val="26"/>
          <w:szCs w:val="26"/>
          <w:lang w:val="en-US" w:eastAsia="en-GB"/>
        </w:rPr>
        <w:footnoteReference w:id="37"/>
      </w:r>
      <w:r>
        <w:rPr>
          <w:sz w:val="26"/>
          <w:szCs w:val="26"/>
          <w:rtl/>
          <w:lang w:eastAsia="en-GB"/>
        </w:rPr>
        <w:t xml:space="preserve">. ووافقت اللجنة التنفيذية على أنشطة وميزانية برنامج المساعدة على الامتثال لعام </w:t>
      </w:r>
      <w:r>
        <w:rPr>
          <w:sz w:val="26"/>
          <w:szCs w:val="26"/>
          <w:lang w:eastAsia="en-GB"/>
        </w:rPr>
        <w:t>2026</w:t>
      </w:r>
      <w:r>
        <w:rPr>
          <w:sz w:val="26"/>
          <w:szCs w:val="26"/>
          <w:rtl/>
          <w:lang w:eastAsia="en-GB"/>
        </w:rPr>
        <w:t>، المرفقة بتقرير ذلك الاجتماع</w:t>
      </w:r>
      <w:r>
        <w:rPr>
          <w:rStyle w:val="FootnoteReference"/>
          <w:sz w:val="26"/>
          <w:szCs w:val="26"/>
          <w:lang w:val="en-US" w:eastAsia="en-GB"/>
        </w:rPr>
        <w:footnoteReference w:id="38"/>
      </w:r>
      <w:r>
        <w:rPr>
          <w:sz w:val="26"/>
          <w:szCs w:val="26"/>
          <w:rtl/>
          <w:lang w:eastAsia="en-GB"/>
        </w:rPr>
        <w:t xml:space="preserve">، بمبلغ </w:t>
      </w:r>
      <w:r>
        <w:rPr>
          <w:sz w:val="26"/>
          <w:szCs w:val="26"/>
        </w:rPr>
        <w:t>11,276,967</w:t>
      </w:r>
      <w:r>
        <w:rPr>
          <w:sz w:val="26"/>
          <w:szCs w:val="26"/>
          <w:rtl/>
          <w:lang w:eastAsia="en-GB"/>
        </w:rPr>
        <w:t xml:space="preserve"> دولاراً أمريكياً، بالإضافة إلى تكاليف دعم الوكالة بنسبة </w:t>
      </w:r>
      <w:r>
        <w:rPr>
          <w:sz w:val="26"/>
          <w:szCs w:val="26"/>
          <w:lang w:eastAsia="en-GB"/>
        </w:rPr>
        <w:t>8</w:t>
      </w:r>
      <w:r>
        <w:rPr>
          <w:sz w:val="26"/>
          <w:szCs w:val="26"/>
          <w:rtl/>
          <w:lang w:eastAsia="en-GB"/>
        </w:rPr>
        <w:t xml:space="preserve"> في المائة، أي ما يعادل </w:t>
      </w:r>
      <w:r>
        <w:rPr>
          <w:sz w:val="26"/>
          <w:szCs w:val="26"/>
        </w:rPr>
        <w:t>902,157</w:t>
      </w:r>
      <w:r>
        <w:rPr>
          <w:sz w:val="26"/>
          <w:szCs w:val="26"/>
          <w:rtl/>
          <w:lang w:eastAsia="en-GB"/>
        </w:rPr>
        <w:t xml:space="preserve"> دولاراً أمريكياً. وقررت اللجنة التنفيذية أن الموارد البشرية والمالية المعتمدة </w:t>
      </w:r>
      <w:r>
        <w:rPr>
          <w:rFonts w:hint="cs"/>
          <w:sz w:val="26"/>
          <w:szCs w:val="26"/>
          <w:rtl/>
          <w:lang w:eastAsia="en-GB"/>
        </w:rPr>
        <w:t>لليونيب</w:t>
      </w:r>
      <w:r>
        <w:rPr>
          <w:sz w:val="26"/>
          <w:szCs w:val="26"/>
          <w:rtl/>
          <w:lang w:eastAsia="en-GB"/>
        </w:rPr>
        <w:t xml:space="preserve"> من خلال ميزانية برنامج المساعدة على الامتثال ينبغي ألا تُستخدم إلا في الأنشطة التي وافقت عليها اللجنة التنفيذية وفقاً لاختصاصات الآلية المالية الواردة في المادة </w:t>
      </w:r>
      <w:r>
        <w:rPr>
          <w:sz w:val="26"/>
          <w:szCs w:val="26"/>
          <w:lang w:eastAsia="en-GB"/>
        </w:rPr>
        <w:t>10</w:t>
      </w:r>
      <w:r>
        <w:rPr>
          <w:sz w:val="26"/>
          <w:szCs w:val="26"/>
          <w:rtl/>
          <w:lang w:eastAsia="en-GB"/>
        </w:rPr>
        <w:t xml:space="preserve"> من بروتوكول مونتريال، وتم</w:t>
      </w:r>
      <w:r>
        <w:rPr>
          <w:rFonts w:hint="cs"/>
          <w:sz w:val="26"/>
          <w:szCs w:val="26"/>
          <w:rtl/>
          <w:lang w:eastAsia="en-GB"/>
        </w:rPr>
        <w:t>ا</w:t>
      </w:r>
      <w:r>
        <w:rPr>
          <w:sz w:val="26"/>
          <w:szCs w:val="26"/>
          <w:rtl/>
          <w:lang w:eastAsia="en-GB"/>
        </w:rPr>
        <w:t>شياً مع المقررين</w:t>
      </w:r>
      <w:r>
        <w:rPr>
          <w:rFonts w:hint="cs"/>
          <w:sz w:val="26"/>
          <w:szCs w:val="26"/>
          <w:rtl/>
          <w:lang w:eastAsia="en-GB" w:bidi="ar-AE"/>
        </w:rPr>
        <w:t xml:space="preserve"> </w:t>
      </w:r>
      <w:r>
        <w:rPr>
          <w:sz w:val="26"/>
          <w:szCs w:val="26"/>
          <w:lang w:val="en-US" w:eastAsia="en-GB" w:bidi="ar-AE"/>
        </w:rPr>
        <w:t>50</w:t>
      </w:r>
      <w:r>
        <w:rPr>
          <w:rFonts w:hint="cs"/>
          <w:sz w:val="26"/>
          <w:szCs w:val="26"/>
          <w:rtl/>
          <w:lang w:val="en-US" w:eastAsia="en-GB" w:bidi="ar-AE"/>
        </w:rPr>
        <w:t>/</w:t>
      </w:r>
      <w:r>
        <w:rPr>
          <w:sz w:val="26"/>
          <w:szCs w:val="26"/>
          <w:lang w:val="en-US" w:eastAsia="en-GB" w:bidi="ar-AE"/>
        </w:rPr>
        <w:t>26</w:t>
      </w:r>
      <w:r>
        <w:rPr>
          <w:sz w:val="26"/>
          <w:szCs w:val="26"/>
          <w:rtl/>
          <w:lang w:eastAsia="en-GB"/>
        </w:rPr>
        <w:t>(ج) و</w:t>
      </w:r>
      <w:r>
        <w:rPr>
          <w:sz w:val="26"/>
          <w:szCs w:val="26"/>
          <w:lang w:val="en-US" w:eastAsia="en-GB"/>
        </w:rPr>
        <w:t>73</w:t>
      </w:r>
      <w:r>
        <w:rPr>
          <w:rFonts w:hint="cs"/>
          <w:sz w:val="26"/>
          <w:szCs w:val="26"/>
          <w:rtl/>
          <w:lang w:val="en-US" w:eastAsia="en-GB" w:bidi="ar-AE"/>
        </w:rPr>
        <w:t>/</w:t>
      </w:r>
      <w:r>
        <w:rPr>
          <w:sz w:val="26"/>
          <w:szCs w:val="26"/>
          <w:lang w:val="en-US" w:eastAsia="en-GB" w:bidi="ar-AE"/>
        </w:rPr>
        <w:t>53</w:t>
      </w:r>
      <w:r>
        <w:rPr>
          <w:sz w:val="26"/>
          <w:szCs w:val="26"/>
          <w:rtl/>
          <w:lang w:eastAsia="en-GB"/>
        </w:rPr>
        <w:t xml:space="preserve"> (المقرر</w:t>
      </w:r>
      <w:r>
        <w:rPr>
          <w:rFonts w:hint="cs"/>
          <w:sz w:val="26"/>
          <w:szCs w:val="26"/>
          <w:rtl/>
          <w:lang w:eastAsia="en-GB"/>
        </w:rPr>
        <w:t> </w:t>
      </w:r>
      <w:r>
        <w:rPr>
          <w:sz w:val="26"/>
          <w:szCs w:val="26"/>
          <w:lang w:val="en-US" w:eastAsia="en-GB"/>
        </w:rPr>
        <w:t>97</w:t>
      </w:r>
      <w:r>
        <w:rPr>
          <w:rFonts w:hint="cs"/>
          <w:sz w:val="26"/>
          <w:szCs w:val="26"/>
          <w:rtl/>
          <w:lang w:val="en-US" w:eastAsia="en-GB" w:bidi="ar-AE"/>
        </w:rPr>
        <w:t>/</w:t>
      </w:r>
      <w:r>
        <w:rPr>
          <w:sz w:val="26"/>
          <w:szCs w:val="26"/>
          <w:lang w:val="en-US" w:eastAsia="en-GB" w:bidi="ar-AE"/>
        </w:rPr>
        <w:t>85</w:t>
      </w:r>
      <w:r>
        <w:rPr>
          <w:sz w:val="26"/>
          <w:szCs w:val="26"/>
          <w:rtl/>
          <w:lang w:eastAsia="en-GB"/>
        </w:rPr>
        <w:t>).</w:t>
      </w:r>
    </w:p>
    <w:p w14:paraId="352F8284" w14:textId="1062E671" w:rsidR="005030DF" w:rsidRPr="005030DF" w:rsidRDefault="005030DF">
      <w:pPr>
        <w:pStyle w:val="ListParagraph"/>
        <w:numPr>
          <w:ilvl w:val="0"/>
          <w:numId w:val="26"/>
        </w:numPr>
        <w:bidi/>
        <w:spacing w:after="240"/>
        <w:ind w:hanging="720"/>
        <w:jc w:val="both"/>
        <w:outlineLvl w:val="0"/>
        <w:rPr>
          <w:rFonts w:ascii="Times New Roman" w:hAnsi="Times New Roman" w:cs="Times New Roman"/>
          <w:b/>
          <w:bCs/>
          <w:sz w:val="26"/>
          <w:szCs w:val="26"/>
        </w:rPr>
      </w:pPr>
      <w:r>
        <w:rPr>
          <w:rFonts w:ascii="Times New Roman" w:hAnsi="Times New Roman" w:cs="Times New Roman"/>
          <w:b/>
          <w:bCs/>
          <w:sz w:val="26"/>
          <w:szCs w:val="26"/>
          <w:rtl/>
        </w:rPr>
        <w:t xml:space="preserve">تكاليف الوحدات </w:t>
      </w:r>
      <w:r>
        <w:rPr>
          <w:rFonts w:ascii="Times New Roman" w:hAnsi="Times New Roman" w:cs="Times New Roman" w:hint="cs"/>
          <w:b/>
          <w:bCs/>
          <w:sz w:val="26"/>
          <w:szCs w:val="26"/>
          <w:rtl/>
        </w:rPr>
        <w:t>الأساسية</w:t>
      </w:r>
      <w:r>
        <w:rPr>
          <w:rFonts w:ascii="Times New Roman" w:hAnsi="Times New Roman" w:cs="Times New Roman"/>
          <w:b/>
          <w:bCs/>
          <w:sz w:val="26"/>
          <w:szCs w:val="26"/>
          <w:rtl/>
        </w:rPr>
        <w:t xml:space="preserve"> </w:t>
      </w:r>
      <w:r>
        <w:rPr>
          <w:rFonts w:ascii="Times New Roman" w:hAnsi="Times New Roman" w:cs="Times New Roman" w:hint="cs"/>
          <w:b/>
          <w:bCs/>
          <w:sz w:val="26"/>
          <w:szCs w:val="26"/>
          <w:rtl/>
        </w:rPr>
        <w:t>لليوئنديبي</w:t>
      </w:r>
      <w:r>
        <w:rPr>
          <w:rFonts w:ascii="Times New Roman" w:hAnsi="Times New Roman" w:cs="Times New Roman"/>
          <w:b/>
          <w:bCs/>
          <w:sz w:val="26"/>
          <w:szCs w:val="26"/>
          <w:rtl/>
        </w:rPr>
        <w:t xml:space="preserve">، </w:t>
      </w:r>
      <w:r>
        <w:rPr>
          <w:rFonts w:ascii="Times New Roman" w:hAnsi="Times New Roman" w:cs="Times New Roman" w:hint="cs"/>
          <w:b/>
          <w:bCs/>
          <w:sz w:val="26"/>
          <w:szCs w:val="26"/>
          <w:rtl/>
        </w:rPr>
        <w:t>واليونيدو</w:t>
      </w:r>
      <w:r>
        <w:rPr>
          <w:rFonts w:ascii="Times New Roman" w:hAnsi="Times New Roman" w:cs="Times New Roman"/>
          <w:b/>
          <w:bCs/>
          <w:sz w:val="26"/>
          <w:szCs w:val="26"/>
          <w:rtl/>
        </w:rPr>
        <w:t>، والبنك الدولي</w:t>
      </w:r>
    </w:p>
    <w:p w14:paraId="595C5A92" w14:textId="6D93D111" w:rsidR="005030DF" w:rsidRPr="005030DF" w:rsidRDefault="00816C75" w:rsidP="003B64CF">
      <w:pPr>
        <w:pStyle w:val="Heading3"/>
        <w:numPr>
          <w:ilvl w:val="2"/>
          <w:numId w:val="16"/>
        </w:numPr>
        <w:bidi/>
        <w:spacing w:line="288" w:lineRule="auto"/>
        <w:ind w:left="720" w:firstLine="0"/>
        <w:rPr>
          <w:sz w:val="26"/>
          <w:szCs w:val="26"/>
          <w:lang w:eastAsia="en-GB"/>
        </w:rPr>
      </w:pPr>
      <w:r>
        <w:rPr>
          <w:sz w:val="26"/>
          <w:szCs w:val="26"/>
          <w:rtl/>
          <w:lang w:eastAsia="en-GB"/>
        </w:rPr>
        <w:t xml:space="preserve">وافقت اللجنة التنفيذية في الاجتماع السابع والتسعين على ميزانيات الوحدات الأساسية لعام </w:t>
      </w:r>
      <w:r>
        <w:rPr>
          <w:sz w:val="26"/>
          <w:szCs w:val="26"/>
          <w:lang w:eastAsia="en-GB"/>
        </w:rPr>
        <w:t>2026</w:t>
      </w:r>
      <w:r>
        <w:rPr>
          <w:sz w:val="26"/>
          <w:szCs w:val="26"/>
          <w:rtl/>
          <w:lang w:eastAsia="en-GB"/>
        </w:rPr>
        <w:t xml:space="preserve"> </w:t>
      </w:r>
      <w:r>
        <w:rPr>
          <w:rFonts w:hint="cs"/>
          <w:sz w:val="26"/>
          <w:szCs w:val="26"/>
          <w:rtl/>
          <w:lang w:eastAsia="en-GB"/>
        </w:rPr>
        <w:t>لليوئنديبي، واليونيدو</w:t>
      </w:r>
      <w:r>
        <w:rPr>
          <w:sz w:val="26"/>
          <w:szCs w:val="26"/>
          <w:rtl/>
          <w:lang w:eastAsia="en-GB"/>
        </w:rPr>
        <w:t xml:space="preserve"> والبنك الدولي حسب الطلب</w:t>
      </w:r>
      <w:r>
        <w:rPr>
          <w:rStyle w:val="FootnoteReference"/>
          <w:sz w:val="26"/>
          <w:szCs w:val="26"/>
          <w:lang w:val="en-US" w:eastAsia="en-GB" w:bidi="ar-AE"/>
        </w:rPr>
        <w:footnoteReference w:id="39"/>
      </w:r>
      <w:r>
        <w:rPr>
          <w:sz w:val="26"/>
          <w:szCs w:val="26"/>
          <w:rtl/>
          <w:lang w:eastAsia="en-GB"/>
        </w:rPr>
        <w:t xml:space="preserve"> (المقرر</w:t>
      </w:r>
      <w:r>
        <w:rPr>
          <w:rFonts w:hint="cs"/>
          <w:sz w:val="26"/>
          <w:szCs w:val="26"/>
          <w:rtl/>
          <w:lang w:eastAsia="en-GB"/>
        </w:rPr>
        <w:t> </w:t>
      </w:r>
      <w:r>
        <w:rPr>
          <w:sz w:val="26"/>
          <w:szCs w:val="26"/>
          <w:lang w:val="en-US" w:eastAsia="en-GB"/>
        </w:rPr>
        <w:t>97</w:t>
      </w:r>
      <w:r>
        <w:rPr>
          <w:rFonts w:hint="cs"/>
          <w:sz w:val="26"/>
          <w:szCs w:val="26"/>
          <w:rtl/>
          <w:lang w:val="en-US" w:eastAsia="en-GB" w:bidi="ar-AE"/>
        </w:rPr>
        <w:t>/</w:t>
      </w:r>
      <w:r>
        <w:rPr>
          <w:sz w:val="26"/>
          <w:szCs w:val="26"/>
          <w:lang w:val="en-US" w:eastAsia="en-GB" w:bidi="ar-AE"/>
        </w:rPr>
        <w:t>86</w:t>
      </w:r>
      <w:r>
        <w:rPr>
          <w:sz w:val="26"/>
          <w:szCs w:val="26"/>
          <w:rtl/>
          <w:lang w:eastAsia="en-GB"/>
        </w:rPr>
        <w:t>).</w:t>
      </w:r>
    </w:p>
    <w:p w14:paraId="692C84DB" w14:textId="3138AB2E" w:rsidR="005030DF" w:rsidRPr="001D2DE2" w:rsidRDefault="001D2DE2">
      <w:pPr>
        <w:pStyle w:val="ListParagraph"/>
        <w:keepNext/>
        <w:numPr>
          <w:ilvl w:val="0"/>
          <w:numId w:val="25"/>
        </w:numPr>
        <w:bidi/>
        <w:spacing w:after="240"/>
        <w:ind w:left="1440" w:hanging="720"/>
        <w:contextualSpacing w:val="0"/>
        <w:jc w:val="both"/>
        <w:outlineLvl w:val="1"/>
        <w:rPr>
          <w:rFonts w:ascii="Times New Roman" w:hAnsi="Times New Roman" w:cs="Times New Roman"/>
          <w:b/>
          <w:bCs/>
          <w:sz w:val="26"/>
          <w:szCs w:val="26"/>
        </w:rPr>
      </w:pPr>
      <w:r>
        <w:rPr>
          <w:rFonts w:ascii="Times New Roman" w:hAnsi="Times New Roman" w:cs="Times New Roman"/>
          <w:b/>
          <w:bCs/>
          <w:sz w:val="26"/>
          <w:szCs w:val="26"/>
          <w:rtl/>
        </w:rPr>
        <w:t>التنفيذ والإبلاغ</w:t>
      </w:r>
    </w:p>
    <w:p w14:paraId="6DA459E5" w14:textId="51B01C02" w:rsidR="001D2DE2" w:rsidRDefault="00F662B8">
      <w:pPr>
        <w:pStyle w:val="ListParagraph"/>
        <w:numPr>
          <w:ilvl w:val="0"/>
          <w:numId w:val="27"/>
        </w:numPr>
        <w:bidi/>
        <w:spacing w:after="240"/>
        <w:ind w:hanging="720"/>
        <w:contextualSpacing w:val="0"/>
        <w:jc w:val="both"/>
        <w:outlineLvl w:val="0"/>
        <w:rPr>
          <w:rFonts w:ascii="Times New Roman" w:hAnsi="Times New Roman" w:cs="Times New Roman"/>
          <w:b/>
          <w:bCs/>
          <w:sz w:val="26"/>
          <w:szCs w:val="26"/>
        </w:rPr>
      </w:pPr>
      <w:r>
        <w:rPr>
          <w:rFonts w:ascii="Times New Roman" w:hAnsi="Times New Roman" w:cs="Times New Roman"/>
          <w:b/>
          <w:bCs/>
          <w:sz w:val="26"/>
          <w:szCs w:val="26"/>
          <w:rtl/>
        </w:rPr>
        <w:t xml:space="preserve">بيانات البرامج القطرية وآفاق </w:t>
      </w:r>
      <w:r>
        <w:rPr>
          <w:rFonts w:ascii="Times New Roman" w:hAnsi="Times New Roman" w:cs="Times New Roman" w:hint="cs"/>
          <w:b/>
          <w:bCs/>
          <w:sz w:val="26"/>
          <w:szCs w:val="26"/>
          <w:rtl/>
        </w:rPr>
        <w:t>الامتثال</w:t>
      </w:r>
    </w:p>
    <w:p w14:paraId="3272B941" w14:textId="20C2A22E" w:rsidR="00965D5A" w:rsidRPr="00965D5A" w:rsidRDefault="00965D5A" w:rsidP="003B64CF">
      <w:pPr>
        <w:pStyle w:val="Heading3"/>
        <w:numPr>
          <w:ilvl w:val="2"/>
          <w:numId w:val="16"/>
        </w:numPr>
        <w:bidi/>
        <w:spacing w:line="288" w:lineRule="auto"/>
        <w:ind w:left="720" w:firstLine="0"/>
        <w:rPr>
          <w:sz w:val="26"/>
          <w:szCs w:val="26"/>
          <w:lang w:eastAsia="en-GB"/>
        </w:rPr>
      </w:pPr>
      <w:r>
        <w:rPr>
          <w:sz w:val="26"/>
          <w:szCs w:val="26"/>
          <w:rtl/>
          <w:lang w:eastAsia="en-GB"/>
        </w:rPr>
        <w:t>نظرت اللجنة التنفيذية، في الاجتماعين السابع والتسعين</w:t>
      </w:r>
      <w:r>
        <w:rPr>
          <w:rStyle w:val="FootnoteReference"/>
          <w:sz w:val="26"/>
          <w:szCs w:val="26"/>
          <w:lang w:val="en-US" w:eastAsia="en-GB"/>
        </w:rPr>
        <w:footnoteReference w:id="40"/>
      </w:r>
      <w:r>
        <w:rPr>
          <w:sz w:val="26"/>
          <w:szCs w:val="26"/>
          <w:rtl/>
          <w:lang w:eastAsia="en-GB"/>
        </w:rPr>
        <w:t xml:space="preserve"> والثامن والتسعين</w:t>
      </w:r>
      <w:r>
        <w:rPr>
          <w:rStyle w:val="FootnoteReference"/>
          <w:sz w:val="26"/>
          <w:szCs w:val="26"/>
          <w:lang w:val="en-US" w:eastAsia="en-GB" w:bidi="ar-AE"/>
        </w:rPr>
        <w:footnoteReference w:id="41"/>
      </w:r>
      <w:r>
        <w:rPr>
          <w:sz w:val="26"/>
          <w:szCs w:val="26"/>
          <w:rtl/>
          <w:lang w:eastAsia="en-GB"/>
        </w:rPr>
        <w:t xml:space="preserve">، في وثائق </w:t>
      </w:r>
      <w:r>
        <w:rPr>
          <w:rFonts w:hint="cs"/>
          <w:sz w:val="26"/>
          <w:szCs w:val="26"/>
          <w:rtl/>
          <w:lang w:eastAsia="en-GB"/>
        </w:rPr>
        <w:t>تتعلق</w:t>
      </w:r>
      <w:r>
        <w:rPr>
          <w:sz w:val="26"/>
          <w:szCs w:val="26"/>
          <w:rtl/>
          <w:lang w:eastAsia="en-GB"/>
        </w:rPr>
        <w:t xml:space="preserve"> </w:t>
      </w:r>
      <w:r>
        <w:rPr>
          <w:rFonts w:hint="cs"/>
          <w:sz w:val="26"/>
          <w:szCs w:val="26"/>
          <w:rtl/>
          <w:lang w:eastAsia="en-GB"/>
        </w:rPr>
        <w:t>ب</w:t>
      </w:r>
      <w:r>
        <w:rPr>
          <w:sz w:val="26"/>
          <w:szCs w:val="26"/>
          <w:rtl/>
          <w:lang w:eastAsia="en-GB"/>
        </w:rPr>
        <w:t>بيانات البرامج القطرية وآفاق الامتثال. وفي الاجتماع السابع والتسعين، أحاطت اللجنة علماً بأن نظام الإبلاغ</w:t>
      </w:r>
      <w:r>
        <w:rPr>
          <w:rFonts w:hint="cs"/>
          <w:sz w:val="26"/>
          <w:szCs w:val="26"/>
          <w:rtl/>
          <w:lang w:eastAsia="en-GB"/>
        </w:rPr>
        <w:t xml:space="preserve"> الإلكتروني الجديد</w:t>
      </w:r>
      <w:r>
        <w:rPr>
          <w:sz w:val="26"/>
          <w:szCs w:val="26"/>
          <w:rtl/>
          <w:lang w:eastAsia="en-GB"/>
        </w:rPr>
        <w:t xml:space="preserve"> </w:t>
      </w:r>
      <w:r>
        <w:rPr>
          <w:rFonts w:hint="cs"/>
          <w:sz w:val="26"/>
          <w:szCs w:val="26"/>
          <w:rtl/>
          <w:lang w:eastAsia="en-GB"/>
        </w:rPr>
        <w:t>ل</w:t>
      </w:r>
      <w:r>
        <w:rPr>
          <w:sz w:val="26"/>
          <w:szCs w:val="26"/>
          <w:rtl/>
          <w:lang w:eastAsia="en-GB"/>
        </w:rPr>
        <w:t xml:space="preserve">بيانات البرامج القطرية عبر الإنترنت، الذي دخل حيز التشغيل رسمياً في </w:t>
      </w:r>
      <w:r>
        <w:rPr>
          <w:sz w:val="26"/>
          <w:szCs w:val="26"/>
          <w:lang w:eastAsia="en-GB"/>
        </w:rPr>
        <w:t>1</w:t>
      </w:r>
      <w:r>
        <w:rPr>
          <w:sz w:val="26"/>
          <w:szCs w:val="26"/>
          <w:rtl/>
          <w:lang w:eastAsia="en-GB"/>
        </w:rPr>
        <w:t> يناير/كانون الثاني </w:t>
      </w:r>
      <w:r>
        <w:rPr>
          <w:sz w:val="26"/>
          <w:szCs w:val="26"/>
          <w:lang w:eastAsia="en-GB"/>
        </w:rPr>
        <w:t>2025</w:t>
      </w:r>
      <w:r>
        <w:rPr>
          <w:sz w:val="26"/>
          <w:szCs w:val="26"/>
          <w:rtl/>
          <w:lang w:eastAsia="en-GB"/>
        </w:rPr>
        <w:t xml:space="preserve">، قد استُخدم، حتى </w:t>
      </w:r>
      <w:r>
        <w:rPr>
          <w:sz w:val="26"/>
          <w:szCs w:val="26"/>
          <w:lang w:eastAsia="en-GB"/>
        </w:rPr>
        <w:t>1</w:t>
      </w:r>
      <w:r>
        <w:rPr>
          <w:sz w:val="26"/>
          <w:szCs w:val="26"/>
          <w:rtl/>
          <w:lang w:eastAsia="en-GB"/>
        </w:rPr>
        <w:t> ديسمبر/كانون الأول </w:t>
      </w:r>
      <w:r>
        <w:rPr>
          <w:sz w:val="26"/>
          <w:szCs w:val="26"/>
          <w:lang w:eastAsia="en-GB"/>
        </w:rPr>
        <w:t>2025</w:t>
      </w:r>
      <w:r>
        <w:rPr>
          <w:sz w:val="26"/>
          <w:szCs w:val="26"/>
          <w:rtl/>
          <w:lang w:eastAsia="en-GB"/>
        </w:rPr>
        <w:t xml:space="preserve">، من قبل </w:t>
      </w:r>
      <w:r>
        <w:rPr>
          <w:sz w:val="26"/>
          <w:szCs w:val="26"/>
          <w:lang w:eastAsia="en-GB"/>
        </w:rPr>
        <w:t>126</w:t>
      </w:r>
      <w:r>
        <w:rPr>
          <w:sz w:val="26"/>
          <w:szCs w:val="26"/>
          <w:rtl/>
          <w:lang w:eastAsia="en-GB"/>
        </w:rPr>
        <w:t xml:space="preserve"> بلداً، قدم منها </w:t>
      </w:r>
      <w:r>
        <w:rPr>
          <w:sz w:val="26"/>
          <w:szCs w:val="26"/>
          <w:lang w:eastAsia="en-GB"/>
        </w:rPr>
        <w:t>124</w:t>
      </w:r>
      <w:r>
        <w:rPr>
          <w:sz w:val="26"/>
          <w:szCs w:val="26"/>
          <w:rtl/>
          <w:lang w:eastAsia="en-GB"/>
        </w:rPr>
        <w:t xml:space="preserve"> بلداً بياناتها رسمياً لعام </w:t>
      </w:r>
      <w:r>
        <w:rPr>
          <w:sz w:val="26"/>
          <w:szCs w:val="26"/>
          <w:lang w:eastAsia="en-GB"/>
        </w:rPr>
        <w:t>2024</w:t>
      </w:r>
      <w:r>
        <w:rPr>
          <w:sz w:val="26"/>
          <w:szCs w:val="26"/>
          <w:rtl/>
          <w:lang w:eastAsia="en-GB"/>
        </w:rPr>
        <w:t xml:space="preserve">. وطلبت اللجنة </w:t>
      </w:r>
      <w:r>
        <w:rPr>
          <w:rFonts w:hint="cs"/>
          <w:sz w:val="26"/>
          <w:szCs w:val="26"/>
          <w:rtl/>
          <w:lang w:eastAsia="en-GB"/>
        </w:rPr>
        <w:t>إلى</w:t>
      </w:r>
      <w:r>
        <w:rPr>
          <w:sz w:val="26"/>
          <w:szCs w:val="26"/>
          <w:rtl/>
          <w:lang w:eastAsia="en-GB"/>
        </w:rPr>
        <w:t xml:space="preserve"> أمانة الصندوق </w:t>
      </w:r>
      <w:r>
        <w:rPr>
          <w:rFonts w:hint="cs"/>
          <w:sz w:val="26"/>
          <w:szCs w:val="26"/>
          <w:rtl/>
          <w:lang w:eastAsia="en-GB"/>
        </w:rPr>
        <w:t>توجيه خطاب</w:t>
      </w:r>
      <w:r>
        <w:rPr>
          <w:sz w:val="26"/>
          <w:szCs w:val="26"/>
          <w:rtl/>
          <w:lang w:eastAsia="en-GB"/>
        </w:rPr>
        <w:t xml:space="preserve"> إلى بلد واحد بشأن</w:t>
      </w:r>
      <w:r>
        <w:rPr>
          <w:rFonts w:hint="cs"/>
          <w:sz w:val="26"/>
          <w:szCs w:val="26"/>
          <w:rtl/>
          <w:lang w:eastAsia="en-GB"/>
        </w:rPr>
        <w:t xml:space="preserve"> تأخر</w:t>
      </w:r>
      <w:r>
        <w:rPr>
          <w:sz w:val="26"/>
          <w:szCs w:val="26"/>
          <w:rtl/>
          <w:lang w:eastAsia="en-GB"/>
        </w:rPr>
        <w:t xml:space="preserve"> تقرير بيانات برنامجه القطري لعام </w:t>
      </w:r>
      <w:r>
        <w:rPr>
          <w:sz w:val="26"/>
          <w:szCs w:val="26"/>
          <w:lang w:val="en-US" w:eastAsia="en-GB"/>
        </w:rPr>
        <w:t>2024</w:t>
      </w:r>
      <w:r>
        <w:rPr>
          <w:sz w:val="26"/>
          <w:szCs w:val="26"/>
          <w:rtl/>
          <w:lang w:eastAsia="en-GB"/>
        </w:rPr>
        <w:t>، وحثها على تقديم ذلك التقرير في أقرب وقت ممكن (المقرر</w:t>
      </w:r>
      <w:r>
        <w:rPr>
          <w:rFonts w:hint="cs"/>
          <w:sz w:val="26"/>
          <w:szCs w:val="26"/>
          <w:rtl/>
          <w:lang w:eastAsia="en-GB"/>
        </w:rPr>
        <w:t> </w:t>
      </w:r>
      <w:r>
        <w:rPr>
          <w:sz w:val="26"/>
          <w:szCs w:val="26"/>
          <w:lang w:val="en-US" w:eastAsia="en-GB"/>
        </w:rPr>
        <w:t>97</w:t>
      </w:r>
      <w:r>
        <w:rPr>
          <w:rFonts w:hint="cs"/>
          <w:sz w:val="26"/>
          <w:szCs w:val="26"/>
          <w:rtl/>
          <w:lang w:val="en-US" w:eastAsia="en-GB" w:bidi="ar-AE"/>
        </w:rPr>
        <w:t>/</w:t>
      </w:r>
      <w:r>
        <w:rPr>
          <w:sz w:val="26"/>
          <w:szCs w:val="26"/>
          <w:lang w:val="en-US" w:eastAsia="en-GB" w:bidi="ar-AE"/>
        </w:rPr>
        <w:t>6</w:t>
      </w:r>
      <w:r>
        <w:rPr>
          <w:sz w:val="26"/>
          <w:szCs w:val="26"/>
          <w:rtl/>
          <w:lang w:eastAsia="en-GB"/>
        </w:rPr>
        <w:t xml:space="preserve">). وفي الاجتماع الثامن والتسعين، أحاطت اللجنة علماً بأن نظام الإبلاغ عن بيانات البرامج القطرية عبر الإنترنت قد استُخدم، حتى </w:t>
      </w:r>
      <w:r>
        <w:rPr>
          <w:sz w:val="26"/>
          <w:szCs w:val="26"/>
          <w:lang w:eastAsia="en-GB"/>
        </w:rPr>
        <w:t>7</w:t>
      </w:r>
      <w:r>
        <w:rPr>
          <w:sz w:val="26"/>
          <w:szCs w:val="26"/>
          <w:rtl/>
          <w:lang w:eastAsia="en-GB"/>
        </w:rPr>
        <w:t> مايو/أيار </w:t>
      </w:r>
      <w:r>
        <w:rPr>
          <w:sz w:val="26"/>
          <w:szCs w:val="26"/>
          <w:lang w:eastAsia="en-GB"/>
        </w:rPr>
        <w:t>2026</w:t>
      </w:r>
      <w:r>
        <w:rPr>
          <w:sz w:val="26"/>
          <w:szCs w:val="26"/>
          <w:rtl/>
          <w:lang w:eastAsia="en-GB"/>
        </w:rPr>
        <w:t xml:space="preserve">، من قبل </w:t>
      </w:r>
      <w:r>
        <w:rPr>
          <w:sz w:val="26"/>
          <w:szCs w:val="26"/>
          <w:lang w:eastAsia="en-GB"/>
        </w:rPr>
        <w:t>127</w:t>
      </w:r>
      <w:r>
        <w:rPr>
          <w:sz w:val="26"/>
          <w:szCs w:val="26"/>
          <w:rtl/>
          <w:lang w:eastAsia="en-GB"/>
        </w:rPr>
        <w:t xml:space="preserve"> بلداً، قدم منها </w:t>
      </w:r>
      <w:r>
        <w:rPr>
          <w:sz w:val="26"/>
          <w:szCs w:val="26"/>
          <w:lang w:eastAsia="en-GB"/>
        </w:rPr>
        <w:t>126</w:t>
      </w:r>
      <w:r>
        <w:rPr>
          <w:sz w:val="26"/>
          <w:szCs w:val="26"/>
          <w:rtl/>
          <w:lang w:eastAsia="en-GB"/>
        </w:rPr>
        <w:t xml:space="preserve"> بلداً بياناتها رسمياً لعام </w:t>
      </w:r>
      <w:r>
        <w:rPr>
          <w:sz w:val="26"/>
          <w:szCs w:val="26"/>
          <w:lang w:eastAsia="en-GB"/>
        </w:rPr>
        <w:t>2024</w:t>
      </w:r>
      <w:r>
        <w:rPr>
          <w:sz w:val="26"/>
          <w:szCs w:val="26"/>
          <w:rtl/>
          <w:lang w:eastAsia="en-GB"/>
        </w:rPr>
        <w:t xml:space="preserve">، وقدم </w:t>
      </w:r>
      <w:r>
        <w:rPr>
          <w:sz w:val="26"/>
          <w:szCs w:val="26"/>
          <w:lang w:eastAsia="en-GB"/>
        </w:rPr>
        <w:t>96</w:t>
      </w:r>
      <w:r>
        <w:rPr>
          <w:sz w:val="26"/>
          <w:szCs w:val="26"/>
          <w:rtl/>
          <w:lang w:eastAsia="en-GB"/>
        </w:rPr>
        <w:t xml:space="preserve"> بلداً بياناتها رسمياً لعام </w:t>
      </w:r>
      <w:r>
        <w:rPr>
          <w:sz w:val="26"/>
          <w:szCs w:val="26"/>
          <w:lang w:eastAsia="en-GB"/>
        </w:rPr>
        <w:t>2025</w:t>
      </w:r>
      <w:r>
        <w:rPr>
          <w:sz w:val="26"/>
          <w:szCs w:val="26"/>
          <w:rtl/>
          <w:lang w:eastAsia="en-GB"/>
        </w:rPr>
        <w:t xml:space="preserve">. كما قدم </w:t>
      </w:r>
      <w:r>
        <w:rPr>
          <w:sz w:val="26"/>
          <w:szCs w:val="26"/>
          <w:lang w:eastAsia="en-GB"/>
        </w:rPr>
        <w:t>21</w:t>
      </w:r>
      <w:r>
        <w:rPr>
          <w:sz w:val="26"/>
          <w:szCs w:val="26"/>
          <w:rtl/>
          <w:lang w:eastAsia="en-GB"/>
        </w:rPr>
        <w:t xml:space="preserve"> بلداً إضافياً بيانات برامجه القطرية لعام </w:t>
      </w:r>
      <w:r>
        <w:rPr>
          <w:sz w:val="26"/>
          <w:szCs w:val="26"/>
          <w:lang w:eastAsia="en-GB"/>
        </w:rPr>
        <w:t>2025</w:t>
      </w:r>
      <w:r>
        <w:rPr>
          <w:sz w:val="26"/>
          <w:szCs w:val="26"/>
          <w:rtl/>
          <w:lang w:eastAsia="en-GB"/>
        </w:rPr>
        <w:t xml:space="preserve"> بعد ذلك التاريخ (المقرر</w:t>
      </w:r>
      <w:r>
        <w:rPr>
          <w:rFonts w:hint="cs"/>
          <w:sz w:val="26"/>
          <w:szCs w:val="26"/>
          <w:rtl/>
          <w:lang w:eastAsia="en-GB" w:bidi="ar-AE"/>
        </w:rPr>
        <w:t> </w:t>
      </w:r>
      <w:r>
        <w:rPr>
          <w:sz w:val="26"/>
          <w:szCs w:val="26"/>
          <w:lang w:val="en-US" w:eastAsia="en-GB" w:bidi="ar-AE"/>
        </w:rPr>
        <w:t>98</w:t>
      </w:r>
      <w:r>
        <w:rPr>
          <w:rFonts w:hint="cs"/>
          <w:sz w:val="26"/>
          <w:szCs w:val="26"/>
          <w:rtl/>
          <w:lang w:val="en-US" w:eastAsia="en-GB" w:bidi="ar-AE"/>
        </w:rPr>
        <w:t>/</w:t>
      </w:r>
      <w:r>
        <w:rPr>
          <w:sz w:val="26"/>
          <w:szCs w:val="26"/>
          <w:lang w:val="en-US" w:eastAsia="en-GB" w:bidi="ar-AE"/>
        </w:rPr>
        <w:t>3</w:t>
      </w:r>
      <w:r>
        <w:rPr>
          <w:sz w:val="26"/>
          <w:szCs w:val="26"/>
          <w:rtl/>
          <w:lang w:eastAsia="en-GB"/>
        </w:rPr>
        <w:t>).</w:t>
      </w:r>
    </w:p>
    <w:p w14:paraId="04F0CB2C" w14:textId="5036BB01" w:rsidR="00EC5E62" w:rsidRPr="00EC5E62" w:rsidRDefault="00EC5E62">
      <w:pPr>
        <w:pStyle w:val="ListParagraph"/>
        <w:numPr>
          <w:ilvl w:val="0"/>
          <w:numId w:val="27"/>
        </w:numPr>
        <w:bidi/>
        <w:spacing w:after="240"/>
        <w:ind w:hanging="720"/>
        <w:contextualSpacing w:val="0"/>
        <w:jc w:val="both"/>
        <w:outlineLvl w:val="0"/>
        <w:rPr>
          <w:rFonts w:ascii="Times New Roman" w:hAnsi="Times New Roman" w:cs="Times New Roman"/>
          <w:b/>
          <w:bCs/>
          <w:sz w:val="26"/>
          <w:szCs w:val="26"/>
        </w:rPr>
      </w:pPr>
      <w:r>
        <w:rPr>
          <w:rFonts w:ascii="Times New Roman" w:hAnsi="Times New Roman" w:cs="Times New Roman"/>
          <w:b/>
          <w:bCs/>
          <w:sz w:val="26"/>
          <w:szCs w:val="26"/>
          <w:rtl/>
        </w:rPr>
        <w:lastRenderedPageBreak/>
        <w:t>التأخير</w:t>
      </w:r>
      <w:r>
        <w:rPr>
          <w:rFonts w:ascii="Times New Roman" w:hAnsi="Times New Roman" w:cs="Times New Roman" w:hint="cs"/>
          <w:b/>
          <w:bCs/>
          <w:sz w:val="26"/>
          <w:szCs w:val="26"/>
          <w:rtl/>
        </w:rPr>
        <w:t>ات</w:t>
      </w:r>
      <w:r>
        <w:rPr>
          <w:rFonts w:ascii="Times New Roman" w:hAnsi="Times New Roman" w:cs="Times New Roman"/>
          <w:b/>
          <w:bCs/>
          <w:sz w:val="26"/>
          <w:szCs w:val="26"/>
          <w:rtl/>
        </w:rPr>
        <w:t xml:space="preserve"> في تقديم </w:t>
      </w:r>
      <w:r>
        <w:rPr>
          <w:rFonts w:ascii="Times New Roman" w:hAnsi="Times New Roman" w:cs="Times New Roman" w:hint="cs"/>
          <w:b/>
          <w:bCs/>
          <w:sz w:val="26"/>
          <w:szCs w:val="26"/>
          <w:rtl/>
        </w:rPr>
        <w:t>الشرائح</w:t>
      </w:r>
    </w:p>
    <w:p w14:paraId="176DF3F2" w14:textId="07A58BB7" w:rsidR="0034653E" w:rsidRPr="0034653E" w:rsidRDefault="0034653E" w:rsidP="003B64CF">
      <w:pPr>
        <w:pStyle w:val="Heading3"/>
        <w:numPr>
          <w:ilvl w:val="2"/>
          <w:numId w:val="16"/>
        </w:numPr>
        <w:bidi/>
        <w:spacing w:line="288" w:lineRule="auto"/>
        <w:ind w:left="720" w:firstLine="0"/>
        <w:rPr>
          <w:sz w:val="26"/>
          <w:szCs w:val="26"/>
          <w:lang w:eastAsia="en-GB"/>
        </w:rPr>
      </w:pPr>
      <w:r>
        <w:rPr>
          <w:sz w:val="26"/>
          <w:szCs w:val="26"/>
          <w:rtl/>
          <w:lang w:eastAsia="en-GB"/>
        </w:rPr>
        <w:t>في الاجتماع الثامن والتسعين، نظرت اللجنة التنفيذية في تقرير بشأن تأخيرات تقديم الشرائح</w:t>
      </w:r>
      <w:r>
        <w:rPr>
          <w:rStyle w:val="FootnoteReference"/>
          <w:sz w:val="26"/>
          <w:szCs w:val="26"/>
          <w:lang w:val="en-US" w:eastAsia="en-GB" w:bidi="ar-AE"/>
        </w:rPr>
        <w:footnoteReference w:id="42"/>
      </w:r>
      <w:r>
        <w:rPr>
          <w:sz w:val="26"/>
          <w:szCs w:val="26"/>
          <w:rtl/>
          <w:lang w:eastAsia="en-GB"/>
        </w:rPr>
        <w:t>، وطلبت من أمانة الصندوق إرسال رسائل إلى الحكومات المعنية بشأن المقررات المتعلقة بتأخيرات تقديم الشرائح المرفقة بتقرير ذلك الاجتماع</w:t>
      </w:r>
      <w:r>
        <w:rPr>
          <w:rStyle w:val="FootnoteReference"/>
          <w:sz w:val="26"/>
          <w:szCs w:val="26"/>
          <w:lang w:val="en-US" w:eastAsia="en-GB"/>
        </w:rPr>
        <w:footnoteReference w:id="43"/>
      </w:r>
      <w:r>
        <w:rPr>
          <w:sz w:val="26"/>
          <w:szCs w:val="26"/>
          <w:rtl/>
          <w:lang w:eastAsia="en-GB"/>
        </w:rPr>
        <w:t>. غير أنها أحاطت علماً بأن الوكالات المنفذة المعنية قد أشارت إلى أن التأخير في تقديم شرائح الاتفاقات متعددة السنوات المستحقة التقديم لن يكون له أي تأثير على امتثال البلدان لبروتوكول مونتريال، وأنه لا يوجد ما يشير، باستثناء حالة واحدة، إلى أن البلدان المعنية كانت في حالة عدم امتثال لتدابير الرقابة المنصوص عليها في بروتوكول مونتريال (المقرر</w:t>
      </w:r>
      <w:r>
        <w:rPr>
          <w:rFonts w:hint="cs"/>
          <w:sz w:val="26"/>
          <w:szCs w:val="26"/>
          <w:rtl/>
          <w:lang w:eastAsia="en-GB"/>
        </w:rPr>
        <w:t> </w:t>
      </w:r>
      <w:r>
        <w:rPr>
          <w:sz w:val="26"/>
          <w:szCs w:val="26"/>
          <w:lang w:val="en-US" w:eastAsia="en-GB"/>
        </w:rPr>
        <w:t>98</w:t>
      </w:r>
      <w:r>
        <w:rPr>
          <w:rFonts w:hint="cs"/>
          <w:sz w:val="26"/>
          <w:szCs w:val="26"/>
          <w:rtl/>
          <w:lang w:val="en-US" w:eastAsia="en-GB" w:bidi="ar-AE"/>
        </w:rPr>
        <w:t>/</w:t>
      </w:r>
      <w:r>
        <w:rPr>
          <w:sz w:val="26"/>
          <w:szCs w:val="26"/>
          <w:lang w:val="en-US" w:eastAsia="en-GB" w:bidi="ar-AE"/>
        </w:rPr>
        <w:t>19</w:t>
      </w:r>
      <w:r>
        <w:rPr>
          <w:sz w:val="26"/>
          <w:szCs w:val="26"/>
          <w:rtl/>
          <w:lang w:eastAsia="en-GB"/>
        </w:rPr>
        <w:t>).</w:t>
      </w:r>
    </w:p>
    <w:p w14:paraId="6E267DB9" w14:textId="620B04B4" w:rsidR="00EC5E02" w:rsidRPr="00EC5E02" w:rsidRDefault="00EC5E02">
      <w:pPr>
        <w:pStyle w:val="ListParagraph"/>
        <w:numPr>
          <w:ilvl w:val="0"/>
          <w:numId w:val="27"/>
        </w:numPr>
        <w:bidi/>
        <w:spacing w:after="240"/>
        <w:ind w:hanging="720"/>
        <w:contextualSpacing w:val="0"/>
        <w:jc w:val="both"/>
        <w:outlineLvl w:val="0"/>
        <w:rPr>
          <w:rFonts w:ascii="Times New Roman" w:hAnsi="Times New Roman" w:cs="Times New Roman"/>
          <w:b/>
          <w:bCs/>
          <w:sz w:val="26"/>
          <w:szCs w:val="26"/>
        </w:rPr>
      </w:pPr>
      <w:r>
        <w:rPr>
          <w:rFonts w:ascii="Times New Roman" w:hAnsi="Times New Roman" w:cs="Times New Roman"/>
          <w:b/>
          <w:bCs/>
          <w:sz w:val="26"/>
          <w:szCs w:val="26"/>
          <w:rtl/>
        </w:rPr>
        <w:t>التقارير المرحلية</w:t>
      </w:r>
    </w:p>
    <w:p w14:paraId="7F4D7C7E" w14:textId="7871BD20" w:rsidR="00EC5E02" w:rsidRPr="00EC5E02" w:rsidRDefault="00EC5E02" w:rsidP="003B64CF">
      <w:pPr>
        <w:pStyle w:val="Heading3"/>
        <w:numPr>
          <w:ilvl w:val="2"/>
          <w:numId w:val="16"/>
        </w:numPr>
        <w:bidi/>
        <w:spacing w:line="288" w:lineRule="auto"/>
        <w:ind w:left="720" w:firstLine="0"/>
        <w:rPr>
          <w:sz w:val="26"/>
          <w:szCs w:val="26"/>
          <w:lang w:eastAsia="en-GB"/>
        </w:rPr>
      </w:pPr>
      <w:r>
        <w:rPr>
          <w:sz w:val="26"/>
          <w:szCs w:val="26"/>
          <w:rtl/>
          <w:lang w:eastAsia="en-GB"/>
        </w:rPr>
        <w:t xml:space="preserve">في الاجتماع السابع والتسعين، أحاطت اللجنة التنفيذية علماً بالتقرير المرحلي الموحد للصندوق المتعدد الأطراف حتى </w:t>
      </w:r>
      <w:r>
        <w:rPr>
          <w:sz w:val="26"/>
          <w:szCs w:val="26"/>
          <w:lang w:eastAsia="en-GB"/>
        </w:rPr>
        <w:t>31</w:t>
      </w:r>
      <w:r>
        <w:rPr>
          <w:sz w:val="26"/>
          <w:szCs w:val="26"/>
          <w:rtl/>
          <w:lang w:eastAsia="en-GB"/>
        </w:rPr>
        <w:t> ديسمبر/كانون الأول </w:t>
      </w:r>
      <w:r>
        <w:rPr>
          <w:sz w:val="26"/>
          <w:szCs w:val="26"/>
          <w:lang w:eastAsia="en-GB"/>
        </w:rPr>
        <w:t>2024</w:t>
      </w:r>
      <w:r>
        <w:rPr>
          <w:sz w:val="26"/>
          <w:szCs w:val="26"/>
          <w:rtl/>
          <w:lang w:eastAsia="en-GB"/>
        </w:rPr>
        <w:t>.</w:t>
      </w:r>
      <w:r>
        <w:rPr>
          <w:rStyle w:val="FootnoteReference"/>
          <w:sz w:val="26"/>
          <w:szCs w:val="26"/>
          <w:lang w:val="en-US" w:eastAsia="en-GB" w:bidi="ar-AE"/>
        </w:rPr>
        <w:footnoteReference w:id="44"/>
      </w:r>
      <w:r>
        <w:rPr>
          <w:sz w:val="26"/>
          <w:szCs w:val="26"/>
          <w:rtl/>
          <w:lang w:eastAsia="en-GB"/>
        </w:rPr>
        <w:t xml:space="preserve"> كما أحاطت علماً بالتقارير المرحلية، حتى </w:t>
      </w:r>
      <w:r>
        <w:rPr>
          <w:sz w:val="26"/>
          <w:szCs w:val="26"/>
          <w:lang w:eastAsia="en-GB"/>
        </w:rPr>
        <w:t>31</w:t>
      </w:r>
      <w:r>
        <w:rPr>
          <w:sz w:val="26"/>
          <w:szCs w:val="26"/>
          <w:rtl/>
          <w:lang w:eastAsia="en-GB"/>
        </w:rPr>
        <w:t> ديسمبر/كانون الأول </w:t>
      </w:r>
      <w:r>
        <w:rPr>
          <w:sz w:val="26"/>
          <w:szCs w:val="26"/>
          <w:lang w:eastAsia="en-GB"/>
        </w:rPr>
        <w:t>2024</w:t>
      </w:r>
      <w:r>
        <w:rPr>
          <w:sz w:val="26"/>
          <w:szCs w:val="26"/>
          <w:rtl/>
          <w:lang w:eastAsia="en-GB"/>
        </w:rPr>
        <w:t>، للوكالات الثنائية</w:t>
      </w:r>
      <w:r>
        <w:rPr>
          <w:rStyle w:val="FootnoteReference"/>
          <w:sz w:val="26"/>
          <w:szCs w:val="26"/>
          <w:lang w:val="en-US" w:eastAsia="en-GB" w:bidi="ar-AE"/>
        </w:rPr>
        <w:footnoteReference w:id="45"/>
      </w:r>
      <w:r>
        <w:rPr>
          <w:sz w:val="26"/>
          <w:szCs w:val="26"/>
          <w:rtl/>
          <w:lang w:eastAsia="en-GB"/>
        </w:rPr>
        <w:t xml:space="preserve"> (حكومات أستراليا، والنمسا، وفرنسا، وألمانيا، وإيطاليا، واليابان، وإسبانيا، والمملكة المتحدة لبريطانيا العظمى وأيرلندا الشمالية)، </w:t>
      </w:r>
      <w:r>
        <w:rPr>
          <w:rFonts w:hint="cs"/>
          <w:sz w:val="26"/>
          <w:szCs w:val="26"/>
          <w:rtl/>
          <w:lang w:eastAsia="en-GB"/>
        </w:rPr>
        <w:t>واليوئنديبي</w:t>
      </w:r>
      <w:r>
        <w:rPr>
          <w:rStyle w:val="FootnoteReference"/>
          <w:sz w:val="26"/>
          <w:szCs w:val="26"/>
          <w:lang w:val="en-US" w:eastAsia="en-GB"/>
        </w:rPr>
        <w:footnoteReference w:id="46"/>
      </w:r>
      <w:r>
        <w:rPr>
          <w:sz w:val="26"/>
          <w:szCs w:val="26"/>
          <w:rtl/>
          <w:lang w:eastAsia="en-GB"/>
        </w:rPr>
        <w:t xml:space="preserve">، </w:t>
      </w:r>
      <w:r>
        <w:rPr>
          <w:rFonts w:hint="cs"/>
          <w:sz w:val="26"/>
          <w:szCs w:val="26"/>
          <w:rtl/>
          <w:lang w:eastAsia="en-GB"/>
        </w:rPr>
        <w:t>واليونيب</w:t>
      </w:r>
      <w:r>
        <w:rPr>
          <w:rStyle w:val="FootnoteReference"/>
          <w:sz w:val="26"/>
          <w:szCs w:val="26"/>
          <w:lang w:val="en-US" w:eastAsia="en-GB"/>
        </w:rPr>
        <w:footnoteReference w:id="47"/>
      </w:r>
      <w:r>
        <w:rPr>
          <w:sz w:val="26"/>
          <w:szCs w:val="26"/>
          <w:rtl/>
          <w:lang w:eastAsia="en-GB"/>
        </w:rPr>
        <w:t xml:space="preserve">، </w:t>
      </w:r>
      <w:r>
        <w:rPr>
          <w:rFonts w:hint="cs"/>
          <w:sz w:val="26"/>
          <w:szCs w:val="26"/>
          <w:rtl/>
          <w:lang w:eastAsia="en-GB"/>
        </w:rPr>
        <w:t>واليونيدو</w:t>
      </w:r>
      <w:r>
        <w:rPr>
          <w:rStyle w:val="FootnoteReference"/>
          <w:sz w:val="26"/>
          <w:szCs w:val="26"/>
          <w:lang w:val="en-US" w:eastAsia="en-GB"/>
        </w:rPr>
        <w:footnoteReference w:id="48"/>
      </w:r>
      <w:r>
        <w:rPr>
          <w:sz w:val="26"/>
          <w:szCs w:val="26"/>
          <w:rtl/>
          <w:lang w:eastAsia="en-GB"/>
        </w:rPr>
        <w:t>، والبنك الدولي</w:t>
      </w:r>
      <w:r>
        <w:rPr>
          <w:rStyle w:val="FootnoteReference"/>
          <w:sz w:val="26"/>
          <w:szCs w:val="26"/>
          <w:lang w:val="en-US" w:eastAsia="en-GB"/>
        </w:rPr>
        <w:footnoteReference w:id="49"/>
      </w:r>
      <w:r>
        <w:rPr>
          <w:sz w:val="26"/>
          <w:szCs w:val="26"/>
          <w:rtl/>
          <w:lang w:eastAsia="en-GB"/>
        </w:rPr>
        <w:t xml:space="preserve">. وبالنسبة لجميع التقارير المرحلية، وافقت اللجنة على التوصيات المتعلقة بالمشروعات الجارية التي تتناول </w:t>
      </w:r>
      <w:r>
        <w:rPr>
          <w:rFonts w:hint="cs"/>
          <w:sz w:val="26"/>
          <w:szCs w:val="26"/>
          <w:rtl/>
          <w:lang w:eastAsia="en-GB" w:bidi="ar-AE"/>
        </w:rPr>
        <w:t>ال</w:t>
      </w:r>
      <w:r>
        <w:rPr>
          <w:sz w:val="26"/>
          <w:szCs w:val="26"/>
          <w:rtl/>
          <w:lang w:eastAsia="en-GB"/>
        </w:rPr>
        <w:t xml:space="preserve">مسائل </w:t>
      </w:r>
      <w:r>
        <w:rPr>
          <w:rFonts w:hint="cs"/>
          <w:sz w:val="26"/>
          <w:szCs w:val="26"/>
          <w:rtl/>
          <w:lang w:eastAsia="en-GB"/>
        </w:rPr>
        <w:t>ال</w:t>
      </w:r>
      <w:r>
        <w:rPr>
          <w:sz w:val="26"/>
          <w:szCs w:val="26"/>
          <w:rtl/>
          <w:lang w:eastAsia="en-GB"/>
        </w:rPr>
        <w:t>محددة الواردة في المرفقات ذات الصلة بتقرير الاجتماع</w:t>
      </w:r>
      <w:r>
        <w:rPr>
          <w:rStyle w:val="FootnoteReference"/>
          <w:sz w:val="26"/>
          <w:szCs w:val="26"/>
          <w:lang w:val="en-US" w:eastAsia="en-GB"/>
        </w:rPr>
        <w:footnoteReference w:id="50"/>
      </w:r>
      <w:r>
        <w:rPr>
          <w:sz w:val="26"/>
          <w:szCs w:val="26"/>
          <w:rtl/>
          <w:lang w:eastAsia="en-GB"/>
        </w:rPr>
        <w:t xml:space="preserve">. كما اتخذت اللجنة عدداً من الإجراءات الأخرى، مثل تمديد مواعيد إنجاز إعداد قوائم جرد وطنية </w:t>
      </w:r>
      <w:r>
        <w:rPr>
          <w:rFonts w:hint="cs"/>
          <w:sz w:val="26"/>
          <w:szCs w:val="26"/>
          <w:rtl/>
          <w:lang w:eastAsia="en-GB"/>
        </w:rPr>
        <w:t>لمخزون</w:t>
      </w:r>
      <w:r>
        <w:rPr>
          <w:sz w:val="26"/>
          <w:szCs w:val="26"/>
          <w:rtl/>
          <w:lang w:eastAsia="en-GB"/>
        </w:rPr>
        <w:t xml:space="preserve"> النفايات الخاضعة للرقابة، ووضع خطة وطنية لإدارة هذه المواد لنحو </w:t>
      </w:r>
      <w:r>
        <w:rPr>
          <w:sz w:val="26"/>
          <w:szCs w:val="26"/>
          <w:lang w:eastAsia="en-GB"/>
        </w:rPr>
        <w:t>40</w:t>
      </w:r>
      <w:r>
        <w:rPr>
          <w:sz w:val="26"/>
          <w:szCs w:val="26"/>
          <w:rtl/>
          <w:lang w:eastAsia="en-GB"/>
        </w:rPr>
        <w:t xml:space="preserve"> بلداً، وستة مشاريع أخرى، بما في ذلك شرائح من خطط إدارة إزالة المواد الهيدروكلوروفلوروكربونية لأربعة بلدان. وطلبت اللجنة التنفيذية أيضاً إلى أمانة الصندوق توجيه خطاب إلى بلد واحد والوكالة المنفذة المعنية، بشأن إمكانية إلغاء خطة إدارة إزالة المواد الهيدروكلوروفلوروكربونية لذلك البلد (المقررات من</w:t>
      </w:r>
      <w:r>
        <w:rPr>
          <w:rFonts w:hint="cs"/>
          <w:sz w:val="26"/>
          <w:szCs w:val="26"/>
          <w:rtl/>
          <w:lang w:eastAsia="en-GB"/>
        </w:rPr>
        <w:t> </w:t>
      </w:r>
      <w:r>
        <w:rPr>
          <w:sz w:val="26"/>
          <w:szCs w:val="26"/>
          <w:lang w:val="en-US" w:eastAsia="en-GB"/>
        </w:rPr>
        <w:t>97</w:t>
      </w:r>
      <w:r>
        <w:rPr>
          <w:rFonts w:hint="cs"/>
          <w:sz w:val="26"/>
          <w:szCs w:val="26"/>
          <w:rtl/>
          <w:lang w:val="en-US" w:eastAsia="en-GB" w:bidi="ar-AE"/>
        </w:rPr>
        <w:t>/</w:t>
      </w:r>
      <w:r>
        <w:rPr>
          <w:sz w:val="26"/>
          <w:szCs w:val="26"/>
          <w:lang w:val="en-US" w:eastAsia="en-GB" w:bidi="ar-AE"/>
        </w:rPr>
        <w:t>9</w:t>
      </w:r>
      <w:r>
        <w:rPr>
          <w:rFonts w:hint="cs"/>
          <w:sz w:val="26"/>
          <w:szCs w:val="26"/>
          <w:rtl/>
          <w:lang w:val="en-US" w:eastAsia="en-GB" w:bidi="ar-AE"/>
        </w:rPr>
        <w:t xml:space="preserve"> إلى</w:t>
      </w:r>
      <w:r>
        <w:rPr>
          <w:rFonts w:hint="eastAsia"/>
          <w:sz w:val="26"/>
          <w:szCs w:val="26"/>
          <w:rtl/>
          <w:lang w:val="en-US" w:eastAsia="en-GB" w:bidi="ar-AE"/>
        </w:rPr>
        <w:t> </w:t>
      </w:r>
      <w:r>
        <w:rPr>
          <w:sz w:val="26"/>
          <w:szCs w:val="26"/>
          <w:lang w:val="en-US" w:eastAsia="en-GB" w:bidi="ar-AE"/>
        </w:rPr>
        <w:t>97</w:t>
      </w:r>
      <w:r>
        <w:rPr>
          <w:rFonts w:hint="cs"/>
          <w:sz w:val="26"/>
          <w:szCs w:val="26"/>
          <w:rtl/>
          <w:lang w:val="en-US" w:eastAsia="en-GB" w:bidi="ar-AE"/>
        </w:rPr>
        <w:t>/</w:t>
      </w:r>
      <w:r>
        <w:rPr>
          <w:sz w:val="26"/>
          <w:szCs w:val="26"/>
          <w:lang w:val="en-US" w:eastAsia="en-GB" w:bidi="ar-AE"/>
        </w:rPr>
        <w:t>14</w:t>
      </w:r>
      <w:r>
        <w:rPr>
          <w:sz w:val="26"/>
          <w:szCs w:val="26"/>
          <w:rtl/>
          <w:lang w:eastAsia="en-GB"/>
        </w:rPr>
        <w:t>).</w:t>
      </w:r>
    </w:p>
    <w:p w14:paraId="6110E29A" w14:textId="3EF542C7" w:rsidR="00030DA6" w:rsidRPr="00030DA6" w:rsidRDefault="00030DA6">
      <w:pPr>
        <w:pStyle w:val="ListParagraph"/>
        <w:numPr>
          <w:ilvl w:val="0"/>
          <w:numId w:val="27"/>
        </w:numPr>
        <w:bidi/>
        <w:spacing w:after="240"/>
        <w:ind w:hanging="720"/>
        <w:contextualSpacing w:val="0"/>
        <w:jc w:val="both"/>
        <w:outlineLvl w:val="0"/>
        <w:rPr>
          <w:rFonts w:ascii="Times New Roman" w:hAnsi="Times New Roman" w:cs="Times New Roman"/>
          <w:b/>
          <w:bCs/>
          <w:sz w:val="26"/>
          <w:szCs w:val="26"/>
        </w:rPr>
      </w:pPr>
      <w:r>
        <w:rPr>
          <w:rFonts w:ascii="Times New Roman" w:hAnsi="Times New Roman" w:cs="Times New Roman"/>
          <w:b/>
          <w:bCs/>
          <w:sz w:val="26"/>
          <w:szCs w:val="26"/>
          <w:rtl/>
        </w:rPr>
        <w:t>التقارير عن الحالة والتقارير عن المشاريع ذات متطلبات الإبلاغ المحددة</w:t>
      </w:r>
    </w:p>
    <w:p w14:paraId="0D037C6D" w14:textId="3915562A" w:rsidR="00030DA6" w:rsidRPr="00030DA6" w:rsidRDefault="008E3F2A" w:rsidP="003B64CF">
      <w:pPr>
        <w:pStyle w:val="Heading3"/>
        <w:numPr>
          <w:ilvl w:val="2"/>
          <w:numId w:val="16"/>
        </w:numPr>
        <w:bidi/>
        <w:spacing w:line="288" w:lineRule="auto"/>
        <w:ind w:left="720" w:firstLine="0"/>
        <w:rPr>
          <w:sz w:val="26"/>
          <w:szCs w:val="26"/>
          <w:lang w:eastAsia="en-GB"/>
        </w:rPr>
      </w:pPr>
      <w:r>
        <w:rPr>
          <w:sz w:val="26"/>
          <w:szCs w:val="26"/>
          <w:rtl/>
          <w:lang w:eastAsia="en-GB"/>
        </w:rPr>
        <w:t>نظرت اللجنة التنفيذية، في الاجتماعين السابع والتسعين</w:t>
      </w:r>
      <w:r>
        <w:rPr>
          <w:rStyle w:val="FootnoteReference"/>
          <w:sz w:val="26"/>
          <w:szCs w:val="26"/>
          <w:lang w:val="en-US" w:eastAsia="en-GB"/>
        </w:rPr>
        <w:footnoteReference w:id="51"/>
      </w:r>
      <w:r>
        <w:rPr>
          <w:sz w:val="26"/>
          <w:szCs w:val="26"/>
          <w:rtl/>
          <w:lang w:eastAsia="en-GB"/>
        </w:rPr>
        <w:t xml:space="preserve"> والثامن والتسعين</w:t>
      </w:r>
      <w:r>
        <w:rPr>
          <w:rStyle w:val="FootnoteReference"/>
          <w:sz w:val="26"/>
          <w:szCs w:val="26"/>
          <w:lang w:val="en-US" w:eastAsia="en-GB" w:bidi="ar-AE"/>
        </w:rPr>
        <w:footnoteReference w:id="52"/>
      </w:r>
      <w:r>
        <w:rPr>
          <w:sz w:val="26"/>
          <w:szCs w:val="26"/>
          <w:rtl/>
          <w:lang w:eastAsia="en-GB"/>
        </w:rPr>
        <w:t>، في وثائق تضم تقارير حالة عن المشاريع ذات متطلبات الإبلاغ المحددة.</w:t>
      </w:r>
    </w:p>
    <w:p w14:paraId="062E9755" w14:textId="657BCCF8" w:rsidR="008E3F2A" w:rsidRPr="008E3F2A" w:rsidRDefault="008E3F2A" w:rsidP="003B64CF">
      <w:pPr>
        <w:pStyle w:val="Heading3"/>
        <w:numPr>
          <w:ilvl w:val="2"/>
          <w:numId w:val="16"/>
        </w:numPr>
        <w:bidi/>
        <w:spacing w:line="288" w:lineRule="auto"/>
        <w:ind w:left="720" w:firstLine="0"/>
        <w:rPr>
          <w:sz w:val="26"/>
          <w:szCs w:val="26"/>
          <w:lang w:eastAsia="en-GB"/>
        </w:rPr>
      </w:pPr>
      <w:r>
        <w:rPr>
          <w:rFonts w:hint="cs"/>
          <w:sz w:val="26"/>
          <w:szCs w:val="26"/>
          <w:rtl/>
          <w:lang w:eastAsia="en-GB"/>
        </w:rPr>
        <w:t>المشاريع التي لم تُثر أي قضايا تتعلق بالسياسات أو التكاليف أو غيرها، في الاجتماع السابع والتسعين، شملت</w:t>
      </w:r>
      <w:r>
        <w:rPr>
          <w:sz w:val="26"/>
          <w:szCs w:val="26"/>
          <w:rtl/>
          <w:lang w:eastAsia="en-GB"/>
        </w:rPr>
        <w:t xml:space="preserve"> خطط إدارة إزالة المواد الهيدروكلوروفلوروكربونية لأربعة بلدان؛ </w:t>
      </w:r>
      <w:r>
        <w:rPr>
          <w:rFonts w:hint="cs"/>
          <w:sz w:val="26"/>
          <w:szCs w:val="26"/>
          <w:rtl/>
          <w:lang w:eastAsia="en-GB"/>
        </w:rPr>
        <w:t>ومشاريع</w:t>
      </w:r>
      <w:r>
        <w:rPr>
          <w:sz w:val="26"/>
          <w:szCs w:val="26"/>
          <w:rtl/>
          <w:lang w:eastAsia="en-GB"/>
        </w:rPr>
        <w:t xml:space="preserve"> الاتفاقات بين الحكومات واللجنة التنفيذية لخفض استهلاك المواد الهيدروفلوروكربونية وفقاً للمرحلة الأولى من خطط تنفيذ كيغالي لـ </w:t>
      </w:r>
      <w:r>
        <w:rPr>
          <w:sz w:val="26"/>
          <w:szCs w:val="26"/>
          <w:lang w:eastAsia="en-GB"/>
        </w:rPr>
        <w:lastRenderedPageBreak/>
        <w:t>14</w:t>
      </w:r>
      <w:r>
        <w:rPr>
          <w:sz w:val="26"/>
          <w:szCs w:val="26"/>
          <w:rtl/>
          <w:lang w:eastAsia="en-GB"/>
        </w:rPr>
        <w:t xml:space="preserve"> بلداً؛ وأنشطة إضافية للحفاظ على كفاءة استخدام الطاقة في قطاع التبريد، بموجب المقرر</w:t>
      </w:r>
      <w:r>
        <w:rPr>
          <w:rFonts w:hint="cs"/>
          <w:sz w:val="26"/>
          <w:szCs w:val="26"/>
          <w:rtl/>
          <w:lang w:eastAsia="en-GB"/>
        </w:rPr>
        <w:t> </w:t>
      </w:r>
      <w:r>
        <w:rPr>
          <w:sz w:val="26"/>
          <w:szCs w:val="26"/>
          <w:lang w:val="en-US" w:eastAsia="en-GB"/>
        </w:rPr>
        <w:t>89</w:t>
      </w:r>
      <w:r>
        <w:rPr>
          <w:rFonts w:hint="cs"/>
          <w:sz w:val="26"/>
          <w:szCs w:val="26"/>
          <w:rtl/>
          <w:lang w:val="en-US" w:eastAsia="en-GB" w:bidi="ar-AE"/>
        </w:rPr>
        <w:t>/</w:t>
      </w:r>
      <w:r>
        <w:rPr>
          <w:sz w:val="26"/>
          <w:szCs w:val="26"/>
          <w:lang w:val="en-US" w:eastAsia="en-GB" w:bidi="ar-AE"/>
        </w:rPr>
        <w:t>6</w:t>
      </w:r>
      <w:r>
        <w:rPr>
          <w:sz w:val="26"/>
          <w:szCs w:val="26"/>
          <w:rtl/>
          <w:lang w:eastAsia="en-GB"/>
        </w:rPr>
        <w:t xml:space="preserve">، لبلد واحد؛ وبطلب تغيير الوكالة المنفذة للمرحلة الثالثة من خطة إدارة إزالة المواد الهيدروكلوروفلوروكربونية والمرحلة الأولى من خطة تنفيذ كيغالي لبلد واحد؛ وطلب إلغاء مشاريع جارية في بلد واحد. أما في الاجتماع الثامن والتسعين، </w:t>
      </w:r>
      <w:r>
        <w:rPr>
          <w:rFonts w:hint="cs"/>
          <w:sz w:val="26"/>
          <w:szCs w:val="26"/>
          <w:rtl/>
          <w:lang w:eastAsia="en-GB"/>
        </w:rPr>
        <w:t>فشملت</w:t>
      </w:r>
      <w:r>
        <w:rPr>
          <w:sz w:val="26"/>
          <w:szCs w:val="26"/>
          <w:rtl/>
          <w:lang w:eastAsia="en-GB"/>
        </w:rPr>
        <w:t xml:space="preserve"> التقارير </w:t>
      </w:r>
      <w:r>
        <w:rPr>
          <w:rFonts w:hint="cs"/>
          <w:sz w:val="26"/>
          <w:szCs w:val="26"/>
          <w:rtl/>
          <w:lang w:eastAsia="en-GB"/>
        </w:rPr>
        <w:t>ا</w:t>
      </w:r>
      <w:r>
        <w:rPr>
          <w:sz w:val="26"/>
          <w:szCs w:val="26"/>
          <w:rtl/>
          <w:lang w:eastAsia="en-GB"/>
        </w:rPr>
        <w:t xml:space="preserve">لمشاريع التي تشهد تأخيرات في التنفيذ والتي طُلب تقديم تقارير حالة خاصة بشأنها؛ وخطط إدارة إزالة المواد الهيدروكلوروفلوروكربونية لسبعة بلدان؛ ومشاريع الاتفاقات بين الحكومات واللجنة التنفيذية لخفض استهلاك المواد الهيدروفلوروكربونية وفقاً للمرحلة الأولى من خطط تنفيذ كيغالي لـ </w:t>
      </w:r>
      <w:r>
        <w:rPr>
          <w:sz w:val="26"/>
          <w:szCs w:val="26"/>
          <w:lang w:eastAsia="en-GB"/>
        </w:rPr>
        <w:t>34</w:t>
      </w:r>
      <w:r>
        <w:rPr>
          <w:sz w:val="26"/>
          <w:szCs w:val="26"/>
          <w:rtl/>
          <w:lang w:eastAsia="en-GB"/>
        </w:rPr>
        <w:t xml:space="preserve"> بلداً؛ وأنشطة إضافية للحفاظ على كفاءة استخدام الطاقة في قطاع التبريد، بموجب المقرر</w:t>
      </w:r>
      <w:r>
        <w:rPr>
          <w:rFonts w:hint="cs"/>
          <w:sz w:val="26"/>
          <w:szCs w:val="26"/>
          <w:rtl/>
          <w:lang w:eastAsia="en-GB"/>
        </w:rPr>
        <w:t> </w:t>
      </w:r>
      <w:r>
        <w:rPr>
          <w:sz w:val="26"/>
          <w:szCs w:val="26"/>
          <w:lang w:val="en-US" w:eastAsia="en-GB"/>
        </w:rPr>
        <w:t>89</w:t>
      </w:r>
      <w:r>
        <w:rPr>
          <w:rFonts w:hint="cs"/>
          <w:sz w:val="26"/>
          <w:szCs w:val="26"/>
          <w:rtl/>
          <w:lang w:val="en-US" w:eastAsia="en-GB" w:bidi="ar-AE"/>
        </w:rPr>
        <w:t>/</w:t>
      </w:r>
      <w:r>
        <w:rPr>
          <w:sz w:val="26"/>
          <w:szCs w:val="26"/>
          <w:lang w:val="en-US" w:eastAsia="en-GB" w:bidi="ar-AE"/>
        </w:rPr>
        <w:t>6</w:t>
      </w:r>
      <w:r>
        <w:rPr>
          <w:sz w:val="26"/>
          <w:szCs w:val="26"/>
          <w:rtl/>
          <w:lang w:eastAsia="en-GB"/>
        </w:rPr>
        <w:t>، لبلد واحد؛ وبمشروع تجريبي للحفاظ على كفاءة استخدام الطاقة و/أو تعزيزها بالنسبة لتكنولوجيات ومعدات الاستبدال في سياق التخفيض التدريجي للمواد الهيدروفلوروكربونية، بموجب المقرر</w:t>
      </w:r>
      <w:r>
        <w:rPr>
          <w:rFonts w:hint="cs"/>
          <w:sz w:val="26"/>
          <w:szCs w:val="26"/>
          <w:rtl/>
          <w:lang w:eastAsia="en-GB"/>
        </w:rPr>
        <w:t> </w:t>
      </w:r>
      <w:r>
        <w:rPr>
          <w:sz w:val="26"/>
          <w:szCs w:val="26"/>
          <w:lang w:val="en-US" w:eastAsia="en-GB"/>
        </w:rPr>
        <w:t>91</w:t>
      </w:r>
      <w:r>
        <w:rPr>
          <w:rFonts w:hint="cs"/>
          <w:sz w:val="26"/>
          <w:szCs w:val="26"/>
          <w:rtl/>
          <w:lang w:val="en-US" w:eastAsia="en-GB" w:bidi="ar-AE"/>
        </w:rPr>
        <w:t>/</w:t>
      </w:r>
      <w:r>
        <w:rPr>
          <w:sz w:val="26"/>
          <w:szCs w:val="26"/>
          <w:lang w:val="en-US" w:eastAsia="en-GB" w:bidi="ar-AE"/>
        </w:rPr>
        <w:t>65</w:t>
      </w:r>
      <w:r>
        <w:rPr>
          <w:sz w:val="26"/>
          <w:szCs w:val="26"/>
          <w:rtl/>
          <w:lang w:eastAsia="en-GB"/>
        </w:rPr>
        <w:t>، لبلد واحد؛ وإعداد مشروع لتعزيز كفاءة استخدام الطاقة في سياق التخفيض التدريجي للمواد الهيدروفلوروكربونية في قطاع تصنيع أجهزة التبريد وتكييف الهواء، بموجب المقرر</w:t>
      </w:r>
      <w:r>
        <w:rPr>
          <w:rFonts w:hint="cs"/>
          <w:sz w:val="26"/>
          <w:szCs w:val="26"/>
          <w:rtl/>
          <w:lang w:eastAsia="en-GB"/>
        </w:rPr>
        <w:t> </w:t>
      </w:r>
      <w:r>
        <w:rPr>
          <w:sz w:val="26"/>
          <w:szCs w:val="26"/>
          <w:lang w:val="en-US" w:eastAsia="en-GB"/>
        </w:rPr>
        <w:t>94</w:t>
      </w:r>
      <w:r>
        <w:rPr>
          <w:rFonts w:hint="cs"/>
          <w:sz w:val="26"/>
          <w:szCs w:val="26"/>
          <w:rtl/>
          <w:lang w:val="en-US" w:eastAsia="en-GB" w:bidi="ar-AE"/>
        </w:rPr>
        <w:t>/</w:t>
      </w:r>
      <w:r>
        <w:rPr>
          <w:sz w:val="26"/>
          <w:szCs w:val="26"/>
          <w:lang w:val="en-US" w:eastAsia="en-GB" w:bidi="ar-AE"/>
        </w:rPr>
        <w:t>60</w:t>
      </w:r>
      <w:r>
        <w:rPr>
          <w:sz w:val="26"/>
          <w:szCs w:val="26"/>
          <w:rtl/>
          <w:lang w:eastAsia="en-GB"/>
        </w:rPr>
        <w:t xml:space="preserve">، لبلد واحد؛ وإعداد جرد وطني </w:t>
      </w:r>
      <w:r>
        <w:rPr>
          <w:rFonts w:hint="cs"/>
          <w:sz w:val="26"/>
          <w:szCs w:val="26"/>
          <w:rtl/>
          <w:lang w:eastAsia="en-GB"/>
        </w:rPr>
        <w:t>لمخزون</w:t>
      </w:r>
      <w:r>
        <w:rPr>
          <w:sz w:val="26"/>
          <w:szCs w:val="26"/>
          <w:rtl/>
          <w:lang w:eastAsia="en-GB"/>
        </w:rPr>
        <w:t xml:space="preserve"> المواد الخاضعة للرقابة المستخدمة أو غير المرغوب فيها وخطة لجمع هذه المواد ونقلها والتخلص منها، بموجب المقرر</w:t>
      </w:r>
      <w:r>
        <w:rPr>
          <w:rFonts w:hint="cs"/>
          <w:sz w:val="26"/>
          <w:szCs w:val="26"/>
          <w:rtl/>
          <w:lang w:eastAsia="en-GB"/>
        </w:rPr>
        <w:t> </w:t>
      </w:r>
      <w:r>
        <w:rPr>
          <w:sz w:val="26"/>
          <w:szCs w:val="26"/>
          <w:lang w:val="en-US" w:eastAsia="en-GB"/>
        </w:rPr>
        <w:t>91</w:t>
      </w:r>
      <w:r>
        <w:rPr>
          <w:rFonts w:hint="cs"/>
          <w:sz w:val="26"/>
          <w:szCs w:val="26"/>
          <w:rtl/>
          <w:lang w:val="en-US" w:eastAsia="en-GB" w:bidi="ar-AE"/>
        </w:rPr>
        <w:t>/</w:t>
      </w:r>
      <w:r>
        <w:rPr>
          <w:sz w:val="26"/>
          <w:szCs w:val="26"/>
          <w:lang w:val="en-US" w:eastAsia="en-GB" w:bidi="ar-AE"/>
        </w:rPr>
        <w:t>66</w:t>
      </w:r>
      <w:r>
        <w:rPr>
          <w:sz w:val="26"/>
          <w:szCs w:val="26"/>
          <w:rtl/>
          <w:lang w:eastAsia="en-GB"/>
        </w:rPr>
        <w:t>، لبلد واحد.</w:t>
      </w:r>
    </w:p>
    <w:p w14:paraId="4F717F38" w14:textId="0B93E086" w:rsidR="00D13D78" w:rsidRPr="00D13D78" w:rsidRDefault="00D13D78" w:rsidP="003B64CF">
      <w:pPr>
        <w:pStyle w:val="Heading3"/>
        <w:numPr>
          <w:ilvl w:val="2"/>
          <w:numId w:val="16"/>
        </w:numPr>
        <w:bidi/>
        <w:spacing w:line="288" w:lineRule="auto"/>
        <w:ind w:left="720" w:firstLine="0"/>
        <w:rPr>
          <w:sz w:val="26"/>
          <w:szCs w:val="26"/>
          <w:lang w:eastAsia="en-GB"/>
        </w:rPr>
      </w:pPr>
      <w:r>
        <w:rPr>
          <w:sz w:val="26"/>
          <w:szCs w:val="26"/>
          <w:rtl/>
          <w:lang w:eastAsia="en-GB"/>
        </w:rPr>
        <w:t xml:space="preserve">أحاطت اللجنة علماً بالتقارير والمعلومات المقدمة، واتفقت على عدد من الإجراءات التي شملت، في الاجتماع السابع والتسعين، الموافقة على </w:t>
      </w:r>
      <w:r>
        <w:rPr>
          <w:sz w:val="26"/>
          <w:szCs w:val="26"/>
          <w:lang w:eastAsia="en-GB"/>
        </w:rPr>
        <w:t>14</w:t>
      </w:r>
      <w:r>
        <w:rPr>
          <w:sz w:val="26"/>
          <w:szCs w:val="26"/>
          <w:rtl/>
          <w:lang w:eastAsia="en-GB"/>
        </w:rPr>
        <w:t xml:space="preserve"> اتفاقاً للمرحلة الأولى من خطط تنفيذ كيغالي كانت قد </w:t>
      </w:r>
      <w:r>
        <w:rPr>
          <w:rFonts w:hint="cs"/>
          <w:sz w:val="26"/>
          <w:szCs w:val="26"/>
          <w:rtl/>
          <w:lang w:eastAsia="en-GB"/>
        </w:rPr>
        <w:t>تمت الموافقة</w:t>
      </w:r>
      <w:r>
        <w:rPr>
          <w:sz w:val="26"/>
          <w:szCs w:val="26"/>
          <w:rtl/>
          <w:lang w:eastAsia="en-GB"/>
        </w:rPr>
        <w:t xml:space="preserve"> عليها في الاجتماعات من الثاني والتسعين إلى الخامس والتسعين، ونقل تنفيذ جميع الأنشطة في المرحلة الثالثة من خطة إدارة إزالة المواد الهيدروكلوروفلوروكربونية والمرحلة الأولى من خطة تنفيذ كيغالي لبلد واحد من وكالة إلى أخرى، مع نقل التمويل المرتبط بذلك، وإلغاء جميع المشاريع الجارية في بلد واحد. وفي الاجتماع الثامن والتسعين، شملت هذه الإجراءات إلغاء جميع المشاريع الجارية في بلد واحد؛ وتمديد تاريخ إنجاز خطط إدارة إزالة المواد الهيدروكلوروفلوروكربونية لبلدين إلى </w:t>
      </w:r>
      <w:r>
        <w:rPr>
          <w:sz w:val="26"/>
          <w:szCs w:val="26"/>
          <w:lang w:eastAsia="en-GB"/>
        </w:rPr>
        <w:t>31</w:t>
      </w:r>
      <w:r>
        <w:rPr>
          <w:sz w:val="26"/>
          <w:szCs w:val="26"/>
          <w:rtl/>
          <w:lang w:eastAsia="en-GB"/>
        </w:rPr>
        <w:t> ديسمبر/كانون الأول </w:t>
      </w:r>
      <w:r>
        <w:rPr>
          <w:sz w:val="26"/>
          <w:szCs w:val="26"/>
          <w:lang w:eastAsia="en-GB"/>
        </w:rPr>
        <w:t>2027</w:t>
      </w:r>
      <w:r>
        <w:rPr>
          <w:sz w:val="26"/>
          <w:szCs w:val="26"/>
          <w:rtl/>
          <w:lang w:eastAsia="en-GB"/>
        </w:rPr>
        <w:t xml:space="preserve">، وتمديد مشروع تجريبي للحفاظ على كفاءة استخدام الطاقة و/أو تعزيزها بالنسبة لتكنولوجيات ومعدات الاستبدال في سياق التخفيض التدريجي للمواد الهيدروفلوروكربونية في بلد واحد إلى </w:t>
      </w:r>
      <w:r>
        <w:rPr>
          <w:sz w:val="26"/>
          <w:szCs w:val="26"/>
          <w:lang w:eastAsia="en-GB"/>
        </w:rPr>
        <w:t>31</w:t>
      </w:r>
      <w:r>
        <w:rPr>
          <w:sz w:val="26"/>
          <w:szCs w:val="26"/>
          <w:rtl/>
          <w:lang w:eastAsia="en-GB"/>
        </w:rPr>
        <w:t> ديسمبر/كانون الأول </w:t>
      </w:r>
      <w:r>
        <w:rPr>
          <w:sz w:val="26"/>
          <w:szCs w:val="26"/>
          <w:lang w:eastAsia="en-GB"/>
        </w:rPr>
        <w:t>2026</w:t>
      </w:r>
      <w:r>
        <w:rPr>
          <w:sz w:val="26"/>
          <w:szCs w:val="26"/>
          <w:rtl/>
          <w:lang w:eastAsia="en-GB"/>
        </w:rPr>
        <w:t xml:space="preserve">، وتمديد إعداد جرد وطني </w:t>
      </w:r>
      <w:r>
        <w:rPr>
          <w:rFonts w:hint="cs"/>
          <w:sz w:val="26"/>
          <w:szCs w:val="26"/>
          <w:rtl/>
          <w:lang w:eastAsia="en-GB"/>
        </w:rPr>
        <w:t>لمخزون</w:t>
      </w:r>
      <w:r>
        <w:rPr>
          <w:sz w:val="26"/>
          <w:szCs w:val="26"/>
          <w:rtl/>
          <w:lang w:eastAsia="en-GB"/>
        </w:rPr>
        <w:t xml:space="preserve"> المواد الخاضعة للرقابة من النفايات ووضع خطة وطنية لإدارة هذه المواد في بلد واحد إلى </w:t>
      </w:r>
      <w:r>
        <w:rPr>
          <w:sz w:val="26"/>
          <w:szCs w:val="26"/>
          <w:lang w:eastAsia="en-GB"/>
        </w:rPr>
        <w:t>30</w:t>
      </w:r>
      <w:r>
        <w:rPr>
          <w:sz w:val="26"/>
          <w:szCs w:val="26"/>
          <w:rtl/>
          <w:lang w:eastAsia="en-GB"/>
        </w:rPr>
        <w:t> يونيو/حزيران </w:t>
      </w:r>
      <w:r>
        <w:rPr>
          <w:sz w:val="26"/>
          <w:szCs w:val="26"/>
          <w:lang w:eastAsia="en-GB"/>
        </w:rPr>
        <w:t>2027</w:t>
      </w:r>
      <w:r>
        <w:rPr>
          <w:sz w:val="26"/>
          <w:szCs w:val="26"/>
          <w:rtl/>
          <w:lang w:eastAsia="en-GB"/>
        </w:rPr>
        <w:t xml:space="preserve">؛ والموافقة على </w:t>
      </w:r>
      <w:r>
        <w:rPr>
          <w:sz w:val="26"/>
          <w:szCs w:val="26"/>
          <w:lang w:eastAsia="en-GB"/>
        </w:rPr>
        <w:t>34</w:t>
      </w:r>
      <w:r>
        <w:rPr>
          <w:sz w:val="26"/>
          <w:szCs w:val="26"/>
          <w:rtl/>
          <w:lang w:eastAsia="en-GB"/>
        </w:rPr>
        <w:t xml:space="preserve"> اتفاقاً للمرحلة الأولى من خطط تنفيذ كيغالي تمت الموافقة عليها بين الاجتماعين الثاني والتسعين والخامس والتسعين</w:t>
      </w:r>
      <w:r>
        <w:rPr>
          <w:rStyle w:val="FootnoteReference"/>
          <w:sz w:val="26"/>
          <w:szCs w:val="26"/>
          <w:lang w:val="en-US" w:eastAsia="en-GB" w:bidi="ar-AE"/>
        </w:rPr>
        <w:footnoteReference w:id="53"/>
      </w:r>
      <w:r>
        <w:rPr>
          <w:sz w:val="26"/>
          <w:szCs w:val="26"/>
          <w:rtl/>
          <w:lang w:eastAsia="en-GB"/>
        </w:rPr>
        <w:t>. كما طلبت اللجنة التنفيذية إجراءات أخرى من البلدان والوكالات المنفذة (المقررات</w:t>
      </w:r>
      <w:r>
        <w:rPr>
          <w:rFonts w:hint="cs"/>
          <w:sz w:val="26"/>
          <w:szCs w:val="26"/>
          <w:rtl/>
          <w:lang w:eastAsia="en-GB"/>
        </w:rPr>
        <w:t xml:space="preserve"> من </w:t>
      </w:r>
      <w:r>
        <w:rPr>
          <w:sz w:val="26"/>
          <w:szCs w:val="26"/>
          <w:lang w:val="en-US" w:eastAsia="en-GB"/>
        </w:rPr>
        <w:t>97</w:t>
      </w:r>
      <w:r>
        <w:rPr>
          <w:rFonts w:hint="cs"/>
          <w:sz w:val="26"/>
          <w:szCs w:val="26"/>
          <w:rtl/>
          <w:lang w:val="en-US" w:eastAsia="en-GB" w:bidi="ar-AE"/>
        </w:rPr>
        <w:t>/</w:t>
      </w:r>
      <w:r>
        <w:rPr>
          <w:sz w:val="26"/>
          <w:szCs w:val="26"/>
          <w:lang w:val="en-US" w:eastAsia="en-GB" w:bidi="ar-AE"/>
        </w:rPr>
        <w:t>15</w:t>
      </w:r>
      <w:r>
        <w:rPr>
          <w:sz w:val="26"/>
          <w:szCs w:val="26"/>
          <w:rtl/>
          <w:lang w:eastAsia="en-GB"/>
        </w:rPr>
        <w:t xml:space="preserve"> إلى</w:t>
      </w:r>
      <w:r>
        <w:rPr>
          <w:rFonts w:hint="cs"/>
          <w:sz w:val="26"/>
          <w:szCs w:val="26"/>
          <w:rtl/>
          <w:lang w:eastAsia="en-GB"/>
        </w:rPr>
        <w:t xml:space="preserve"> </w:t>
      </w:r>
      <w:r>
        <w:rPr>
          <w:sz w:val="26"/>
          <w:szCs w:val="26"/>
          <w:lang w:val="en-US" w:eastAsia="en-GB"/>
        </w:rPr>
        <w:t>97</w:t>
      </w:r>
      <w:r>
        <w:rPr>
          <w:rFonts w:hint="cs"/>
          <w:sz w:val="26"/>
          <w:szCs w:val="26"/>
          <w:rtl/>
          <w:lang w:val="en-US" w:eastAsia="en-GB" w:bidi="ar-AE"/>
        </w:rPr>
        <w:t>/</w:t>
      </w:r>
      <w:r>
        <w:rPr>
          <w:sz w:val="26"/>
          <w:szCs w:val="26"/>
          <w:lang w:val="en-US" w:eastAsia="en-GB" w:bidi="ar-AE"/>
        </w:rPr>
        <w:t>19</w:t>
      </w:r>
      <w:r>
        <w:rPr>
          <w:sz w:val="26"/>
          <w:szCs w:val="26"/>
          <w:rtl/>
          <w:lang w:eastAsia="en-GB"/>
        </w:rPr>
        <w:t xml:space="preserve"> و</w:t>
      </w:r>
      <w:r>
        <w:rPr>
          <w:rFonts w:hint="cs"/>
          <w:sz w:val="26"/>
          <w:szCs w:val="26"/>
          <w:rtl/>
          <w:lang w:eastAsia="en-GB"/>
        </w:rPr>
        <w:t xml:space="preserve">من </w:t>
      </w:r>
      <w:r>
        <w:rPr>
          <w:sz w:val="26"/>
          <w:szCs w:val="26"/>
          <w:lang w:val="en-US" w:eastAsia="en-GB"/>
        </w:rPr>
        <w:t>98</w:t>
      </w:r>
      <w:r>
        <w:rPr>
          <w:rFonts w:hint="cs"/>
          <w:sz w:val="26"/>
          <w:szCs w:val="26"/>
          <w:rtl/>
          <w:lang w:val="en-US" w:eastAsia="en-GB" w:bidi="ar-AE"/>
        </w:rPr>
        <w:t>/</w:t>
      </w:r>
      <w:r>
        <w:rPr>
          <w:sz w:val="26"/>
          <w:szCs w:val="26"/>
          <w:lang w:val="en-US" w:eastAsia="en-GB" w:bidi="ar-AE"/>
        </w:rPr>
        <w:t>4</w:t>
      </w:r>
      <w:r>
        <w:rPr>
          <w:sz w:val="26"/>
          <w:szCs w:val="26"/>
          <w:rtl/>
          <w:lang w:eastAsia="en-GB"/>
        </w:rPr>
        <w:t xml:space="preserve"> إلى</w:t>
      </w:r>
      <w:r>
        <w:rPr>
          <w:rFonts w:hint="cs"/>
          <w:sz w:val="26"/>
          <w:szCs w:val="26"/>
          <w:rtl/>
          <w:lang w:eastAsia="en-GB"/>
        </w:rPr>
        <w:t xml:space="preserve"> </w:t>
      </w:r>
      <w:r>
        <w:rPr>
          <w:sz w:val="26"/>
          <w:szCs w:val="26"/>
          <w:lang w:val="en-US" w:eastAsia="en-GB"/>
        </w:rPr>
        <w:t>98</w:t>
      </w:r>
      <w:r>
        <w:rPr>
          <w:rFonts w:hint="cs"/>
          <w:sz w:val="26"/>
          <w:szCs w:val="26"/>
          <w:rtl/>
          <w:lang w:val="en-US" w:eastAsia="en-GB" w:bidi="ar-AE"/>
        </w:rPr>
        <w:t>/</w:t>
      </w:r>
      <w:r>
        <w:rPr>
          <w:sz w:val="26"/>
          <w:szCs w:val="26"/>
          <w:lang w:val="en-US" w:eastAsia="en-GB" w:bidi="ar-AE"/>
        </w:rPr>
        <w:t>16</w:t>
      </w:r>
      <w:r>
        <w:rPr>
          <w:sz w:val="26"/>
          <w:szCs w:val="26"/>
          <w:rtl/>
          <w:lang w:eastAsia="en-GB"/>
        </w:rPr>
        <w:t>).</w:t>
      </w:r>
    </w:p>
    <w:p w14:paraId="6BCEFC4A" w14:textId="70E0A932" w:rsidR="009E49BA" w:rsidRPr="009E49BA" w:rsidRDefault="009E49BA" w:rsidP="003B64CF">
      <w:pPr>
        <w:pStyle w:val="Heading3"/>
        <w:numPr>
          <w:ilvl w:val="2"/>
          <w:numId w:val="16"/>
        </w:numPr>
        <w:bidi/>
        <w:spacing w:line="288" w:lineRule="auto"/>
        <w:ind w:left="720" w:firstLine="0"/>
        <w:rPr>
          <w:sz w:val="26"/>
          <w:szCs w:val="26"/>
          <w:lang w:eastAsia="en-GB"/>
        </w:rPr>
      </w:pPr>
      <w:r>
        <w:rPr>
          <w:sz w:val="26"/>
          <w:szCs w:val="26"/>
          <w:rtl/>
          <w:lang w:eastAsia="en-GB"/>
        </w:rPr>
        <w:t xml:space="preserve">وفي الاجتماع السابع والتسعين، </w:t>
      </w:r>
      <w:r>
        <w:rPr>
          <w:rFonts w:hint="cs"/>
          <w:sz w:val="26"/>
          <w:szCs w:val="26"/>
          <w:rtl/>
          <w:lang w:eastAsia="en-GB"/>
        </w:rPr>
        <w:t>تم النظر</w:t>
      </w:r>
      <w:r>
        <w:rPr>
          <w:sz w:val="26"/>
          <w:szCs w:val="26"/>
          <w:rtl/>
          <w:lang w:eastAsia="en-GB"/>
        </w:rPr>
        <w:t xml:space="preserve"> في خطط إدارة إزالة المواد الهيدروكلوروفلوروكربونية لجمهورية إيران الإسلامية وباكستان وقطر بشكل منفصل. وبعد الاطلاع على التقارير (المقررات من</w:t>
      </w:r>
      <w:r>
        <w:rPr>
          <w:rFonts w:hint="cs"/>
          <w:sz w:val="26"/>
          <w:szCs w:val="26"/>
          <w:rtl/>
          <w:lang w:eastAsia="en-GB"/>
        </w:rPr>
        <w:t xml:space="preserve"> </w:t>
      </w:r>
      <w:r>
        <w:rPr>
          <w:sz w:val="26"/>
          <w:szCs w:val="26"/>
          <w:lang w:val="en-US" w:eastAsia="en-GB"/>
        </w:rPr>
        <w:t>97</w:t>
      </w:r>
      <w:r>
        <w:rPr>
          <w:rFonts w:hint="cs"/>
          <w:sz w:val="26"/>
          <w:szCs w:val="26"/>
          <w:rtl/>
          <w:lang w:val="en-US" w:eastAsia="en-GB" w:bidi="ar-AE"/>
        </w:rPr>
        <w:t>/</w:t>
      </w:r>
      <w:r>
        <w:rPr>
          <w:sz w:val="26"/>
          <w:szCs w:val="26"/>
          <w:lang w:val="en-US" w:eastAsia="en-GB" w:bidi="ar-AE"/>
        </w:rPr>
        <w:t>20</w:t>
      </w:r>
      <w:r>
        <w:rPr>
          <w:sz w:val="26"/>
          <w:szCs w:val="26"/>
          <w:rtl/>
          <w:lang w:eastAsia="en-GB"/>
        </w:rPr>
        <w:t xml:space="preserve"> إلى</w:t>
      </w:r>
      <w:r>
        <w:rPr>
          <w:rFonts w:hint="cs"/>
          <w:sz w:val="26"/>
          <w:szCs w:val="26"/>
          <w:rtl/>
          <w:lang w:eastAsia="en-GB"/>
        </w:rPr>
        <w:t xml:space="preserve"> </w:t>
      </w:r>
      <w:r>
        <w:rPr>
          <w:sz w:val="26"/>
          <w:szCs w:val="26"/>
          <w:lang w:val="en-US" w:eastAsia="en-GB"/>
        </w:rPr>
        <w:t>97</w:t>
      </w:r>
      <w:r>
        <w:rPr>
          <w:rFonts w:hint="cs"/>
          <w:sz w:val="26"/>
          <w:szCs w:val="26"/>
          <w:rtl/>
          <w:lang w:val="en-US" w:eastAsia="en-GB" w:bidi="ar-AE"/>
        </w:rPr>
        <w:t>/</w:t>
      </w:r>
      <w:r>
        <w:rPr>
          <w:sz w:val="26"/>
          <w:szCs w:val="26"/>
          <w:lang w:val="en-US" w:eastAsia="en-GB" w:bidi="ar-AE"/>
        </w:rPr>
        <w:t>22</w:t>
      </w:r>
      <w:r>
        <w:rPr>
          <w:sz w:val="26"/>
          <w:szCs w:val="26"/>
          <w:rtl/>
          <w:lang w:eastAsia="en-GB"/>
        </w:rPr>
        <w:t>)، وافقت اللجنة التنفيذية، على أساس استثنائي، على تمديد مدة المرحلة الثانية من خطة إدارة إزالة المواد الهيدروكلوروفلوروكربونية لجمهورية إيران الإسلامية (المقرر</w:t>
      </w:r>
      <w:r>
        <w:rPr>
          <w:rFonts w:hint="cs"/>
          <w:sz w:val="26"/>
          <w:szCs w:val="26"/>
          <w:rtl/>
          <w:lang w:eastAsia="en-GB"/>
        </w:rPr>
        <w:t> </w:t>
      </w:r>
      <w:r>
        <w:rPr>
          <w:sz w:val="26"/>
          <w:szCs w:val="26"/>
          <w:lang w:val="en-US" w:eastAsia="en-GB"/>
        </w:rPr>
        <w:t>97</w:t>
      </w:r>
      <w:r>
        <w:rPr>
          <w:rFonts w:hint="cs"/>
          <w:sz w:val="26"/>
          <w:szCs w:val="26"/>
          <w:rtl/>
          <w:lang w:val="en-US" w:eastAsia="en-GB" w:bidi="ar-AE"/>
        </w:rPr>
        <w:t>/</w:t>
      </w:r>
      <w:r>
        <w:rPr>
          <w:sz w:val="26"/>
          <w:szCs w:val="26"/>
          <w:lang w:val="en-US" w:eastAsia="en-GB" w:bidi="ar-AE"/>
        </w:rPr>
        <w:t>20</w:t>
      </w:r>
      <w:r>
        <w:rPr>
          <w:sz w:val="26"/>
          <w:szCs w:val="26"/>
          <w:rtl/>
          <w:lang w:eastAsia="en-GB"/>
        </w:rPr>
        <w:t>) وإعادة تخصيص أرصدة التمويل من نشاط إلى أنشطة أخرى في المرحلة الثالثة من خطة إدارة إزالة المواد الهيدروكلوروفلوروكربونية لباكستان (المقرر</w:t>
      </w:r>
      <w:r>
        <w:rPr>
          <w:rFonts w:hint="cs"/>
          <w:sz w:val="26"/>
          <w:szCs w:val="26"/>
          <w:rtl/>
          <w:lang w:eastAsia="en-GB"/>
        </w:rPr>
        <w:t> </w:t>
      </w:r>
      <w:r>
        <w:rPr>
          <w:sz w:val="26"/>
          <w:szCs w:val="26"/>
          <w:lang w:val="en-US" w:eastAsia="en-GB"/>
        </w:rPr>
        <w:t>97</w:t>
      </w:r>
      <w:r>
        <w:rPr>
          <w:rFonts w:hint="cs"/>
          <w:sz w:val="26"/>
          <w:szCs w:val="26"/>
          <w:rtl/>
          <w:lang w:val="en-US" w:eastAsia="en-GB" w:bidi="ar-AE"/>
        </w:rPr>
        <w:t>/</w:t>
      </w:r>
      <w:r>
        <w:rPr>
          <w:sz w:val="26"/>
          <w:szCs w:val="26"/>
          <w:lang w:val="en-US" w:eastAsia="en-GB" w:bidi="ar-AE"/>
        </w:rPr>
        <w:t>21</w:t>
      </w:r>
      <w:r>
        <w:rPr>
          <w:sz w:val="26"/>
          <w:szCs w:val="26"/>
          <w:rtl/>
          <w:lang w:eastAsia="en-GB"/>
        </w:rPr>
        <w:t>).</w:t>
      </w:r>
    </w:p>
    <w:p w14:paraId="4D1E4C2C" w14:textId="6FBD6C69" w:rsidR="00140D7A" w:rsidRPr="00140D7A" w:rsidRDefault="00140D7A" w:rsidP="003B64CF">
      <w:pPr>
        <w:pStyle w:val="Heading3"/>
        <w:numPr>
          <w:ilvl w:val="2"/>
          <w:numId w:val="16"/>
        </w:numPr>
        <w:bidi/>
        <w:spacing w:line="288" w:lineRule="auto"/>
        <w:ind w:left="720" w:firstLine="0"/>
        <w:rPr>
          <w:sz w:val="26"/>
          <w:szCs w:val="26"/>
          <w:lang w:eastAsia="en-GB"/>
        </w:rPr>
      </w:pPr>
      <w:r>
        <w:rPr>
          <w:sz w:val="26"/>
          <w:szCs w:val="26"/>
          <w:rtl/>
          <w:lang w:eastAsia="en-GB"/>
        </w:rPr>
        <w:t xml:space="preserve">لم تُقدَّم في الاجتماع الثامن والتسعين أي تقارير عن المشاريع ذات متطلبات الإبلاغ المحددة التي </w:t>
      </w:r>
      <w:r>
        <w:rPr>
          <w:sz w:val="26"/>
          <w:szCs w:val="26"/>
          <w:rtl/>
          <w:lang w:eastAsia="en-GB"/>
        </w:rPr>
        <w:lastRenderedPageBreak/>
        <w:t>تحوي قضايا عالقة تستدعي النظر فيها بشكل فردي.</w:t>
      </w:r>
    </w:p>
    <w:p w14:paraId="6024C8DF" w14:textId="12548D56" w:rsidR="00140D7A" w:rsidRPr="00140D7A" w:rsidRDefault="00140D7A">
      <w:pPr>
        <w:pStyle w:val="ListParagraph"/>
        <w:numPr>
          <w:ilvl w:val="0"/>
          <w:numId w:val="27"/>
        </w:numPr>
        <w:bidi/>
        <w:spacing w:after="240"/>
        <w:ind w:hanging="720"/>
        <w:contextualSpacing w:val="0"/>
        <w:jc w:val="both"/>
        <w:outlineLvl w:val="0"/>
        <w:rPr>
          <w:rFonts w:ascii="Times New Roman" w:hAnsi="Times New Roman" w:cs="Times New Roman"/>
          <w:b/>
          <w:bCs/>
          <w:sz w:val="26"/>
          <w:szCs w:val="26"/>
        </w:rPr>
      </w:pPr>
      <w:r>
        <w:rPr>
          <w:rFonts w:ascii="Times New Roman" w:hAnsi="Times New Roman" w:cs="Times New Roman"/>
          <w:b/>
          <w:bCs/>
          <w:sz w:val="26"/>
          <w:szCs w:val="26"/>
          <w:rtl/>
        </w:rPr>
        <w:t>تقارير إنجاز المشروعات المجمعة</w:t>
      </w:r>
    </w:p>
    <w:p w14:paraId="43789469" w14:textId="07B6D054" w:rsidR="00140D7A" w:rsidRPr="00140D7A" w:rsidRDefault="00674279" w:rsidP="003B64CF">
      <w:pPr>
        <w:pStyle w:val="Heading3"/>
        <w:numPr>
          <w:ilvl w:val="2"/>
          <w:numId w:val="16"/>
        </w:numPr>
        <w:bidi/>
        <w:spacing w:line="288" w:lineRule="auto"/>
        <w:ind w:left="720" w:firstLine="0"/>
        <w:rPr>
          <w:sz w:val="26"/>
          <w:szCs w:val="26"/>
          <w:lang w:eastAsia="en-GB"/>
        </w:rPr>
      </w:pPr>
      <w:r>
        <w:rPr>
          <w:sz w:val="26"/>
          <w:szCs w:val="26"/>
          <w:rtl/>
          <w:lang w:eastAsia="en-GB"/>
        </w:rPr>
        <w:t xml:space="preserve">في الاجتماع الثامن والتسعين، نظرت اللجنة التنفيذية في تقرير إنجاز المشروعات المجمع لعام </w:t>
      </w:r>
      <w:r>
        <w:rPr>
          <w:sz w:val="26"/>
          <w:szCs w:val="26"/>
          <w:lang w:eastAsia="en-GB"/>
        </w:rPr>
        <w:t>2026</w:t>
      </w:r>
      <w:r>
        <w:rPr>
          <w:sz w:val="26"/>
          <w:szCs w:val="26"/>
          <w:rtl/>
          <w:lang w:eastAsia="en-GB"/>
        </w:rPr>
        <w:t>.</w:t>
      </w:r>
      <w:r>
        <w:rPr>
          <w:rStyle w:val="FootnoteReference"/>
          <w:sz w:val="26"/>
          <w:szCs w:val="26"/>
          <w:lang w:val="en-US" w:eastAsia="en-GB"/>
        </w:rPr>
        <w:footnoteReference w:id="54"/>
      </w:r>
      <w:r>
        <w:rPr>
          <w:sz w:val="26"/>
          <w:szCs w:val="26"/>
          <w:rtl/>
          <w:lang w:eastAsia="en-GB"/>
        </w:rPr>
        <w:t xml:space="preserve"> وطلبت من الوكالات الثنائية والمنفذة تقديم تقارير إنجاز المشروعات المتأخرة للاتفاقات متعددة السنوات والمشاريع الفردية، أو تقديم أسباب عدم القيام بذلك، في الاجتماع التاسع والتسعين لعرضها على اللجنة التنفيذية في الاجتماع المائة. وطلبت من الوكالات المنفذة الرئيسية والمتعاونة مواصلة التنسيق الوثيق في إنهاء أجزائها الخاصة من تقارير إنجاز المشروعات، لتيسير تقديم التقارير في الوقت المحدد من قبل الوكالة المنفذة الرئيسية. وطلبت إلى الوكالات الثنائية والمنفذة، عند ملء البيانات الخاصة بتقديم تقارير إنجاز المشروعات، </w:t>
      </w:r>
      <w:r>
        <w:rPr>
          <w:rFonts w:hint="cs"/>
          <w:sz w:val="26"/>
          <w:szCs w:val="26"/>
          <w:rtl/>
          <w:lang w:eastAsia="en-GB"/>
        </w:rPr>
        <w:t>التأكد من</w:t>
      </w:r>
      <w:r>
        <w:rPr>
          <w:sz w:val="26"/>
          <w:szCs w:val="26"/>
          <w:rtl/>
          <w:lang w:eastAsia="en-GB"/>
        </w:rPr>
        <w:t xml:space="preserve"> تضمين المعلومات ذات الصلة والمفيدة، والإبلاغ عن الدروس المستفادة وأسباب التأخير في تنفيذ المشاريع، لاستخدامها في التحسينات المستقبلية في تصميم المشاريع وتنفيذها. </w:t>
      </w:r>
      <w:r>
        <w:rPr>
          <w:rFonts w:hint="cs"/>
          <w:sz w:val="26"/>
          <w:szCs w:val="26"/>
          <w:rtl/>
          <w:lang w:eastAsia="en-GB"/>
        </w:rPr>
        <w:t>وتمت دعوة</w:t>
      </w:r>
      <w:r>
        <w:rPr>
          <w:sz w:val="26"/>
          <w:szCs w:val="26"/>
          <w:rtl/>
          <w:lang w:eastAsia="en-GB"/>
        </w:rPr>
        <w:t xml:space="preserve"> جميع الأطراف المشاركة في إعداد وتنفيذ الاتفاقات متعددة السنوات والمشاريع الفردية، ولا سيما أمانة الصندوق والوكالات الثنائية والمنفذة، إلى مراعاة الدروس المستفادة من تقارير إنجاز المشروعات، حيثما ينطبق ذلك (المقرر</w:t>
      </w:r>
      <w:r>
        <w:rPr>
          <w:rFonts w:hint="cs"/>
          <w:sz w:val="26"/>
          <w:szCs w:val="26"/>
          <w:rtl/>
          <w:lang w:eastAsia="en-GB"/>
        </w:rPr>
        <w:t> </w:t>
      </w:r>
      <w:r>
        <w:rPr>
          <w:sz w:val="26"/>
          <w:szCs w:val="26"/>
          <w:lang w:val="en-US" w:eastAsia="en-GB"/>
        </w:rPr>
        <w:t>98</w:t>
      </w:r>
      <w:r>
        <w:rPr>
          <w:rFonts w:hint="cs"/>
          <w:sz w:val="26"/>
          <w:szCs w:val="26"/>
          <w:rtl/>
          <w:lang w:val="en-US" w:eastAsia="en-GB" w:bidi="ar-AE"/>
        </w:rPr>
        <w:t>/</w:t>
      </w:r>
      <w:r>
        <w:rPr>
          <w:sz w:val="26"/>
          <w:szCs w:val="26"/>
          <w:lang w:val="en-US" w:eastAsia="en-GB" w:bidi="ar-AE"/>
        </w:rPr>
        <w:t>17</w:t>
      </w:r>
      <w:r>
        <w:rPr>
          <w:sz w:val="26"/>
          <w:szCs w:val="26"/>
          <w:rtl/>
          <w:lang w:eastAsia="en-GB"/>
        </w:rPr>
        <w:t>).</w:t>
      </w:r>
    </w:p>
    <w:p w14:paraId="4B24F2DE" w14:textId="02EDF85C" w:rsidR="00074135" w:rsidRPr="00074135" w:rsidRDefault="00074135" w:rsidP="00086CAD">
      <w:pPr>
        <w:pStyle w:val="CH2"/>
        <w:tabs>
          <w:tab w:val="clear" w:pos="851"/>
          <w:tab w:val="clear" w:pos="1247"/>
          <w:tab w:val="clear" w:pos="1814"/>
          <w:tab w:val="clear" w:pos="2381"/>
          <w:tab w:val="clear" w:pos="2948"/>
          <w:tab w:val="clear" w:pos="3515"/>
          <w:tab w:val="clear" w:pos="4082"/>
          <w:tab w:val="right" w:pos="7200"/>
        </w:tabs>
        <w:bidi/>
        <w:spacing w:after="240"/>
        <w:ind w:left="1440" w:right="0" w:hanging="720"/>
        <w:rPr>
          <w:b w:val="0"/>
          <w:bCs/>
          <w:sz w:val="26"/>
          <w:szCs w:val="26"/>
          <w:lang w:val="en-US" w:bidi="ar-AE"/>
        </w:rPr>
      </w:pPr>
      <w:r>
        <w:rPr>
          <w:rFonts w:hint="cs"/>
          <w:b w:val="0"/>
          <w:bCs/>
          <w:sz w:val="26"/>
          <w:szCs w:val="26"/>
          <w:rtl/>
          <w:lang w:val="en-US" w:bidi="ar-AE"/>
        </w:rPr>
        <w:t>دال.</w:t>
      </w:r>
      <w:r>
        <w:rPr>
          <w:b w:val="0"/>
          <w:bCs/>
          <w:sz w:val="26"/>
          <w:szCs w:val="26"/>
          <w:rtl/>
          <w:lang w:val="en-US" w:bidi="ar-AE"/>
        </w:rPr>
        <w:tab/>
      </w:r>
      <w:r>
        <w:rPr>
          <w:rFonts w:hint="cs"/>
          <w:b w:val="0"/>
          <w:bCs/>
          <w:sz w:val="26"/>
          <w:szCs w:val="26"/>
          <w:rtl/>
          <w:lang w:val="en-US" w:bidi="ar-AE"/>
        </w:rPr>
        <w:t>التقييم</w:t>
      </w:r>
    </w:p>
    <w:p w14:paraId="692E55D2" w14:textId="28EBC58B" w:rsidR="00074135" w:rsidRDefault="0097080B">
      <w:pPr>
        <w:pStyle w:val="ListParagraph"/>
        <w:numPr>
          <w:ilvl w:val="0"/>
          <w:numId w:val="28"/>
        </w:numPr>
        <w:bidi/>
        <w:spacing w:after="240"/>
        <w:ind w:hanging="720"/>
        <w:contextualSpacing w:val="0"/>
        <w:jc w:val="both"/>
        <w:outlineLvl w:val="0"/>
        <w:rPr>
          <w:rFonts w:ascii="Times New Roman" w:hAnsi="Times New Roman" w:cs="Times New Roman"/>
          <w:b/>
          <w:bCs/>
          <w:sz w:val="26"/>
          <w:szCs w:val="26"/>
        </w:rPr>
      </w:pPr>
      <w:r>
        <w:rPr>
          <w:rFonts w:ascii="Times New Roman" w:hAnsi="Times New Roman" w:cs="Times New Roman"/>
          <w:b/>
          <w:bCs/>
          <w:sz w:val="26"/>
          <w:szCs w:val="26"/>
          <w:rtl/>
        </w:rPr>
        <w:t>أداء الوكالات المنفذة</w:t>
      </w:r>
    </w:p>
    <w:p w14:paraId="1F461F9F" w14:textId="34228239" w:rsidR="0097080B" w:rsidRPr="0097080B" w:rsidRDefault="0097080B" w:rsidP="003B64CF">
      <w:pPr>
        <w:pStyle w:val="Heading3"/>
        <w:numPr>
          <w:ilvl w:val="2"/>
          <w:numId w:val="16"/>
        </w:numPr>
        <w:bidi/>
        <w:spacing w:line="288" w:lineRule="auto"/>
        <w:ind w:left="720" w:firstLine="0"/>
        <w:rPr>
          <w:sz w:val="26"/>
          <w:szCs w:val="26"/>
          <w:lang w:eastAsia="en-GB"/>
        </w:rPr>
      </w:pPr>
      <w:r>
        <w:rPr>
          <w:sz w:val="26"/>
          <w:szCs w:val="26"/>
          <w:rtl/>
          <w:lang w:eastAsia="en-GB"/>
        </w:rPr>
        <w:t xml:space="preserve">في الاجتماع السابع والتسعين، أحاطت اللجنة التنفيذية علماً بتقييم أداء الوكالات المنفذة مقارنة بخطط أعمالها لعام </w:t>
      </w:r>
      <w:r>
        <w:rPr>
          <w:sz w:val="26"/>
          <w:szCs w:val="26"/>
          <w:lang w:eastAsia="en-GB"/>
        </w:rPr>
        <w:t>2024</w:t>
      </w:r>
      <w:r>
        <w:rPr>
          <w:sz w:val="26"/>
          <w:szCs w:val="26"/>
          <w:rtl/>
          <w:lang w:eastAsia="en-GB"/>
        </w:rPr>
        <w:t>.</w:t>
      </w:r>
      <w:r>
        <w:rPr>
          <w:rStyle w:val="FootnoteReference"/>
          <w:sz w:val="26"/>
          <w:szCs w:val="26"/>
          <w:lang w:val="en-US" w:eastAsia="en-GB" w:bidi="ar-AE"/>
        </w:rPr>
        <w:footnoteReference w:id="55"/>
      </w:r>
      <w:r>
        <w:rPr>
          <w:sz w:val="26"/>
          <w:szCs w:val="26"/>
          <w:rtl/>
          <w:lang w:eastAsia="en-GB"/>
        </w:rPr>
        <w:t xml:space="preserve"> وقد حصلت جميع الوكالات المنفذة على تقييم كمي لأدائها لعام </w:t>
      </w:r>
      <w:r>
        <w:rPr>
          <w:sz w:val="26"/>
          <w:szCs w:val="26"/>
          <w:lang w:eastAsia="en-GB"/>
        </w:rPr>
        <w:t>2024</w:t>
      </w:r>
      <w:r>
        <w:rPr>
          <w:sz w:val="26"/>
          <w:szCs w:val="26"/>
          <w:rtl/>
          <w:lang w:eastAsia="en-GB"/>
        </w:rPr>
        <w:t xml:space="preserve"> لا يقل عن </w:t>
      </w:r>
      <w:r>
        <w:rPr>
          <w:sz w:val="26"/>
          <w:szCs w:val="26"/>
          <w:lang w:eastAsia="en-GB"/>
        </w:rPr>
        <w:t>84</w:t>
      </w:r>
      <w:r>
        <w:rPr>
          <w:sz w:val="26"/>
          <w:szCs w:val="26"/>
          <w:rtl/>
          <w:lang w:eastAsia="en-GB"/>
        </w:rPr>
        <w:t xml:space="preserve"> درجة من أصل </w:t>
      </w:r>
      <w:r>
        <w:rPr>
          <w:sz w:val="26"/>
          <w:szCs w:val="26"/>
          <w:lang w:eastAsia="en-GB"/>
        </w:rPr>
        <w:t>100</w:t>
      </w:r>
      <w:r>
        <w:rPr>
          <w:sz w:val="26"/>
          <w:szCs w:val="26"/>
          <w:rtl/>
          <w:lang w:eastAsia="en-GB"/>
        </w:rPr>
        <w:t xml:space="preserve">، كما تحسن الأداء الكمي </w:t>
      </w:r>
      <w:r>
        <w:rPr>
          <w:rFonts w:hint="cs"/>
          <w:sz w:val="26"/>
          <w:szCs w:val="26"/>
          <w:rtl/>
          <w:lang w:eastAsia="en-GB" w:bidi="ar-AE"/>
        </w:rPr>
        <w:t>لليوئنديبي واليونيب</w:t>
      </w:r>
      <w:r>
        <w:rPr>
          <w:sz w:val="26"/>
          <w:szCs w:val="26"/>
          <w:rtl/>
          <w:lang w:eastAsia="en-GB"/>
        </w:rPr>
        <w:t xml:space="preserve"> في عام </w:t>
      </w:r>
      <w:r>
        <w:rPr>
          <w:sz w:val="26"/>
          <w:szCs w:val="26"/>
          <w:lang w:eastAsia="en-GB"/>
        </w:rPr>
        <w:t>2024</w:t>
      </w:r>
      <w:r>
        <w:rPr>
          <w:sz w:val="26"/>
          <w:szCs w:val="26"/>
          <w:rtl/>
          <w:lang w:eastAsia="en-GB"/>
        </w:rPr>
        <w:t xml:space="preserve"> مقارنةً بعام </w:t>
      </w:r>
      <w:r>
        <w:rPr>
          <w:sz w:val="26"/>
          <w:szCs w:val="26"/>
          <w:lang w:eastAsia="en-GB"/>
        </w:rPr>
        <w:t>2023</w:t>
      </w:r>
      <w:r>
        <w:rPr>
          <w:sz w:val="26"/>
          <w:szCs w:val="26"/>
          <w:rtl/>
          <w:lang w:eastAsia="en-GB"/>
        </w:rPr>
        <w:t xml:space="preserve">. إلا أن تحليل الاتجاهات أشار إلى أن أداء الوكالات المنفذة في بعض المؤشرات في عام </w:t>
      </w:r>
      <w:r>
        <w:rPr>
          <w:sz w:val="26"/>
          <w:szCs w:val="26"/>
          <w:lang w:eastAsia="en-GB"/>
        </w:rPr>
        <w:t>2024</w:t>
      </w:r>
      <w:r>
        <w:rPr>
          <w:sz w:val="26"/>
          <w:szCs w:val="26"/>
          <w:rtl/>
          <w:lang w:eastAsia="en-GB"/>
        </w:rPr>
        <w:t xml:space="preserve"> لم يتحسن مقارنة بعام </w:t>
      </w:r>
      <w:r>
        <w:rPr>
          <w:sz w:val="26"/>
          <w:szCs w:val="26"/>
          <w:lang w:eastAsia="en-GB"/>
        </w:rPr>
        <w:t>2023</w:t>
      </w:r>
      <w:r>
        <w:rPr>
          <w:sz w:val="26"/>
          <w:szCs w:val="26"/>
          <w:rtl/>
          <w:lang w:eastAsia="en-GB"/>
        </w:rPr>
        <w:t>. ولاحظت اللجنة، مع التقدير، الجهود التي بذلتها الوكالات الثنائية والوكالات المنفذة لإجراء مناقشات مفتوحة وبناءة مع وحدات الأوزون الوطنية المعنية بشأن المجالات التي تعتبر فيها خدماتها أقل من مُرضية، وأن نتائج مشاوراتها مع وحدات الأوزون الوطنية المعنية كانت مرضية. وشجعت اللجنة التنفيذية وحدات الأوزون الوطنية على تقديم تقييماتها السنوية في الوقت المناسب للأداء النوعي للوكالات الثنائية والمنفذة في مساعدة حكوماتها (المقرر</w:t>
      </w:r>
      <w:r>
        <w:rPr>
          <w:rFonts w:hint="cs"/>
          <w:sz w:val="26"/>
          <w:szCs w:val="26"/>
          <w:rtl/>
          <w:lang w:eastAsia="en-GB" w:bidi="ar-AE"/>
        </w:rPr>
        <w:t> </w:t>
      </w:r>
      <w:r>
        <w:rPr>
          <w:sz w:val="26"/>
          <w:szCs w:val="26"/>
          <w:lang w:val="en-US" w:eastAsia="en-GB" w:bidi="ar-AE"/>
        </w:rPr>
        <w:t>97</w:t>
      </w:r>
      <w:r>
        <w:rPr>
          <w:rFonts w:hint="cs"/>
          <w:sz w:val="26"/>
          <w:szCs w:val="26"/>
          <w:rtl/>
          <w:lang w:val="en-US" w:eastAsia="en-GB" w:bidi="ar-AE"/>
        </w:rPr>
        <w:t>/</w:t>
      </w:r>
      <w:r>
        <w:rPr>
          <w:sz w:val="26"/>
          <w:szCs w:val="26"/>
          <w:lang w:val="en-US" w:eastAsia="en-GB" w:bidi="ar-AE"/>
        </w:rPr>
        <w:t>7</w:t>
      </w:r>
      <w:r>
        <w:rPr>
          <w:sz w:val="26"/>
          <w:szCs w:val="26"/>
          <w:rtl/>
          <w:lang w:eastAsia="en-GB"/>
        </w:rPr>
        <w:t>).</w:t>
      </w:r>
    </w:p>
    <w:p w14:paraId="6B0392A2" w14:textId="1D90A983" w:rsidR="005B6181" w:rsidRPr="005B6181" w:rsidRDefault="005B6181">
      <w:pPr>
        <w:pStyle w:val="ListParagraph"/>
        <w:numPr>
          <w:ilvl w:val="0"/>
          <w:numId w:val="28"/>
        </w:numPr>
        <w:bidi/>
        <w:spacing w:after="240"/>
        <w:ind w:hanging="720"/>
        <w:contextualSpacing w:val="0"/>
        <w:jc w:val="both"/>
        <w:outlineLvl w:val="0"/>
        <w:rPr>
          <w:rFonts w:ascii="Times New Roman" w:hAnsi="Times New Roman" w:cs="Times New Roman"/>
          <w:b/>
          <w:bCs/>
          <w:sz w:val="26"/>
          <w:szCs w:val="26"/>
        </w:rPr>
      </w:pPr>
      <w:r>
        <w:rPr>
          <w:rFonts w:ascii="Times New Roman" w:hAnsi="Times New Roman" w:cs="Times New Roman"/>
          <w:b/>
          <w:bCs/>
          <w:sz w:val="26"/>
          <w:szCs w:val="26"/>
          <w:rtl/>
        </w:rPr>
        <w:t xml:space="preserve">التقرير السنوي عن تنفيذ برنامج عمل الرصد والتقييم لعام </w:t>
      </w:r>
      <w:r>
        <w:rPr>
          <w:rFonts w:ascii="Times New Roman" w:hAnsi="Times New Roman" w:cs="Times New Roman"/>
          <w:b/>
          <w:bCs/>
          <w:sz w:val="26"/>
          <w:szCs w:val="26"/>
        </w:rPr>
        <w:t>2025</w:t>
      </w:r>
      <w:r>
        <w:rPr>
          <w:rFonts w:ascii="Times New Roman" w:hAnsi="Times New Roman" w:cs="Times New Roman"/>
          <w:b/>
          <w:bCs/>
          <w:sz w:val="26"/>
          <w:szCs w:val="26"/>
          <w:rtl/>
        </w:rPr>
        <w:t xml:space="preserve"> وبرنامج عمل التقييم لعام </w:t>
      </w:r>
      <w:r>
        <w:rPr>
          <w:rFonts w:ascii="Times New Roman" w:hAnsi="Times New Roman" w:cs="Times New Roman"/>
          <w:b/>
          <w:bCs/>
          <w:sz w:val="26"/>
          <w:szCs w:val="26"/>
        </w:rPr>
        <w:t>2026</w:t>
      </w:r>
    </w:p>
    <w:p w14:paraId="28C5BA84" w14:textId="245C68CC" w:rsidR="00B90F2B" w:rsidRPr="00B90F2B" w:rsidRDefault="00AB5FB4" w:rsidP="003B64CF">
      <w:pPr>
        <w:pStyle w:val="Heading3"/>
        <w:numPr>
          <w:ilvl w:val="2"/>
          <w:numId w:val="16"/>
        </w:numPr>
        <w:bidi/>
        <w:spacing w:line="288" w:lineRule="auto"/>
        <w:ind w:left="720" w:firstLine="0"/>
        <w:rPr>
          <w:sz w:val="26"/>
          <w:szCs w:val="26"/>
          <w:lang w:eastAsia="en-GB"/>
        </w:rPr>
      </w:pPr>
      <w:r>
        <w:rPr>
          <w:sz w:val="26"/>
          <w:szCs w:val="26"/>
          <w:rtl/>
          <w:lang w:eastAsia="en-GB"/>
        </w:rPr>
        <w:t xml:space="preserve">في الاجتماع السابع والتسعين، نظرت اللجنة التنفيذية في التقرير السنوي عن تنفيذ برنامج عمل الرصد والتقييم لعام </w:t>
      </w:r>
      <w:r>
        <w:rPr>
          <w:sz w:val="26"/>
          <w:szCs w:val="26"/>
          <w:lang w:eastAsia="en-GB"/>
        </w:rPr>
        <w:t>2025</w:t>
      </w:r>
      <w:r>
        <w:rPr>
          <w:sz w:val="26"/>
          <w:szCs w:val="26"/>
          <w:rtl/>
          <w:lang w:eastAsia="en-GB"/>
        </w:rPr>
        <w:t xml:space="preserve">، بما في ذلك على أساس تجريبي لدورة فترة سنتين لبرنامج العمل والميزانية، وبرنامج عمل التقييم لعام </w:t>
      </w:r>
      <w:r>
        <w:rPr>
          <w:sz w:val="26"/>
          <w:szCs w:val="26"/>
          <w:lang w:eastAsia="en-GB"/>
        </w:rPr>
        <w:t>2026</w:t>
      </w:r>
      <w:r>
        <w:rPr>
          <w:sz w:val="26"/>
          <w:szCs w:val="26"/>
          <w:rtl/>
          <w:lang w:eastAsia="en-GB"/>
        </w:rPr>
        <w:t>.</w:t>
      </w:r>
      <w:r>
        <w:rPr>
          <w:rStyle w:val="FootnoteReference"/>
          <w:sz w:val="26"/>
          <w:szCs w:val="26"/>
          <w:lang w:val="en-US" w:eastAsia="en-GB"/>
        </w:rPr>
        <w:footnoteReference w:id="56"/>
      </w:r>
      <w:r>
        <w:rPr>
          <w:sz w:val="26"/>
          <w:szCs w:val="26"/>
          <w:rtl/>
          <w:lang w:eastAsia="en-GB"/>
        </w:rPr>
        <w:t xml:space="preserve"> وقد وافقت على برنامج عمل التقييم لعام </w:t>
      </w:r>
      <w:r>
        <w:rPr>
          <w:sz w:val="26"/>
          <w:szCs w:val="26"/>
          <w:lang w:eastAsia="en-GB"/>
        </w:rPr>
        <w:t>2026</w:t>
      </w:r>
      <w:r>
        <w:rPr>
          <w:sz w:val="26"/>
          <w:szCs w:val="26"/>
          <w:rtl/>
          <w:lang w:eastAsia="en-GB"/>
        </w:rPr>
        <w:t xml:space="preserve"> المرفق بتقرير ذلك الاجتماع</w:t>
      </w:r>
      <w:r>
        <w:rPr>
          <w:rStyle w:val="FootnoteReference"/>
          <w:sz w:val="26"/>
          <w:szCs w:val="26"/>
          <w:lang w:val="en-US" w:eastAsia="en-GB" w:bidi="ar-AE"/>
        </w:rPr>
        <w:footnoteReference w:id="57"/>
      </w:r>
      <w:r>
        <w:rPr>
          <w:sz w:val="26"/>
          <w:szCs w:val="26"/>
          <w:rtl/>
          <w:lang w:eastAsia="en-GB"/>
        </w:rPr>
        <w:t xml:space="preserve">، مع الإحاطة علماً بأن الرصيد المتبقي المؤقت من ميزانية عام </w:t>
      </w:r>
      <w:r>
        <w:rPr>
          <w:sz w:val="26"/>
          <w:szCs w:val="26"/>
          <w:lang w:eastAsia="en-GB"/>
        </w:rPr>
        <w:t>2025</w:t>
      </w:r>
      <w:r>
        <w:rPr>
          <w:sz w:val="26"/>
          <w:szCs w:val="26"/>
          <w:rtl/>
          <w:lang w:eastAsia="en-GB"/>
        </w:rPr>
        <w:t xml:space="preserve"> البالغ </w:t>
      </w:r>
      <w:r>
        <w:rPr>
          <w:sz w:val="26"/>
          <w:szCs w:val="26"/>
          <w:lang w:val="en-GB"/>
        </w:rPr>
        <w:t>131,759</w:t>
      </w:r>
      <w:r>
        <w:rPr>
          <w:sz w:val="26"/>
          <w:szCs w:val="26"/>
          <w:rtl/>
          <w:lang w:eastAsia="en-GB"/>
        </w:rPr>
        <w:t> </w:t>
      </w:r>
      <w:r>
        <w:rPr>
          <w:rFonts w:hint="cs"/>
          <w:sz w:val="26"/>
          <w:szCs w:val="26"/>
          <w:rtl/>
          <w:lang w:eastAsia="en-GB"/>
        </w:rPr>
        <w:t>دولاراً</w:t>
      </w:r>
      <w:r>
        <w:rPr>
          <w:sz w:val="26"/>
          <w:szCs w:val="26"/>
          <w:rtl/>
          <w:lang w:eastAsia="en-GB"/>
        </w:rPr>
        <w:t xml:space="preserve"> </w:t>
      </w:r>
      <w:r>
        <w:rPr>
          <w:rFonts w:hint="cs"/>
          <w:sz w:val="26"/>
          <w:szCs w:val="26"/>
          <w:rtl/>
          <w:lang w:eastAsia="en-GB"/>
        </w:rPr>
        <w:lastRenderedPageBreak/>
        <w:t>أمريكياً</w:t>
      </w:r>
      <w:r>
        <w:rPr>
          <w:sz w:val="26"/>
          <w:szCs w:val="26"/>
          <w:rtl/>
          <w:lang w:eastAsia="en-GB"/>
        </w:rPr>
        <w:t xml:space="preserve"> سيتم ترحيله إلى ميزانية التقييم ذات الصلة لعام </w:t>
      </w:r>
      <w:r>
        <w:rPr>
          <w:sz w:val="26"/>
          <w:szCs w:val="26"/>
          <w:lang w:eastAsia="en-GB"/>
        </w:rPr>
        <w:t>2026</w:t>
      </w:r>
      <w:r>
        <w:rPr>
          <w:sz w:val="26"/>
          <w:szCs w:val="26"/>
          <w:rtl/>
          <w:lang w:eastAsia="en-GB"/>
        </w:rPr>
        <w:t xml:space="preserve"> (المقرر</w:t>
      </w:r>
      <w:r>
        <w:rPr>
          <w:rFonts w:hint="eastAsia"/>
          <w:sz w:val="26"/>
          <w:szCs w:val="26"/>
          <w:rtl/>
          <w:lang w:eastAsia="en-GB" w:bidi="ar-AE"/>
        </w:rPr>
        <w:t> </w:t>
      </w:r>
      <w:r>
        <w:rPr>
          <w:sz w:val="26"/>
          <w:szCs w:val="26"/>
          <w:lang w:val="en-US" w:eastAsia="en-GB" w:bidi="ar-AE"/>
        </w:rPr>
        <w:t>97</w:t>
      </w:r>
      <w:r>
        <w:rPr>
          <w:rFonts w:hint="cs"/>
          <w:sz w:val="26"/>
          <w:szCs w:val="26"/>
          <w:rtl/>
          <w:lang w:val="en-US" w:eastAsia="en-GB" w:bidi="ar-AE"/>
        </w:rPr>
        <w:t>/</w:t>
      </w:r>
      <w:r>
        <w:rPr>
          <w:sz w:val="26"/>
          <w:szCs w:val="26"/>
          <w:lang w:val="en-US" w:eastAsia="en-GB" w:bidi="ar-AE"/>
        </w:rPr>
        <w:t>8</w:t>
      </w:r>
      <w:r>
        <w:rPr>
          <w:sz w:val="26"/>
          <w:szCs w:val="26"/>
          <w:rtl/>
          <w:lang w:eastAsia="en-GB"/>
        </w:rPr>
        <w:t>).</w:t>
      </w:r>
    </w:p>
    <w:p w14:paraId="3EDC3CA6" w14:textId="7F9E7D2A" w:rsidR="00FF24A2" w:rsidRPr="00FF24A2" w:rsidRDefault="00FF24A2" w:rsidP="00086CAD">
      <w:pPr>
        <w:pStyle w:val="CH2"/>
        <w:tabs>
          <w:tab w:val="clear" w:pos="851"/>
          <w:tab w:val="clear" w:pos="1247"/>
          <w:tab w:val="clear" w:pos="1814"/>
          <w:tab w:val="clear" w:pos="2381"/>
          <w:tab w:val="clear" w:pos="2948"/>
          <w:tab w:val="clear" w:pos="3515"/>
          <w:tab w:val="clear" w:pos="4082"/>
          <w:tab w:val="right" w:pos="7200"/>
        </w:tabs>
        <w:bidi/>
        <w:spacing w:after="240"/>
        <w:ind w:left="1440" w:right="0" w:hanging="720"/>
        <w:rPr>
          <w:b w:val="0"/>
          <w:bCs/>
          <w:sz w:val="26"/>
          <w:szCs w:val="26"/>
          <w:lang w:val="en-US" w:bidi="ar-AE"/>
        </w:rPr>
      </w:pPr>
      <w:r>
        <w:rPr>
          <w:rFonts w:hint="cs"/>
          <w:b w:val="0"/>
          <w:bCs/>
          <w:sz w:val="26"/>
          <w:szCs w:val="26"/>
          <w:rtl/>
          <w:lang w:val="en-US" w:bidi="ar-AE"/>
        </w:rPr>
        <w:t>هاء.</w:t>
      </w:r>
      <w:r>
        <w:rPr>
          <w:b w:val="0"/>
          <w:bCs/>
          <w:sz w:val="26"/>
          <w:szCs w:val="26"/>
          <w:rtl/>
          <w:lang w:val="en-US" w:bidi="ar-AE"/>
        </w:rPr>
        <w:tab/>
        <w:t>تخطيط الأعمال والمسائل المالية</w:t>
      </w:r>
    </w:p>
    <w:p w14:paraId="43A90AE5" w14:textId="4A3E97F2" w:rsidR="00FF24A2" w:rsidRPr="00FF24A2" w:rsidRDefault="00FF24A2">
      <w:pPr>
        <w:pStyle w:val="ListParagraph"/>
        <w:numPr>
          <w:ilvl w:val="0"/>
          <w:numId w:val="29"/>
        </w:numPr>
        <w:bidi/>
        <w:spacing w:after="240"/>
        <w:ind w:left="1440" w:hanging="720"/>
        <w:contextualSpacing w:val="0"/>
        <w:jc w:val="both"/>
        <w:outlineLvl w:val="0"/>
        <w:rPr>
          <w:rFonts w:ascii="Times New Roman" w:hAnsi="Times New Roman" w:cs="Times New Roman"/>
          <w:b/>
          <w:bCs/>
          <w:sz w:val="26"/>
          <w:szCs w:val="26"/>
        </w:rPr>
      </w:pPr>
      <w:r>
        <w:rPr>
          <w:rFonts w:ascii="Times New Roman" w:hAnsi="Times New Roman" w:cs="Times New Roman"/>
          <w:b/>
          <w:bCs/>
          <w:sz w:val="26"/>
          <w:szCs w:val="26"/>
          <w:rtl/>
        </w:rPr>
        <w:t>تخطيط الأعمال</w:t>
      </w:r>
    </w:p>
    <w:p w14:paraId="6E22EA7A" w14:textId="47E94F6F" w:rsidR="00FF24A2" w:rsidRPr="00FF24A2" w:rsidRDefault="00DA1DE4" w:rsidP="003B64CF">
      <w:pPr>
        <w:pStyle w:val="Heading3"/>
        <w:numPr>
          <w:ilvl w:val="2"/>
          <w:numId w:val="16"/>
        </w:numPr>
        <w:bidi/>
        <w:spacing w:line="288" w:lineRule="auto"/>
        <w:ind w:left="720" w:firstLine="0"/>
        <w:rPr>
          <w:sz w:val="26"/>
          <w:szCs w:val="26"/>
          <w:lang w:eastAsia="en-GB"/>
        </w:rPr>
      </w:pPr>
      <w:r>
        <w:rPr>
          <w:sz w:val="26"/>
          <w:szCs w:val="26"/>
          <w:rtl/>
          <w:lang w:eastAsia="en-GB"/>
        </w:rPr>
        <w:t xml:space="preserve">نظرت اللجنة التنفيذية في الاجتماع السابع والتسعين، في تحديث لحالة تنفيذ خطة الأعمال الموحدة للصندوق المتعدد الأطراف للفترة </w:t>
      </w:r>
      <w:r>
        <w:rPr>
          <w:sz w:val="26"/>
          <w:szCs w:val="26"/>
          <w:lang w:eastAsia="en-GB"/>
        </w:rPr>
        <w:t>2025</w:t>
      </w:r>
      <w:r>
        <w:rPr>
          <w:sz w:val="26"/>
          <w:szCs w:val="26"/>
          <w:rtl/>
          <w:lang w:eastAsia="en-GB"/>
        </w:rPr>
        <w:t>-</w:t>
      </w:r>
      <w:r>
        <w:rPr>
          <w:sz w:val="26"/>
          <w:szCs w:val="26"/>
          <w:lang w:eastAsia="en-GB"/>
        </w:rPr>
        <w:t>2027</w:t>
      </w:r>
      <w:r>
        <w:rPr>
          <w:sz w:val="26"/>
          <w:szCs w:val="26"/>
          <w:rtl/>
          <w:lang w:eastAsia="en-GB"/>
        </w:rPr>
        <w:t>،</w:t>
      </w:r>
      <w:r>
        <w:rPr>
          <w:rStyle w:val="FootnoteReference"/>
          <w:sz w:val="26"/>
          <w:szCs w:val="26"/>
          <w:lang w:val="en-US" w:eastAsia="en-GB"/>
        </w:rPr>
        <w:footnoteReference w:id="58"/>
      </w:r>
      <w:r>
        <w:rPr>
          <w:sz w:val="26"/>
          <w:szCs w:val="26"/>
          <w:rtl/>
          <w:lang w:eastAsia="en-GB"/>
        </w:rPr>
        <w:t xml:space="preserve"> مع الإشارة إلى القيمة الإجمالية للأنشطة المقدمة إلى الاجتماع السابع والتسعين (المقرر</w:t>
      </w:r>
      <w:r>
        <w:rPr>
          <w:rFonts w:hint="eastAsia"/>
          <w:sz w:val="26"/>
          <w:szCs w:val="26"/>
          <w:rtl/>
          <w:lang w:eastAsia="en-GB" w:bidi="ar-AE"/>
        </w:rPr>
        <w:t> </w:t>
      </w:r>
      <w:r>
        <w:rPr>
          <w:sz w:val="26"/>
          <w:szCs w:val="26"/>
          <w:lang w:val="en-US" w:eastAsia="en-GB" w:bidi="ar-AE"/>
        </w:rPr>
        <w:t>97</w:t>
      </w:r>
      <w:r>
        <w:rPr>
          <w:rFonts w:hint="cs"/>
          <w:sz w:val="26"/>
          <w:szCs w:val="26"/>
          <w:rtl/>
          <w:lang w:val="en-US" w:eastAsia="en-GB" w:bidi="ar-AE"/>
        </w:rPr>
        <w:t>/</w:t>
      </w:r>
      <w:r>
        <w:rPr>
          <w:sz w:val="26"/>
          <w:szCs w:val="26"/>
          <w:lang w:val="en-US" w:eastAsia="en-GB" w:bidi="ar-AE"/>
        </w:rPr>
        <w:t>23</w:t>
      </w:r>
      <w:r>
        <w:rPr>
          <w:sz w:val="26"/>
          <w:szCs w:val="26"/>
          <w:rtl/>
          <w:lang w:eastAsia="en-GB"/>
        </w:rPr>
        <w:t>).</w:t>
      </w:r>
    </w:p>
    <w:p w14:paraId="683BA402" w14:textId="137B2093" w:rsidR="00155DC5" w:rsidRPr="00155DC5" w:rsidRDefault="00155DC5" w:rsidP="003B64CF">
      <w:pPr>
        <w:pStyle w:val="Heading3"/>
        <w:numPr>
          <w:ilvl w:val="2"/>
          <w:numId w:val="16"/>
        </w:numPr>
        <w:bidi/>
        <w:spacing w:line="288" w:lineRule="auto"/>
        <w:ind w:left="720" w:firstLine="0"/>
        <w:rPr>
          <w:sz w:val="26"/>
          <w:szCs w:val="26"/>
          <w:lang w:eastAsia="en-GB"/>
        </w:rPr>
      </w:pPr>
      <w:r>
        <w:rPr>
          <w:sz w:val="26"/>
          <w:szCs w:val="26"/>
          <w:rtl/>
          <w:lang w:eastAsia="en-GB"/>
        </w:rPr>
        <w:t xml:space="preserve">ونظرت اللجنة التنفيذية أيضاً، في اجتماعها السابع والتسعين، في خطة الأعمال الموحدة للصندوق المتعدد الأطراف للفترة </w:t>
      </w:r>
      <w:r>
        <w:rPr>
          <w:sz w:val="26"/>
          <w:szCs w:val="26"/>
          <w:lang w:eastAsia="en-GB"/>
        </w:rPr>
        <w:t>2026</w:t>
      </w:r>
      <w:r>
        <w:rPr>
          <w:sz w:val="26"/>
          <w:szCs w:val="26"/>
          <w:rtl/>
          <w:lang w:eastAsia="en-GB"/>
        </w:rPr>
        <w:t>-</w:t>
      </w:r>
      <w:r>
        <w:rPr>
          <w:sz w:val="26"/>
          <w:szCs w:val="26"/>
          <w:lang w:eastAsia="en-GB"/>
        </w:rPr>
        <w:t>2028</w:t>
      </w:r>
      <w:r>
        <w:rPr>
          <w:sz w:val="26"/>
          <w:szCs w:val="26"/>
          <w:rtl/>
          <w:lang w:eastAsia="en-GB"/>
        </w:rPr>
        <w:t>.</w:t>
      </w:r>
      <w:r>
        <w:rPr>
          <w:rStyle w:val="FootnoteReference"/>
          <w:sz w:val="26"/>
          <w:szCs w:val="26"/>
          <w:lang w:val="en-US" w:eastAsia="en-GB" w:bidi="ar-AE"/>
        </w:rPr>
        <w:footnoteReference w:id="59"/>
      </w:r>
      <w:r>
        <w:rPr>
          <w:sz w:val="26"/>
          <w:szCs w:val="26"/>
          <w:rtl/>
          <w:lang w:eastAsia="en-GB"/>
        </w:rPr>
        <w:t xml:space="preserve"> وبعد إجراء عدد من التعديلات، أقرت اللجنة خطة الأعمال الموحدة للفترة نفسها، مع الإشارة إلى أن الإقرار لا يعني الموافقة على المشروعات المحددة فيها أو مستويات تمويلها أو إنتاجها. وطلبت اللجنة أيضاً إلى أمانة الصندوق إعداد وثيقة موجزة لعرضها على اللجنة التنفيذية في اجتماعها التاسع والتسعين بشأن تحديث المبادئ التوجيهية لإعداد المشروعات للمرحلة الأولى من خطط التنفيذ المتعلقة بالمواد الهيدروفلوروكربونية بموجب تعديل كيغالي لاستخدامها خلال إعداد المرحلة الثانية من خطط التنفيذ المتعلقة بالمواد الهيدروفلوروكربونية بموجب تعديل كيغالي (المقرر</w:t>
      </w:r>
      <w:r>
        <w:rPr>
          <w:rFonts w:hint="cs"/>
          <w:sz w:val="26"/>
          <w:szCs w:val="26"/>
          <w:rtl/>
          <w:lang w:eastAsia="en-GB" w:bidi="ar-AE"/>
        </w:rPr>
        <w:t> </w:t>
      </w:r>
      <w:r>
        <w:rPr>
          <w:sz w:val="26"/>
          <w:szCs w:val="26"/>
          <w:lang w:val="en-US" w:eastAsia="en-GB" w:bidi="ar-AE"/>
        </w:rPr>
        <w:t>97</w:t>
      </w:r>
      <w:r>
        <w:rPr>
          <w:rFonts w:hint="cs"/>
          <w:sz w:val="26"/>
          <w:szCs w:val="26"/>
          <w:rtl/>
          <w:lang w:val="en-US" w:eastAsia="en-GB" w:bidi="ar-AE"/>
        </w:rPr>
        <w:t>/</w:t>
      </w:r>
      <w:r>
        <w:rPr>
          <w:sz w:val="26"/>
          <w:szCs w:val="26"/>
          <w:lang w:val="en-US" w:eastAsia="en-GB" w:bidi="ar-AE"/>
        </w:rPr>
        <w:t>24</w:t>
      </w:r>
      <w:r>
        <w:rPr>
          <w:sz w:val="26"/>
          <w:szCs w:val="26"/>
          <w:rtl/>
          <w:lang w:eastAsia="en-GB"/>
        </w:rPr>
        <w:t xml:space="preserve">). ونظرت اللجنة التنفيذية أيضاً في خطط الأعمال للفترة </w:t>
      </w:r>
      <w:r>
        <w:rPr>
          <w:sz w:val="26"/>
          <w:szCs w:val="26"/>
          <w:lang w:eastAsia="en-GB"/>
        </w:rPr>
        <w:t>2026</w:t>
      </w:r>
      <w:r>
        <w:rPr>
          <w:sz w:val="26"/>
          <w:szCs w:val="26"/>
          <w:rtl/>
          <w:lang w:eastAsia="en-GB"/>
        </w:rPr>
        <w:t>-</w:t>
      </w:r>
      <w:r>
        <w:rPr>
          <w:sz w:val="26"/>
          <w:szCs w:val="26"/>
          <w:lang w:eastAsia="en-GB"/>
        </w:rPr>
        <w:t>2028</w:t>
      </w:r>
      <w:r>
        <w:rPr>
          <w:sz w:val="26"/>
          <w:szCs w:val="26"/>
          <w:rtl/>
          <w:lang w:eastAsia="en-GB"/>
        </w:rPr>
        <w:t xml:space="preserve"> للوكالات الثنائية (حكومات أستراليا وفرنسا وألمانيا وإيطاليا والمملكة المتحدة لبريطانيا العظمى وأيرلندا الشمالية)</w:t>
      </w:r>
      <w:r>
        <w:rPr>
          <w:rStyle w:val="FootnoteReference"/>
          <w:sz w:val="26"/>
          <w:szCs w:val="26"/>
          <w:lang w:val="en-US" w:eastAsia="en-GB"/>
        </w:rPr>
        <w:footnoteReference w:id="60"/>
      </w:r>
      <w:r>
        <w:rPr>
          <w:sz w:val="26"/>
          <w:szCs w:val="26"/>
          <w:rtl/>
          <w:lang w:eastAsia="en-GB"/>
        </w:rPr>
        <w:t xml:space="preserve">، </w:t>
      </w:r>
      <w:r>
        <w:rPr>
          <w:rFonts w:hint="cs"/>
          <w:sz w:val="26"/>
          <w:szCs w:val="26"/>
          <w:rtl/>
          <w:lang w:eastAsia="en-GB"/>
        </w:rPr>
        <w:t>واليوئنديبي</w:t>
      </w:r>
      <w:r>
        <w:rPr>
          <w:rStyle w:val="FootnoteReference"/>
          <w:sz w:val="26"/>
          <w:szCs w:val="26"/>
          <w:lang w:val="en-US" w:eastAsia="en-GB"/>
        </w:rPr>
        <w:footnoteReference w:id="61"/>
      </w:r>
      <w:r>
        <w:rPr>
          <w:sz w:val="26"/>
          <w:szCs w:val="26"/>
          <w:rtl/>
          <w:lang w:eastAsia="en-GB"/>
        </w:rPr>
        <w:t xml:space="preserve">، </w:t>
      </w:r>
      <w:r>
        <w:rPr>
          <w:rFonts w:hint="cs"/>
          <w:sz w:val="26"/>
          <w:szCs w:val="26"/>
          <w:rtl/>
          <w:lang w:eastAsia="en-GB"/>
        </w:rPr>
        <w:t>واليونيب</w:t>
      </w:r>
      <w:r>
        <w:rPr>
          <w:rStyle w:val="FootnoteReference"/>
          <w:sz w:val="26"/>
          <w:szCs w:val="26"/>
          <w:lang w:val="en-US" w:eastAsia="en-GB"/>
        </w:rPr>
        <w:footnoteReference w:id="62"/>
      </w:r>
      <w:r>
        <w:rPr>
          <w:sz w:val="26"/>
          <w:szCs w:val="26"/>
          <w:rtl/>
          <w:lang w:eastAsia="en-GB"/>
        </w:rPr>
        <w:t xml:space="preserve">، </w:t>
      </w:r>
      <w:r>
        <w:rPr>
          <w:rFonts w:hint="cs"/>
          <w:sz w:val="26"/>
          <w:szCs w:val="26"/>
          <w:rtl/>
          <w:lang w:eastAsia="en-GB"/>
        </w:rPr>
        <w:t>واليونيدو</w:t>
      </w:r>
      <w:r>
        <w:rPr>
          <w:rStyle w:val="FootnoteReference"/>
          <w:sz w:val="26"/>
          <w:szCs w:val="26"/>
          <w:lang w:val="en-US" w:eastAsia="en-GB"/>
        </w:rPr>
        <w:footnoteReference w:id="63"/>
      </w:r>
      <w:r>
        <w:rPr>
          <w:sz w:val="26"/>
          <w:szCs w:val="26"/>
          <w:rtl/>
          <w:lang w:eastAsia="en-GB"/>
        </w:rPr>
        <w:t>، والبنك الدولي</w:t>
      </w:r>
      <w:r>
        <w:rPr>
          <w:rStyle w:val="FootnoteReference"/>
          <w:sz w:val="26"/>
          <w:szCs w:val="26"/>
          <w:lang w:val="en-US" w:eastAsia="en-GB"/>
        </w:rPr>
        <w:footnoteReference w:id="64"/>
      </w:r>
      <w:r>
        <w:rPr>
          <w:sz w:val="26"/>
          <w:szCs w:val="26"/>
          <w:rtl/>
          <w:lang w:eastAsia="en-GB"/>
        </w:rPr>
        <w:t xml:space="preserve">. وبعد الإحاطة علماً بالخطط، وافقت على مؤشرات الأداء </w:t>
      </w:r>
      <w:r>
        <w:rPr>
          <w:rFonts w:hint="cs"/>
          <w:sz w:val="26"/>
          <w:szCs w:val="26"/>
          <w:rtl/>
          <w:lang w:eastAsia="en-GB"/>
        </w:rPr>
        <w:t>لليوئنديبي،</w:t>
      </w:r>
      <w:r>
        <w:rPr>
          <w:sz w:val="26"/>
          <w:szCs w:val="26"/>
          <w:rtl/>
          <w:lang w:eastAsia="en-GB"/>
        </w:rPr>
        <w:t xml:space="preserve"> </w:t>
      </w:r>
      <w:r>
        <w:rPr>
          <w:rFonts w:hint="cs"/>
          <w:sz w:val="26"/>
          <w:szCs w:val="26"/>
          <w:rtl/>
          <w:lang w:eastAsia="en-GB"/>
        </w:rPr>
        <w:t>واليونيب،</w:t>
      </w:r>
      <w:r>
        <w:rPr>
          <w:sz w:val="26"/>
          <w:szCs w:val="26"/>
          <w:rtl/>
          <w:lang w:eastAsia="en-GB"/>
        </w:rPr>
        <w:t xml:space="preserve"> </w:t>
      </w:r>
      <w:r>
        <w:rPr>
          <w:rFonts w:hint="cs"/>
          <w:sz w:val="26"/>
          <w:szCs w:val="26"/>
          <w:rtl/>
          <w:lang w:eastAsia="en-GB"/>
        </w:rPr>
        <w:t>واليونيدو،</w:t>
      </w:r>
      <w:r>
        <w:rPr>
          <w:sz w:val="26"/>
          <w:szCs w:val="26"/>
          <w:rtl/>
          <w:lang w:eastAsia="en-GB"/>
        </w:rPr>
        <w:t xml:space="preserve"> والبنك الدولي الواردة في المرفقات ذات الصلة بتقرير ذلك الاجتماع</w:t>
      </w:r>
      <w:r>
        <w:rPr>
          <w:rStyle w:val="FootnoteReference"/>
          <w:sz w:val="26"/>
          <w:szCs w:val="26"/>
          <w:lang w:val="en-US" w:eastAsia="en-GB"/>
        </w:rPr>
        <w:footnoteReference w:id="65"/>
      </w:r>
      <w:r>
        <w:rPr>
          <w:sz w:val="26"/>
          <w:szCs w:val="26"/>
          <w:rtl/>
          <w:lang w:eastAsia="en-GB"/>
        </w:rPr>
        <w:t xml:space="preserve"> (المقررات من</w:t>
      </w:r>
      <w:r>
        <w:rPr>
          <w:rFonts w:hint="cs"/>
          <w:sz w:val="26"/>
          <w:szCs w:val="26"/>
          <w:rtl/>
          <w:lang w:eastAsia="en-GB"/>
        </w:rPr>
        <w:t> </w:t>
      </w:r>
      <w:r>
        <w:rPr>
          <w:sz w:val="26"/>
          <w:szCs w:val="26"/>
          <w:lang w:val="en-US" w:eastAsia="en-GB"/>
        </w:rPr>
        <w:t>97</w:t>
      </w:r>
      <w:r>
        <w:rPr>
          <w:rFonts w:hint="cs"/>
          <w:sz w:val="26"/>
          <w:szCs w:val="26"/>
          <w:rtl/>
          <w:lang w:val="en-US" w:eastAsia="en-GB" w:bidi="ar-AE"/>
        </w:rPr>
        <w:t>/</w:t>
      </w:r>
      <w:r>
        <w:rPr>
          <w:sz w:val="26"/>
          <w:szCs w:val="26"/>
          <w:lang w:val="en-US" w:eastAsia="en-GB" w:bidi="ar-AE"/>
        </w:rPr>
        <w:t>25</w:t>
      </w:r>
      <w:r>
        <w:rPr>
          <w:sz w:val="26"/>
          <w:szCs w:val="26"/>
          <w:rtl/>
          <w:lang w:eastAsia="en-GB"/>
        </w:rPr>
        <w:t xml:space="preserve"> إلى</w:t>
      </w:r>
      <w:r>
        <w:rPr>
          <w:rFonts w:hint="cs"/>
          <w:sz w:val="26"/>
          <w:szCs w:val="26"/>
          <w:rtl/>
          <w:lang w:eastAsia="en-GB"/>
        </w:rPr>
        <w:t> </w:t>
      </w:r>
      <w:r>
        <w:rPr>
          <w:sz w:val="26"/>
          <w:szCs w:val="26"/>
          <w:lang w:val="en-US" w:eastAsia="en-GB"/>
        </w:rPr>
        <w:t>97</w:t>
      </w:r>
      <w:r>
        <w:rPr>
          <w:rFonts w:hint="cs"/>
          <w:sz w:val="26"/>
          <w:szCs w:val="26"/>
          <w:rtl/>
          <w:lang w:val="en-US" w:eastAsia="en-GB" w:bidi="ar-AE"/>
        </w:rPr>
        <w:t>/</w:t>
      </w:r>
      <w:r>
        <w:rPr>
          <w:sz w:val="26"/>
          <w:szCs w:val="26"/>
          <w:lang w:val="en-US" w:eastAsia="en-GB" w:bidi="ar-AE"/>
        </w:rPr>
        <w:t>29</w:t>
      </w:r>
      <w:r>
        <w:rPr>
          <w:sz w:val="26"/>
          <w:szCs w:val="26"/>
          <w:rtl/>
          <w:lang w:eastAsia="en-GB"/>
        </w:rPr>
        <w:t>).</w:t>
      </w:r>
    </w:p>
    <w:p w14:paraId="562925B9" w14:textId="172388D0" w:rsidR="00A71DDF" w:rsidRPr="00A71DDF" w:rsidRDefault="00A71DDF" w:rsidP="003B64CF">
      <w:pPr>
        <w:pStyle w:val="Heading3"/>
        <w:numPr>
          <w:ilvl w:val="2"/>
          <w:numId w:val="16"/>
        </w:numPr>
        <w:bidi/>
        <w:spacing w:line="288" w:lineRule="auto"/>
        <w:ind w:left="720" w:firstLine="0"/>
        <w:rPr>
          <w:sz w:val="26"/>
          <w:szCs w:val="26"/>
          <w:lang w:eastAsia="en-GB"/>
        </w:rPr>
      </w:pPr>
      <w:r>
        <w:rPr>
          <w:rFonts w:hint="cs"/>
          <w:sz w:val="26"/>
          <w:szCs w:val="26"/>
          <w:rtl/>
          <w:lang w:eastAsia="en-GB"/>
        </w:rPr>
        <w:t>و</w:t>
      </w:r>
      <w:r>
        <w:rPr>
          <w:sz w:val="26"/>
          <w:szCs w:val="26"/>
          <w:rtl/>
          <w:lang w:eastAsia="en-GB"/>
        </w:rPr>
        <w:t xml:space="preserve">في الاجتماع الثامن والتسعين، نظرت اللجنة التنفيذية في تحديث عن حالة تنفيذ خطة الأعمال المجمعة للفترة </w:t>
      </w:r>
      <w:r>
        <w:rPr>
          <w:sz w:val="26"/>
          <w:szCs w:val="26"/>
          <w:lang w:eastAsia="en-GB"/>
        </w:rPr>
        <w:t>2026</w:t>
      </w:r>
      <w:r>
        <w:rPr>
          <w:sz w:val="26"/>
          <w:szCs w:val="26"/>
          <w:rtl/>
          <w:lang w:eastAsia="en-GB"/>
        </w:rPr>
        <w:t>-</w:t>
      </w:r>
      <w:r>
        <w:rPr>
          <w:sz w:val="26"/>
          <w:szCs w:val="26"/>
          <w:lang w:eastAsia="en-GB"/>
        </w:rPr>
        <w:t>2028</w:t>
      </w:r>
      <w:r>
        <w:rPr>
          <w:sz w:val="26"/>
          <w:szCs w:val="26"/>
          <w:rtl/>
          <w:lang w:eastAsia="en-GB"/>
        </w:rPr>
        <w:t>،</w:t>
      </w:r>
      <w:r>
        <w:rPr>
          <w:rStyle w:val="FootnoteReference"/>
          <w:sz w:val="26"/>
          <w:szCs w:val="26"/>
          <w:lang w:val="en-US" w:eastAsia="en-GB"/>
        </w:rPr>
        <w:footnoteReference w:id="66"/>
      </w:r>
      <w:r>
        <w:rPr>
          <w:sz w:val="26"/>
          <w:szCs w:val="26"/>
          <w:rtl/>
          <w:lang w:eastAsia="en-GB"/>
        </w:rPr>
        <w:t xml:space="preserve"> وأحاطت علماً بالقيمة الإجمالية للأنشطة المقدمة إلى الاجتماع الثامن والتسعين (المقرر</w:t>
      </w:r>
      <w:r>
        <w:rPr>
          <w:rFonts w:hint="eastAsia"/>
          <w:sz w:val="26"/>
          <w:szCs w:val="26"/>
          <w:rtl/>
          <w:lang w:eastAsia="en-GB" w:bidi="ar-AE"/>
        </w:rPr>
        <w:t> </w:t>
      </w:r>
      <w:r>
        <w:rPr>
          <w:sz w:val="26"/>
          <w:szCs w:val="26"/>
          <w:lang w:val="en-US" w:eastAsia="en-GB" w:bidi="ar-AE"/>
        </w:rPr>
        <w:t>98</w:t>
      </w:r>
      <w:r>
        <w:rPr>
          <w:rFonts w:hint="cs"/>
          <w:sz w:val="26"/>
          <w:szCs w:val="26"/>
          <w:rtl/>
          <w:lang w:val="en-US" w:eastAsia="en-GB" w:bidi="ar-AE"/>
        </w:rPr>
        <w:t>/</w:t>
      </w:r>
      <w:r>
        <w:rPr>
          <w:sz w:val="26"/>
          <w:szCs w:val="26"/>
          <w:lang w:val="en-US" w:eastAsia="en-GB" w:bidi="ar-AE"/>
        </w:rPr>
        <w:t>18</w:t>
      </w:r>
      <w:r>
        <w:rPr>
          <w:sz w:val="26"/>
          <w:szCs w:val="26"/>
          <w:rtl/>
          <w:lang w:eastAsia="en-GB"/>
        </w:rPr>
        <w:t>).</w:t>
      </w:r>
    </w:p>
    <w:p w14:paraId="5F2B4BF6" w14:textId="19AB991B" w:rsidR="00315CC3" w:rsidRPr="00315CC3" w:rsidRDefault="00315CC3">
      <w:pPr>
        <w:pStyle w:val="ListParagraph"/>
        <w:numPr>
          <w:ilvl w:val="0"/>
          <w:numId w:val="29"/>
        </w:numPr>
        <w:bidi/>
        <w:spacing w:after="240"/>
        <w:ind w:left="1440" w:hanging="720"/>
        <w:contextualSpacing w:val="0"/>
        <w:jc w:val="both"/>
        <w:outlineLvl w:val="0"/>
        <w:rPr>
          <w:rFonts w:ascii="Times New Roman" w:hAnsi="Times New Roman" w:cs="Times New Roman"/>
          <w:b/>
          <w:bCs/>
          <w:sz w:val="26"/>
          <w:szCs w:val="26"/>
        </w:rPr>
      </w:pPr>
      <w:r>
        <w:rPr>
          <w:rFonts w:ascii="Times New Roman" w:hAnsi="Times New Roman" w:cs="Times New Roman"/>
          <w:b/>
          <w:bCs/>
          <w:sz w:val="26"/>
          <w:szCs w:val="26"/>
          <w:rtl/>
        </w:rPr>
        <w:t>المسائل المالية</w:t>
      </w:r>
    </w:p>
    <w:p w14:paraId="13550879" w14:textId="6C79FA6C" w:rsidR="00A9097D" w:rsidRDefault="00AC212A">
      <w:pPr>
        <w:pStyle w:val="ListParagraph"/>
        <w:numPr>
          <w:ilvl w:val="0"/>
          <w:numId w:val="30"/>
        </w:numPr>
        <w:bidi/>
        <w:spacing w:after="240"/>
        <w:ind w:hanging="720"/>
        <w:contextualSpacing w:val="0"/>
        <w:jc w:val="both"/>
        <w:outlineLvl w:val="0"/>
        <w:rPr>
          <w:rFonts w:ascii="Times New Roman" w:hAnsi="Times New Roman" w:cs="Times New Roman"/>
          <w:b/>
          <w:bCs/>
          <w:sz w:val="26"/>
          <w:szCs w:val="26"/>
        </w:rPr>
      </w:pPr>
      <w:r>
        <w:rPr>
          <w:rFonts w:ascii="Times New Roman" w:hAnsi="Times New Roman" w:cs="Times New Roman"/>
          <w:b/>
          <w:bCs/>
          <w:sz w:val="26"/>
          <w:szCs w:val="26"/>
          <w:rtl/>
        </w:rPr>
        <w:t>حالة الصندوق المتعدد الأطراف</w:t>
      </w:r>
    </w:p>
    <w:p w14:paraId="02B8FB00" w14:textId="4D69C8F8" w:rsidR="00463977" w:rsidRPr="00463977" w:rsidRDefault="00463977" w:rsidP="003B64CF">
      <w:pPr>
        <w:pStyle w:val="Heading3"/>
        <w:numPr>
          <w:ilvl w:val="2"/>
          <w:numId w:val="16"/>
        </w:numPr>
        <w:bidi/>
        <w:spacing w:line="288" w:lineRule="auto"/>
        <w:ind w:left="720" w:firstLine="0"/>
        <w:rPr>
          <w:sz w:val="26"/>
          <w:szCs w:val="26"/>
          <w:lang w:eastAsia="en-GB"/>
        </w:rPr>
      </w:pPr>
      <w:r>
        <w:rPr>
          <w:rFonts w:hint="cs"/>
          <w:sz w:val="26"/>
          <w:szCs w:val="26"/>
          <w:rtl/>
          <w:lang w:eastAsia="en-GB"/>
        </w:rPr>
        <w:t>في</w:t>
      </w:r>
      <w:r>
        <w:rPr>
          <w:sz w:val="26"/>
          <w:szCs w:val="26"/>
          <w:rtl/>
          <w:lang w:eastAsia="en-GB"/>
        </w:rPr>
        <w:t xml:space="preserve"> </w:t>
      </w:r>
      <w:r>
        <w:rPr>
          <w:sz w:val="26"/>
          <w:szCs w:val="26"/>
          <w:lang w:eastAsia="en-GB"/>
        </w:rPr>
        <w:t>19</w:t>
      </w:r>
      <w:r>
        <w:rPr>
          <w:sz w:val="26"/>
          <w:szCs w:val="26"/>
          <w:rtl/>
          <w:lang w:eastAsia="en-GB"/>
        </w:rPr>
        <w:t> يونيو/حزيران </w:t>
      </w:r>
      <w:r>
        <w:rPr>
          <w:sz w:val="26"/>
          <w:szCs w:val="26"/>
          <w:lang w:eastAsia="en-GB"/>
        </w:rPr>
        <w:t>2026</w:t>
      </w:r>
      <w:r>
        <w:rPr>
          <w:sz w:val="26"/>
          <w:szCs w:val="26"/>
          <w:rtl/>
          <w:lang w:eastAsia="en-GB"/>
        </w:rPr>
        <w:t xml:space="preserve">، بلغ إجمالي </w:t>
      </w:r>
      <w:r>
        <w:rPr>
          <w:rFonts w:hint="cs"/>
          <w:sz w:val="26"/>
          <w:szCs w:val="26"/>
          <w:rtl/>
          <w:lang w:eastAsia="en-GB"/>
        </w:rPr>
        <w:t>دخل الصندوق</w:t>
      </w:r>
      <w:r>
        <w:rPr>
          <w:sz w:val="26"/>
          <w:szCs w:val="26"/>
          <w:rtl/>
          <w:lang w:eastAsia="en-GB"/>
        </w:rPr>
        <w:t xml:space="preserve"> المتعدد الأطراف، بما في ذلك </w:t>
      </w:r>
      <w:r>
        <w:rPr>
          <w:rFonts w:hint="cs"/>
          <w:sz w:val="26"/>
          <w:szCs w:val="26"/>
          <w:rtl/>
          <w:lang w:eastAsia="en-GB"/>
        </w:rPr>
        <w:t>المدفوعات</w:t>
      </w:r>
      <w:r>
        <w:rPr>
          <w:sz w:val="26"/>
          <w:szCs w:val="26"/>
          <w:rtl/>
          <w:lang w:eastAsia="en-GB"/>
        </w:rPr>
        <w:t xml:space="preserve"> النقدية والسندات الإذنية المحتفظ بها</w:t>
      </w:r>
      <w:r>
        <w:rPr>
          <w:rFonts w:hint="cs"/>
          <w:sz w:val="26"/>
          <w:szCs w:val="26"/>
          <w:rtl/>
          <w:lang w:eastAsia="en-GB"/>
        </w:rPr>
        <w:t>،</w:t>
      </w:r>
      <w:r>
        <w:rPr>
          <w:sz w:val="26"/>
          <w:szCs w:val="26"/>
          <w:rtl/>
          <w:lang w:eastAsia="en-GB"/>
        </w:rPr>
        <w:t xml:space="preserve"> والمساهمات الثنائية والفوائد المكتسبة والإيرادات المتنوعة</w:t>
      </w:r>
      <w:r>
        <w:rPr>
          <w:rFonts w:hint="cs"/>
          <w:sz w:val="26"/>
          <w:szCs w:val="26"/>
          <w:rtl/>
          <w:lang w:eastAsia="en-GB"/>
        </w:rPr>
        <w:t>، مبلغاً قدره</w:t>
      </w:r>
      <w:r>
        <w:rPr>
          <w:sz w:val="26"/>
          <w:szCs w:val="26"/>
          <w:rtl/>
          <w:lang w:eastAsia="en-GB"/>
        </w:rPr>
        <w:t xml:space="preserve"> </w:t>
      </w:r>
      <w:r>
        <w:rPr>
          <w:bCs/>
          <w:sz w:val="26"/>
          <w:szCs w:val="26"/>
          <w:lang w:val="en-GB"/>
        </w:rPr>
        <w:t>5,297,824,839</w:t>
      </w:r>
      <w:r>
        <w:rPr>
          <w:sz w:val="26"/>
          <w:szCs w:val="26"/>
          <w:rtl/>
          <w:lang w:eastAsia="en-GB"/>
        </w:rPr>
        <w:t> دولاراً أمريكياً، وبلغ إجمالي المخصصات، بما في ذلك المخصصات الاحتياطية،</w:t>
      </w:r>
      <w:r>
        <w:rPr>
          <w:rFonts w:hint="cs"/>
          <w:sz w:val="26"/>
          <w:szCs w:val="26"/>
          <w:rtl/>
          <w:lang w:eastAsia="en-GB"/>
        </w:rPr>
        <w:t xml:space="preserve"> مبلغاً قدره</w:t>
      </w:r>
      <w:r>
        <w:rPr>
          <w:sz w:val="26"/>
          <w:szCs w:val="26"/>
          <w:rtl/>
          <w:lang w:eastAsia="en-GB"/>
        </w:rPr>
        <w:t xml:space="preserve"> </w:t>
      </w:r>
      <w:r>
        <w:rPr>
          <w:bCs/>
          <w:sz w:val="26"/>
          <w:szCs w:val="26"/>
          <w:lang w:val="en-GB"/>
        </w:rPr>
        <w:t>4,599,972,341</w:t>
      </w:r>
      <w:r>
        <w:rPr>
          <w:sz w:val="26"/>
          <w:szCs w:val="26"/>
          <w:rtl/>
          <w:lang w:eastAsia="en-GB"/>
        </w:rPr>
        <w:t> دولاراً أمريكياً. وبالتالي، بلغ الرصيد المتاح</w:t>
      </w:r>
      <w:r>
        <w:rPr>
          <w:rFonts w:hint="cs"/>
          <w:sz w:val="26"/>
          <w:szCs w:val="26"/>
          <w:rtl/>
          <w:lang w:eastAsia="en-GB"/>
        </w:rPr>
        <w:t xml:space="preserve"> مبلغاً قدره</w:t>
      </w:r>
      <w:r>
        <w:rPr>
          <w:sz w:val="26"/>
          <w:szCs w:val="26"/>
          <w:rtl/>
          <w:lang w:eastAsia="en-GB"/>
        </w:rPr>
        <w:t xml:space="preserve"> </w:t>
      </w:r>
      <w:r>
        <w:rPr>
          <w:bCs/>
          <w:sz w:val="26"/>
          <w:szCs w:val="26"/>
          <w:lang w:val="en-GB"/>
        </w:rPr>
        <w:t>697,852,498</w:t>
      </w:r>
      <w:r>
        <w:rPr>
          <w:sz w:val="26"/>
          <w:szCs w:val="26"/>
          <w:rtl/>
          <w:lang w:eastAsia="en-GB"/>
        </w:rPr>
        <w:t xml:space="preserve"> دولاراً </w:t>
      </w:r>
      <w:r>
        <w:rPr>
          <w:sz w:val="26"/>
          <w:szCs w:val="26"/>
          <w:rtl/>
          <w:lang w:eastAsia="en-GB"/>
        </w:rPr>
        <w:lastRenderedPageBreak/>
        <w:t>أمريكياً</w:t>
      </w:r>
      <w:r>
        <w:rPr>
          <w:rStyle w:val="FootnoteReference"/>
          <w:sz w:val="26"/>
          <w:szCs w:val="26"/>
          <w:lang w:val="en-US" w:eastAsia="en-GB"/>
        </w:rPr>
        <w:footnoteReference w:id="67"/>
      </w:r>
      <w:r>
        <w:rPr>
          <w:sz w:val="26"/>
          <w:szCs w:val="26"/>
          <w:rtl/>
          <w:lang w:eastAsia="en-GB"/>
        </w:rPr>
        <w:t>.</w:t>
      </w:r>
    </w:p>
    <w:p w14:paraId="29C1D13B" w14:textId="55833953" w:rsidR="00E220D8" w:rsidRPr="00E220D8" w:rsidRDefault="00E220D8">
      <w:pPr>
        <w:pStyle w:val="ListParagraph"/>
        <w:numPr>
          <w:ilvl w:val="0"/>
          <w:numId w:val="30"/>
        </w:numPr>
        <w:bidi/>
        <w:spacing w:after="240"/>
        <w:ind w:hanging="720"/>
        <w:contextualSpacing w:val="0"/>
        <w:jc w:val="both"/>
        <w:outlineLvl w:val="0"/>
        <w:rPr>
          <w:rFonts w:ascii="Times New Roman" w:hAnsi="Times New Roman" w:cs="Times New Roman"/>
          <w:b/>
          <w:bCs/>
          <w:sz w:val="26"/>
          <w:szCs w:val="26"/>
        </w:rPr>
      </w:pPr>
      <w:r>
        <w:rPr>
          <w:rFonts w:ascii="Times New Roman" w:hAnsi="Times New Roman" w:cs="Times New Roman"/>
          <w:b/>
          <w:bCs/>
          <w:sz w:val="26"/>
          <w:szCs w:val="26"/>
          <w:rtl/>
        </w:rPr>
        <w:t xml:space="preserve">المساهمات والمدفوعات، </w:t>
      </w:r>
      <w:r>
        <w:rPr>
          <w:rFonts w:ascii="Times New Roman" w:hAnsi="Times New Roman" w:cs="Times New Roman" w:hint="cs"/>
          <w:b/>
          <w:bCs/>
          <w:sz w:val="26"/>
          <w:szCs w:val="26"/>
          <w:rtl/>
        </w:rPr>
        <w:t>والأرصدة،</w:t>
      </w:r>
      <w:r>
        <w:rPr>
          <w:rFonts w:ascii="Times New Roman" w:hAnsi="Times New Roman" w:cs="Times New Roman"/>
          <w:b/>
          <w:bCs/>
          <w:sz w:val="26"/>
          <w:szCs w:val="26"/>
          <w:rtl/>
        </w:rPr>
        <w:t xml:space="preserve"> والموارد، والحسابات والميزانيات</w:t>
      </w:r>
    </w:p>
    <w:p w14:paraId="3F8BF100" w14:textId="6E4FC269" w:rsidR="00E220D8" w:rsidRPr="00E220D8" w:rsidRDefault="00E220D8" w:rsidP="003B64CF">
      <w:pPr>
        <w:pStyle w:val="Heading3"/>
        <w:numPr>
          <w:ilvl w:val="2"/>
          <w:numId w:val="16"/>
        </w:numPr>
        <w:bidi/>
        <w:spacing w:line="288" w:lineRule="auto"/>
        <w:ind w:left="720" w:firstLine="0"/>
        <w:rPr>
          <w:sz w:val="26"/>
          <w:szCs w:val="26"/>
          <w:lang w:eastAsia="en-GB"/>
        </w:rPr>
      </w:pPr>
      <w:r>
        <w:rPr>
          <w:sz w:val="26"/>
          <w:szCs w:val="26"/>
          <w:rtl/>
          <w:lang w:eastAsia="en-GB"/>
        </w:rPr>
        <w:t xml:space="preserve">نظرت اللجنة التنفيذية في الاجتماع السابع والتسعين، في تقرير أمين </w:t>
      </w:r>
      <w:r>
        <w:rPr>
          <w:rFonts w:hint="cs"/>
          <w:sz w:val="26"/>
          <w:szCs w:val="26"/>
          <w:rtl/>
          <w:lang w:eastAsia="en-GB"/>
        </w:rPr>
        <w:t>الخزانة</w:t>
      </w:r>
      <w:r>
        <w:rPr>
          <w:sz w:val="26"/>
          <w:szCs w:val="26"/>
          <w:rtl/>
          <w:lang w:eastAsia="en-GB"/>
        </w:rPr>
        <w:t xml:space="preserve"> عن حالة المساهمات والمدفوعات</w:t>
      </w:r>
      <w:r>
        <w:rPr>
          <w:rStyle w:val="FootnoteReference"/>
          <w:sz w:val="26"/>
          <w:szCs w:val="26"/>
          <w:lang w:val="en-US" w:eastAsia="en-GB"/>
        </w:rPr>
        <w:footnoteReference w:id="68"/>
      </w:r>
      <w:r>
        <w:rPr>
          <w:sz w:val="26"/>
          <w:szCs w:val="26"/>
          <w:rtl/>
          <w:lang w:eastAsia="en-GB"/>
        </w:rPr>
        <w:t>، وتقرير الأرصدة وتوافر الموارد</w:t>
      </w:r>
      <w:r>
        <w:rPr>
          <w:rStyle w:val="FootnoteReference"/>
          <w:sz w:val="26"/>
          <w:szCs w:val="26"/>
          <w:lang w:val="en-US" w:eastAsia="en-GB"/>
        </w:rPr>
        <w:footnoteReference w:id="69"/>
      </w:r>
      <w:r>
        <w:rPr>
          <w:sz w:val="26"/>
          <w:szCs w:val="26"/>
          <w:rtl/>
          <w:lang w:eastAsia="en-GB"/>
        </w:rPr>
        <w:t>، والحسابات النهائية للصندوق المتعدد الأطراف</w:t>
      </w:r>
      <w:r>
        <w:rPr>
          <w:rStyle w:val="FootnoteReference"/>
          <w:sz w:val="26"/>
          <w:szCs w:val="26"/>
          <w:lang w:val="en-US" w:eastAsia="en-GB"/>
        </w:rPr>
        <w:footnoteReference w:id="70"/>
      </w:r>
      <w:r>
        <w:rPr>
          <w:sz w:val="26"/>
          <w:szCs w:val="26"/>
          <w:rtl/>
          <w:lang w:eastAsia="en-GB"/>
        </w:rPr>
        <w:t xml:space="preserve"> لعام </w:t>
      </w:r>
      <w:r>
        <w:rPr>
          <w:sz w:val="26"/>
          <w:szCs w:val="26"/>
          <w:lang w:eastAsia="en-GB"/>
        </w:rPr>
        <w:t>2024</w:t>
      </w:r>
      <w:r>
        <w:rPr>
          <w:sz w:val="26"/>
          <w:szCs w:val="26"/>
          <w:rtl/>
          <w:lang w:eastAsia="en-GB"/>
        </w:rPr>
        <w:t xml:space="preserve">، ومطابقة حسابات عام </w:t>
      </w:r>
      <w:r>
        <w:rPr>
          <w:sz w:val="26"/>
          <w:szCs w:val="26"/>
          <w:lang w:eastAsia="en-GB"/>
        </w:rPr>
        <w:t>2024</w:t>
      </w:r>
      <w:r>
        <w:rPr>
          <w:sz w:val="26"/>
          <w:szCs w:val="26"/>
          <w:rtl/>
          <w:lang w:eastAsia="en-GB"/>
        </w:rPr>
        <w:t>،</w:t>
      </w:r>
      <w:r>
        <w:rPr>
          <w:rStyle w:val="FootnoteReference"/>
          <w:sz w:val="26"/>
          <w:szCs w:val="26"/>
          <w:lang w:val="en-US" w:eastAsia="en-GB" w:bidi="ar-AE"/>
        </w:rPr>
        <w:footnoteReference w:id="71"/>
      </w:r>
      <w:r>
        <w:rPr>
          <w:sz w:val="26"/>
          <w:szCs w:val="26"/>
          <w:rtl/>
          <w:lang w:eastAsia="en-GB"/>
        </w:rPr>
        <w:t xml:space="preserve"> وطلبت إلى الأطراف والجهات المنفذة وأمين </w:t>
      </w:r>
      <w:r>
        <w:rPr>
          <w:rFonts w:hint="cs"/>
          <w:sz w:val="26"/>
          <w:szCs w:val="26"/>
          <w:rtl/>
          <w:lang w:eastAsia="en-GB"/>
        </w:rPr>
        <w:t>الخزانة</w:t>
      </w:r>
      <w:r>
        <w:rPr>
          <w:sz w:val="26"/>
          <w:szCs w:val="26"/>
          <w:rtl/>
          <w:lang w:eastAsia="en-GB"/>
        </w:rPr>
        <w:t xml:space="preserve"> </w:t>
      </w:r>
      <w:r w:rsidR="006B0C19">
        <w:rPr>
          <w:rFonts w:hint="cs"/>
          <w:sz w:val="26"/>
          <w:szCs w:val="26"/>
          <w:rtl/>
          <w:lang w:eastAsia="en-GB"/>
        </w:rPr>
        <w:t>وكبير الموظفين</w:t>
      </w:r>
      <w:r>
        <w:rPr>
          <w:sz w:val="26"/>
          <w:szCs w:val="26"/>
          <w:rtl/>
          <w:lang w:eastAsia="en-GB"/>
        </w:rPr>
        <w:t xml:space="preserve"> اتخاذ الإجراءات اللازمة (المقررات من</w:t>
      </w:r>
      <w:r>
        <w:rPr>
          <w:rFonts w:hint="cs"/>
          <w:sz w:val="26"/>
          <w:szCs w:val="26"/>
          <w:rtl/>
          <w:lang w:eastAsia="en-GB"/>
        </w:rPr>
        <w:t> </w:t>
      </w:r>
      <w:r>
        <w:rPr>
          <w:sz w:val="26"/>
          <w:szCs w:val="26"/>
          <w:lang w:val="en-US" w:eastAsia="en-GB"/>
        </w:rPr>
        <w:t>97</w:t>
      </w:r>
      <w:r>
        <w:rPr>
          <w:rFonts w:hint="cs"/>
          <w:sz w:val="26"/>
          <w:szCs w:val="26"/>
          <w:rtl/>
          <w:lang w:val="en-US" w:eastAsia="en-GB" w:bidi="ar-AE"/>
        </w:rPr>
        <w:t>/</w:t>
      </w:r>
      <w:r>
        <w:rPr>
          <w:sz w:val="26"/>
          <w:szCs w:val="26"/>
          <w:lang w:val="en-US" w:eastAsia="en-GB" w:bidi="ar-AE"/>
        </w:rPr>
        <w:t>1</w:t>
      </w:r>
      <w:r>
        <w:rPr>
          <w:rFonts w:hint="cs"/>
          <w:sz w:val="26"/>
          <w:szCs w:val="26"/>
          <w:rtl/>
          <w:lang w:val="en-US" w:eastAsia="en-GB" w:bidi="ar-AE"/>
        </w:rPr>
        <w:t xml:space="preserve"> </w:t>
      </w:r>
      <w:r>
        <w:rPr>
          <w:sz w:val="26"/>
          <w:szCs w:val="26"/>
          <w:rtl/>
          <w:lang w:eastAsia="en-GB"/>
        </w:rPr>
        <w:t>إلى</w:t>
      </w:r>
      <w:r>
        <w:rPr>
          <w:rFonts w:hint="cs"/>
          <w:sz w:val="26"/>
          <w:szCs w:val="26"/>
          <w:rtl/>
          <w:lang w:eastAsia="en-GB"/>
        </w:rPr>
        <w:t> </w:t>
      </w:r>
      <w:r>
        <w:rPr>
          <w:sz w:val="26"/>
          <w:szCs w:val="26"/>
          <w:lang w:val="en-US" w:eastAsia="en-GB"/>
        </w:rPr>
        <w:t>97</w:t>
      </w:r>
      <w:r>
        <w:rPr>
          <w:rFonts w:hint="cs"/>
          <w:sz w:val="26"/>
          <w:szCs w:val="26"/>
          <w:rtl/>
          <w:lang w:val="en-US" w:eastAsia="en-GB" w:bidi="ar-AE"/>
        </w:rPr>
        <w:t>/</w:t>
      </w:r>
      <w:r>
        <w:rPr>
          <w:sz w:val="26"/>
          <w:szCs w:val="26"/>
          <w:lang w:val="en-US" w:eastAsia="en-GB" w:bidi="ar-AE"/>
        </w:rPr>
        <w:t>4</w:t>
      </w:r>
      <w:r>
        <w:rPr>
          <w:sz w:val="26"/>
          <w:szCs w:val="26"/>
          <w:rtl/>
          <w:lang w:eastAsia="en-GB"/>
        </w:rPr>
        <w:t xml:space="preserve">). ونظرت أيضاً في الميزانيتين المنقحتين لعامي </w:t>
      </w:r>
      <w:r>
        <w:rPr>
          <w:sz w:val="26"/>
          <w:szCs w:val="26"/>
          <w:lang w:eastAsia="en-GB"/>
        </w:rPr>
        <w:t>2026</w:t>
      </w:r>
      <w:r>
        <w:rPr>
          <w:sz w:val="26"/>
          <w:szCs w:val="26"/>
          <w:rtl/>
          <w:lang w:eastAsia="en-GB"/>
        </w:rPr>
        <w:t xml:space="preserve"> </w:t>
      </w:r>
      <w:r>
        <w:rPr>
          <w:rFonts w:hint="cs"/>
          <w:sz w:val="26"/>
          <w:szCs w:val="26"/>
          <w:rtl/>
          <w:lang w:eastAsia="en-GB"/>
        </w:rPr>
        <w:t>و</w:t>
      </w:r>
      <w:r>
        <w:rPr>
          <w:sz w:val="26"/>
          <w:szCs w:val="26"/>
          <w:lang w:val="en-US" w:eastAsia="en-GB"/>
        </w:rPr>
        <w:t>2027</w:t>
      </w:r>
      <w:r>
        <w:rPr>
          <w:sz w:val="26"/>
          <w:szCs w:val="26"/>
          <w:rtl/>
          <w:lang w:eastAsia="en-GB"/>
        </w:rPr>
        <w:t xml:space="preserve">، والميزانية المقترحة لعام </w:t>
      </w:r>
      <w:r>
        <w:rPr>
          <w:sz w:val="26"/>
          <w:szCs w:val="26"/>
          <w:lang w:eastAsia="en-GB"/>
        </w:rPr>
        <w:t>2028</w:t>
      </w:r>
      <w:r>
        <w:rPr>
          <w:sz w:val="26"/>
          <w:szCs w:val="26"/>
          <w:rtl/>
          <w:lang w:eastAsia="en-GB"/>
        </w:rPr>
        <w:t xml:space="preserve"> لأمانة الصندوق</w:t>
      </w:r>
      <w:r>
        <w:rPr>
          <w:rStyle w:val="FootnoteReference"/>
          <w:sz w:val="26"/>
          <w:szCs w:val="26"/>
          <w:lang w:val="en-US" w:eastAsia="en-GB" w:bidi="ar-AE"/>
        </w:rPr>
        <w:footnoteReference w:id="72"/>
      </w:r>
      <w:r>
        <w:rPr>
          <w:sz w:val="26"/>
          <w:szCs w:val="26"/>
          <w:rtl/>
          <w:lang w:eastAsia="en-GB"/>
        </w:rPr>
        <w:t xml:space="preserve">، وأقرت الميزانيتين المنقحتين لعامي </w:t>
      </w:r>
      <w:r>
        <w:rPr>
          <w:sz w:val="26"/>
          <w:szCs w:val="26"/>
          <w:lang w:eastAsia="en-GB"/>
        </w:rPr>
        <w:t>2026</w:t>
      </w:r>
      <w:r>
        <w:rPr>
          <w:sz w:val="26"/>
          <w:szCs w:val="26"/>
          <w:rtl/>
          <w:lang w:eastAsia="en-GB"/>
        </w:rPr>
        <w:t xml:space="preserve"> و</w:t>
      </w:r>
      <w:r>
        <w:rPr>
          <w:sz w:val="26"/>
          <w:szCs w:val="26"/>
          <w:lang w:eastAsia="en-GB"/>
        </w:rPr>
        <w:t>2027</w:t>
      </w:r>
      <w:r>
        <w:rPr>
          <w:sz w:val="26"/>
          <w:szCs w:val="26"/>
          <w:rtl/>
          <w:lang w:eastAsia="en-GB"/>
        </w:rPr>
        <w:t xml:space="preserve">، والميزانية المقترحة لعام </w:t>
      </w:r>
      <w:r>
        <w:rPr>
          <w:sz w:val="26"/>
          <w:szCs w:val="26"/>
          <w:lang w:eastAsia="en-GB"/>
        </w:rPr>
        <w:t>2028</w:t>
      </w:r>
      <w:r>
        <w:rPr>
          <w:sz w:val="26"/>
          <w:szCs w:val="26"/>
          <w:rtl/>
          <w:lang w:eastAsia="en-GB"/>
        </w:rPr>
        <w:t xml:space="preserve"> لأمانة الصندوق المرفقة بتقرير الاجتماع السابع والتسعين</w:t>
      </w:r>
      <w:r>
        <w:rPr>
          <w:rStyle w:val="FootnoteReference"/>
          <w:sz w:val="26"/>
          <w:szCs w:val="26"/>
          <w:lang w:val="en-US" w:eastAsia="en-GB" w:bidi="ar-AE"/>
        </w:rPr>
        <w:footnoteReference w:id="73"/>
      </w:r>
      <w:r>
        <w:rPr>
          <w:sz w:val="26"/>
          <w:szCs w:val="26"/>
          <w:rtl/>
          <w:lang w:eastAsia="en-GB"/>
        </w:rPr>
        <w:t xml:space="preserve"> (المقرر</w:t>
      </w:r>
      <w:r>
        <w:rPr>
          <w:rFonts w:hint="eastAsia"/>
          <w:sz w:val="26"/>
          <w:szCs w:val="26"/>
          <w:rtl/>
          <w:lang w:eastAsia="en-GB" w:bidi="ar-AE"/>
        </w:rPr>
        <w:t> </w:t>
      </w:r>
      <w:r>
        <w:rPr>
          <w:sz w:val="26"/>
          <w:szCs w:val="26"/>
          <w:lang w:val="en-US" w:eastAsia="en-GB" w:bidi="ar-AE"/>
        </w:rPr>
        <w:t>97</w:t>
      </w:r>
      <w:r>
        <w:rPr>
          <w:rFonts w:hint="cs"/>
          <w:sz w:val="26"/>
          <w:szCs w:val="26"/>
          <w:rtl/>
          <w:lang w:val="en-US" w:eastAsia="en-GB" w:bidi="ar-AE"/>
        </w:rPr>
        <w:t>/</w:t>
      </w:r>
      <w:r>
        <w:rPr>
          <w:sz w:val="26"/>
          <w:szCs w:val="26"/>
          <w:lang w:val="en-US" w:eastAsia="en-GB" w:bidi="ar-AE"/>
        </w:rPr>
        <w:t>5</w:t>
      </w:r>
      <w:r>
        <w:rPr>
          <w:sz w:val="26"/>
          <w:szCs w:val="26"/>
          <w:rtl/>
          <w:lang w:eastAsia="en-GB"/>
        </w:rPr>
        <w:t>).</w:t>
      </w:r>
    </w:p>
    <w:p w14:paraId="4C229D1B" w14:textId="4D052B4C" w:rsidR="009B55AB" w:rsidRPr="009B55AB" w:rsidRDefault="002E5922" w:rsidP="003B64CF">
      <w:pPr>
        <w:pStyle w:val="Heading3"/>
        <w:numPr>
          <w:ilvl w:val="2"/>
          <w:numId w:val="16"/>
        </w:numPr>
        <w:bidi/>
        <w:spacing w:line="288" w:lineRule="auto"/>
        <w:ind w:left="720" w:firstLine="0"/>
        <w:rPr>
          <w:sz w:val="26"/>
          <w:szCs w:val="26"/>
          <w:lang w:eastAsia="en-GB"/>
        </w:rPr>
      </w:pPr>
      <w:r>
        <w:rPr>
          <w:sz w:val="26"/>
          <w:szCs w:val="26"/>
          <w:rtl/>
          <w:lang w:eastAsia="en-GB"/>
        </w:rPr>
        <w:t>في الاجتماع الثامن والتسعين، نظرت اللجنة التنفيذية في تقرير أمين الخزانة عن حالة المساهمات والمصروفات</w:t>
      </w:r>
      <w:r>
        <w:rPr>
          <w:rStyle w:val="FootnoteReference"/>
          <w:sz w:val="26"/>
          <w:szCs w:val="26"/>
          <w:lang w:val="en-US" w:eastAsia="en-GB"/>
        </w:rPr>
        <w:footnoteReference w:id="74"/>
      </w:r>
      <w:r>
        <w:rPr>
          <w:sz w:val="26"/>
          <w:szCs w:val="26"/>
          <w:rtl/>
          <w:lang w:eastAsia="en-GB"/>
        </w:rPr>
        <w:t>، وفي التقرير عن الأرصدة وتوافر الموارد</w:t>
      </w:r>
      <w:r>
        <w:rPr>
          <w:rStyle w:val="FootnoteReference"/>
          <w:sz w:val="26"/>
          <w:szCs w:val="26"/>
          <w:lang w:val="en-US" w:eastAsia="en-GB" w:bidi="ar-AE"/>
        </w:rPr>
        <w:footnoteReference w:id="75"/>
      </w:r>
      <w:r>
        <w:rPr>
          <w:sz w:val="26"/>
          <w:szCs w:val="26"/>
          <w:rtl/>
          <w:lang w:eastAsia="en-GB"/>
        </w:rPr>
        <w:t>، وطلبت اتخاذ إجراءات ذات صلة من الأطراف والوكالات المنفذة وأمين الخزانة وكبير الموظفين (المقرران</w:t>
      </w:r>
      <w:r>
        <w:rPr>
          <w:rFonts w:hint="eastAsia"/>
          <w:sz w:val="26"/>
          <w:szCs w:val="26"/>
          <w:rtl/>
          <w:lang w:eastAsia="en-GB" w:bidi="ar-AE"/>
        </w:rPr>
        <w:t> </w:t>
      </w:r>
      <w:r>
        <w:rPr>
          <w:sz w:val="26"/>
          <w:szCs w:val="26"/>
          <w:lang w:val="en-US" w:eastAsia="en-GB" w:bidi="ar-AE"/>
        </w:rPr>
        <w:t>98</w:t>
      </w:r>
      <w:r>
        <w:rPr>
          <w:rFonts w:hint="cs"/>
          <w:sz w:val="26"/>
          <w:szCs w:val="26"/>
          <w:rtl/>
          <w:lang w:val="en-US" w:eastAsia="en-GB" w:bidi="ar-AE"/>
        </w:rPr>
        <w:t>/</w:t>
      </w:r>
      <w:r>
        <w:rPr>
          <w:sz w:val="26"/>
          <w:szCs w:val="26"/>
          <w:lang w:val="en-US" w:eastAsia="en-GB" w:bidi="ar-AE"/>
        </w:rPr>
        <w:t>1</w:t>
      </w:r>
      <w:r>
        <w:rPr>
          <w:rFonts w:hint="cs"/>
          <w:sz w:val="26"/>
          <w:szCs w:val="26"/>
          <w:rtl/>
          <w:lang w:val="en-US" w:eastAsia="en-GB" w:bidi="ar-AE"/>
        </w:rPr>
        <w:t>، و</w:t>
      </w:r>
      <w:r>
        <w:rPr>
          <w:sz w:val="26"/>
          <w:szCs w:val="26"/>
          <w:lang w:val="en-US" w:eastAsia="en-GB" w:bidi="ar-AE"/>
        </w:rPr>
        <w:t>98</w:t>
      </w:r>
      <w:r>
        <w:rPr>
          <w:rFonts w:hint="cs"/>
          <w:sz w:val="26"/>
          <w:szCs w:val="26"/>
          <w:rtl/>
          <w:lang w:val="en-US" w:eastAsia="en-GB" w:bidi="ar-AE"/>
        </w:rPr>
        <w:t>/</w:t>
      </w:r>
      <w:r>
        <w:rPr>
          <w:sz w:val="26"/>
          <w:szCs w:val="26"/>
          <w:lang w:val="en-US" w:eastAsia="en-GB" w:bidi="ar-AE"/>
        </w:rPr>
        <w:t>2</w:t>
      </w:r>
      <w:r>
        <w:rPr>
          <w:sz w:val="26"/>
          <w:szCs w:val="26"/>
          <w:rtl/>
          <w:lang w:eastAsia="en-GB"/>
        </w:rPr>
        <w:t>).</w:t>
      </w:r>
    </w:p>
    <w:p w14:paraId="68D3CFF3" w14:textId="07E02763" w:rsidR="009A61D7" w:rsidRPr="009A61D7" w:rsidRDefault="009A61D7" w:rsidP="003B64CF">
      <w:pPr>
        <w:pStyle w:val="Heading3"/>
        <w:numPr>
          <w:ilvl w:val="2"/>
          <w:numId w:val="16"/>
        </w:numPr>
        <w:bidi/>
        <w:spacing w:line="288" w:lineRule="auto"/>
        <w:ind w:left="720" w:firstLine="0"/>
        <w:rPr>
          <w:sz w:val="26"/>
          <w:szCs w:val="26"/>
          <w:lang w:eastAsia="en-GB"/>
        </w:rPr>
      </w:pPr>
      <w:r>
        <w:rPr>
          <w:sz w:val="26"/>
          <w:szCs w:val="26"/>
          <w:rtl/>
          <w:lang w:eastAsia="en-GB"/>
        </w:rPr>
        <w:t xml:space="preserve">في الاجتماعين السابع والتسعين والثامن والتسعين، طلبت اللجنة التنفيذية من أمين الخزانة أن </w:t>
      </w:r>
      <w:r>
        <w:rPr>
          <w:rFonts w:hint="cs"/>
          <w:sz w:val="26"/>
          <w:szCs w:val="26"/>
          <w:rtl/>
          <w:lang w:eastAsia="en-GB"/>
        </w:rPr>
        <w:t>يقتطع</w:t>
      </w:r>
      <w:r>
        <w:rPr>
          <w:sz w:val="26"/>
          <w:szCs w:val="26"/>
          <w:rtl/>
          <w:lang w:eastAsia="en-GB"/>
        </w:rPr>
        <w:t xml:space="preserve"> تكاليف المشاريع الثنائية المعتمدة في الاجتماع المعني من المساهمات الثنائية للحكومات المعنية (المقرران</w:t>
      </w:r>
      <w:r>
        <w:rPr>
          <w:rFonts w:hint="cs"/>
          <w:sz w:val="26"/>
          <w:szCs w:val="26"/>
          <w:rtl/>
          <w:lang w:eastAsia="en-GB"/>
        </w:rPr>
        <w:t> </w:t>
      </w:r>
      <w:r>
        <w:rPr>
          <w:sz w:val="26"/>
          <w:szCs w:val="26"/>
          <w:lang w:val="en-US" w:eastAsia="en-GB"/>
        </w:rPr>
        <w:t>97</w:t>
      </w:r>
      <w:r>
        <w:rPr>
          <w:rFonts w:hint="cs"/>
          <w:sz w:val="26"/>
          <w:szCs w:val="26"/>
          <w:rtl/>
          <w:lang w:val="en-US" w:eastAsia="en-GB" w:bidi="ar-AE"/>
        </w:rPr>
        <w:t>/</w:t>
      </w:r>
      <w:r>
        <w:rPr>
          <w:sz w:val="26"/>
          <w:szCs w:val="26"/>
          <w:lang w:val="en-US" w:eastAsia="en-GB" w:bidi="ar-AE"/>
        </w:rPr>
        <w:t>34</w:t>
      </w:r>
      <w:r>
        <w:rPr>
          <w:rFonts w:hint="cs"/>
          <w:sz w:val="26"/>
          <w:szCs w:val="26"/>
          <w:rtl/>
          <w:lang w:val="en-US" w:eastAsia="en-GB" w:bidi="ar-AE"/>
        </w:rPr>
        <w:t>، و</w:t>
      </w:r>
      <w:r>
        <w:rPr>
          <w:sz w:val="26"/>
          <w:szCs w:val="26"/>
          <w:lang w:val="en-US" w:eastAsia="en-GB" w:bidi="ar-AE"/>
        </w:rPr>
        <w:t>98</w:t>
      </w:r>
      <w:r>
        <w:rPr>
          <w:rFonts w:hint="cs"/>
          <w:sz w:val="26"/>
          <w:szCs w:val="26"/>
          <w:rtl/>
          <w:lang w:val="en-US" w:eastAsia="en-GB" w:bidi="ar-AE"/>
        </w:rPr>
        <w:t>/</w:t>
      </w:r>
      <w:r>
        <w:rPr>
          <w:sz w:val="26"/>
          <w:szCs w:val="26"/>
          <w:lang w:val="en-US" w:eastAsia="en-GB" w:bidi="ar-AE"/>
        </w:rPr>
        <w:t>25</w:t>
      </w:r>
      <w:r>
        <w:rPr>
          <w:sz w:val="26"/>
          <w:szCs w:val="26"/>
          <w:rtl/>
          <w:lang w:eastAsia="en-GB"/>
        </w:rPr>
        <w:t>).</w:t>
      </w:r>
    </w:p>
    <w:p w14:paraId="73E866C5" w14:textId="4B3047B3" w:rsidR="00B66864" w:rsidRPr="00B66864" w:rsidRDefault="00B66864" w:rsidP="00086CAD">
      <w:pPr>
        <w:pStyle w:val="CH2"/>
        <w:tabs>
          <w:tab w:val="clear" w:pos="851"/>
          <w:tab w:val="clear" w:pos="1247"/>
          <w:tab w:val="clear" w:pos="1814"/>
          <w:tab w:val="clear" w:pos="2381"/>
          <w:tab w:val="clear" w:pos="2948"/>
          <w:tab w:val="clear" w:pos="3515"/>
          <w:tab w:val="clear" w:pos="4082"/>
          <w:tab w:val="right" w:pos="7200"/>
        </w:tabs>
        <w:bidi/>
        <w:spacing w:after="240"/>
        <w:ind w:left="1440" w:right="0" w:hanging="720"/>
        <w:rPr>
          <w:b w:val="0"/>
          <w:bCs/>
          <w:sz w:val="26"/>
          <w:szCs w:val="26"/>
          <w:lang w:val="en-US" w:bidi="ar-AE"/>
        </w:rPr>
      </w:pPr>
      <w:r>
        <w:rPr>
          <w:rFonts w:hint="cs"/>
          <w:b w:val="0"/>
          <w:bCs/>
          <w:sz w:val="26"/>
          <w:szCs w:val="26"/>
          <w:rtl/>
          <w:lang w:val="en-US" w:bidi="ar-AE"/>
        </w:rPr>
        <w:t>واو.</w:t>
      </w:r>
      <w:r>
        <w:rPr>
          <w:b w:val="0"/>
          <w:bCs/>
          <w:sz w:val="26"/>
          <w:szCs w:val="26"/>
          <w:rtl/>
          <w:lang w:val="en-US" w:bidi="ar-AE"/>
        </w:rPr>
        <w:tab/>
        <w:t>أنشطة أمانة الصندوق</w:t>
      </w:r>
    </w:p>
    <w:p w14:paraId="04553B99" w14:textId="2BAD0DD7" w:rsidR="00B66864" w:rsidRPr="00B66864" w:rsidRDefault="00B66864" w:rsidP="003B64CF">
      <w:pPr>
        <w:pStyle w:val="Heading3"/>
        <w:numPr>
          <w:ilvl w:val="2"/>
          <w:numId w:val="16"/>
        </w:numPr>
        <w:bidi/>
        <w:spacing w:line="288" w:lineRule="auto"/>
        <w:ind w:left="720" w:firstLine="0"/>
        <w:rPr>
          <w:sz w:val="26"/>
          <w:szCs w:val="26"/>
          <w:lang w:eastAsia="en-GB"/>
        </w:rPr>
      </w:pPr>
      <w:r>
        <w:rPr>
          <w:sz w:val="26"/>
          <w:szCs w:val="26"/>
          <w:rtl/>
          <w:lang w:eastAsia="en-GB"/>
        </w:rPr>
        <w:t>في الاجتماعين السابع والتسعين</w:t>
      </w:r>
      <w:r>
        <w:rPr>
          <w:rStyle w:val="FootnoteReference"/>
          <w:sz w:val="26"/>
          <w:szCs w:val="26"/>
          <w:lang w:val="en-US" w:eastAsia="en-GB"/>
        </w:rPr>
        <w:footnoteReference w:id="76"/>
      </w:r>
      <w:r>
        <w:rPr>
          <w:sz w:val="26"/>
          <w:szCs w:val="26"/>
          <w:rtl/>
          <w:lang w:eastAsia="en-GB"/>
        </w:rPr>
        <w:t xml:space="preserve"> والثامن والتسعين</w:t>
      </w:r>
      <w:r>
        <w:rPr>
          <w:rStyle w:val="FootnoteReference"/>
          <w:sz w:val="26"/>
          <w:szCs w:val="26"/>
          <w:lang w:val="en-US" w:eastAsia="en-GB" w:bidi="ar-AE"/>
        </w:rPr>
        <w:footnoteReference w:id="77"/>
      </w:r>
      <w:r>
        <w:rPr>
          <w:sz w:val="26"/>
          <w:szCs w:val="26"/>
          <w:rtl/>
          <w:lang w:eastAsia="en-GB"/>
        </w:rPr>
        <w:t xml:space="preserve">، أحاطت اللجنة التنفيذية علماً، مع التقدير، بالتقارير المتعلقة بالأنشطة التي اضطلعت بها أمانة الصندوق منذ الاجتماع السابق. وفي كلا الاجتماعين، </w:t>
      </w:r>
      <w:r>
        <w:rPr>
          <w:rFonts w:hint="cs"/>
          <w:sz w:val="26"/>
          <w:szCs w:val="26"/>
          <w:rtl/>
          <w:lang w:eastAsia="en-GB"/>
        </w:rPr>
        <w:t>أُ</w:t>
      </w:r>
      <w:r>
        <w:rPr>
          <w:sz w:val="26"/>
          <w:szCs w:val="26"/>
          <w:rtl/>
          <w:lang w:eastAsia="en-GB"/>
        </w:rPr>
        <w:t>ح</w:t>
      </w:r>
      <w:r>
        <w:rPr>
          <w:rFonts w:hint="cs"/>
          <w:sz w:val="26"/>
          <w:szCs w:val="26"/>
          <w:rtl/>
          <w:lang w:eastAsia="en-GB"/>
        </w:rPr>
        <w:t>ِ</w:t>
      </w:r>
      <w:r>
        <w:rPr>
          <w:sz w:val="26"/>
          <w:szCs w:val="26"/>
          <w:rtl/>
          <w:lang w:eastAsia="en-GB"/>
        </w:rPr>
        <w:t>يطت اللجنة علماً بالتقدم المحرز في تطوير نظام إدارة المعارف.</w:t>
      </w:r>
    </w:p>
    <w:p w14:paraId="680D9FEF" w14:textId="3F62A84A" w:rsidR="00B66864" w:rsidRPr="00E51CB8" w:rsidRDefault="00E51CB8" w:rsidP="00086CAD">
      <w:pPr>
        <w:pStyle w:val="CH2"/>
        <w:tabs>
          <w:tab w:val="clear" w:pos="851"/>
          <w:tab w:val="clear" w:pos="1247"/>
          <w:tab w:val="clear" w:pos="1814"/>
          <w:tab w:val="clear" w:pos="2381"/>
          <w:tab w:val="clear" w:pos="2948"/>
          <w:tab w:val="clear" w:pos="3515"/>
          <w:tab w:val="clear" w:pos="4082"/>
          <w:tab w:val="right" w:pos="7200"/>
        </w:tabs>
        <w:bidi/>
        <w:spacing w:after="240"/>
        <w:ind w:left="720" w:right="0" w:hanging="720"/>
        <w:rPr>
          <w:b w:val="0"/>
          <w:bCs/>
          <w:sz w:val="26"/>
          <w:szCs w:val="26"/>
          <w:lang w:val="en-US" w:bidi="ar-AE"/>
        </w:rPr>
      </w:pPr>
      <w:r>
        <w:rPr>
          <w:rFonts w:hint="cs"/>
          <w:b w:val="0"/>
          <w:bCs/>
          <w:sz w:val="26"/>
          <w:szCs w:val="26"/>
          <w:rtl/>
          <w:lang w:val="en-US" w:bidi="ar-AE"/>
        </w:rPr>
        <w:t>ثانياً.</w:t>
      </w:r>
      <w:r>
        <w:rPr>
          <w:b w:val="0"/>
          <w:bCs/>
          <w:sz w:val="26"/>
          <w:szCs w:val="26"/>
          <w:rtl/>
          <w:lang w:val="en-US" w:bidi="ar-AE"/>
        </w:rPr>
        <w:tab/>
        <w:t>الانجازات التي حققها الصندوق المتعدد الأطراف منذ إنشائه</w:t>
      </w:r>
      <w:r>
        <w:rPr>
          <w:rStyle w:val="FootnoteReference"/>
          <w:b w:val="0"/>
          <w:bCs/>
          <w:sz w:val="26"/>
          <w:szCs w:val="26"/>
          <w:lang w:val="en-US" w:bidi="ar-AE"/>
        </w:rPr>
        <w:footnoteReference w:id="78"/>
      </w:r>
    </w:p>
    <w:p w14:paraId="703582B1" w14:textId="7129C566" w:rsidR="00D043F8" w:rsidRPr="00D043F8" w:rsidRDefault="00BD0BEC" w:rsidP="003B64CF">
      <w:pPr>
        <w:pStyle w:val="Heading3"/>
        <w:numPr>
          <w:ilvl w:val="2"/>
          <w:numId w:val="16"/>
        </w:numPr>
        <w:bidi/>
        <w:spacing w:line="288" w:lineRule="auto"/>
        <w:ind w:left="720" w:firstLine="0"/>
        <w:rPr>
          <w:sz w:val="26"/>
          <w:szCs w:val="26"/>
          <w:lang w:eastAsia="en-GB"/>
        </w:rPr>
      </w:pPr>
      <w:r>
        <w:rPr>
          <w:sz w:val="26"/>
          <w:szCs w:val="26"/>
          <w:rtl/>
          <w:lang w:eastAsia="en-GB"/>
        </w:rPr>
        <w:t xml:space="preserve">حتى الاجتماع الثامن والتسعين، ومنذ عام </w:t>
      </w:r>
      <w:r>
        <w:rPr>
          <w:sz w:val="26"/>
          <w:szCs w:val="26"/>
          <w:lang w:eastAsia="en-GB"/>
        </w:rPr>
        <w:t>1991</w:t>
      </w:r>
      <w:r>
        <w:rPr>
          <w:sz w:val="26"/>
          <w:szCs w:val="26"/>
          <w:rtl/>
          <w:lang w:eastAsia="en-GB"/>
        </w:rPr>
        <w:t xml:space="preserve">، </w:t>
      </w:r>
      <w:r>
        <w:rPr>
          <w:rFonts w:hint="cs"/>
          <w:sz w:val="26"/>
          <w:szCs w:val="26"/>
          <w:rtl/>
          <w:lang w:eastAsia="en-GB"/>
        </w:rPr>
        <w:t>تم اعتماد</w:t>
      </w:r>
      <w:r>
        <w:rPr>
          <w:sz w:val="26"/>
          <w:szCs w:val="26"/>
          <w:rtl/>
          <w:lang w:eastAsia="en-GB"/>
        </w:rPr>
        <w:t xml:space="preserve"> </w:t>
      </w:r>
      <w:r>
        <w:rPr>
          <w:sz w:val="26"/>
          <w:szCs w:val="26"/>
          <w:lang w:val="en-GB"/>
        </w:rPr>
        <w:t>10,584</w:t>
      </w:r>
      <w:r>
        <w:rPr>
          <w:sz w:val="26"/>
          <w:szCs w:val="26"/>
          <w:rtl/>
          <w:lang w:eastAsia="en-GB"/>
        </w:rPr>
        <w:t xml:space="preserve"> مشروعاً ونشاطاً (باستثناء المشاريع الملغاة والمحوّلة). وبلغ إجمالي المواد المستنفدة للأوزون المتوقع إزالتها من خلال تنفيذ تلك المشاريع </w:t>
      </w:r>
      <w:r>
        <w:rPr>
          <w:sz w:val="26"/>
          <w:szCs w:val="26"/>
          <w:lang w:val="en-GB"/>
        </w:rPr>
        <w:t>489,875</w:t>
      </w:r>
      <w:r>
        <w:rPr>
          <w:sz w:val="26"/>
          <w:szCs w:val="26"/>
          <w:rtl/>
          <w:lang w:eastAsia="en-GB"/>
        </w:rPr>
        <w:t xml:space="preserve"> طناً من قدرات استنفاد الأوزون. غير أن عدد الأطنان من قدرات استنفاد الأوزون التي أُزيلت فعلياً بلغ </w:t>
      </w:r>
      <w:r>
        <w:rPr>
          <w:sz w:val="26"/>
          <w:szCs w:val="26"/>
          <w:lang w:val="en-GB"/>
        </w:rPr>
        <w:t>510,094</w:t>
      </w:r>
      <w:r>
        <w:rPr>
          <w:sz w:val="26"/>
          <w:szCs w:val="26"/>
          <w:rtl/>
          <w:lang w:eastAsia="en-GB"/>
        </w:rPr>
        <w:t xml:space="preserve"> طناً (شملت الاستهلاك والإنتاج معاً)، مما يدل على أن الإزالة المتحققة من خلال المشاريع </w:t>
      </w:r>
      <w:r>
        <w:rPr>
          <w:sz w:val="26"/>
          <w:szCs w:val="26"/>
          <w:rtl/>
          <w:lang w:eastAsia="en-GB"/>
        </w:rPr>
        <w:lastRenderedPageBreak/>
        <w:t xml:space="preserve">المنجزة حتى الآن تجاوزت الكمية المتوقعة. وبالإضافة إلى ذلك، وحتى التاريخ نفسه، </w:t>
      </w:r>
      <w:r>
        <w:rPr>
          <w:rFonts w:hint="cs"/>
          <w:sz w:val="26"/>
          <w:szCs w:val="26"/>
          <w:rtl/>
          <w:lang w:eastAsia="en-GB"/>
        </w:rPr>
        <w:t>تم اعتماد</w:t>
      </w:r>
      <w:r>
        <w:rPr>
          <w:sz w:val="26"/>
          <w:szCs w:val="26"/>
          <w:rtl/>
          <w:lang w:eastAsia="en-GB"/>
        </w:rPr>
        <w:t xml:space="preserve"> تخفيض </w:t>
      </w:r>
      <w:r>
        <w:rPr>
          <w:sz w:val="26"/>
          <w:szCs w:val="26"/>
          <w:lang w:val="en-GB"/>
        </w:rPr>
        <w:t>19,702</w:t>
      </w:r>
      <w:r>
        <w:rPr>
          <w:sz w:val="26"/>
          <w:szCs w:val="26"/>
          <w:rtl/>
          <w:lang w:eastAsia="en-GB"/>
        </w:rPr>
        <w:t> طن متري (</w:t>
      </w:r>
      <w:r>
        <w:rPr>
          <w:sz w:val="26"/>
          <w:szCs w:val="26"/>
          <w:lang w:val="en-GB"/>
        </w:rPr>
        <w:t>37,778,524</w:t>
      </w:r>
      <w:r>
        <w:rPr>
          <w:sz w:val="26"/>
          <w:szCs w:val="26"/>
          <w:rtl/>
          <w:lang w:eastAsia="en-GB"/>
        </w:rPr>
        <w:t xml:space="preserve"> طناً من مكافئ ثاني أكسيد الكربون) من استهلاك المواد الهيدروفلوروكربونية، وخُفّض فعلياً </w:t>
      </w:r>
      <w:r>
        <w:rPr>
          <w:sz w:val="26"/>
          <w:szCs w:val="26"/>
          <w:lang w:val="en-GB"/>
        </w:rPr>
        <w:t>1,086</w:t>
      </w:r>
      <w:r>
        <w:rPr>
          <w:sz w:val="26"/>
          <w:szCs w:val="26"/>
          <w:rtl/>
          <w:lang w:eastAsia="en-GB"/>
        </w:rPr>
        <w:t> طناً مترياً (</w:t>
      </w:r>
      <w:r>
        <w:rPr>
          <w:sz w:val="26"/>
          <w:szCs w:val="26"/>
          <w:lang w:val="en-GB"/>
        </w:rPr>
        <w:t>1,606,380</w:t>
      </w:r>
      <w:r>
        <w:rPr>
          <w:sz w:val="26"/>
          <w:szCs w:val="26"/>
          <w:rtl/>
          <w:lang w:eastAsia="en-GB"/>
        </w:rPr>
        <w:t xml:space="preserve"> طناً من مكافئ ثاني أكسيد الكربون). ويبين الجدول </w:t>
      </w:r>
      <w:r>
        <w:rPr>
          <w:sz w:val="26"/>
          <w:szCs w:val="26"/>
          <w:lang w:eastAsia="en-GB"/>
        </w:rPr>
        <w:t>2</w:t>
      </w:r>
      <w:r>
        <w:rPr>
          <w:sz w:val="26"/>
          <w:szCs w:val="26"/>
          <w:rtl/>
          <w:lang w:eastAsia="en-GB"/>
        </w:rPr>
        <w:t xml:space="preserve"> أدناه التوزيع الجغرافي وتوزيع المجموعات للإزالة في جميع المشاريع والأنشطة المعتمدة والأموال الموافق عليها منذ إنشاء الصندوق.</w:t>
      </w:r>
    </w:p>
    <w:p w14:paraId="2B9F0525" w14:textId="7697CD48" w:rsidR="00893D30" w:rsidRPr="004626A8" w:rsidRDefault="004626A8" w:rsidP="00086CAD">
      <w:pPr>
        <w:pStyle w:val="Heading1"/>
        <w:keepNext/>
        <w:numPr>
          <w:ilvl w:val="0"/>
          <w:numId w:val="0"/>
        </w:numPr>
        <w:bidi/>
        <w:spacing w:after="0"/>
        <w:ind w:left="720"/>
        <w:rPr>
          <w:sz w:val="26"/>
          <w:szCs w:val="26"/>
          <w:lang w:val="en-US"/>
        </w:rPr>
      </w:pPr>
      <w:r>
        <w:rPr>
          <w:rFonts w:hint="cs"/>
          <w:sz w:val="26"/>
          <w:szCs w:val="26"/>
          <w:rtl/>
          <w:lang w:val="en-GB"/>
        </w:rPr>
        <w:t>الجدول </w:t>
      </w:r>
      <w:r>
        <w:rPr>
          <w:sz w:val="26"/>
          <w:szCs w:val="26"/>
          <w:lang w:val="en-US"/>
        </w:rPr>
        <w:t>2</w:t>
      </w:r>
    </w:p>
    <w:p w14:paraId="196FBE59" w14:textId="05986B5C" w:rsidR="004626A8" w:rsidRPr="004626A8" w:rsidRDefault="007B0E28" w:rsidP="00086CAD">
      <w:pPr>
        <w:pStyle w:val="Heading1"/>
        <w:keepNext/>
        <w:numPr>
          <w:ilvl w:val="0"/>
          <w:numId w:val="0"/>
        </w:numPr>
        <w:bidi/>
        <w:spacing w:after="0"/>
        <w:ind w:left="720"/>
        <w:rPr>
          <w:b/>
          <w:bCs/>
          <w:sz w:val="26"/>
          <w:szCs w:val="26"/>
          <w:lang w:val="en-GB"/>
        </w:rPr>
      </w:pPr>
      <w:r>
        <w:rPr>
          <w:rFonts w:hint="cs"/>
          <w:b/>
          <w:bCs/>
          <w:sz w:val="26"/>
          <w:szCs w:val="26"/>
          <w:rtl/>
          <w:lang w:val="en-GB"/>
        </w:rPr>
        <w:t>الإزالة</w:t>
      </w:r>
      <w:r>
        <w:rPr>
          <w:b/>
          <w:bCs/>
          <w:sz w:val="26"/>
          <w:szCs w:val="26"/>
          <w:rtl/>
          <w:lang w:val="en-GB"/>
        </w:rPr>
        <w:t xml:space="preserve"> </w:t>
      </w:r>
      <w:r>
        <w:rPr>
          <w:rFonts w:hint="cs"/>
          <w:b/>
          <w:bCs/>
          <w:sz w:val="26"/>
          <w:szCs w:val="26"/>
          <w:rtl/>
          <w:lang w:val="en-GB"/>
        </w:rPr>
        <w:t>والأموال</w:t>
      </w:r>
      <w:r>
        <w:rPr>
          <w:b/>
          <w:bCs/>
          <w:sz w:val="26"/>
          <w:szCs w:val="26"/>
          <w:rtl/>
          <w:lang w:val="en-GB"/>
        </w:rPr>
        <w:t xml:space="preserve"> المعتمدة حسب </w:t>
      </w:r>
      <w:r>
        <w:rPr>
          <w:rFonts w:hint="cs"/>
          <w:b/>
          <w:bCs/>
          <w:sz w:val="26"/>
          <w:szCs w:val="26"/>
          <w:rtl/>
          <w:lang w:val="en-GB"/>
        </w:rPr>
        <w:t>الإقليم</w:t>
      </w:r>
      <w:r>
        <w:rPr>
          <w:b/>
          <w:bCs/>
          <w:sz w:val="26"/>
          <w:szCs w:val="26"/>
          <w:rtl/>
          <w:lang w:val="en-GB"/>
        </w:rPr>
        <w:t xml:space="preserve"> وتوزع المجموعات منذ إنشاء الصندوق المتعدد </w:t>
      </w:r>
      <w:r>
        <w:rPr>
          <w:rFonts w:hint="cs"/>
          <w:b/>
          <w:bCs/>
          <w:sz w:val="26"/>
          <w:szCs w:val="26"/>
          <w:rtl/>
          <w:lang w:val="en-GB"/>
        </w:rPr>
        <w:t>الأطراف</w:t>
      </w:r>
    </w:p>
    <w:tbl>
      <w:tblPr>
        <w:bidiVisual/>
        <w:tblW w:w="10080" w:type="dxa"/>
        <w:tblInd w:w="-185" w:type="dxa"/>
        <w:tblLayout w:type="fixed"/>
        <w:tblCellMar>
          <w:left w:w="43" w:type="dxa"/>
          <w:right w:w="43" w:type="dxa"/>
        </w:tblCellMar>
        <w:tblLook w:val="04A0" w:firstRow="1" w:lastRow="0" w:firstColumn="1" w:lastColumn="0" w:noHBand="0" w:noVBand="1"/>
      </w:tblPr>
      <w:tblGrid>
        <w:gridCol w:w="1625"/>
        <w:gridCol w:w="720"/>
        <w:gridCol w:w="1075"/>
        <w:gridCol w:w="1134"/>
        <w:gridCol w:w="1134"/>
        <w:gridCol w:w="1152"/>
        <w:gridCol w:w="990"/>
        <w:gridCol w:w="993"/>
        <w:gridCol w:w="1257"/>
      </w:tblGrid>
      <w:tr w:rsidR="00A428D9" w:rsidRPr="00012E78" w14:paraId="3F99C6FC" w14:textId="77777777" w:rsidTr="008E13D0">
        <w:trPr>
          <w:trHeight w:val="769"/>
          <w:tblHeader/>
        </w:trPr>
        <w:tc>
          <w:tcPr>
            <w:tcW w:w="1625" w:type="dxa"/>
            <w:tcBorders>
              <w:top w:val="single" w:sz="4" w:space="0" w:color="auto"/>
              <w:left w:val="single" w:sz="4" w:space="0" w:color="auto"/>
              <w:bottom w:val="single" w:sz="4" w:space="0" w:color="auto"/>
              <w:right w:val="single" w:sz="4" w:space="0" w:color="auto"/>
            </w:tcBorders>
            <w:hideMark/>
          </w:tcPr>
          <w:p w14:paraId="65DB26E5" w14:textId="73274C8F" w:rsidR="00A428D9" w:rsidRPr="00012E78" w:rsidRDefault="00A428D9" w:rsidP="00C40E56">
            <w:pPr>
              <w:bidi/>
              <w:jc w:val="center"/>
              <w:rPr>
                <w:b/>
                <w:bCs/>
                <w:color w:val="000000"/>
                <w:sz w:val="17"/>
                <w:szCs w:val="17"/>
                <w:lang w:val="en-GB" w:eastAsia="en-CA"/>
              </w:rPr>
            </w:pPr>
            <w:r>
              <w:rPr>
                <w:rFonts w:hint="cs"/>
                <w:b/>
                <w:bCs/>
                <w:color w:val="000000"/>
                <w:sz w:val="17"/>
                <w:szCs w:val="17"/>
                <w:rtl/>
                <w:lang w:val="en-GB" w:eastAsia="en-CA"/>
              </w:rPr>
              <w:t>الوصف</w:t>
            </w:r>
          </w:p>
        </w:tc>
        <w:tc>
          <w:tcPr>
            <w:tcW w:w="720" w:type="dxa"/>
            <w:tcBorders>
              <w:top w:val="single" w:sz="4" w:space="0" w:color="auto"/>
              <w:left w:val="nil"/>
              <w:bottom w:val="single" w:sz="4" w:space="0" w:color="auto"/>
              <w:right w:val="single" w:sz="4" w:space="0" w:color="auto"/>
            </w:tcBorders>
            <w:hideMark/>
          </w:tcPr>
          <w:p w14:paraId="236FFC1B" w14:textId="0FC01E6B" w:rsidR="00A428D9" w:rsidRPr="00012E78" w:rsidRDefault="00A428D9" w:rsidP="00C40E56">
            <w:pPr>
              <w:bidi/>
              <w:jc w:val="center"/>
              <w:rPr>
                <w:b/>
                <w:bCs/>
                <w:color w:val="000000"/>
                <w:sz w:val="17"/>
                <w:szCs w:val="17"/>
                <w:lang w:val="en-GB" w:eastAsia="en-CA"/>
              </w:rPr>
            </w:pPr>
            <w:r>
              <w:rPr>
                <w:rFonts w:hint="cs"/>
                <w:b/>
                <w:bCs/>
                <w:color w:val="000000"/>
                <w:sz w:val="17"/>
                <w:szCs w:val="17"/>
                <w:rtl/>
                <w:lang w:val="en-GB" w:eastAsia="en-CA"/>
              </w:rPr>
              <w:t>عدد المشاريع*</w:t>
            </w:r>
          </w:p>
        </w:tc>
        <w:tc>
          <w:tcPr>
            <w:tcW w:w="1075" w:type="dxa"/>
            <w:tcBorders>
              <w:top w:val="single" w:sz="4" w:space="0" w:color="auto"/>
              <w:left w:val="nil"/>
              <w:bottom w:val="single" w:sz="4" w:space="0" w:color="auto"/>
              <w:right w:val="single" w:sz="4" w:space="0" w:color="auto"/>
            </w:tcBorders>
            <w:hideMark/>
          </w:tcPr>
          <w:p w14:paraId="1A275447" w14:textId="6DB0716F" w:rsidR="00A428D9" w:rsidRPr="00012E78" w:rsidRDefault="00A428D9" w:rsidP="00C40E56">
            <w:pPr>
              <w:bidi/>
              <w:jc w:val="center"/>
              <w:rPr>
                <w:b/>
                <w:bCs/>
                <w:color w:val="000000"/>
                <w:sz w:val="17"/>
                <w:szCs w:val="17"/>
                <w:lang w:val="en-GB" w:eastAsia="en-CA"/>
              </w:rPr>
            </w:pPr>
            <w:r>
              <w:rPr>
                <w:b/>
                <w:bCs/>
                <w:color w:val="000000"/>
                <w:sz w:val="17"/>
                <w:szCs w:val="17"/>
                <w:rtl/>
                <w:lang w:val="en-GB" w:eastAsia="en-CA"/>
              </w:rPr>
              <w:t>الاستهلاك: أطنان من قدرات استنفاد الأوزون الموافق عليها للمشاريع المتعلقة بالمواد المستنفدة للأوزون*</w:t>
            </w:r>
          </w:p>
        </w:tc>
        <w:tc>
          <w:tcPr>
            <w:tcW w:w="1134" w:type="dxa"/>
            <w:tcBorders>
              <w:top w:val="single" w:sz="4" w:space="0" w:color="auto"/>
              <w:left w:val="nil"/>
              <w:bottom w:val="single" w:sz="4" w:space="0" w:color="auto"/>
              <w:right w:val="single" w:sz="4" w:space="0" w:color="auto"/>
            </w:tcBorders>
            <w:hideMark/>
          </w:tcPr>
          <w:p w14:paraId="71D8F1AB" w14:textId="4D53EA02" w:rsidR="00A428D9" w:rsidRPr="00012E78" w:rsidRDefault="00A428D9" w:rsidP="00C40E56">
            <w:pPr>
              <w:bidi/>
              <w:jc w:val="center"/>
              <w:rPr>
                <w:b/>
                <w:bCs/>
                <w:color w:val="000000"/>
                <w:sz w:val="17"/>
                <w:szCs w:val="17"/>
                <w:lang w:val="en-GB" w:eastAsia="en-CA"/>
              </w:rPr>
            </w:pPr>
            <w:r>
              <w:rPr>
                <w:b/>
                <w:bCs/>
                <w:color w:val="000000"/>
                <w:sz w:val="17"/>
                <w:szCs w:val="17"/>
                <w:rtl/>
                <w:lang w:val="en-GB" w:eastAsia="en-CA"/>
              </w:rPr>
              <w:t xml:space="preserve">الاستهلاك: أطنان من قدرات استنفاد الأوزون </w:t>
            </w:r>
            <w:r>
              <w:rPr>
                <w:rFonts w:hint="cs"/>
                <w:b/>
                <w:bCs/>
                <w:color w:val="000000"/>
                <w:sz w:val="17"/>
                <w:szCs w:val="17"/>
                <w:rtl/>
                <w:lang w:val="en-GB" w:eastAsia="en-CA"/>
              </w:rPr>
              <w:t>التي تمت إزالتها</w:t>
            </w:r>
            <w:r>
              <w:rPr>
                <w:b/>
                <w:bCs/>
                <w:color w:val="000000"/>
                <w:sz w:val="17"/>
                <w:szCs w:val="17"/>
                <w:rtl/>
                <w:lang w:val="en-GB" w:eastAsia="en-CA"/>
              </w:rPr>
              <w:t xml:space="preserve"> للمشاريع المتعلقة بالمواد المستنفدة للأوزون*</w:t>
            </w:r>
          </w:p>
        </w:tc>
        <w:tc>
          <w:tcPr>
            <w:tcW w:w="1134" w:type="dxa"/>
            <w:tcBorders>
              <w:top w:val="single" w:sz="4" w:space="0" w:color="auto"/>
              <w:left w:val="nil"/>
              <w:bottom w:val="single" w:sz="4" w:space="0" w:color="auto"/>
              <w:right w:val="single" w:sz="4" w:space="0" w:color="auto"/>
            </w:tcBorders>
            <w:hideMark/>
          </w:tcPr>
          <w:p w14:paraId="2ABC3112" w14:textId="238DB727" w:rsidR="00A428D9" w:rsidRPr="00012E78" w:rsidRDefault="00A428D9" w:rsidP="00C40E56">
            <w:pPr>
              <w:bidi/>
              <w:jc w:val="center"/>
              <w:rPr>
                <w:b/>
                <w:bCs/>
                <w:color w:val="000000"/>
                <w:sz w:val="17"/>
                <w:szCs w:val="17"/>
                <w:lang w:val="en-GB" w:eastAsia="en-CA"/>
              </w:rPr>
            </w:pPr>
            <w:r>
              <w:rPr>
                <w:b/>
                <w:bCs/>
                <w:color w:val="000000"/>
                <w:sz w:val="17"/>
                <w:szCs w:val="17"/>
                <w:rtl/>
                <w:lang w:val="en-GB" w:eastAsia="en-CA"/>
              </w:rPr>
              <w:t>الاستهلاك: أطنان مترية الموافق عليها للمشاريع المتعلقة بالمواد الهيدروفلوروكربونية**</w:t>
            </w:r>
          </w:p>
        </w:tc>
        <w:tc>
          <w:tcPr>
            <w:tcW w:w="1152" w:type="dxa"/>
            <w:tcBorders>
              <w:top w:val="single" w:sz="4" w:space="0" w:color="auto"/>
              <w:left w:val="nil"/>
              <w:bottom w:val="single" w:sz="4" w:space="0" w:color="auto"/>
              <w:right w:val="single" w:sz="4" w:space="0" w:color="auto"/>
            </w:tcBorders>
            <w:hideMark/>
          </w:tcPr>
          <w:p w14:paraId="10B35470" w14:textId="1F31AAAF" w:rsidR="00A428D9" w:rsidRPr="00012E78" w:rsidRDefault="00C40E56" w:rsidP="00C40E56">
            <w:pPr>
              <w:bidi/>
              <w:jc w:val="center"/>
              <w:rPr>
                <w:b/>
                <w:bCs/>
                <w:color w:val="000000"/>
                <w:sz w:val="17"/>
                <w:szCs w:val="17"/>
                <w:rtl/>
                <w:lang w:val="en-GB" w:eastAsia="en-CA"/>
              </w:rPr>
            </w:pPr>
            <w:r>
              <w:rPr>
                <w:b/>
                <w:bCs/>
                <w:color w:val="000000"/>
                <w:sz w:val="17"/>
                <w:szCs w:val="17"/>
                <w:rtl/>
                <w:lang w:val="en-GB" w:eastAsia="en-CA"/>
              </w:rPr>
              <w:t xml:space="preserve">الاستهلاك: أطنان مترية </w:t>
            </w:r>
            <w:r>
              <w:rPr>
                <w:rFonts w:hint="cs"/>
                <w:b/>
                <w:bCs/>
                <w:color w:val="000000"/>
                <w:sz w:val="17"/>
                <w:szCs w:val="17"/>
                <w:rtl/>
                <w:lang w:val="en-GB" w:eastAsia="en-CA"/>
              </w:rPr>
              <w:t>تم تخفيضها</w:t>
            </w:r>
            <w:r>
              <w:rPr>
                <w:b/>
                <w:bCs/>
                <w:color w:val="000000"/>
                <w:sz w:val="17"/>
                <w:szCs w:val="17"/>
                <w:rtl/>
                <w:lang w:val="en-GB" w:eastAsia="en-CA"/>
              </w:rPr>
              <w:t xml:space="preserve"> للمشاريع المتعلقة بالمواد الهيدروفلوروكربونية**</w:t>
            </w:r>
          </w:p>
        </w:tc>
        <w:tc>
          <w:tcPr>
            <w:tcW w:w="990" w:type="dxa"/>
            <w:tcBorders>
              <w:top w:val="single" w:sz="4" w:space="0" w:color="auto"/>
              <w:left w:val="nil"/>
              <w:bottom w:val="single" w:sz="4" w:space="0" w:color="auto"/>
              <w:right w:val="single" w:sz="4" w:space="0" w:color="auto"/>
            </w:tcBorders>
            <w:hideMark/>
          </w:tcPr>
          <w:p w14:paraId="4ABAF872" w14:textId="4EC4B99E" w:rsidR="00A428D9" w:rsidRPr="00012E78" w:rsidRDefault="00C40E56" w:rsidP="00C40E56">
            <w:pPr>
              <w:bidi/>
              <w:jc w:val="center"/>
              <w:rPr>
                <w:b/>
                <w:bCs/>
                <w:color w:val="000000"/>
                <w:sz w:val="17"/>
                <w:szCs w:val="17"/>
                <w:lang w:val="en-GB" w:eastAsia="en-CA"/>
              </w:rPr>
            </w:pPr>
            <w:r>
              <w:rPr>
                <w:b/>
                <w:bCs/>
                <w:color w:val="000000"/>
                <w:sz w:val="17"/>
                <w:szCs w:val="17"/>
                <w:rtl/>
                <w:lang w:val="en-GB" w:eastAsia="en-CA"/>
              </w:rPr>
              <w:t>الإنتاج: أطنان من قدرات استنفاد الأوزون الموافق عليها*</w:t>
            </w:r>
          </w:p>
        </w:tc>
        <w:tc>
          <w:tcPr>
            <w:tcW w:w="993" w:type="dxa"/>
            <w:tcBorders>
              <w:top w:val="single" w:sz="4" w:space="0" w:color="auto"/>
              <w:left w:val="nil"/>
              <w:bottom w:val="single" w:sz="4" w:space="0" w:color="auto"/>
              <w:right w:val="single" w:sz="4" w:space="0" w:color="auto"/>
            </w:tcBorders>
            <w:hideMark/>
          </w:tcPr>
          <w:p w14:paraId="01DA0A41" w14:textId="4E2460AC" w:rsidR="00A428D9" w:rsidRPr="00012E78" w:rsidRDefault="00C40E56" w:rsidP="00C40E56">
            <w:pPr>
              <w:bidi/>
              <w:jc w:val="center"/>
              <w:rPr>
                <w:b/>
                <w:bCs/>
                <w:color w:val="000000"/>
                <w:sz w:val="17"/>
                <w:szCs w:val="17"/>
                <w:rtl/>
                <w:lang w:val="en-GB" w:eastAsia="en-CA"/>
              </w:rPr>
            </w:pPr>
            <w:r>
              <w:rPr>
                <w:b/>
                <w:bCs/>
                <w:color w:val="000000"/>
                <w:sz w:val="17"/>
                <w:szCs w:val="17"/>
                <w:rtl/>
                <w:lang w:val="en-GB" w:eastAsia="en-CA"/>
              </w:rPr>
              <w:t xml:space="preserve">الإنتاج: أطنان من قدرات استنفاد الأوزون </w:t>
            </w:r>
            <w:r>
              <w:rPr>
                <w:rFonts w:hint="cs"/>
                <w:b/>
                <w:bCs/>
                <w:color w:val="000000"/>
                <w:sz w:val="17"/>
                <w:szCs w:val="17"/>
                <w:rtl/>
                <w:lang w:val="en-GB" w:eastAsia="en-CA"/>
              </w:rPr>
              <w:t>التي تمت إزالتها</w:t>
            </w:r>
            <w:r>
              <w:rPr>
                <w:b/>
                <w:bCs/>
                <w:color w:val="000000"/>
                <w:sz w:val="17"/>
                <w:szCs w:val="17"/>
                <w:rtl/>
                <w:lang w:val="en-GB" w:eastAsia="en-CA"/>
              </w:rPr>
              <w:t>*</w:t>
            </w:r>
          </w:p>
        </w:tc>
        <w:tc>
          <w:tcPr>
            <w:tcW w:w="1257" w:type="dxa"/>
            <w:tcBorders>
              <w:top w:val="single" w:sz="4" w:space="0" w:color="auto"/>
              <w:left w:val="nil"/>
              <w:bottom w:val="single" w:sz="4" w:space="0" w:color="auto"/>
              <w:right w:val="single" w:sz="4" w:space="0" w:color="auto"/>
            </w:tcBorders>
            <w:hideMark/>
          </w:tcPr>
          <w:p w14:paraId="2ADEC78A" w14:textId="262CB643" w:rsidR="00A428D9" w:rsidRPr="00012E78" w:rsidRDefault="00C40E56" w:rsidP="00C40E56">
            <w:pPr>
              <w:bidi/>
              <w:jc w:val="center"/>
              <w:rPr>
                <w:b/>
                <w:bCs/>
                <w:color w:val="000000"/>
                <w:sz w:val="17"/>
                <w:szCs w:val="17"/>
                <w:lang w:val="en-GB" w:eastAsia="en-CA"/>
              </w:rPr>
            </w:pPr>
            <w:r>
              <w:rPr>
                <w:b/>
                <w:bCs/>
                <w:color w:val="000000"/>
                <w:sz w:val="17"/>
                <w:szCs w:val="17"/>
                <w:rtl/>
                <w:lang w:val="en-GB" w:eastAsia="en-CA"/>
              </w:rPr>
              <w:t>التمويل الموافق عليه* (دولار أمريكي)</w:t>
            </w:r>
          </w:p>
        </w:tc>
      </w:tr>
      <w:tr w:rsidR="00A428D9" w:rsidRPr="00012E78" w14:paraId="2F21D8DF" w14:textId="77777777" w:rsidTr="00C40E56">
        <w:trPr>
          <w:trHeight w:val="44"/>
        </w:trPr>
        <w:tc>
          <w:tcPr>
            <w:tcW w:w="10080" w:type="dxa"/>
            <w:gridSpan w:val="9"/>
            <w:tcBorders>
              <w:top w:val="nil"/>
              <w:left w:val="single" w:sz="4" w:space="0" w:color="auto"/>
              <w:bottom w:val="single" w:sz="4" w:space="0" w:color="auto"/>
              <w:right w:val="single" w:sz="4" w:space="0" w:color="auto"/>
            </w:tcBorders>
            <w:hideMark/>
          </w:tcPr>
          <w:p w14:paraId="097380D3" w14:textId="45C6608B" w:rsidR="00A428D9" w:rsidRPr="00012E78" w:rsidRDefault="00C40E56" w:rsidP="00C40E56">
            <w:pPr>
              <w:bidi/>
              <w:jc w:val="left"/>
              <w:rPr>
                <w:b/>
                <w:bCs/>
                <w:color w:val="000000"/>
                <w:sz w:val="17"/>
                <w:szCs w:val="17"/>
                <w:lang w:val="en-GB" w:eastAsia="en-CA"/>
              </w:rPr>
            </w:pPr>
            <w:r>
              <w:rPr>
                <w:rFonts w:hint="cs"/>
                <w:b/>
                <w:bCs/>
                <w:color w:val="000000"/>
                <w:sz w:val="17"/>
                <w:szCs w:val="17"/>
                <w:rtl/>
                <w:lang w:val="en-GB" w:eastAsia="en-CA"/>
              </w:rPr>
              <w:t>المنطقة</w:t>
            </w:r>
            <w:r>
              <w:rPr>
                <w:b/>
                <w:bCs/>
                <w:color w:val="000000"/>
                <w:sz w:val="17"/>
                <w:szCs w:val="17"/>
                <w:lang w:val="en-GB" w:eastAsia="en-CA"/>
              </w:rPr>
              <w:t> </w:t>
            </w:r>
          </w:p>
        </w:tc>
      </w:tr>
      <w:tr w:rsidR="00A428D9" w:rsidRPr="00012E78" w14:paraId="755A56EA" w14:textId="77777777" w:rsidTr="008E13D0">
        <w:trPr>
          <w:trHeight w:val="65"/>
        </w:trPr>
        <w:tc>
          <w:tcPr>
            <w:tcW w:w="1625" w:type="dxa"/>
            <w:tcBorders>
              <w:top w:val="nil"/>
              <w:left w:val="single" w:sz="4" w:space="0" w:color="auto"/>
              <w:bottom w:val="single" w:sz="4" w:space="0" w:color="auto"/>
              <w:right w:val="single" w:sz="4" w:space="0" w:color="auto"/>
            </w:tcBorders>
            <w:noWrap/>
            <w:hideMark/>
          </w:tcPr>
          <w:p w14:paraId="4089C205" w14:textId="038C08CE" w:rsidR="00A428D9" w:rsidRPr="00012E78" w:rsidRDefault="00C40E56" w:rsidP="00C40E56">
            <w:pPr>
              <w:bidi/>
              <w:jc w:val="left"/>
              <w:rPr>
                <w:color w:val="000000"/>
                <w:sz w:val="17"/>
                <w:szCs w:val="17"/>
                <w:rtl/>
                <w:lang w:val="en-GB" w:eastAsia="en-CA" w:bidi="ar-AE"/>
              </w:rPr>
            </w:pPr>
            <w:r>
              <w:rPr>
                <w:rFonts w:hint="cs"/>
                <w:sz w:val="17"/>
                <w:szCs w:val="17"/>
                <w:rtl/>
                <w:lang w:bidi="ar-AE"/>
              </w:rPr>
              <w:t>أفريقيا</w:t>
            </w:r>
          </w:p>
        </w:tc>
        <w:tc>
          <w:tcPr>
            <w:tcW w:w="720" w:type="dxa"/>
            <w:tcBorders>
              <w:top w:val="nil"/>
              <w:left w:val="nil"/>
              <w:bottom w:val="single" w:sz="4" w:space="0" w:color="auto"/>
              <w:right w:val="single" w:sz="4" w:space="0" w:color="auto"/>
            </w:tcBorders>
            <w:noWrap/>
          </w:tcPr>
          <w:p w14:paraId="7FE51FF1" w14:textId="77777777" w:rsidR="00A428D9" w:rsidRPr="00012E78" w:rsidRDefault="00A428D9" w:rsidP="00C40E56">
            <w:pPr>
              <w:bidi/>
              <w:jc w:val="left"/>
              <w:rPr>
                <w:i/>
                <w:iCs/>
                <w:color w:val="000000"/>
                <w:sz w:val="17"/>
                <w:szCs w:val="17"/>
                <w:lang w:val="en-GB" w:eastAsia="en-CA"/>
              </w:rPr>
            </w:pPr>
            <w:r>
              <w:rPr>
                <w:sz w:val="17"/>
                <w:szCs w:val="17"/>
              </w:rPr>
              <w:t>2,873</w:t>
            </w:r>
          </w:p>
        </w:tc>
        <w:tc>
          <w:tcPr>
            <w:tcW w:w="1075" w:type="dxa"/>
            <w:tcBorders>
              <w:top w:val="nil"/>
              <w:left w:val="nil"/>
              <w:bottom w:val="single" w:sz="4" w:space="0" w:color="auto"/>
              <w:right w:val="single" w:sz="4" w:space="0" w:color="auto"/>
            </w:tcBorders>
            <w:noWrap/>
          </w:tcPr>
          <w:p w14:paraId="1407507F" w14:textId="77777777" w:rsidR="00A428D9" w:rsidRPr="00012E78" w:rsidRDefault="00A428D9" w:rsidP="00C40E56">
            <w:pPr>
              <w:bidi/>
              <w:jc w:val="left"/>
              <w:rPr>
                <w:color w:val="000000"/>
                <w:sz w:val="17"/>
                <w:szCs w:val="17"/>
                <w:lang w:val="en-GB" w:eastAsia="en-CA"/>
              </w:rPr>
            </w:pPr>
            <w:r>
              <w:rPr>
                <w:sz w:val="17"/>
                <w:szCs w:val="17"/>
              </w:rPr>
              <w:t>23,474</w:t>
            </w:r>
          </w:p>
        </w:tc>
        <w:tc>
          <w:tcPr>
            <w:tcW w:w="1134" w:type="dxa"/>
            <w:tcBorders>
              <w:top w:val="nil"/>
              <w:left w:val="nil"/>
              <w:bottom w:val="single" w:sz="4" w:space="0" w:color="auto"/>
              <w:right w:val="single" w:sz="4" w:space="0" w:color="auto"/>
            </w:tcBorders>
            <w:noWrap/>
          </w:tcPr>
          <w:p w14:paraId="77A7D9FF" w14:textId="77777777" w:rsidR="00A428D9" w:rsidRPr="00012E78" w:rsidRDefault="00A428D9" w:rsidP="00C40E56">
            <w:pPr>
              <w:bidi/>
              <w:jc w:val="left"/>
              <w:rPr>
                <w:color w:val="000000"/>
                <w:sz w:val="17"/>
                <w:szCs w:val="17"/>
                <w:lang w:val="en-GB" w:eastAsia="en-CA"/>
              </w:rPr>
            </w:pPr>
            <w:r>
              <w:rPr>
                <w:sz w:val="17"/>
                <w:szCs w:val="17"/>
              </w:rPr>
              <w:t>23,152</w:t>
            </w:r>
          </w:p>
        </w:tc>
        <w:tc>
          <w:tcPr>
            <w:tcW w:w="1134" w:type="dxa"/>
            <w:tcBorders>
              <w:top w:val="nil"/>
              <w:left w:val="nil"/>
              <w:bottom w:val="single" w:sz="4" w:space="0" w:color="auto"/>
              <w:right w:val="single" w:sz="4" w:space="0" w:color="auto"/>
            </w:tcBorders>
            <w:noWrap/>
          </w:tcPr>
          <w:p w14:paraId="7D62FEDF" w14:textId="77777777" w:rsidR="00A428D9" w:rsidRPr="00012E78" w:rsidRDefault="00A428D9" w:rsidP="00C40E56">
            <w:pPr>
              <w:bidi/>
              <w:jc w:val="left"/>
              <w:rPr>
                <w:color w:val="000000"/>
                <w:sz w:val="17"/>
                <w:szCs w:val="17"/>
                <w:lang w:val="en-GB" w:eastAsia="en-CA"/>
              </w:rPr>
            </w:pPr>
            <w:r>
              <w:rPr>
                <w:sz w:val="17"/>
                <w:szCs w:val="17"/>
              </w:rPr>
              <w:t>5,588</w:t>
            </w:r>
          </w:p>
        </w:tc>
        <w:tc>
          <w:tcPr>
            <w:tcW w:w="1152" w:type="dxa"/>
            <w:tcBorders>
              <w:top w:val="nil"/>
              <w:left w:val="nil"/>
              <w:bottom w:val="single" w:sz="4" w:space="0" w:color="auto"/>
              <w:right w:val="single" w:sz="4" w:space="0" w:color="auto"/>
            </w:tcBorders>
            <w:noWrap/>
          </w:tcPr>
          <w:p w14:paraId="59D8BF4D" w14:textId="77777777" w:rsidR="00A428D9" w:rsidRPr="00012E78" w:rsidRDefault="00A428D9" w:rsidP="00C40E56">
            <w:pPr>
              <w:bidi/>
              <w:jc w:val="left"/>
              <w:rPr>
                <w:color w:val="000000"/>
                <w:sz w:val="17"/>
                <w:szCs w:val="17"/>
                <w:lang w:val="en-GB" w:eastAsia="en-CA"/>
              </w:rPr>
            </w:pPr>
            <w:r>
              <w:rPr>
                <w:sz w:val="17"/>
                <w:szCs w:val="17"/>
              </w:rPr>
              <w:t>29</w:t>
            </w:r>
          </w:p>
        </w:tc>
        <w:tc>
          <w:tcPr>
            <w:tcW w:w="990" w:type="dxa"/>
            <w:tcBorders>
              <w:top w:val="nil"/>
              <w:left w:val="nil"/>
              <w:bottom w:val="single" w:sz="4" w:space="0" w:color="auto"/>
              <w:right w:val="single" w:sz="4" w:space="0" w:color="auto"/>
            </w:tcBorders>
            <w:noWrap/>
          </w:tcPr>
          <w:p w14:paraId="6B2FC469" w14:textId="77777777" w:rsidR="00A428D9" w:rsidRPr="00012E78" w:rsidRDefault="00A428D9" w:rsidP="00C40E56">
            <w:pPr>
              <w:bidi/>
              <w:jc w:val="left"/>
              <w:rPr>
                <w:color w:val="000000"/>
                <w:sz w:val="17"/>
                <w:szCs w:val="17"/>
                <w:lang w:val="en-GB" w:eastAsia="en-CA"/>
              </w:rPr>
            </w:pPr>
            <w:r>
              <w:rPr>
                <w:sz w:val="17"/>
                <w:szCs w:val="17"/>
              </w:rPr>
              <w:t>0</w:t>
            </w:r>
          </w:p>
        </w:tc>
        <w:tc>
          <w:tcPr>
            <w:tcW w:w="993" w:type="dxa"/>
            <w:tcBorders>
              <w:top w:val="nil"/>
              <w:left w:val="nil"/>
              <w:bottom w:val="single" w:sz="4" w:space="0" w:color="auto"/>
              <w:right w:val="single" w:sz="4" w:space="0" w:color="auto"/>
            </w:tcBorders>
            <w:noWrap/>
          </w:tcPr>
          <w:p w14:paraId="228EEF60" w14:textId="77777777" w:rsidR="00A428D9" w:rsidRPr="00012E78" w:rsidRDefault="00A428D9" w:rsidP="00C40E56">
            <w:pPr>
              <w:bidi/>
              <w:jc w:val="left"/>
              <w:rPr>
                <w:color w:val="000000"/>
                <w:sz w:val="17"/>
                <w:szCs w:val="17"/>
                <w:lang w:val="en-GB" w:eastAsia="en-CA"/>
              </w:rPr>
            </w:pPr>
            <w:r>
              <w:rPr>
                <w:sz w:val="17"/>
                <w:szCs w:val="17"/>
              </w:rPr>
              <w:t>0</w:t>
            </w:r>
          </w:p>
        </w:tc>
        <w:tc>
          <w:tcPr>
            <w:tcW w:w="1257" w:type="dxa"/>
            <w:tcBorders>
              <w:top w:val="nil"/>
              <w:left w:val="nil"/>
              <w:bottom w:val="single" w:sz="4" w:space="0" w:color="auto"/>
              <w:right w:val="single" w:sz="4" w:space="0" w:color="auto"/>
            </w:tcBorders>
            <w:noWrap/>
          </w:tcPr>
          <w:p w14:paraId="6081F9D5" w14:textId="77777777" w:rsidR="00A428D9" w:rsidRPr="00012E78" w:rsidRDefault="00A428D9" w:rsidP="00C40E56">
            <w:pPr>
              <w:bidi/>
              <w:jc w:val="left"/>
              <w:rPr>
                <w:color w:val="000000"/>
                <w:sz w:val="17"/>
                <w:szCs w:val="17"/>
                <w:lang w:val="en-GB" w:eastAsia="en-CA"/>
              </w:rPr>
            </w:pPr>
            <w:r>
              <w:rPr>
                <w:sz w:val="17"/>
                <w:szCs w:val="17"/>
              </w:rPr>
              <w:t>504,259,764</w:t>
            </w:r>
          </w:p>
        </w:tc>
      </w:tr>
      <w:tr w:rsidR="00A428D9" w:rsidRPr="00012E78" w14:paraId="7B5A42D3" w14:textId="77777777" w:rsidTr="008E13D0">
        <w:trPr>
          <w:trHeight w:val="124"/>
        </w:trPr>
        <w:tc>
          <w:tcPr>
            <w:tcW w:w="1625" w:type="dxa"/>
            <w:tcBorders>
              <w:top w:val="nil"/>
              <w:left w:val="single" w:sz="4" w:space="0" w:color="auto"/>
              <w:bottom w:val="single" w:sz="4" w:space="0" w:color="auto"/>
              <w:right w:val="single" w:sz="4" w:space="0" w:color="auto"/>
            </w:tcBorders>
            <w:noWrap/>
            <w:hideMark/>
          </w:tcPr>
          <w:p w14:paraId="25C5367C" w14:textId="29A808AA" w:rsidR="00A428D9" w:rsidRPr="00012E78" w:rsidRDefault="00C40E56" w:rsidP="00C40E56">
            <w:pPr>
              <w:bidi/>
              <w:jc w:val="left"/>
              <w:rPr>
                <w:color w:val="000000"/>
                <w:sz w:val="17"/>
                <w:szCs w:val="17"/>
                <w:rtl/>
                <w:lang w:val="en-GB" w:eastAsia="en-CA" w:bidi="ar-AE"/>
              </w:rPr>
            </w:pPr>
            <w:r>
              <w:rPr>
                <w:rFonts w:hint="cs"/>
                <w:sz w:val="17"/>
                <w:szCs w:val="17"/>
                <w:rtl/>
                <w:lang w:bidi="ar-AE"/>
              </w:rPr>
              <w:t>آسيا والمحيط الهادئ</w:t>
            </w:r>
          </w:p>
        </w:tc>
        <w:tc>
          <w:tcPr>
            <w:tcW w:w="720" w:type="dxa"/>
            <w:tcBorders>
              <w:top w:val="nil"/>
              <w:left w:val="nil"/>
              <w:bottom w:val="single" w:sz="4" w:space="0" w:color="auto"/>
              <w:right w:val="single" w:sz="4" w:space="0" w:color="auto"/>
            </w:tcBorders>
            <w:noWrap/>
          </w:tcPr>
          <w:p w14:paraId="19C8070B" w14:textId="77777777" w:rsidR="00A428D9" w:rsidRPr="00012E78" w:rsidRDefault="00A428D9" w:rsidP="00C40E56">
            <w:pPr>
              <w:bidi/>
              <w:jc w:val="left"/>
              <w:rPr>
                <w:color w:val="000000"/>
                <w:sz w:val="17"/>
                <w:szCs w:val="17"/>
                <w:lang w:val="en-GB" w:eastAsia="en-CA"/>
              </w:rPr>
            </w:pPr>
            <w:r>
              <w:rPr>
                <w:sz w:val="17"/>
                <w:szCs w:val="17"/>
              </w:rPr>
              <w:t>4,024</w:t>
            </w:r>
          </w:p>
        </w:tc>
        <w:tc>
          <w:tcPr>
            <w:tcW w:w="1075" w:type="dxa"/>
            <w:tcBorders>
              <w:top w:val="nil"/>
              <w:left w:val="nil"/>
              <w:bottom w:val="single" w:sz="4" w:space="0" w:color="auto"/>
              <w:right w:val="single" w:sz="4" w:space="0" w:color="auto"/>
            </w:tcBorders>
            <w:noWrap/>
          </w:tcPr>
          <w:p w14:paraId="29C2FC3A" w14:textId="77777777" w:rsidR="00A428D9" w:rsidRPr="00012E78" w:rsidRDefault="00A428D9" w:rsidP="00C40E56">
            <w:pPr>
              <w:bidi/>
              <w:jc w:val="left"/>
              <w:rPr>
                <w:color w:val="000000"/>
                <w:sz w:val="17"/>
                <w:szCs w:val="17"/>
                <w:lang w:val="en-GB" w:eastAsia="en-CA"/>
              </w:rPr>
            </w:pPr>
            <w:r>
              <w:rPr>
                <w:sz w:val="17"/>
                <w:szCs w:val="17"/>
              </w:rPr>
              <w:t>216,944</w:t>
            </w:r>
          </w:p>
        </w:tc>
        <w:tc>
          <w:tcPr>
            <w:tcW w:w="1134" w:type="dxa"/>
            <w:tcBorders>
              <w:top w:val="nil"/>
              <w:left w:val="nil"/>
              <w:bottom w:val="single" w:sz="4" w:space="0" w:color="auto"/>
              <w:right w:val="single" w:sz="4" w:space="0" w:color="auto"/>
            </w:tcBorders>
            <w:noWrap/>
          </w:tcPr>
          <w:p w14:paraId="3852FEA2" w14:textId="77777777" w:rsidR="00A428D9" w:rsidRPr="00012E78" w:rsidRDefault="00A428D9" w:rsidP="00C40E56">
            <w:pPr>
              <w:bidi/>
              <w:jc w:val="left"/>
              <w:rPr>
                <w:color w:val="000000"/>
                <w:sz w:val="17"/>
                <w:szCs w:val="17"/>
                <w:lang w:val="en-GB" w:eastAsia="en-CA"/>
              </w:rPr>
            </w:pPr>
            <w:r>
              <w:rPr>
                <w:sz w:val="17"/>
                <w:szCs w:val="17"/>
              </w:rPr>
              <w:t>238,113</w:t>
            </w:r>
          </w:p>
        </w:tc>
        <w:tc>
          <w:tcPr>
            <w:tcW w:w="1134" w:type="dxa"/>
            <w:tcBorders>
              <w:top w:val="nil"/>
              <w:left w:val="nil"/>
              <w:bottom w:val="single" w:sz="4" w:space="0" w:color="auto"/>
              <w:right w:val="single" w:sz="4" w:space="0" w:color="auto"/>
            </w:tcBorders>
            <w:noWrap/>
          </w:tcPr>
          <w:p w14:paraId="62FF6437" w14:textId="77777777" w:rsidR="00A428D9" w:rsidRPr="00012E78" w:rsidRDefault="00A428D9" w:rsidP="00C40E56">
            <w:pPr>
              <w:bidi/>
              <w:jc w:val="left"/>
              <w:rPr>
                <w:color w:val="000000"/>
                <w:sz w:val="17"/>
                <w:szCs w:val="17"/>
                <w:lang w:val="en-GB" w:eastAsia="en-CA"/>
              </w:rPr>
            </w:pPr>
            <w:r>
              <w:rPr>
                <w:sz w:val="17"/>
                <w:szCs w:val="17"/>
              </w:rPr>
              <w:t>4,840</w:t>
            </w:r>
          </w:p>
        </w:tc>
        <w:tc>
          <w:tcPr>
            <w:tcW w:w="1152" w:type="dxa"/>
            <w:tcBorders>
              <w:top w:val="nil"/>
              <w:left w:val="nil"/>
              <w:bottom w:val="single" w:sz="4" w:space="0" w:color="auto"/>
              <w:right w:val="single" w:sz="4" w:space="0" w:color="auto"/>
            </w:tcBorders>
            <w:noWrap/>
          </w:tcPr>
          <w:p w14:paraId="7AB48A3D" w14:textId="77777777" w:rsidR="00A428D9" w:rsidRPr="00012E78" w:rsidRDefault="00A428D9" w:rsidP="00C40E56">
            <w:pPr>
              <w:bidi/>
              <w:jc w:val="left"/>
              <w:rPr>
                <w:color w:val="000000"/>
                <w:sz w:val="17"/>
                <w:szCs w:val="17"/>
                <w:lang w:val="en-GB" w:eastAsia="en-CA"/>
              </w:rPr>
            </w:pPr>
            <w:r>
              <w:rPr>
                <w:sz w:val="17"/>
                <w:szCs w:val="17"/>
              </w:rPr>
              <w:t>602</w:t>
            </w:r>
          </w:p>
        </w:tc>
        <w:tc>
          <w:tcPr>
            <w:tcW w:w="990" w:type="dxa"/>
            <w:tcBorders>
              <w:top w:val="nil"/>
              <w:left w:val="nil"/>
              <w:bottom w:val="single" w:sz="4" w:space="0" w:color="auto"/>
              <w:right w:val="single" w:sz="4" w:space="0" w:color="auto"/>
            </w:tcBorders>
            <w:noWrap/>
          </w:tcPr>
          <w:p w14:paraId="7B283474" w14:textId="77777777" w:rsidR="00A428D9" w:rsidRPr="00012E78" w:rsidRDefault="00A428D9" w:rsidP="00C40E56">
            <w:pPr>
              <w:bidi/>
              <w:jc w:val="left"/>
              <w:rPr>
                <w:color w:val="000000"/>
                <w:sz w:val="17"/>
                <w:szCs w:val="17"/>
                <w:lang w:val="en-GB" w:eastAsia="en-CA"/>
              </w:rPr>
            </w:pPr>
            <w:r>
              <w:rPr>
                <w:sz w:val="17"/>
                <w:szCs w:val="17"/>
              </w:rPr>
              <w:t>179,607</w:t>
            </w:r>
          </w:p>
        </w:tc>
        <w:tc>
          <w:tcPr>
            <w:tcW w:w="993" w:type="dxa"/>
            <w:tcBorders>
              <w:top w:val="nil"/>
              <w:left w:val="nil"/>
              <w:bottom w:val="single" w:sz="4" w:space="0" w:color="auto"/>
              <w:right w:val="single" w:sz="4" w:space="0" w:color="auto"/>
            </w:tcBorders>
            <w:noWrap/>
          </w:tcPr>
          <w:p w14:paraId="50712E5D" w14:textId="77777777" w:rsidR="00A428D9" w:rsidRPr="00012E78" w:rsidRDefault="00A428D9" w:rsidP="00C40E56">
            <w:pPr>
              <w:bidi/>
              <w:jc w:val="left"/>
              <w:rPr>
                <w:color w:val="000000"/>
                <w:sz w:val="17"/>
                <w:szCs w:val="17"/>
                <w:lang w:val="en-GB" w:eastAsia="en-CA"/>
              </w:rPr>
            </w:pPr>
            <w:r>
              <w:rPr>
                <w:sz w:val="17"/>
                <w:szCs w:val="17"/>
              </w:rPr>
              <w:t>179,635</w:t>
            </w:r>
          </w:p>
        </w:tc>
        <w:tc>
          <w:tcPr>
            <w:tcW w:w="1257" w:type="dxa"/>
            <w:tcBorders>
              <w:top w:val="nil"/>
              <w:left w:val="nil"/>
              <w:bottom w:val="single" w:sz="4" w:space="0" w:color="auto"/>
              <w:right w:val="single" w:sz="4" w:space="0" w:color="auto"/>
            </w:tcBorders>
            <w:noWrap/>
          </w:tcPr>
          <w:p w14:paraId="210C991A" w14:textId="77777777" w:rsidR="00A428D9" w:rsidRPr="00012E78" w:rsidRDefault="00A428D9" w:rsidP="00C40E56">
            <w:pPr>
              <w:bidi/>
              <w:jc w:val="left"/>
              <w:rPr>
                <w:color w:val="000000"/>
                <w:sz w:val="17"/>
                <w:szCs w:val="17"/>
                <w:lang w:val="en-GB" w:eastAsia="en-CA"/>
              </w:rPr>
            </w:pPr>
            <w:r>
              <w:rPr>
                <w:sz w:val="17"/>
                <w:szCs w:val="17"/>
              </w:rPr>
              <w:t>2,712,704,357</w:t>
            </w:r>
          </w:p>
        </w:tc>
      </w:tr>
      <w:tr w:rsidR="00A428D9" w:rsidRPr="00012E78" w14:paraId="57AA0B25" w14:textId="77777777" w:rsidTr="008E13D0">
        <w:trPr>
          <w:trHeight w:val="56"/>
        </w:trPr>
        <w:tc>
          <w:tcPr>
            <w:tcW w:w="1625" w:type="dxa"/>
            <w:tcBorders>
              <w:top w:val="nil"/>
              <w:left w:val="single" w:sz="4" w:space="0" w:color="auto"/>
              <w:bottom w:val="single" w:sz="4" w:space="0" w:color="auto"/>
              <w:right w:val="single" w:sz="4" w:space="0" w:color="auto"/>
            </w:tcBorders>
            <w:noWrap/>
            <w:hideMark/>
          </w:tcPr>
          <w:p w14:paraId="50C28453" w14:textId="12A11B65" w:rsidR="00A428D9" w:rsidRPr="00012E78" w:rsidRDefault="00C40E56" w:rsidP="00C40E56">
            <w:pPr>
              <w:bidi/>
              <w:jc w:val="left"/>
              <w:rPr>
                <w:color w:val="000000"/>
                <w:sz w:val="17"/>
                <w:szCs w:val="17"/>
                <w:lang w:val="en-GB" w:eastAsia="en-CA"/>
              </w:rPr>
            </w:pPr>
            <w:r>
              <w:rPr>
                <w:rFonts w:hint="cs"/>
                <w:sz w:val="17"/>
                <w:szCs w:val="17"/>
                <w:rtl/>
              </w:rPr>
              <w:t>أوروبا</w:t>
            </w:r>
          </w:p>
        </w:tc>
        <w:tc>
          <w:tcPr>
            <w:tcW w:w="720" w:type="dxa"/>
            <w:tcBorders>
              <w:top w:val="nil"/>
              <w:left w:val="nil"/>
              <w:bottom w:val="single" w:sz="4" w:space="0" w:color="auto"/>
              <w:right w:val="single" w:sz="4" w:space="0" w:color="auto"/>
            </w:tcBorders>
            <w:noWrap/>
          </w:tcPr>
          <w:p w14:paraId="515B3EBD" w14:textId="77777777" w:rsidR="00A428D9" w:rsidRPr="00012E78" w:rsidRDefault="00A428D9" w:rsidP="00C40E56">
            <w:pPr>
              <w:bidi/>
              <w:jc w:val="left"/>
              <w:rPr>
                <w:color w:val="000000"/>
                <w:sz w:val="17"/>
                <w:szCs w:val="17"/>
                <w:lang w:val="en-GB" w:eastAsia="en-CA"/>
              </w:rPr>
            </w:pPr>
            <w:r>
              <w:rPr>
                <w:sz w:val="17"/>
                <w:szCs w:val="17"/>
              </w:rPr>
              <w:t>709</w:t>
            </w:r>
          </w:p>
        </w:tc>
        <w:tc>
          <w:tcPr>
            <w:tcW w:w="1075" w:type="dxa"/>
            <w:tcBorders>
              <w:top w:val="nil"/>
              <w:left w:val="nil"/>
              <w:bottom w:val="single" w:sz="4" w:space="0" w:color="auto"/>
              <w:right w:val="single" w:sz="4" w:space="0" w:color="auto"/>
            </w:tcBorders>
            <w:noWrap/>
          </w:tcPr>
          <w:p w14:paraId="3482C9A7" w14:textId="77777777" w:rsidR="00A428D9" w:rsidRPr="00012E78" w:rsidRDefault="00A428D9" w:rsidP="00C40E56">
            <w:pPr>
              <w:bidi/>
              <w:jc w:val="left"/>
              <w:rPr>
                <w:color w:val="000000"/>
                <w:sz w:val="17"/>
                <w:szCs w:val="17"/>
                <w:lang w:val="en-GB" w:eastAsia="en-CA"/>
              </w:rPr>
            </w:pPr>
            <w:r>
              <w:rPr>
                <w:sz w:val="17"/>
                <w:szCs w:val="17"/>
              </w:rPr>
              <w:t>9,175</w:t>
            </w:r>
          </w:p>
        </w:tc>
        <w:tc>
          <w:tcPr>
            <w:tcW w:w="1134" w:type="dxa"/>
            <w:tcBorders>
              <w:top w:val="nil"/>
              <w:left w:val="nil"/>
              <w:bottom w:val="single" w:sz="4" w:space="0" w:color="auto"/>
              <w:right w:val="single" w:sz="4" w:space="0" w:color="auto"/>
            </w:tcBorders>
            <w:noWrap/>
          </w:tcPr>
          <w:p w14:paraId="187EE236" w14:textId="77777777" w:rsidR="00A428D9" w:rsidRPr="00012E78" w:rsidRDefault="00A428D9" w:rsidP="00C40E56">
            <w:pPr>
              <w:bidi/>
              <w:jc w:val="left"/>
              <w:rPr>
                <w:color w:val="000000"/>
                <w:sz w:val="17"/>
                <w:szCs w:val="17"/>
                <w:lang w:val="en-GB" w:eastAsia="en-CA"/>
              </w:rPr>
            </w:pPr>
            <w:r>
              <w:rPr>
                <w:sz w:val="17"/>
                <w:szCs w:val="17"/>
              </w:rPr>
              <w:t>9,296</w:t>
            </w:r>
          </w:p>
        </w:tc>
        <w:tc>
          <w:tcPr>
            <w:tcW w:w="1134" w:type="dxa"/>
            <w:tcBorders>
              <w:top w:val="nil"/>
              <w:left w:val="nil"/>
              <w:bottom w:val="single" w:sz="4" w:space="0" w:color="auto"/>
              <w:right w:val="single" w:sz="4" w:space="0" w:color="auto"/>
            </w:tcBorders>
            <w:noWrap/>
          </w:tcPr>
          <w:p w14:paraId="56B90396" w14:textId="77777777" w:rsidR="00A428D9" w:rsidRPr="00012E78" w:rsidRDefault="00A428D9" w:rsidP="00C40E56">
            <w:pPr>
              <w:bidi/>
              <w:jc w:val="left"/>
              <w:rPr>
                <w:color w:val="000000"/>
                <w:sz w:val="17"/>
                <w:szCs w:val="17"/>
                <w:lang w:val="en-GB" w:eastAsia="en-CA"/>
              </w:rPr>
            </w:pPr>
            <w:r>
              <w:rPr>
                <w:sz w:val="17"/>
                <w:szCs w:val="17"/>
              </w:rPr>
              <w:t>747</w:t>
            </w:r>
          </w:p>
        </w:tc>
        <w:tc>
          <w:tcPr>
            <w:tcW w:w="1152" w:type="dxa"/>
            <w:tcBorders>
              <w:top w:val="nil"/>
              <w:left w:val="nil"/>
              <w:bottom w:val="single" w:sz="4" w:space="0" w:color="auto"/>
              <w:right w:val="single" w:sz="4" w:space="0" w:color="auto"/>
            </w:tcBorders>
            <w:noWrap/>
          </w:tcPr>
          <w:p w14:paraId="12CB86C2" w14:textId="77777777" w:rsidR="00A428D9" w:rsidRPr="00012E78" w:rsidRDefault="00A428D9" w:rsidP="00C40E56">
            <w:pPr>
              <w:bidi/>
              <w:jc w:val="left"/>
              <w:rPr>
                <w:color w:val="000000"/>
                <w:sz w:val="17"/>
                <w:szCs w:val="17"/>
                <w:lang w:val="en-GB" w:eastAsia="en-CA"/>
              </w:rPr>
            </w:pPr>
            <w:r>
              <w:rPr>
                <w:sz w:val="17"/>
                <w:szCs w:val="17"/>
              </w:rPr>
              <w:t>13</w:t>
            </w:r>
          </w:p>
        </w:tc>
        <w:tc>
          <w:tcPr>
            <w:tcW w:w="990" w:type="dxa"/>
            <w:tcBorders>
              <w:top w:val="nil"/>
              <w:left w:val="nil"/>
              <w:bottom w:val="single" w:sz="4" w:space="0" w:color="auto"/>
              <w:right w:val="single" w:sz="4" w:space="0" w:color="auto"/>
            </w:tcBorders>
            <w:noWrap/>
          </w:tcPr>
          <w:p w14:paraId="24FD7E38" w14:textId="77777777" w:rsidR="00A428D9" w:rsidRPr="00012E78" w:rsidRDefault="00A428D9" w:rsidP="00C40E56">
            <w:pPr>
              <w:bidi/>
              <w:jc w:val="left"/>
              <w:rPr>
                <w:color w:val="000000"/>
                <w:sz w:val="17"/>
                <w:szCs w:val="17"/>
                <w:lang w:val="en-GB" w:eastAsia="en-CA"/>
              </w:rPr>
            </w:pPr>
            <w:r>
              <w:rPr>
                <w:sz w:val="17"/>
                <w:szCs w:val="17"/>
              </w:rPr>
              <w:t>175</w:t>
            </w:r>
          </w:p>
        </w:tc>
        <w:tc>
          <w:tcPr>
            <w:tcW w:w="993" w:type="dxa"/>
            <w:tcBorders>
              <w:top w:val="nil"/>
              <w:left w:val="nil"/>
              <w:bottom w:val="single" w:sz="4" w:space="0" w:color="auto"/>
              <w:right w:val="single" w:sz="4" w:space="0" w:color="auto"/>
            </w:tcBorders>
            <w:noWrap/>
          </w:tcPr>
          <w:p w14:paraId="2BDFF799" w14:textId="77777777" w:rsidR="00A428D9" w:rsidRPr="00012E78" w:rsidRDefault="00A428D9" w:rsidP="00C40E56">
            <w:pPr>
              <w:bidi/>
              <w:jc w:val="left"/>
              <w:rPr>
                <w:color w:val="000000"/>
                <w:sz w:val="17"/>
                <w:szCs w:val="17"/>
                <w:lang w:val="en-GB" w:eastAsia="en-CA"/>
              </w:rPr>
            </w:pPr>
            <w:r>
              <w:rPr>
                <w:sz w:val="17"/>
                <w:szCs w:val="17"/>
              </w:rPr>
              <w:t>175</w:t>
            </w:r>
          </w:p>
        </w:tc>
        <w:tc>
          <w:tcPr>
            <w:tcW w:w="1257" w:type="dxa"/>
            <w:tcBorders>
              <w:top w:val="nil"/>
              <w:left w:val="nil"/>
              <w:bottom w:val="single" w:sz="4" w:space="0" w:color="auto"/>
              <w:right w:val="single" w:sz="4" w:space="0" w:color="auto"/>
            </w:tcBorders>
            <w:noWrap/>
          </w:tcPr>
          <w:p w14:paraId="4A2A6679" w14:textId="77777777" w:rsidR="00A428D9" w:rsidRPr="00012E78" w:rsidRDefault="00A428D9" w:rsidP="00C40E56">
            <w:pPr>
              <w:bidi/>
              <w:jc w:val="left"/>
              <w:rPr>
                <w:color w:val="000000"/>
                <w:sz w:val="17"/>
                <w:szCs w:val="17"/>
                <w:lang w:val="en-GB" w:eastAsia="en-CA"/>
              </w:rPr>
            </w:pPr>
            <w:r>
              <w:rPr>
                <w:sz w:val="17"/>
                <w:szCs w:val="17"/>
              </w:rPr>
              <w:t>139,066,985</w:t>
            </w:r>
          </w:p>
        </w:tc>
      </w:tr>
      <w:tr w:rsidR="00A428D9" w:rsidRPr="00012E78" w14:paraId="4F38B0EA" w14:textId="77777777" w:rsidTr="008E13D0">
        <w:trPr>
          <w:trHeight w:val="273"/>
        </w:trPr>
        <w:tc>
          <w:tcPr>
            <w:tcW w:w="1625" w:type="dxa"/>
            <w:tcBorders>
              <w:top w:val="nil"/>
              <w:left w:val="single" w:sz="4" w:space="0" w:color="auto"/>
              <w:bottom w:val="single" w:sz="4" w:space="0" w:color="auto"/>
              <w:right w:val="single" w:sz="4" w:space="0" w:color="auto"/>
            </w:tcBorders>
            <w:noWrap/>
            <w:hideMark/>
          </w:tcPr>
          <w:p w14:paraId="3FB94C14" w14:textId="5C31BDD5" w:rsidR="00A428D9" w:rsidRPr="00012E78" w:rsidRDefault="00C40E56" w:rsidP="00C40E56">
            <w:pPr>
              <w:bidi/>
              <w:jc w:val="left"/>
              <w:rPr>
                <w:color w:val="000000"/>
                <w:sz w:val="17"/>
                <w:szCs w:val="17"/>
                <w:lang w:val="en-GB" w:eastAsia="en-CA"/>
              </w:rPr>
            </w:pPr>
            <w:r>
              <w:rPr>
                <w:sz w:val="17"/>
                <w:szCs w:val="17"/>
                <w:rtl/>
              </w:rPr>
              <w:t>أمريكا اللاتينية والكاريبي</w:t>
            </w:r>
          </w:p>
        </w:tc>
        <w:tc>
          <w:tcPr>
            <w:tcW w:w="720" w:type="dxa"/>
            <w:tcBorders>
              <w:top w:val="nil"/>
              <w:left w:val="nil"/>
              <w:bottom w:val="single" w:sz="4" w:space="0" w:color="auto"/>
              <w:right w:val="single" w:sz="4" w:space="0" w:color="auto"/>
            </w:tcBorders>
            <w:noWrap/>
          </w:tcPr>
          <w:p w14:paraId="42A8703C" w14:textId="77777777" w:rsidR="00A428D9" w:rsidRPr="00012E78" w:rsidRDefault="00A428D9" w:rsidP="00C40E56">
            <w:pPr>
              <w:bidi/>
              <w:jc w:val="left"/>
              <w:rPr>
                <w:color w:val="000000"/>
                <w:sz w:val="17"/>
                <w:szCs w:val="17"/>
                <w:lang w:val="en-GB" w:eastAsia="en-CA"/>
              </w:rPr>
            </w:pPr>
            <w:r>
              <w:rPr>
                <w:sz w:val="17"/>
                <w:szCs w:val="17"/>
              </w:rPr>
              <w:t>2,619</w:t>
            </w:r>
          </w:p>
        </w:tc>
        <w:tc>
          <w:tcPr>
            <w:tcW w:w="1075" w:type="dxa"/>
            <w:tcBorders>
              <w:top w:val="nil"/>
              <w:left w:val="nil"/>
              <w:bottom w:val="single" w:sz="4" w:space="0" w:color="auto"/>
              <w:right w:val="single" w:sz="4" w:space="0" w:color="auto"/>
            </w:tcBorders>
            <w:noWrap/>
          </w:tcPr>
          <w:p w14:paraId="52E686E3" w14:textId="77777777" w:rsidR="00A428D9" w:rsidRPr="00012E78" w:rsidRDefault="00A428D9" w:rsidP="00C40E56">
            <w:pPr>
              <w:bidi/>
              <w:jc w:val="left"/>
              <w:rPr>
                <w:color w:val="000000"/>
                <w:sz w:val="17"/>
                <w:szCs w:val="17"/>
                <w:lang w:val="en-GB" w:eastAsia="en-CA"/>
              </w:rPr>
            </w:pPr>
            <w:r>
              <w:rPr>
                <w:sz w:val="17"/>
                <w:szCs w:val="17"/>
              </w:rPr>
              <w:t>40,725</w:t>
            </w:r>
          </w:p>
        </w:tc>
        <w:tc>
          <w:tcPr>
            <w:tcW w:w="1134" w:type="dxa"/>
            <w:tcBorders>
              <w:top w:val="nil"/>
              <w:left w:val="nil"/>
              <w:bottom w:val="single" w:sz="4" w:space="0" w:color="auto"/>
              <w:right w:val="single" w:sz="4" w:space="0" w:color="auto"/>
            </w:tcBorders>
            <w:noWrap/>
          </w:tcPr>
          <w:p w14:paraId="70D18B2D" w14:textId="77777777" w:rsidR="00A428D9" w:rsidRPr="00012E78" w:rsidRDefault="00A428D9" w:rsidP="00C40E56">
            <w:pPr>
              <w:bidi/>
              <w:jc w:val="left"/>
              <w:rPr>
                <w:color w:val="000000"/>
                <w:sz w:val="17"/>
                <w:szCs w:val="17"/>
                <w:lang w:val="en-GB" w:eastAsia="en-CA"/>
              </w:rPr>
            </w:pPr>
            <w:r>
              <w:rPr>
                <w:sz w:val="17"/>
                <w:szCs w:val="17"/>
              </w:rPr>
              <w:t>39,948</w:t>
            </w:r>
          </w:p>
        </w:tc>
        <w:tc>
          <w:tcPr>
            <w:tcW w:w="1134" w:type="dxa"/>
            <w:tcBorders>
              <w:top w:val="nil"/>
              <w:left w:val="nil"/>
              <w:bottom w:val="single" w:sz="4" w:space="0" w:color="auto"/>
              <w:right w:val="single" w:sz="4" w:space="0" w:color="auto"/>
            </w:tcBorders>
            <w:noWrap/>
          </w:tcPr>
          <w:p w14:paraId="31D53FF3" w14:textId="77777777" w:rsidR="00A428D9" w:rsidRPr="00012E78" w:rsidRDefault="00A428D9" w:rsidP="00C40E56">
            <w:pPr>
              <w:bidi/>
              <w:jc w:val="left"/>
              <w:rPr>
                <w:color w:val="000000"/>
                <w:sz w:val="17"/>
                <w:szCs w:val="17"/>
                <w:lang w:val="en-GB" w:eastAsia="en-CA"/>
              </w:rPr>
            </w:pPr>
            <w:r>
              <w:rPr>
                <w:sz w:val="17"/>
                <w:szCs w:val="17"/>
              </w:rPr>
              <w:t>8,527</w:t>
            </w:r>
          </w:p>
        </w:tc>
        <w:tc>
          <w:tcPr>
            <w:tcW w:w="1152" w:type="dxa"/>
            <w:tcBorders>
              <w:top w:val="nil"/>
              <w:left w:val="nil"/>
              <w:bottom w:val="single" w:sz="4" w:space="0" w:color="auto"/>
              <w:right w:val="single" w:sz="4" w:space="0" w:color="auto"/>
            </w:tcBorders>
            <w:noWrap/>
          </w:tcPr>
          <w:p w14:paraId="5D0317D4" w14:textId="77777777" w:rsidR="00A428D9" w:rsidRPr="00012E78" w:rsidRDefault="00A428D9" w:rsidP="00C40E56">
            <w:pPr>
              <w:bidi/>
              <w:jc w:val="left"/>
              <w:rPr>
                <w:color w:val="000000"/>
                <w:sz w:val="17"/>
                <w:szCs w:val="17"/>
                <w:lang w:val="en-GB" w:eastAsia="en-CA"/>
              </w:rPr>
            </w:pPr>
            <w:r>
              <w:rPr>
                <w:sz w:val="17"/>
                <w:szCs w:val="17"/>
              </w:rPr>
              <w:t>442</w:t>
            </w:r>
          </w:p>
        </w:tc>
        <w:tc>
          <w:tcPr>
            <w:tcW w:w="990" w:type="dxa"/>
            <w:tcBorders>
              <w:top w:val="nil"/>
              <w:left w:val="nil"/>
              <w:bottom w:val="single" w:sz="4" w:space="0" w:color="auto"/>
              <w:right w:val="single" w:sz="4" w:space="0" w:color="auto"/>
            </w:tcBorders>
            <w:noWrap/>
          </w:tcPr>
          <w:p w14:paraId="5AB615F4" w14:textId="77777777" w:rsidR="00A428D9" w:rsidRPr="00012E78" w:rsidRDefault="00A428D9" w:rsidP="00C40E56">
            <w:pPr>
              <w:bidi/>
              <w:jc w:val="left"/>
              <w:rPr>
                <w:color w:val="000000"/>
                <w:sz w:val="17"/>
                <w:szCs w:val="17"/>
                <w:lang w:val="en-GB" w:eastAsia="en-CA"/>
              </w:rPr>
            </w:pPr>
            <w:r>
              <w:rPr>
                <w:sz w:val="17"/>
                <w:szCs w:val="17"/>
              </w:rPr>
              <w:t>19,775</w:t>
            </w:r>
          </w:p>
        </w:tc>
        <w:tc>
          <w:tcPr>
            <w:tcW w:w="993" w:type="dxa"/>
            <w:tcBorders>
              <w:top w:val="nil"/>
              <w:left w:val="nil"/>
              <w:bottom w:val="single" w:sz="4" w:space="0" w:color="auto"/>
              <w:right w:val="single" w:sz="4" w:space="0" w:color="auto"/>
            </w:tcBorders>
            <w:noWrap/>
          </w:tcPr>
          <w:p w14:paraId="167507BC" w14:textId="77777777" w:rsidR="00A428D9" w:rsidRPr="00012E78" w:rsidRDefault="00A428D9" w:rsidP="00C40E56">
            <w:pPr>
              <w:bidi/>
              <w:jc w:val="left"/>
              <w:rPr>
                <w:color w:val="000000"/>
                <w:sz w:val="17"/>
                <w:szCs w:val="17"/>
                <w:lang w:val="en-GB" w:eastAsia="en-CA"/>
              </w:rPr>
            </w:pPr>
            <w:r>
              <w:rPr>
                <w:sz w:val="17"/>
                <w:szCs w:val="17"/>
              </w:rPr>
              <w:t>19,775</w:t>
            </w:r>
          </w:p>
        </w:tc>
        <w:tc>
          <w:tcPr>
            <w:tcW w:w="1257" w:type="dxa"/>
            <w:tcBorders>
              <w:top w:val="nil"/>
              <w:left w:val="nil"/>
              <w:bottom w:val="single" w:sz="4" w:space="0" w:color="auto"/>
              <w:right w:val="single" w:sz="4" w:space="0" w:color="auto"/>
            </w:tcBorders>
            <w:noWrap/>
          </w:tcPr>
          <w:p w14:paraId="22B685D3" w14:textId="77777777" w:rsidR="00A428D9" w:rsidRPr="00012E78" w:rsidRDefault="00A428D9" w:rsidP="00C40E56">
            <w:pPr>
              <w:bidi/>
              <w:jc w:val="left"/>
              <w:rPr>
                <w:color w:val="000000"/>
                <w:sz w:val="17"/>
                <w:szCs w:val="17"/>
                <w:lang w:val="en-GB" w:eastAsia="en-CA"/>
              </w:rPr>
            </w:pPr>
            <w:r>
              <w:rPr>
                <w:sz w:val="17"/>
                <w:szCs w:val="17"/>
              </w:rPr>
              <w:t>749,951,110</w:t>
            </w:r>
          </w:p>
        </w:tc>
      </w:tr>
      <w:tr w:rsidR="00A428D9" w:rsidRPr="00012E78" w14:paraId="219DA0DA" w14:textId="77777777" w:rsidTr="008E13D0">
        <w:trPr>
          <w:trHeight w:val="122"/>
        </w:trPr>
        <w:tc>
          <w:tcPr>
            <w:tcW w:w="1625" w:type="dxa"/>
            <w:tcBorders>
              <w:top w:val="nil"/>
              <w:left w:val="single" w:sz="4" w:space="0" w:color="auto"/>
              <w:bottom w:val="single" w:sz="4" w:space="0" w:color="auto"/>
              <w:right w:val="single" w:sz="4" w:space="0" w:color="auto"/>
            </w:tcBorders>
            <w:noWrap/>
            <w:hideMark/>
          </w:tcPr>
          <w:p w14:paraId="4CE7E2DD" w14:textId="53F29E91" w:rsidR="00A428D9" w:rsidRPr="00012E78" w:rsidRDefault="00C40E56" w:rsidP="00C40E56">
            <w:pPr>
              <w:bidi/>
              <w:jc w:val="left"/>
              <w:rPr>
                <w:color w:val="000000"/>
                <w:sz w:val="17"/>
                <w:szCs w:val="17"/>
                <w:lang w:val="en-GB" w:eastAsia="en-CA"/>
              </w:rPr>
            </w:pPr>
            <w:r>
              <w:rPr>
                <w:rFonts w:hint="cs"/>
                <w:sz w:val="17"/>
                <w:szCs w:val="17"/>
                <w:rtl/>
              </w:rPr>
              <w:t>على الصعيد العالمي</w:t>
            </w:r>
          </w:p>
        </w:tc>
        <w:tc>
          <w:tcPr>
            <w:tcW w:w="720" w:type="dxa"/>
            <w:tcBorders>
              <w:top w:val="nil"/>
              <w:left w:val="nil"/>
              <w:bottom w:val="single" w:sz="4" w:space="0" w:color="auto"/>
              <w:right w:val="single" w:sz="4" w:space="0" w:color="auto"/>
            </w:tcBorders>
            <w:noWrap/>
          </w:tcPr>
          <w:p w14:paraId="76F71AAA" w14:textId="77777777" w:rsidR="00A428D9" w:rsidRPr="00012E78" w:rsidRDefault="00A428D9" w:rsidP="00C40E56">
            <w:pPr>
              <w:bidi/>
              <w:jc w:val="left"/>
              <w:rPr>
                <w:color w:val="000000"/>
                <w:sz w:val="17"/>
                <w:szCs w:val="17"/>
                <w:lang w:val="en-GB" w:eastAsia="en-CA"/>
              </w:rPr>
            </w:pPr>
            <w:r>
              <w:rPr>
                <w:sz w:val="17"/>
                <w:szCs w:val="17"/>
              </w:rPr>
              <w:t>359</w:t>
            </w:r>
          </w:p>
        </w:tc>
        <w:tc>
          <w:tcPr>
            <w:tcW w:w="1075" w:type="dxa"/>
            <w:tcBorders>
              <w:top w:val="nil"/>
              <w:left w:val="nil"/>
              <w:bottom w:val="single" w:sz="4" w:space="0" w:color="auto"/>
              <w:right w:val="single" w:sz="4" w:space="0" w:color="auto"/>
            </w:tcBorders>
            <w:noWrap/>
          </w:tcPr>
          <w:p w14:paraId="00C6D88F" w14:textId="77777777" w:rsidR="00A428D9" w:rsidRPr="00012E78" w:rsidRDefault="00A428D9" w:rsidP="00C40E56">
            <w:pPr>
              <w:bidi/>
              <w:jc w:val="left"/>
              <w:rPr>
                <w:color w:val="000000"/>
                <w:sz w:val="17"/>
                <w:szCs w:val="17"/>
                <w:lang w:val="en-GB" w:eastAsia="en-CA"/>
              </w:rPr>
            </w:pPr>
            <w:r>
              <w:rPr>
                <w:sz w:val="17"/>
                <w:szCs w:val="17"/>
              </w:rPr>
              <w:t>0</w:t>
            </w:r>
          </w:p>
        </w:tc>
        <w:tc>
          <w:tcPr>
            <w:tcW w:w="1134" w:type="dxa"/>
            <w:tcBorders>
              <w:top w:val="nil"/>
              <w:left w:val="nil"/>
              <w:bottom w:val="single" w:sz="4" w:space="0" w:color="auto"/>
              <w:right w:val="single" w:sz="4" w:space="0" w:color="auto"/>
            </w:tcBorders>
            <w:noWrap/>
          </w:tcPr>
          <w:p w14:paraId="676E8F88" w14:textId="77777777" w:rsidR="00A428D9" w:rsidRPr="00012E78" w:rsidRDefault="00A428D9" w:rsidP="00C40E56">
            <w:pPr>
              <w:bidi/>
              <w:jc w:val="left"/>
              <w:rPr>
                <w:color w:val="000000"/>
                <w:sz w:val="17"/>
                <w:szCs w:val="17"/>
                <w:lang w:val="en-GB" w:eastAsia="en-CA"/>
              </w:rPr>
            </w:pPr>
            <w:r>
              <w:rPr>
                <w:sz w:val="17"/>
                <w:szCs w:val="17"/>
              </w:rPr>
              <w:t>0</w:t>
            </w:r>
          </w:p>
        </w:tc>
        <w:tc>
          <w:tcPr>
            <w:tcW w:w="1134" w:type="dxa"/>
            <w:tcBorders>
              <w:top w:val="nil"/>
              <w:left w:val="nil"/>
              <w:bottom w:val="single" w:sz="4" w:space="0" w:color="auto"/>
              <w:right w:val="single" w:sz="4" w:space="0" w:color="auto"/>
            </w:tcBorders>
            <w:noWrap/>
          </w:tcPr>
          <w:p w14:paraId="17854D58" w14:textId="77777777" w:rsidR="00A428D9" w:rsidRPr="00012E78" w:rsidRDefault="00A428D9" w:rsidP="00C40E56">
            <w:pPr>
              <w:bidi/>
              <w:jc w:val="left"/>
              <w:rPr>
                <w:color w:val="000000"/>
                <w:sz w:val="17"/>
                <w:szCs w:val="17"/>
                <w:lang w:val="en-GB" w:eastAsia="en-CA"/>
              </w:rPr>
            </w:pPr>
          </w:p>
        </w:tc>
        <w:tc>
          <w:tcPr>
            <w:tcW w:w="1152" w:type="dxa"/>
            <w:tcBorders>
              <w:top w:val="nil"/>
              <w:left w:val="nil"/>
              <w:bottom w:val="single" w:sz="4" w:space="0" w:color="auto"/>
              <w:right w:val="single" w:sz="4" w:space="0" w:color="auto"/>
            </w:tcBorders>
            <w:noWrap/>
          </w:tcPr>
          <w:p w14:paraId="6FF4EE5A" w14:textId="77777777" w:rsidR="00A428D9" w:rsidRPr="00012E78" w:rsidRDefault="00A428D9" w:rsidP="00C40E56">
            <w:pPr>
              <w:bidi/>
              <w:jc w:val="left"/>
              <w:rPr>
                <w:color w:val="000000"/>
                <w:sz w:val="17"/>
                <w:szCs w:val="17"/>
                <w:lang w:val="en-GB" w:eastAsia="en-CA"/>
              </w:rPr>
            </w:pPr>
          </w:p>
        </w:tc>
        <w:tc>
          <w:tcPr>
            <w:tcW w:w="990" w:type="dxa"/>
            <w:tcBorders>
              <w:top w:val="nil"/>
              <w:left w:val="nil"/>
              <w:bottom w:val="single" w:sz="4" w:space="0" w:color="auto"/>
              <w:right w:val="single" w:sz="4" w:space="0" w:color="auto"/>
            </w:tcBorders>
            <w:noWrap/>
          </w:tcPr>
          <w:p w14:paraId="2268D42E" w14:textId="77777777" w:rsidR="00A428D9" w:rsidRPr="00012E78" w:rsidRDefault="00A428D9" w:rsidP="00C40E56">
            <w:pPr>
              <w:bidi/>
              <w:jc w:val="left"/>
              <w:rPr>
                <w:color w:val="000000"/>
                <w:sz w:val="17"/>
                <w:szCs w:val="17"/>
                <w:lang w:val="en-GB" w:eastAsia="en-CA"/>
              </w:rPr>
            </w:pPr>
            <w:r>
              <w:rPr>
                <w:sz w:val="17"/>
                <w:szCs w:val="17"/>
              </w:rPr>
              <w:t>0</w:t>
            </w:r>
          </w:p>
        </w:tc>
        <w:tc>
          <w:tcPr>
            <w:tcW w:w="993" w:type="dxa"/>
            <w:tcBorders>
              <w:top w:val="nil"/>
              <w:left w:val="nil"/>
              <w:bottom w:val="single" w:sz="4" w:space="0" w:color="auto"/>
              <w:right w:val="single" w:sz="4" w:space="0" w:color="auto"/>
            </w:tcBorders>
            <w:noWrap/>
          </w:tcPr>
          <w:p w14:paraId="2AA0A854" w14:textId="77777777" w:rsidR="00A428D9" w:rsidRPr="00012E78" w:rsidRDefault="00A428D9" w:rsidP="00C40E56">
            <w:pPr>
              <w:bidi/>
              <w:jc w:val="left"/>
              <w:rPr>
                <w:color w:val="000000"/>
                <w:sz w:val="17"/>
                <w:szCs w:val="17"/>
                <w:lang w:val="en-GB" w:eastAsia="en-CA"/>
              </w:rPr>
            </w:pPr>
            <w:r>
              <w:rPr>
                <w:sz w:val="17"/>
                <w:szCs w:val="17"/>
              </w:rPr>
              <w:t>0</w:t>
            </w:r>
          </w:p>
        </w:tc>
        <w:tc>
          <w:tcPr>
            <w:tcW w:w="1257" w:type="dxa"/>
            <w:tcBorders>
              <w:top w:val="nil"/>
              <w:left w:val="nil"/>
              <w:bottom w:val="single" w:sz="4" w:space="0" w:color="auto"/>
              <w:right w:val="single" w:sz="4" w:space="0" w:color="auto"/>
            </w:tcBorders>
            <w:noWrap/>
          </w:tcPr>
          <w:p w14:paraId="70665A28" w14:textId="77777777" w:rsidR="00A428D9" w:rsidRPr="00012E78" w:rsidRDefault="00A428D9" w:rsidP="00C40E56">
            <w:pPr>
              <w:bidi/>
              <w:jc w:val="left"/>
              <w:rPr>
                <w:color w:val="000000"/>
                <w:sz w:val="17"/>
                <w:szCs w:val="17"/>
                <w:lang w:val="en-GB" w:eastAsia="en-CA"/>
              </w:rPr>
            </w:pPr>
            <w:r>
              <w:rPr>
                <w:sz w:val="17"/>
                <w:szCs w:val="17"/>
              </w:rPr>
              <w:t>383,736,678</w:t>
            </w:r>
          </w:p>
        </w:tc>
      </w:tr>
      <w:tr w:rsidR="00A428D9" w:rsidRPr="00012E78" w14:paraId="5C164B88" w14:textId="77777777" w:rsidTr="00C40E56">
        <w:trPr>
          <w:trHeight w:val="55"/>
        </w:trPr>
        <w:tc>
          <w:tcPr>
            <w:tcW w:w="10080" w:type="dxa"/>
            <w:gridSpan w:val="9"/>
            <w:tcBorders>
              <w:top w:val="nil"/>
              <w:left w:val="single" w:sz="4" w:space="0" w:color="auto"/>
              <w:bottom w:val="single" w:sz="4" w:space="0" w:color="auto"/>
              <w:right w:val="single" w:sz="4" w:space="0" w:color="auto"/>
            </w:tcBorders>
            <w:noWrap/>
          </w:tcPr>
          <w:p w14:paraId="37308976" w14:textId="2B1AE7DC" w:rsidR="00A428D9" w:rsidRPr="00012E78" w:rsidRDefault="00E67DFB" w:rsidP="00C40E56">
            <w:pPr>
              <w:bidi/>
              <w:jc w:val="left"/>
              <w:rPr>
                <w:b/>
                <w:bCs/>
                <w:color w:val="000000"/>
                <w:sz w:val="17"/>
                <w:szCs w:val="17"/>
                <w:rtl/>
                <w:lang w:val="en-GB" w:eastAsia="en-CA" w:bidi="ar-AE"/>
              </w:rPr>
            </w:pPr>
            <w:r>
              <w:rPr>
                <w:rFonts w:hint="cs"/>
                <w:b/>
                <w:bCs/>
                <w:color w:val="000000"/>
                <w:sz w:val="17"/>
                <w:szCs w:val="17"/>
                <w:rtl/>
                <w:lang w:val="en-GB" w:eastAsia="en-CA" w:bidi="ar-AE"/>
              </w:rPr>
              <w:t>المجموعة</w:t>
            </w:r>
          </w:p>
        </w:tc>
      </w:tr>
      <w:tr w:rsidR="00A428D9" w:rsidRPr="00012E78" w14:paraId="51794DC9" w14:textId="77777777" w:rsidTr="008E13D0">
        <w:trPr>
          <w:trHeight w:val="44"/>
        </w:trPr>
        <w:tc>
          <w:tcPr>
            <w:tcW w:w="1625" w:type="dxa"/>
            <w:tcBorders>
              <w:top w:val="nil"/>
              <w:left w:val="single" w:sz="4" w:space="0" w:color="auto"/>
              <w:bottom w:val="single" w:sz="4" w:space="0" w:color="auto"/>
              <w:right w:val="single" w:sz="4" w:space="0" w:color="auto"/>
            </w:tcBorders>
            <w:noWrap/>
          </w:tcPr>
          <w:p w14:paraId="5E5C8E2D" w14:textId="0C9E6EEE" w:rsidR="00A428D9" w:rsidRPr="00012E78" w:rsidRDefault="00F13C72" w:rsidP="00C40E56">
            <w:pPr>
              <w:bidi/>
              <w:jc w:val="left"/>
              <w:rPr>
                <w:color w:val="000000"/>
                <w:sz w:val="17"/>
                <w:szCs w:val="17"/>
                <w:lang w:val="en-GB" w:eastAsia="en-CA"/>
              </w:rPr>
            </w:pPr>
            <w:r>
              <w:rPr>
                <w:rFonts w:hint="cs"/>
                <w:sz w:val="17"/>
                <w:szCs w:val="17"/>
                <w:rtl/>
              </w:rPr>
              <w:t>برنامج الوكالة</w:t>
            </w:r>
          </w:p>
        </w:tc>
        <w:tc>
          <w:tcPr>
            <w:tcW w:w="720" w:type="dxa"/>
            <w:tcBorders>
              <w:top w:val="nil"/>
              <w:left w:val="nil"/>
              <w:bottom w:val="single" w:sz="4" w:space="0" w:color="auto"/>
              <w:right w:val="single" w:sz="4" w:space="0" w:color="auto"/>
            </w:tcBorders>
            <w:noWrap/>
          </w:tcPr>
          <w:p w14:paraId="1FC73229" w14:textId="77777777" w:rsidR="00A428D9" w:rsidRPr="00012E78" w:rsidRDefault="00A428D9" w:rsidP="00C40E56">
            <w:pPr>
              <w:bidi/>
              <w:jc w:val="left"/>
              <w:rPr>
                <w:color w:val="000000"/>
                <w:sz w:val="17"/>
                <w:szCs w:val="17"/>
                <w:lang w:val="en-GB" w:eastAsia="en-CA"/>
              </w:rPr>
            </w:pPr>
            <w:r>
              <w:rPr>
                <w:sz w:val="17"/>
                <w:szCs w:val="17"/>
              </w:rPr>
              <w:t>269</w:t>
            </w:r>
          </w:p>
        </w:tc>
        <w:tc>
          <w:tcPr>
            <w:tcW w:w="1075" w:type="dxa"/>
            <w:tcBorders>
              <w:top w:val="nil"/>
              <w:left w:val="nil"/>
              <w:bottom w:val="single" w:sz="4" w:space="0" w:color="auto"/>
              <w:right w:val="single" w:sz="4" w:space="0" w:color="auto"/>
            </w:tcBorders>
            <w:noWrap/>
          </w:tcPr>
          <w:p w14:paraId="37DC1242" w14:textId="77777777" w:rsidR="00A428D9" w:rsidRPr="00012E78" w:rsidRDefault="00A428D9" w:rsidP="00C40E56">
            <w:pPr>
              <w:bidi/>
              <w:jc w:val="left"/>
              <w:rPr>
                <w:color w:val="000000"/>
                <w:sz w:val="17"/>
                <w:szCs w:val="17"/>
                <w:lang w:val="en-GB" w:eastAsia="en-CA"/>
              </w:rPr>
            </w:pPr>
            <w:r>
              <w:rPr>
                <w:sz w:val="17"/>
                <w:szCs w:val="17"/>
              </w:rPr>
              <w:t>0</w:t>
            </w:r>
          </w:p>
        </w:tc>
        <w:tc>
          <w:tcPr>
            <w:tcW w:w="1134" w:type="dxa"/>
            <w:tcBorders>
              <w:top w:val="nil"/>
              <w:left w:val="nil"/>
              <w:bottom w:val="single" w:sz="4" w:space="0" w:color="auto"/>
              <w:right w:val="single" w:sz="4" w:space="0" w:color="auto"/>
            </w:tcBorders>
            <w:noWrap/>
          </w:tcPr>
          <w:p w14:paraId="10B52CC5" w14:textId="77777777" w:rsidR="00A428D9" w:rsidRPr="00012E78" w:rsidRDefault="00A428D9" w:rsidP="00C40E56">
            <w:pPr>
              <w:bidi/>
              <w:jc w:val="left"/>
              <w:rPr>
                <w:color w:val="000000"/>
                <w:sz w:val="17"/>
                <w:szCs w:val="17"/>
                <w:lang w:val="en-GB" w:eastAsia="en-CA"/>
              </w:rPr>
            </w:pPr>
            <w:r>
              <w:rPr>
                <w:sz w:val="17"/>
                <w:szCs w:val="17"/>
              </w:rPr>
              <w:t>0</w:t>
            </w:r>
          </w:p>
        </w:tc>
        <w:tc>
          <w:tcPr>
            <w:tcW w:w="1134" w:type="dxa"/>
            <w:tcBorders>
              <w:top w:val="nil"/>
              <w:left w:val="nil"/>
              <w:bottom w:val="single" w:sz="4" w:space="0" w:color="auto"/>
              <w:right w:val="single" w:sz="4" w:space="0" w:color="auto"/>
            </w:tcBorders>
            <w:noWrap/>
          </w:tcPr>
          <w:p w14:paraId="11833D4A" w14:textId="77777777" w:rsidR="00A428D9" w:rsidRPr="00012E78" w:rsidRDefault="00A428D9" w:rsidP="00C40E56">
            <w:pPr>
              <w:bidi/>
              <w:jc w:val="left"/>
              <w:rPr>
                <w:color w:val="000000"/>
                <w:sz w:val="17"/>
                <w:szCs w:val="17"/>
                <w:lang w:val="en-GB" w:eastAsia="en-CA"/>
              </w:rPr>
            </w:pPr>
            <w:r>
              <w:rPr>
                <w:sz w:val="17"/>
                <w:szCs w:val="17"/>
              </w:rPr>
              <w:t>0</w:t>
            </w:r>
          </w:p>
        </w:tc>
        <w:tc>
          <w:tcPr>
            <w:tcW w:w="1152" w:type="dxa"/>
            <w:tcBorders>
              <w:top w:val="nil"/>
              <w:left w:val="nil"/>
              <w:bottom w:val="single" w:sz="4" w:space="0" w:color="auto"/>
              <w:right w:val="single" w:sz="4" w:space="0" w:color="auto"/>
            </w:tcBorders>
            <w:noWrap/>
          </w:tcPr>
          <w:p w14:paraId="72D2EA70" w14:textId="77777777" w:rsidR="00A428D9" w:rsidRPr="00012E78" w:rsidRDefault="00A428D9" w:rsidP="00C40E56">
            <w:pPr>
              <w:bidi/>
              <w:jc w:val="left"/>
              <w:rPr>
                <w:color w:val="000000"/>
                <w:sz w:val="17"/>
                <w:szCs w:val="17"/>
                <w:lang w:val="en-GB" w:eastAsia="en-CA"/>
              </w:rPr>
            </w:pPr>
            <w:r>
              <w:rPr>
                <w:sz w:val="17"/>
                <w:szCs w:val="17"/>
              </w:rPr>
              <w:t>0</w:t>
            </w:r>
          </w:p>
        </w:tc>
        <w:tc>
          <w:tcPr>
            <w:tcW w:w="990" w:type="dxa"/>
            <w:tcBorders>
              <w:top w:val="nil"/>
              <w:left w:val="nil"/>
              <w:bottom w:val="single" w:sz="4" w:space="0" w:color="auto"/>
              <w:right w:val="single" w:sz="4" w:space="0" w:color="auto"/>
            </w:tcBorders>
            <w:noWrap/>
          </w:tcPr>
          <w:p w14:paraId="2078D17C" w14:textId="77777777" w:rsidR="00A428D9" w:rsidRPr="00012E78" w:rsidRDefault="00A428D9" w:rsidP="00C40E56">
            <w:pPr>
              <w:bidi/>
              <w:jc w:val="left"/>
              <w:rPr>
                <w:color w:val="000000"/>
                <w:sz w:val="17"/>
                <w:szCs w:val="17"/>
                <w:lang w:val="en-GB" w:eastAsia="en-CA"/>
              </w:rPr>
            </w:pPr>
            <w:r>
              <w:rPr>
                <w:sz w:val="17"/>
                <w:szCs w:val="17"/>
              </w:rPr>
              <w:t>0</w:t>
            </w:r>
          </w:p>
        </w:tc>
        <w:tc>
          <w:tcPr>
            <w:tcW w:w="993" w:type="dxa"/>
            <w:tcBorders>
              <w:top w:val="nil"/>
              <w:left w:val="nil"/>
              <w:bottom w:val="single" w:sz="4" w:space="0" w:color="auto"/>
              <w:right w:val="single" w:sz="4" w:space="0" w:color="auto"/>
            </w:tcBorders>
            <w:noWrap/>
          </w:tcPr>
          <w:p w14:paraId="56095331" w14:textId="77777777" w:rsidR="00A428D9" w:rsidRPr="00012E78" w:rsidRDefault="00A428D9" w:rsidP="00C40E56">
            <w:pPr>
              <w:bidi/>
              <w:jc w:val="left"/>
              <w:rPr>
                <w:color w:val="000000"/>
                <w:sz w:val="17"/>
                <w:szCs w:val="17"/>
                <w:lang w:val="en-GB" w:eastAsia="en-CA"/>
              </w:rPr>
            </w:pPr>
            <w:r>
              <w:rPr>
                <w:sz w:val="17"/>
                <w:szCs w:val="17"/>
              </w:rPr>
              <w:t>0</w:t>
            </w:r>
          </w:p>
        </w:tc>
        <w:tc>
          <w:tcPr>
            <w:tcW w:w="1257" w:type="dxa"/>
            <w:tcBorders>
              <w:top w:val="nil"/>
              <w:left w:val="nil"/>
              <w:bottom w:val="single" w:sz="4" w:space="0" w:color="auto"/>
              <w:right w:val="single" w:sz="4" w:space="0" w:color="auto"/>
            </w:tcBorders>
            <w:noWrap/>
          </w:tcPr>
          <w:p w14:paraId="3EC97424" w14:textId="77777777" w:rsidR="00A428D9" w:rsidRPr="00012E78" w:rsidRDefault="00A428D9" w:rsidP="00C40E56">
            <w:pPr>
              <w:bidi/>
              <w:jc w:val="left"/>
              <w:rPr>
                <w:color w:val="000000"/>
                <w:sz w:val="17"/>
                <w:szCs w:val="17"/>
                <w:lang w:val="en-GB" w:eastAsia="en-CA"/>
              </w:rPr>
            </w:pPr>
            <w:r>
              <w:rPr>
                <w:sz w:val="17"/>
                <w:szCs w:val="17"/>
              </w:rPr>
              <w:t>373,407,302</w:t>
            </w:r>
          </w:p>
        </w:tc>
      </w:tr>
      <w:tr w:rsidR="00A428D9" w:rsidRPr="00012E78" w14:paraId="0A49E27F" w14:textId="77777777" w:rsidTr="008E13D0">
        <w:trPr>
          <w:trHeight w:val="44"/>
        </w:trPr>
        <w:tc>
          <w:tcPr>
            <w:tcW w:w="1625" w:type="dxa"/>
            <w:tcBorders>
              <w:top w:val="nil"/>
              <w:left w:val="single" w:sz="4" w:space="0" w:color="auto"/>
              <w:bottom w:val="single" w:sz="4" w:space="0" w:color="auto"/>
              <w:right w:val="single" w:sz="4" w:space="0" w:color="auto"/>
            </w:tcBorders>
            <w:noWrap/>
          </w:tcPr>
          <w:p w14:paraId="35AA0784" w14:textId="79A8EB2F" w:rsidR="00A428D9" w:rsidRPr="00012E78" w:rsidRDefault="00F13C72" w:rsidP="00C40E56">
            <w:pPr>
              <w:bidi/>
              <w:jc w:val="left"/>
              <w:rPr>
                <w:color w:val="000000"/>
                <w:sz w:val="17"/>
                <w:szCs w:val="17"/>
                <w:rtl/>
                <w:lang w:val="en-GB" w:eastAsia="en-CA" w:bidi="ar-AE"/>
              </w:rPr>
            </w:pPr>
            <w:r>
              <w:rPr>
                <w:sz w:val="17"/>
                <w:szCs w:val="17"/>
                <w:rtl/>
              </w:rPr>
              <w:t>آلية التمويل البديلة</w:t>
            </w:r>
          </w:p>
        </w:tc>
        <w:tc>
          <w:tcPr>
            <w:tcW w:w="720" w:type="dxa"/>
            <w:tcBorders>
              <w:top w:val="nil"/>
              <w:left w:val="nil"/>
              <w:bottom w:val="single" w:sz="4" w:space="0" w:color="auto"/>
              <w:right w:val="single" w:sz="4" w:space="0" w:color="auto"/>
            </w:tcBorders>
            <w:noWrap/>
          </w:tcPr>
          <w:p w14:paraId="56EF1138" w14:textId="77777777" w:rsidR="00A428D9" w:rsidRPr="00012E78" w:rsidRDefault="00A428D9" w:rsidP="00C40E56">
            <w:pPr>
              <w:bidi/>
              <w:jc w:val="left"/>
              <w:rPr>
                <w:color w:val="000000"/>
                <w:sz w:val="17"/>
                <w:szCs w:val="17"/>
                <w:lang w:val="en-GB" w:eastAsia="en-CA"/>
              </w:rPr>
            </w:pPr>
            <w:r>
              <w:rPr>
                <w:sz w:val="17"/>
                <w:szCs w:val="17"/>
              </w:rPr>
              <w:t>9</w:t>
            </w:r>
          </w:p>
        </w:tc>
        <w:tc>
          <w:tcPr>
            <w:tcW w:w="1075" w:type="dxa"/>
            <w:tcBorders>
              <w:top w:val="nil"/>
              <w:left w:val="nil"/>
              <w:bottom w:val="single" w:sz="4" w:space="0" w:color="auto"/>
              <w:right w:val="single" w:sz="4" w:space="0" w:color="auto"/>
            </w:tcBorders>
            <w:noWrap/>
          </w:tcPr>
          <w:p w14:paraId="2C746903" w14:textId="77777777" w:rsidR="00A428D9" w:rsidRPr="00012E78" w:rsidRDefault="00A428D9" w:rsidP="00C40E56">
            <w:pPr>
              <w:bidi/>
              <w:jc w:val="left"/>
              <w:rPr>
                <w:color w:val="000000"/>
                <w:sz w:val="17"/>
                <w:szCs w:val="17"/>
                <w:lang w:val="en-GB" w:eastAsia="en-CA"/>
              </w:rPr>
            </w:pPr>
            <w:r>
              <w:rPr>
                <w:sz w:val="17"/>
                <w:szCs w:val="17"/>
              </w:rPr>
              <w:t>0</w:t>
            </w:r>
          </w:p>
        </w:tc>
        <w:tc>
          <w:tcPr>
            <w:tcW w:w="1134" w:type="dxa"/>
            <w:tcBorders>
              <w:top w:val="nil"/>
              <w:left w:val="nil"/>
              <w:bottom w:val="single" w:sz="4" w:space="0" w:color="auto"/>
              <w:right w:val="single" w:sz="4" w:space="0" w:color="auto"/>
            </w:tcBorders>
            <w:noWrap/>
          </w:tcPr>
          <w:p w14:paraId="08ED5F80" w14:textId="77777777" w:rsidR="00A428D9" w:rsidRPr="00012E78" w:rsidRDefault="00A428D9" w:rsidP="00C40E56">
            <w:pPr>
              <w:bidi/>
              <w:jc w:val="left"/>
              <w:rPr>
                <w:color w:val="000000"/>
                <w:sz w:val="17"/>
                <w:szCs w:val="17"/>
                <w:lang w:val="en-GB" w:eastAsia="en-CA"/>
              </w:rPr>
            </w:pPr>
            <w:r>
              <w:rPr>
                <w:sz w:val="17"/>
                <w:szCs w:val="17"/>
              </w:rPr>
              <w:t>0</w:t>
            </w:r>
          </w:p>
        </w:tc>
        <w:tc>
          <w:tcPr>
            <w:tcW w:w="1134" w:type="dxa"/>
            <w:tcBorders>
              <w:top w:val="nil"/>
              <w:left w:val="nil"/>
              <w:bottom w:val="single" w:sz="4" w:space="0" w:color="auto"/>
              <w:right w:val="single" w:sz="4" w:space="0" w:color="auto"/>
            </w:tcBorders>
            <w:noWrap/>
          </w:tcPr>
          <w:p w14:paraId="157568F3" w14:textId="77777777" w:rsidR="00A428D9" w:rsidRPr="00012E78" w:rsidRDefault="00A428D9" w:rsidP="00C40E56">
            <w:pPr>
              <w:bidi/>
              <w:jc w:val="left"/>
              <w:rPr>
                <w:color w:val="000000"/>
                <w:sz w:val="17"/>
                <w:szCs w:val="17"/>
                <w:lang w:val="en-GB" w:eastAsia="en-CA"/>
              </w:rPr>
            </w:pPr>
            <w:r>
              <w:rPr>
                <w:sz w:val="17"/>
                <w:szCs w:val="17"/>
              </w:rPr>
              <w:t>0</w:t>
            </w:r>
          </w:p>
        </w:tc>
        <w:tc>
          <w:tcPr>
            <w:tcW w:w="1152" w:type="dxa"/>
            <w:tcBorders>
              <w:top w:val="nil"/>
              <w:left w:val="nil"/>
              <w:bottom w:val="single" w:sz="4" w:space="0" w:color="auto"/>
              <w:right w:val="single" w:sz="4" w:space="0" w:color="auto"/>
            </w:tcBorders>
            <w:noWrap/>
          </w:tcPr>
          <w:p w14:paraId="5447F5A3" w14:textId="77777777" w:rsidR="00A428D9" w:rsidRPr="00012E78" w:rsidRDefault="00A428D9" w:rsidP="00C40E56">
            <w:pPr>
              <w:bidi/>
              <w:jc w:val="left"/>
              <w:rPr>
                <w:color w:val="000000"/>
                <w:sz w:val="17"/>
                <w:szCs w:val="17"/>
                <w:lang w:val="en-GB" w:eastAsia="en-CA"/>
              </w:rPr>
            </w:pPr>
            <w:r>
              <w:rPr>
                <w:sz w:val="17"/>
                <w:szCs w:val="17"/>
              </w:rPr>
              <w:t>0</w:t>
            </w:r>
          </w:p>
        </w:tc>
        <w:tc>
          <w:tcPr>
            <w:tcW w:w="990" w:type="dxa"/>
            <w:tcBorders>
              <w:top w:val="nil"/>
              <w:left w:val="nil"/>
              <w:bottom w:val="single" w:sz="4" w:space="0" w:color="auto"/>
              <w:right w:val="single" w:sz="4" w:space="0" w:color="auto"/>
            </w:tcBorders>
            <w:noWrap/>
          </w:tcPr>
          <w:p w14:paraId="67A7535E" w14:textId="77777777" w:rsidR="00A428D9" w:rsidRPr="00012E78" w:rsidRDefault="00A428D9" w:rsidP="00C40E56">
            <w:pPr>
              <w:bidi/>
              <w:jc w:val="left"/>
              <w:rPr>
                <w:color w:val="000000"/>
                <w:sz w:val="17"/>
                <w:szCs w:val="17"/>
                <w:lang w:val="en-GB" w:eastAsia="en-CA"/>
              </w:rPr>
            </w:pPr>
            <w:r>
              <w:rPr>
                <w:sz w:val="17"/>
                <w:szCs w:val="17"/>
              </w:rPr>
              <w:t>0</w:t>
            </w:r>
          </w:p>
        </w:tc>
        <w:tc>
          <w:tcPr>
            <w:tcW w:w="993" w:type="dxa"/>
            <w:tcBorders>
              <w:top w:val="nil"/>
              <w:left w:val="nil"/>
              <w:bottom w:val="single" w:sz="4" w:space="0" w:color="auto"/>
              <w:right w:val="single" w:sz="4" w:space="0" w:color="auto"/>
            </w:tcBorders>
            <w:noWrap/>
          </w:tcPr>
          <w:p w14:paraId="19361F3B" w14:textId="77777777" w:rsidR="00A428D9" w:rsidRPr="00012E78" w:rsidRDefault="00A428D9" w:rsidP="00C40E56">
            <w:pPr>
              <w:bidi/>
              <w:jc w:val="left"/>
              <w:rPr>
                <w:color w:val="000000"/>
                <w:sz w:val="17"/>
                <w:szCs w:val="17"/>
                <w:lang w:val="en-GB" w:eastAsia="en-CA"/>
              </w:rPr>
            </w:pPr>
            <w:r>
              <w:rPr>
                <w:sz w:val="17"/>
                <w:szCs w:val="17"/>
              </w:rPr>
              <w:t>0</w:t>
            </w:r>
          </w:p>
        </w:tc>
        <w:tc>
          <w:tcPr>
            <w:tcW w:w="1257" w:type="dxa"/>
            <w:tcBorders>
              <w:top w:val="nil"/>
              <w:left w:val="nil"/>
              <w:bottom w:val="single" w:sz="4" w:space="0" w:color="auto"/>
              <w:right w:val="single" w:sz="4" w:space="0" w:color="auto"/>
            </w:tcBorders>
            <w:noWrap/>
          </w:tcPr>
          <w:p w14:paraId="4C58EB5B" w14:textId="77777777" w:rsidR="00A428D9" w:rsidRPr="00012E78" w:rsidRDefault="00A428D9" w:rsidP="00C40E56">
            <w:pPr>
              <w:bidi/>
              <w:jc w:val="left"/>
              <w:rPr>
                <w:color w:val="000000"/>
                <w:sz w:val="17"/>
                <w:szCs w:val="17"/>
                <w:lang w:val="en-GB" w:eastAsia="en-CA"/>
              </w:rPr>
            </w:pPr>
            <w:r>
              <w:rPr>
                <w:sz w:val="17"/>
                <w:szCs w:val="17"/>
              </w:rPr>
              <w:t>44,217,750</w:t>
            </w:r>
          </w:p>
        </w:tc>
      </w:tr>
      <w:tr w:rsidR="00A428D9" w:rsidRPr="00012E78" w14:paraId="24E066B7" w14:textId="77777777" w:rsidTr="008E13D0">
        <w:trPr>
          <w:trHeight w:val="44"/>
        </w:trPr>
        <w:tc>
          <w:tcPr>
            <w:tcW w:w="1625" w:type="dxa"/>
            <w:tcBorders>
              <w:top w:val="nil"/>
              <w:left w:val="single" w:sz="4" w:space="0" w:color="auto"/>
              <w:bottom w:val="single" w:sz="4" w:space="0" w:color="auto"/>
              <w:right w:val="single" w:sz="4" w:space="0" w:color="auto"/>
            </w:tcBorders>
            <w:noWrap/>
          </w:tcPr>
          <w:p w14:paraId="4F82CCD8" w14:textId="02D17ECA" w:rsidR="00A428D9" w:rsidRPr="00012E78" w:rsidRDefault="00F13C72" w:rsidP="00C40E56">
            <w:pPr>
              <w:bidi/>
              <w:jc w:val="left"/>
              <w:rPr>
                <w:color w:val="000000"/>
                <w:sz w:val="17"/>
                <w:szCs w:val="17"/>
                <w:rtl/>
                <w:lang w:val="en-GB" w:eastAsia="en-CA" w:bidi="ar-AE"/>
              </w:rPr>
            </w:pPr>
            <w:r>
              <w:rPr>
                <w:sz w:val="17"/>
                <w:szCs w:val="17"/>
                <w:rtl/>
              </w:rPr>
              <w:t>المشاريع الفردية للمواد الكلوروفلوروكربونية</w:t>
            </w:r>
          </w:p>
        </w:tc>
        <w:tc>
          <w:tcPr>
            <w:tcW w:w="720" w:type="dxa"/>
            <w:tcBorders>
              <w:top w:val="nil"/>
              <w:left w:val="nil"/>
              <w:bottom w:val="single" w:sz="4" w:space="0" w:color="auto"/>
              <w:right w:val="single" w:sz="4" w:space="0" w:color="auto"/>
            </w:tcBorders>
            <w:noWrap/>
          </w:tcPr>
          <w:p w14:paraId="67F968D6" w14:textId="77777777" w:rsidR="00A428D9" w:rsidRPr="00012E78" w:rsidRDefault="00A428D9" w:rsidP="00C40E56">
            <w:pPr>
              <w:bidi/>
              <w:jc w:val="left"/>
              <w:rPr>
                <w:color w:val="000000"/>
                <w:sz w:val="17"/>
                <w:szCs w:val="17"/>
              </w:rPr>
            </w:pPr>
            <w:r>
              <w:rPr>
                <w:sz w:val="17"/>
                <w:szCs w:val="17"/>
              </w:rPr>
              <w:t>3,622</w:t>
            </w:r>
          </w:p>
        </w:tc>
        <w:tc>
          <w:tcPr>
            <w:tcW w:w="1075" w:type="dxa"/>
            <w:tcBorders>
              <w:top w:val="nil"/>
              <w:left w:val="nil"/>
              <w:bottom w:val="single" w:sz="4" w:space="0" w:color="auto"/>
              <w:right w:val="single" w:sz="4" w:space="0" w:color="auto"/>
            </w:tcBorders>
            <w:noWrap/>
          </w:tcPr>
          <w:p w14:paraId="6637C8EF" w14:textId="77777777" w:rsidR="00A428D9" w:rsidRPr="00012E78" w:rsidRDefault="00A428D9" w:rsidP="00C40E56">
            <w:pPr>
              <w:bidi/>
              <w:jc w:val="left"/>
              <w:rPr>
                <w:color w:val="000000"/>
                <w:sz w:val="17"/>
                <w:szCs w:val="17"/>
              </w:rPr>
            </w:pPr>
            <w:r>
              <w:rPr>
                <w:sz w:val="17"/>
                <w:szCs w:val="17"/>
              </w:rPr>
              <w:t>125,760</w:t>
            </w:r>
          </w:p>
        </w:tc>
        <w:tc>
          <w:tcPr>
            <w:tcW w:w="1134" w:type="dxa"/>
            <w:tcBorders>
              <w:top w:val="nil"/>
              <w:left w:val="nil"/>
              <w:bottom w:val="single" w:sz="4" w:space="0" w:color="auto"/>
              <w:right w:val="single" w:sz="4" w:space="0" w:color="auto"/>
            </w:tcBorders>
            <w:noWrap/>
          </w:tcPr>
          <w:p w14:paraId="052467F2" w14:textId="77777777" w:rsidR="00A428D9" w:rsidRPr="00012E78" w:rsidRDefault="00A428D9" w:rsidP="00C40E56">
            <w:pPr>
              <w:bidi/>
              <w:jc w:val="left"/>
              <w:rPr>
                <w:color w:val="000000"/>
                <w:sz w:val="17"/>
                <w:szCs w:val="17"/>
              </w:rPr>
            </w:pPr>
            <w:r>
              <w:rPr>
                <w:sz w:val="17"/>
                <w:szCs w:val="17"/>
              </w:rPr>
              <w:t>125,864</w:t>
            </w:r>
          </w:p>
        </w:tc>
        <w:tc>
          <w:tcPr>
            <w:tcW w:w="1134" w:type="dxa"/>
            <w:tcBorders>
              <w:top w:val="nil"/>
              <w:left w:val="nil"/>
              <w:bottom w:val="single" w:sz="4" w:space="0" w:color="auto"/>
              <w:right w:val="single" w:sz="4" w:space="0" w:color="auto"/>
            </w:tcBorders>
            <w:noWrap/>
          </w:tcPr>
          <w:p w14:paraId="60B470B3" w14:textId="77777777" w:rsidR="00A428D9" w:rsidRPr="00012E78" w:rsidRDefault="00A428D9" w:rsidP="00C40E56">
            <w:pPr>
              <w:bidi/>
              <w:jc w:val="left"/>
              <w:rPr>
                <w:color w:val="000000"/>
                <w:sz w:val="17"/>
                <w:szCs w:val="17"/>
              </w:rPr>
            </w:pPr>
            <w:r>
              <w:rPr>
                <w:sz w:val="17"/>
                <w:szCs w:val="17"/>
              </w:rPr>
              <w:t>0</w:t>
            </w:r>
          </w:p>
        </w:tc>
        <w:tc>
          <w:tcPr>
            <w:tcW w:w="1152" w:type="dxa"/>
            <w:tcBorders>
              <w:top w:val="nil"/>
              <w:left w:val="nil"/>
              <w:bottom w:val="single" w:sz="4" w:space="0" w:color="auto"/>
              <w:right w:val="single" w:sz="4" w:space="0" w:color="auto"/>
            </w:tcBorders>
            <w:noWrap/>
          </w:tcPr>
          <w:p w14:paraId="05546F4D" w14:textId="77777777" w:rsidR="00A428D9" w:rsidRPr="00012E78" w:rsidRDefault="00A428D9" w:rsidP="00C40E56">
            <w:pPr>
              <w:bidi/>
              <w:jc w:val="left"/>
              <w:rPr>
                <w:color w:val="000000"/>
                <w:sz w:val="17"/>
                <w:szCs w:val="17"/>
              </w:rPr>
            </w:pPr>
            <w:r>
              <w:rPr>
                <w:sz w:val="17"/>
                <w:szCs w:val="17"/>
              </w:rPr>
              <w:t>0</w:t>
            </w:r>
          </w:p>
        </w:tc>
        <w:tc>
          <w:tcPr>
            <w:tcW w:w="990" w:type="dxa"/>
            <w:tcBorders>
              <w:top w:val="nil"/>
              <w:left w:val="nil"/>
              <w:bottom w:val="single" w:sz="4" w:space="0" w:color="auto"/>
              <w:right w:val="single" w:sz="4" w:space="0" w:color="auto"/>
            </w:tcBorders>
            <w:noWrap/>
          </w:tcPr>
          <w:p w14:paraId="133EA282" w14:textId="77777777" w:rsidR="00A428D9" w:rsidRPr="00012E78" w:rsidRDefault="00A428D9" w:rsidP="00C40E56">
            <w:pPr>
              <w:bidi/>
              <w:jc w:val="left"/>
              <w:rPr>
                <w:color w:val="000000"/>
                <w:sz w:val="17"/>
                <w:szCs w:val="17"/>
              </w:rPr>
            </w:pPr>
            <w:r>
              <w:rPr>
                <w:sz w:val="17"/>
                <w:szCs w:val="17"/>
              </w:rPr>
              <w:t>0</w:t>
            </w:r>
          </w:p>
        </w:tc>
        <w:tc>
          <w:tcPr>
            <w:tcW w:w="993" w:type="dxa"/>
            <w:tcBorders>
              <w:top w:val="nil"/>
              <w:left w:val="nil"/>
              <w:bottom w:val="single" w:sz="4" w:space="0" w:color="auto"/>
              <w:right w:val="single" w:sz="4" w:space="0" w:color="auto"/>
            </w:tcBorders>
            <w:noWrap/>
          </w:tcPr>
          <w:p w14:paraId="64ED1E48" w14:textId="77777777" w:rsidR="00A428D9" w:rsidRPr="00012E78" w:rsidRDefault="00A428D9" w:rsidP="00C40E56">
            <w:pPr>
              <w:bidi/>
              <w:jc w:val="left"/>
              <w:rPr>
                <w:color w:val="000000"/>
                <w:sz w:val="17"/>
                <w:szCs w:val="17"/>
              </w:rPr>
            </w:pPr>
            <w:r>
              <w:rPr>
                <w:sz w:val="17"/>
                <w:szCs w:val="17"/>
              </w:rPr>
              <w:t>0</w:t>
            </w:r>
          </w:p>
        </w:tc>
        <w:tc>
          <w:tcPr>
            <w:tcW w:w="1257" w:type="dxa"/>
            <w:tcBorders>
              <w:top w:val="nil"/>
              <w:left w:val="nil"/>
              <w:bottom w:val="single" w:sz="4" w:space="0" w:color="auto"/>
              <w:right w:val="single" w:sz="4" w:space="0" w:color="auto"/>
            </w:tcBorders>
            <w:noWrap/>
          </w:tcPr>
          <w:p w14:paraId="77AF8DD0" w14:textId="77777777" w:rsidR="00A428D9" w:rsidRPr="00012E78" w:rsidRDefault="00A428D9" w:rsidP="00C40E56">
            <w:pPr>
              <w:bidi/>
              <w:jc w:val="left"/>
              <w:rPr>
                <w:color w:val="000000"/>
                <w:sz w:val="17"/>
                <w:szCs w:val="17"/>
              </w:rPr>
            </w:pPr>
            <w:r>
              <w:rPr>
                <w:sz w:val="17"/>
                <w:szCs w:val="17"/>
              </w:rPr>
              <w:t>1,013,861,023</w:t>
            </w:r>
          </w:p>
        </w:tc>
      </w:tr>
      <w:tr w:rsidR="00A428D9" w:rsidRPr="00012E78" w14:paraId="0BC59054" w14:textId="77777777" w:rsidTr="008E13D0">
        <w:trPr>
          <w:trHeight w:val="107"/>
        </w:trPr>
        <w:tc>
          <w:tcPr>
            <w:tcW w:w="1625" w:type="dxa"/>
            <w:tcBorders>
              <w:top w:val="nil"/>
              <w:left w:val="single" w:sz="4" w:space="0" w:color="auto"/>
              <w:bottom w:val="single" w:sz="4" w:space="0" w:color="auto"/>
              <w:right w:val="single" w:sz="4" w:space="0" w:color="auto"/>
            </w:tcBorders>
            <w:noWrap/>
          </w:tcPr>
          <w:p w14:paraId="4FD14196" w14:textId="5BD1B70F" w:rsidR="00A428D9" w:rsidRPr="00F13C72" w:rsidRDefault="00F13C72" w:rsidP="00F13C72">
            <w:pPr>
              <w:bidi/>
              <w:jc w:val="left"/>
              <w:rPr>
                <w:sz w:val="17"/>
                <w:szCs w:val="17"/>
              </w:rPr>
            </w:pPr>
            <w:r>
              <w:rPr>
                <w:sz w:val="17"/>
                <w:szCs w:val="17"/>
                <w:rtl/>
              </w:rPr>
              <w:t xml:space="preserve">خطط </w:t>
            </w:r>
            <w:r>
              <w:rPr>
                <w:rFonts w:hint="cs"/>
                <w:sz w:val="17"/>
                <w:szCs w:val="17"/>
                <w:rtl/>
              </w:rPr>
              <w:t>الإزالة التدريجية ل</w:t>
            </w:r>
            <w:r>
              <w:rPr>
                <w:sz w:val="17"/>
                <w:szCs w:val="17"/>
                <w:rtl/>
              </w:rPr>
              <w:t>لمواد الكلوروفلوروكربونية</w:t>
            </w:r>
          </w:p>
        </w:tc>
        <w:tc>
          <w:tcPr>
            <w:tcW w:w="720" w:type="dxa"/>
            <w:tcBorders>
              <w:top w:val="nil"/>
              <w:left w:val="nil"/>
              <w:bottom w:val="single" w:sz="4" w:space="0" w:color="auto"/>
              <w:right w:val="single" w:sz="4" w:space="0" w:color="auto"/>
            </w:tcBorders>
            <w:noWrap/>
          </w:tcPr>
          <w:p w14:paraId="29CDFFCB" w14:textId="77777777" w:rsidR="00A428D9" w:rsidRPr="00012E78" w:rsidRDefault="00A428D9" w:rsidP="00C40E56">
            <w:pPr>
              <w:bidi/>
              <w:jc w:val="left"/>
              <w:rPr>
                <w:color w:val="000000"/>
                <w:sz w:val="17"/>
                <w:szCs w:val="17"/>
                <w:lang w:val="en-GB" w:eastAsia="en-CA"/>
              </w:rPr>
            </w:pPr>
            <w:r>
              <w:rPr>
                <w:sz w:val="17"/>
                <w:szCs w:val="17"/>
              </w:rPr>
              <w:t>429</w:t>
            </w:r>
          </w:p>
        </w:tc>
        <w:tc>
          <w:tcPr>
            <w:tcW w:w="1075" w:type="dxa"/>
            <w:tcBorders>
              <w:top w:val="nil"/>
              <w:left w:val="nil"/>
              <w:bottom w:val="single" w:sz="4" w:space="0" w:color="auto"/>
              <w:right w:val="single" w:sz="4" w:space="0" w:color="auto"/>
            </w:tcBorders>
            <w:noWrap/>
          </w:tcPr>
          <w:p w14:paraId="5EDAE297" w14:textId="77777777" w:rsidR="00A428D9" w:rsidRPr="00012E78" w:rsidRDefault="00A428D9" w:rsidP="00C40E56">
            <w:pPr>
              <w:bidi/>
              <w:jc w:val="left"/>
              <w:rPr>
                <w:color w:val="000000"/>
                <w:sz w:val="17"/>
                <w:szCs w:val="17"/>
                <w:lang w:val="en-GB" w:eastAsia="en-CA"/>
              </w:rPr>
            </w:pPr>
            <w:r>
              <w:rPr>
                <w:sz w:val="17"/>
                <w:szCs w:val="17"/>
              </w:rPr>
              <w:t>45,806</w:t>
            </w:r>
          </w:p>
        </w:tc>
        <w:tc>
          <w:tcPr>
            <w:tcW w:w="1134" w:type="dxa"/>
            <w:tcBorders>
              <w:top w:val="nil"/>
              <w:left w:val="nil"/>
              <w:bottom w:val="single" w:sz="4" w:space="0" w:color="auto"/>
              <w:right w:val="single" w:sz="4" w:space="0" w:color="auto"/>
            </w:tcBorders>
            <w:noWrap/>
          </w:tcPr>
          <w:p w14:paraId="0E339E83" w14:textId="77777777" w:rsidR="00A428D9" w:rsidRPr="00012E78" w:rsidRDefault="00A428D9" w:rsidP="00C40E56">
            <w:pPr>
              <w:bidi/>
              <w:jc w:val="left"/>
              <w:rPr>
                <w:color w:val="000000"/>
                <w:sz w:val="17"/>
                <w:szCs w:val="17"/>
                <w:lang w:val="en-GB" w:eastAsia="en-CA"/>
              </w:rPr>
            </w:pPr>
            <w:r>
              <w:rPr>
                <w:sz w:val="17"/>
                <w:szCs w:val="17"/>
              </w:rPr>
              <w:t>46,177</w:t>
            </w:r>
          </w:p>
        </w:tc>
        <w:tc>
          <w:tcPr>
            <w:tcW w:w="1134" w:type="dxa"/>
            <w:tcBorders>
              <w:top w:val="nil"/>
              <w:left w:val="nil"/>
              <w:bottom w:val="single" w:sz="4" w:space="0" w:color="auto"/>
              <w:right w:val="single" w:sz="4" w:space="0" w:color="auto"/>
            </w:tcBorders>
            <w:noWrap/>
          </w:tcPr>
          <w:p w14:paraId="6D54D164" w14:textId="77777777" w:rsidR="00A428D9" w:rsidRPr="00012E78" w:rsidRDefault="00A428D9" w:rsidP="00C40E56">
            <w:pPr>
              <w:bidi/>
              <w:jc w:val="left"/>
              <w:rPr>
                <w:color w:val="000000"/>
                <w:sz w:val="17"/>
                <w:szCs w:val="17"/>
                <w:lang w:val="en-GB" w:eastAsia="en-CA"/>
              </w:rPr>
            </w:pPr>
            <w:r>
              <w:rPr>
                <w:sz w:val="17"/>
                <w:szCs w:val="17"/>
              </w:rPr>
              <w:t>0</w:t>
            </w:r>
          </w:p>
        </w:tc>
        <w:tc>
          <w:tcPr>
            <w:tcW w:w="1152" w:type="dxa"/>
            <w:tcBorders>
              <w:top w:val="nil"/>
              <w:left w:val="nil"/>
              <w:bottom w:val="single" w:sz="4" w:space="0" w:color="auto"/>
              <w:right w:val="single" w:sz="4" w:space="0" w:color="auto"/>
            </w:tcBorders>
            <w:noWrap/>
          </w:tcPr>
          <w:p w14:paraId="69F1E64E" w14:textId="77777777" w:rsidR="00A428D9" w:rsidRPr="00012E78" w:rsidRDefault="00A428D9" w:rsidP="00C40E56">
            <w:pPr>
              <w:bidi/>
              <w:jc w:val="left"/>
              <w:rPr>
                <w:color w:val="000000"/>
                <w:sz w:val="17"/>
                <w:szCs w:val="17"/>
                <w:lang w:val="en-GB" w:eastAsia="en-CA"/>
              </w:rPr>
            </w:pPr>
            <w:r>
              <w:rPr>
                <w:sz w:val="17"/>
                <w:szCs w:val="17"/>
              </w:rPr>
              <w:t>0</w:t>
            </w:r>
          </w:p>
        </w:tc>
        <w:tc>
          <w:tcPr>
            <w:tcW w:w="990" w:type="dxa"/>
            <w:tcBorders>
              <w:top w:val="nil"/>
              <w:left w:val="nil"/>
              <w:bottom w:val="single" w:sz="4" w:space="0" w:color="auto"/>
              <w:right w:val="single" w:sz="4" w:space="0" w:color="auto"/>
            </w:tcBorders>
            <w:noWrap/>
          </w:tcPr>
          <w:p w14:paraId="001D3DA5" w14:textId="77777777" w:rsidR="00A428D9" w:rsidRPr="00012E78" w:rsidRDefault="00A428D9" w:rsidP="00C40E56">
            <w:pPr>
              <w:bidi/>
              <w:jc w:val="left"/>
              <w:rPr>
                <w:color w:val="000000"/>
                <w:sz w:val="17"/>
                <w:szCs w:val="17"/>
                <w:lang w:val="en-GB" w:eastAsia="en-CA"/>
              </w:rPr>
            </w:pPr>
            <w:r>
              <w:rPr>
                <w:sz w:val="17"/>
                <w:szCs w:val="17"/>
              </w:rPr>
              <w:t>0</w:t>
            </w:r>
          </w:p>
        </w:tc>
        <w:tc>
          <w:tcPr>
            <w:tcW w:w="993" w:type="dxa"/>
            <w:tcBorders>
              <w:top w:val="nil"/>
              <w:left w:val="nil"/>
              <w:bottom w:val="single" w:sz="4" w:space="0" w:color="auto"/>
              <w:right w:val="single" w:sz="4" w:space="0" w:color="auto"/>
            </w:tcBorders>
            <w:noWrap/>
          </w:tcPr>
          <w:p w14:paraId="7CD2875A" w14:textId="77777777" w:rsidR="00A428D9" w:rsidRPr="00012E78" w:rsidRDefault="00A428D9" w:rsidP="00C40E56">
            <w:pPr>
              <w:bidi/>
              <w:jc w:val="left"/>
              <w:rPr>
                <w:color w:val="000000"/>
                <w:sz w:val="17"/>
                <w:szCs w:val="17"/>
                <w:lang w:val="en-GB" w:eastAsia="en-CA"/>
              </w:rPr>
            </w:pPr>
            <w:r>
              <w:rPr>
                <w:sz w:val="17"/>
                <w:szCs w:val="17"/>
              </w:rPr>
              <w:t>0</w:t>
            </w:r>
          </w:p>
        </w:tc>
        <w:tc>
          <w:tcPr>
            <w:tcW w:w="1257" w:type="dxa"/>
            <w:tcBorders>
              <w:top w:val="nil"/>
              <w:left w:val="nil"/>
              <w:bottom w:val="single" w:sz="4" w:space="0" w:color="auto"/>
              <w:right w:val="single" w:sz="4" w:space="0" w:color="auto"/>
            </w:tcBorders>
            <w:noWrap/>
          </w:tcPr>
          <w:p w14:paraId="339F928A" w14:textId="77777777" w:rsidR="00A428D9" w:rsidRPr="00012E78" w:rsidRDefault="00A428D9" w:rsidP="00C40E56">
            <w:pPr>
              <w:bidi/>
              <w:jc w:val="left"/>
              <w:rPr>
                <w:color w:val="000000"/>
                <w:sz w:val="17"/>
                <w:szCs w:val="17"/>
                <w:lang w:val="en-GB" w:eastAsia="en-CA"/>
              </w:rPr>
            </w:pPr>
            <w:r>
              <w:rPr>
                <w:sz w:val="17"/>
                <w:szCs w:val="17"/>
              </w:rPr>
              <w:t>237,206,230</w:t>
            </w:r>
          </w:p>
        </w:tc>
      </w:tr>
      <w:tr w:rsidR="00A428D9" w:rsidRPr="00012E78" w14:paraId="06A9DED6" w14:textId="77777777" w:rsidTr="008E13D0">
        <w:trPr>
          <w:trHeight w:val="44"/>
        </w:trPr>
        <w:tc>
          <w:tcPr>
            <w:tcW w:w="1625" w:type="dxa"/>
            <w:tcBorders>
              <w:top w:val="nil"/>
              <w:left w:val="single" w:sz="4" w:space="0" w:color="auto"/>
              <w:bottom w:val="single" w:sz="4" w:space="0" w:color="auto"/>
              <w:right w:val="single" w:sz="4" w:space="0" w:color="auto"/>
            </w:tcBorders>
            <w:noWrap/>
          </w:tcPr>
          <w:p w14:paraId="353E91FA" w14:textId="73F9D5C5" w:rsidR="00A428D9" w:rsidRPr="00012E78" w:rsidRDefault="00F13C72" w:rsidP="00C40E56">
            <w:pPr>
              <w:bidi/>
              <w:jc w:val="left"/>
              <w:rPr>
                <w:color w:val="000000"/>
                <w:sz w:val="17"/>
                <w:szCs w:val="17"/>
                <w:rtl/>
                <w:lang w:val="en-GB" w:eastAsia="en-CA"/>
              </w:rPr>
            </w:pPr>
            <w:r>
              <w:rPr>
                <w:sz w:val="17"/>
                <w:szCs w:val="17"/>
                <w:rtl/>
              </w:rPr>
              <w:t>خطط إزالة إنتاج المواد الكلوروفلوروكربونية</w:t>
            </w:r>
          </w:p>
        </w:tc>
        <w:tc>
          <w:tcPr>
            <w:tcW w:w="720" w:type="dxa"/>
            <w:tcBorders>
              <w:top w:val="nil"/>
              <w:left w:val="nil"/>
              <w:bottom w:val="single" w:sz="4" w:space="0" w:color="auto"/>
              <w:right w:val="single" w:sz="4" w:space="0" w:color="auto"/>
            </w:tcBorders>
            <w:noWrap/>
          </w:tcPr>
          <w:p w14:paraId="3C72E4C9" w14:textId="77777777" w:rsidR="00A428D9" w:rsidRPr="00012E78" w:rsidRDefault="00A428D9" w:rsidP="00C40E56">
            <w:pPr>
              <w:bidi/>
              <w:jc w:val="left"/>
              <w:rPr>
                <w:color w:val="000000"/>
                <w:sz w:val="17"/>
                <w:szCs w:val="17"/>
                <w:lang w:val="en-GB" w:eastAsia="en-CA"/>
              </w:rPr>
            </w:pPr>
            <w:r>
              <w:rPr>
                <w:sz w:val="17"/>
                <w:szCs w:val="17"/>
              </w:rPr>
              <w:t>42</w:t>
            </w:r>
          </w:p>
        </w:tc>
        <w:tc>
          <w:tcPr>
            <w:tcW w:w="1075" w:type="dxa"/>
            <w:tcBorders>
              <w:top w:val="nil"/>
              <w:left w:val="nil"/>
              <w:bottom w:val="single" w:sz="4" w:space="0" w:color="auto"/>
              <w:right w:val="single" w:sz="4" w:space="0" w:color="auto"/>
            </w:tcBorders>
            <w:noWrap/>
          </w:tcPr>
          <w:p w14:paraId="1EBFB901" w14:textId="77777777" w:rsidR="00A428D9" w:rsidRPr="00012E78" w:rsidRDefault="00A428D9" w:rsidP="00C40E56">
            <w:pPr>
              <w:bidi/>
              <w:jc w:val="left"/>
              <w:rPr>
                <w:color w:val="000000"/>
                <w:sz w:val="17"/>
                <w:szCs w:val="17"/>
                <w:lang w:val="en-GB" w:eastAsia="en-CA"/>
              </w:rPr>
            </w:pPr>
            <w:r>
              <w:rPr>
                <w:sz w:val="17"/>
                <w:szCs w:val="17"/>
              </w:rPr>
              <w:t>0</w:t>
            </w:r>
          </w:p>
        </w:tc>
        <w:tc>
          <w:tcPr>
            <w:tcW w:w="1134" w:type="dxa"/>
            <w:tcBorders>
              <w:top w:val="nil"/>
              <w:left w:val="nil"/>
              <w:bottom w:val="single" w:sz="4" w:space="0" w:color="auto"/>
              <w:right w:val="single" w:sz="4" w:space="0" w:color="auto"/>
            </w:tcBorders>
            <w:noWrap/>
          </w:tcPr>
          <w:p w14:paraId="3C2927DE" w14:textId="77777777" w:rsidR="00A428D9" w:rsidRPr="00012E78" w:rsidRDefault="00A428D9" w:rsidP="00C40E56">
            <w:pPr>
              <w:bidi/>
              <w:jc w:val="left"/>
              <w:rPr>
                <w:color w:val="000000"/>
                <w:sz w:val="17"/>
                <w:szCs w:val="17"/>
                <w:lang w:val="en-GB" w:eastAsia="en-CA"/>
              </w:rPr>
            </w:pPr>
            <w:r>
              <w:rPr>
                <w:sz w:val="17"/>
                <w:szCs w:val="17"/>
              </w:rPr>
              <w:t>0</w:t>
            </w:r>
          </w:p>
        </w:tc>
        <w:tc>
          <w:tcPr>
            <w:tcW w:w="1134" w:type="dxa"/>
            <w:tcBorders>
              <w:top w:val="nil"/>
              <w:left w:val="nil"/>
              <w:bottom w:val="single" w:sz="4" w:space="0" w:color="auto"/>
              <w:right w:val="single" w:sz="4" w:space="0" w:color="auto"/>
            </w:tcBorders>
            <w:noWrap/>
          </w:tcPr>
          <w:p w14:paraId="11EB3496" w14:textId="77777777" w:rsidR="00A428D9" w:rsidRPr="00012E78" w:rsidRDefault="00A428D9" w:rsidP="00C40E56">
            <w:pPr>
              <w:bidi/>
              <w:jc w:val="left"/>
              <w:rPr>
                <w:color w:val="000000"/>
                <w:sz w:val="17"/>
                <w:szCs w:val="17"/>
                <w:lang w:val="en-GB" w:eastAsia="en-CA"/>
              </w:rPr>
            </w:pPr>
            <w:r>
              <w:rPr>
                <w:sz w:val="17"/>
                <w:szCs w:val="17"/>
              </w:rPr>
              <w:t>0</w:t>
            </w:r>
          </w:p>
        </w:tc>
        <w:tc>
          <w:tcPr>
            <w:tcW w:w="1152" w:type="dxa"/>
            <w:tcBorders>
              <w:top w:val="nil"/>
              <w:left w:val="nil"/>
              <w:bottom w:val="single" w:sz="4" w:space="0" w:color="auto"/>
              <w:right w:val="single" w:sz="4" w:space="0" w:color="auto"/>
            </w:tcBorders>
            <w:noWrap/>
          </w:tcPr>
          <w:p w14:paraId="074D162B" w14:textId="77777777" w:rsidR="00A428D9" w:rsidRPr="00012E78" w:rsidRDefault="00A428D9" w:rsidP="00C40E56">
            <w:pPr>
              <w:bidi/>
              <w:jc w:val="left"/>
              <w:rPr>
                <w:color w:val="000000"/>
                <w:sz w:val="17"/>
                <w:szCs w:val="17"/>
                <w:lang w:val="en-GB" w:eastAsia="en-CA"/>
              </w:rPr>
            </w:pPr>
            <w:r>
              <w:rPr>
                <w:sz w:val="17"/>
                <w:szCs w:val="17"/>
              </w:rPr>
              <w:t>0</w:t>
            </w:r>
          </w:p>
        </w:tc>
        <w:tc>
          <w:tcPr>
            <w:tcW w:w="990" w:type="dxa"/>
            <w:tcBorders>
              <w:top w:val="nil"/>
              <w:left w:val="nil"/>
              <w:bottom w:val="single" w:sz="4" w:space="0" w:color="auto"/>
              <w:right w:val="single" w:sz="4" w:space="0" w:color="auto"/>
            </w:tcBorders>
            <w:noWrap/>
          </w:tcPr>
          <w:p w14:paraId="33582186" w14:textId="77777777" w:rsidR="00A428D9" w:rsidRPr="00012E78" w:rsidRDefault="00A428D9" w:rsidP="00C40E56">
            <w:pPr>
              <w:bidi/>
              <w:jc w:val="left"/>
              <w:rPr>
                <w:color w:val="000000"/>
                <w:sz w:val="17"/>
                <w:szCs w:val="17"/>
                <w:lang w:val="en-GB" w:eastAsia="en-CA"/>
              </w:rPr>
            </w:pPr>
            <w:r>
              <w:rPr>
                <w:sz w:val="17"/>
                <w:szCs w:val="17"/>
              </w:rPr>
              <w:t>88,772</w:t>
            </w:r>
          </w:p>
        </w:tc>
        <w:tc>
          <w:tcPr>
            <w:tcW w:w="993" w:type="dxa"/>
            <w:tcBorders>
              <w:top w:val="nil"/>
              <w:left w:val="nil"/>
              <w:bottom w:val="single" w:sz="4" w:space="0" w:color="auto"/>
              <w:right w:val="single" w:sz="4" w:space="0" w:color="auto"/>
            </w:tcBorders>
            <w:noWrap/>
          </w:tcPr>
          <w:p w14:paraId="570AEA78" w14:textId="77777777" w:rsidR="00A428D9" w:rsidRPr="00012E78" w:rsidRDefault="00A428D9" w:rsidP="00C40E56">
            <w:pPr>
              <w:bidi/>
              <w:jc w:val="left"/>
              <w:rPr>
                <w:color w:val="000000"/>
                <w:sz w:val="17"/>
                <w:szCs w:val="17"/>
                <w:lang w:val="en-GB" w:eastAsia="en-CA"/>
              </w:rPr>
            </w:pPr>
            <w:r>
              <w:rPr>
                <w:sz w:val="17"/>
                <w:szCs w:val="17"/>
              </w:rPr>
              <w:t>88,772</w:t>
            </w:r>
          </w:p>
        </w:tc>
        <w:tc>
          <w:tcPr>
            <w:tcW w:w="1257" w:type="dxa"/>
            <w:tcBorders>
              <w:top w:val="nil"/>
              <w:left w:val="nil"/>
              <w:bottom w:val="single" w:sz="4" w:space="0" w:color="auto"/>
              <w:right w:val="single" w:sz="4" w:space="0" w:color="auto"/>
            </w:tcBorders>
            <w:noWrap/>
          </w:tcPr>
          <w:p w14:paraId="58D1E0CC" w14:textId="77777777" w:rsidR="00A428D9" w:rsidRPr="00012E78" w:rsidRDefault="00A428D9" w:rsidP="00C40E56">
            <w:pPr>
              <w:bidi/>
              <w:jc w:val="left"/>
              <w:rPr>
                <w:color w:val="000000"/>
                <w:sz w:val="17"/>
                <w:szCs w:val="17"/>
                <w:lang w:val="en-GB" w:eastAsia="en-CA"/>
              </w:rPr>
            </w:pPr>
            <w:r>
              <w:rPr>
                <w:sz w:val="17"/>
                <w:szCs w:val="17"/>
              </w:rPr>
              <w:t>316,914,190</w:t>
            </w:r>
          </w:p>
        </w:tc>
      </w:tr>
      <w:tr w:rsidR="00A428D9" w:rsidRPr="00012E78" w14:paraId="28B3380E" w14:textId="77777777" w:rsidTr="008E13D0">
        <w:trPr>
          <w:trHeight w:val="44"/>
        </w:trPr>
        <w:tc>
          <w:tcPr>
            <w:tcW w:w="1625" w:type="dxa"/>
            <w:tcBorders>
              <w:top w:val="nil"/>
              <w:left w:val="single" w:sz="4" w:space="0" w:color="auto"/>
              <w:bottom w:val="single" w:sz="4" w:space="0" w:color="auto"/>
              <w:right w:val="single" w:sz="4" w:space="0" w:color="auto"/>
            </w:tcBorders>
            <w:noWrap/>
          </w:tcPr>
          <w:p w14:paraId="3DD65A5C" w14:textId="7C28C2AE" w:rsidR="00A428D9" w:rsidRPr="00012E78" w:rsidRDefault="00F13C72" w:rsidP="00C40E56">
            <w:pPr>
              <w:bidi/>
              <w:jc w:val="left"/>
              <w:rPr>
                <w:color w:val="000000"/>
                <w:sz w:val="17"/>
                <w:szCs w:val="17"/>
                <w:lang w:val="en-GB" w:eastAsia="en-CA"/>
              </w:rPr>
            </w:pPr>
            <w:r>
              <w:rPr>
                <w:rFonts w:hint="cs"/>
                <w:sz w:val="17"/>
                <w:szCs w:val="17"/>
                <w:rtl/>
              </w:rPr>
              <w:t>التخلص</w:t>
            </w:r>
          </w:p>
        </w:tc>
        <w:tc>
          <w:tcPr>
            <w:tcW w:w="720" w:type="dxa"/>
            <w:tcBorders>
              <w:top w:val="nil"/>
              <w:left w:val="nil"/>
              <w:bottom w:val="single" w:sz="4" w:space="0" w:color="auto"/>
              <w:right w:val="single" w:sz="4" w:space="0" w:color="auto"/>
            </w:tcBorders>
            <w:noWrap/>
          </w:tcPr>
          <w:p w14:paraId="6355521D" w14:textId="77777777" w:rsidR="00A428D9" w:rsidRPr="00012E78" w:rsidRDefault="00A428D9" w:rsidP="00C40E56">
            <w:pPr>
              <w:bidi/>
              <w:jc w:val="left"/>
              <w:rPr>
                <w:color w:val="000000"/>
                <w:sz w:val="17"/>
                <w:szCs w:val="17"/>
                <w:lang w:val="en-GB" w:eastAsia="en-CA"/>
              </w:rPr>
            </w:pPr>
            <w:r>
              <w:rPr>
                <w:sz w:val="17"/>
                <w:szCs w:val="17"/>
              </w:rPr>
              <w:t>34</w:t>
            </w:r>
          </w:p>
        </w:tc>
        <w:tc>
          <w:tcPr>
            <w:tcW w:w="1075" w:type="dxa"/>
            <w:tcBorders>
              <w:top w:val="nil"/>
              <w:left w:val="nil"/>
              <w:bottom w:val="single" w:sz="4" w:space="0" w:color="auto"/>
              <w:right w:val="single" w:sz="4" w:space="0" w:color="auto"/>
            </w:tcBorders>
            <w:noWrap/>
          </w:tcPr>
          <w:p w14:paraId="5B3C0271" w14:textId="77777777" w:rsidR="00A428D9" w:rsidRPr="00012E78" w:rsidRDefault="00A428D9" w:rsidP="00C40E56">
            <w:pPr>
              <w:bidi/>
              <w:jc w:val="left"/>
              <w:rPr>
                <w:color w:val="000000"/>
                <w:sz w:val="17"/>
                <w:szCs w:val="17"/>
                <w:lang w:val="en-GB" w:eastAsia="en-CA"/>
              </w:rPr>
            </w:pPr>
            <w:r>
              <w:rPr>
                <w:sz w:val="17"/>
                <w:szCs w:val="17"/>
              </w:rPr>
              <w:t>0</w:t>
            </w:r>
          </w:p>
        </w:tc>
        <w:tc>
          <w:tcPr>
            <w:tcW w:w="1134" w:type="dxa"/>
            <w:tcBorders>
              <w:top w:val="nil"/>
              <w:left w:val="nil"/>
              <w:bottom w:val="single" w:sz="4" w:space="0" w:color="auto"/>
              <w:right w:val="single" w:sz="4" w:space="0" w:color="auto"/>
            </w:tcBorders>
            <w:noWrap/>
          </w:tcPr>
          <w:p w14:paraId="28369613" w14:textId="77777777" w:rsidR="00A428D9" w:rsidRPr="00012E78" w:rsidRDefault="00A428D9" w:rsidP="00C40E56">
            <w:pPr>
              <w:bidi/>
              <w:jc w:val="left"/>
              <w:rPr>
                <w:color w:val="000000"/>
                <w:sz w:val="17"/>
                <w:szCs w:val="17"/>
                <w:lang w:val="en-GB" w:eastAsia="en-CA"/>
              </w:rPr>
            </w:pPr>
            <w:r>
              <w:rPr>
                <w:sz w:val="17"/>
                <w:szCs w:val="17"/>
              </w:rPr>
              <w:t>0</w:t>
            </w:r>
          </w:p>
        </w:tc>
        <w:tc>
          <w:tcPr>
            <w:tcW w:w="1134" w:type="dxa"/>
            <w:tcBorders>
              <w:top w:val="nil"/>
              <w:left w:val="nil"/>
              <w:bottom w:val="single" w:sz="4" w:space="0" w:color="auto"/>
              <w:right w:val="single" w:sz="4" w:space="0" w:color="auto"/>
            </w:tcBorders>
            <w:noWrap/>
          </w:tcPr>
          <w:p w14:paraId="51281564" w14:textId="77777777" w:rsidR="00A428D9" w:rsidRPr="00012E78" w:rsidRDefault="00A428D9" w:rsidP="00C40E56">
            <w:pPr>
              <w:bidi/>
              <w:jc w:val="left"/>
              <w:rPr>
                <w:color w:val="000000"/>
                <w:sz w:val="17"/>
                <w:szCs w:val="17"/>
                <w:lang w:val="en-GB" w:eastAsia="en-CA"/>
              </w:rPr>
            </w:pPr>
            <w:r>
              <w:rPr>
                <w:sz w:val="17"/>
                <w:szCs w:val="17"/>
              </w:rPr>
              <w:t>0</w:t>
            </w:r>
          </w:p>
        </w:tc>
        <w:tc>
          <w:tcPr>
            <w:tcW w:w="1152" w:type="dxa"/>
            <w:tcBorders>
              <w:top w:val="nil"/>
              <w:left w:val="nil"/>
              <w:bottom w:val="single" w:sz="4" w:space="0" w:color="auto"/>
              <w:right w:val="single" w:sz="4" w:space="0" w:color="auto"/>
            </w:tcBorders>
            <w:noWrap/>
          </w:tcPr>
          <w:p w14:paraId="09C989E7" w14:textId="77777777" w:rsidR="00A428D9" w:rsidRPr="00012E78" w:rsidRDefault="00A428D9" w:rsidP="00C40E56">
            <w:pPr>
              <w:bidi/>
              <w:jc w:val="left"/>
              <w:rPr>
                <w:color w:val="000000"/>
                <w:sz w:val="17"/>
                <w:szCs w:val="17"/>
                <w:lang w:val="en-GB" w:eastAsia="en-CA"/>
              </w:rPr>
            </w:pPr>
            <w:r>
              <w:rPr>
                <w:sz w:val="17"/>
                <w:szCs w:val="17"/>
              </w:rPr>
              <w:t>0</w:t>
            </w:r>
          </w:p>
        </w:tc>
        <w:tc>
          <w:tcPr>
            <w:tcW w:w="990" w:type="dxa"/>
            <w:tcBorders>
              <w:top w:val="nil"/>
              <w:left w:val="nil"/>
              <w:bottom w:val="single" w:sz="4" w:space="0" w:color="auto"/>
              <w:right w:val="single" w:sz="4" w:space="0" w:color="auto"/>
            </w:tcBorders>
            <w:noWrap/>
          </w:tcPr>
          <w:p w14:paraId="13BC1DF7" w14:textId="77777777" w:rsidR="00A428D9" w:rsidRPr="00012E78" w:rsidRDefault="00A428D9" w:rsidP="00C40E56">
            <w:pPr>
              <w:bidi/>
              <w:jc w:val="left"/>
              <w:rPr>
                <w:color w:val="000000"/>
                <w:sz w:val="17"/>
                <w:szCs w:val="17"/>
                <w:lang w:val="en-GB" w:eastAsia="en-CA"/>
              </w:rPr>
            </w:pPr>
            <w:r>
              <w:rPr>
                <w:sz w:val="17"/>
                <w:szCs w:val="17"/>
              </w:rPr>
              <w:t>0</w:t>
            </w:r>
          </w:p>
        </w:tc>
        <w:tc>
          <w:tcPr>
            <w:tcW w:w="993" w:type="dxa"/>
            <w:tcBorders>
              <w:top w:val="nil"/>
              <w:left w:val="nil"/>
              <w:bottom w:val="single" w:sz="4" w:space="0" w:color="auto"/>
              <w:right w:val="single" w:sz="4" w:space="0" w:color="auto"/>
            </w:tcBorders>
            <w:noWrap/>
          </w:tcPr>
          <w:p w14:paraId="32D6454D" w14:textId="77777777" w:rsidR="00A428D9" w:rsidRPr="00012E78" w:rsidRDefault="00A428D9" w:rsidP="00C40E56">
            <w:pPr>
              <w:bidi/>
              <w:jc w:val="left"/>
              <w:rPr>
                <w:color w:val="000000"/>
                <w:sz w:val="17"/>
                <w:szCs w:val="17"/>
                <w:lang w:val="en-GB" w:eastAsia="en-CA"/>
              </w:rPr>
            </w:pPr>
            <w:r>
              <w:rPr>
                <w:sz w:val="17"/>
                <w:szCs w:val="17"/>
              </w:rPr>
              <w:t>0</w:t>
            </w:r>
          </w:p>
        </w:tc>
        <w:tc>
          <w:tcPr>
            <w:tcW w:w="1257" w:type="dxa"/>
            <w:tcBorders>
              <w:top w:val="nil"/>
              <w:left w:val="nil"/>
              <w:bottom w:val="single" w:sz="4" w:space="0" w:color="auto"/>
              <w:right w:val="single" w:sz="4" w:space="0" w:color="auto"/>
            </w:tcBorders>
            <w:noWrap/>
          </w:tcPr>
          <w:p w14:paraId="612D7A21" w14:textId="77777777" w:rsidR="00A428D9" w:rsidRPr="00012E78" w:rsidRDefault="00A428D9" w:rsidP="00C40E56">
            <w:pPr>
              <w:bidi/>
              <w:jc w:val="left"/>
              <w:rPr>
                <w:color w:val="000000"/>
                <w:sz w:val="17"/>
                <w:szCs w:val="17"/>
                <w:lang w:val="en-GB" w:eastAsia="en-CA"/>
              </w:rPr>
            </w:pPr>
            <w:r>
              <w:rPr>
                <w:sz w:val="17"/>
                <w:szCs w:val="17"/>
              </w:rPr>
              <w:t>9,749,989</w:t>
            </w:r>
          </w:p>
        </w:tc>
      </w:tr>
      <w:tr w:rsidR="00A428D9" w:rsidRPr="00012E78" w14:paraId="3F31D71A" w14:textId="77777777" w:rsidTr="008E13D0">
        <w:trPr>
          <w:trHeight w:val="44"/>
        </w:trPr>
        <w:tc>
          <w:tcPr>
            <w:tcW w:w="1625" w:type="dxa"/>
            <w:tcBorders>
              <w:top w:val="nil"/>
              <w:left w:val="single" w:sz="4" w:space="0" w:color="auto"/>
              <w:bottom w:val="single" w:sz="4" w:space="0" w:color="auto"/>
              <w:right w:val="single" w:sz="4" w:space="0" w:color="auto"/>
            </w:tcBorders>
            <w:noWrap/>
          </w:tcPr>
          <w:p w14:paraId="7E7A326C" w14:textId="3C9AEB66" w:rsidR="00A428D9" w:rsidRPr="00012E78" w:rsidRDefault="00F13C72" w:rsidP="00C40E56">
            <w:pPr>
              <w:bidi/>
              <w:jc w:val="left"/>
              <w:rPr>
                <w:color w:val="000000"/>
                <w:sz w:val="17"/>
                <w:szCs w:val="17"/>
                <w:lang w:val="en-GB" w:eastAsia="en-CA"/>
              </w:rPr>
            </w:pPr>
            <w:r>
              <w:rPr>
                <w:sz w:val="17"/>
                <w:szCs w:val="17"/>
                <w:rtl/>
              </w:rPr>
              <w:t>التحكم في الانبعاثات</w:t>
            </w:r>
          </w:p>
        </w:tc>
        <w:tc>
          <w:tcPr>
            <w:tcW w:w="720" w:type="dxa"/>
            <w:tcBorders>
              <w:top w:val="nil"/>
              <w:left w:val="nil"/>
              <w:bottom w:val="single" w:sz="4" w:space="0" w:color="auto"/>
              <w:right w:val="single" w:sz="4" w:space="0" w:color="auto"/>
            </w:tcBorders>
            <w:noWrap/>
          </w:tcPr>
          <w:p w14:paraId="30ED420F" w14:textId="77777777" w:rsidR="00A428D9" w:rsidRPr="00012E78" w:rsidRDefault="00A428D9" w:rsidP="00C40E56">
            <w:pPr>
              <w:bidi/>
              <w:jc w:val="left"/>
              <w:rPr>
                <w:color w:val="000000"/>
                <w:sz w:val="17"/>
                <w:szCs w:val="17"/>
                <w:lang w:val="en-GB" w:eastAsia="en-CA"/>
              </w:rPr>
            </w:pPr>
            <w:r>
              <w:rPr>
                <w:sz w:val="17"/>
                <w:szCs w:val="17"/>
              </w:rPr>
              <w:t>8</w:t>
            </w:r>
          </w:p>
        </w:tc>
        <w:tc>
          <w:tcPr>
            <w:tcW w:w="1075" w:type="dxa"/>
            <w:tcBorders>
              <w:top w:val="nil"/>
              <w:left w:val="nil"/>
              <w:bottom w:val="single" w:sz="4" w:space="0" w:color="auto"/>
              <w:right w:val="single" w:sz="4" w:space="0" w:color="auto"/>
            </w:tcBorders>
            <w:noWrap/>
          </w:tcPr>
          <w:p w14:paraId="190C17C9" w14:textId="77777777" w:rsidR="00A428D9" w:rsidRPr="00012E78" w:rsidRDefault="00A428D9" w:rsidP="00C40E56">
            <w:pPr>
              <w:bidi/>
              <w:jc w:val="left"/>
              <w:rPr>
                <w:color w:val="000000"/>
                <w:sz w:val="17"/>
                <w:szCs w:val="17"/>
                <w:lang w:val="en-GB" w:eastAsia="en-CA"/>
              </w:rPr>
            </w:pPr>
            <w:r>
              <w:rPr>
                <w:sz w:val="17"/>
                <w:szCs w:val="17"/>
              </w:rPr>
              <w:t>0</w:t>
            </w:r>
          </w:p>
        </w:tc>
        <w:tc>
          <w:tcPr>
            <w:tcW w:w="1134" w:type="dxa"/>
            <w:tcBorders>
              <w:top w:val="nil"/>
              <w:left w:val="nil"/>
              <w:bottom w:val="single" w:sz="4" w:space="0" w:color="auto"/>
              <w:right w:val="single" w:sz="4" w:space="0" w:color="auto"/>
            </w:tcBorders>
            <w:noWrap/>
          </w:tcPr>
          <w:p w14:paraId="7FF947CB" w14:textId="77777777" w:rsidR="00A428D9" w:rsidRPr="00012E78" w:rsidRDefault="00A428D9" w:rsidP="00C40E56">
            <w:pPr>
              <w:bidi/>
              <w:jc w:val="left"/>
              <w:rPr>
                <w:color w:val="000000"/>
                <w:sz w:val="17"/>
                <w:szCs w:val="17"/>
                <w:lang w:val="en-GB" w:eastAsia="en-CA"/>
              </w:rPr>
            </w:pPr>
            <w:r>
              <w:rPr>
                <w:sz w:val="17"/>
                <w:szCs w:val="17"/>
              </w:rPr>
              <w:t>0</w:t>
            </w:r>
          </w:p>
        </w:tc>
        <w:tc>
          <w:tcPr>
            <w:tcW w:w="1134" w:type="dxa"/>
            <w:tcBorders>
              <w:top w:val="nil"/>
              <w:left w:val="nil"/>
              <w:bottom w:val="single" w:sz="4" w:space="0" w:color="auto"/>
              <w:right w:val="single" w:sz="4" w:space="0" w:color="auto"/>
            </w:tcBorders>
            <w:noWrap/>
          </w:tcPr>
          <w:p w14:paraId="1944256B" w14:textId="77777777" w:rsidR="00A428D9" w:rsidRPr="00012E78" w:rsidRDefault="00A428D9" w:rsidP="00C40E56">
            <w:pPr>
              <w:bidi/>
              <w:jc w:val="left"/>
              <w:rPr>
                <w:color w:val="000000"/>
                <w:sz w:val="17"/>
                <w:szCs w:val="17"/>
                <w:lang w:val="en-GB" w:eastAsia="en-CA"/>
              </w:rPr>
            </w:pPr>
            <w:r>
              <w:rPr>
                <w:sz w:val="17"/>
                <w:szCs w:val="17"/>
              </w:rPr>
              <w:t>0</w:t>
            </w:r>
          </w:p>
        </w:tc>
        <w:tc>
          <w:tcPr>
            <w:tcW w:w="1152" w:type="dxa"/>
            <w:tcBorders>
              <w:top w:val="nil"/>
              <w:left w:val="nil"/>
              <w:bottom w:val="single" w:sz="4" w:space="0" w:color="auto"/>
              <w:right w:val="single" w:sz="4" w:space="0" w:color="auto"/>
            </w:tcBorders>
            <w:noWrap/>
          </w:tcPr>
          <w:p w14:paraId="665C3849" w14:textId="77777777" w:rsidR="00A428D9" w:rsidRPr="00012E78" w:rsidRDefault="00A428D9" w:rsidP="00C40E56">
            <w:pPr>
              <w:bidi/>
              <w:jc w:val="left"/>
              <w:rPr>
                <w:color w:val="000000"/>
                <w:sz w:val="17"/>
                <w:szCs w:val="17"/>
                <w:lang w:val="en-GB" w:eastAsia="en-CA"/>
              </w:rPr>
            </w:pPr>
            <w:r>
              <w:rPr>
                <w:sz w:val="17"/>
                <w:szCs w:val="17"/>
              </w:rPr>
              <w:t>0</w:t>
            </w:r>
          </w:p>
        </w:tc>
        <w:tc>
          <w:tcPr>
            <w:tcW w:w="990" w:type="dxa"/>
            <w:tcBorders>
              <w:top w:val="nil"/>
              <w:left w:val="nil"/>
              <w:bottom w:val="single" w:sz="4" w:space="0" w:color="auto"/>
              <w:right w:val="single" w:sz="4" w:space="0" w:color="auto"/>
            </w:tcBorders>
            <w:noWrap/>
          </w:tcPr>
          <w:p w14:paraId="7AE82E1E" w14:textId="77777777" w:rsidR="00A428D9" w:rsidRPr="00012E78" w:rsidRDefault="00A428D9" w:rsidP="00C40E56">
            <w:pPr>
              <w:bidi/>
              <w:jc w:val="left"/>
              <w:rPr>
                <w:color w:val="000000"/>
                <w:sz w:val="17"/>
                <w:szCs w:val="17"/>
                <w:lang w:val="en-GB" w:eastAsia="en-CA"/>
              </w:rPr>
            </w:pPr>
            <w:r>
              <w:rPr>
                <w:sz w:val="17"/>
                <w:szCs w:val="17"/>
              </w:rPr>
              <w:t>0</w:t>
            </w:r>
          </w:p>
        </w:tc>
        <w:tc>
          <w:tcPr>
            <w:tcW w:w="993" w:type="dxa"/>
            <w:tcBorders>
              <w:top w:val="nil"/>
              <w:left w:val="nil"/>
              <w:bottom w:val="single" w:sz="4" w:space="0" w:color="auto"/>
              <w:right w:val="single" w:sz="4" w:space="0" w:color="auto"/>
            </w:tcBorders>
            <w:noWrap/>
          </w:tcPr>
          <w:p w14:paraId="383E40CA" w14:textId="77777777" w:rsidR="00A428D9" w:rsidRPr="00012E78" w:rsidRDefault="00A428D9" w:rsidP="00C40E56">
            <w:pPr>
              <w:bidi/>
              <w:jc w:val="left"/>
              <w:rPr>
                <w:color w:val="000000"/>
                <w:sz w:val="17"/>
                <w:szCs w:val="17"/>
                <w:lang w:val="en-GB" w:eastAsia="en-CA"/>
              </w:rPr>
            </w:pPr>
            <w:r>
              <w:rPr>
                <w:sz w:val="17"/>
                <w:szCs w:val="17"/>
              </w:rPr>
              <w:t>0</w:t>
            </w:r>
          </w:p>
        </w:tc>
        <w:tc>
          <w:tcPr>
            <w:tcW w:w="1257" w:type="dxa"/>
            <w:tcBorders>
              <w:top w:val="nil"/>
              <w:left w:val="nil"/>
              <w:bottom w:val="single" w:sz="4" w:space="0" w:color="auto"/>
              <w:right w:val="single" w:sz="4" w:space="0" w:color="auto"/>
            </w:tcBorders>
            <w:noWrap/>
          </w:tcPr>
          <w:p w14:paraId="47486404" w14:textId="77777777" w:rsidR="00A428D9" w:rsidRPr="00012E78" w:rsidRDefault="00A428D9" w:rsidP="00C40E56">
            <w:pPr>
              <w:bidi/>
              <w:jc w:val="left"/>
              <w:rPr>
                <w:color w:val="000000"/>
                <w:sz w:val="17"/>
                <w:szCs w:val="17"/>
                <w:lang w:val="en-GB" w:eastAsia="en-CA"/>
              </w:rPr>
            </w:pPr>
            <w:r>
              <w:rPr>
                <w:sz w:val="17"/>
                <w:szCs w:val="17"/>
              </w:rPr>
              <w:t>3,615,582</w:t>
            </w:r>
          </w:p>
        </w:tc>
      </w:tr>
      <w:tr w:rsidR="00A428D9" w:rsidRPr="00012E78" w14:paraId="59E11BB5" w14:textId="77777777" w:rsidTr="008E13D0">
        <w:trPr>
          <w:trHeight w:val="44"/>
        </w:trPr>
        <w:tc>
          <w:tcPr>
            <w:tcW w:w="1625" w:type="dxa"/>
            <w:tcBorders>
              <w:top w:val="nil"/>
              <w:left w:val="single" w:sz="4" w:space="0" w:color="auto"/>
              <w:bottom w:val="single" w:sz="4" w:space="0" w:color="auto"/>
              <w:right w:val="single" w:sz="4" w:space="0" w:color="auto"/>
            </w:tcBorders>
            <w:noWrap/>
          </w:tcPr>
          <w:p w14:paraId="7615DEA1" w14:textId="4DEA106D" w:rsidR="00A428D9" w:rsidRPr="00012E78" w:rsidRDefault="00096EB7" w:rsidP="00C40E56">
            <w:pPr>
              <w:bidi/>
              <w:jc w:val="left"/>
              <w:rPr>
                <w:color w:val="000000"/>
                <w:sz w:val="17"/>
                <w:szCs w:val="17"/>
                <w:lang w:val="en-GB" w:eastAsia="en-CA"/>
              </w:rPr>
            </w:pPr>
            <w:r>
              <w:rPr>
                <w:sz w:val="17"/>
                <w:szCs w:val="17"/>
                <w:rtl/>
              </w:rPr>
              <w:t>كفاءة استخدام الطاقة</w:t>
            </w:r>
          </w:p>
        </w:tc>
        <w:tc>
          <w:tcPr>
            <w:tcW w:w="720" w:type="dxa"/>
            <w:tcBorders>
              <w:top w:val="nil"/>
              <w:left w:val="nil"/>
              <w:bottom w:val="single" w:sz="4" w:space="0" w:color="auto"/>
              <w:right w:val="single" w:sz="4" w:space="0" w:color="auto"/>
            </w:tcBorders>
            <w:noWrap/>
          </w:tcPr>
          <w:p w14:paraId="400AACB1" w14:textId="77777777" w:rsidR="00A428D9" w:rsidRPr="00012E78" w:rsidRDefault="00A428D9" w:rsidP="00C40E56">
            <w:pPr>
              <w:bidi/>
              <w:jc w:val="left"/>
              <w:rPr>
                <w:color w:val="000000"/>
                <w:sz w:val="17"/>
                <w:szCs w:val="17"/>
              </w:rPr>
            </w:pPr>
            <w:r>
              <w:rPr>
                <w:sz w:val="17"/>
                <w:szCs w:val="17"/>
              </w:rPr>
              <w:t>91</w:t>
            </w:r>
          </w:p>
        </w:tc>
        <w:tc>
          <w:tcPr>
            <w:tcW w:w="1075" w:type="dxa"/>
            <w:tcBorders>
              <w:top w:val="nil"/>
              <w:left w:val="nil"/>
              <w:bottom w:val="single" w:sz="4" w:space="0" w:color="auto"/>
              <w:right w:val="single" w:sz="4" w:space="0" w:color="auto"/>
            </w:tcBorders>
            <w:noWrap/>
          </w:tcPr>
          <w:p w14:paraId="748FD2D9" w14:textId="77777777" w:rsidR="00A428D9" w:rsidRPr="00012E78" w:rsidRDefault="00A428D9" w:rsidP="00C40E56">
            <w:pPr>
              <w:bidi/>
              <w:jc w:val="left"/>
              <w:rPr>
                <w:color w:val="000000"/>
                <w:sz w:val="17"/>
                <w:szCs w:val="17"/>
              </w:rPr>
            </w:pPr>
            <w:r>
              <w:rPr>
                <w:sz w:val="17"/>
                <w:szCs w:val="17"/>
              </w:rPr>
              <w:t>0</w:t>
            </w:r>
          </w:p>
        </w:tc>
        <w:tc>
          <w:tcPr>
            <w:tcW w:w="1134" w:type="dxa"/>
            <w:tcBorders>
              <w:top w:val="nil"/>
              <w:left w:val="nil"/>
              <w:bottom w:val="single" w:sz="4" w:space="0" w:color="auto"/>
              <w:right w:val="single" w:sz="4" w:space="0" w:color="auto"/>
            </w:tcBorders>
            <w:noWrap/>
          </w:tcPr>
          <w:p w14:paraId="4C98B2C9" w14:textId="77777777" w:rsidR="00A428D9" w:rsidRPr="00012E78" w:rsidRDefault="00A428D9" w:rsidP="00C40E56">
            <w:pPr>
              <w:bidi/>
              <w:jc w:val="left"/>
              <w:rPr>
                <w:color w:val="000000"/>
                <w:sz w:val="17"/>
                <w:szCs w:val="17"/>
              </w:rPr>
            </w:pPr>
            <w:r>
              <w:rPr>
                <w:sz w:val="17"/>
                <w:szCs w:val="17"/>
              </w:rPr>
              <w:t>0</w:t>
            </w:r>
          </w:p>
        </w:tc>
        <w:tc>
          <w:tcPr>
            <w:tcW w:w="1134" w:type="dxa"/>
            <w:tcBorders>
              <w:top w:val="nil"/>
              <w:left w:val="nil"/>
              <w:bottom w:val="single" w:sz="4" w:space="0" w:color="auto"/>
              <w:right w:val="single" w:sz="4" w:space="0" w:color="auto"/>
            </w:tcBorders>
            <w:noWrap/>
          </w:tcPr>
          <w:p w14:paraId="190FAEDA" w14:textId="77777777" w:rsidR="00A428D9" w:rsidRPr="00012E78" w:rsidRDefault="00A428D9" w:rsidP="00C40E56">
            <w:pPr>
              <w:bidi/>
              <w:jc w:val="left"/>
              <w:rPr>
                <w:color w:val="000000"/>
                <w:sz w:val="17"/>
                <w:szCs w:val="17"/>
              </w:rPr>
            </w:pPr>
            <w:r>
              <w:rPr>
                <w:sz w:val="17"/>
                <w:szCs w:val="17"/>
              </w:rPr>
              <w:t>0</w:t>
            </w:r>
          </w:p>
        </w:tc>
        <w:tc>
          <w:tcPr>
            <w:tcW w:w="1152" w:type="dxa"/>
            <w:tcBorders>
              <w:top w:val="nil"/>
              <w:left w:val="nil"/>
              <w:bottom w:val="single" w:sz="4" w:space="0" w:color="auto"/>
              <w:right w:val="single" w:sz="4" w:space="0" w:color="auto"/>
            </w:tcBorders>
            <w:noWrap/>
          </w:tcPr>
          <w:p w14:paraId="09B38EE8" w14:textId="77777777" w:rsidR="00A428D9" w:rsidRPr="00012E78" w:rsidRDefault="00A428D9" w:rsidP="00C40E56">
            <w:pPr>
              <w:bidi/>
              <w:jc w:val="left"/>
              <w:rPr>
                <w:color w:val="000000"/>
                <w:sz w:val="17"/>
                <w:szCs w:val="17"/>
              </w:rPr>
            </w:pPr>
            <w:r>
              <w:rPr>
                <w:sz w:val="17"/>
                <w:szCs w:val="17"/>
              </w:rPr>
              <w:t>0</w:t>
            </w:r>
          </w:p>
        </w:tc>
        <w:tc>
          <w:tcPr>
            <w:tcW w:w="990" w:type="dxa"/>
            <w:tcBorders>
              <w:top w:val="nil"/>
              <w:left w:val="nil"/>
              <w:bottom w:val="single" w:sz="4" w:space="0" w:color="auto"/>
              <w:right w:val="single" w:sz="4" w:space="0" w:color="auto"/>
            </w:tcBorders>
            <w:noWrap/>
          </w:tcPr>
          <w:p w14:paraId="487E061D" w14:textId="77777777" w:rsidR="00A428D9" w:rsidRPr="00012E78" w:rsidRDefault="00A428D9" w:rsidP="00C40E56">
            <w:pPr>
              <w:bidi/>
              <w:jc w:val="left"/>
              <w:rPr>
                <w:color w:val="000000"/>
                <w:sz w:val="17"/>
                <w:szCs w:val="17"/>
              </w:rPr>
            </w:pPr>
            <w:r>
              <w:rPr>
                <w:sz w:val="17"/>
                <w:szCs w:val="17"/>
              </w:rPr>
              <w:t>0</w:t>
            </w:r>
          </w:p>
        </w:tc>
        <w:tc>
          <w:tcPr>
            <w:tcW w:w="993" w:type="dxa"/>
            <w:tcBorders>
              <w:top w:val="nil"/>
              <w:left w:val="nil"/>
              <w:bottom w:val="single" w:sz="4" w:space="0" w:color="auto"/>
              <w:right w:val="single" w:sz="4" w:space="0" w:color="auto"/>
            </w:tcBorders>
            <w:noWrap/>
          </w:tcPr>
          <w:p w14:paraId="25BD6A57" w14:textId="77777777" w:rsidR="00A428D9" w:rsidRPr="00012E78" w:rsidRDefault="00A428D9" w:rsidP="00C40E56">
            <w:pPr>
              <w:bidi/>
              <w:jc w:val="left"/>
              <w:rPr>
                <w:color w:val="000000"/>
                <w:sz w:val="17"/>
                <w:szCs w:val="17"/>
              </w:rPr>
            </w:pPr>
            <w:r>
              <w:rPr>
                <w:sz w:val="17"/>
                <w:szCs w:val="17"/>
              </w:rPr>
              <w:t>0</w:t>
            </w:r>
          </w:p>
        </w:tc>
        <w:tc>
          <w:tcPr>
            <w:tcW w:w="1257" w:type="dxa"/>
            <w:tcBorders>
              <w:top w:val="nil"/>
              <w:left w:val="nil"/>
              <w:bottom w:val="single" w:sz="4" w:space="0" w:color="auto"/>
              <w:right w:val="single" w:sz="4" w:space="0" w:color="auto"/>
            </w:tcBorders>
            <w:noWrap/>
          </w:tcPr>
          <w:p w14:paraId="6EA56358" w14:textId="77777777" w:rsidR="00A428D9" w:rsidRPr="00012E78" w:rsidRDefault="00A428D9" w:rsidP="00C40E56">
            <w:pPr>
              <w:bidi/>
              <w:jc w:val="left"/>
              <w:rPr>
                <w:color w:val="000000"/>
                <w:sz w:val="17"/>
                <w:szCs w:val="17"/>
              </w:rPr>
            </w:pPr>
            <w:r>
              <w:rPr>
                <w:sz w:val="17"/>
                <w:szCs w:val="17"/>
              </w:rPr>
              <w:t>47,296,338</w:t>
            </w:r>
          </w:p>
        </w:tc>
      </w:tr>
      <w:tr w:rsidR="00A428D9" w:rsidRPr="00012E78" w14:paraId="08F0E70C" w14:textId="77777777" w:rsidTr="008E13D0">
        <w:trPr>
          <w:trHeight w:val="44"/>
        </w:trPr>
        <w:tc>
          <w:tcPr>
            <w:tcW w:w="1625" w:type="dxa"/>
            <w:tcBorders>
              <w:top w:val="nil"/>
              <w:left w:val="single" w:sz="4" w:space="0" w:color="auto"/>
              <w:bottom w:val="single" w:sz="4" w:space="0" w:color="auto"/>
              <w:right w:val="single" w:sz="4" w:space="0" w:color="auto"/>
            </w:tcBorders>
            <w:noWrap/>
          </w:tcPr>
          <w:p w14:paraId="2BF0C898" w14:textId="60B7404D" w:rsidR="00A428D9" w:rsidRPr="00012E78" w:rsidRDefault="00F4035C" w:rsidP="00C40E56">
            <w:pPr>
              <w:bidi/>
              <w:jc w:val="left"/>
              <w:rPr>
                <w:color w:val="000000"/>
                <w:sz w:val="17"/>
                <w:szCs w:val="17"/>
                <w:lang w:val="en-GB" w:eastAsia="en-CA"/>
              </w:rPr>
            </w:pPr>
            <w:r>
              <w:rPr>
                <w:sz w:val="17"/>
                <w:szCs w:val="17"/>
                <w:rtl/>
              </w:rPr>
              <w:t>الدعم الحكومي</w:t>
            </w:r>
          </w:p>
        </w:tc>
        <w:tc>
          <w:tcPr>
            <w:tcW w:w="720" w:type="dxa"/>
            <w:tcBorders>
              <w:top w:val="nil"/>
              <w:left w:val="nil"/>
              <w:bottom w:val="single" w:sz="4" w:space="0" w:color="auto"/>
              <w:right w:val="single" w:sz="4" w:space="0" w:color="auto"/>
            </w:tcBorders>
            <w:noWrap/>
          </w:tcPr>
          <w:p w14:paraId="4F4C40E4" w14:textId="77777777" w:rsidR="00A428D9" w:rsidRPr="00012E78" w:rsidRDefault="00A428D9" w:rsidP="00C40E56">
            <w:pPr>
              <w:bidi/>
              <w:jc w:val="left"/>
              <w:rPr>
                <w:color w:val="000000"/>
                <w:sz w:val="17"/>
                <w:szCs w:val="17"/>
              </w:rPr>
            </w:pPr>
            <w:r>
              <w:rPr>
                <w:sz w:val="17"/>
                <w:szCs w:val="17"/>
              </w:rPr>
              <w:t>1,561</w:t>
            </w:r>
          </w:p>
        </w:tc>
        <w:tc>
          <w:tcPr>
            <w:tcW w:w="1075" w:type="dxa"/>
            <w:tcBorders>
              <w:top w:val="nil"/>
              <w:left w:val="nil"/>
              <w:bottom w:val="single" w:sz="4" w:space="0" w:color="auto"/>
              <w:right w:val="single" w:sz="4" w:space="0" w:color="auto"/>
            </w:tcBorders>
            <w:noWrap/>
          </w:tcPr>
          <w:p w14:paraId="3B624438" w14:textId="77777777" w:rsidR="00A428D9" w:rsidRPr="00012E78" w:rsidRDefault="00A428D9" w:rsidP="00C40E56">
            <w:pPr>
              <w:bidi/>
              <w:jc w:val="left"/>
              <w:rPr>
                <w:color w:val="000000"/>
                <w:sz w:val="17"/>
                <w:szCs w:val="17"/>
              </w:rPr>
            </w:pPr>
            <w:r>
              <w:rPr>
                <w:sz w:val="17"/>
                <w:szCs w:val="17"/>
              </w:rPr>
              <w:t>693</w:t>
            </w:r>
          </w:p>
        </w:tc>
        <w:tc>
          <w:tcPr>
            <w:tcW w:w="1134" w:type="dxa"/>
            <w:tcBorders>
              <w:top w:val="nil"/>
              <w:left w:val="nil"/>
              <w:bottom w:val="single" w:sz="4" w:space="0" w:color="auto"/>
              <w:right w:val="single" w:sz="4" w:space="0" w:color="auto"/>
            </w:tcBorders>
            <w:noWrap/>
          </w:tcPr>
          <w:p w14:paraId="43DFE692" w14:textId="77777777" w:rsidR="00A428D9" w:rsidRPr="00012E78" w:rsidRDefault="00A428D9" w:rsidP="00C40E56">
            <w:pPr>
              <w:bidi/>
              <w:jc w:val="left"/>
              <w:rPr>
                <w:color w:val="000000"/>
                <w:sz w:val="17"/>
                <w:szCs w:val="17"/>
              </w:rPr>
            </w:pPr>
            <w:r>
              <w:rPr>
                <w:sz w:val="17"/>
                <w:szCs w:val="17"/>
              </w:rPr>
              <w:t>694</w:t>
            </w:r>
          </w:p>
        </w:tc>
        <w:tc>
          <w:tcPr>
            <w:tcW w:w="1134" w:type="dxa"/>
            <w:tcBorders>
              <w:top w:val="nil"/>
              <w:left w:val="nil"/>
              <w:bottom w:val="single" w:sz="4" w:space="0" w:color="auto"/>
              <w:right w:val="single" w:sz="4" w:space="0" w:color="auto"/>
            </w:tcBorders>
            <w:noWrap/>
          </w:tcPr>
          <w:p w14:paraId="7F9D3ACA" w14:textId="77777777" w:rsidR="00A428D9" w:rsidRPr="00012E78" w:rsidRDefault="00A428D9" w:rsidP="00C40E56">
            <w:pPr>
              <w:bidi/>
              <w:jc w:val="left"/>
              <w:rPr>
                <w:color w:val="000000"/>
                <w:sz w:val="17"/>
                <w:szCs w:val="17"/>
              </w:rPr>
            </w:pPr>
            <w:r>
              <w:rPr>
                <w:sz w:val="17"/>
                <w:szCs w:val="17"/>
              </w:rPr>
              <w:t>0</w:t>
            </w:r>
          </w:p>
        </w:tc>
        <w:tc>
          <w:tcPr>
            <w:tcW w:w="1152" w:type="dxa"/>
            <w:tcBorders>
              <w:top w:val="nil"/>
              <w:left w:val="nil"/>
              <w:bottom w:val="single" w:sz="4" w:space="0" w:color="auto"/>
              <w:right w:val="single" w:sz="4" w:space="0" w:color="auto"/>
            </w:tcBorders>
            <w:noWrap/>
          </w:tcPr>
          <w:p w14:paraId="4DE549B9" w14:textId="77777777" w:rsidR="00A428D9" w:rsidRPr="00012E78" w:rsidRDefault="00A428D9" w:rsidP="00C40E56">
            <w:pPr>
              <w:bidi/>
              <w:jc w:val="left"/>
              <w:rPr>
                <w:color w:val="000000"/>
                <w:sz w:val="17"/>
                <w:szCs w:val="17"/>
              </w:rPr>
            </w:pPr>
            <w:r>
              <w:rPr>
                <w:sz w:val="17"/>
                <w:szCs w:val="17"/>
              </w:rPr>
              <w:t>0</w:t>
            </w:r>
          </w:p>
        </w:tc>
        <w:tc>
          <w:tcPr>
            <w:tcW w:w="990" w:type="dxa"/>
            <w:tcBorders>
              <w:top w:val="nil"/>
              <w:left w:val="nil"/>
              <w:bottom w:val="single" w:sz="4" w:space="0" w:color="auto"/>
              <w:right w:val="single" w:sz="4" w:space="0" w:color="auto"/>
            </w:tcBorders>
            <w:noWrap/>
          </w:tcPr>
          <w:p w14:paraId="704A1F3D" w14:textId="77777777" w:rsidR="00A428D9" w:rsidRPr="00012E78" w:rsidRDefault="00A428D9" w:rsidP="00C40E56">
            <w:pPr>
              <w:bidi/>
              <w:jc w:val="left"/>
              <w:rPr>
                <w:color w:val="000000"/>
                <w:sz w:val="17"/>
                <w:szCs w:val="17"/>
              </w:rPr>
            </w:pPr>
            <w:r>
              <w:rPr>
                <w:sz w:val="17"/>
                <w:szCs w:val="17"/>
              </w:rPr>
              <w:t>0</w:t>
            </w:r>
          </w:p>
        </w:tc>
        <w:tc>
          <w:tcPr>
            <w:tcW w:w="993" w:type="dxa"/>
            <w:tcBorders>
              <w:top w:val="nil"/>
              <w:left w:val="nil"/>
              <w:bottom w:val="single" w:sz="4" w:space="0" w:color="auto"/>
              <w:right w:val="single" w:sz="4" w:space="0" w:color="auto"/>
            </w:tcBorders>
            <w:noWrap/>
          </w:tcPr>
          <w:p w14:paraId="669D499D" w14:textId="77777777" w:rsidR="00A428D9" w:rsidRPr="00012E78" w:rsidRDefault="00A428D9" w:rsidP="00C40E56">
            <w:pPr>
              <w:bidi/>
              <w:jc w:val="left"/>
              <w:rPr>
                <w:color w:val="000000"/>
                <w:sz w:val="17"/>
                <w:szCs w:val="17"/>
              </w:rPr>
            </w:pPr>
            <w:r>
              <w:rPr>
                <w:sz w:val="17"/>
                <w:szCs w:val="17"/>
              </w:rPr>
              <w:t>0</w:t>
            </w:r>
          </w:p>
        </w:tc>
        <w:tc>
          <w:tcPr>
            <w:tcW w:w="1257" w:type="dxa"/>
            <w:tcBorders>
              <w:top w:val="nil"/>
              <w:left w:val="nil"/>
              <w:bottom w:val="single" w:sz="4" w:space="0" w:color="auto"/>
              <w:right w:val="single" w:sz="4" w:space="0" w:color="auto"/>
            </w:tcBorders>
            <w:noWrap/>
          </w:tcPr>
          <w:p w14:paraId="3B1DFFF3" w14:textId="77777777" w:rsidR="00A428D9" w:rsidRPr="00012E78" w:rsidRDefault="00A428D9" w:rsidP="00C40E56">
            <w:pPr>
              <w:bidi/>
              <w:jc w:val="left"/>
              <w:rPr>
                <w:color w:val="000000"/>
                <w:sz w:val="17"/>
                <w:szCs w:val="17"/>
              </w:rPr>
            </w:pPr>
            <w:r>
              <w:rPr>
                <w:sz w:val="17"/>
                <w:szCs w:val="17"/>
              </w:rPr>
              <w:t>223,489,653</w:t>
            </w:r>
          </w:p>
        </w:tc>
      </w:tr>
      <w:tr w:rsidR="00A428D9" w:rsidRPr="00012E78" w14:paraId="3775F6E1" w14:textId="77777777" w:rsidTr="008E13D0">
        <w:trPr>
          <w:trHeight w:val="44"/>
        </w:trPr>
        <w:tc>
          <w:tcPr>
            <w:tcW w:w="1625" w:type="dxa"/>
            <w:tcBorders>
              <w:top w:val="nil"/>
              <w:left w:val="single" w:sz="4" w:space="0" w:color="auto"/>
              <w:bottom w:val="single" w:sz="4" w:space="0" w:color="auto"/>
              <w:right w:val="single" w:sz="4" w:space="0" w:color="auto"/>
            </w:tcBorders>
            <w:noWrap/>
          </w:tcPr>
          <w:p w14:paraId="1CDC5BB4" w14:textId="254B1655" w:rsidR="00A428D9" w:rsidRPr="00012E78" w:rsidRDefault="00F4035C" w:rsidP="00C40E56">
            <w:pPr>
              <w:bidi/>
              <w:jc w:val="left"/>
              <w:rPr>
                <w:color w:val="000000"/>
                <w:sz w:val="17"/>
                <w:szCs w:val="17"/>
                <w:lang w:val="en-GB" w:eastAsia="en-CA"/>
              </w:rPr>
            </w:pPr>
            <w:r>
              <w:rPr>
                <w:sz w:val="17"/>
                <w:szCs w:val="17"/>
                <w:rtl/>
              </w:rPr>
              <w:t>المشاريع الفردية للمواد الهيدروكلوروفلوروكربونية</w:t>
            </w:r>
          </w:p>
        </w:tc>
        <w:tc>
          <w:tcPr>
            <w:tcW w:w="720" w:type="dxa"/>
            <w:tcBorders>
              <w:top w:val="nil"/>
              <w:left w:val="nil"/>
              <w:bottom w:val="single" w:sz="4" w:space="0" w:color="auto"/>
              <w:right w:val="single" w:sz="4" w:space="0" w:color="auto"/>
            </w:tcBorders>
            <w:noWrap/>
          </w:tcPr>
          <w:p w14:paraId="4CB6BF8A" w14:textId="77777777" w:rsidR="00A428D9" w:rsidRPr="00012E78" w:rsidRDefault="00A428D9" w:rsidP="00C40E56">
            <w:pPr>
              <w:bidi/>
              <w:jc w:val="left"/>
              <w:rPr>
                <w:color w:val="000000"/>
                <w:sz w:val="17"/>
                <w:szCs w:val="17"/>
              </w:rPr>
            </w:pPr>
            <w:r>
              <w:rPr>
                <w:sz w:val="17"/>
                <w:szCs w:val="17"/>
              </w:rPr>
              <w:t>915</w:t>
            </w:r>
          </w:p>
        </w:tc>
        <w:tc>
          <w:tcPr>
            <w:tcW w:w="1075" w:type="dxa"/>
            <w:tcBorders>
              <w:top w:val="nil"/>
              <w:left w:val="nil"/>
              <w:bottom w:val="single" w:sz="4" w:space="0" w:color="auto"/>
              <w:right w:val="single" w:sz="4" w:space="0" w:color="auto"/>
            </w:tcBorders>
            <w:noWrap/>
          </w:tcPr>
          <w:p w14:paraId="19DEDEFC" w14:textId="77777777" w:rsidR="00A428D9" w:rsidRPr="00012E78" w:rsidRDefault="00A428D9" w:rsidP="00C40E56">
            <w:pPr>
              <w:bidi/>
              <w:jc w:val="left"/>
              <w:rPr>
                <w:color w:val="000000"/>
                <w:sz w:val="17"/>
                <w:szCs w:val="17"/>
              </w:rPr>
            </w:pPr>
            <w:r>
              <w:rPr>
                <w:sz w:val="17"/>
                <w:szCs w:val="17"/>
              </w:rPr>
              <w:t>72</w:t>
            </w:r>
          </w:p>
        </w:tc>
        <w:tc>
          <w:tcPr>
            <w:tcW w:w="1134" w:type="dxa"/>
            <w:tcBorders>
              <w:top w:val="nil"/>
              <w:left w:val="nil"/>
              <w:bottom w:val="single" w:sz="4" w:space="0" w:color="auto"/>
              <w:right w:val="single" w:sz="4" w:space="0" w:color="auto"/>
            </w:tcBorders>
            <w:noWrap/>
          </w:tcPr>
          <w:p w14:paraId="161D38D3" w14:textId="77777777" w:rsidR="00A428D9" w:rsidRPr="00012E78" w:rsidRDefault="00A428D9" w:rsidP="00C40E56">
            <w:pPr>
              <w:bidi/>
              <w:jc w:val="left"/>
              <w:rPr>
                <w:color w:val="000000"/>
                <w:sz w:val="17"/>
                <w:szCs w:val="17"/>
              </w:rPr>
            </w:pPr>
            <w:r>
              <w:rPr>
                <w:sz w:val="17"/>
                <w:szCs w:val="17"/>
              </w:rPr>
              <w:t>72</w:t>
            </w:r>
          </w:p>
        </w:tc>
        <w:tc>
          <w:tcPr>
            <w:tcW w:w="1134" w:type="dxa"/>
            <w:tcBorders>
              <w:top w:val="nil"/>
              <w:left w:val="nil"/>
              <w:bottom w:val="single" w:sz="4" w:space="0" w:color="auto"/>
              <w:right w:val="single" w:sz="4" w:space="0" w:color="auto"/>
            </w:tcBorders>
            <w:noWrap/>
          </w:tcPr>
          <w:p w14:paraId="7A19B0DE" w14:textId="77777777" w:rsidR="00A428D9" w:rsidRPr="00012E78" w:rsidRDefault="00A428D9" w:rsidP="00C40E56">
            <w:pPr>
              <w:bidi/>
              <w:jc w:val="left"/>
              <w:rPr>
                <w:color w:val="000000"/>
                <w:sz w:val="17"/>
                <w:szCs w:val="17"/>
              </w:rPr>
            </w:pPr>
            <w:r>
              <w:rPr>
                <w:sz w:val="17"/>
                <w:szCs w:val="17"/>
              </w:rPr>
              <w:t>0</w:t>
            </w:r>
          </w:p>
        </w:tc>
        <w:tc>
          <w:tcPr>
            <w:tcW w:w="1152" w:type="dxa"/>
            <w:tcBorders>
              <w:top w:val="nil"/>
              <w:left w:val="nil"/>
              <w:bottom w:val="single" w:sz="4" w:space="0" w:color="auto"/>
              <w:right w:val="single" w:sz="4" w:space="0" w:color="auto"/>
            </w:tcBorders>
            <w:noWrap/>
          </w:tcPr>
          <w:p w14:paraId="46A33A05" w14:textId="77777777" w:rsidR="00A428D9" w:rsidRPr="00012E78" w:rsidRDefault="00A428D9" w:rsidP="00C40E56">
            <w:pPr>
              <w:bidi/>
              <w:jc w:val="left"/>
              <w:rPr>
                <w:color w:val="000000"/>
                <w:sz w:val="17"/>
                <w:szCs w:val="17"/>
              </w:rPr>
            </w:pPr>
            <w:r>
              <w:rPr>
                <w:sz w:val="17"/>
                <w:szCs w:val="17"/>
              </w:rPr>
              <w:t>0</w:t>
            </w:r>
          </w:p>
        </w:tc>
        <w:tc>
          <w:tcPr>
            <w:tcW w:w="990" w:type="dxa"/>
            <w:tcBorders>
              <w:top w:val="nil"/>
              <w:left w:val="nil"/>
              <w:bottom w:val="single" w:sz="4" w:space="0" w:color="auto"/>
              <w:right w:val="single" w:sz="4" w:space="0" w:color="auto"/>
            </w:tcBorders>
            <w:noWrap/>
          </w:tcPr>
          <w:p w14:paraId="7EF5B7F1" w14:textId="77777777" w:rsidR="00A428D9" w:rsidRPr="00012E78" w:rsidRDefault="00A428D9" w:rsidP="00C40E56">
            <w:pPr>
              <w:bidi/>
              <w:jc w:val="left"/>
              <w:rPr>
                <w:color w:val="000000"/>
                <w:sz w:val="17"/>
                <w:szCs w:val="17"/>
              </w:rPr>
            </w:pPr>
            <w:r>
              <w:rPr>
                <w:sz w:val="17"/>
                <w:szCs w:val="17"/>
              </w:rPr>
              <w:t>0</w:t>
            </w:r>
          </w:p>
        </w:tc>
        <w:tc>
          <w:tcPr>
            <w:tcW w:w="993" w:type="dxa"/>
            <w:tcBorders>
              <w:top w:val="nil"/>
              <w:left w:val="nil"/>
              <w:bottom w:val="single" w:sz="4" w:space="0" w:color="auto"/>
              <w:right w:val="single" w:sz="4" w:space="0" w:color="auto"/>
            </w:tcBorders>
            <w:noWrap/>
          </w:tcPr>
          <w:p w14:paraId="339E887F" w14:textId="77777777" w:rsidR="00A428D9" w:rsidRPr="00012E78" w:rsidRDefault="00A428D9" w:rsidP="00C40E56">
            <w:pPr>
              <w:bidi/>
              <w:jc w:val="left"/>
              <w:rPr>
                <w:color w:val="000000"/>
                <w:sz w:val="17"/>
                <w:szCs w:val="17"/>
              </w:rPr>
            </w:pPr>
            <w:r>
              <w:rPr>
                <w:sz w:val="17"/>
                <w:szCs w:val="17"/>
              </w:rPr>
              <w:t>0</w:t>
            </w:r>
          </w:p>
        </w:tc>
        <w:tc>
          <w:tcPr>
            <w:tcW w:w="1257" w:type="dxa"/>
            <w:tcBorders>
              <w:top w:val="nil"/>
              <w:left w:val="nil"/>
              <w:bottom w:val="single" w:sz="4" w:space="0" w:color="auto"/>
              <w:right w:val="single" w:sz="4" w:space="0" w:color="auto"/>
            </w:tcBorders>
            <w:noWrap/>
          </w:tcPr>
          <w:p w14:paraId="63E731FF" w14:textId="77777777" w:rsidR="00A428D9" w:rsidRPr="00012E78" w:rsidRDefault="00A428D9" w:rsidP="00C40E56">
            <w:pPr>
              <w:bidi/>
              <w:jc w:val="left"/>
              <w:rPr>
                <w:color w:val="000000"/>
                <w:sz w:val="17"/>
                <w:szCs w:val="17"/>
              </w:rPr>
            </w:pPr>
            <w:r>
              <w:rPr>
                <w:sz w:val="17"/>
                <w:szCs w:val="17"/>
              </w:rPr>
              <w:t>80,618,214</w:t>
            </w:r>
          </w:p>
        </w:tc>
      </w:tr>
      <w:tr w:rsidR="00A428D9" w:rsidRPr="00012E78" w14:paraId="23488433" w14:textId="77777777" w:rsidTr="008E13D0">
        <w:trPr>
          <w:trHeight w:val="44"/>
        </w:trPr>
        <w:tc>
          <w:tcPr>
            <w:tcW w:w="1625" w:type="dxa"/>
            <w:tcBorders>
              <w:top w:val="nil"/>
              <w:left w:val="single" w:sz="4" w:space="0" w:color="auto"/>
              <w:bottom w:val="single" w:sz="4" w:space="0" w:color="auto"/>
              <w:right w:val="single" w:sz="4" w:space="0" w:color="auto"/>
            </w:tcBorders>
            <w:noWrap/>
          </w:tcPr>
          <w:p w14:paraId="438CD727" w14:textId="3E005870" w:rsidR="00A428D9" w:rsidRPr="00F4035C" w:rsidRDefault="00F4035C" w:rsidP="00F4035C">
            <w:pPr>
              <w:bidi/>
              <w:jc w:val="left"/>
              <w:rPr>
                <w:sz w:val="17"/>
                <w:szCs w:val="17"/>
              </w:rPr>
            </w:pPr>
            <w:r>
              <w:rPr>
                <w:sz w:val="17"/>
                <w:szCs w:val="17"/>
                <w:rtl/>
              </w:rPr>
              <w:t>خطة إدارة إزالة المواد الهيدروكلوروفلوروكربونية (المرحلة الأولى)</w:t>
            </w:r>
          </w:p>
        </w:tc>
        <w:tc>
          <w:tcPr>
            <w:tcW w:w="720" w:type="dxa"/>
            <w:tcBorders>
              <w:top w:val="nil"/>
              <w:left w:val="nil"/>
              <w:bottom w:val="single" w:sz="4" w:space="0" w:color="auto"/>
              <w:right w:val="single" w:sz="4" w:space="0" w:color="auto"/>
            </w:tcBorders>
            <w:noWrap/>
          </w:tcPr>
          <w:p w14:paraId="0D26BC9A" w14:textId="77777777" w:rsidR="00A428D9" w:rsidRPr="00012E78" w:rsidRDefault="00A428D9" w:rsidP="00C40E56">
            <w:pPr>
              <w:bidi/>
              <w:jc w:val="left"/>
              <w:rPr>
                <w:color w:val="000000"/>
                <w:sz w:val="17"/>
                <w:szCs w:val="17"/>
              </w:rPr>
            </w:pPr>
            <w:r>
              <w:rPr>
                <w:sz w:val="17"/>
                <w:szCs w:val="17"/>
              </w:rPr>
              <w:t>912</w:t>
            </w:r>
          </w:p>
        </w:tc>
        <w:tc>
          <w:tcPr>
            <w:tcW w:w="1075" w:type="dxa"/>
            <w:tcBorders>
              <w:top w:val="nil"/>
              <w:left w:val="nil"/>
              <w:bottom w:val="single" w:sz="4" w:space="0" w:color="auto"/>
              <w:right w:val="single" w:sz="4" w:space="0" w:color="auto"/>
            </w:tcBorders>
            <w:noWrap/>
          </w:tcPr>
          <w:p w14:paraId="221E13B9" w14:textId="77777777" w:rsidR="00A428D9" w:rsidRPr="00012E78" w:rsidRDefault="00A428D9" w:rsidP="00C40E56">
            <w:pPr>
              <w:bidi/>
              <w:jc w:val="left"/>
              <w:rPr>
                <w:color w:val="000000"/>
                <w:sz w:val="17"/>
                <w:szCs w:val="17"/>
              </w:rPr>
            </w:pPr>
            <w:r>
              <w:rPr>
                <w:sz w:val="17"/>
                <w:szCs w:val="17"/>
              </w:rPr>
              <w:t>6,129</w:t>
            </w:r>
          </w:p>
        </w:tc>
        <w:tc>
          <w:tcPr>
            <w:tcW w:w="1134" w:type="dxa"/>
            <w:tcBorders>
              <w:top w:val="nil"/>
              <w:left w:val="nil"/>
              <w:bottom w:val="single" w:sz="4" w:space="0" w:color="auto"/>
              <w:right w:val="single" w:sz="4" w:space="0" w:color="auto"/>
            </w:tcBorders>
            <w:noWrap/>
          </w:tcPr>
          <w:p w14:paraId="76E76763" w14:textId="77777777" w:rsidR="00A428D9" w:rsidRPr="00012E78" w:rsidRDefault="00A428D9" w:rsidP="00C40E56">
            <w:pPr>
              <w:bidi/>
              <w:jc w:val="left"/>
              <w:rPr>
                <w:color w:val="000000"/>
                <w:sz w:val="17"/>
                <w:szCs w:val="17"/>
              </w:rPr>
            </w:pPr>
            <w:r>
              <w:rPr>
                <w:sz w:val="17"/>
                <w:szCs w:val="17"/>
              </w:rPr>
              <w:t>6,768</w:t>
            </w:r>
          </w:p>
        </w:tc>
        <w:tc>
          <w:tcPr>
            <w:tcW w:w="1134" w:type="dxa"/>
            <w:tcBorders>
              <w:top w:val="nil"/>
              <w:left w:val="nil"/>
              <w:bottom w:val="single" w:sz="4" w:space="0" w:color="auto"/>
              <w:right w:val="single" w:sz="4" w:space="0" w:color="auto"/>
            </w:tcBorders>
            <w:noWrap/>
          </w:tcPr>
          <w:p w14:paraId="2676303C" w14:textId="77777777" w:rsidR="00A428D9" w:rsidRPr="00012E78" w:rsidRDefault="00A428D9" w:rsidP="00C40E56">
            <w:pPr>
              <w:bidi/>
              <w:jc w:val="left"/>
              <w:rPr>
                <w:color w:val="000000"/>
                <w:sz w:val="17"/>
                <w:szCs w:val="17"/>
              </w:rPr>
            </w:pPr>
            <w:r>
              <w:rPr>
                <w:sz w:val="17"/>
                <w:szCs w:val="17"/>
              </w:rPr>
              <w:t>0</w:t>
            </w:r>
          </w:p>
        </w:tc>
        <w:tc>
          <w:tcPr>
            <w:tcW w:w="1152" w:type="dxa"/>
            <w:tcBorders>
              <w:top w:val="nil"/>
              <w:left w:val="nil"/>
              <w:bottom w:val="single" w:sz="4" w:space="0" w:color="auto"/>
              <w:right w:val="single" w:sz="4" w:space="0" w:color="auto"/>
            </w:tcBorders>
            <w:noWrap/>
          </w:tcPr>
          <w:p w14:paraId="1F253D99" w14:textId="77777777" w:rsidR="00A428D9" w:rsidRPr="00012E78" w:rsidRDefault="00A428D9" w:rsidP="00C40E56">
            <w:pPr>
              <w:bidi/>
              <w:jc w:val="left"/>
              <w:rPr>
                <w:color w:val="000000"/>
                <w:sz w:val="17"/>
                <w:szCs w:val="17"/>
              </w:rPr>
            </w:pPr>
            <w:r>
              <w:rPr>
                <w:sz w:val="17"/>
                <w:szCs w:val="17"/>
              </w:rPr>
              <w:t>0</w:t>
            </w:r>
          </w:p>
        </w:tc>
        <w:tc>
          <w:tcPr>
            <w:tcW w:w="990" w:type="dxa"/>
            <w:tcBorders>
              <w:top w:val="nil"/>
              <w:left w:val="nil"/>
              <w:bottom w:val="single" w:sz="4" w:space="0" w:color="auto"/>
              <w:right w:val="single" w:sz="4" w:space="0" w:color="auto"/>
            </w:tcBorders>
            <w:noWrap/>
          </w:tcPr>
          <w:p w14:paraId="72B8DB37" w14:textId="77777777" w:rsidR="00A428D9" w:rsidRPr="00012E78" w:rsidRDefault="00A428D9" w:rsidP="00C40E56">
            <w:pPr>
              <w:bidi/>
              <w:jc w:val="left"/>
              <w:rPr>
                <w:color w:val="000000"/>
                <w:sz w:val="17"/>
                <w:szCs w:val="17"/>
              </w:rPr>
            </w:pPr>
            <w:r>
              <w:rPr>
                <w:sz w:val="17"/>
                <w:szCs w:val="17"/>
              </w:rPr>
              <w:t>0</w:t>
            </w:r>
          </w:p>
        </w:tc>
        <w:tc>
          <w:tcPr>
            <w:tcW w:w="993" w:type="dxa"/>
            <w:tcBorders>
              <w:top w:val="nil"/>
              <w:left w:val="nil"/>
              <w:bottom w:val="single" w:sz="4" w:space="0" w:color="auto"/>
              <w:right w:val="single" w:sz="4" w:space="0" w:color="auto"/>
            </w:tcBorders>
            <w:noWrap/>
          </w:tcPr>
          <w:p w14:paraId="38BEB582" w14:textId="77777777" w:rsidR="00A428D9" w:rsidRPr="00012E78" w:rsidRDefault="00A428D9" w:rsidP="00C40E56">
            <w:pPr>
              <w:bidi/>
              <w:jc w:val="left"/>
              <w:rPr>
                <w:color w:val="000000"/>
                <w:sz w:val="17"/>
                <w:szCs w:val="17"/>
              </w:rPr>
            </w:pPr>
            <w:r>
              <w:rPr>
                <w:sz w:val="17"/>
                <w:szCs w:val="17"/>
              </w:rPr>
              <w:t>0</w:t>
            </w:r>
          </w:p>
        </w:tc>
        <w:tc>
          <w:tcPr>
            <w:tcW w:w="1257" w:type="dxa"/>
            <w:tcBorders>
              <w:top w:val="nil"/>
              <w:left w:val="nil"/>
              <w:bottom w:val="single" w:sz="4" w:space="0" w:color="auto"/>
              <w:right w:val="single" w:sz="4" w:space="0" w:color="auto"/>
            </w:tcBorders>
            <w:noWrap/>
          </w:tcPr>
          <w:p w14:paraId="0745FEB1" w14:textId="77777777" w:rsidR="00A428D9" w:rsidRPr="00012E78" w:rsidRDefault="00A428D9" w:rsidP="00C40E56">
            <w:pPr>
              <w:bidi/>
              <w:jc w:val="left"/>
              <w:rPr>
                <w:color w:val="000000"/>
                <w:sz w:val="17"/>
                <w:szCs w:val="17"/>
              </w:rPr>
            </w:pPr>
            <w:r>
              <w:rPr>
                <w:sz w:val="17"/>
                <w:szCs w:val="17"/>
              </w:rPr>
              <w:t>569,568,986</w:t>
            </w:r>
          </w:p>
        </w:tc>
      </w:tr>
      <w:tr w:rsidR="00A428D9" w:rsidRPr="00012E78" w14:paraId="4EA71BE5" w14:textId="77777777" w:rsidTr="008E13D0">
        <w:trPr>
          <w:trHeight w:val="44"/>
        </w:trPr>
        <w:tc>
          <w:tcPr>
            <w:tcW w:w="1625" w:type="dxa"/>
            <w:tcBorders>
              <w:top w:val="nil"/>
              <w:left w:val="single" w:sz="4" w:space="0" w:color="auto"/>
              <w:bottom w:val="single" w:sz="4" w:space="0" w:color="auto"/>
              <w:right w:val="single" w:sz="4" w:space="0" w:color="auto"/>
            </w:tcBorders>
            <w:noWrap/>
          </w:tcPr>
          <w:p w14:paraId="30045F56" w14:textId="341D1970" w:rsidR="00A428D9" w:rsidRPr="00012E78" w:rsidRDefault="00F4035C" w:rsidP="00C40E56">
            <w:pPr>
              <w:bidi/>
              <w:jc w:val="left"/>
              <w:rPr>
                <w:color w:val="000000"/>
                <w:sz w:val="17"/>
                <w:szCs w:val="17"/>
                <w:lang w:val="en-GB" w:eastAsia="en-CA"/>
              </w:rPr>
            </w:pPr>
            <w:r>
              <w:rPr>
                <w:sz w:val="17"/>
                <w:szCs w:val="17"/>
                <w:rtl/>
              </w:rPr>
              <w:t xml:space="preserve">خطة إدارة إزالة المواد الهيدروكلوروفلوروكربونية (المرحلة </w:t>
            </w:r>
            <w:r>
              <w:rPr>
                <w:rFonts w:hint="cs"/>
                <w:sz w:val="17"/>
                <w:szCs w:val="17"/>
                <w:rtl/>
              </w:rPr>
              <w:t>الثانية</w:t>
            </w:r>
            <w:r>
              <w:rPr>
                <w:sz w:val="17"/>
                <w:szCs w:val="17"/>
                <w:rtl/>
              </w:rPr>
              <w:t>)</w:t>
            </w:r>
          </w:p>
        </w:tc>
        <w:tc>
          <w:tcPr>
            <w:tcW w:w="720" w:type="dxa"/>
            <w:tcBorders>
              <w:top w:val="nil"/>
              <w:left w:val="nil"/>
              <w:bottom w:val="single" w:sz="4" w:space="0" w:color="auto"/>
              <w:right w:val="single" w:sz="4" w:space="0" w:color="auto"/>
            </w:tcBorders>
            <w:noWrap/>
          </w:tcPr>
          <w:p w14:paraId="32CA32AC" w14:textId="77777777" w:rsidR="00A428D9" w:rsidRPr="00012E78" w:rsidRDefault="00A428D9" w:rsidP="00C40E56">
            <w:pPr>
              <w:bidi/>
              <w:jc w:val="left"/>
              <w:rPr>
                <w:color w:val="000000"/>
                <w:sz w:val="17"/>
                <w:szCs w:val="17"/>
              </w:rPr>
            </w:pPr>
            <w:r>
              <w:rPr>
                <w:sz w:val="17"/>
                <w:szCs w:val="17"/>
              </w:rPr>
              <w:t>716</w:t>
            </w:r>
          </w:p>
        </w:tc>
        <w:tc>
          <w:tcPr>
            <w:tcW w:w="1075" w:type="dxa"/>
            <w:tcBorders>
              <w:top w:val="nil"/>
              <w:left w:val="nil"/>
              <w:bottom w:val="single" w:sz="4" w:space="0" w:color="auto"/>
              <w:right w:val="single" w:sz="4" w:space="0" w:color="auto"/>
            </w:tcBorders>
            <w:noWrap/>
          </w:tcPr>
          <w:p w14:paraId="1206AE74" w14:textId="77777777" w:rsidR="00A428D9" w:rsidRPr="00012E78" w:rsidRDefault="00A428D9" w:rsidP="00C40E56">
            <w:pPr>
              <w:bidi/>
              <w:jc w:val="left"/>
              <w:rPr>
                <w:color w:val="000000"/>
                <w:sz w:val="17"/>
                <w:szCs w:val="17"/>
              </w:rPr>
            </w:pPr>
            <w:r>
              <w:rPr>
                <w:sz w:val="17"/>
                <w:szCs w:val="17"/>
              </w:rPr>
              <w:t>13,930</w:t>
            </w:r>
          </w:p>
        </w:tc>
        <w:tc>
          <w:tcPr>
            <w:tcW w:w="1134" w:type="dxa"/>
            <w:tcBorders>
              <w:top w:val="nil"/>
              <w:left w:val="nil"/>
              <w:bottom w:val="single" w:sz="4" w:space="0" w:color="auto"/>
              <w:right w:val="single" w:sz="4" w:space="0" w:color="auto"/>
            </w:tcBorders>
            <w:noWrap/>
          </w:tcPr>
          <w:p w14:paraId="255F53EF" w14:textId="77777777" w:rsidR="00A428D9" w:rsidRPr="00012E78" w:rsidRDefault="00A428D9" w:rsidP="00C40E56">
            <w:pPr>
              <w:bidi/>
              <w:jc w:val="left"/>
              <w:rPr>
                <w:color w:val="000000"/>
                <w:sz w:val="17"/>
                <w:szCs w:val="17"/>
              </w:rPr>
            </w:pPr>
            <w:r>
              <w:rPr>
                <w:sz w:val="17"/>
                <w:szCs w:val="17"/>
              </w:rPr>
              <w:t>8,528</w:t>
            </w:r>
          </w:p>
        </w:tc>
        <w:tc>
          <w:tcPr>
            <w:tcW w:w="1134" w:type="dxa"/>
            <w:tcBorders>
              <w:top w:val="nil"/>
              <w:left w:val="nil"/>
              <w:bottom w:val="single" w:sz="4" w:space="0" w:color="auto"/>
              <w:right w:val="single" w:sz="4" w:space="0" w:color="auto"/>
            </w:tcBorders>
            <w:noWrap/>
          </w:tcPr>
          <w:p w14:paraId="5523CFB7" w14:textId="77777777" w:rsidR="00A428D9" w:rsidRPr="00012E78" w:rsidRDefault="00A428D9" w:rsidP="00C40E56">
            <w:pPr>
              <w:bidi/>
              <w:jc w:val="left"/>
              <w:rPr>
                <w:color w:val="000000"/>
                <w:sz w:val="17"/>
                <w:szCs w:val="17"/>
              </w:rPr>
            </w:pPr>
            <w:r>
              <w:rPr>
                <w:sz w:val="17"/>
                <w:szCs w:val="17"/>
              </w:rPr>
              <w:t>0</w:t>
            </w:r>
          </w:p>
        </w:tc>
        <w:tc>
          <w:tcPr>
            <w:tcW w:w="1152" w:type="dxa"/>
            <w:tcBorders>
              <w:top w:val="nil"/>
              <w:left w:val="nil"/>
              <w:bottom w:val="single" w:sz="4" w:space="0" w:color="auto"/>
              <w:right w:val="single" w:sz="4" w:space="0" w:color="auto"/>
            </w:tcBorders>
            <w:noWrap/>
          </w:tcPr>
          <w:p w14:paraId="59E47BCA" w14:textId="77777777" w:rsidR="00A428D9" w:rsidRPr="00012E78" w:rsidRDefault="00A428D9" w:rsidP="00C40E56">
            <w:pPr>
              <w:bidi/>
              <w:jc w:val="left"/>
              <w:rPr>
                <w:color w:val="000000"/>
                <w:sz w:val="17"/>
                <w:szCs w:val="17"/>
              </w:rPr>
            </w:pPr>
            <w:r>
              <w:rPr>
                <w:sz w:val="17"/>
                <w:szCs w:val="17"/>
              </w:rPr>
              <w:t>0</w:t>
            </w:r>
          </w:p>
        </w:tc>
        <w:tc>
          <w:tcPr>
            <w:tcW w:w="990" w:type="dxa"/>
            <w:tcBorders>
              <w:top w:val="nil"/>
              <w:left w:val="nil"/>
              <w:bottom w:val="single" w:sz="4" w:space="0" w:color="auto"/>
              <w:right w:val="single" w:sz="4" w:space="0" w:color="auto"/>
            </w:tcBorders>
            <w:noWrap/>
          </w:tcPr>
          <w:p w14:paraId="2D6DEC32" w14:textId="77777777" w:rsidR="00A428D9" w:rsidRPr="00012E78" w:rsidRDefault="00A428D9" w:rsidP="00C40E56">
            <w:pPr>
              <w:bidi/>
              <w:jc w:val="left"/>
              <w:rPr>
                <w:color w:val="000000"/>
                <w:sz w:val="17"/>
                <w:szCs w:val="17"/>
              </w:rPr>
            </w:pPr>
            <w:r>
              <w:rPr>
                <w:sz w:val="17"/>
                <w:szCs w:val="17"/>
              </w:rPr>
              <w:t>0</w:t>
            </w:r>
          </w:p>
        </w:tc>
        <w:tc>
          <w:tcPr>
            <w:tcW w:w="993" w:type="dxa"/>
            <w:tcBorders>
              <w:top w:val="nil"/>
              <w:left w:val="nil"/>
              <w:bottom w:val="single" w:sz="4" w:space="0" w:color="auto"/>
              <w:right w:val="single" w:sz="4" w:space="0" w:color="auto"/>
            </w:tcBorders>
            <w:noWrap/>
          </w:tcPr>
          <w:p w14:paraId="6D0AFEA5" w14:textId="77777777" w:rsidR="00A428D9" w:rsidRPr="00012E78" w:rsidRDefault="00A428D9" w:rsidP="00C40E56">
            <w:pPr>
              <w:bidi/>
              <w:jc w:val="left"/>
              <w:rPr>
                <w:color w:val="000000"/>
                <w:sz w:val="17"/>
                <w:szCs w:val="17"/>
              </w:rPr>
            </w:pPr>
            <w:r>
              <w:rPr>
                <w:sz w:val="17"/>
                <w:szCs w:val="17"/>
              </w:rPr>
              <w:t>0</w:t>
            </w:r>
          </w:p>
        </w:tc>
        <w:tc>
          <w:tcPr>
            <w:tcW w:w="1257" w:type="dxa"/>
            <w:tcBorders>
              <w:top w:val="nil"/>
              <w:left w:val="nil"/>
              <w:bottom w:val="single" w:sz="4" w:space="0" w:color="auto"/>
              <w:right w:val="single" w:sz="4" w:space="0" w:color="auto"/>
            </w:tcBorders>
            <w:noWrap/>
          </w:tcPr>
          <w:p w14:paraId="59D800E4" w14:textId="77777777" w:rsidR="00A428D9" w:rsidRPr="00012E78" w:rsidRDefault="00A428D9" w:rsidP="00C40E56">
            <w:pPr>
              <w:bidi/>
              <w:jc w:val="left"/>
              <w:rPr>
                <w:color w:val="000000"/>
                <w:sz w:val="17"/>
                <w:szCs w:val="17"/>
              </w:rPr>
            </w:pPr>
            <w:r>
              <w:rPr>
                <w:sz w:val="17"/>
                <w:szCs w:val="17"/>
              </w:rPr>
              <w:t>507,758,650</w:t>
            </w:r>
          </w:p>
        </w:tc>
      </w:tr>
      <w:tr w:rsidR="00F4035C" w:rsidRPr="00012E78" w14:paraId="691B1742" w14:textId="77777777" w:rsidTr="008E13D0">
        <w:trPr>
          <w:trHeight w:val="44"/>
        </w:trPr>
        <w:tc>
          <w:tcPr>
            <w:tcW w:w="1625" w:type="dxa"/>
            <w:tcBorders>
              <w:top w:val="nil"/>
              <w:left w:val="single" w:sz="4" w:space="0" w:color="auto"/>
              <w:bottom w:val="single" w:sz="4" w:space="0" w:color="auto"/>
              <w:right w:val="single" w:sz="4" w:space="0" w:color="auto"/>
            </w:tcBorders>
            <w:noWrap/>
          </w:tcPr>
          <w:p w14:paraId="7BE5FDB3" w14:textId="150C945E" w:rsidR="00F4035C" w:rsidRPr="00012E78" w:rsidRDefault="00F4035C" w:rsidP="00F4035C">
            <w:pPr>
              <w:bidi/>
              <w:jc w:val="left"/>
              <w:rPr>
                <w:color w:val="000000"/>
                <w:sz w:val="17"/>
                <w:szCs w:val="17"/>
                <w:lang w:val="en-GB" w:eastAsia="en-CA"/>
              </w:rPr>
            </w:pPr>
            <w:r>
              <w:rPr>
                <w:sz w:val="17"/>
                <w:szCs w:val="17"/>
                <w:rtl/>
              </w:rPr>
              <w:t xml:space="preserve">خطة إدارة إزالة المواد الهيدروكلوروفلوروكربونية (المرحلة </w:t>
            </w:r>
            <w:r>
              <w:rPr>
                <w:rFonts w:hint="cs"/>
                <w:sz w:val="17"/>
                <w:szCs w:val="17"/>
                <w:rtl/>
              </w:rPr>
              <w:t>الثالثة</w:t>
            </w:r>
            <w:r>
              <w:rPr>
                <w:sz w:val="17"/>
                <w:szCs w:val="17"/>
                <w:rtl/>
              </w:rPr>
              <w:t>)</w:t>
            </w:r>
          </w:p>
        </w:tc>
        <w:tc>
          <w:tcPr>
            <w:tcW w:w="720" w:type="dxa"/>
            <w:tcBorders>
              <w:top w:val="nil"/>
              <w:left w:val="nil"/>
              <w:bottom w:val="single" w:sz="4" w:space="0" w:color="auto"/>
              <w:right w:val="single" w:sz="4" w:space="0" w:color="auto"/>
            </w:tcBorders>
            <w:noWrap/>
          </w:tcPr>
          <w:p w14:paraId="4142B03E" w14:textId="77777777" w:rsidR="00F4035C" w:rsidRPr="00012E78" w:rsidRDefault="00F4035C" w:rsidP="00F4035C">
            <w:pPr>
              <w:bidi/>
              <w:jc w:val="left"/>
              <w:rPr>
                <w:color w:val="000000"/>
                <w:sz w:val="17"/>
                <w:szCs w:val="17"/>
              </w:rPr>
            </w:pPr>
            <w:r>
              <w:rPr>
                <w:sz w:val="17"/>
                <w:szCs w:val="17"/>
              </w:rPr>
              <w:t>107</w:t>
            </w:r>
          </w:p>
        </w:tc>
        <w:tc>
          <w:tcPr>
            <w:tcW w:w="1075" w:type="dxa"/>
            <w:tcBorders>
              <w:top w:val="nil"/>
              <w:left w:val="nil"/>
              <w:bottom w:val="single" w:sz="4" w:space="0" w:color="auto"/>
              <w:right w:val="single" w:sz="4" w:space="0" w:color="auto"/>
            </w:tcBorders>
            <w:noWrap/>
          </w:tcPr>
          <w:p w14:paraId="367009E0" w14:textId="77777777" w:rsidR="00F4035C" w:rsidRPr="00012E78" w:rsidRDefault="00F4035C" w:rsidP="00F4035C">
            <w:pPr>
              <w:bidi/>
              <w:jc w:val="left"/>
              <w:rPr>
                <w:color w:val="000000"/>
                <w:sz w:val="17"/>
                <w:szCs w:val="17"/>
              </w:rPr>
            </w:pPr>
            <w:r>
              <w:rPr>
                <w:sz w:val="17"/>
                <w:szCs w:val="17"/>
              </w:rPr>
              <w:t>1,178</w:t>
            </w:r>
          </w:p>
        </w:tc>
        <w:tc>
          <w:tcPr>
            <w:tcW w:w="1134" w:type="dxa"/>
            <w:tcBorders>
              <w:top w:val="nil"/>
              <w:left w:val="nil"/>
              <w:bottom w:val="single" w:sz="4" w:space="0" w:color="auto"/>
              <w:right w:val="single" w:sz="4" w:space="0" w:color="auto"/>
            </w:tcBorders>
            <w:noWrap/>
          </w:tcPr>
          <w:p w14:paraId="03379791" w14:textId="77777777" w:rsidR="00F4035C" w:rsidRPr="00012E78" w:rsidRDefault="00F4035C" w:rsidP="00F4035C">
            <w:pPr>
              <w:bidi/>
              <w:jc w:val="left"/>
              <w:rPr>
                <w:color w:val="000000"/>
                <w:sz w:val="17"/>
                <w:szCs w:val="17"/>
              </w:rPr>
            </w:pPr>
            <w:r>
              <w:rPr>
                <w:sz w:val="17"/>
                <w:szCs w:val="17"/>
              </w:rPr>
              <w:t>63</w:t>
            </w:r>
          </w:p>
        </w:tc>
        <w:tc>
          <w:tcPr>
            <w:tcW w:w="1134" w:type="dxa"/>
            <w:tcBorders>
              <w:top w:val="nil"/>
              <w:left w:val="nil"/>
              <w:bottom w:val="single" w:sz="4" w:space="0" w:color="auto"/>
              <w:right w:val="single" w:sz="4" w:space="0" w:color="auto"/>
            </w:tcBorders>
            <w:noWrap/>
          </w:tcPr>
          <w:p w14:paraId="06BE4A34" w14:textId="77777777" w:rsidR="00F4035C" w:rsidRPr="00012E78" w:rsidRDefault="00F4035C" w:rsidP="00F4035C">
            <w:pPr>
              <w:bidi/>
              <w:jc w:val="left"/>
              <w:rPr>
                <w:color w:val="000000"/>
                <w:sz w:val="17"/>
                <w:szCs w:val="17"/>
              </w:rPr>
            </w:pPr>
            <w:r>
              <w:rPr>
                <w:sz w:val="17"/>
                <w:szCs w:val="17"/>
              </w:rPr>
              <w:t>0</w:t>
            </w:r>
          </w:p>
        </w:tc>
        <w:tc>
          <w:tcPr>
            <w:tcW w:w="1152" w:type="dxa"/>
            <w:tcBorders>
              <w:top w:val="nil"/>
              <w:left w:val="nil"/>
              <w:bottom w:val="single" w:sz="4" w:space="0" w:color="auto"/>
              <w:right w:val="single" w:sz="4" w:space="0" w:color="auto"/>
            </w:tcBorders>
            <w:noWrap/>
          </w:tcPr>
          <w:p w14:paraId="4D316D08" w14:textId="77777777" w:rsidR="00F4035C" w:rsidRPr="00012E78" w:rsidRDefault="00F4035C" w:rsidP="00F4035C">
            <w:pPr>
              <w:bidi/>
              <w:jc w:val="left"/>
              <w:rPr>
                <w:color w:val="000000"/>
                <w:sz w:val="17"/>
                <w:szCs w:val="17"/>
              </w:rPr>
            </w:pPr>
            <w:r>
              <w:rPr>
                <w:sz w:val="17"/>
                <w:szCs w:val="17"/>
              </w:rPr>
              <w:t>0</w:t>
            </w:r>
          </w:p>
        </w:tc>
        <w:tc>
          <w:tcPr>
            <w:tcW w:w="990" w:type="dxa"/>
            <w:tcBorders>
              <w:top w:val="nil"/>
              <w:left w:val="nil"/>
              <w:bottom w:val="single" w:sz="4" w:space="0" w:color="auto"/>
              <w:right w:val="single" w:sz="4" w:space="0" w:color="auto"/>
            </w:tcBorders>
            <w:noWrap/>
          </w:tcPr>
          <w:p w14:paraId="7C30A8F4" w14:textId="77777777" w:rsidR="00F4035C" w:rsidRPr="00012E78" w:rsidRDefault="00F4035C" w:rsidP="00F4035C">
            <w:pPr>
              <w:bidi/>
              <w:jc w:val="left"/>
              <w:rPr>
                <w:color w:val="000000"/>
                <w:sz w:val="17"/>
                <w:szCs w:val="17"/>
              </w:rPr>
            </w:pPr>
            <w:r>
              <w:rPr>
                <w:sz w:val="17"/>
                <w:szCs w:val="17"/>
              </w:rPr>
              <w:t>0</w:t>
            </w:r>
          </w:p>
        </w:tc>
        <w:tc>
          <w:tcPr>
            <w:tcW w:w="993" w:type="dxa"/>
            <w:tcBorders>
              <w:top w:val="nil"/>
              <w:left w:val="nil"/>
              <w:bottom w:val="single" w:sz="4" w:space="0" w:color="auto"/>
              <w:right w:val="single" w:sz="4" w:space="0" w:color="auto"/>
            </w:tcBorders>
            <w:noWrap/>
          </w:tcPr>
          <w:p w14:paraId="71CEA07C" w14:textId="77777777" w:rsidR="00F4035C" w:rsidRPr="00012E78" w:rsidRDefault="00F4035C" w:rsidP="00F4035C">
            <w:pPr>
              <w:bidi/>
              <w:jc w:val="left"/>
              <w:rPr>
                <w:color w:val="000000"/>
                <w:sz w:val="17"/>
                <w:szCs w:val="17"/>
              </w:rPr>
            </w:pPr>
            <w:r>
              <w:rPr>
                <w:sz w:val="17"/>
                <w:szCs w:val="17"/>
              </w:rPr>
              <w:t>0</w:t>
            </w:r>
          </w:p>
        </w:tc>
        <w:tc>
          <w:tcPr>
            <w:tcW w:w="1257" w:type="dxa"/>
            <w:tcBorders>
              <w:top w:val="nil"/>
              <w:left w:val="nil"/>
              <w:bottom w:val="single" w:sz="4" w:space="0" w:color="auto"/>
              <w:right w:val="single" w:sz="4" w:space="0" w:color="auto"/>
            </w:tcBorders>
            <w:noWrap/>
          </w:tcPr>
          <w:p w14:paraId="1EEF9B07" w14:textId="77777777" w:rsidR="00F4035C" w:rsidRPr="00012E78" w:rsidRDefault="00F4035C" w:rsidP="00F4035C">
            <w:pPr>
              <w:bidi/>
              <w:jc w:val="left"/>
              <w:rPr>
                <w:color w:val="000000"/>
                <w:sz w:val="17"/>
                <w:szCs w:val="17"/>
              </w:rPr>
            </w:pPr>
            <w:r>
              <w:rPr>
                <w:sz w:val="17"/>
                <w:szCs w:val="17"/>
              </w:rPr>
              <w:t>95,969,151</w:t>
            </w:r>
          </w:p>
        </w:tc>
      </w:tr>
      <w:tr w:rsidR="00F4035C" w:rsidRPr="00012E78" w14:paraId="7E06718F" w14:textId="77777777" w:rsidTr="008E13D0">
        <w:trPr>
          <w:trHeight w:val="44"/>
        </w:trPr>
        <w:tc>
          <w:tcPr>
            <w:tcW w:w="1625" w:type="dxa"/>
            <w:tcBorders>
              <w:top w:val="nil"/>
              <w:left w:val="single" w:sz="4" w:space="0" w:color="auto"/>
              <w:bottom w:val="single" w:sz="4" w:space="0" w:color="auto"/>
              <w:right w:val="single" w:sz="4" w:space="0" w:color="auto"/>
            </w:tcBorders>
            <w:noWrap/>
          </w:tcPr>
          <w:p w14:paraId="4F583643" w14:textId="209FA40F" w:rsidR="00F4035C" w:rsidRPr="00012E78" w:rsidRDefault="00F4035C" w:rsidP="00F4035C">
            <w:pPr>
              <w:bidi/>
              <w:jc w:val="left"/>
              <w:rPr>
                <w:color w:val="000000"/>
                <w:sz w:val="17"/>
                <w:szCs w:val="17"/>
                <w:lang w:val="en-GB" w:eastAsia="en-CA"/>
              </w:rPr>
            </w:pPr>
            <w:r>
              <w:rPr>
                <w:sz w:val="17"/>
                <w:szCs w:val="17"/>
                <w:rtl/>
              </w:rPr>
              <w:t xml:space="preserve">خطة إدارة إزالة المواد الهيدروكلوروفلوروكربونية (المرحلة </w:t>
            </w:r>
            <w:r>
              <w:rPr>
                <w:rFonts w:hint="cs"/>
                <w:sz w:val="17"/>
                <w:szCs w:val="17"/>
                <w:rtl/>
              </w:rPr>
              <w:t>الرابعة</w:t>
            </w:r>
            <w:r>
              <w:rPr>
                <w:sz w:val="17"/>
                <w:szCs w:val="17"/>
                <w:rtl/>
              </w:rPr>
              <w:t>)</w:t>
            </w:r>
          </w:p>
        </w:tc>
        <w:tc>
          <w:tcPr>
            <w:tcW w:w="720" w:type="dxa"/>
            <w:tcBorders>
              <w:top w:val="nil"/>
              <w:left w:val="nil"/>
              <w:bottom w:val="single" w:sz="4" w:space="0" w:color="auto"/>
              <w:right w:val="single" w:sz="4" w:space="0" w:color="auto"/>
            </w:tcBorders>
            <w:noWrap/>
          </w:tcPr>
          <w:p w14:paraId="062688C7" w14:textId="77777777" w:rsidR="00F4035C" w:rsidRPr="00012E78" w:rsidRDefault="00F4035C" w:rsidP="00F4035C">
            <w:pPr>
              <w:bidi/>
              <w:jc w:val="left"/>
              <w:rPr>
                <w:color w:val="000000"/>
                <w:sz w:val="17"/>
                <w:szCs w:val="17"/>
              </w:rPr>
            </w:pPr>
            <w:r>
              <w:rPr>
                <w:sz w:val="17"/>
                <w:szCs w:val="17"/>
              </w:rPr>
              <w:t>3</w:t>
            </w:r>
          </w:p>
        </w:tc>
        <w:tc>
          <w:tcPr>
            <w:tcW w:w="1075" w:type="dxa"/>
            <w:tcBorders>
              <w:top w:val="nil"/>
              <w:left w:val="nil"/>
              <w:bottom w:val="single" w:sz="4" w:space="0" w:color="auto"/>
              <w:right w:val="single" w:sz="4" w:space="0" w:color="auto"/>
            </w:tcBorders>
            <w:noWrap/>
          </w:tcPr>
          <w:p w14:paraId="0F59E501" w14:textId="77777777" w:rsidR="00F4035C" w:rsidRPr="00012E78" w:rsidRDefault="00F4035C" w:rsidP="00F4035C">
            <w:pPr>
              <w:bidi/>
              <w:jc w:val="left"/>
              <w:rPr>
                <w:color w:val="000000"/>
                <w:sz w:val="17"/>
                <w:szCs w:val="17"/>
              </w:rPr>
            </w:pPr>
            <w:r>
              <w:rPr>
                <w:sz w:val="17"/>
                <w:szCs w:val="17"/>
              </w:rPr>
              <w:t>50</w:t>
            </w:r>
          </w:p>
        </w:tc>
        <w:tc>
          <w:tcPr>
            <w:tcW w:w="1134" w:type="dxa"/>
            <w:tcBorders>
              <w:top w:val="nil"/>
              <w:left w:val="nil"/>
              <w:bottom w:val="single" w:sz="4" w:space="0" w:color="auto"/>
              <w:right w:val="single" w:sz="4" w:space="0" w:color="auto"/>
            </w:tcBorders>
            <w:noWrap/>
          </w:tcPr>
          <w:p w14:paraId="06B31F60" w14:textId="77777777" w:rsidR="00F4035C" w:rsidRPr="00012E78" w:rsidRDefault="00F4035C" w:rsidP="00F4035C">
            <w:pPr>
              <w:bidi/>
              <w:jc w:val="left"/>
              <w:rPr>
                <w:color w:val="000000"/>
                <w:sz w:val="17"/>
                <w:szCs w:val="17"/>
              </w:rPr>
            </w:pPr>
            <w:r>
              <w:rPr>
                <w:sz w:val="17"/>
                <w:szCs w:val="17"/>
              </w:rPr>
              <w:t>0</w:t>
            </w:r>
          </w:p>
        </w:tc>
        <w:tc>
          <w:tcPr>
            <w:tcW w:w="1134" w:type="dxa"/>
            <w:tcBorders>
              <w:top w:val="nil"/>
              <w:left w:val="nil"/>
              <w:bottom w:val="single" w:sz="4" w:space="0" w:color="auto"/>
              <w:right w:val="single" w:sz="4" w:space="0" w:color="auto"/>
            </w:tcBorders>
            <w:noWrap/>
          </w:tcPr>
          <w:p w14:paraId="20C74858" w14:textId="77777777" w:rsidR="00F4035C" w:rsidRPr="00012E78" w:rsidRDefault="00F4035C" w:rsidP="00F4035C">
            <w:pPr>
              <w:bidi/>
              <w:jc w:val="left"/>
              <w:rPr>
                <w:color w:val="000000"/>
                <w:sz w:val="17"/>
                <w:szCs w:val="17"/>
              </w:rPr>
            </w:pPr>
            <w:r>
              <w:rPr>
                <w:sz w:val="17"/>
                <w:szCs w:val="17"/>
              </w:rPr>
              <w:t>0</w:t>
            </w:r>
          </w:p>
        </w:tc>
        <w:tc>
          <w:tcPr>
            <w:tcW w:w="1152" w:type="dxa"/>
            <w:tcBorders>
              <w:top w:val="nil"/>
              <w:left w:val="nil"/>
              <w:bottom w:val="single" w:sz="4" w:space="0" w:color="auto"/>
              <w:right w:val="single" w:sz="4" w:space="0" w:color="auto"/>
            </w:tcBorders>
            <w:noWrap/>
          </w:tcPr>
          <w:p w14:paraId="182F20BA" w14:textId="77777777" w:rsidR="00F4035C" w:rsidRPr="00012E78" w:rsidRDefault="00F4035C" w:rsidP="00F4035C">
            <w:pPr>
              <w:bidi/>
              <w:jc w:val="left"/>
              <w:rPr>
                <w:color w:val="000000"/>
                <w:sz w:val="17"/>
                <w:szCs w:val="17"/>
              </w:rPr>
            </w:pPr>
            <w:r>
              <w:rPr>
                <w:sz w:val="17"/>
                <w:szCs w:val="17"/>
              </w:rPr>
              <w:t>0</w:t>
            </w:r>
          </w:p>
        </w:tc>
        <w:tc>
          <w:tcPr>
            <w:tcW w:w="990" w:type="dxa"/>
            <w:tcBorders>
              <w:top w:val="nil"/>
              <w:left w:val="nil"/>
              <w:bottom w:val="single" w:sz="4" w:space="0" w:color="auto"/>
              <w:right w:val="single" w:sz="4" w:space="0" w:color="auto"/>
            </w:tcBorders>
            <w:noWrap/>
          </w:tcPr>
          <w:p w14:paraId="6307415B" w14:textId="77777777" w:rsidR="00F4035C" w:rsidRPr="00012E78" w:rsidRDefault="00F4035C" w:rsidP="00F4035C">
            <w:pPr>
              <w:bidi/>
              <w:jc w:val="left"/>
              <w:rPr>
                <w:color w:val="000000"/>
                <w:sz w:val="17"/>
                <w:szCs w:val="17"/>
              </w:rPr>
            </w:pPr>
            <w:r>
              <w:rPr>
                <w:sz w:val="17"/>
                <w:szCs w:val="17"/>
              </w:rPr>
              <w:t>0</w:t>
            </w:r>
          </w:p>
        </w:tc>
        <w:tc>
          <w:tcPr>
            <w:tcW w:w="993" w:type="dxa"/>
            <w:tcBorders>
              <w:top w:val="nil"/>
              <w:left w:val="nil"/>
              <w:bottom w:val="single" w:sz="4" w:space="0" w:color="auto"/>
              <w:right w:val="single" w:sz="4" w:space="0" w:color="auto"/>
            </w:tcBorders>
            <w:noWrap/>
          </w:tcPr>
          <w:p w14:paraId="28632C55" w14:textId="77777777" w:rsidR="00F4035C" w:rsidRPr="00012E78" w:rsidRDefault="00F4035C" w:rsidP="00F4035C">
            <w:pPr>
              <w:bidi/>
              <w:jc w:val="left"/>
              <w:rPr>
                <w:color w:val="000000"/>
                <w:sz w:val="17"/>
                <w:szCs w:val="17"/>
              </w:rPr>
            </w:pPr>
            <w:r>
              <w:rPr>
                <w:sz w:val="17"/>
                <w:szCs w:val="17"/>
              </w:rPr>
              <w:t>0</w:t>
            </w:r>
          </w:p>
        </w:tc>
        <w:tc>
          <w:tcPr>
            <w:tcW w:w="1257" w:type="dxa"/>
            <w:tcBorders>
              <w:top w:val="nil"/>
              <w:left w:val="nil"/>
              <w:bottom w:val="single" w:sz="4" w:space="0" w:color="auto"/>
              <w:right w:val="single" w:sz="4" w:space="0" w:color="auto"/>
            </w:tcBorders>
            <w:noWrap/>
          </w:tcPr>
          <w:p w14:paraId="7FA87E69" w14:textId="77777777" w:rsidR="00F4035C" w:rsidRPr="00012E78" w:rsidRDefault="00F4035C" w:rsidP="00F4035C">
            <w:pPr>
              <w:bidi/>
              <w:jc w:val="left"/>
              <w:rPr>
                <w:color w:val="000000"/>
                <w:sz w:val="17"/>
                <w:szCs w:val="17"/>
              </w:rPr>
            </w:pPr>
            <w:r>
              <w:rPr>
                <w:sz w:val="17"/>
                <w:szCs w:val="17"/>
              </w:rPr>
              <w:t>4,135,490</w:t>
            </w:r>
          </w:p>
        </w:tc>
      </w:tr>
      <w:tr w:rsidR="00A428D9" w:rsidRPr="00012E78" w14:paraId="2E2C0D3D" w14:textId="77777777" w:rsidTr="008E13D0">
        <w:trPr>
          <w:trHeight w:val="44"/>
        </w:trPr>
        <w:tc>
          <w:tcPr>
            <w:tcW w:w="1625" w:type="dxa"/>
            <w:tcBorders>
              <w:top w:val="nil"/>
              <w:left w:val="single" w:sz="4" w:space="0" w:color="auto"/>
              <w:bottom w:val="single" w:sz="4" w:space="0" w:color="auto"/>
              <w:right w:val="single" w:sz="4" w:space="0" w:color="auto"/>
            </w:tcBorders>
            <w:noWrap/>
          </w:tcPr>
          <w:p w14:paraId="583F7F0C" w14:textId="78A7E5F0" w:rsidR="00A428D9" w:rsidRPr="00012E78" w:rsidRDefault="00F4035C" w:rsidP="00C40E56">
            <w:pPr>
              <w:bidi/>
              <w:jc w:val="left"/>
              <w:rPr>
                <w:color w:val="000000"/>
                <w:sz w:val="17"/>
                <w:szCs w:val="17"/>
                <w:lang w:val="en-GB" w:eastAsia="en-CA"/>
              </w:rPr>
            </w:pPr>
            <w:r>
              <w:rPr>
                <w:sz w:val="17"/>
                <w:szCs w:val="17"/>
                <w:rtl/>
              </w:rPr>
              <w:t>خطة إدارة إزالة إنتاج المواد الهيدروكلوروفلوروكربونية (المرحلة الأولى)</w:t>
            </w:r>
          </w:p>
        </w:tc>
        <w:tc>
          <w:tcPr>
            <w:tcW w:w="720" w:type="dxa"/>
            <w:tcBorders>
              <w:top w:val="nil"/>
              <w:left w:val="nil"/>
              <w:bottom w:val="single" w:sz="4" w:space="0" w:color="auto"/>
              <w:right w:val="single" w:sz="4" w:space="0" w:color="auto"/>
            </w:tcBorders>
            <w:noWrap/>
          </w:tcPr>
          <w:p w14:paraId="16F9D231" w14:textId="77777777" w:rsidR="00A428D9" w:rsidRPr="00012E78" w:rsidRDefault="00A428D9" w:rsidP="00C40E56">
            <w:pPr>
              <w:bidi/>
              <w:jc w:val="left"/>
              <w:rPr>
                <w:color w:val="000000"/>
                <w:sz w:val="17"/>
                <w:szCs w:val="17"/>
              </w:rPr>
            </w:pPr>
            <w:r>
              <w:rPr>
                <w:sz w:val="17"/>
                <w:szCs w:val="17"/>
              </w:rPr>
              <w:t>4</w:t>
            </w:r>
          </w:p>
        </w:tc>
        <w:tc>
          <w:tcPr>
            <w:tcW w:w="1075" w:type="dxa"/>
            <w:tcBorders>
              <w:top w:val="nil"/>
              <w:left w:val="nil"/>
              <w:bottom w:val="single" w:sz="4" w:space="0" w:color="auto"/>
              <w:right w:val="single" w:sz="4" w:space="0" w:color="auto"/>
            </w:tcBorders>
            <w:noWrap/>
          </w:tcPr>
          <w:p w14:paraId="09016BAF" w14:textId="77777777" w:rsidR="00A428D9" w:rsidRPr="00012E78" w:rsidRDefault="00A428D9" w:rsidP="00C40E56">
            <w:pPr>
              <w:bidi/>
              <w:jc w:val="left"/>
              <w:rPr>
                <w:color w:val="000000"/>
                <w:sz w:val="17"/>
                <w:szCs w:val="17"/>
              </w:rPr>
            </w:pPr>
            <w:r>
              <w:rPr>
                <w:sz w:val="17"/>
                <w:szCs w:val="17"/>
              </w:rPr>
              <w:t>0</w:t>
            </w:r>
          </w:p>
        </w:tc>
        <w:tc>
          <w:tcPr>
            <w:tcW w:w="1134" w:type="dxa"/>
            <w:tcBorders>
              <w:top w:val="nil"/>
              <w:left w:val="nil"/>
              <w:bottom w:val="single" w:sz="4" w:space="0" w:color="auto"/>
              <w:right w:val="single" w:sz="4" w:space="0" w:color="auto"/>
            </w:tcBorders>
            <w:noWrap/>
          </w:tcPr>
          <w:p w14:paraId="168CCFCD" w14:textId="77777777" w:rsidR="00A428D9" w:rsidRPr="00012E78" w:rsidRDefault="00A428D9" w:rsidP="00C40E56">
            <w:pPr>
              <w:bidi/>
              <w:jc w:val="left"/>
              <w:rPr>
                <w:color w:val="000000"/>
                <w:sz w:val="17"/>
                <w:szCs w:val="17"/>
              </w:rPr>
            </w:pPr>
            <w:r>
              <w:rPr>
                <w:sz w:val="17"/>
                <w:szCs w:val="17"/>
              </w:rPr>
              <w:t>0</w:t>
            </w:r>
          </w:p>
        </w:tc>
        <w:tc>
          <w:tcPr>
            <w:tcW w:w="1134" w:type="dxa"/>
            <w:tcBorders>
              <w:top w:val="nil"/>
              <w:left w:val="nil"/>
              <w:bottom w:val="single" w:sz="4" w:space="0" w:color="auto"/>
              <w:right w:val="single" w:sz="4" w:space="0" w:color="auto"/>
            </w:tcBorders>
            <w:noWrap/>
          </w:tcPr>
          <w:p w14:paraId="330C99EE" w14:textId="77777777" w:rsidR="00A428D9" w:rsidRPr="00012E78" w:rsidRDefault="00A428D9" w:rsidP="00C40E56">
            <w:pPr>
              <w:bidi/>
              <w:jc w:val="left"/>
              <w:rPr>
                <w:color w:val="000000"/>
                <w:sz w:val="17"/>
                <w:szCs w:val="17"/>
              </w:rPr>
            </w:pPr>
            <w:r>
              <w:rPr>
                <w:sz w:val="17"/>
                <w:szCs w:val="17"/>
              </w:rPr>
              <w:t>0</w:t>
            </w:r>
          </w:p>
        </w:tc>
        <w:tc>
          <w:tcPr>
            <w:tcW w:w="1152" w:type="dxa"/>
            <w:tcBorders>
              <w:top w:val="nil"/>
              <w:left w:val="nil"/>
              <w:bottom w:val="single" w:sz="4" w:space="0" w:color="auto"/>
              <w:right w:val="single" w:sz="4" w:space="0" w:color="auto"/>
            </w:tcBorders>
            <w:noWrap/>
          </w:tcPr>
          <w:p w14:paraId="057A0A9E" w14:textId="77777777" w:rsidR="00A428D9" w:rsidRPr="00012E78" w:rsidRDefault="00A428D9" w:rsidP="00C40E56">
            <w:pPr>
              <w:bidi/>
              <w:jc w:val="left"/>
              <w:rPr>
                <w:color w:val="000000"/>
                <w:sz w:val="17"/>
                <w:szCs w:val="17"/>
              </w:rPr>
            </w:pPr>
            <w:r>
              <w:rPr>
                <w:sz w:val="17"/>
                <w:szCs w:val="17"/>
              </w:rPr>
              <w:t>0</w:t>
            </w:r>
          </w:p>
        </w:tc>
        <w:tc>
          <w:tcPr>
            <w:tcW w:w="990" w:type="dxa"/>
            <w:tcBorders>
              <w:top w:val="nil"/>
              <w:left w:val="nil"/>
              <w:bottom w:val="single" w:sz="4" w:space="0" w:color="auto"/>
              <w:right w:val="single" w:sz="4" w:space="0" w:color="auto"/>
            </w:tcBorders>
            <w:noWrap/>
          </w:tcPr>
          <w:p w14:paraId="35F609FE" w14:textId="77777777" w:rsidR="00A428D9" w:rsidRPr="00012E78" w:rsidRDefault="00A428D9" w:rsidP="00C40E56">
            <w:pPr>
              <w:bidi/>
              <w:jc w:val="left"/>
              <w:rPr>
                <w:color w:val="000000"/>
                <w:sz w:val="17"/>
                <w:szCs w:val="17"/>
              </w:rPr>
            </w:pPr>
            <w:r>
              <w:rPr>
                <w:sz w:val="17"/>
                <w:szCs w:val="17"/>
              </w:rPr>
              <w:t>0</w:t>
            </w:r>
          </w:p>
        </w:tc>
        <w:tc>
          <w:tcPr>
            <w:tcW w:w="993" w:type="dxa"/>
            <w:tcBorders>
              <w:top w:val="nil"/>
              <w:left w:val="nil"/>
              <w:bottom w:val="single" w:sz="4" w:space="0" w:color="auto"/>
              <w:right w:val="single" w:sz="4" w:space="0" w:color="auto"/>
            </w:tcBorders>
            <w:noWrap/>
          </w:tcPr>
          <w:p w14:paraId="3AEA30C3" w14:textId="77777777" w:rsidR="00A428D9" w:rsidRPr="00012E78" w:rsidRDefault="00A428D9" w:rsidP="00C40E56">
            <w:pPr>
              <w:bidi/>
              <w:jc w:val="left"/>
              <w:rPr>
                <w:color w:val="000000"/>
                <w:sz w:val="17"/>
                <w:szCs w:val="17"/>
              </w:rPr>
            </w:pPr>
            <w:r>
              <w:rPr>
                <w:sz w:val="17"/>
                <w:szCs w:val="17"/>
              </w:rPr>
              <w:t>3,970</w:t>
            </w:r>
          </w:p>
        </w:tc>
        <w:tc>
          <w:tcPr>
            <w:tcW w:w="1257" w:type="dxa"/>
            <w:tcBorders>
              <w:top w:val="nil"/>
              <w:left w:val="nil"/>
              <w:bottom w:val="single" w:sz="4" w:space="0" w:color="auto"/>
              <w:right w:val="single" w:sz="4" w:space="0" w:color="auto"/>
            </w:tcBorders>
            <w:noWrap/>
          </w:tcPr>
          <w:p w14:paraId="455D7A5D" w14:textId="77777777" w:rsidR="00A428D9" w:rsidRPr="00012E78" w:rsidRDefault="00A428D9" w:rsidP="00C40E56">
            <w:pPr>
              <w:bidi/>
              <w:jc w:val="left"/>
              <w:rPr>
                <w:color w:val="000000"/>
                <w:sz w:val="17"/>
                <w:szCs w:val="17"/>
              </w:rPr>
            </w:pPr>
            <w:r>
              <w:rPr>
                <w:sz w:val="17"/>
                <w:szCs w:val="17"/>
              </w:rPr>
              <w:t>96,366,654</w:t>
            </w:r>
          </w:p>
        </w:tc>
      </w:tr>
      <w:tr w:rsidR="00A428D9" w:rsidRPr="00012E78" w14:paraId="56806B34" w14:textId="77777777" w:rsidTr="008E13D0">
        <w:trPr>
          <w:trHeight w:val="44"/>
        </w:trPr>
        <w:tc>
          <w:tcPr>
            <w:tcW w:w="1625" w:type="dxa"/>
            <w:tcBorders>
              <w:top w:val="nil"/>
              <w:left w:val="single" w:sz="4" w:space="0" w:color="auto"/>
              <w:bottom w:val="single" w:sz="4" w:space="0" w:color="auto"/>
              <w:right w:val="single" w:sz="4" w:space="0" w:color="auto"/>
            </w:tcBorders>
            <w:noWrap/>
          </w:tcPr>
          <w:p w14:paraId="6B04B3A0" w14:textId="35880923" w:rsidR="00A428D9" w:rsidRPr="00012E78" w:rsidRDefault="00F4035C" w:rsidP="00C40E56">
            <w:pPr>
              <w:bidi/>
              <w:jc w:val="left"/>
              <w:rPr>
                <w:color w:val="000000"/>
                <w:sz w:val="17"/>
                <w:szCs w:val="17"/>
                <w:lang w:val="en-GB" w:eastAsia="en-CA"/>
              </w:rPr>
            </w:pPr>
            <w:r>
              <w:rPr>
                <w:sz w:val="17"/>
                <w:szCs w:val="17"/>
                <w:rtl/>
              </w:rPr>
              <w:t>خطة إدارة إزالة إنتاج المواد الهيدروكلوروفلوروكربونية (المرحلة الثانية)</w:t>
            </w:r>
          </w:p>
        </w:tc>
        <w:tc>
          <w:tcPr>
            <w:tcW w:w="720" w:type="dxa"/>
            <w:tcBorders>
              <w:top w:val="nil"/>
              <w:left w:val="nil"/>
              <w:bottom w:val="single" w:sz="4" w:space="0" w:color="auto"/>
              <w:right w:val="single" w:sz="4" w:space="0" w:color="auto"/>
            </w:tcBorders>
            <w:noWrap/>
          </w:tcPr>
          <w:p w14:paraId="2E6BF27E" w14:textId="77777777" w:rsidR="00A428D9" w:rsidRPr="00012E78" w:rsidRDefault="00A428D9" w:rsidP="00C40E56">
            <w:pPr>
              <w:bidi/>
              <w:jc w:val="left"/>
              <w:rPr>
                <w:color w:val="000000"/>
                <w:sz w:val="17"/>
                <w:szCs w:val="17"/>
              </w:rPr>
            </w:pPr>
            <w:r>
              <w:rPr>
                <w:sz w:val="17"/>
                <w:szCs w:val="17"/>
              </w:rPr>
              <w:t>3</w:t>
            </w:r>
          </w:p>
        </w:tc>
        <w:tc>
          <w:tcPr>
            <w:tcW w:w="1075" w:type="dxa"/>
            <w:tcBorders>
              <w:top w:val="nil"/>
              <w:left w:val="nil"/>
              <w:bottom w:val="single" w:sz="4" w:space="0" w:color="auto"/>
              <w:right w:val="single" w:sz="4" w:space="0" w:color="auto"/>
            </w:tcBorders>
            <w:noWrap/>
          </w:tcPr>
          <w:p w14:paraId="7E429EDE" w14:textId="77777777" w:rsidR="00A428D9" w:rsidRPr="00012E78" w:rsidRDefault="00A428D9" w:rsidP="00C40E56">
            <w:pPr>
              <w:bidi/>
              <w:jc w:val="left"/>
              <w:rPr>
                <w:color w:val="000000"/>
                <w:sz w:val="17"/>
                <w:szCs w:val="17"/>
              </w:rPr>
            </w:pPr>
            <w:r>
              <w:rPr>
                <w:sz w:val="17"/>
                <w:szCs w:val="17"/>
              </w:rPr>
              <w:t>0</w:t>
            </w:r>
          </w:p>
        </w:tc>
        <w:tc>
          <w:tcPr>
            <w:tcW w:w="1134" w:type="dxa"/>
            <w:tcBorders>
              <w:top w:val="nil"/>
              <w:left w:val="nil"/>
              <w:bottom w:val="single" w:sz="4" w:space="0" w:color="auto"/>
              <w:right w:val="single" w:sz="4" w:space="0" w:color="auto"/>
            </w:tcBorders>
            <w:noWrap/>
          </w:tcPr>
          <w:p w14:paraId="5CD59558" w14:textId="77777777" w:rsidR="00A428D9" w:rsidRPr="00012E78" w:rsidRDefault="00A428D9" w:rsidP="00C40E56">
            <w:pPr>
              <w:bidi/>
              <w:jc w:val="left"/>
              <w:rPr>
                <w:color w:val="000000"/>
                <w:sz w:val="17"/>
                <w:szCs w:val="17"/>
              </w:rPr>
            </w:pPr>
            <w:r>
              <w:rPr>
                <w:sz w:val="17"/>
                <w:szCs w:val="17"/>
              </w:rPr>
              <w:t>0</w:t>
            </w:r>
          </w:p>
        </w:tc>
        <w:tc>
          <w:tcPr>
            <w:tcW w:w="1134" w:type="dxa"/>
            <w:tcBorders>
              <w:top w:val="nil"/>
              <w:left w:val="nil"/>
              <w:bottom w:val="single" w:sz="4" w:space="0" w:color="auto"/>
              <w:right w:val="single" w:sz="4" w:space="0" w:color="auto"/>
            </w:tcBorders>
            <w:noWrap/>
          </w:tcPr>
          <w:p w14:paraId="08CF43FD" w14:textId="77777777" w:rsidR="00A428D9" w:rsidRPr="00012E78" w:rsidRDefault="00A428D9" w:rsidP="00C40E56">
            <w:pPr>
              <w:bidi/>
              <w:jc w:val="left"/>
              <w:rPr>
                <w:color w:val="000000"/>
                <w:sz w:val="17"/>
                <w:szCs w:val="17"/>
              </w:rPr>
            </w:pPr>
            <w:r>
              <w:rPr>
                <w:sz w:val="17"/>
                <w:szCs w:val="17"/>
              </w:rPr>
              <w:t>0</w:t>
            </w:r>
          </w:p>
        </w:tc>
        <w:tc>
          <w:tcPr>
            <w:tcW w:w="1152" w:type="dxa"/>
            <w:tcBorders>
              <w:top w:val="nil"/>
              <w:left w:val="nil"/>
              <w:bottom w:val="single" w:sz="4" w:space="0" w:color="auto"/>
              <w:right w:val="single" w:sz="4" w:space="0" w:color="auto"/>
            </w:tcBorders>
            <w:noWrap/>
          </w:tcPr>
          <w:p w14:paraId="126FED6C" w14:textId="77777777" w:rsidR="00A428D9" w:rsidRPr="00012E78" w:rsidRDefault="00A428D9" w:rsidP="00C40E56">
            <w:pPr>
              <w:bidi/>
              <w:jc w:val="left"/>
              <w:rPr>
                <w:color w:val="000000"/>
                <w:sz w:val="17"/>
                <w:szCs w:val="17"/>
              </w:rPr>
            </w:pPr>
            <w:r>
              <w:rPr>
                <w:sz w:val="17"/>
                <w:szCs w:val="17"/>
              </w:rPr>
              <w:t>0</w:t>
            </w:r>
          </w:p>
        </w:tc>
        <w:tc>
          <w:tcPr>
            <w:tcW w:w="990" w:type="dxa"/>
            <w:tcBorders>
              <w:top w:val="nil"/>
              <w:left w:val="nil"/>
              <w:bottom w:val="single" w:sz="4" w:space="0" w:color="auto"/>
              <w:right w:val="single" w:sz="4" w:space="0" w:color="auto"/>
            </w:tcBorders>
            <w:noWrap/>
          </w:tcPr>
          <w:p w14:paraId="6AF3F7A9" w14:textId="77777777" w:rsidR="00A428D9" w:rsidRPr="00012E78" w:rsidRDefault="00A428D9" w:rsidP="00C40E56">
            <w:pPr>
              <w:bidi/>
              <w:jc w:val="left"/>
              <w:rPr>
                <w:color w:val="000000"/>
                <w:sz w:val="17"/>
                <w:szCs w:val="17"/>
              </w:rPr>
            </w:pPr>
            <w:r>
              <w:rPr>
                <w:sz w:val="17"/>
                <w:szCs w:val="17"/>
              </w:rPr>
              <w:t>10,637</w:t>
            </w:r>
          </w:p>
        </w:tc>
        <w:tc>
          <w:tcPr>
            <w:tcW w:w="993" w:type="dxa"/>
            <w:tcBorders>
              <w:top w:val="nil"/>
              <w:left w:val="nil"/>
              <w:bottom w:val="single" w:sz="4" w:space="0" w:color="auto"/>
              <w:right w:val="single" w:sz="4" w:space="0" w:color="auto"/>
            </w:tcBorders>
            <w:noWrap/>
          </w:tcPr>
          <w:p w14:paraId="2C710DC6" w14:textId="77777777" w:rsidR="00A428D9" w:rsidRPr="00012E78" w:rsidRDefault="00A428D9" w:rsidP="00C40E56">
            <w:pPr>
              <w:bidi/>
              <w:jc w:val="left"/>
              <w:rPr>
                <w:color w:val="000000"/>
                <w:sz w:val="17"/>
                <w:szCs w:val="17"/>
              </w:rPr>
            </w:pPr>
            <w:r>
              <w:rPr>
                <w:sz w:val="17"/>
                <w:szCs w:val="17"/>
              </w:rPr>
              <w:t>7,135</w:t>
            </w:r>
          </w:p>
        </w:tc>
        <w:tc>
          <w:tcPr>
            <w:tcW w:w="1257" w:type="dxa"/>
            <w:tcBorders>
              <w:top w:val="nil"/>
              <w:left w:val="nil"/>
              <w:bottom w:val="single" w:sz="4" w:space="0" w:color="auto"/>
              <w:right w:val="single" w:sz="4" w:space="0" w:color="auto"/>
            </w:tcBorders>
            <w:noWrap/>
          </w:tcPr>
          <w:p w14:paraId="082A36AE" w14:textId="77777777" w:rsidR="00A428D9" w:rsidRPr="00012E78" w:rsidRDefault="00A428D9" w:rsidP="00C40E56">
            <w:pPr>
              <w:bidi/>
              <w:jc w:val="left"/>
              <w:rPr>
                <w:color w:val="000000"/>
                <w:sz w:val="17"/>
                <w:szCs w:val="17"/>
              </w:rPr>
            </w:pPr>
            <w:r>
              <w:rPr>
                <w:sz w:val="17"/>
                <w:szCs w:val="17"/>
              </w:rPr>
              <w:t>70,749,213</w:t>
            </w:r>
          </w:p>
        </w:tc>
      </w:tr>
      <w:tr w:rsidR="00A428D9" w:rsidRPr="00012E78" w14:paraId="21D2E68F" w14:textId="77777777" w:rsidTr="008E13D0">
        <w:trPr>
          <w:trHeight w:val="44"/>
        </w:trPr>
        <w:tc>
          <w:tcPr>
            <w:tcW w:w="1625" w:type="dxa"/>
            <w:tcBorders>
              <w:top w:val="nil"/>
              <w:left w:val="single" w:sz="4" w:space="0" w:color="auto"/>
              <w:bottom w:val="single" w:sz="4" w:space="0" w:color="auto"/>
              <w:right w:val="single" w:sz="4" w:space="0" w:color="auto"/>
            </w:tcBorders>
            <w:noWrap/>
          </w:tcPr>
          <w:p w14:paraId="179D9A5C" w14:textId="6A218FD8" w:rsidR="00A428D9" w:rsidRPr="00012E78" w:rsidRDefault="00F4035C" w:rsidP="00C40E56">
            <w:pPr>
              <w:bidi/>
              <w:jc w:val="left"/>
              <w:rPr>
                <w:color w:val="000000"/>
                <w:sz w:val="17"/>
                <w:szCs w:val="17"/>
                <w:lang w:val="en-GB" w:eastAsia="en-CA"/>
              </w:rPr>
            </w:pPr>
            <w:r>
              <w:rPr>
                <w:sz w:val="17"/>
                <w:szCs w:val="17"/>
                <w:rtl/>
              </w:rPr>
              <w:t>المشاريع الفردية للمواد الهيدروفلوروكربونية</w:t>
            </w:r>
          </w:p>
        </w:tc>
        <w:tc>
          <w:tcPr>
            <w:tcW w:w="720" w:type="dxa"/>
            <w:tcBorders>
              <w:top w:val="nil"/>
              <w:left w:val="nil"/>
              <w:bottom w:val="single" w:sz="4" w:space="0" w:color="auto"/>
              <w:right w:val="single" w:sz="4" w:space="0" w:color="auto"/>
            </w:tcBorders>
            <w:noWrap/>
          </w:tcPr>
          <w:p w14:paraId="1437878D" w14:textId="77777777" w:rsidR="00A428D9" w:rsidRPr="00012E78" w:rsidRDefault="00A428D9" w:rsidP="00C40E56">
            <w:pPr>
              <w:bidi/>
              <w:jc w:val="left"/>
              <w:rPr>
                <w:color w:val="000000"/>
                <w:sz w:val="17"/>
                <w:szCs w:val="17"/>
              </w:rPr>
            </w:pPr>
            <w:r>
              <w:rPr>
                <w:sz w:val="17"/>
                <w:szCs w:val="17"/>
              </w:rPr>
              <w:t>683</w:t>
            </w:r>
          </w:p>
        </w:tc>
        <w:tc>
          <w:tcPr>
            <w:tcW w:w="1075" w:type="dxa"/>
            <w:tcBorders>
              <w:top w:val="nil"/>
              <w:left w:val="nil"/>
              <w:bottom w:val="single" w:sz="4" w:space="0" w:color="auto"/>
              <w:right w:val="single" w:sz="4" w:space="0" w:color="auto"/>
            </w:tcBorders>
            <w:noWrap/>
          </w:tcPr>
          <w:p w14:paraId="3157F4AE" w14:textId="77777777" w:rsidR="00A428D9" w:rsidRPr="00012E78" w:rsidRDefault="00A428D9" w:rsidP="00C40E56">
            <w:pPr>
              <w:bidi/>
              <w:jc w:val="left"/>
              <w:rPr>
                <w:color w:val="000000"/>
                <w:sz w:val="17"/>
                <w:szCs w:val="17"/>
              </w:rPr>
            </w:pPr>
            <w:r>
              <w:rPr>
                <w:sz w:val="17"/>
                <w:szCs w:val="17"/>
              </w:rPr>
              <w:t>0</w:t>
            </w:r>
          </w:p>
        </w:tc>
        <w:tc>
          <w:tcPr>
            <w:tcW w:w="1134" w:type="dxa"/>
            <w:tcBorders>
              <w:top w:val="nil"/>
              <w:left w:val="nil"/>
              <w:bottom w:val="single" w:sz="4" w:space="0" w:color="auto"/>
              <w:right w:val="single" w:sz="4" w:space="0" w:color="auto"/>
            </w:tcBorders>
            <w:noWrap/>
          </w:tcPr>
          <w:p w14:paraId="1652837E" w14:textId="77777777" w:rsidR="00A428D9" w:rsidRPr="00012E78" w:rsidRDefault="00A428D9" w:rsidP="00C40E56">
            <w:pPr>
              <w:bidi/>
              <w:jc w:val="left"/>
              <w:rPr>
                <w:color w:val="000000"/>
                <w:sz w:val="17"/>
                <w:szCs w:val="17"/>
                <w:rtl/>
                <w:lang w:bidi="ar-AE"/>
              </w:rPr>
            </w:pPr>
            <w:r>
              <w:rPr>
                <w:sz w:val="17"/>
                <w:szCs w:val="17"/>
              </w:rPr>
              <w:t>0</w:t>
            </w:r>
          </w:p>
        </w:tc>
        <w:tc>
          <w:tcPr>
            <w:tcW w:w="1134" w:type="dxa"/>
            <w:tcBorders>
              <w:top w:val="nil"/>
              <w:left w:val="nil"/>
              <w:bottom w:val="single" w:sz="4" w:space="0" w:color="auto"/>
              <w:right w:val="single" w:sz="4" w:space="0" w:color="auto"/>
            </w:tcBorders>
            <w:noWrap/>
          </w:tcPr>
          <w:p w14:paraId="768B28CD" w14:textId="77777777" w:rsidR="00A428D9" w:rsidRPr="00012E78" w:rsidRDefault="00A428D9" w:rsidP="00C40E56">
            <w:pPr>
              <w:bidi/>
              <w:jc w:val="left"/>
              <w:rPr>
                <w:color w:val="000000"/>
                <w:sz w:val="17"/>
                <w:szCs w:val="17"/>
              </w:rPr>
            </w:pPr>
            <w:r>
              <w:rPr>
                <w:sz w:val="17"/>
                <w:szCs w:val="17"/>
              </w:rPr>
              <w:t>2,467</w:t>
            </w:r>
          </w:p>
        </w:tc>
        <w:tc>
          <w:tcPr>
            <w:tcW w:w="1152" w:type="dxa"/>
            <w:tcBorders>
              <w:top w:val="nil"/>
              <w:left w:val="nil"/>
              <w:bottom w:val="single" w:sz="4" w:space="0" w:color="auto"/>
              <w:right w:val="single" w:sz="4" w:space="0" w:color="auto"/>
            </w:tcBorders>
            <w:noWrap/>
          </w:tcPr>
          <w:p w14:paraId="53A92ADF" w14:textId="77777777" w:rsidR="00A428D9" w:rsidRPr="00012E78" w:rsidRDefault="00A428D9" w:rsidP="00C40E56">
            <w:pPr>
              <w:bidi/>
              <w:jc w:val="left"/>
              <w:rPr>
                <w:color w:val="000000"/>
                <w:sz w:val="17"/>
                <w:szCs w:val="17"/>
              </w:rPr>
            </w:pPr>
            <w:r>
              <w:rPr>
                <w:sz w:val="17"/>
                <w:szCs w:val="17"/>
              </w:rPr>
              <w:t>978</w:t>
            </w:r>
          </w:p>
        </w:tc>
        <w:tc>
          <w:tcPr>
            <w:tcW w:w="990" w:type="dxa"/>
            <w:tcBorders>
              <w:top w:val="nil"/>
              <w:left w:val="nil"/>
              <w:bottom w:val="single" w:sz="4" w:space="0" w:color="auto"/>
              <w:right w:val="single" w:sz="4" w:space="0" w:color="auto"/>
            </w:tcBorders>
            <w:noWrap/>
          </w:tcPr>
          <w:p w14:paraId="1BDE8428" w14:textId="77777777" w:rsidR="00A428D9" w:rsidRPr="00012E78" w:rsidRDefault="00A428D9" w:rsidP="00C40E56">
            <w:pPr>
              <w:bidi/>
              <w:jc w:val="left"/>
              <w:rPr>
                <w:color w:val="000000"/>
                <w:sz w:val="17"/>
                <w:szCs w:val="17"/>
              </w:rPr>
            </w:pPr>
            <w:r>
              <w:rPr>
                <w:sz w:val="17"/>
                <w:szCs w:val="17"/>
              </w:rPr>
              <w:t>0</w:t>
            </w:r>
          </w:p>
        </w:tc>
        <w:tc>
          <w:tcPr>
            <w:tcW w:w="993" w:type="dxa"/>
            <w:tcBorders>
              <w:top w:val="nil"/>
              <w:left w:val="nil"/>
              <w:bottom w:val="single" w:sz="4" w:space="0" w:color="auto"/>
              <w:right w:val="single" w:sz="4" w:space="0" w:color="auto"/>
            </w:tcBorders>
            <w:noWrap/>
          </w:tcPr>
          <w:p w14:paraId="4280AF86" w14:textId="77777777" w:rsidR="00A428D9" w:rsidRPr="00012E78" w:rsidRDefault="00A428D9" w:rsidP="00C40E56">
            <w:pPr>
              <w:bidi/>
              <w:jc w:val="left"/>
              <w:rPr>
                <w:color w:val="000000"/>
                <w:sz w:val="17"/>
                <w:szCs w:val="17"/>
              </w:rPr>
            </w:pPr>
            <w:r>
              <w:rPr>
                <w:sz w:val="17"/>
                <w:szCs w:val="17"/>
              </w:rPr>
              <w:t>0</w:t>
            </w:r>
          </w:p>
        </w:tc>
        <w:tc>
          <w:tcPr>
            <w:tcW w:w="1257" w:type="dxa"/>
            <w:tcBorders>
              <w:top w:val="nil"/>
              <w:left w:val="nil"/>
              <w:bottom w:val="single" w:sz="4" w:space="0" w:color="auto"/>
              <w:right w:val="single" w:sz="4" w:space="0" w:color="auto"/>
            </w:tcBorders>
            <w:noWrap/>
          </w:tcPr>
          <w:p w14:paraId="5DDA7BF9" w14:textId="77777777" w:rsidR="00A428D9" w:rsidRPr="00012E78" w:rsidRDefault="00A428D9" w:rsidP="00C40E56">
            <w:pPr>
              <w:bidi/>
              <w:jc w:val="left"/>
              <w:rPr>
                <w:color w:val="000000"/>
                <w:sz w:val="17"/>
                <w:szCs w:val="17"/>
              </w:rPr>
            </w:pPr>
            <w:r>
              <w:rPr>
                <w:sz w:val="17"/>
                <w:szCs w:val="17"/>
              </w:rPr>
              <w:t>84,281,200</w:t>
            </w:r>
          </w:p>
        </w:tc>
      </w:tr>
      <w:tr w:rsidR="00A428D9" w:rsidRPr="00012E78" w14:paraId="54021918" w14:textId="77777777" w:rsidTr="008E13D0">
        <w:trPr>
          <w:trHeight w:val="44"/>
        </w:trPr>
        <w:tc>
          <w:tcPr>
            <w:tcW w:w="1625" w:type="dxa"/>
            <w:tcBorders>
              <w:top w:val="nil"/>
              <w:left w:val="single" w:sz="4" w:space="0" w:color="auto"/>
              <w:bottom w:val="single" w:sz="4" w:space="0" w:color="auto"/>
              <w:right w:val="single" w:sz="4" w:space="0" w:color="auto"/>
            </w:tcBorders>
            <w:noWrap/>
          </w:tcPr>
          <w:p w14:paraId="32E3D364" w14:textId="3684B112" w:rsidR="00A428D9" w:rsidRPr="00012E78" w:rsidRDefault="00F4035C" w:rsidP="00C40E56">
            <w:pPr>
              <w:bidi/>
              <w:jc w:val="left"/>
              <w:rPr>
                <w:color w:val="000000"/>
                <w:sz w:val="17"/>
                <w:szCs w:val="17"/>
                <w:rtl/>
                <w:lang w:val="en-GB" w:eastAsia="en-CA"/>
              </w:rPr>
            </w:pPr>
            <w:r>
              <w:rPr>
                <w:sz w:val="17"/>
                <w:szCs w:val="17"/>
                <w:rtl/>
              </w:rPr>
              <w:t>خطة تنفيذ كيغالي للمواد الهيدروفلوروكربونية (المرحلة الأولى)</w:t>
            </w:r>
          </w:p>
        </w:tc>
        <w:tc>
          <w:tcPr>
            <w:tcW w:w="720" w:type="dxa"/>
            <w:tcBorders>
              <w:top w:val="nil"/>
              <w:left w:val="nil"/>
              <w:bottom w:val="single" w:sz="4" w:space="0" w:color="auto"/>
              <w:right w:val="single" w:sz="4" w:space="0" w:color="auto"/>
            </w:tcBorders>
            <w:noWrap/>
          </w:tcPr>
          <w:p w14:paraId="69317C31" w14:textId="77777777" w:rsidR="00A428D9" w:rsidRPr="00012E78" w:rsidRDefault="00A428D9" w:rsidP="00C40E56">
            <w:pPr>
              <w:bidi/>
              <w:jc w:val="left"/>
              <w:rPr>
                <w:color w:val="000000"/>
                <w:sz w:val="17"/>
                <w:szCs w:val="17"/>
                <w:lang w:val="en-GB" w:eastAsia="en-CA"/>
              </w:rPr>
            </w:pPr>
            <w:r>
              <w:rPr>
                <w:sz w:val="17"/>
                <w:szCs w:val="17"/>
              </w:rPr>
              <w:t>254</w:t>
            </w:r>
          </w:p>
        </w:tc>
        <w:tc>
          <w:tcPr>
            <w:tcW w:w="1075" w:type="dxa"/>
            <w:tcBorders>
              <w:top w:val="nil"/>
              <w:left w:val="nil"/>
              <w:bottom w:val="single" w:sz="4" w:space="0" w:color="auto"/>
              <w:right w:val="single" w:sz="4" w:space="0" w:color="auto"/>
            </w:tcBorders>
            <w:noWrap/>
          </w:tcPr>
          <w:p w14:paraId="2A764DFA" w14:textId="77777777" w:rsidR="00A428D9" w:rsidRPr="00012E78" w:rsidRDefault="00A428D9" w:rsidP="00C40E56">
            <w:pPr>
              <w:bidi/>
              <w:jc w:val="left"/>
              <w:rPr>
                <w:color w:val="000000"/>
                <w:sz w:val="17"/>
                <w:szCs w:val="17"/>
                <w:lang w:val="en-GB" w:eastAsia="en-CA"/>
              </w:rPr>
            </w:pPr>
            <w:r>
              <w:rPr>
                <w:sz w:val="17"/>
                <w:szCs w:val="17"/>
              </w:rPr>
              <w:t>0</w:t>
            </w:r>
          </w:p>
        </w:tc>
        <w:tc>
          <w:tcPr>
            <w:tcW w:w="1134" w:type="dxa"/>
            <w:tcBorders>
              <w:top w:val="nil"/>
              <w:left w:val="nil"/>
              <w:bottom w:val="single" w:sz="4" w:space="0" w:color="auto"/>
              <w:right w:val="single" w:sz="4" w:space="0" w:color="auto"/>
            </w:tcBorders>
            <w:noWrap/>
          </w:tcPr>
          <w:p w14:paraId="179A320F" w14:textId="77777777" w:rsidR="00A428D9" w:rsidRPr="00012E78" w:rsidRDefault="00A428D9" w:rsidP="00C40E56">
            <w:pPr>
              <w:bidi/>
              <w:jc w:val="left"/>
              <w:rPr>
                <w:color w:val="000000"/>
                <w:sz w:val="17"/>
                <w:szCs w:val="17"/>
                <w:lang w:val="en-GB" w:eastAsia="en-CA"/>
              </w:rPr>
            </w:pPr>
            <w:r>
              <w:rPr>
                <w:sz w:val="17"/>
                <w:szCs w:val="17"/>
              </w:rPr>
              <w:t>0</w:t>
            </w:r>
          </w:p>
        </w:tc>
        <w:tc>
          <w:tcPr>
            <w:tcW w:w="1134" w:type="dxa"/>
            <w:tcBorders>
              <w:top w:val="nil"/>
              <w:left w:val="nil"/>
              <w:bottom w:val="single" w:sz="4" w:space="0" w:color="auto"/>
              <w:right w:val="single" w:sz="4" w:space="0" w:color="auto"/>
            </w:tcBorders>
            <w:noWrap/>
          </w:tcPr>
          <w:p w14:paraId="117F32CF" w14:textId="77777777" w:rsidR="00A428D9" w:rsidRPr="00012E78" w:rsidRDefault="00A428D9" w:rsidP="00C40E56">
            <w:pPr>
              <w:bidi/>
              <w:jc w:val="left"/>
              <w:rPr>
                <w:color w:val="000000"/>
                <w:sz w:val="17"/>
                <w:szCs w:val="17"/>
                <w:lang w:val="en-GB" w:eastAsia="en-CA"/>
              </w:rPr>
            </w:pPr>
            <w:r>
              <w:rPr>
                <w:sz w:val="17"/>
                <w:szCs w:val="17"/>
              </w:rPr>
              <w:t>17,235</w:t>
            </w:r>
          </w:p>
        </w:tc>
        <w:tc>
          <w:tcPr>
            <w:tcW w:w="1152" w:type="dxa"/>
            <w:tcBorders>
              <w:top w:val="nil"/>
              <w:left w:val="nil"/>
              <w:bottom w:val="single" w:sz="4" w:space="0" w:color="auto"/>
              <w:right w:val="single" w:sz="4" w:space="0" w:color="auto"/>
            </w:tcBorders>
            <w:noWrap/>
          </w:tcPr>
          <w:p w14:paraId="57CCDC01" w14:textId="77777777" w:rsidR="00A428D9" w:rsidRPr="00012E78" w:rsidRDefault="00A428D9" w:rsidP="00C40E56">
            <w:pPr>
              <w:bidi/>
              <w:jc w:val="left"/>
              <w:rPr>
                <w:color w:val="000000"/>
                <w:sz w:val="17"/>
                <w:szCs w:val="17"/>
                <w:lang w:val="en-GB" w:eastAsia="en-CA"/>
              </w:rPr>
            </w:pPr>
            <w:r>
              <w:rPr>
                <w:sz w:val="17"/>
                <w:szCs w:val="17"/>
              </w:rPr>
              <w:t>109</w:t>
            </w:r>
          </w:p>
        </w:tc>
        <w:tc>
          <w:tcPr>
            <w:tcW w:w="990" w:type="dxa"/>
            <w:tcBorders>
              <w:top w:val="nil"/>
              <w:left w:val="nil"/>
              <w:bottom w:val="single" w:sz="4" w:space="0" w:color="auto"/>
              <w:right w:val="single" w:sz="4" w:space="0" w:color="auto"/>
            </w:tcBorders>
            <w:noWrap/>
          </w:tcPr>
          <w:p w14:paraId="69210407" w14:textId="77777777" w:rsidR="00A428D9" w:rsidRPr="00012E78" w:rsidRDefault="00A428D9" w:rsidP="00C40E56">
            <w:pPr>
              <w:bidi/>
              <w:jc w:val="left"/>
              <w:rPr>
                <w:color w:val="000000"/>
                <w:sz w:val="17"/>
                <w:szCs w:val="17"/>
                <w:lang w:val="en-GB" w:eastAsia="en-CA"/>
              </w:rPr>
            </w:pPr>
            <w:r>
              <w:rPr>
                <w:sz w:val="17"/>
                <w:szCs w:val="17"/>
              </w:rPr>
              <w:t>0</w:t>
            </w:r>
          </w:p>
        </w:tc>
        <w:tc>
          <w:tcPr>
            <w:tcW w:w="993" w:type="dxa"/>
            <w:tcBorders>
              <w:top w:val="nil"/>
              <w:left w:val="nil"/>
              <w:bottom w:val="single" w:sz="4" w:space="0" w:color="auto"/>
              <w:right w:val="single" w:sz="4" w:space="0" w:color="auto"/>
            </w:tcBorders>
            <w:noWrap/>
          </w:tcPr>
          <w:p w14:paraId="32A46F70" w14:textId="77777777" w:rsidR="00A428D9" w:rsidRPr="00012E78" w:rsidRDefault="00A428D9" w:rsidP="00C40E56">
            <w:pPr>
              <w:bidi/>
              <w:jc w:val="left"/>
              <w:rPr>
                <w:color w:val="000000"/>
                <w:sz w:val="17"/>
                <w:szCs w:val="17"/>
                <w:lang w:val="en-GB" w:eastAsia="en-CA"/>
              </w:rPr>
            </w:pPr>
            <w:r>
              <w:rPr>
                <w:sz w:val="17"/>
                <w:szCs w:val="17"/>
              </w:rPr>
              <w:t>0</w:t>
            </w:r>
          </w:p>
        </w:tc>
        <w:tc>
          <w:tcPr>
            <w:tcW w:w="1257" w:type="dxa"/>
            <w:tcBorders>
              <w:top w:val="nil"/>
              <w:left w:val="nil"/>
              <w:bottom w:val="single" w:sz="4" w:space="0" w:color="auto"/>
              <w:right w:val="single" w:sz="4" w:space="0" w:color="auto"/>
            </w:tcBorders>
            <w:noWrap/>
          </w:tcPr>
          <w:p w14:paraId="6953EEEE" w14:textId="77777777" w:rsidR="00A428D9" w:rsidRPr="00012E78" w:rsidRDefault="00A428D9" w:rsidP="00C40E56">
            <w:pPr>
              <w:bidi/>
              <w:jc w:val="left"/>
              <w:rPr>
                <w:color w:val="000000"/>
                <w:sz w:val="17"/>
                <w:szCs w:val="17"/>
                <w:lang w:val="en-GB" w:eastAsia="en-CA"/>
              </w:rPr>
            </w:pPr>
            <w:r>
              <w:rPr>
                <w:sz w:val="17"/>
                <w:szCs w:val="17"/>
              </w:rPr>
              <w:t>84,646,076</w:t>
            </w:r>
          </w:p>
        </w:tc>
      </w:tr>
      <w:tr w:rsidR="00A428D9" w:rsidRPr="00012E78" w14:paraId="0ED40E00" w14:textId="77777777" w:rsidTr="008E13D0">
        <w:trPr>
          <w:trHeight w:val="44"/>
        </w:trPr>
        <w:tc>
          <w:tcPr>
            <w:tcW w:w="1625" w:type="dxa"/>
            <w:tcBorders>
              <w:top w:val="nil"/>
              <w:left w:val="single" w:sz="4" w:space="0" w:color="auto"/>
              <w:bottom w:val="single" w:sz="4" w:space="0" w:color="auto"/>
              <w:right w:val="single" w:sz="4" w:space="0" w:color="auto"/>
            </w:tcBorders>
            <w:noWrap/>
          </w:tcPr>
          <w:p w14:paraId="6F89987D" w14:textId="6F84F2A8" w:rsidR="00A428D9" w:rsidRPr="00012E78" w:rsidRDefault="00F4035C" w:rsidP="00C40E56">
            <w:pPr>
              <w:bidi/>
              <w:jc w:val="left"/>
              <w:rPr>
                <w:color w:val="000000"/>
                <w:sz w:val="17"/>
                <w:szCs w:val="17"/>
                <w:lang w:val="en-GB" w:eastAsia="en-CA"/>
              </w:rPr>
            </w:pPr>
            <w:r>
              <w:rPr>
                <w:sz w:val="17"/>
                <w:szCs w:val="17"/>
                <w:rtl/>
              </w:rPr>
              <w:t>المشاريع الفردية للمواد المستنفدة للأوزون الأخرى</w:t>
            </w:r>
          </w:p>
        </w:tc>
        <w:tc>
          <w:tcPr>
            <w:tcW w:w="720" w:type="dxa"/>
            <w:tcBorders>
              <w:top w:val="nil"/>
              <w:left w:val="nil"/>
              <w:bottom w:val="single" w:sz="4" w:space="0" w:color="auto"/>
              <w:right w:val="single" w:sz="4" w:space="0" w:color="auto"/>
            </w:tcBorders>
            <w:noWrap/>
          </w:tcPr>
          <w:p w14:paraId="0CABED66" w14:textId="77777777" w:rsidR="00A428D9" w:rsidRPr="00012E78" w:rsidRDefault="00A428D9" w:rsidP="00C40E56">
            <w:pPr>
              <w:bidi/>
              <w:jc w:val="left"/>
              <w:rPr>
                <w:color w:val="000000"/>
                <w:sz w:val="17"/>
                <w:szCs w:val="17"/>
                <w:lang w:val="en-GB" w:eastAsia="en-CA"/>
              </w:rPr>
            </w:pPr>
            <w:r>
              <w:rPr>
                <w:sz w:val="17"/>
                <w:szCs w:val="17"/>
              </w:rPr>
              <w:t>589</w:t>
            </w:r>
          </w:p>
        </w:tc>
        <w:tc>
          <w:tcPr>
            <w:tcW w:w="1075" w:type="dxa"/>
            <w:tcBorders>
              <w:top w:val="nil"/>
              <w:left w:val="nil"/>
              <w:bottom w:val="single" w:sz="4" w:space="0" w:color="auto"/>
              <w:right w:val="single" w:sz="4" w:space="0" w:color="auto"/>
            </w:tcBorders>
            <w:noWrap/>
          </w:tcPr>
          <w:p w14:paraId="3ABF0A71" w14:textId="77777777" w:rsidR="00A428D9" w:rsidRPr="00012E78" w:rsidRDefault="00A428D9" w:rsidP="00C40E56">
            <w:pPr>
              <w:bidi/>
              <w:jc w:val="left"/>
              <w:rPr>
                <w:color w:val="000000"/>
                <w:sz w:val="17"/>
                <w:szCs w:val="17"/>
                <w:lang w:val="en-GB" w:eastAsia="en-CA"/>
              </w:rPr>
            </w:pPr>
            <w:r>
              <w:rPr>
                <w:sz w:val="17"/>
                <w:szCs w:val="17"/>
              </w:rPr>
              <w:t>20,060</w:t>
            </w:r>
          </w:p>
        </w:tc>
        <w:tc>
          <w:tcPr>
            <w:tcW w:w="1134" w:type="dxa"/>
            <w:tcBorders>
              <w:top w:val="nil"/>
              <w:left w:val="nil"/>
              <w:bottom w:val="single" w:sz="4" w:space="0" w:color="auto"/>
              <w:right w:val="single" w:sz="4" w:space="0" w:color="auto"/>
            </w:tcBorders>
            <w:noWrap/>
          </w:tcPr>
          <w:p w14:paraId="4E006738" w14:textId="77777777" w:rsidR="00A428D9" w:rsidRPr="00012E78" w:rsidRDefault="00A428D9" w:rsidP="00C40E56">
            <w:pPr>
              <w:bidi/>
              <w:jc w:val="left"/>
              <w:rPr>
                <w:color w:val="000000"/>
                <w:sz w:val="17"/>
                <w:szCs w:val="17"/>
                <w:lang w:val="en-GB" w:eastAsia="en-CA"/>
              </w:rPr>
            </w:pPr>
            <w:r>
              <w:rPr>
                <w:sz w:val="17"/>
                <w:szCs w:val="17"/>
              </w:rPr>
              <w:t>20,843</w:t>
            </w:r>
          </w:p>
        </w:tc>
        <w:tc>
          <w:tcPr>
            <w:tcW w:w="1134" w:type="dxa"/>
            <w:tcBorders>
              <w:top w:val="nil"/>
              <w:left w:val="nil"/>
              <w:bottom w:val="single" w:sz="4" w:space="0" w:color="auto"/>
              <w:right w:val="single" w:sz="4" w:space="0" w:color="auto"/>
            </w:tcBorders>
            <w:noWrap/>
          </w:tcPr>
          <w:p w14:paraId="0084A4D7" w14:textId="77777777" w:rsidR="00A428D9" w:rsidRPr="00012E78" w:rsidRDefault="00A428D9" w:rsidP="00C40E56">
            <w:pPr>
              <w:bidi/>
              <w:jc w:val="left"/>
              <w:rPr>
                <w:color w:val="000000"/>
                <w:sz w:val="17"/>
                <w:szCs w:val="17"/>
                <w:lang w:val="en-GB" w:eastAsia="en-CA"/>
              </w:rPr>
            </w:pPr>
            <w:r>
              <w:rPr>
                <w:sz w:val="17"/>
                <w:szCs w:val="17"/>
              </w:rPr>
              <w:t>0</w:t>
            </w:r>
          </w:p>
        </w:tc>
        <w:tc>
          <w:tcPr>
            <w:tcW w:w="1152" w:type="dxa"/>
            <w:tcBorders>
              <w:top w:val="nil"/>
              <w:left w:val="nil"/>
              <w:bottom w:val="single" w:sz="4" w:space="0" w:color="auto"/>
              <w:right w:val="single" w:sz="4" w:space="0" w:color="auto"/>
            </w:tcBorders>
            <w:noWrap/>
          </w:tcPr>
          <w:p w14:paraId="7BB4893E" w14:textId="77777777" w:rsidR="00A428D9" w:rsidRPr="00012E78" w:rsidRDefault="00A428D9" w:rsidP="00C40E56">
            <w:pPr>
              <w:bidi/>
              <w:jc w:val="left"/>
              <w:rPr>
                <w:color w:val="000000"/>
                <w:sz w:val="17"/>
                <w:szCs w:val="17"/>
                <w:lang w:val="en-GB" w:eastAsia="en-CA"/>
              </w:rPr>
            </w:pPr>
            <w:r>
              <w:rPr>
                <w:sz w:val="17"/>
                <w:szCs w:val="17"/>
              </w:rPr>
              <w:t>0</w:t>
            </w:r>
          </w:p>
        </w:tc>
        <w:tc>
          <w:tcPr>
            <w:tcW w:w="990" w:type="dxa"/>
            <w:tcBorders>
              <w:top w:val="nil"/>
              <w:left w:val="nil"/>
              <w:bottom w:val="single" w:sz="4" w:space="0" w:color="auto"/>
              <w:right w:val="single" w:sz="4" w:space="0" w:color="auto"/>
            </w:tcBorders>
            <w:noWrap/>
          </w:tcPr>
          <w:p w14:paraId="5802181E" w14:textId="77777777" w:rsidR="00A428D9" w:rsidRPr="00012E78" w:rsidRDefault="00A428D9" w:rsidP="00C40E56">
            <w:pPr>
              <w:bidi/>
              <w:jc w:val="left"/>
              <w:rPr>
                <w:color w:val="000000"/>
                <w:sz w:val="17"/>
                <w:szCs w:val="17"/>
                <w:lang w:val="en-GB" w:eastAsia="en-CA"/>
              </w:rPr>
            </w:pPr>
            <w:r>
              <w:rPr>
                <w:sz w:val="17"/>
                <w:szCs w:val="17"/>
              </w:rPr>
              <w:t>1,200</w:t>
            </w:r>
          </w:p>
        </w:tc>
        <w:tc>
          <w:tcPr>
            <w:tcW w:w="993" w:type="dxa"/>
            <w:tcBorders>
              <w:top w:val="nil"/>
              <w:left w:val="nil"/>
              <w:bottom w:val="single" w:sz="4" w:space="0" w:color="auto"/>
              <w:right w:val="single" w:sz="4" w:space="0" w:color="auto"/>
            </w:tcBorders>
            <w:noWrap/>
          </w:tcPr>
          <w:p w14:paraId="6364215F" w14:textId="77777777" w:rsidR="00A428D9" w:rsidRPr="00012E78" w:rsidRDefault="00A428D9" w:rsidP="00C40E56">
            <w:pPr>
              <w:bidi/>
              <w:jc w:val="left"/>
              <w:rPr>
                <w:color w:val="000000"/>
                <w:sz w:val="17"/>
                <w:szCs w:val="17"/>
                <w:lang w:val="en-GB" w:eastAsia="en-CA"/>
              </w:rPr>
            </w:pPr>
            <w:r>
              <w:rPr>
                <w:sz w:val="17"/>
                <w:szCs w:val="17"/>
              </w:rPr>
              <w:t>1,200</w:t>
            </w:r>
          </w:p>
        </w:tc>
        <w:tc>
          <w:tcPr>
            <w:tcW w:w="1257" w:type="dxa"/>
            <w:tcBorders>
              <w:top w:val="nil"/>
              <w:left w:val="nil"/>
              <w:bottom w:val="single" w:sz="4" w:space="0" w:color="auto"/>
              <w:right w:val="single" w:sz="4" w:space="0" w:color="auto"/>
            </w:tcBorders>
            <w:noWrap/>
          </w:tcPr>
          <w:p w14:paraId="136117A0" w14:textId="77777777" w:rsidR="00A428D9" w:rsidRPr="00012E78" w:rsidRDefault="00A428D9" w:rsidP="00C40E56">
            <w:pPr>
              <w:bidi/>
              <w:jc w:val="left"/>
              <w:rPr>
                <w:color w:val="000000"/>
                <w:sz w:val="17"/>
                <w:szCs w:val="17"/>
                <w:lang w:val="en-GB" w:eastAsia="en-CA"/>
              </w:rPr>
            </w:pPr>
            <w:r>
              <w:rPr>
                <w:sz w:val="17"/>
                <w:szCs w:val="17"/>
              </w:rPr>
              <w:t>125,994,826</w:t>
            </w:r>
          </w:p>
        </w:tc>
      </w:tr>
      <w:tr w:rsidR="00A428D9" w:rsidRPr="00012E78" w14:paraId="33CA7585" w14:textId="77777777" w:rsidTr="008E13D0">
        <w:trPr>
          <w:trHeight w:val="44"/>
        </w:trPr>
        <w:tc>
          <w:tcPr>
            <w:tcW w:w="1625" w:type="dxa"/>
            <w:tcBorders>
              <w:top w:val="nil"/>
              <w:left w:val="single" w:sz="4" w:space="0" w:color="auto"/>
              <w:bottom w:val="single" w:sz="4" w:space="0" w:color="auto"/>
              <w:right w:val="single" w:sz="4" w:space="0" w:color="auto"/>
            </w:tcBorders>
            <w:noWrap/>
          </w:tcPr>
          <w:p w14:paraId="7829C44D" w14:textId="686E1C7A" w:rsidR="00A428D9" w:rsidRPr="00012E78" w:rsidRDefault="00F4035C" w:rsidP="00C40E56">
            <w:pPr>
              <w:bidi/>
              <w:jc w:val="left"/>
              <w:rPr>
                <w:color w:val="000000"/>
                <w:sz w:val="17"/>
                <w:szCs w:val="17"/>
                <w:lang w:val="en-GB" w:eastAsia="en-CA"/>
              </w:rPr>
            </w:pPr>
            <w:r>
              <w:rPr>
                <w:sz w:val="17"/>
                <w:szCs w:val="17"/>
                <w:rtl/>
              </w:rPr>
              <w:lastRenderedPageBreak/>
              <w:t>المشاريع الفردية لإنتاج المواد المستنفدة للأوزون الأخرى</w:t>
            </w:r>
          </w:p>
        </w:tc>
        <w:tc>
          <w:tcPr>
            <w:tcW w:w="720" w:type="dxa"/>
            <w:tcBorders>
              <w:top w:val="nil"/>
              <w:left w:val="nil"/>
              <w:bottom w:val="single" w:sz="4" w:space="0" w:color="auto"/>
              <w:right w:val="single" w:sz="4" w:space="0" w:color="auto"/>
            </w:tcBorders>
            <w:noWrap/>
          </w:tcPr>
          <w:p w14:paraId="755CC7EA" w14:textId="77777777" w:rsidR="00A428D9" w:rsidRPr="00012E78" w:rsidRDefault="00A428D9" w:rsidP="00C40E56">
            <w:pPr>
              <w:bidi/>
              <w:jc w:val="left"/>
              <w:rPr>
                <w:color w:val="000000"/>
                <w:sz w:val="17"/>
                <w:szCs w:val="17"/>
                <w:lang w:val="en-GB" w:eastAsia="en-CA"/>
              </w:rPr>
            </w:pPr>
            <w:r>
              <w:rPr>
                <w:sz w:val="17"/>
                <w:szCs w:val="17"/>
              </w:rPr>
              <w:t>1</w:t>
            </w:r>
          </w:p>
        </w:tc>
        <w:tc>
          <w:tcPr>
            <w:tcW w:w="1075" w:type="dxa"/>
            <w:tcBorders>
              <w:top w:val="nil"/>
              <w:left w:val="nil"/>
              <w:bottom w:val="single" w:sz="4" w:space="0" w:color="auto"/>
              <w:right w:val="single" w:sz="4" w:space="0" w:color="auto"/>
            </w:tcBorders>
            <w:noWrap/>
          </w:tcPr>
          <w:p w14:paraId="036E4549" w14:textId="77777777" w:rsidR="00A428D9" w:rsidRPr="00012E78" w:rsidRDefault="00A428D9" w:rsidP="00C40E56">
            <w:pPr>
              <w:bidi/>
              <w:jc w:val="left"/>
              <w:rPr>
                <w:color w:val="000000"/>
                <w:sz w:val="17"/>
                <w:szCs w:val="17"/>
                <w:lang w:val="en-GB" w:eastAsia="en-CA"/>
              </w:rPr>
            </w:pPr>
            <w:r>
              <w:rPr>
                <w:sz w:val="17"/>
                <w:szCs w:val="17"/>
              </w:rPr>
              <w:t>0</w:t>
            </w:r>
          </w:p>
        </w:tc>
        <w:tc>
          <w:tcPr>
            <w:tcW w:w="1134" w:type="dxa"/>
            <w:tcBorders>
              <w:top w:val="nil"/>
              <w:left w:val="nil"/>
              <w:bottom w:val="single" w:sz="4" w:space="0" w:color="auto"/>
              <w:right w:val="single" w:sz="4" w:space="0" w:color="auto"/>
            </w:tcBorders>
            <w:noWrap/>
          </w:tcPr>
          <w:p w14:paraId="3864BCF0" w14:textId="77777777" w:rsidR="00A428D9" w:rsidRPr="00012E78" w:rsidRDefault="00A428D9" w:rsidP="00C40E56">
            <w:pPr>
              <w:bidi/>
              <w:jc w:val="left"/>
              <w:rPr>
                <w:color w:val="000000"/>
                <w:sz w:val="17"/>
                <w:szCs w:val="17"/>
                <w:lang w:val="en-GB" w:eastAsia="en-CA"/>
              </w:rPr>
            </w:pPr>
            <w:r>
              <w:rPr>
                <w:sz w:val="17"/>
                <w:szCs w:val="17"/>
              </w:rPr>
              <w:t>0</w:t>
            </w:r>
          </w:p>
        </w:tc>
        <w:tc>
          <w:tcPr>
            <w:tcW w:w="1134" w:type="dxa"/>
            <w:tcBorders>
              <w:top w:val="nil"/>
              <w:left w:val="nil"/>
              <w:bottom w:val="single" w:sz="4" w:space="0" w:color="auto"/>
              <w:right w:val="single" w:sz="4" w:space="0" w:color="auto"/>
            </w:tcBorders>
            <w:noWrap/>
          </w:tcPr>
          <w:p w14:paraId="0BB11E9B" w14:textId="77777777" w:rsidR="00A428D9" w:rsidRPr="00012E78" w:rsidRDefault="00A428D9" w:rsidP="00C40E56">
            <w:pPr>
              <w:bidi/>
              <w:jc w:val="left"/>
              <w:rPr>
                <w:color w:val="000000"/>
                <w:sz w:val="17"/>
                <w:szCs w:val="17"/>
                <w:lang w:val="en-GB" w:eastAsia="en-CA"/>
              </w:rPr>
            </w:pPr>
            <w:r>
              <w:rPr>
                <w:sz w:val="17"/>
                <w:szCs w:val="17"/>
              </w:rPr>
              <w:t>0</w:t>
            </w:r>
          </w:p>
        </w:tc>
        <w:tc>
          <w:tcPr>
            <w:tcW w:w="1152" w:type="dxa"/>
            <w:tcBorders>
              <w:top w:val="nil"/>
              <w:left w:val="nil"/>
              <w:bottom w:val="single" w:sz="4" w:space="0" w:color="auto"/>
              <w:right w:val="single" w:sz="4" w:space="0" w:color="auto"/>
            </w:tcBorders>
            <w:noWrap/>
          </w:tcPr>
          <w:p w14:paraId="24EFC480" w14:textId="77777777" w:rsidR="00A428D9" w:rsidRPr="00012E78" w:rsidRDefault="00A428D9" w:rsidP="00C40E56">
            <w:pPr>
              <w:bidi/>
              <w:jc w:val="left"/>
              <w:rPr>
                <w:color w:val="000000"/>
                <w:sz w:val="17"/>
                <w:szCs w:val="17"/>
                <w:lang w:val="en-GB" w:eastAsia="en-CA"/>
              </w:rPr>
            </w:pPr>
            <w:r>
              <w:rPr>
                <w:sz w:val="17"/>
                <w:szCs w:val="17"/>
              </w:rPr>
              <w:t>0</w:t>
            </w:r>
          </w:p>
        </w:tc>
        <w:tc>
          <w:tcPr>
            <w:tcW w:w="990" w:type="dxa"/>
            <w:tcBorders>
              <w:top w:val="nil"/>
              <w:left w:val="nil"/>
              <w:bottom w:val="single" w:sz="4" w:space="0" w:color="auto"/>
              <w:right w:val="single" w:sz="4" w:space="0" w:color="auto"/>
            </w:tcBorders>
            <w:noWrap/>
          </w:tcPr>
          <w:p w14:paraId="1D523214" w14:textId="77777777" w:rsidR="00A428D9" w:rsidRPr="00012E78" w:rsidRDefault="00A428D9" w:rsidP="00C40E56">
            <w:pPr>
              <w:bidi/>
              <w:jc w:val="left"/>
              <w:rPr>
                <w:color w:val="000000"/>
                <w:sz w:val="17"/>
                <w:szCs w:val="17"/>
                <w:lang w:val="en-GB" w:eastAsia="en-CA"/>
              </w:rPr>
            </w:pPr>
            <w:r>
              <w:rPr>
                <w:sz w:val="17"/>
                <w:szCs w:val="17"/>
              </w:rPr>
              <w:t>321</w:t>
            </w:r>
          </w:p>
        </w:tc>
        <w:tc>
          <w:tcPr>
            <w:tcW w:w="993" w:type="dxa"/>
            <w:tcBorders>
              <w:top w:val="nil"/>
              <w:left w:val="nil"/>
              <w:bottom w:val="single" w:sz="4" w:space="0" w:color="auto"/>
              <w:right w:val="single" w:sz="4" w:space="0" w:color="auto"/>
            </w:tcBorders>
            <w:noWrap/>
          </w:tcPr>
          <w:p w14:paraId="7557D8FE" w14:textId="77777777" w:rsidR="00A428D9" w:rsidRPr="00012E78" w:rsidRDefault="00A428D9" w:rsidP="00C40E56">
            <w:pPr>
              <w:bidi/>
              <w:jc w:val="left"/>
              <w:rPr>
                <w:color w:val="000000"/>
                <w:sz w:val="17"/>
                <w:szCs w:val="17"/>
                <w:lang w:val="en-GB" w:eastAsia="en-CA"/>
              </w:rPr>
            </w:pPr>
            <w:r>
              <w:rPr>
                <w:sz w:val="17"/>
                <w:szCs w:val="17"/>
              </w:rPr>
              <w:t>321</w:t>
            </w:r>
          </w:p>
        </w:tc>
        <w:tc>
          <w:tcPr>
            <w:tcW w:w="1257" w:type="dxa"/>
            <w:tcBorders>
              <w:top w:val="nil"/>
              <w:left w:val="nil"/>
              <w:bottom w:val="single" w:sz="4" w:space="0" w:color="auto"/>
              <w:right w:val="single" w:sz="4" w:space="0" w:color="auto"/>
            </w:tcBorders>
            <w:noWrap/>
          </w:tcPr>
          <w:p w14:paraId="462C7D29" w14:textId="77777777" w:rsidR="00A428D9" w:rsidRPr="00012E78" w:rsidRDefault="00A428D9" w:rsidP="00C40E56">
            <w:pPr>
              <w:bidi/>
              <w:jc w:val="left"/>
              <w:rPr>
                <w:color w:val="000000"/>
                <w:sz w:val="17"/>
                <w:szCs w:val="17"/>
                <w:lang w:val="en-GB" w:eastAsia="en-CA"/>
              </w:rPr>
            </w:pPr>
            <w:r>
              <w:rPr>
                <w:sz w:val="17"/>
                <w:szCs w:val="17"/>
              </w:rPr>
              <w:t>1,037,302</w:t>
            </w:r>
          </w:p>
        </w:tc>
      </w:tr>
      <w:tr w:rsidR="00A428D9" w:rsidRPr="00012E78" w14:paraId="2EB6F100" w14:textId="77777777" w:rsidTr="008E13D0">
        <w:trPr>
          <w:trHeight w:val="44"/>
        </w:trPr>
        <w:tc>
          <w:tcPr>
            <w:tcW w:w="1625" w:type="dxa"/>
            <w:tcBorders>
              <w:top w:val="nil"/>
              <w:left w:val="single" w:sz="4" w:space="0" w:color="auto"/>
              <w:bottom w:val="single" w:sz="4" w:space="0" w:color="auto"/>
              <w:right w:val="single" w:sz="4" w:space="0" w:color="auto"/>
            </w:tcBorders>
            <w:noWrap/>
          </w:tcPr>
          <w:p w14:paraId="790B512B" w14:textId="6A6544BB" w:rsidR="00A428D9" w:rsidRPr="00012E78" w:rsidRDefault="00F4035C" w:rsidP="00C40E56">
            <w:pPr>
              <w:bidi/>
              <w:jc w:val="left"/>
              <w:rPr>
                <w:color w:val="000000"/>
                <w:sz w:val="17"/>
                <w:szCs w:val="17"/>
                <w:lang w:val="en-GB" w:eastAsia="en-CA"/>
              </w:rPr>
            </w:pPr>
            <w:r>
              <w:rPr>
                <w:sz w:val="17"/>
                <w:szCs w:val="17"/>
                <w:rtl/>
              </w:rPr>
              <w:t>خطط إزالة إنتاج المواد المستنفدة للأوزون الأخرى</w:t>
            </w:r>
          </w:p>
        </w:tc>
        <w:tc>
          <w:tcPr>
            <w:tcW w:w="720" w:type="dxa"/>
            <w:tcBorders>
              <w:top w:val="nil"/>
              <w:left w:val="nil"/>
              <w:bottom w:val="single" w:sz="4" w:space="0" w:color="auto"/>
              <w:right w:val="single" w:sz="4" w:space="0" w:color="auto"/>
            </w:tcBorders>
            <w:noWrap/>
          </w:tcPr>
          <w:p w14:paraId="4235E75E" w14:textId="77777777" w:rsidR="00A428D9" w:rsidRPr="00012E78" w:rsidRDefault="00A428D9" w:rsidP="00C40E56">
            <w:pPr>
              <w:bidi/>
              <w:jc w:val="left"/>
              <w:rPr>
                <w:color w:val="000000"/>
                <w:sz w:val="17"/>
                <w:szCs w:val="17"/>
                <w:lang w:val="en-GB" w:eastAsia="en-CA"/>
              </w:rPr>
            </w:pPr>
            <w:r>
              <w:rPr>
                <w:sz w:val="17"/>
                <w:szCs w:val="17"/>
              </w:rPr>
              <w:t>27</w:t>
            </w:r>
          </w:p>
        </w:tc>
        <w:tc>
          <w:tcPr>
            <w:tcW w:w="1075" w:type="dxa"/>
            <w:tcBorders>
              <w:top w:val="nil"/>
              <w:left w:val="nil"/>
              <w:bottom w:val="single" w:sz="4" w:space="0" w:color="auto"/>
              <w:right w:val="single" w:sz="4" w:space="0" w:color="auto"/>
            </w:tcBorders>
            <w:noWrap/>
          </w:tcPr>
          <w:p w14:paraId="28F9C7A8" w14:textId="77777777" w:rsidR="00A428D9" w:rsidRPr="00012E78" w:rsidRDefault="00A428D9" w:rsidP="00C40E56">
            <w:pPr>
              <w:bidi/>
              <w:jc w:val="left"/>
              <w:rPr>
                <w:color w:val="000000"/>
                <w:sz w:val="17"/>
                <w:szCs w:val="17"/>
                <w:lang w:val="en-GB" w:eastAsia="en-CA"/>
              </w:rPr>
            </w:pPr>
            <w:r>
              <w:rPr>
                <w:sz w:val="17"/>
                <w:szCs w:val="17"/>
              </w:rPr>
              <w:t>0</w:t>
            </w:r>
          </w:p>
        </w:tc>
        <w:tc>
          <w:tcPr>
            <w:tcW w:w="1134" w:type="dxa"/>
            <w:tcBorders>
              <w:top w:val="nil"/>
              <w:left w:val="nil"/>
              <w:bottom w:val="single" w:sz="4" w:space="0" w:color="auto"/>
              <w:right w:val="single" w:sz="4" w:space="0" w:color="auto"/>
            </w:tcBorders>
            <w:noWrap/>
          </w:tcPr>
          <w:p w14:paraId="116D4EF4" w14:textId="77777777" w:rsidR="00A428D9" w:rsidRPr="00012E78" w:rsidRDefault="00A428D9" w:rsidP="00C40E56">
            <w:pPr>
              <w:bidi/>
              <w:jc w:val="left"/>
              <w:rPr>
                <w:color w:val="000000"/>
                <w:sz w:val="17"/>
                <w:szCs w:val="17"/>
                <w:lang w:val="en-GB" w:eastAsia="en-CA"/>
              </w:rPr>
            </w:pPr>
            <w:r>
              <w:rPr>
                <w:sz w:val="17"/>
                <w:szCs w:val="17"/>
              </w:rPr>
              <w:t>0</w:t>
            </w:r>
          </w:p>
        </w:tc>
        <w:tc>
          <w:tcPr>
            <w:tcW w:w="1134" w:type="dxa"/>
            <w:tcBorders>
              <w:top w:val="nil"/>
              <w:left w:val="nil"/>
              <w:bottom w:val="single" w:sz="4" w:space="0" w:color="auto"/>
              <w:right w:val="single" w:sz="4" w:space="0" w:color="auto"/>
            </w:tcBorders>
            <w:noWrap/>
          </w:tcPr>
          <w:p w14:paraId="297A8EBB" w14:textId="77777777" w:rsidR="00A428D9" w:rsidRPr="00012E78" w:rsidRDefault="00A428D9" w:rsidP="00C40E56">
            <w:pPr>
              <w:bidi/>
              <w:jc w:val="left"/>
              <w:rPr>
                <w:color w:val="000000"/>
                <w:sz w:val="17"/>
                <w:szCs w:val="17"/>
                <w:lang w:val="en-GB" w:eastAsia="en-CA"/>
              </w:rPr>
            </w:pPr>
            <w:r>
              <w:rPr>
                <w:sz w:val="17"/>
                <w:szCs w:val="17"/>
              </w:rPr>
              <w:t>0</w:t>
            </w:r>
          </w:p>
        </w:tc>
        <w:tc>
          <w:tcPr>
            <w:tcW w:w="1152" w:type="dxa"/>
            <w:tcBorders>
              <w:top w:val="nil"/>
              <w:left w:val="nil"/>
              <w:bottom w:val="single" w:sz="4" w:space="0" w:color="auto"/>
              <w:right w:val="single" w:sz="4" w:space="0" w:color="auto"/>
            </w:tcBorders>
            <w:noWrap/>
          </w:tcPr>
          <w:p w14:paraId="5DC2563A" w14:textId="77777777" w:rsidR="00A428D9" w:rsidRPr="00012E78" w:rsidRDefault="00A428D9" w:rsidP="00C40E56">
            <w:pPr>
              <w:bidi/>
              <w:jc w:val="left"/>
              <w:rPr>
                <w:color w:val="000000"/>
                <w:sz w:val="17"/>
                <w:szCs w:val="17"/>
                <w:lang w:val="en-GB" w:eastAsia="en-CA"/>
              </w:rPr>
            </w:pPr>
            <w:r>
              <w:rPr>
                <w:sz w:val="17"/>
                <w:szCs w:val="17"/>
              </w:rPr>
              <w:t>0</w:t>
            </w:r>
          </w:p>
        </w:tc>
        <w:tc>
          <w:tcPr>
            <w:tcW w:w="990" w:type="dxa"/>
            <w:tcBorders>
              <w:top w:val="nil"/>
              <w:left w:val="nil"/>
              <w:bottom w:val="single" w:sz="4" w:space="0" w:color="auto"/>
              <w:right w:val="single" w:sz="4" w:space="0" w:color="auto"/>
            </w:tcBorders>
            <w:noWrap/>
          </w:tcPr>
          <w:p w14:paraId="0372D50D" w14:textId="77777777" w:rsidR="00A428D9" w:rsidRPr="00012E78" w:rsidRDefault="00A428D9" w:rsidP="00C40E56">
            <w:pPr>
              <w:bidi/>
              <w:jc w:val="left"/>
              <w:rPr>
                <w:color w:val="000000"/>
                <w:sz w:val="17"/>
                <w:szCs w:val="17"/>
                <w:lang w:val="en-GB" w:eastAsia="en-CA"/>
              </w:rPr>
            </w:pPr>
            <w:r>
              <w:rPr>
                <w:sz w:val="17"/>
                <w:szCs w:val="17"/>
              </w:rPr>
              <w:t>65,454</w:t>
            </w:r>
          </w:p>
        </w:tc>
        <w:tc>
          <w:tcPr>
            <w:tcW w:w="993" w:type="dxa"/>
            <w:tcBorders>
              <w:top w:val="nil"/>
              <w:left w:val="nil"/>
              <w:bottom w:val="single" w:sz="4" w:space="0" w:color="auto"/>
              <w:right w:val="single" w:sz="4" w:space="0" w:color="auto"/>
            </w:tcBorders>
            <w:noWrap/>
          </w:tcPr>
          <w:p w14:paraId="67640F5D" w14:textId="77777777" w:rsidR="00A428D9" w:rsidRPr="00012E78" w:rsidRDefault="00A428D9" w:rsidP="00C40E56">
            <w:pPr>
              <w:bidi/>
              <w:jc w:val="left"/>
              <w:rPr>
                <w:color w:val="000000"/>
                <w:sz w:val="17"/>
                <w:szCs w:val="17"/>
                <w:lang w:val="en-GB" w:eastAsia="en-CA"/>
              </w:rPr>
            </w:pPr>
            <w:r>
              <w:rPr>
                <w:sz w:val="17"/>
                <w:szCs w:val="17"/>
              </w:rPr>
              <w:t>65,014</w:t>
            </w:r>
          </w:p>
        </w:tc>
        <w:tc>
          <w:tcPr>
            <w:tcW w:w="1257" w:type="dxa"/>
            <w:tcBorders>
              <w:top w:val="nil"/>
              <w:left w:val="nil"/>
              <w:bottom w:val="single" w:sz="4" w:space="0" w:color="auto"/>
              <w:right w:val="single" w:sz="4" w:space="0" w:color="auto"/>
            </w:tcBorders>
            <w:noWrap/>
          </w:tcPr>
          <w:p w14:paraId="04AE531B" w14:textId="77777777" w:rsidR="00A428D9" w:rsidRPr="00012E78" w:rsidRDefault="00A428D9" w:rsidP="00C40E56">
            <w:pPr>
              <w:bidi/>
              <w:jc w:val="left"/>
              <w:rPr>
                <w:color w:val="000000"/>
                <w:sz w:val="17"/>
                <w:szCs w:val="17"/>
                <w:lang w:val="en-GB" w:eastAsia="en-CA"/>
              </w:rPr>
            </w:pPr>
            <w:r>
              <w:rPr>
                <w:sz w:val="17"/>
                <w:szCs w:val="17"/>
              </w:rPr>
              <w:t>60,749,881</w:t>
            </w:r>
          </w:p>
        </w:tc>
      </w:tr>
      <w:tr w:rsidR="00A428D9" w:rsidRPr="00012E78" w14:paraId="7245C1A7" w14:textId="77777777" w:rsidTr="008E13D0">
        <w:trPr>
          <w:trHeight w:val="44"/>
        </w:trPr>
        <w:tc>
          <w:tcPr>
            <w:tcW w:w="1625" w:type="dxa"/>
            <w:tcBorders>
              <w:top w:val="nil"/>
              <w:left w:val="single" w:sz="4" w:space="0" w:color="auto"/>
              <w:bottom w:val="single" w:sz="4" w:space="0" w:color="auto"/>
              <w:right w:val="single" w:sz="4" w:space="0" w:color="auto"/>
            </w:tcBorders>
            <w:noWrap/>
          </w:tcPr>
          <w:p w14:paraId="3B485DB3" w14:textId="18705A09" w:rsidR="00A428D9" w:rsidRPr="00012E78" w:rsidRDefault="00F4035C" w:rsidP="00C40E56">
            <w:pPr>
              <w:bidi/>
              <w:jc w:val="left"/>
              <w:rPr>
                <w:color w:val="000000"/>
                <w:sz w:val="17"/>
                <w:szCs w:val="17"/>
                <w:lang w:val="en-GB" w:eastAsia="en-CA"/>
              </w:rPr>
            </w:pPr>
            <w:r>
              <w:rPr>
                <w:sz w:val="17"/>
                <w:szCs w:val="17"/>
                <w:rtl/>
              </w:rPr>
              <w:t>خطة قطاعية للمواد المستنفدة للأوزون الأخرى</w:t>
            </w:r>
          </w:p>
        </w:tc>
        <w:tc>
          <w:tcPr>
            <w:tcW w:w="720" w:type="dxa"/>
            <w:tcBorders>
              <w:top w:val="nil"/>
              <w:left w:val="nil"/>
              <w:bottom w:val="single" w:sz="4" w:space="0" w:color="auto"/>
              <w:right w:val="single" w:sz="4" w:space="0" w:color="auto"/>
            </w:tcBorders>
            <w:noWrap/>
          </w:tcPr>
          <w:p w14:paraId="623F678E" w14:textId="77777777" w:rsidR="00A428D9" w:rsidRPr="00012E78" w:rsidRDefault="00A428D9" w:rsidP="00C40E56">
            <w:pPr>
              <w:bidi/>
              <w:jc w:val="left"/>
              <w:rPr>
                <w:color w:val="000000"/>
                <w:sz w:val="17"/>
                <w:szCs w:val="17"/>
                <w:lang w:val="en-GB" w:eastAsia="en-CA"/>
              </w:rPr>
            </w:pPr>
            <w:r>
              <w:rPr>
                <w:sz w:val="17"/>
                <w:szCs w:val="17"/>
              </w:rPr>
              <w:t>305</w:t>
            </w:r>
          </w:p>
        </w:tc>
        <w:tc>
          <w:tcPr>
            <w:tcW w:w="1075" w:type="dxa"/>
            <w:tcBorders>
              <w:top w:val="nil"/>
              <w:left w:val="nil"/>
              <w:bottom w:val="single" w:sz="4" w:space="0" w:color="auto"/>
              <w:right w:val="single" w:sz="4" w:space="0" w:color="auto"/>
            </w:tcBorders>
            <w:noWrap/>
          </w:tcPr>
          <w:p w14:paraId="35749006" w14:textId="77777777" w:rsidR="00A428D9" w:rsidRPr="00012E78" w:rsidRDefault="00A428D9" w:rsidP="00C40E56">
            <w:pPr>
              <w:bidi/>
              <w:jc w:val="left"/>
              <w:rPr>
                <w:color w:val="000000"/>
                <w:sz w:val="17"/>
                <w:szCs w:val="17"/>
                <w:lang w:val="en-GB" w:eastAsia="en-CA"/>
              </w:rPr>
            </w:pPr>
            <w:r>
              <w:rPr>
                <w:sz w:val="17"/>
                <w:szCs w:val="17"/>
              </w:rPr>
              <w:t>76,640</w:t>
            </w:r>
          </w:p>
        </w:tc>
        <w:tc>
          <w:tcPr>
            <w:tcW w:w="1134" w:type="dxa"/>
            <w:tcBorders>
              <w:top w:val="nil"/>
              <w:left w:val="nil"/>
              <w:bottom w:val="single" w:sz="4" w:space="0" w:color="auto"/>
              <w:right w:val="single" w:sz="4" w:space="0" w:color="auto"/>
            </w:tcBorders>
            <w:noWrap/>
          </w:tcPr>
          <w:p w14:paraId="53C5FD10" w14:textId="77777777" w:rsidR="00A428D9" w:rsidRPr="00012E78" w:rsidRDefault="00A428D9" w:rsidP="00C40E56">
            <w:pPr>
              <w:bidi/>
              <w:jc w:val="left"/>
              <w:rPr>
                <w:color w:val="000000"/>
                <w:sz w:val="17"/>
                <w:szCs w:val="17"/>
                <w:lang w:val="en-GB" w:eastAsia="en-CA"/>
              </w:rPr>
            </w:pPr>
            <w:r>
              <w:rPr>
                <w:sz w:val="17"/>
                <w:szCs w:val="17"/>
              </w:rPr>
              <w:t>101,499</w:t>
            </w:r>
          </w:p>
        </w:tc>
        <w:tc>
          <w:tcPr>
            <w:tcW w:w="1134" w:type="dxa"/>
            <w:tcBorders>
              <w:top w:val="nil"/>
              <w:left w:val="nil"/>
              <w:bottom w:val="single" w:sz="4" w:space="0" w:color="auto"/>
              <w:right w:val="single" w:sz="4" w:space="0" w:color="auto"/>
            </w:tcBorders>
            <w:noWrap/>
          </w:tcPr>
          <w:p w14:paraId="6D8A2235" w14:textId="77777777" w:rsidR="00A428D9" w:rsidRPr="00012E78" w:rsidRDefault="00A428D9" w:rsidP="00C40E56">
            <w:pPr>
              <w:bidi/>
              <w:jc w:val="left"/>
              <w:rPr>
                <w:color w:val="000000"/>
                <w:sz w:val="17"/>
                <w:szCs w:val="17"/>
                <w:lang w:val="en-GB" w:eastAsia="en-CA"/>
              </w:rPr>
            </w:pPr>
            <w:r>
              <w:rPr>
                <w:sz w:val="17"/>
                <w:szCs w:val="17"/>
              </w:rPr>
              <w:t>0</w:t>
            </w:r>
          </w:p>
        </w:tc>
        <w:tc>
          <w:tcPr>
            <w:tcW w:w="1152" w:type="dxa"/>
            <w:tcBorders>
              <w:top w:val="nil"/>
              <w:left w:val="nil"/>
              <w:bottom w:val="single" w:sz="4" w:space="0" w:color="auto"/>
              <w:right w:val="single" w:sz="4" w:space="0" w:color="auto"/>
            </w:tcBorders>
            <w:noWrap/>
          </w:tcPr>
          <w:p w14:paraId="674F2B76" w14:textId="77777777" w:rsidR="00A428D9" w:rsidRPr="00012E78" w:rsidRDefault="00A428D9" w:rsidP="00C40E56">
            <w:pPr>
              <w:bidi/>
              <w:jc w:val="left"/>
              <w:rPr>
                <w:color w:val="000000"/>
                <w:sz w:val="17"/>
                <w:szCs w:val="17"/>
                <w:lang w:val="en-GB" w:eastAsia="en-CA"/>
              </w:rPr>
            </w:pPr>
            <w:r>
              <w:rPr>
                <w:sz w:val="17"/>
                <w:szCs w:val="17"/>
              </w:rPr>
              <w:t>0</w:t>
            </w:r>
          </w:p>
        </w:tc>
        <w:tc>
          <w:tcPr>
            <w:tcW w:w="990" w:type="dxa"/>
            <w:tcBorders>
              <w:top w:val="nil"/>
              <w:left w:val="nil"/>
              <w:bottom w:val="single" w:sz="4" w:space="0" w:color="auto"/>
              <w:right w:val="single" w:sz="4" w:space="0" w:color="auto"/>
            </w:tcBorders>
            <w:noWrap/>
          </w:tcPr>
          <w:p w14:paraId="63433065" w14:textId="77777777" w:rsidR="00A428D9" w:rsidRPr="00012E78" w:rsidRDefault="00A428D9" w:rsidP="00C40E56">
            <w:pPr>
              <w:bidi/>
              <w:jc w:val="left"/>
              <w:rPr>
                <w:color w:val="000000"/>
                <w:sz w:val="17"/>
                <w:szCs w:val="17"/>
                <w:lang w:val="en-GB" w:eastAsia="en-CA"/>
              </w:rPr>
            </w:pPr>
            <w:r>
              <w:rPr>
                <w:sz w:val="17"/>
                <w:szCs w:val="17"/>
              </w:rPr>
              <w:t>33,173</w:t>
            </w:r>
          </w:p>
        </w:tc>
        <w:tc>
          <w:tcPr>
            <w:tcW w:w="993" w:type="dxa"/>
            <w:tcBorders>
              <w:top w:val="nil"/>
              <w:left w:val="nil"/>
              <w:bottom w:val="single" w:sz="4" w:space="0" w:color="auto"/>
              <w:right w:val="single" w:sz="4" w:space="0" w:color="auto"/>
            </w:tcBorders>
            <w:noWrap/>
          </w:tcPr>
          <w:p w14:paraId="23A48D6D" w14:textId="77777777" w:rsidR="00A428D9" w:rsidRPr="00012E78" w:rsidRDefault="00A428D9" w:rsidP="00C40E56">
            <w:pPr>
              <w:bidi/>
              <w:jc w:val="left"/>
              <w:rPr>
                <w:color w:val="000000"/>
                <w:sz w:val="17"/>
                <w:szCs w:val="17"/>
                <w:lang w:val="en-GB" w:eastAsia="en-CA"/>
              </w:rPr>
            </w:pPr>
            <w:r>
              <w:rPr>
                <w:sz w:val="17"/>
                <w:szCs w:val="17"/>
              </w:rPr>
              <w:t>33,173</w:t>
            </w:r>
          </w:p>
        </w:tc>
        <w:tc>
          <w:tcPr>
            <w:tcW w:w="1257" w:type="dxa"/>
            <w:tcBorders>
              <w:top w:val="nil"/>
              <w:left w:val="nil"/>
              <w:bottom w:val="single" w:sz="4" w:space="0" w:color="auto"/>
              <w:right w:val="single" w:sz="4" w:space="0" w:color="auto"/>
            </w:tcBorders>
            <w:noWrap/>
          </w:tcPr>
          <w:p w14:paraId="7AD2564D" w14:textId="77777777" w:rsidR="00A428D9" w:rsidRPr="00012E78" w:rsidRDefault="00A428D9" w:rsidP="00C40E56">
            <w:pPr>
              <w:bidi/>
              <w:jc w:val="left"/>
              <w:rPr>
                <w:color w:val="000000"/>
                <w:sz w:val="17"/>
                <w:szCs w:val="17"/>
                <w:lang w:val="en-GB" w:eastAsia="en-CA"/>
              </w:rPr>
            </w:pPr>
            <w:r>
              <w:rPr>
                <w:sz w:val="17"/>
                <w:szCs w:val="17"/>
              </w:rPr>
              <w:t>438,085,194</w:t>
            </w:r>
          </w:p>
        </w:tc>
      </w:tr>
      <w:tr w:rsidR="00A428D9" w:rsidRPr="00012E78" w14:paraId="07925E82" w14:textId="77777777" w:rsidTr="008E13D0">
        <w:trPr>
          <w:trHeight w:val="44"/>
        </w:trPr>
        <w:tc>
          <w:tcPr>
            <w:tcW w:w="1625" w:type="dxa"/>
            <w:tcBorders>
              <w:top w:val="nil"/>
              <w:left w:val="single" w:sz="4" w:space="0" w:color="auto"/>
              <w:bottom w:val="single" w:sz="4" w:space="0" w:color="auto"/>
              <w:right w:val="single" w:sz="4" w:space="0" w:color="auto"/>
            </w:tcBorders>
            <w:noWrap/>
          </w:tcPr>
          <w:p w14:paraId="79232345" w14:textId="0566D2D1" w:rsidR="00A428D9" w:rsidRPr="00012E78" w:rsidRDefault="00C44786" w:rsidP="00C40E56">
            <w:pPr>
              <w:bidi/>
              <w:jc w:val="left"/>
              <w:rPr>
                <w:b/>
                <w:bCs/>
                <w:color w:val="000000"/>
                <w:sz w:val="17"/>
                <w:szCs w:val="17"/>
                <w:lang w:val="en-GB" w:eastAsia="en-CA"/>
              </w:rPr>
            </w:pPr>
            <w:r>
              <w:rPr>
                <w:b/>
                <w:bCs/>
                <w:sz w:val="17"/>
                <w:szCs w:val="17"/>
                <w:rtl/>
              </w:rPr>
              <w:t>المجموع الإجمالي</w:t>
            </w:r>
          </w:p>
        </w:tc>
        <w:tc>
          <w:tcPr>
            <w:tcW w:w="720" w:type="dxa"/>
            <w:tcBorders>
              <w:top w:val="nil"/>
              <w:left w:val="nil"/>
              <w:bottom w:val="single" w:sz="4" w:space="0" w:color="auto"/>
              <w:right w:val="single" w:sz="4" w:space="0" w:color="auto"/>
            </w:tcBorders>
            <w:noWrap/>
          </w:tcPr>
          <w:p w14:paraId="540CF4CB" w14:textId="77777777" w:rsidR="00A428D9" w:rsidRPr="00012E78" w:rsidRDefault="00A428D9" w:rsidP="00C40E56">
            <w:pPr>
              <w:bidi/>
              <w:jc w:val="left"/>
              <w:rPr>
                <w:b/>
                <w:bCs/>
                <w:color w:val="000000"/>
                <w:sz w:val="17"/>
                <w:szCs w:val="17"/>
                <w:lang w:val="en-GB" w:eastAsia="en-CA"/>
              </w:rPr>
            </w:pPr>
            <w:r>
              <w:rPr>
                <w:b/>
                <w:bCs/>
                <w:sz w:val="17"/>
                <w:szCs w:val="17"/>
              </w:rPr>
              <w:t>10,584</w:t>
            </w:r>
          </w:p>
        </w:tc>
        <w:tc>
          <w:tcPr>
            <w:tcW w:w="1075" w:type="dxa"/>
            <w:tcBorders>
              <w:top w:val="nil"/>
              <w:left w:val="nil"/>
              <w:bottom w:val="single" w:sz="4" w:space="0" w:color="auto"/>
              <w:right w:val="single" w:sz="4" w:space="0" w:color="auto"/>
            </w:tcBorders>
            <w:noWrap/>
          </w:tcPr>
          <w:p w14:paraId="1017EACA" w14:textId="77777777" w:rsidR="00A428D9" w:rsidRPr="00012E78" w:rsidRDefault="00A428D9" w:rsidP="00C40E56">
            <w:pPr>
              <w:bidi/>
              <w:jc w:val="left"/>
              <w:rPr>
                <w:b/>
                <w:bCs/>
                <w:color w:val="000000"/>
                <w:sz w:val="17"/>
                <w:szCs w:val="17"/>
                <w:lang w:val="en-GB" w:eastAsia="en-CA"/>
              </w:rPr>
            </w:pPr>
            <w:r>
              <w:rPr>
                <w:b/>
                <w:bCs/>
                <w:sz w:val="17"/>
                <w:szCs w:val="17"/>
              </w:rPr>
              <w:t>290,318</w:t>
            </w:r>
          </w:p>
        </w:tc>
        <w:tc>
          <w:tcPr>
            <w:tcW w:w="1134" w:type="dxa"/>
            <w:tcBorders>
              <w:top w:val="nil"/>
              <w:left w:val="nil"/>
              <w:bottom w:val="single" w:sz="4" w:space="0" w:color="auto"/>
              <w:right w:val="single" w:sz="4" w:space="0" w:color="auto"/>
            </w:tcBorders>
            <w:noWrap/>
          </w:tcPr>
          <w:p w14:paraId="0096EF19" w14:textId="77777777" w:rsidR="00A428D9" w:rsidRPr="00012E78" w:rsidRDefault="00A428D9" w:rsidP="00C40E56">
            <w:pPr>
              <w:bidi/>
              <w:jc w:val="left"/>
              <w:rPr>
                <w:b/>
                <w:bCs/>
                <w:color w:val="000000"/>
                <w:sz w:val="17"/>
                <w:szCs w:val="17"/>
                <w:lang w:val="en-GB" w:eastAsia="en-CA"/>
              </w:rPr>
            </w:pPr>
            <w:r>
              <w:rPr>
                <w:b/>
                <w:bCs/>
                <w:sz w:val="17"/>
                <w:szCs w:val="17"/>
              </w:rPr>
              <w:t>310,509</w:t>
            </w:r>
          </w:p>
        </w:tc>
        <w:tc>
          <w:tcPr>
            <w:tcW w:w="1134" w:type="dxa"/>
            <w:tcBorders>
              <w:top w:val="nil"/>
              <w:left w:val="nil"/>
              <w:bottom w:val="single" w:sz="4" w:space="0" w:color="auto"/>
              <w:right w:val="single" w:sz="4" w:space="0" w:color="auto"/>
            </w:tcBorders>
            <w:noWrap/>
          </w:tcPr>
          <w:p w14:paraId="395F4FE6" w14:textId="77777777" w:rsidR="00A428D9" w:rsidRPr="00012E78" w:rsidRDefault="00A428D9" w:rsidP="00C40E56">
            <w:pPr>
              <w:bidi/>
              <w:jc w:val="left"/>
              <w:rPr>
                <w:b/>
                <w:bCs/>
                <w:color w:val="000000"/>
                <w:sz w:val="17"/>
                <w:szCs w:val="17"/>
                <w:lang w:val="en-GB" w:eastAsia="en-CA"/>
              </w:rPr>
            </w:pPr>
            <w:r>
              <w:rPr>
                <w:b/>
                <w:bCs/>
                <w:sz w:val="17"/>
                <w:szCs w:val="17"/>
              </w:rPr>
              <w:t>19,702</w:t>
            </w:r>
          </w:p>
        </w:tc>
        <w:tc>
          <w:tcPr>
            <w:tcW w:w="1152" w:type="dxa"/>
            <w:tcBorders>
              <w:top w:val="nil"/>
              <w:left w:val="nil"/>
              <w:bottom w:val="single" w:sz="4" w:space="0" w:color="auto"/>
              <w:right w:val="single" w:sz="4" w:space="0" w:color="auto"/>
            </w:tcBorders>
            <w:noWrap/>
          </w:tcPr>
          <w:p w14:paraId="1888FEC7" w14:textId="77777777" w:rsidR="00A428D9" w:rsidRPr="00012E78" w:rsidRDefault="00A428D9" w:rsidP="00C40E56">
            <w:pPr>
              <w:bidi/>
              <w:jc w:val="left"/>
              <w:rPr>
                <w:b/>
                <w:bCs/>
                <w:color w:val="000000"/>
                <w:sz w:val="17"/>
                <w:szCs w:val="17"/>
                <w:lang w:val="en-GB" w:eastAsia="en-CA"/>
              </w:rPr>
            </w:pPr>
            <w:r>
              <w:rPr>
                <w:b/>
                <w:bCs/>
                <w:sz w:val="17"/>
                <w:szCs w:val="17"/>
              </w:rPr>
              <w:t>1,086</w:t>
            </w:r>
          </w:p>
        </w:tc>
        <w:tc>
          <w:tcPr>
            <w:tcW w:w="990" w:type="dxa"/>
            <w:tcBorders>
              <w:top w:val="nil"/>
              <w:left w:val="nil"/>
              <w:bottom w:val="single" w:sz="4" w:space="0" w:color="auto"/>
              <w:right w:val="single" w:sz="4" w:space="0" w:color="auto"/>
            </w:tcBorders>
            <w:noWrap/>
          </w:tcPr>
          <w:p w14:paraId="5AA2DD87" w14:textId="77777777" w:rsidR="00A428D9" w:rsidRPr="00012E78" w:rsidRDefault="00A428D9" w:rsidP="00C40E56">
            <w:pPr>
              <w:bidi/>
              <w:jc w:val="left"/>
              <w:rPr>
                <w:b/>
                <w:bCs/>
                <w:color w:val="000000"/>
                <w:sz w:val="17"/>
                <w:szCs w:val="17"/>
                <w:lang w:val="en-GB" w:eastAsia="en-CA"/>
              </w:rPr>
            </w:pPr>
            <w:r>
              <w:rPr>
                <w:b/>
                <w:bCs/>
                <w:sz w:val="17"/>
                <w:szCs w:val="17"/>
              </w:rPr>
              <w:t>199,557</w:t>
            </w:r>
          </w:p>
        </w:tc>
        <w:tc>
          <w:tcPr>
            <w:tcW w:w="993" w:type="dxa"/>
            <w:tcBorders>
              <w:top w:val="nil"/>
              <w:left w:val="nil"/>
              <w:bottom w:val="single" w:sz="4" w:space="0" w:color="auto"/>
              <w:right w:val="single" w:sz="4" w:space="0" w:color="auto"/>
            </w:tcBorders>
            <w:noWrap/>
          </w:tcPr>
          <w:p w14:paraId="35195797" w14:textId="77777777" w:rsidR="00A428D9" w:rsidRPr="00012E78" w:rsidRDefault="00A428D9" w:rsidP="00C40E56">
            <w:pPr>
              <w:bidi/>
              <w:jc w:val="left"/>
              <w:rPr>
                <w:b/>
                <w:bCs/>
                <w:color w:val="000000"/>
                <w:sz w:val="17"/>
                <w:szCs w:val="17"/>
                <w:lang w:val="en-GB" w:eastAsia="en-CA"/>
              </w:rPr>
            </w:pPr>
            <w:r>
              <w:rPr>
                <w:b/>
                <w:bCs/>
                <w:sz w:val="17"/>
                <w:szCs w:val="17"/>
              </w:rPr>
              <w:t>199,585</w:t>
            </w:r>
          </w:p>
        </w:tc>
        <w:tc>
          <w:tcPr>
            <w:tcW w:w="1257" w:type="dxa"/>
            <w:tcBorders>
              <w:top w:val="nil"/>
              <w:left w:val="nil"/>
              <w:bottom w:val="single" w:sz="4" w:space="0" w:color="auto"/>
              <w:right w:val="single" w:sz="4" w:space="0" w:color="auto"/>
            </w:tcBorders>
            <w:noWrap/>
          </w:tcPr>
          <w:p w14:paraId="284203A3" w14:textId="77777777" w:rsidR="00A428D9" w:rsidRPr="00012E78" w:rsidRDefault="00A428D9" w:rsidP="00C40E56">
            <w:pPr>
              <w:bidi/>
              <w:jc w:val="left"/>
              <w:rPr>
                <w:b/>
                <w:bCs/>
                <w:color w:val="000000"/>
                <w:sz w:val="17"/>
                <w:szCs w:val="17"/>
                <w:lang w:val="en-GB" w:eastAsia="en-CA"/>
              </w:rPr>
            </w:pPr>
            <w:r>
              <w:rPr>
                <w:b/>
                <w:bCs/>
                <w:sz w:val="17"/>
                <w:szCs w:val="17"/>
              </w:rPr>
              <w:t>4,489,718,894</w:t>
            </w:r>
          </w:p>
        </w:tc>
      </w:tr>
    </w:tbl>
    <w:p w14:paraId="5594AB7F" w14:textId="4A55EDFE" w:rsidR="00C44786" w:rsidRDefault="00C44786" w:rsidP="00876E51">
      <w:pPr>
        <w:bidi/>
        <w:rPr>
          <w:sz w:val="18"/>
          <w:szCs w:val="18"/>
          <w:rtl/>
          <w:lang w:val="en-GB" w:bidi="ar-AE"/>
        </w:rPr>
      </w:pPr>
      <w:r>
        <w:rPr>
          <w:sz w:val="18"/>
          <w:szCs w:val="18"/>
          <w:rtl/>
          <w:lang w:val="en-GB" w:bidi="ar-AE"/>
        </w:rPr>
        <w:t>* باستثناء المشاريع الملغاة والمحوّلة، وبما في ذلك تكاليف دعم الوكالة، حيثما ينطبق ذلك.</w:t>
      </w:r>
    </w:p>
    <w:p w14:paraId="2B4386A4" w14:textId="45C7CBCE" w:rsidR="00C44786" w:rsidRPr="00C44786" w:rsidRDefault="00C44786" w:rsidP="00876E51">
      <w:pPr>
        <w:bidi/>
        <w:rPr>
          <w:sz w:val="18"/>
          <w:szCs w:val="18"/>
          <w:rtl/>
          <w:lang w:val="en-GB" w:bidi="ar-AE"/>
        </w:rPr>
      </w:pPr>
      <w:r>
        <w:rPr>
          <w:sz w:val="18"/>
          <w:szCs w:val="18"/>
          <w:rtl/>
          <w:lang w:val="en-GB" w:bidi="ar-AE"/>
        </w:rPr>
        <w:t xml:space="preserve">** </w:t>
      </w:r>
      <w:r>
        <w:rPr>
          <w:sz w:val="18"/>
          <w:szCs w:val="18"/>
          <w:lang w:val="en-GB"/>
        </w:rPr>
        <w:t>37,778,524</w:t>
      </w:r>
      <w:r>
        <w:rPr>
          <w:sz w:val="18"/>
          <w:szCs w:val="18"/>
          <w:rtl/>
          <w:lang w:val="en-GB" w:bidi="ar-AE"/>
        </w:rPr>
        <w:t> طناً من مكافئ ثاني أكسيد الكربون الموافق عليها للتخفيض التدريجي، و</w:t>
      </w:r>
      <w:r>
        <w:rPr>
          <w:sz w:val="18"/>
          <w:szCs w:val="18"/>
          <w:lang w:val="en-GB"/>
        </w:rPr>
        <w:t>1,606,380</w:t>
      </w:r>
      <w:r>
        <w:rPr>
          <w:sz w:val="18"/>
          <w:szCs w:val="18"/>
          <w:rtl/>
          <w:lang w:val="en-GB" w:bidi="ar-AE"/>
        </w:rPr>
        <w:t> طناً من مكافئ ثاني أكسيد الكربون خُفّضت فعلياً.</w:t>
      </w:r>
    </w:p>
    <w:p w14:paraId="038D217C" w14:textId="77777777" w:rsidR="00A428D9" w:rsidRPr="002D114E" w:rsidRDefault="00A428D9" w:rsidP="002D114E">
      <w:pPr>
        <w:bidi/>
        <w:ind w:left="1276"/>
        <w:rPr>
          <w:sz w:val="26"/>
          <w:szCs w:val="26"/>
          <w:lang w:val="en-US"/>
        </w:rPr>
      </w:pPr>
    </w:p>
    <w:p w14:paraId="4039B1A3" w14:textId="212C4C7C" w:rsidR="00C44786" w:rsidRPr="00C44786" w:rsidRDefault="002D114E" w:rsidP="003B64CF">
      <w:pPr>
        <w:pStyle w:val="Heading3"/>
        <w:numPr>
          <w:ilvl w:val="2"/>
          <w:numId w:val="16"/>
        </w:numPr>
        <w:bidi/>
        <w:spacing w:line="288" w:lineRule="auto"/>
        <w:ind w:left="720" w:firstLine="0"/>
        <w:rPr>
          <w:sz w:val="26"/>
          <w:szCs w:val="26"/>
          <w:lang w:eastAsia="en-GB"/>
        </w:rPr>
      </w:pPr>
      <w:r>
        <w:rPr>
          <w:sz w:val="26"/>
          <w:szCs w:val="26"/>
          <w:rtl/>
          <w:lang w:eastAsia="en-GB"/>
        </w:rPr>
        <w:t xml:space="preserve">يبلغ </w:t>
      </w:r>
      <w:r>
        <w:rPr>
          <w:rFonts w:hint="cs"/>
          <w:sz w:val="26"/>
          <w:szCs w:val="26"/>
          <w:rtl/>
          <w:lang w:eastAsia="en-GB"/>
        </w:rPr>
        <w:t>مجموع</w:t>
      </w:r>
      <w:r>
        <w:rPr>
          <w:sz w:val="26"/>
          <w:szCs w:val="26"/>
          <w:rtl/>
          <w:lang w:eastAsia="en-GB"/>
        </w:rPr>
        <w:t xml:space="preserve"> التمويل الذي وافقت عليه اللجنة التنفيذية منذ عام </w:t>
      </w:r>
      <w:r>
        <w:rPr>
          <w:sz w:val="26"/>
          <w:szCs w:val="26"/>
          <w:lang w:eastAsia="en-GB"/>
        </w:rPr>
        <w:t>1991</w:t>
      </w:r>
      <w:r>
        <w:rPr>
          <w:sz w:val="26"/>
          <w:szCs w:val="26"/>
          <w:rtl/>
          <w:lang w:eastAsia="en-GB"/>
        </w:rPr>
        <w:t xml:space="preserve"> لتحقيق إزالة المواد المستنفدة للأوزون والتخفيض التدريجي للمواد الهيدروفلوروكربونية </w:t>
      </w:r>
      <w:r>
        <w:rPr>
          <w:sz w:val="26"/>
          <w:szCs w:val="26"/>
          <w:lang w:val="en-GB"/>
        </w:rPr>
        <w:t>4,489,718,894</w:t>
      </w:r>
      <w:r>
        <w:rPr>
          <w:sz w:val="26"/>
          <w:szCs w:val="26"/>
          <w:rtl/>
          <w:lang w:eastAsia="en-GB"/>
        </w:rPr>
        <w:t xml:space="preserve"> دولاراً أمريكياً، بما في ذلك </w:t>
      </w:r>
      <w:r>
        <w:rPr>
          <w:sz w:val="26"/>
          <w:szCs w:val="26"/>
          <w:lang w:val="en-GB"/>
        </w:rPr>
        <w:t>470,639,717</w:t>
      </w:r>
      <w:r>
        <w:rPr>
          <w:sz w:val="26"/>
          <w:szCs w:val="26"/>
          <w:rtl/>
          <w:lang w:eastAsia="en-GB"/>
        </w:rPr>
        <w:t> دولاراً أمريكياً من تكاليف دعم الوكالة (باستثناء المشاريع الملغاة والمحوّلة). ومن إجمالي أموال المشاريع الموافق عليها، يبين الجدول</w:t>
      </w:r>
      <w:r>
        <w:rPr>
          <w:rFonts w:hint="cs"/>
          <w:sz w:val="26"/>
          <w:szCs w:val="26"/>
          <w:rtl/>
          <w:lang w:eastAsia="en-GB"/>
        </w:rPr>
        <w:t> </w:t>
      </w:r>
      <w:r>
        <w:rPr>
          <w:sz w:val="26"/>
          <w:szCs w:val="26"/>
          <w:lang w:val="en-US" w:eastAsia="en-GB"/>
        </w:rPr>
        <w:t>3</w:t>
      </w:r>
      <w:r>
        <w:rPr>
          <w:sz w:val="26"/>
          <w:szCs w:val="26"/>
          <w:rtl/>
          <w:lang w:eastAsia="en-GB"/>
        </w:rPr>
        <w:t xml:space="preserve"> أدناه المبالغ المخصصة للوكالات الثنائية وكل من الوكالات المنفذة </w:t>
      </w:r>
      <w:r>
        <w:rPr>
          <w:rFonts w:hint="cs"/>
          <w:sz w:val="26"/>
          <w:szCs w:val="26"/>
          <w:rtl/>
          <w:lang w:eastAsia="en-GB"/>
        </w:rPr>
        <w:t>التي قامت بصرفها</w:t>
      </w:r>
      <w:r>
        <w:rPr>
          <w:sz w:val="26"/>
          <w:szCs w:val="26"/>
          <w:rtl/>
          <w:lang w:eastAsia="en-GB"/>
        </w:rPr>
        <w:t>.</w:t>
      </w:r>
    </w:p>
    <w:p w14:paraId="1B71BF1B" w14:textId="1DCB77C6" w:rsidR="008E540A" w:rsidRPr="008E540A" w:rsidRDefault="008E540A" w:rsidP="00876E51">
      <w:pPr>
        <w:keepNext/>
        <w:bidi/>
        <w:ind w:left="720"/>
        <w:rPr>
          <w:sz w:val="26"/>
          <w:szCs w:val="26"/>
          <w:rtl/>
          <w:lang w:val="en-US" w:bidi="ar-AE"/>
        </w:rPr>
      </w:pPr>
      <w:r>
        <w:rPr>
          <w:rFonts w:hint="cs"/>
          <w:sz w:val="26"/>
          <w:szCs w:val="26"/>
          <w:rtl/>
          <w:lang w:val="en-GB" w:bidi="ar-AE"/>
        </w:rPr>
        <w:t>الجدول </w:t>
      </w:r>
      <w:r>
        <w:rPr>
          <w:sz w:val="26"/>
          <w:szCs w:val="26"/>
          <w:lang w:val="en-US" w:bidi="ar-AE"/>
        </w:rPr>
        <w:t>3</w:t>
      </w:r>
    </w:p>
    <w:p w14:paraId="2C4CAA61" w14:textId="6BD51A08" w:rsidR="008E540A" w:rsidRPr="008E540A" w:rsidRDefault="00FD6ABB" w:rsidP="00876E51">
      <w:pPr>
        <w:keepNext/>
        <w:bidi/>
        <w:ind w:left="720"/>
        <w:rPr>
          <w:b/>
          <w:bCs/>
          <w:sz w:val="26"/>
          <w:szCs w:val="26"/>
          <w:rtl/>
          <w:lang w:val="en-US" w:bidi="ar-AE"/>
        </w:rPr>
      </w:pPr>
      <w:r>
        <w:rPr>
          <w:b/>
          <w:bCs/>
          <w:sz w:val="26"/>
          <w:szCs w:val="26"/>
          <w:rtl/>
          <w:lang w:val="en-US" w:bidi="ar-AE"/>
        </w:rPr>
        <w:t>الأموال المعتمدة والمصروفة حسب الوكالة منذ إنشاء الصندوق المتعدد الأطراف</w:t>
      </w:r>
    </w:p>
    <w:tbl>
      <w:tblPr>
        <w:bidiVisual/>
        <w:tblW w:w="4606" w:type="pct"/>
        <w:tblInd w:w="720" w:type="dxa"/>
        <w:tblLayout w:type="fixed"/>
        <w:tblLook w:val="04A0" w:firstRow="1" w:lastRow="0" w:firstColumn="1" w:lastColumn="0" w:noHBand="0" w:noVBand="1"/>
      </w:tblPr>
      <w:tblGrid>
        <w:gridCol w:w="1617"/>
        <w:gridCol w:w="2332"/>
        <w:gridCol w:w="2332"/>
        <w:gridCol w:w="2332"/>
      </w:tblGrid>
      <w:tr w:rsidR="00FD6ABB" w:rsidRPr="00012E78" w14:paraId="7DF30E98" w14:textId="77777777" w:rsidTr="00876E51">
        <w:trPr>
          <w:trHeight w:val="292"/>
        </w:trPr>
        <w:tc>
          <w:tcPr>
            <w:tcW w:w="938" w:type="pct"/>
            <w:tcBorders>
              <w:top w:val="single" w:sz="4" w:space="0" w:color="auto"/>
              <w:left w:val="single" w:sz="4" w:space="0" w:color="auto"/>
              <w:bottom w:val="single" w:sz="4" w:space="0" w:color="auto"/>
              <w:right w:val="single" w:sz="4" w:space="0" w:color="auto"/>
            </w:tcBorders>
            <w:noWrap/>
            <w:hideMark/>
          </w:tcPr>
          <w:p w14:paraId="70011CB9" w14:textId="3B24F255" w:rsidR="00FD6ABB" w:rsidRPr="00012E78" w:rsidRDefault="00FD6ABB" w:rsidP="00FD6ABB">
            <w:pPr>
              <w:keepNext/>
              <w:bidi/>
              <w:jc w:val="left"/>
              <w:rPr>
                <w:b/>
                <w:bCs/>
                <w:color w:val="000000"/>
                <w:sz w:val="20"/>
                <w:szCs w:val="20"/>
                <w:rtl/>
                <w:lang w:val="en-GB" w:eastAsia="zh-CN" w:bidi="ar-AE"/>
              </w:rPr>
            </w:pPr>
            <w:r>
              <w:rPr>
                <w:rFonts w:hint="cs"/>
                <w:b/>
                <w:bCs/>
                <w:color w:val="000000"/>
                <w:sz w:val="20"/>
                <w:szCs w:val="20"/>
                <w:rtl/>
                <w:lang w:val="en-GB" w:eastAsia="zh-CN" w:bidi="ar-AE"/>
              </w:rPr>
              <w:t>الوكالة</w:t>
            </w:r>
          </w:p>
        </w:tc>
        <w:tc>
          <w:tcPr>
            <w:tcW w:w="1354" w:type="pct"/>
            <w:tcBorders>
              <w:top w:val="single" w:sz="4" w:space="0" w:color="auto"/>
              <w:left w:val="nil"/>
              <w:bottom w:val="single" w:sz="4" w:space="0" w:color="auto"/>
              <w:right w:val="single" w:sz="4" w:space="0" w:color="auto"/>
            </w:tcBorders>
            <w:noWrap/>
            <w:hideMark/>
          </w:tcPr>
          <w:p w14:paraId="1532CF28" w14:textId="71FB8283" w:rsidR="007971AC" w:rsidRPr="007971AC" w:rsidRDefault="007971AC" w:rsidP="007971AC">
            <w:pPr>
              <w:keepNext/>
              <w:bidi/>
              <w:jc w:val="center"/>
              <w:rPr>
                <w:b/>
                <w:bCs/>
                <w:color w:val="000000"/>
                <w:sz w:val="20"/>
                <w:szCs w:val="20"/>
                <w:lang w:val="en-GB" w:eastAsia="zh-CN"/>
              </w:rPr>
            </w:pPr>
            <w:r>
              <w:rPr>
                <w:rFonts w:hint="cs"/>
                <w:b/>
                <w:bCs/>
                <w:color w:val="000000"/>
                <w:sz w:val="20"/>
                <w:szCs w:val="20"/>
                <w:rtl/>
                <w:lang w:val="en-GB" w:eastAsia="zh-CN"/>
              </w:rPr>
              <w:t>ا</w:t>
            </w:r>
            <w:r>
              <w:rPr>
                <w:b/>
                <w:bCs/>
                <w:color w:val="000000"/>
                <w:sz w:val="20"/>
                <w:szCs w:val="20"/>
                <w:rtl/>
                <w:lang w:val="en-GB" w:eastAsia="zh-CN"/>
              </w:rPr>
              <w:t>لأموال المعتمدة*</w:t>
            </w:r>
          </w:p>
          <w:p w14:paraId="288FF9FF" w14:textId="5941F9EA" w:rsidR="00FD6ABB" w:rsidRPr="007971AC" w:rsidRDefault="007971AC" w:rsidP="007971AC">
            <w:pPr>
              <w:keepNext/>
              <w:bidi/>
              <w:jc w:val="center"/>
              <w:rPr>
                <w:b/>
                <w:bCs/>
                <w:color w:val="000000"/>
                <w:sz w:val="20"/>
                <w:szCs w:val="20"/>
                <w:lang w:val="en-US" w:eastAsia="zh-CN"/>
              </w:rPr>
            </w:pPr>
            <w:r>
              <w:rPr>
                <w:b/>
                <w:bCs/>
                <w:color w:val="000000"/>
                <w:sz w:val="20"/>
                <w:szCs w:val="20"/>
                <w:rtl/>
                <w:lang w:val="en-GB" w:eastAsia="zh-CN"/>
              </w:rPr>
              <w:t>(دولار أمريكي)</w:t>
            </w:r>
          </w:p>
        </w:tc>
        <w:tc>
          <w:tcPr>
            <w:tcW w:w="1354" w:type="pct"/>
            <w:tcBorders>
              <w:top w:val="single" w:sz="4" w:space="0" w:color="auto"/>
              <w:left w:val="nil"/>
              <w:bottom w:val="single" w:sz="4" w:space="0" w:color="auto"/>
              <w:right w:val="single" w:sz="4" w:space="0" w:color="auto"/>
            </w:tcBorders>
            <w:hideMark/>
          </w:tcPr>
          <w:p w14:paraId="70A72D7E" w14:textId="77777777" w:rsidR="007971AC" w:rsidRPr="007971AC" w:rsidRDefault="007971AC" w:rsidP="007971AC">
            <w:pPr>
              <w:keepNext/>
              <w:bidi/>
              <w:jc w:val="center"/>
              <w:rPr>
                <w:b/>
                <w:bCs/>
                <w:color w:val="000000"/>
                <w:sz w:val="20"/>
                <w:szCs w:val="20"/>
                <w:lang w:val="en-GB" w:eastAsia="zh-CN"/>
              </w:rPr>
            </w:pPr>
            <w:r>
              <w:rPr>
                <w:b/>
                <w:bCs/>
                <w:color w:val="000000"/>
                <w:sz w:val="20"/>
                <w:szCs w:val="20"/>
                <w:rtl/>
                <w:lang w:val="en-GB" w:eastAsia="zh-CN"/>
              </w:rPr>
              <w:t>تكاليف دعم الوكالة</w:t>
            </w:r>
          </w:p>
          <w:p w14:paraId="36767DFC" w14:textId="58893667" w:rsidR="00FD6ABB" w:rsidRPr="00012E78" w:rsidRDefault="007971AC" w:rsidP="007971AC">
            <w:pPr>
              <w:keepNext/>
              <w:bidi/>
              <w:jc w:val="center"/>
              <w:rPr>
                <w:b/>
                <w:bCs/>
                <w:color w:val="000000"/>
                <w:sz w:val="20"/>
                <w:szCs w:val="20"/>
                <w:lang w:val="en-GB" w:eastAsia="zh-CN"/>
              </w:rPr>
            </w:pPr>
            <w:r>
              <w:rPr>
                <w:b/>
                <w:bCs/>
                <w:color w:val="000000"/>
                <w:sz w:val="20"/>
                <w:szCs w:val="20"/>
                <w:rtl/>
                <w:lang w:val="en-GB" w:eastAsia="zh-CN"/>
              </w:rPr>
              <w:t>(دولار امريكي)</w:t>
            </w:r>
          </w:p>
        </w:tc>
        <w:tc>
          <w:tcPr>
            <w:tcW w:w="1354" w:type="pct"/>
            <w:tcBorders>
              <w:top w:val="single" w:sz="4" w:space="0" w:color="auto"/>
              <w:left w:val="nil"/>
              <w:bottom w:val="single" w:sz="4" w:space="0" w:color="auto"/>
              <w:right w:val="single" w:sz="4" w:space="0" w:color="auto"/>
            </w:tcBorders>
            <w:noWrap/>
            <w:hideMark/>
          </w:tcPr>
          <w:p w14:paraId="04B30967" w14:textId="77777777" w:rsidR="007971AC" w:rsidRPr="007971AC" w:rsidRDefault="007971AC" w:rsidP="007971AC">
            <w:pPr>
              <w:keepNext/>
              <w:bidi/>
              <w:jc w:val="center"/>
              <w:rPr>
                <w:b/>
                <w:bCs/>
                <w:color w:val="000000"/>
                <w:sz w:val="20"/>
                <w:szCs w:val="20"/>
                <w:lang w:val="en-GB" w:eastAsia="zh-CN"/>
              </w:rPr>
            </w:pPr>
            <w:r>
              <w:rPr>
                <w:b/>
                <w:bCs/>
                <w:color w:val="000000"/>
                <w:sz w:val="20"/>
                <w:szCs w:val="20"/>
                <w:rtl/>
                <w:lang w:val="en-GB" w:eastAsia="zh-CN"/>
              </w:rPr>
              <w:t>الأموال المصروفة**</w:t>
            </w:r>
          </w:p>
          <w:p w14:paraId="7ACBF7EC" w14:textId="637C730E" w:rsidR="00FD6ABB" w:rsidRPr="00012E78" w:rsidRDefault="007971AC" w:rsidP="007971AC">
            <w:pPr>
              <w:keepNext/>
              <w:bidi/>
              <w:jc w:val="center"/>
              <w:rPr>
                <w:b/>
                <w:bCs/>
                <w:color w:val="000000"/>
                <w:sz w:val="20"/>
                <w:szCs w:val="20"/>
                <w:lang w:val="en-GB" w:eastAsia="zh-CN"/>
              </w:rPr>
            </w:pPr>
            <w:r>
              <w:rPr>
                <w:b/>
                <w:bCs/>
                <w:color w:val="000000"/>
                <w:sz w:val="20"/>
                <w:szCs w:val="20"/>
                <w:rtl/>
                <w:lang w:val="en-GB" w:eastAsia="zh-CN"/>
              </w:rPr>
              <w:t>(دولار أمريكي)</w:t>
            </w:r>
          </w:p>
        </w:tc>
      </w:tr>
      <w:tr w:rsidR="00FD6ABB" w:rsidRPr="00012E78" w14:paraId="51EDCB91" w14:textId="77777777" w:rsidTr="00876E51">
        <w:trPr>
          <w:trHeight w:val="80"/>
        </w:trPr>
        <w:tc>
          <w:tcPr>
            <w:tcW w:w="938" w:type="pct"/>
            <w:tcBorders>
              <w:top w:val="nil"/>
              <w:left w:val="single" w:sz="4" w:space="0" w:color="auto"/>
              <w:bottom w:val="single" w:sz="4" w:space="0" w:color="auto"/>
              <w:right w:val="single" w:sz="4" w:space="0" w:color="auto"/>
            </w:tcBorders>
            <w:noWrap/>
            <w:vAlign w:val="bottom"/>
            <w:hideMark/>
          </w:tcPr>
          <w:p w14:paraId="7083D2C7" w14:textId="6305DB88" w:rsidR="00FD6ABB" w:rsidRPr="00012E78" w:rsidRDefault="007971AC" w:rsidP="00FD6ABB">
            <w:pPr>
              <w:keepNext/>
              <w:bidi/>
              <w:jc w:val="left"/>
              <w:rPr>
                <w:color w:val="000000"/>
                <w:sz w:val="20"/>
                <w:szCs w:val="20"/>
                <w:rtl/>
                <w:lang w:val="en-GB" w:eastAsia="zh-CN" w:bidi="ar-AE"/>
              </w:rPr>
            </w:pPr>
            <w:r>
              <w:rPr>
                <w:rFonts w:hint="cs"/>
                <w:color w:val="000000"/>
                <w:sz w:val="20"/>
                <w:szCs w:val="20"/>
                <w:rtl/>
                <w:lang w:bidi="ar-AE"/>
              </w:rPr>
              <w:t>الثنائية</w:t>
            </w:r>
          </w:p>
        </w:tc>
        <w:tc>
          <w:tcPr>
            <w:tcW w:w="1354" w:type="pct"/>
            <w:tcBorders>
              <w:top w:val="nil"/>
              <w:left w:val="nil"/>
              <w:bottom w:val="single" w:sz="4" w:space="0" w:color="auto"/>
              <w:right w:val="single" w:sz="4" w:space="0" w:color="auto"/>
            </w:tcBorders>
            <w:noWrap/>
            <w:vAlign w:val="bottom"/>
            <w:hideMark/>
          </w:tcPr>
          <w:p w14:paraId="0C3A1C59" w14:textId="77777777" w:rsidR="00FD6ABB" w:rsidRPr="00012E78" w:rsidRDefault="00FD6ABB" w:rsidP="00FD6ABB">
            <w:pPr>
              <w:keepNext/>
              <w:bidi/>
              <w:jc w:val="left"/>
              <w:rPr>
                <w:i/>
                <w:iCs/>
                <w:color w:val="000000"/>
                <w:sz w:val="20"/>
                <w:szCs w:val="20"/>
                <w:lang w:val="en-GB" w:eastAsia="zh-CN"/>
              </w:rPr>
            </w:pPr>
            <w:r>
              <w:rPr>
                <w:color w:val="000000"/>
                <w:sz w:val="20"/>
                <w:szCs w:val="20"/>
                <w:lang w:val="en-GB" w:eastAsia="zh-CN"/>
              </w:rPr>
              <w:t>186,007,889</w:t>
            </w:r>
          </w:p>
        </w:tc>
        <w:tc>
          <w:tcPr>
            <w:tcW w:w="1354" w:type="pct"/>
            <w:tcBorders>
              <w:top w:val="nil"/>
              <w:left w:val="nil"/>
              <w:bottom w:val="single" w:sz="4" w:space="0" w:color="auto"/>
              <w:right w:val="single" w:sz="4" w:space="0" w:color="auto"/>
            </w:tcBorders>
            <w:noWrap/>
            <w:vAlign w:val="bottom"/>
            <w:hideMark/>
          </w:tcPr>
          <w:p w14:paraId="2C5E4625" w14:textId="77777777" w:rsidR="00FD6ABB" w:rsidRPr="00012E78" w:rsidRDefault="00FD6ABB" w:rsidP="00FD6ABB">
            <w:pPr>
              <w:keepNext/>
              <w:bidi/>
              <w:jc w:val="left"/>
              <w:rPr>
                <w:i/>
                <w:iCs/>
                <w:color w:val="000000"/>
                <w:sz w:val="20"/>
                <w:szCs w:val="20"/>
                <w:lang w:val="en-GB" w:eastAsia="zh-CN"/>
              </w:rPr>
            </w:pPr>
            <w:r>
              <w:rPr>
                <w:color w:val="000000"/>
                <w:sz w:val="20"/>
                <w:szCs w:val="20"/>
                <w:lang w:val="en-GB" w:eastAsia="zh-CN"/>
              </w:rPr>
              <w:t>18,364,340</w:t>
            </w:r>
          </w:p>
        </w:tc>
        <w:tc>
          <w:tcPr>
            <w:tcW w:w="1354" w:type="pct"/>
            <w:tcBorders>
              <w:top w:val="nil"/>
              <w:left w:val="nil"/>
              <w:bottom w:val="single" w:sz="4" w:space="0" w:color="auto"/>
              <w:right w:val="single" w:sz="4" w:space="0" w:color="auto"/>
            </w:tcBorders>
            <w:noWrap/>
            <w:vAlign w:val="bottom"/>
          </w:tcPr>
          <w:p w14:paraId="37B5BBAE" w14:textId="77777777" w:rsidR="00FD6ABB" w:rsidRPr="00012E78" w:rsidRDefault="00FD6ABB" w:rsidP="00FD6ABB">
            <w:pPr>
              <w:keepNext/>
              <w:bidi/>
              <w:jc w:val="left"/>
              <w:rPr>
                <w:sz w:val="20"/>
                <w:szCs w:val="20"/>
              </w:rPr>
            </w:pPr>
            <w:r>
              <w:rPr>
                <w:color w:val="000000"/>
                <w:sz w:val="20"/>
                <w:szCs w:val="20"/>
                <w:lang w:val="en-GB" w:eastAsia="zh-CN"/>
              </w:rPr>
              <w:t>178,092,744</w:t>
            </w:r>
          </w:p>
        </w:tc>
      </w:tr>
      <w:tr w:rsidR="00FD6ABB" w:rsidRPr="00012E78" w14:paraId="0A1EB9A0" w14:textId="77777777" w:rsidTr="00876E51">
        <w:trPr>
          <w:trHeight w:val="107"/>
        </w:trPr>
        <w:tc>
          <w:tcPr>
            <w:tcW w:w="938" w:type="pct"/>
            <w:tcBorders>
              <w:top w:val="nil"/>
              <w:left w:val="single" w:sz="4" w:space="0" w:color="auto"/>
              <w:bottom w:val="single" w:sz="4" w:space="0" w:color="auto"/>
              <w:right w:val="single" w:sz="4" w:space="0" w:color="auto"/>
            </w:tcBorders>
            <w:noWrap/>
            <w:vAlign w:val="bottom"/>
            <w:hideMark/>
          </w:tcPr>
          <w:p w14:paraId="2AA74CD9" w14:textId="22D4DFED" w:rsidR="00FD6ABB" w:rsidRPr="00012E78" w:rsidRDefault="007971AC" w:rsidP="00FD6ABB">
            <w:pPr>
              <w:keepNext/>
              <w:bidi/>
              <w:jc w:val="left"/>
              <w:rPr>
                <w:color w:val="000000"/>
                <w:sz w:val="20"/>
                <w:szCs w:val="20"/>
                <w:lang w:val="en-GB" w:eastAsia="zh-CN"/>
              </w:rPr>
            </w:pPr>
            <w:r>
              <w:rPr>
                <w:rFonts w:hint="cs"/>
                <w:color w:val="000000"/>
                <w:sz w:val="20"/>
                <w:szCs w:val="20"/>
                <w:rtl/>
              </w:rPr>
              <w:t>اليوئنديبي</w:t>
            </w:r>
          </w:p>
        </w:tc>
        <w:tc>
          <w:tcPr>
            <w:tcW w:w="1354" w:type="pct"/>
            <w:tcBorders>
              <w:top w:val="nil"/>
              <w:left w:val="nil"/>
              <w:bottom w:val="single" w:sz="4" w:space="0" w:color="auto"/>
              <w:right w:val="single" w:sz="4" w:space="0" w:color="auto"/>
            </w:tcBorders>
            <w:noWrap/>
            <w:vAlign w:val="bottom"/>
            <w:hideMark/>
          </w:tcPr>
          <w:p w14:paraId="6F3BEC22" w14:textId="77777777" w:rsidR="00FD6ABB" w:rsidRPr="00012E78" w:rsidRDefault="00FD6ABB" w:rsidP="00FD6ABB">
            <w:pPr>
              <w:keepNext/>
              <w:bidi/>
              <w:jc w:val="left"/>
              <w:rPr>
                <w:i/>
                <w:iCs/>
                <w:color w:val="000000"/>
                <w:sz w:val="20"/>
                <w:szCs w:val="20"/>
                <w:lang w:val="en-GB" w:eastAsia="zh-CN"/>
              </w:rPr>
            </w:pPr>
            <w:r>
              <w:rPr>
                <w:color w:val="000000"/>
                <w:sz w:val="20"/>
                <w:szCs w:val="20"/>
              </w:rPr>
              <w:t>1,029,007,660</w:t>
            </w:r>
          </w:p>
        </w:tc>
        <w:tc>
          <w:tcPr>
            <w:tcW w:w="1354" w:type="pct"/>
            <w:tcBorders>
              <w:top w:val="nil"/>
              <w:left w:val="nil"/>
              <w:bottom w:val="single" w:sz="4" w:space="0" w:color="auto"/>
              <w:right w:val="single" w:sz="4" w:space="0" w:color="auto"/>
            </w:tcBorders>
            <w:noWrap/>
            <w:vAlign w:val="bottom"/>
            <w:hideMark/>
          </w:tcPr>
          <w:p w14:paraId="68DEC33E" w14:textId="77777777" w:rsidR="00FD6ABB" w:rsidRPr="00012E78" w:rsidRDefault="00FD6ABB" w:rsidP="00FD6ABB">
            <w:pPr>
              <w:keepNext/>
              <w:bidi/>
              <w:jc w:val="left"/>
              <w:rPr>
                <w:i/>
                <w:iCs/>
                <w:color w:val="000000"/>
                <w:sz w:val="20"/>
                <w:szCs w:val="20"/>
                <w:lang w:val="en-GB" w:eastAsia="zh-CN"/>
              </w:rPr>
            </w:pPr>
            <w:r>
              <w:rPr>
                <w:color w:val="000000"/>
                <w:sz w:val="20"/>
                <w:szCs w:val="20"/>
              </w:rPr>
              <w:t>140,421,986</w:t>
            </w:r>
          </w:p>
        </w:tc>
        <w:tc>
          <w:tcPr>
            <w:tcW w:w="1354" w:type="pct"/>
            <w:tcBorders>
              <w:top w:val="nil"/>
              <w:left w:val="nil"/>
              <w:bottom w:val="single" w:sz="4" w:space="0" w:color="auto"/>
              <w:right w:val="single" w:sz="4" w:space="0" w:color="auto"/>
            </w:tcBorders>
            <w:noWrap/>
            <w:vAlign w:val="bottom"/>
          </w:tcPr>
          <w:p w14:paraId="44F51B22" w14:textId="77777777" w:rsidR="00FD6ABB" w:rsidRPr="00012E78" w:rsidRDefault="00FD6ABB" w:rsidP="00FD6ABB">
            <w:pPr>
              <w:keepNext/>
              <w:bidi/>
              <w:jc w:val="left"/>
              <w:rPr>
                <w:sz w:val="20"/>
                <w:szCs w:val="20"/>
              </w:rPr>
            </w:pPr>
            <w:r>
              <w:rPr>
                <w:color w:val="000000"/>
                <w:sz w:val="20"/>
                <w:szCs w:val="20"/>
              </w:rPr>
              <w:t>1,006,760,239</w:t>
            </w:r>
          </w:p>
        </w:tc>
      </w:tr>
      <w:tr w:rsidR="00FD6ABB" w:rsidRPr="00012E78" w14:paraId="01AA65D2" w14:textId="77777777" w:rsidTr="00876E51">
        <w:trPr>
          <w:trHeight w:val="143"/>
        </w:trPr>
        <w:tc>
          <w:tcPr>
            <w:tcW w:w="938" w:type="pct"/>
            <w:tcBorders>
              <w:top w:val="nil"/>
              <w:left w:val="single" w:sz="4" w:space="0" w:color="auto"/>
              <w:bottom w:val="single" w:sz="4" w:space="0" w:color="auto"/>
              <w:right w:val="single" w:sz="4" w:space="0" w:color="auto"/>
            </w:tcBorders>
            <w:noWrap/>
            <w:vAlign w:val="bottom"/>
            <w:hideMark/>
          </w:tcPr>
          <w:p w14:paraId="57C3F389" w14:textId="2F2D04E1" w:rsidR="00FD6ABB" w:rsidRPr="00012E78" w:rsidRDefault="007971AC" w:rsidP="00FD6ABB">
            <w:pPr>
              <w:bidi/>
              <w:jc w:val="left"/>
              <w:rPr>
                <w:color w:val="000000"/>
                <w:sz w:val="20"/>
                <w:szCs w:val="20"/>
                <w:lang w:val="en-GB" w:eastAsia="zh-CN"/>
              </w:rPr>
            </w:pPr>
            <w:r>
              <w:rPr>
                <w:rFonts w:hint="cs"/>
                <w:color w:val="000000"/>
                <w:sz w:val="20"/>
                <w:szCs w:val="20"/>
                <w:rtl/>
              </w:rPr>
              <w:t>اليونيب</w:t>
            </w:r>
          </w:p>
        </w:tc>
        <w:tc>
          <w:tcPr>
            <w:tcW w:w="1354" w:type="pct"/>
            <w:tcBorders>
              <w:top w:val="nil"/>
              <w:left w:val="nil"/>
              <w:bottom w:val="single" w:sz="4" w:space="0" w:color="auto"/>
              <w:right w:val="single" w:sz="4" w:space="0" w:color="auto"/>
            </w:tcBorders>
            <w:noWrap/>
            <w:vAlign w:val="bottom"/>
            <w:hideMark/>
          </w:tcPr>
          <w:p w14:paraId="1362A264" w14:textId="77777777" w:rsidR="00FD6ABB" w:rsidRPr="00012E78" w:rsidRDefault="00FD6ABB" w:rsidP="00FD6ABB">
            <w:pPr>
              <w:bidi/>
              <w:jc w:val="left"/>
              <w:rPr>
                <w:i/>
                <w:iCs/>
                <w:color w:val="000000"/>
                <w:sz w:val="20"/>
                <w:szCs w:val="20"/>
                <w:lang w:val="en-GB" w:eastAsia="zh-CN"/>
              </w:rPr>
            </w:pPr>
            <w:r>
              <w:rPr>
                <w:color w:val="000000"/>
                <w:sz w:val="20"/>
                <w:szCs w:val="20"/>
              </w:rPr>
              <w:t>489,196,550</w:t>
            </w:r>
          </w:p>
        </w:tc>
        <w:tc>
          <w:tcPr>
            <w:tcW w:w="1354" w:type="pct"/>
            <w:tcBorders>
              <w:top w:val="nil"/>
              <w:left w:val="nil"/>
              <w:bottom w:val="single" w:sz="4" w:space="0" w:color="auto"/>
              <w:right w:val="single" w:sz="4" w:space="0" w:color="auto"/>
            </w:tcBorders>
            <w:noWrap/>
            <w:vAlign w:val="bottom"/>
            <w:hideMark/>
          </w:tcPr>
          <w:p w14:paraId="49FCA514" w14:textId="77777777" w:rsidR="00FD6ABB" w:rsidRPr="00012E78" w:rsidRDefault="00FD6ABB" w:rsidP="00FD6ABB">
            <w:pPr>
              <w:bidi/>
              <w:jc w:val="left"/>
              <w:rPr>
                <w:i/>
                <w:iCs/>
                <w:color w:val="000000"/>
                <w:sz w:val="20"/>
                <w:szCs w:val="20"/>
                <w:lang w:val="en-GB" w:eastAsia="zh-CN"/>
              </w:rPr>
            </w:pPr>
            <w:r>
              <w:rPr>
                <w:color w:val="000000"/>
                <w:sz w:val="20"/>
                <w:szCs w:val="20"/>
              </w:rPr>
              <w:t>40,043,894</w:t>
            </w:r>
          </w:p>
        </w:tc>
        <w:tc>
          <w:tcPr>
            <w:tcW w:w="1354" w:type="pct"/>
            <w:tcBorders>
              <w:top w:val="nil"/>
              <w:left w:val="nil"/>
              <w:bottom w:val="single" w:sz="4" w:space="0" w:color="auto"/>
              <w:right w:val="single" w:sz="4" w:space="0" w:color="auto"/>
            </w:tcBorders>
            <w:noWrap/>
            <w:vAlign w:val="bottom"/>
          </w:tcPr>
          <w:p w14:paraId="7C55C66E" w14:textId="77777777" w:rsidR="00FD6ABB" w:rsidRPr="00012E78" w:rsidRDefault="00FD6ABB" w:rsidP="00FD6ABB">
            <w:pPr>
              <w:keepNext/>
              <w:bidi/>
              <w:jc w:val="left"/>
              <w:rPr>
                <w:sz w:val="20"/>
                <w:szCs w:val="20"/>
              </w:rPr>
            </w:pPr>
            <w:r>
              <w:rPr>
                <w:color w:val="000000"/>
                <w:sz w:val="20"/>
                <w:szCs w:val="20"/>
              </w:rPr>
              <w:t>420,903,713</w:t>
            </w:r>
          </w:p>
        </w:tc>
      </w:tr>
      <w:tr w:rsidR="00FD6ABB" w:rsidRPr="00012E78" w14:paraId="35EC4F35" w14:textId="77777777" w:rsidTr="00876E51">
        <w:trPr>
          <w:trHeight w:val="170"/>
        </w:trPr>
        <w:tc>
          <w:tcPr>
            <w:tcW w:w="938" w:type="pct"/>
            <w:tcBorders>
              <w:top w:val="nil"/>
              <w:left w:val="single" w:sz="4" w:space="0" w:color="auto"/>
              <w:bottom w:val="single" w:sz="4" w:space="0" w:color="auto"/>
              <w:right w:val="single" w:sz="4" w:space="0" w:color="auto"/>
            </w:tcBorders>
            <w:noWrap/>
            <w:vAlign w:val="bottom"/>
            <w:hideMark/>
          </w:tcPr>
          <w:p w14:paraId="0110E682" w14:textId="2D3779B7" w:rsidR="00FD6ABB" w:rsidRPr="00012E78" w:rsidRDefault="007971AC" w:rsidP="00FD6ABB">
            <w:pPr>
              <w:bidi/>
              <w:jc w:val="left"/>
              <w:rPr>
                <w:color w:val="000000"/>
                <w:sz w:val="20"/>
                <w:szCs w:val="20"/>
                <w:lang w:val="en-GB" w:eastAsia="zh-CN"/>
              </w:rPr>
            </w:pPr>
            <w:r>
              <w:rPr>
                <w:rFonts w:hint="cs"/>
                <w:color w:val="000000"/>
                <w:sz w:val="20"/>
                <w:szCs w:val="20"/>
                <w:rtl/>
              </w:rPr>
              <w:t>اليونيدو</w:t>
            </w:r>
          </w:p>
        </w:tc>
        <w:tc>
          <w:tcPr>
            <w:tcW w:w="1354" w:type="pct"/>
            <w:tcBorders>
              <w:top w:val="nil"/>
              <w:left w:val="nil"/>
              <w:bottom w:val="single" w:sz="4" w:space="0" w:color="auto"/>
              <w:right w:val="single" w:sz="4" w:space="0" w:color="auto"/>
            </w:tcBorders>
            <w:noWrap/>
            <w:vAlign w:val="bottom"/>
            <w:hideMark/>
          </w:tcPr>
          <w:p w14:paraId="0067CC12" w14:textId="77777777" w:rsidR="00FD6ABB" w:rsidRPr="00012E78" w:rsidRDefault="00FD6ABB" w:rsidP="00FD6ABB">
            <w:pPr>
              <w:bidi/>
              <w:jc w:val="left"/>
              <w:rPr>
                <w:i/>
                <w:iCs/>
                <w:color w:val="000000"/>
                <w:sz w:val="20"/>
                <w:szCs w:val="20"/>
                <w:lang w:val="en-GB" w:eastAsia="zh-CN"/>
              </w:rPr>
            </w:pPr>
            <w:r>
              <w:rPr>
                <w:color w:val="000000"/>
                <w:sz w:val="20"/>
                <w:szCs w:val="20"/>
              </w:rPr>
              <w:t>1,047,809,243</w:t>
            </w:r>
          </w:p>
        </w:tc>
        <w:tc>
          <w:tcPr>
            <w:tcW w:w="1354" w:type="pct"/>
            <w:tcBorders>
              <w:top w:val="nil"/>
              <w:left w:val="nil"/>
              <w:bottom w:val="single" w:sz="4" w:space="0" w:color="auto"/>
              <w:right w:val="single" w:sz="4" w:space="0" w:color="auto"/>
            </w:tcBorders>
            <w:noWrap/>
            <w:vAlign w:val="bottom"/>
            <w:hideMark/>
          </w:tcPr>
          <w:p w14:paraId="290C738D" w14:textId="77777777" w:rsidR="00FD6ABB" w:rsidRPr="00012E78" w:rsidRDefault="00FD6ABB" w:rsidP="00FD6ABB">
            <w:pPr>
              <w:bidi/>
              <w:jc w:val="left"/>
              <w:rPr>
                <w:i/>
                <w:iCs/>
                <w:color w:val="000000"/>
                <w:sz w:val="20"/>
                <w:szCs w:val="20"/>
                <w:lang w:val="en-GB" w:eastAsia="zh-CN"/>
              </w:rPr>
            </w:pPr>
            <w:r>
              <w:rPr>
                <w:color w:val="000000"/>
                <w:sz w:val="20"/>
                <w:szCs w:val="20"/>
              </w:rPr>
              <w:t>136,339,199</w:t>
            </w:r>
          </w:p>
        </w:tc>
        <w:tc>
          <w:tcPr>
            <w:tcW w:w="1354" w:type="pct"/>
            <w:tcBorders>
              <w:top w:val="nil"/>
              <w:left w:val="nil"/>
              <w:bottom w:val="single" w:sz="4" w:space="0" w:color="auto"/>
              <w:right w:val="single" w:sz="4" w:space="0" w:color="auto"/>
            </w:tcBorders>
            <w:noWrap/>
            <w:vAlign w:val="bottom"/>
          </w:tcPr>
          <w:p w14:paraId="5DB9A498" w14:textId="77777777" w:rsidR="00FD6ABB" w:rsidRPr="00012E78" w:rsidRDefault="00FD6ABB" w:rsidP="00FD6ABB">
            <w:pPr>
              <w:keepNext/>
              <w:bidi/>
              <w:jc w:val="left"/>
              <w:rPr>
                <w:sz w:val="20"/>
                <w:szCs w:val="20"/>
              </w:rPr>
            </w:pPr>
            <w:r>
              <w:rPr>
                <w:color w:val="000000"/>
                <w:sz w:val="20"/>
                <w:szCs w:val="20"/>
              </w:rPr>
              <w:t>980,153,720</w:t>
            </w:r>
          </w:p>
        </w:tc>
      </w:tr>
      <w:tr w:rsidR="00FD6ABB" w:rsidRPr="00012E78" w14:paraId="529B4E3D" w14:textId="77777777" w:rsidTr="00876E51">
        <w:trPr>
          <w:trHeight w:val="116"/>
        </w:trPr>
        <w:tc>
          <w:tcPr>
            <w:tcW w:w="938" w:type="pct"/>
            <w:tcBorders>
              <w:top w:val="nil"/>
              <w:left w:val="single" w:sz="4" w:space="0" w:color="auto"/>
              <w:bottom w:val="single" w:sz="4" w:space="0" w:color="auto"/>
              <w:right w:val="single" w:sz="4" w:space="0" w:color="auto"/>
            </w:tcBorders>
            <w:noWrap/>
            <w:vAlign w:val="bottom"/>
            <w:hideMark/>
          </w:tcPr>
          <w:p w14:paraId="45A784FC" w14:textId="48C1E68B" w:rsidR="00FD6ABB" w:rsidRPr="00012E78" w:rsidRDefault="007971AC" w:rsidP="00FD6ABB">
            <w:pPr>
              <w:bidi/>
              <w:jc w:val="left"/>
              <w:rPr>
                <w:color w:val="000000"/>
                <w:sz w:val="20"/>
                <w:szCs w:val="20"/>
                <w:lang w:val="en-GB" w:eastAsia="zh-CN"/>
              </w:rPr>
            </w:pPr>
            <w:r>
              <w:rPr>
                <w:rFonts w:hint="cs"/>
                <w:color w:val="000000"/>
                <w:sz w:val="20"/>
                <w:szCs w:val="20"/>
                <w:rtl/>
              </w:rPr>
              <w:t>البنك الدولي</w:t>
            </w:r>
          </w:p>
        </w:tc>
        <w:tc>
          <w:tcPr>
            <w:tcW w:w="1354" w:type="pct"/>
            <w:tcBorders>
              <w:top w:val="nil"/>
              <w:left w:val="nil"/>
              <w:bottom w:val="single" w:sz="4" w:space="0" w:color="auto"/>
              <w:right w:val="single" w:sz="4" w:space="0" w:color="auto"/>
            </w:tcBorders>
            <w:noWrap/>
            <w:vAlign w:val="bottom"/>
            <w:hideMark/>
          </w:tcPr>
          <w:p w14:paraId="46A5A47E" w14:textId="77777777" w:rsidR="00FD6ABB" w:rsidRPr="00012E78" w:rsidRDefault="00FD6ABB" w:rsidP="00FD6ABB">
            <w:pPr>
              <w:bidi/>
              <w:jc w:val="left"/>
              <w:rPr>
                <w:i/>
                <w:iCs/>
                <w:color w:val="000000"/>
                <w:sz w:val="20"/>
                <w:szCs w:val="20"/>
                <w:lang w:val="en-GB" w:eastAsia="zh-CN"/>
              </w:rPr>
            </w:pPr>
            <w:r>
              <w:rPr>
                <w:color w:val="000000"/>
                <w:sz w:val="20"/>
                <w:szCs w:val="20"/>
              </w:rPr>
              <w:t>1,267,057,836</w:t>
            </w:r>
          </w:p>
        </w:tc>
        <w:tc>
          <w:tcPr>
            <w:tcW w:w="1354" w:type="pct"/>
            <w:tcBorders>
              <w:top w:val="nil"/>
              <w:left w:val="nil"/>
              <w:bottom w:val="single" w:sz="4" w:space="0" w:color="auto"/>
              <w:right w:val="single" w:sz="4" w:space="0" w:color="auto"/>
            </w:tcBorders>
            <w:noWrap/>
            <w:vAlign w:val="bottom"/>
            <w:hideMark/>
          </w:tcPr>
          <w:p w14:paraId="5BA453A8" w14:textId="77777777" w:rsidR="00FD6ABB" w:rsidRPr="00012E78" w:rsidRDefault="00FD6ABB" w:rsidP="00FD6ABB">
            <w:pPr>
              <w:bidi/>
              <w:jc w:val="left"/>
              <w:rPr>
                <w:i/>
                <w:iCs/>
                <w:color w:val="000000"/>
                <w:sz w:val="20"/>
                <w:szCs w:val="20"/>
                <w:lang w:val="en-GB" w:eastAsia="zh-CN"/>
              </w:rPr>
            </w:pPr>
            <w:r>
              <w:rPr>
                <w:color w:val="000000"/>
                <w:sz w:val="20"/>
                <w:szCs w:val="20"/>
              </w:rPr>
              <w:t>135,470,297</w:t>
            </w:r>
          </w:p>
        </w:tc>
        <w:tc>
          <w:tcPr>
            <w:tcW w:w="1354" w:type="pct"/>
            <w:tcBorders>
              <w:top w:val="nil"/>
              <w:left w:val="nil"/>
              <w:bottom w:val="single" w:sz="4" w:space="0" w:color="auto"/>
              <w:right w:val="single" w:sz="4" w:space="0" w:color="auto"/>
            </w:tcBorders>
            <w:noWrap/>
            <w:vAlign w:val="bottom"/>
          </w:tcPr>
          <w:p w14:paraId="4A2A44B9" w14:textId="77777777" w:rsidR="00FD6ABB" w:rsidRPr="00012E78" w:rsidRDefault="00FD6ABB" w:rsidP="00FD6ABB">
            <w:pPr>
              <w:keepNext/>
              <w:bidi/>
              <w:jc w:val="left"/>
              <w:rPr>
                <w:sz w:val="20"/>
                <w:szCs w:val="20"/>
              </w:rPr>
            </w:pPr>
            <w:r>
              <w:rPr>
                <w:color w:val="000000"/>
                <w:sz w:val="20"/>
                <w:szCs w:val="20"/>
              </w:rPr>
              <w:t>1,315,537,916</w:t>
            </w:r>
          </w:p>
        </w:tc>
      </w:tr>
      <w:tr w:rsidR="00FD6ABB" w:rsidRPr="00012E78" w14:paraId="5BCAA222" w14:textId="77777777" w:rsidTr="00876E51">
        <w:trPr>
          <w:trHeight w:val="143"/>
        </w:trPr>
        <w:tc>
          <w:tcPr>
            <w:tcW w:w="938" w:type="pct"/>
            <w:tcBorders>
              <w:top w:val="nil"/>
              <w:left w:val="single" w:sz="4" w:space="0" w:color="auto"/>
              <w:bottom w:val="single" w:sz="4" w:space="0" w:color="auto"/>
              <w:right w:val="single" w:sz="4" w:space="0" w:color="auto"/>
            </w:tcBorders>
            <w:noWrap/>
            <w:vAlign w:val="bottom"/>
            <w:hideMark/>
          </w:tcPr>
          <w:p w14:paraId="2B155C9E" w14:textId="299A9FA4" w:rsidR="00FD6ABB" w:rsidRPr="00012E78" w:rsidRDefault="007971AC" w:rsidP="00FD6ABB">
            <w:pPr>
              <w:bidi/>
              <w:jc w:val="left"/>
              <w:rPr>
                <w:b/>
                <w:bCs/>
                <w:color w:val="000000"/>
                <w:sz w:val="20"/>
                <w:szCs w:val="20"/>
                <w:lang w:val="en-GB" w:eastAsia="zh-CN"/>
              </w:rPr>
            </w:pPr>
            <w:r>
              <w:rPr>
                <w:rFonts w:hint="cs"/>
                <w:b/>
                <w:bCs/>
                <w:color w:val="000000"/>
                <w:sz w:val="20"/>
                <w:szCs w:val="20"/>
                <w:rtl/>
              </w:rPr>
              <w:t>المجموع</w:t>
            </w:r>
          </w:p>
        </w:tc>
        <w:tc>
          <w:tcPr>
            <w:tcW w:w="1354" w:type="pct"/>
            <w:tcBorders>
              <w:top w:val="nil"/>
              <w:left w:val="nil"/>
              <w:bottom w:val="single" w:sz="4" w:space="0" w:color="auto"/>
              <w:right w:val="single" w:sz="4" w:space="0" w:color="auto"/>
            </w:tcBorders>
            <w:noWrap/>
            <w:vAlign w:val="bottom"/>
            <w:hideMark/>
          </w:tcPr>
          <w:p w14:paraId="6D8EE6CC" w14:textId="77777777" w:rsidR="00FD6ABB" w:rsidRPr="00012E78" w:rsidRDefault="00FD6ABB" w:rsidP="00FD6ABB">
            <w:pPr>
              <w:bidi/>
              <w:jc w:val="left"/>
              <w:rPr>
                <w:b/>
                <w:bCs/>
                <w:i/>
                <w:iCs/>
                <w:color w:val="000000"/>
                <w:sz w:val="20"/>
                <w:szCs w:val="20"/>
                <w:lang w:val="en-GB" w:eastAsia="zh-CN"/>
              </w:rPr>
            </w:pPr>
            <w:r>
              <w:rPr>
                <w:b/>
                <w:bCs/>
                <w:color w:val="000000"/>
                <w:sz w:val="20"/>
                <w:szCs w:val="20"/>
              </w:rPr>
              <w:t>4,019,079,178</w:t>
            </w:r>
          </w:p>
        </w:tc>
        <w:tc>
          <w:tcPr>
            <w:tcW w:w="1354" w:type="pct"/>
            <w:tcBorders>
              <w:top w:val="nil"/>
              <w:left w:val="nil"/>
              <w:bottom w:val="single" w:sz="4" w:space="0" w:color="auto"/>
              <w:right w:val="single" w:sz="4" w:space="0" w:color="auto"/>
            </w:tcBorders>
            <w:noWrap/>
            <w:vAlign w:val="bottom"/>
            <w:hideMark/>
          </w:tcPr>
          <w:p w14:paraId="1E39124D" w14:textId="77777777" w:rsidR="00FD6ABB" w:rsidRPr="00012E78" w:rsidRDefault="00FD6ABB" w:rsidP="00FD6ABB">
            <w:pPr>
              <w:bidi/>
              <w:jc w:val="left"/>
              <w:rPr>
                <w:b/>
                <w:bCs/>
                <w:i/>
                <w:iCs/>
                <w:color w:val="000000"/>
                <w:sz w:val="20"/>
                <w:szCs w:val="20"/>
                <w:lang w:val="en-GB" w:eastAsia="zh-CN"/>
              </w:rPr>
            </w:pPr>
            <w:r>
              <w:rPr>
                <w:b/>
                <w:bCs/>
                <w:color w:val="000000"/>
                <w:sz w:val="20"/>
                <w:szCs w:val="20"/>
              </w:rPr>
              <w:t>470,639,717</w:t>
            </w:r>
          </w:p>
        </w:tc>
        <w:tc>
          <w:tcPr>
            <w:tcW w:w="1354" w:type="pct"/>
            <w:tcBorders>
              <w:top w:val="nil"/>
              <w:left w:val="nil"/>
              <w:bottom w:val="single" w:sz="4" w:space="0" w:color="auto"/>
              <w:right w:val="single" w:sz="4" w:space="0" w:color="auto"/>
            </w:tcBorders>
            <w:noWrap/>
            <w:vAlign w:val="bottom"/>
          </w:tcPr>
          <w:p w14:paraId="0E7FE6EC" w14:textId="77777777" w:rsidR="00FD6ABB" w:rsidRPr="00012E78" w:rsidRDefault="00FD6ABB" w:rsidP="00FD6ABB">
            <w:pPr>
              <w:keepNext/>
              <w:bidi/>
              <w:jc w:val="left"/>
              <w:rPr>
                <w:b/>
                <w:bCs/>
                <w:sz w:val="20"/>
                <w:szCs w:val="20"/>
              </w:rPr>
            </w:pPr>
            <w:r>
              <w:rPr>
                <w:b/>
                <w:bCs/>
                <w:color w:val="000000"/>
                <w:sz w:val="20"/>
                <w:szCs w:val="20"/>
              </w:rPr>
              <w:t>3,901,448,332</w:t>
            </w:r>
          </w:p>
        </w:tc>
      </w:tr>
    </w:tbl>
    <w:p w14:paraId="07BAC740" w14:textId="53CB507A" w:rsidR="00FD6ABB" w:rsidRPr="00012E78" w:rsidRDefault="007971AC" w:rsidP="00876E51">
      <w:pPr>
        <w:pStyle w:val="CM28"/>
        <w:bidi/>
        <w:spacing w:after="0"/>
        <w:ind w:left="720"/>
        <w:rPr>
          <w:sz w:val="20"/>
          <w:szCs w:val="20"/>
          <w:lang w:val="en-GB"/>
        </w:rPr>
      </w:pPr>
      <w:r>
        <w:rPr>
          <w:sz w:val="20"/>
          <w:szCs w:val="20"/>
          <w:rtl/>
          <w:lang w:val="en-GB"/>
        </w:rPr>
        <w:t xml:space="preserve">* حتى </w:t>
      </w:r>
      <w:r>
        <w:rPr>
          <w:sz w:val="20"/>
          <w:szCs w:val="20"/>
          <w:lang w:val="en-GB"/>
        </w:rPr>
        <w:t>4</w:t>
      </w:r>
      <w:r>
        <w:rPr>
          <w:sz w:val="20"/>
          <w:szCs w:val="20"/>
          <w:rtl/>
          <w:lang w:val="en-GB"/>
        </w:rPr>
        <w:t> سبتمبر/أيلول </w:t>
      </w:r>
      <w:r>
        <w:rPr>
          <w:sz w:val="20"/>
          <w:szCs w:val="20"/>
          <w:lang w:val="en-GB"/>
        </w:rPr>
        <w:t>2026</w:t>
      </w:r>
      <w:r>
        <w:rPr>
          <w:sz w:val="20"/>
          <w:szCs w:val="20"/>
          <w:rtl/>
          <w:lang w:val="en-GB"/>
        </w:rPr>
        <w:t xml:space="preserve"> (باستثناء المشاريع الملغاة والمحوّلة).</w:t>
      </w:r>
    </w:p>
    <w:p w14:paraId="237A8E03" w14:textId="2C1DAB5C" w:rsidR="00FD6ABB" w:rsidRDefault="007971AC" w:rsidP="00876E51">
      <w:pPr>
        <w:pStyle w:val="CM28"/>
        <w:bidi/>
        <w:spacing w:after="240"/>
        <w:ind w:left="720"/>
        <w:rPr>
          <w:sz w:val="20"/>
          <w:szCs w:val="20"/>
          <w:rtl/>
        </w:rPr>
      </w:pPr>
      <w:r>
        <w:rPr>
          <w:sz w:val="20"/>
          <w:szCs w:val="20"/>
          <w:rtl/>
          <w:lang w:val="en-GB"/>
        </w:rPr>
        <w:t xml:space="preserve">** حتى </w:t>
      </w:r>
      <w:r>
        <w:rPr>
          <w:sz w:val="20"/>
          <w:szCs w:val="20"/>
          <w:lang w:val="en-GB"/>
        </w:rPr>
        <w:t>31</w:t>
      </w:r>
      <w:r>
        <w:rPr>
          <w:sz w:val="20"/>
          <w:szCs w:val="20"/>
          <w:rtl/>
          <w:lang w:val="en-GB"/>
        </w:rPr>
        <w:t> ديسمبر/كانون الأول </w:t>
      </w:r>
      <w:r>
        <w:rPr>
          <w:sz w:val="20"/>
          <w:szCs w:val="20"/>
          <w:lang w:val="en-GB"/>
        </w:rPr>
        <w:t>2024</w:t>
      </w:r>
      <w:r>
        <w:rPr>
          <w:sz w:val="20"/>
          <w:szCs w:val="20"/>
          <w:rtl/>
          <w:lang w:val="en-GB"/>
        </w:rPr>
        <w:t xml:space="preserve"> (باستثناء المشاريع الملغاة والمحوّلة).</w:t>
      </w:r>
    </w:p>
    <w:p w14:paraId="6BB15E8F" w14:textId="77777777" w:rsidR="00FD6ABB" w:rsidRPr="007971AC" w:rsidRDefault="00FD6ABB" w:rsidP="007971AC">
      <w:pPr>
        <w:pStyle w:val="Default"/>
        <w:bidi/>
        <w:rPr>
          <w:sz w:val="26"/>
          <w:szCs w:val="26"/>
        </w:rPr>
      </w:pPr>
    </w:p>
    <w:p w14:paraId="3259E2D6" w14:textId="0D7BA3FF" w:rsidR="001659A2" w:rsidRPr="007971AC" w:rsidRDefault="001659A2" w:rsidP="007971AC">
      <w:pPr>
        <w:pStyle w:val="CH1"/>
        <w:bidi/>
        <w:spacing w:before="0" w:after="0"/>
        <w:rPr>
          <w:sz w:val="26"/>
          <w:szCs w:val="26"/>
          <w:lang w:val="en-CA"/>
        </w:rPr>
      </w:pPr>
    </w:p>
    <w:p w14:paraId="53EA1F22" w14:textId="77777777" w:rsidR="00F05613" w:rsidRDefault="001659A2" w:rsidP="007971AC">
      <w:pPr>
        <w:bidi/>
        <w:jc w:val="left"/>
        <w:rPr>
          <w:sz w:val="26"/>
          <w:szCs w:val="26"/>
        </w:rPr>
        <w:sectPr w:rsidR="00F05613" w:rsidSect="0043727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r>
        <w:rPr>
          <w:sz w:val="26"/>
          <w:szCs w:val="26"/>
        </w:rPr>
        <w:br w:type="page"/>
      </w:r>
    </w:p>
    <w:p w14:paraId="3556CFB0" w14:textId="1FD5068F" w:rsidR="00ED0F48" w:rsidRPr="00ED0F48" w:rsidRDefault="00ED0F48" w:rsidP="00ED0F48">
      <w:pPr>
        <w:pStyle w:val="CH2"/>
        <w:bidi/>
        <w:rPr>
          <w:b w:val="0"/>
          <w:bCs/>
          <w:sz w:val="28"/>
          <w:szCs w:val="28"/>
          <w:rtl/>
          <w:lang w:bidi="ar-AE"/>
        </w:rPr>
      </w:pPr>
      <w:r>
        <w:rPr>
          <w:rFonts w:hint="cs"/>
          <w:b w:val="0"/>
          <w:bCs/>
          <w:sz w:val="28"/>
          <w:szCs w:val="28"/>
          <w:rtl/>
          <w:lang w:bidi="ar-AE"/>
        </w:rPr>
        <w:lastRenderedPageBreak/>
        <w:t>المُرفق</w:t>
      </w:r>
    </w:p>
    <w:p w14:paraId="7A05BEE3" w14:textId="05CC433C" w:rsidR="00ED0F48" w:rsidRPr="00133263" w:rsidRDefault="00584413" w:rsidP="003B64CF">
      <w:pPr>
        <w:pStyle w:val="Heading3"/>
        <w:numPr>
          <w:ilvl w:val="2"/>
          <w:numId w:val="19"/>
        </w:numPr>
        <w:bidi/>
        <w:ind w:left="720" w:firstLine="0"/>
        <w:rPr>
          <w:sz w:val="26"/>
          <w:szCs w:val="26"/>
        </w:rPr>
      </w:pPr>
      <w:r>
        <w:rPr>
          <w:rFonts w:hint="cs"/>
          <w:sz w:val="26"/>
          <w:szCs w:val="26"/>
          <w:rtl/>
        </w:rPr>
        <w:t>يحتوي</w:t>
      </w:r>
      <w:r>
        <w:rPr>
          <w:sz w:val="26"/>
          <w:szCs w:val="26"/>
          <w:rtl/>
        </w:rPr>
        <w:t xml:space="preserve"> مرفق هذا التقرير النشرة الإخبارية السنوية للصندوق المتعدد الأطراف، والتي تتضمن بعض المشروعات الناجحة ونتائج السياسات في عام </w:t>
      </w:r>
      <w:r>
        <w:rPr>
          <w:sz w:val="26"/>
          <w:szCs w:val="26"/>
        </w:rPr>
        <w:t>2025</w:t>
      </w:r>
      <w:r>
        <w:rPr>
          <w:sz w:val="26"/>
          <w:szCs w:val="26"/>
          <w:rtl/>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D4217" w:rsidRPr="00CB431F" w14:paraId="52C5B77B" w14:textId="77777777">
        <w:tc>
          <w:tcPr>
            <w:tcW w:w="1871" w:type="dxa"/>
          </w:tcPr>
          <w:p w14:paraId="14C704FD" w14:textId="77777777" w:rsidR="001D4217" w:rsidRPr="00CB431F" w:rsidRDefault="001D4217" w:rsidP="00CB431F">
            <w:pPr>
              <w:bidi/>
              <w:rPr>
                <w:sz w:val="26"/>
                <w:szCs w:val="26"/>
              </w:rPr>
            </w:pPr>
          </w:p>
        </w:tc>
        <w:tc>
          <w:tcPr>
            <w:tcW w:w="1872" w:type="dxa"/>
          </w:tcPr>
          <w:p w14:paraId="321719B4" w14:textId="77777777" w:rsidR="001D4217" w:rsidRPr="00CB431F" w:rsidRDefault="001D4217" w:rsidP="00CB431F">
            <w:pPr>
              <w:bidi/>
              <w:rPr>
                <w:sz w:val="26"/>
                <w:szCs w:val="26"/>
              </w:rPr>
            </w:pPr>
          </w:p>
        </w:tc>
        <w:tc>
          <w:tcPr>
            <w:tcW w:w="1872" w:type="dxa"/>
            <w:tcBorders>
              <w:bottom w:val="single" w:sz="4" w:space="0" w:color="auto"/>
            </w:tcBorders>
          </w:tcPr>
          <w:p w14:paraId="3B41E648" w14:textId="77777777" w:rsidR="001D4217" w:rsidRPr="00CB431F" w:rsidRDefault="001D4217" w:rsidP="00CB431F">
            <w:pPr>
              <w:bidi/>
              <w:rPr>
                <w:sz w:val="26"/>
                <w:szCs w:val="26"/>
              </w:rPr>
            </w:pPr>
          </w:p>
        </w:tc>
        <w:tc>
          <w:tcPr>
            <w:tcW w:w="1872" w:type="dxa"/>
          </w:tcPr>
          <w:p w14:paraId="6A2C3477" w14:textId="77777777" w:rsidR="001D4217" w:rsidRPr="00CB431F" w:rsidRDefault="001D4217" w:rsidP="00CB431F">
            <w:pPr>
              <w:bidi/>
              <w:rPr>
                <w:sz w:val="26"/>
                <w:szCs w:val="26"/>
              </w:rPr>
            </w:pPr>
          </w:p>
        </w:tc>
        <w:tc>
          <w:tcPr>
            <w:tcW w:w="1873" w:type="dxa"/>
          </w:tcPr>
          <w:p w14:paraId="3CE5B10B" w14:textId="77777777" w:rsidR="001D4217" w:rsidRPr="00CB431F" w:rsidRDefault="001D4217" w:rsidP="00CB431F">
            <w:pPr>
              <w:bidi/>
              <w:rPr>
                <w:sz w:val="26"/>
                <w:szCs w:val="26"/>
              </w:rPr>
            </w:pPr>
          </w:p>
        </w:tc>
      </w:tr>
    </w:tbl>
    <w:p w14:paraId="19119C29" w14:textId="77777777" w:rsidR="00193CCD" w:rsidRPr="00CB431F" w:rsidRDefault="00193CCD" w:rsidP="00CB431F">
      <w:pPr>
        <w:bidi/>
        <w:rPr>
          <w:sz w:val="26"/>
          <w:szCs w:val="26"/>
        </w:rPr>
      </w:pPr>
    </w:p>
    <w:sectPr w:rsidR="00193CCD" w:rsidRPr="00CB431F" w:rsidSect="00437274">
      <w:headerReference w:type="first" r:id="rId17"/>
      <w:footerReference w:type="first" r:id="rId18"/>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26B5C" w14:textId="77777777" w:rsidR="005D1C37" w:rsidRDefault="005D1C37" w:rsidP="004A504B">
      <w:r>
        <w:separator/>
      </w:r>
    </w:p>
  </w:endnote>
  <w:endnote w:type="continuationSeparator" w:id="0">
    <w:p w14:paraId="6C4EDFFC" w14:textId="77777777" w:rsidR="005D1C37" w:rsidRDefault="005D1C37" w:rsidP="004A504B">
      <w:r>
        <w:continuationSeparator/>
      </w:r>
    </w:p>
  </w:endnote>
  <w:endnote w:type="continuationNotice" w:id="1">
    <w:p w14:paraId="27DAEB01" w14:textId="77777777" w:rsidR="005D1C37" w:rsidRDefault="005D1C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AFF" w:usb1="5000217F" w:usb2="00000021" w:usb3="00000000" w:csb0="0000019F" w:csb1="00000000"/>
  </w:font>
  <w:font w:name="Courier">
    <w:altName w:val="Courier New"/>
    <w:panose1 w:val="02070409020205020404"/>
    <w:charset w:val="00"/>
    <w:family w:val="auto"/>
    <w:notTrueType/>
    <w:pitch w:val="variable"/>
    <w:sig w:usb0="00000003" w:usb1="00000000" w:usb2="00000000" w:usb3="00000000" w:csb0="00000001"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ED4D5" w14:textId="6C6F653B" w:rsidR="00486D8C" w:rsidRPr="00C14279" w:rsidRDefault="00486D8C" w:rsidP="00C14279">
    <w:pPr>
      <w:bidi/>
      <w:jc w:val="center"/>
      <w:rPr>
        <w:sz w:val="24"/>
        <w:szCs w:val="24"/>
      </w:rPr>
    </w:pPr>
    <w:r w:rsidRPr="00C14279">
      <w:rPr>
        <w:sz w:val="24"/>
        <w:szCs w:val="24"/>
      </w:rPr>
      <w:fldChar w:fldCharType="begin"/>
    </w:r>
    <w:r w:rsidRPr="00C14279">
      <w:rPr>
        <w:sz w:val="24"/>
        <w:szCs w:val="24"/>
      </w:rPr>
      <w:instrText xml:space="preserve"> PAGE </w:instrText>
    </w:r>
    <w:r w:rsidRPr="00C14279">
      <w:rPr>
        <w:sz w:val="24"/>
        <w:szCs w:val="24"/>
      </w:rPr>
      <w:fldChar w:fldCharType="separate"/>
    </w:r>
    <w:r w:rsidR="003D0925" w:rsidRPr="00C14279">
      <w:rPr>
        <w:noProof/>
        <w:sz w:val="24"/>
        <w:szCs w:val="24"/>
      </w:rPr>
      <w:t>22</w:t>
    </w:r>
    <w:r w:rsidRPr="00C14279">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4EA35" w14:textId="5E59CD01" w:rsidR="00486D8C" w:rsidRPr="00C14279" w:rsidRDefault="00486D8C" w:rsidP="00C14279">
    <w:pPr>
      <w:bidi/>
      <w:jc w:val="center"/>
      <w:rPr>
        <w:sz w:val="24"/>
        <w:szCs w:val="24"/>
      </w:rPr>
    </w:pPr>
    <w:r w:rsidRPr="00C14279">
      <w:rPr>
        <w:sz w:val="24"/>
        <w:szCs w:val="24"/>
      </w:rPr>
      <w:fldChar w:fldCharType="begin"/>
    </w:r>
    <w:r w:rsidRPr="00C14279">
      <w:rPr>
        <w:sz w:val="24"/>
        <w:szCs w:val="24"/>
      </w:rPr>
      <w:instrText xml:space="preserve"> PAGE </w:instrText>
    </w:r>
    <w:r w:rsidRPr="00C14279">
      <w:rPr>
        <w:sz w:val="24"/>
        <w:szCs w:val="24"/>
      </w:rPr>
      <w:fldChar w:fldCharType="separate"/>
    </w:r>
    <w:r w:rsidR="003D0925" w:rsidRPr="00C14279">
      <w:rPr>
        <w:noProof/>
        <w:sz w:val="24"/>
        <w:szCs w:val="24"/>
      </w:rPr>
      <w:t>31</w:t>
    </w:r>
    <w:r w:rsidRPr="00C14279">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7F88" w14:textId="29219414" w:rsidR="000009E2" w:rsidRPr="000009E2" w:rsidRDefault="000009E2">
    <w:pPr>
      <w:pStyle w:val="Footer"/>
      <w:jc w:val="center"/>
      <w:rPr>
        <w:sz w:val="24"/>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2314519"/>
      <w:docPartObj>
        <w:docPartGallery w:val="Page Numbers (Bottom of Page)"/>
        <w:docPartUnique/>
      </w:docPartObj>
    </w:sdtPr>
    <w:sdtEndPr>
      <w:rPr>
        <w:noProof/>
        <w:sz w:val="24"/>
        <w:szCs w:val="24"/>
      </w:rPr>
    </w:sdtEndPr>
    <w:sdtContent>
      <w:p w14:paraId="4DD67EBF" w14:textId="76FF35F7" w:rsidR="00D84A6A" w:rsidRPr="00D84A6A" w:rsidRDefault="00D84A6A">
        <w:pPr>
          <w:pStyle w:val="Footer"/>
          <w:jc w:val="center"/>
          <w:rPr>
            <w:sz w:val="24"/>
            <w:szCs w:val="24"/>
          </w:rPr>
        </w:pPr>
        <w:r w:rsidRPr="00D84A6A">
          <w:rPr>
            <w:sz w:val="24"/>
            <w:szCs w:val="24"/>
          </w:rPr>
          <w:fldChar w:fldCharType="begin"/>
        </w:r>
        <w:r w:rsidRPr="00D84A6A">
          <w:rPr>
            <w:sz w:val="24"/>
            <w:szCs w:val="24"/>
          </w:rPr>
          <w:instrText xml:space="preserve"> PAGE   \* MERGEFORMAT </w:instrText>
        </w:r>
        <w:r w:rsidRPr="00D84A6A">
          <w:rPr>
            <w:sz w:val="24"/>
            <w:szCs w:val="24"/>
          </w:rPr>
          <w:fldChar w:fldCharType="separate"/>
        </w:r>
        <w:r w:rsidRPr="00D84A6A">
          <w:rPr>
            <w:noProof/>
            <w:sz w:val="24"/>
            <w:szCs w:val="24"/>
          </w:rPr>
          <w:t>2</w:t>
        </w:r>
        <w:r w:rsidRPr="00D84A6A">
          <w:rPr>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4B056" w14:textId="77777777" w:rsidR="005D1C37" w:rsidRPr="001958AE" w:rsidRDefault="005D1C37" w:rsidP="001958AE">
      <w:pPr>
        <w:bidi/>
        <w:ind w:firstLine="432"/>
        <w:rPr>
          <w:sz w:val="24"/>
          <w:szCs w:val="24"/>
        </w:rPr>
      </w:pPr>
      <w:r w:rsidRPr="001958AE">
        <w:rPr>
          <w:sz w:val="24"/>
          <w:szCs w:val="24"/>
        </w:rPr>
        <w:separator/>
      </w:r>
    </w:p>
  </w:footnote>
  <w:footnote w:type="continuationSeparator" w:id="0">
    <w:p w14:paraId="72753F1D" w14:textId="77777777" w:rsidR="005D1C37" w:rsidRDefault="005D1C37" w:rsidP="004A504B">
      <w:r>
        <w:continuationSeparator/>
      </w:r>
    </w:p>
  </w:footnote>
  <w:footnote w:type="continuationNotice" w:id="1">
    <w:p w14:paraId="715F9BAE" w14:textId="77777777" w:rsidR="005D1C37" w:rsidRDefault="005D1C37"/>
  </w:footnote>
  <w:footnote w:id="2">
    <w:p w14:paraId="31C3336B" w14:textId="37E86F0F" w:rsidR="009E766D" w:rsidRPr="009E766D" w:rsidRDefault="009E766D" w:rsidP="00E415DA">
      <w:pPr>
        <w:pStyle w:val="FootnoteText"/>
        <w:bidi/>
        <w:ind w:left="720"/>
        <w:rPr>
          <w:rtl/>
          <w:lang w:bidi="ar-AE"/>
        </w:rPr>
      </w:pPr>
      <w:r w:rsidRPr="009E766D">
        <w:rPr>
          <w:rStyle w:val="FootnoteReference"/>
        </w:rPr>
        <w:t>*</w:t>
      </w:r>
      <w:r w:rsidRPr="009E766D">
        <w:rPr>
          <w:rFonts w:hint="cs"/>
          <w:rtl/>
          <w:lang w:bidi="ar-AE"/>
        </w:rPr>
        <w:t xml:space="preserve"> الوثيقة </w:t>
      </w:r>
      <w:r w:rsidRPr="009E766D">
        <w:t>UNEP/OzL.Pro.38/1</w:t>
      </w:r>
      <w:r w:rsidRPr="009E766D">
        <w:rPr>
          <w:rFonts w:hint="cs"/>
          <w:rtl/>
        </w:rPr>
        <w:t>.</w:t>
      </w:r>
    </w:p>
  </w:footnote>
  <w:footnote w:id="3">
    <w:p w14:paraId="1D2EBC27" w14:textId="11850A4A" w:rsidR="00DA32A6" w:rsidRPr="00DA32A6" w:rsidRDefault="00DA32A6" w:rsidP="00E415DA">
      <w:pPr>
        <w:pStyle w:val="FootnoteText"/>
        <w:bidi/>
        <w:ind w:left="720"/>
        <w:rPr>
          <w:rtl/>
          <w:lang w:val="en-US" w:bidi="ar-AE"/>
        </w:rPr>
      </w:pPr>
      <w:r>
        <w:rPr>
          <w:rStyle w:val="FootnoteReference"/>
        </w:rPr>
        <w:footnoteRef/>
      </w:r>
      <w:r>
        <w:t xml:space="preserve"> </w:t>
      </w:r>
      <w:r w:rsidRPr="00DA32A6">
        <w:rPr>
          <w:rtl/>
          <w:lang w:val="en-US" w:bidi="ar-AE"/>
        </w:rPr>
        <w:t xml:space="preserve">الوثيقة </w:t>
      </w:r>
      <w:r w:rsidRPr="00DA32A6">
        <w:rPr>
          <w:lang w:val="en-US" w:bidi="ar-AE"/>
        </w:rPr>
        <w:t>UNEP/OzL.Pro/ExCom/97/91 and UNEP/OzL.Pro/ExCom/98/64</w:t>
      </w:r>
      <w:r w:rsidRPr="00DA32A6">
        <w:rPr>
          <w:rtl/>
          <w:lang w:val="en-US" w:bidi="ar-AE"/>
        </w:rPr>
        <w:t>.</w:t>
      </w:r>
    </w:p>
  </w:footnote>
  <w:footnote w:id="4">
    <w:p w14:paraId="6A52FD5C" w14:textId="74A24D86" w:rsidR="00183770" w:rsidRPr="00183770" w:rsidRDefault="00183770" w:rsidP="00E415DA">
      <w:pPr>
        <w:pStyle w:val="FootnoteText"/>
        <w:bidi/>
        <w:ind w:left="720"/>
        <w:rPr>
          <w:rtl/>
          <w:lang w:bidi="ar-AE"/>
        </w:rPr>
      </w:pPr>
      <w:r>
        <w:rPr>
          <w:rStyle w:val="FootnoteReference"/>
        </w:rPr>
        <w:footnoteRef/>
      </w:r>
      <w:r>
        <w:t xml:space="preserve"> </w:t>
      </w:r>
      <w:r>
        <w:rPr>
          <w:rFonts w:hint="cs"/>
          <w:rtl/>
          <w:lang w:bidi="ar-AE"/>
        </w:rPr>
        <w:t xml:space="preserve">الوثيقة </w:t>
      </w:r>
      <w:r w:rsidRPr="00183770">
        <w:rPr>
          <w:lang w:bidi="ar-AE"/>
        </w:rPr>
        <w:t>UNEP/OzL.Pro/ExCom/98/60</w:t>
      </w:r>
      <w:r>
        <w:rPr>
          <w:rFonts w:hint="cs"/>
          <w:rtl/>
          <w:lang w:bidi="ar-AE"/>
        </w:rPr>
        <w:t>.</w:t>
      </w:r>
    </w:p>
  </w:footnote>
  <w:footnote w:id="5">
    <w:p w14:paraId="0A982AF2" w14:textId="5F951061" w:rsidR="00F735BA" w:rsidRPr="00F735BA" w:rsidRDefault="00F735BA" w:rsidP="00E415DA">
      <w:pPr>
        <w:pStyle w:val="FootnoteText"/>
        <w:bidi/>
        <w:ind w:left="720"/>
        <w:rPr>
          <w:rtl/>
          <w:lang w:bidi="ar-AE"/>
        </w:rPr>
      </w:pPr>
      <w:r>
        <w:rPr>
          <w:rStyle w:val="FootnoteReference"/>
        </w:rPr>
        <w:footnoteRef/>
      </w:r>
      <w:r>
        <w:t xml:space="preserve"> </w:t>
      </w:r>
      <w:r>
        <w:rPr>
          <w:rFonts w:hint="cs"/>
          <w:rtl/>
          <w:lang w:bidi="ar-AE"/>
        </w:rPr>
        <w:t xml:space="preserve">الوثيقة </w:t>
      </w:r>
      <w:r w:rsidRPr="00F735BA">
        <w:rPr>
          <w:lang w:bidi="ar-AE"/>
        </w:rPr>
        <w:t>UNEP/OzL.Pro/ExCom/98/58</w:t>
      </w:r>
      <w:r>
        <w:rPr>
          <w:rFonts w:hint="cs"/>
          <w:rtl/>
          <w:lang w:bidi="ar-AE"/>
        </w:rPr>
        <w:t>.</w:t>
      </w:r>
    </w:p>
  </w:footnote>
  <w:footnote w:id="6">
    <w:p w14:paraId="0D4D38AC" w14:textId="21C2AFAD" w:rsidR="008903B4" w:rsidRPr="008903B4" w:rsidRDefault="008903B4" w:rsidP="00E415DA">
      <w:pPr>
        <w:pStyle w:val="FootnoteText"/>
        <w:bidi/>
        <w:ind w:left="720"/>
        <w:rPr>
          <w:rtl/>
          <w:lang w:bidi="ar-AE"/>
        </w:rPr>
      </w:pPr>
      <w:r>
        <w:rPr>
          <w:rStyle w:val="FootnoteReference"/>
        </w:rPr>
        <w:footnoteRef/>
      </w:r>
      <w:r>
        <w:t xml:space="preserve"> </w:t>
      </w:r>
      <w:r>
        <w:rPr>
          <w:rFonts w:hint="cs"/>
          <w:rtl/>
          <w:lang w:val="en-US" w:bidi="ar-AE"/>
        </w:rPr>
        <w:t xml:space="preserve">الوثيقة </w:t>
      </w:r>
      <w:r w:rsidRPr="00002728">
        <w:rPr>
          <w:lang w:val="en-US" w:bidi="ar-AE"/>
        </w:rPr>
        <w:t>UNEP/OzL.Pro/ExCom/97/26</w:t>
      </w:r>
      <w:r>
        <w:rPr>
          <w:rFonts w:hint="cs"/>
          <w:rtl/>
          <w:lang w:val="en-US" w:bidi="ar-AE"/>
        </w:rPr>
        <w:t xml:space="preserve">، الفقرات من </w:t>
      </w:r>
      <w:r>
        <w:rPr>
          <w:lang w:val="en-US" w:bidi="ar-AE"/>
        </w:rPr>
        <w:t>39</w:t>
      </w:r>
      <w:r>
        <w:rPr>
          <w:rFonts w:hint="cs"/>
          <w:rtl/>
          <w:lang w:val="en-US" w:bidi="ar-AE"/>
        </w:rPr>
        <w:t xml:space="preserve"> إلى </w:t>
      </w:r>
      <w:r>
        <w:rPr>
          <w:lang w:val="en-US" w:bidi="ar-AE"/>
        </w:rPr>
        <w:t>45</w:t>
      </w:r>
      <w:r>
        <w:rPr>
          <w:rFonts w:hint="cs"/>
          <w:rtl/>
          <w:lang w:val="en-US" w:bidi="ar-AE"/>
        </w:rPr>
        <w:t xml:space="preserve">، والوثيقة </w:t>
      </w:r>
      <w:r w:rsidRPr="00002728">
        <w:rPr>
          <w:lang w:val="en-US" w:bidi="ar-AE"/>
        </w:rPr>
        <w:t>UNEP/OzL.Pro/ExCom/98/10</w:t>
      </w:r>
      <w:r>
        <w:rPr>
          <w:rFonts w:hint="cs"/>
          <w:rtl/>
          <w:lang w:val="en-US" w:bidi="ar-AE"/>
        </w:rPr>
        <w:t xml:space="preserve">، الفقرات من </w:t>
      </w:r>
      <w:r>
        <w:rPr>
          <w:lang w:val="en-US" w:bidi="ar-AE"/>
        </w:rPr>
        <w:t>19</w:t>
      </w:r>
      <w:r>
        <w:rPr>
          <w:rFonts w:hint="cs"/>
          <w:rtl/>
          <w:lang w:val="en-US" w:bidi="ar-AE"/>
        </w:rPr>
        <w:t xml:space="preserve"> إلى </w:t>
      </w:r>
      <w:r>
        <w:rPr>
          <w:lang w:val="en-US" w:bidi="ar-AE"/>
        </w:rPr>
        <w:t>20</w:t>
      </w:r>
      <w:r>
        <w:rPr>
          <w:rFonts w:hint="cs"/>
          <w:rtl/>
          <w:lang w:val="en-US" w:bidi="ar-AE"/>
        </w:rPr>
        <w:t>.</w:t>
      </w:r>
    </w:p>
  </w:footnote>
  <w:footnote w:id="7">
    <w:p w14:paraId="585210D7" w14:textId="2409B2D9" w:rsidR="00EA0545" w:rsidRPr="00EA0545" w:rsidRDefault="00EA0545" w:rsidP="00E415DA">
      <w:pPr>
        <w:pStyle w:val="FootnoteText"/>
        <w:bidi/>
        <w:ind w:left="720"/>
        <w:rPr>
          <w:rtl/>
          <w:lang w:bidi="ar-AE"/>
        </w:rPr>
      </w:pPr>
      <w:r>
        <w:rPr>
          <w:rStyle w:val="FootnoteReference"/>
        </w:rPr>
        <w:footnoteRef/>
      </w:r>
      <w:r>
        <w:t xml:space="preserve"> </w:t>
      </w:r>
      <w:r>
        <w:rPr>
          <w:rFonts w:hint="cs"/>
          <w:rtl/>
          <w:lang w:bidi="ar-AE"/>
        </w:rPr>
        <w:t xml:space="preserve">الوثيقة </w:t>
      </w:r>
      <w:r w:rsidRPr="00EA0545">
        <w:rPr>
          <w:lang w:bidi="ar-AE"/>
        </w:rPr>
        <w:t>UNEP/OzL.Pro/ExCom/97/85</w:t>
      </w:r>
      <w:r>
        <w:rPr>
          <w:rFonts w:hint="cs"/>
          <w:rtl/>
          <w:lang w:bidi="ar-AE"/>
        </w:rPr>
        <w:t>.</w:t>
      </w:r>
    </w:p>
  </w:footnote>
  <w:footnote w:id="8">
    <w:p w14:paraId="1D54E960" w14:textId="19E6A8E1" w:rsidR="00E07303" w:rsidRPr="00E07303" w:rsidRDefault="00E07303" w:rsidP="00E415DA">
      <w:pPr>
        <w:pStyle w:val="FootnoteText"/>
        <w:bidi/>
        <w:ind w:left="720"/>
        <w:rPr>
          <w:rtl/>
          <w:lang w:val="en-US" w:bidi="ar-AE"/>
        </w:rPr>
      </w:pPr>
      <w:r>
        <w:rPr>
          <w:rStyle w:val="FootnoteReference"/>
        </w:rPr>
        <w:footnoteRef/>
      </w:r>
      <w:r>
        <w:t xml:space="preserve"> </w:t>
      </w:r>
      <w:r>
        <w:rPr>
          <w:rFonts w:hint="cs"/>
          <w:rtl/>
          <w:lang w:val="en-US" w:bidi="ar-AE"/>
        </w:rPr>
        <w:t xml:space="preserve">الوثيقة </w:t>
      </w:r>
      <w:r w:rsidRPr="00E07303">
        <w:rPr>
          <w:lang w:val="en-US" w:bidi="ar-AE"/>
        </w:rPr>
        <w:t>UNEP/OzL.Pro/ExCom/97/86</w:t>
      </w:r>
      <w:r>
        <w:rPr>
          <w:rFonts w:hint="cs"/>
          <w:rtl/>
          <w:lang w:val="en-US" w:bidi="ar-AE"/>
        </w:rPr>
        <w:t>.</w:t>
      </w:r>
    </w:p>
  </w:footnote>
  <w:footnote w:id="9">
    <w:p w14:paraId="332D30EC" w14:textId="40E980DA" w:rsidR="00EA53A6" w:rsidRPr="00EA53A6" w:rsidRDefault="00EA53A6" w:rsidP="00E415DA">
      <w:pPr>
        <w:pStyle w:val="FootnoteText"/>
        <w:bidi/>
        <w:ind w:left="720"/>
        <w:rPr>
          <w:rtl/>
          <w:lang w:val="en-US" w:bidi="ar-AE"/>
        </w:rPr>
      </w:pPr>
      <w:r>
        <w:rPr>
          <w:rStyle w:val="FootnoteReference"/>
        </w:rPr>
        <w:footnoteRef/>
      </w:r>
      <w:r>
        <w:t xml:space="preserve"> </w:t>
      </w:r>
      <w:r>
        <w:rPr>
          <w:rFonts w:hint="cs"/>
          <w:rtl/>
          <w:lang w:val="en-US" w:bidi="ar-AE"/>
        </w:rPr>
        <w:t xml:space="preserve">الوثيقة </w:t>
      </w:r>
      <w:r w:rsidRPr="00EA53A6">
        <w:rPr>
          <w:lang w:val="en-US" w:bidi="ar-AE"/>
        </w:rPr>
        <w:t>UNEP/OzL.Pro/ExCom/98/59</w:t>
      </w:r>
      <w:r>
        <w:rPr>
          <w:rFonts w:hint="cs"/>
          <w:rtl/>
          <w:lang w:val="en-US" w:bidi="ar-AE"/>
        </w:rPr>
        <w:t>.</w:t>
      </w:r>
    </w:p>
  </w:footnote>
  <w:footnote w:id="10">
    <w:p w14:paraId="551672CA" w14:textId="48C3C844" w:rsidR="00231EA3" w:rsidRPr="00231EA3" w:rsidRDefault="00231EA3" w:rsidP="00E415DA">
      <w:pPr>
        <w:pStyle w:val="FootnoteText"/>
        <w:bidi/>
        <w:ind w:left="720"/>
        <w:rPr>
          <w:rtl/>
          <w:lang w:val="en-US" w:bidi="ar-AE"/>
        </w:rPr>
      </w:pPr>
      <w:r>
        <w:rPr>
          <w:rStyle w:val="FootnoteReference"/>
        </w:rPr>
        <w:footnoteRef/>
      </w:r>
      <w:r>
        <w:t xml:space="preserve"> </w:t>
      </w:r>
      <w:r>
        <w:rPr>
          <w:rFonts w:hint="cs"/>
          <w:rtl/>
          <w:lang w:val="en-US" w:bidi="ar-AE"/>
        </w:rPr>
        <w:t xml:space="preserve">الوثيقة </w:t>
      </w:r>
      <w:r w:rsidRPr="00231EA3">
        <w:rPr>
          <w:lang w:val="en-US" w:bidi="ar-AE"/>
        </w:rPr>
        <w:t>UNEP/OzL.Pro/ExCom/98/55</w:t>
      </w:r>
      <w:r>
        <w:rPr>
          <w:rFonts w:hint="cs"/>
          <w:rtl/>
          <w:lang w:val="en-US" w:bidi="ar-AE"/>
        </w:rPr>
        <w:t>.</w:t>
      </w:r>
    </w:p>
  </w:footnote>
  <w:footnote w:id="11">
    <w:p w14:paraId="5E12DDD9" w14:textId="516C74A5" w:rsidR="00ED0B4A" w:rsidRPr="00ED0B4A" w:rsidRDefault="00ED0B4A" w:rsidP="00E415DA">
      <w:pPr>
        <w:pStyle w:val="FootnoteText"/>
        <w:bidi/>
        <w:ind w:left="720"/>
        <w:rPr>
          <w:rtl/>
          <w:lang w:bidi="ar-AE"/>
        </w:rPr>
      </w:pPr>
      <w:r>
        <w:rPr>
          <w:rStyle w:val="FootnoteReference"/>
        </w:rPr>
        <w:footnoteRef/>
      </w:r>
      <w:r>
        <w:t xml:space="preserve"> </w:t>
      </w:r>
      <w:r>
        <w:rPr>
          <w:rFonts w:hint="cs"/>
          <w:rtl/>
          <w:lang w:bidi="ar-AE"/>
        </w:rPr>
        <w:t xml:space="preserve">الوثيقة </w:t>
      </w:r>
      <w:r w:rsidRPr="00ED0B4A">
        <w:rPr>
          <w:lang w:bidi="ar-AE"/>
        </w:rPr>
        <w:t>UNEP/OzL.Pro/ExCom/97/87</w:t>
      </w:r>
      <w:r>
        <w:rPr>
          <w:rFonts w:hint="cs"/>
          <w:rtl/>
          <w:lang w:bidi="ar-AE"/>
        </w:rPr>
        <w:t>.</w:t>
      </w:r>
    </w:p>
  </w:footnote>
  <w:footnote w:id="12">
    <w:p w14:paraId="53721137" w14:textId="4BECDEFD" w:rsidR="00693A6D" w:rsidRPr="00693A6D" w:rsidRDefault="00693A6D" w:rsidP="00E415DA">
      <w:pPr>
        <w:pStyle w:val="FootnoteText"/>
        <w:bidi/>
        <w:ind w:left="720"/>
        <w:rPr>
          <w:rtl/>
          <w:lang w:val="en-US" w:bidi="ar-AE"/>
        </w:rPr>
      </w:pPr>
      <w:r>
        <w:rPr>
          <w:rStyle w:val="FootnoteReference"/>
        </w:rPr>
        <w:footnoteRef/>
      </w:r>
      <w:r>
        <w:t xml:space="preserve"> </w:t>
      </w:r>
      <w:r>
        <w:rPr>
          <w:rFonts w:hint="cs"/>
          <w:rtl/>
          <w:lang w:val="en-US" w:bidi="ar-AE"/>
        </w:rPr>
        <w:t xml:space="preserve">الوثيقة </w:t>
      </w:r>
      <w:r w:rsidRPr="00693A6D">
        <w:rPr>
          <w:lang w:val="en-US" w:bidi="ar-AE"/>
        </w:rPr>
        <w:t>UNEP/OzL.Pro/ExCom/97/26</w:t>
      </w:r>
      <w:r>
        <w:rPr>
          <w:rFonts w:hint="cs"/>
          <w:rtl/>
          <w:lang w:val="en-US" w:bidi="ar-AE"/>
        </w:rPr>
        <w:t xml:space="preserve">، الفقرات من </w:t>
      </w:r>
      <w:r>
        <w:rPr>
          <w:lang w:val="en-US" w:bidi="ar-AE"/>
        </w:rPr>
        <w:t>34</w:t>
      </w:r>
      <w:r>
        <w:rPr>
          <w:rFonts w:hint="cs"/>
          <w:rtl/>
          <w:lang w:val="en-US" w:bidi="ar-AE"/>
        </w:rPr>
        <w:t xml:space="preserve"> إلى </w:t>
      </w:r>
      <w:r>
        <w:rPr>
          <w:lang w:val="en-US" w:bidi="ar-AE"/>
        </w:rPr>
        <w:t>38</w:t>
      </w:r>
      <w:r>
        <w:rPr>
          <w:rFonts w:hint="cs"/>
          <w:rtl/>
          <w:lang w:val="en-US" w:bidi="ar-AE"/>
        </w:rPr>
        <w:t>.</w:t>
      </w:r>
    </w:p>
  </w:footnote>
  <w:footnote w:id="13">
    <w:p w14:paraId="1937FBC0" w14:textId="451CF57D" w:rsidR="00D179DD" w:rsidRPr="00D179DD" w:rsidRDefault="00D179DD" w:rsidP="00E415DA">
      <w:pPr>
        <w:pStyle w:val="FootnoteText"/>
        <w:bidi/>
        <w:ind w:left="720"/>
        <w:rPr>
          <w:rtl/>
          <w:lang w:bidi="ar-AE"/>
        </w:rPr>
      </w:pPr>
      <w:r>
        <w:rPr>
          <w:rStyle w:val="FootnoteReference"/>
        </w:rPr>
        <w:footnoteRef/>
      </w:r>
      <w:r>
        <w:t xml:space="preserve"> </w:t>
      </w:r>
      <w:r>
        <w:rPr>
          <w:rFonts w:hint="cs"/>
          <w:rtl/>
          <w:lang w:bidi="ar-AE"/>
        </w:rPr>
        <w:t xml:space="preserve">الوثيقة </w:t>
      </w:r>
      <w:r w:rsidRPr="00D179DD">
        <w:rPr>
          <w:lang w:bidi="ar-AE"/>
        </w:rPr>
        <w:t>UNEP/OzL.Pro/ExCom/98/57</w:t>
      </w:r>
      <w:r>
        <w:rPr>
          <w:rFonts w:hint="cs"/>
          <w:rtl/>
          <w:lang w:bidi="ar-AE"/>
        </w:rPr>
        <w:t>.</w:t>
      </w:r>
    </w:p>
  </w:footnote>
  <w:footnote w:id="14">
    <w:p w14:paraId="7BA243E2" w14:textId="455E8BF6" w:rsidR="00C01977" w:rsidRPr="00C01977" w:rsidRDefault="00C01977" w:rsidP="00E415DA">
      <w:pPr>
        <w:pStyle w:val="FootnoteText"/>
        <w:bidi/>
        <w:ind w:left="720"/>
        <w:rPr>
          <w:rtl/>
          <w:lang w:val="en-US" w:bidi="ar-AE"/>
        </w:rPr>
      </w:pPr>
      <w:r>
        <w:rPr>
          <w:rStyle w:val="FootnoteReference"/>
        </w:rPr>
        <w:footnoteRef/>
      </w:r>
      <w:r>
        <w:t xml:space="preserve"> </w:t>
      </w:r>
      <w:r>
        <w:rPr>
          <w:rFonts w:hint="cs"/>
          <w:rtl/>
          <w:lang w:bidi="ar-AE"/>
        </w:rPr>
        <w:t xml:space="preserve">الوثيقة </w:t>
      </w:r>
      <w:r w:rsidRPr="00C01977">
        <w:rPr>
          <w:lang w:bidi="ar-AE"/>
        </w:rPr>
        <w:t>UNEP/OzL.Pro/ExCom/97/26</w:t>
      </w:r>
      <w:r>
        <w:rPr>
          <w:rFonts w:hint="cs"/>
          <w:rtl/>
          <w:lang w:bidi="ar-AE"/>
        </w:rPr>
        <w:t xml:space="preserve">، الفقرات من </w:t>
      </w:r>
      <w:r>
        <w:rPr>
          <w:lang w:val="en-US" w:bidi="ar-AE"/>
        </w:rPr>
        <w:t>14</w:t>
      </w:r>
      <w:r>
        <w:rPr>
          <w:rFonts w:hint="cs"/>
          <w:rtl/>
          <w:lang w:val="en-US" w:bidi="ar-AE"/>
        </w:rPr>
        <w:t xml:space="preserve"> إلى </w:t>
      </w:r>
      <w:r>
        <w:rPr>
          <w:lang w:val="en-US" w:bidi="ar-AE"/>
        </w:rPr>
        <w:t>33</w:t>
      </w:r>
      <w:r>
        <w:rPr>
          <w:rFonts w:hint="cs"/>
          <w:rtl/>
          <w:lang w:val="en-US" w:bidi="ar-AE"/>
        </w:rPr>
        <w:t>.</w:t>
      </w:r>
    </w:p>
  </w:footnote>
  <w:footnote w:id="15">
    <w:p w14:paraId="783F3616" w14:textId="57872237" w:rsidR="00E42FAA" w:rsidRPr="00E42FAA" w:rsidRDefault="00E42FAA" w:rsidP="00E415DA">
      <w:pPr>
        <w:pStyle w:val="FootnoteText"/>
        <w:bidi/>
        <w:ind w:left="720"/>
        <w:rPr>
          <w:rtl/>
          <w:lang w:bidi="ar-AE"/>
        </w:rPr>
      </w:pPr>
      <w:r>
        <w:rPr>
          <w:rStyle w:val="FootnoteReference"/>
        </w:rPr>
        <w:footnoteRef/>
      </w:r>
      <w:r>
        <w:t xml:space="preserve"> </w:t>
      </w:r>
      <w:r>
        <w:rPr>
          <w:rFonts w:hint="cs"/>
          <w:rtl/>
          <w:lang w:bidi="ar-AE"/>
        </w:rPr>
        <w:t xml:space="preserve">الوثيقة </w:t>
      </w:r>
      <w:r w:rsidRPr="00E42FAA">
        <w:rPr>
          <w:lang w:bidi="ar-AE"/>
        </w:rPr>
        <w:t>UNEP/OzL.Pro/ExCom/97/91</w:t>
      </w:r>
      <w:r>
        <w:rPr>
          <w:rFonts w:hint="cs"/>
          <w:rtl/>
          <w:lang w:bidi="ar-AE"/>
        </w:rPr>
        <w:t xml:space="preserve">، </w:t>
      </w:r>
      <w:r w:rsidRPr="00E42FAA">
        <w:rPr>
          <w:rtl/>
          <w:lang w:bidi="ar-AE"/>
        </w:rPr>
        <w:t xml:space="preserve">المرفق </w:t>
      </w:r>
      <w:r>
        <w:rPr>
          <w:lang w:bidi="ar-AE"/>
        </w:rPr>
        <w:t>28</w:t>
      </w:r>
      <w:r>
        <w:rPr>
          <w:rFonts w:hint="cs"/>
          <w:rtl/>
          <w:lang w:bidi="ar-AE"/>
        </w:rPr>
        <w:t>.</w:t>
      </w:r>
    </w:p>
  </w:footnote>
  <w:footnote w:id="16">
    <w:p w14:paraId="2DCBDB20" w14:textId="6222E03C" w:rsidR="00E42FAA" w:rsidRPr="00E42FAA" w:rsidRDefault="00E42FAA" w:rsidP="00E415DA">
      <w:pPr>
        <w:pStyle w:val="FootnoteText"/>
        <w:bidi/>
        <w:ind w:left="720"/>
        <w:rPr>
          <w:rtl/>
          <w:lang w:bidi="ar-AE"/>
        </w:rPr>
      </w:pPr>
      <w:r>
        <w:rPr>
          <w:rStyle w:val="FootnoteReference"/>
        </w:rPr>
        <w:footnoteRef/>
      </w:r>
      <w:r>
        <w:t xml:space="preserve"> </w:t>
      </w:r>
      <w:r>
        <w:rPr>
          <w:rFonts w:hint="cs"/>
          <w:rtl/>
          <w:lang w:bidi="ar-AE"/>
        </w:rPr>
        <w:t xml:space="preserve">الوثيقة </w:t>
      </w:r>
      <w:r w:rsidRPr="00E42FAA">
        <w:rPr>
          <w:lang w:bidi="ar-AE"/>
        </w:rPr>
        <w:t>UNEP/OzL.Pro/ExCom/98/10/Add.1</w:t>
      </w:r>
      <w:r>
        <w:rPr>
          <w:rFonts w:hint="cs"/>
          <w:rtl/>
          <w:lang w:bidi="ar-AE"/>
        </w:rPr>
        <w:t>.</w:t>
      </w:r>
    </w:p>
  </w:footnote>
  <w:footnote w:id="17">
    <w:p w14:paraId="3D462727" w14:textId="215D2EEF" w:rsidR="00E42FAA" w:rsidRPr="00E42FAA" w:rsidRDefault="00E42FAA" w:rsidP="00E415DA">
      <w:pPr>
        <w:pStyle w:val="FootnoteText"/>
        <w:bidi/>
        <w:ind w:left="720"/>
        <w:rPr>
          <w:rtl/>
          <w:lang w:val="en-US" w:bidi="ar-AE"/>
        </w:rPr>
      </w:pPr>
      <w:r>
        <w:rPr>
          <w:rStyle w:val="FootnoteReference"/>
        </w:rPr>
        <w:footnoteRef/>
      </w:r>
      <w:r>
        <w:t xml:space="preserve"> </w:t>
      </w:r>
      <w:r>
        <w:rPr>
          <w:rFonts w:hint="cs"/>
          <w:rtl/>
          <w:lang w:val="en-US" w:bidi="ar-AE"/>
        </w:rPr>
        <w:t xml:space="preserve">الوثيقة </w:t>
      </w:r>
      <w:r w:rsidRPr="00E42FAA">
        <w:rPr>
          <w:lang w:val="en-US" w:bidi="ar-AE"/>
        </w:rPr>
        <w:t>UNEP/OzL.Pro/ExCom/98/63</w:t>
      </w:r>
      <w:r>
        <w:rPr>
          <w:rFonts w:hint="cs"/>
          <w:rtl/>
          <w:lang w:val="en-US" w:bidi="ar-AE"/>
        </w:rPr>
        <w:t xml:space="preserve">، المرفق </w:t>
      </w:r>
      <w:r>
        <w:rPr>
          <w:lang w:val="en-US" w:bidi="ar-AE"/>
        </w:rPr>
        <w:t>39</w:t>
      </w:r>
      <w:r>
        <w:rPr>
          <w:rFonts w:hint="cs"/>
          <w:rtl/>
          <w:lang w:val="en-US" w:bidi="ar-AE"/>
        </w:rPr>
        <w:t>.</w:t>
      </w:r>
    </w:p>
  </w:footnote>
  <w:footnote w:id="18">
    <w:p w14:paraId="7D194CB2" w14:textId="07B66E22" w:rsidR="00A0635D" w:rsidRPr="00A0635D" w:rsidRDefault="00A0635D" w:rsidP="00E415DA">
      <w:pPr>
        <w:pStyle w:val="FootnoteText"/>
        <w:bidi/>
        <w:ind w:left="720"/>
        <w:rPr>
          <w:rtl/>
          <w:lang w:val="en-US" w:bidi="ar-AE"/>
        </w:rPr>
      </w:pPr>
      <w:r>
        <w:rPr>
          <w:rStyle w:val="FootnoteReference"/>
        </w:rPr>
        <w:footnoteRef/>
      </w:r>
      <w:r>
        <w:t xml:space="preserve"> </w:t>
      </w:r>
      <w:r>
        <w:rPr>
          <w:rFonts w:hint="cs"/>
          <w:rtl/>
          <w:lang w:bidi="ar-AE"/>
        </w:rPr>
        <w:t xml:space="preserve">الوثيقة </w:t>
      </w:r>
      <w:r w:rsidRPr="00A0635D">
        <w:rPr>
          <w:lang w:bidi="ar-AE"/>
        </w:rPr>
        <w:t>UNEP/OzL.Pro/ExCom/98/10</w:t>
      </w:r>
      <w:r>
        <w:rPr>
          <w:rFonts w:hint="cs"/>
          <w:rtl/>
          <w:lang w:bidi="ar-AE"/>
        </w:rPr>
        <w:t xml:space="preserve">، الفقرات من </w:t>
      </w:r>
      <w:r>
        <w:rPr>
          <w:lang w:val="en-US" w:bidi="ar-AE"/>
        </w:rPr>
        <w:t>13</w:t>
      </w:r>
      <w:r>
        <w:rPr>
          <w:rFonts w:hint="cs"/>
          <w:rtl/>
          <w:lang w:val="en-US" w:bidi="ar-AE"/>
        </w:rPr>
        <w:t xml:space="preserve"> إلى </w:t>
      </w:r>
      <w:r>
        <w:rPr>
          <w:lang w:val="en-US" w:bidi="ar-AE"/>
        </w:rPr>
        <w:t>17</w:t>
      </w:r>
      <w:r>
        <w:rPr>
          <w:rFonts w:hint="cs"/>
          <w:rtl/>
          <w:lang w:val="en-US" w:bidi="ar-AE"/>
        </w:rPr>
        <w:t>.</w:t>
      </w:r>
    </w:p>
  </w:footnote>
  <w:footnote w:id="19">
    <w:p w14:paraId="2CCE2933" w14:textId="742F68AD" w:rsidR="007766CA" w:rsidRPr="007766CA" w:rsidRDefault="007766CA" w:rsidP="00E415DA">
      <w:pPr>
        <w:pStyle w:val="FootnoteText"/>
        <w:bidi/>
        <w:ind w:left="720"/>
        <w:rPr>
          <w:rtl/>
          <w:lang w:bidi="ar-AE"/>
        </w:rPr>
      </w:pPr>
      <w:r>
        <w:rPr>
          <w:rStyle w:val="FootnoteReference"/>
        </w:rPr>
        <w:footnoteRef/>
      </w:r>
      <w:r>
        <w:t xml:space="preserve"> </w:t>
      </w:r>
      <w:r>
        <w:rPr>
          <w:rFonts w:hint="cs"/>
          <w:rtl/>
          <w:lang w:bidi="ar-AE"/>
        </w:rPr>
        <w:t xml:space="preserve">الوثيقة </w:t>
      </w:r>
      <w:r w:rsidRPr="007766CA">
        <w:rPr>
          <w:lang w:bidi="ar-AE"/>
        </w:rPr>
        <w:t>UNEP/OzL.Pro/ExCom/98/61</w:t>
      </w:r>
      <w:r>
        <w:rPr>
          <w:rFonts w:hint="cs"/>
          <w:rtl/>
          <w:lang w:bidi="ar-AE"/>
        </w:rPr>
        <w:t>.</w:t>
      </w:r>
    </w:p>
  </w:footnote>
  <w:footnote w:id="20">
    <w:p w14:paraId="6ECAE8BA" w14:textId="207A51BB" w:rsidR="00AC696A" w:rsidRPr="00093CD4" w:rsidRDefault="00AC696A" w:rsidP="00E415DA">
      <w:pPr>
        <w:pStyle w:val="FootnoteText"/>
        <w:bidi/>
        <w:ind w:left="720"/>
        <w:rPr>
          <w:rtl/>
          <w:lang w:val="en-US" w:bidi="ar-AE"/>
        </w:rPr>
      </w:pPr>
      <w:r>
        <w:rPr>
          <w:rStyle w:val="FootnoteReference"/>
        </w:rPr>
        <w:footnoteRef/>
      </w:r>
      <w:r>
        <w:t xml:space="preserve"> </w:t>
      </w:r>
      <w:r>
        <w:rPr>
          <w:rFonts w:hint="cs"/>
          <w:rtl/>
          <w:lang w:bidi="ar-AE"/>
        </w:rPr>
        <w:t xml:space="preserve">الوثيقة </w:t>
      </w:r>
      <w:r w:rsidR="00093CD4" w:rsidRPr="003208C3">
        <w:rPr>
          <w:sz w:val="18"/>
          <w:szCs w:val="18"/>
        </w:rPr>
        <w:fldChar w:fldCharType="begin"/>
      </w:r>
      <w:r w:rsidR="00093CD4" w:rsidRPr="003208C3">
        <w:rPr>
          <w:sz w:val="18"/>
          <w:szCs w:val="18"/>
        </w:rPr>
        <w:instrText>DOCPROPERTY "Document number"  \* MERGEFORMAT</w:instrText>
      </w:r>
      <w:r w:rsidR="00093CD4" w:rsidRPr="003208C3">
        <w:rPr>
          <w:sz w:val="18"/>
          <w:szCs w:val="18"/>
        </w:rPr>
        <w:fldChar w:fldCharType="separate"/>
      </w:r>
      <w:r w:rsidR="00093CD4" w:rsidRPr="003208C3">
        <w:rPr>
          <w:sz w:val="18"/>
          <w:szCs w:val="18"/>
        </w:rPr>
        <w:t>UNEP/OzL.Pro/ExCom/98/64</w:t>
      </w:r>
      <w:r w:rsidR="00093CD4" w:rsidRPr="003208C3">
        <w:rPr>
          <w:sz w:val="18"/>
          <w:szCs w:val="18"/>
        </w:rPr>
        <w:fldChar w:fldCharType="end"/>
      </w:r>
      <w:r w:rsidR="00093CD4">
        <w:rPr>
          <w:rFonts w:hint="cs"/>
          <w:rtl/>
          <w:lang w:bidi="ar-AE"/>
        </w:rPr>
        <w:t xml:space="preserve">، المرفق </w:t>
      </w:r>
      <w:r w:rsidR="00093CD4">
        <w:rPr>
          <w:lang w:val="en-US" w:bidi="ar-AE"/>
        </w:rPr>
        <w:t>70</w:t>
      </w:r>
      <w:r w:rsidR="00093CD4">
        <w:rPr>
          <w:rFonts w:hint="cs"/>
          <w:rtl/>
          <w:lang w:val="en-US" w:bidi="ar-AE"/>
        </w:rPr>
        <w:t>، و</w:t>
      </w:r>
      <w:r w:rsidR="00093CD4">
        <w:rPr>
          <w:lang w:val="en-US" w:bidi="ar-AE"/>
        </w:rPr>
        <w:t>71</w:t>
      </w:r>
      <w:r w:rsidR="00093CD4">
        <w:rPr>
          <w:rFonts w:hint="cs"/>
          <w:rtl/>
          <w:lang w:val="en-US" w:bidi="ar-AE"/>
        </w:rPr>
        <w:t>، و</w:t>
      </w:r>
      <w:r w:rsidR="00093CD4">
        <w:rPr>
          <w:lang w:val="en-US" w:bidi="ar-AE"/>
        </w:rPr>
        <w:t>72</w:t>
      </w:r>
      <w:r w:rsidR="00093CD4">
        <w:rPr>
          <w:rFonts w:hint="cs"/>
          <w:rtl/>
          <w:lang w:val="en-US" w:bidi="ar-AE"/>
        </w:rPr>
        <w:t>.</w:t>
      </w:r>
    </w:p>
  </w:footnote>
  <w:footnote w:id="21">
    <w:p w14:paraId="70FCA664" w14:textId="318AE9DD" w:rsidR="00AC696A" w:rsidRPr="00AC696A" w:rsidRDefault="00AC696A" w:rsidP="00E415DA">
      <w:pPr>
        <w:pStyle w:val="FootnoteText"/>
        <w:bidi/>
        <w:ind w:left="720"/>
        <w:rPr>
          <w:rtl/>
          <w:lang w:val="en-US" w:bidi="ar-AE"/>
        </w:rPr>
      </w:pPr>
      <w:r>
        <w:rPr>
          <w:rStyle w:val="FootnoteReference"/>
        </w:rPr>
        <w:footnoteRef/>
      </w:r>
      <w:r>
        <w:t xml:space="preserve"> </w:t>
      </w:r>
      <w:r>
        <w:rPr>
          <w:rFonts w:hint="cs"/>
          <w:rtl/>
          <w:lang w:val="en-US" w:bidi="ar-AE"/>
        </w:rPr>
        <w:t>كما هو محدد في الجدول</w:t>
      </w:r>
      <w:r>
        <w:rPr>
          <w:rFonts w:hint="eastAsia"/>
          <w:rtl/>
          <w:lang w:val="en-US" w:bidi="ar-AE"/>
        </w:rPr>
        <w:t> </w:t>
      </w:r>
      <w:r>
        <w:rPr>
          <w:lang w:val="en-US" w:bidi="ar-AE"/>
        </w:rPr>
        <w:t>1</w:t>
      </w:r>
      <w:r>
        <w:rPr>
          <w:rFonts w:hint="cs"/>
          <w:rtl/>
          <w:lang w:val="en-US" w:bidi="ar-AE"/>
        </w:rPr>
        <w:t xml:space="preserve"> من الوثيقة </w:t>
      </w:r>
      <w:r w:rsidRPr="00AC696A">
        <w:rPr>
          <w:lang w:val="en-US" w:bidi="ar-AE"/>
        </w:rPr>
        <w:t>UNEP/OzL.Pro/ExCom/98/61</w:t>
      </w:r>
      <w:r>
        <w:rPr>
          <w:rFonts w:hint="cs"/>
          <w:rtl/>
          <w:lang w:val="en-US" w:bidi="ar-AE"/>
        </w:rPr>
        <w:t>.</w:t>
      </w:r>
    </w:p>
  </w:footnote>
  <w:footnote w:id="22">
    <w:p w14:paraId="4180D5BA" w14:textId="04FCE662" w:rsidR="00A06B2C" w:rsidRPr="00A06B2C" w:rsidRDefault="00A06B2C" w:rsidP="00E415DA">
      <w:pPr>
        <w:pStyle w:val="FootnoteText"/>
        <w:bidi/>
        <w:ind w:left="576"/>
        <w:rPr>
          <w:rtl/>
          <w:lang w:val="en-US" w:bidi="ar-AE"/>
        </w:rPr>
      </w:pPr>
      <w:r>
        <w:rPr>
          <w:rStyle w:val="FootnoteReference"/>
        </w:rPr>
        <w:footnoteRef/>
      </w:r>
      <w:r>
        <w:t xml:space="preserve"> </w:t>
      </w:r>
      <w:r>
        <w:rPr>
          <w:rFonts w:hint="cs"/>
          <w:rtl/>
          <w:lang w:val="en-US" w:bidi="ar-AE"/>
        </w:rPr>
        <w:t xml:space="preserve">الوثيقة </w:t>
      </w:r>
      <w:r w:rsidRPr="00A06B2C">
        <w:rPr>
          <w:lang w:val="en-US" w:bidi="ar-AE"/>
        </w:rPr>
        <w:t>UNEP/OzL.Pro/ExCom/98/56</w:t>
      </w:r>
      <w:r>
        <w:rPr>
          <w:rFonts w:hint="cs"/>
          <w:rtl/>
          <w:lang w:val="en-US" w:bidi="ar-AE"/>
        </w:rPr>
        <w:t>.</w:t>
      </w:r>
    </w:p>
  </w:footnote>
  <w:footnote w:id="23">
    <w:p w14:paraId="08E72D1D" w14:textId="6C9D4A20" w:rsidR="00547580" w:rsidRPr="00547580" w:rsidRDefault="00547580" w:rsidP="00E415DA">
      <w:pPr>
        <w:pStyle w:val="FootnoteText"/>
        <w:bidi/>
        <w:ind w:left="576"/>
        <w:rPr>
          <w:rtl/>
          <w:lang w:val="en-US" w:bidi="ar-AE"/>
        </w:rPr>
      </w:pPr>
      <w:r>
        <w:rPr>
          <w:rStyle w:val="FootnoteReference"/>
        </w:rPr>
        <w:footnoteRef/>
      </w:r>
      <w:r>
        <w:t xml:space="preserve"> </w:t>
      </w:r>
      <w:r>
        <w:rPr>
          <w:rFonts w:hint="cs"/>
          <w:rtl/>
          <w:lang w:val="en-US" w:bidi="ar-AE"/>
        </w:rPr>
        <w:t xml:space="preserve">الوثيقة </w:t>
      </w:r>
      <w:r w:rsidRPr="00547580">
        <w:rPr>
          <w:lang w:val="en-US" w:bidi="ar-AE"/>
        </w:rPr>
        <w:t>UNEP/OzL.Pro/ExCom/97/88</w:t>
      </w:r>
      <w:r>
        <w:rPr>
          <w:rFonts w:hint="cs"/>
          <w:rtl/>
          <w:lang w:val="en-US" w:bidi="ar-AE"/>
        </w:rPr>
        <w:t>.</w:t>
      </w:r>
    </w:p>
  </w:footnote>
  <w:footnote w:id="24">
    <w:p w14:paraId="18045E0C" w14:textId="09342620" w:rsidR="00381DB4" w:rsidRPr="00381DB4" w:rsidRDefault="00381DB4" w:rsidP="00E415DA">
      <w:pPr>
        <w:pStyle w:val="FootnoteText"/>
        <w:bidi/>
        <w:ind w:left="720"/>
        <w:rPr>
          <w:rtl/>
          <w:lang w:val="en-US" w:bidi="ar-AE"/>
        </w:rPr>
      </w:pPr>
      <w:r>
        <w:rPr>
          <w:rStyle w:val="FootnoteReference"/>
        </w:rPr>
        <w:footnoteRef/>
      </w:r>
      <w:r>
        <w:t xml:space="preserve"> </w:t>
      </w:r>
      <w:r>
        <w:rPr>
          <w:rFonts w:hint="cs"/>
          <w:rtl/>
          <w:lang w:val="en-US" w:bidi="ar-AE"/>
        </w:rPr>
        <w:t xml:space="preserve">الوثيقة </w:t>
      </w:r>
      <w:r w:rsidRPr="00381DB4">
        <w:rPr>
          <w:lang w:val="en-US" w:bidi="ar-AE"/>
        </w:rPr>
        <w:t>UNEP/OzL.Pro/ExCom/97/89</w:t>
      </w:r>
      <w:r>
        <w:rPr>
          <w:rFonts w:hint="cs"/>
          <w:rtl/>
          <w:lang w:val="en-US" w:bidi="ar-AE"/>
        </w:rPr>
        <w:t>.</w:t>
      </w:r>
    </w:p>
  </w:footnote>
  <w:footnote w:id="25">
    <w:p w14:paraId="0DDCE32D" w14:textId="54AAA6D5" w:rsidR="00172851" w:rsidRPr="00172851" w:rsidRDefault="00172851" w:rsidP="00E415DA">
      <w:pPr>
        <w:pStyle w:val="FootnoteText"/>
        <w:bidi/>
        <w:ind w:left="720"/>
        <w:rPr>
          <w:rtl/>
          <w:lang w:bidi="ar-AE"/>
        </w:rPr>
      </w:pPr>
      <w:r>
        <w:rPr>
          <w:rStyle w:val="FootnoteReference"/>
        </w:rPr>
        <w:footnoteRef/>
      </w:r>
      <w:r>
        <w:t xml:space="preserve"> </w:t>
      </w:r>
      <w:r>
        <w:rPr>
          <w:rFonts w:hint="cs"/>
          <w:rtl/>
          <w:lang w:bidi="ar-AE"/>
        </w:rPr>
        <w:t xml:space="preserve">الوثيقة </w:t>
      </w:r>
      <w:r w:rsidRPr="00172851">
        <w:rPr>
          <w:lang w:bidi="ar-AE"/>
        </w:rPr>
        <w:t>UNEP/OzL.Pro/ExCom/97/90</w:t>
      </w:r>
      <w:r>
        <w:rPr>
          <w:rFonts w:hint="cs"/>
          <w:rtl/>
          <w:lang w:bidi="ar-AE"/>
        </w:rPr>
        <w:t>.</w:t>
      </w:r>
    </w:p>
  </w:footnote>
  <w:footnote w:id="26">
    <w:p w14:paraId="05DD08D8" w14:textId="528F778A" w:rsidR="009D55E1" w:rsidRPr="009D55E1" w:rsidRDefault="009D55E1" w:rsidP="00E415DA">
      <w:pPr>
        <w:pStyle w:val="FootnoteText"/>
        <w:bidi/>
        <w:ind w:left="720"/>
        <w:rPr>
          <w:rtl/>
          <w:lang w:val="en-US" w:bidi="ar-AE"/>
        </w:rPr>
      </w:pPr>
      <w:r>
        <w:rPr>
          <w:rStyle w:val="FootnoteReference"/>
        </w:rPr>
        <w:footnoteRef/>
      </w:r>
      <w:r>
        <w:t xml:space="preserve"> </w:t>
      </w:r>
      <w:r>
        <w:rPr>
          <w:rFonts w:hint="cs"/>
          <w:rtl/>
          <w:lang w:val="en-US" w:bidi="ar-AE"/>
        </w:rPr>
        <w:t xml:space="preserve">الوثيقة </w:t>
      </w:r>
      <w:r w:rsidRPr="009D55E1">
        <w:rPr>
          <w:lang w:val="en-US" w:bidi="ar-AE"/>
        </w:rPr>
        <w:t>UNEP/OzL.Pro/ExCom/97/28</w:t>
      </w:r>
      <w:r>
        <w:rPr>
          <w:rFonts w:hint="cs"/>
          <w:rtl/>
          <w:lang w:val="en-US" w:bidi="ar-AE"/>
        </w:rPr>
        <w:t>، و</w:t>
      </w:r>
      <w:r w:rsidRPr="009D55E1">
        <w:t xml:space="preserve"> </w:t>
      </w:r>
      <w:r w:rsidRPr="009D55E1">
        <w:rPr>
          <w:lang w:val="en-US" w:bidi="ar-AE"/>
        </w:rPr>
        <w:t>UNEP/OzL.Pro/ExCom/98/12</w:t>
      </w:r>
      <w:r>
        <w:rPr>
          <w:rFonts w:hint="cs"/>
          <w:rtl/>
          <w:lang w:val="en-US" w:bidi="ar-AE"/>
        </w:rPr>
        <w:t>.</w:t>
      </w:r>
    </w:p>
  </w:footnote>
  <w:footnote w:id="27">
    <w:p w14:paraId="5943A638" w14:textId="5987142B" w:rsidR="009D55E1" w:rsidRPr="009D55E1" w:rsidRDefault="009D55E1" w:rsidP="00E415DA">
      <w:pPr>
        <w:pStyle w:val="FootnoteText"/>
        <w:bidi/>
        <w:ind w:left="720"/>
        <w:rPr>
          <w:rtl/>
          <w:lang w:val="en-US" w:bidi="ar-AE"/>
        </w:rPr>
      </w:pPr>
      <w:r>
        <w:rPr>
          <w:rStyle w:val="FootnoteReference"/>
        </w:rPr>
        <w:footnoteRef/>
      </w:r>
      <w:r>
        <w:t xml:space="preserve"> </w:t>
      </w:r>
      <w:r>
        <w:rPr>
          <w:rFonts w:hint="cs"/>
          <w:rtl/>
          <w:lang w:val="en-US" w:bidi="ar-AE"/>
        </w:rPr>
        <w:t xml:space="preserve">الوثيقة </w:t>
      </w:r>
      <w:r w:rsidRPr="009D55E1">
        <w:rPr>
          <w:lang w:val="en-US" w:bidi="ar-AE"/>
        </w:rPr>
        <w:t>UNEP/OzL.Pro/ExCom/97/29</w:t>
      </w:r>
      <w:r>
        <w:rPr>
          <w:rFonts w:hint="cs"/>
          <w:rtl/>
          <w:lang w:val="en-US" w:bidi="ar-AE"/>
        </w:rPr>
        <w:t>، و</w:t>
      </w:r>
      <w:r w:rsidRPr="009D55E1">
        <w:t xml:space="preserve"> </w:t>
      </w:r>
      <w:r w:rsidRPr="009D55E1">
        <w:rPr>
          <w:lang w:val="en-US" w:bidi="ar-AE"/>
        </w:rPr>
        <w:t>UNEP/OzL.Pro/ExCom/98/13</w:t>
      </w:r>
      <w:r>
        <w:rPr>
          <w:rFonts w:hint="cs"/>
          <w:rtl/>
          <w:lang w:val="en-US" w:bidi="ar-AE"/>
        </w:rPr>
        <w:t>.</w:t>
      </w:r>
    </w:p>
  </w:footnote>
  <w:footnote w:id="28">
    <w:p w14:paraId="01BF4211" w14:textId="6C6B8237" w:rsidR="00940804" w:rsidRPr="00940804" w:rsidRDefault="00940804" w:rsidP="00E415DA">
      <w:pPr>
        <w:pStyle w:val="FootnoteText"/>
        <w:bidi/>
        <w:ind w:left="720"/>
        <w:rPr>
          <w:rtl/>
          <w:lang w:val="en-US" w:bidi="ar-AE"/>
        </w:rPr>
      </w:pPr>
      <w:r>
        <w:rPr>
          <w:rStyle w:val="FootnoteReference"/>
        </w:rPr>
        <w:footnoteRef/>
      </w:r>
      <w:r>
        <w:t xml:space="preserve"> </w:t>
      </w:r>
      <w:r>
        <w:rPr>
          <w:rFonts w:hint="cs"/>
          <w:rtl/>
          <w:lang w:val="en-US" w:bidi="ar-AE"/>
        </w:rPr>
        <w:t xml:space="preserve">الوثيقة </w:t>
      </w:r>
      <w:r w:rsidRPr="00940804">
        <w:rPr>
          <w:lang w:val="en-US" w:bidi="ar-AE"/>
        </w:rPr>
        <w:t>UNEP/OzL.Pro/ExCom/97/27</w:t>
      </w:r>
      <w:r>
        <w:rPr>
          <w:rFonts w:hint="cs"/>
          <w:rtl/>
          <w:lang w:val="en-US" w:bidi="ar-AE"/>
        </w:rPr>
        <w:t>.</w:t>
      </w:r>
    </w:p>
  </w:footnote>
  <w:footnote w:id="29">
    <w:p w14:paraId="703B8A72" w14:textId="1B858DDF" w:rsidR="00940804" w:rsidRPr="00940804" w:rsidRDefault="00940804" w:rsidP="00E415DA">
      <w:pPr>
        <w:pStyle w:val="FootnoteText"/>
        <w:bidi/>
        <w:ind w:left="720"/>
        <w:rPr>
          <w:rtl/>
          <w:lang w:val="en-US" w:bidi="ar-AE"/>
        </w:rPr>
      </w:pPr>
      <w:r>
        <w:rPr>
          <w:rStyle w:val="FootnoteReference"/>
        </w:rPr>
        <w:footnoteRef/>
      </w:r>
      <w:r>
        <w:t xml:space="preserve"> </w:t>
      </w:r>
      <w:r>
        <w:rPr>
          <w:rFonts w:hint="cs"/>
          <w:rtl/>
          <w:lang w:val="en-US" w:bidi="ar-AE"/>
        </w:rPr>
        <w:t xml:space="preserve">الوثيقة </w:t>
      </w:r>
      <w:r w:rsidRPr="00940804">
        <w:rPr>
          <w:lang w:val="en-US" w:bidi="ar-AE"/>
        </w:rPr>
        <w:t>UNEP/OzL.Pro/ExCom/97/30</w:t>
      </w:r>
      <w:r>
        <w:rPr>
          <w:rFonts w:hint="cs"/>
          <w:rtl/>
          <w:lang w:val="en-US" w:bidi="ar-AE"/>
        </w:rPr>
        <w:t>.</w:t>
      </w:r>
    </w:p>
  </w:footnote>
  <w:footnote w:id="30">
    <w:p w14:paraId="0E30AE2D" w14:textId="35156FA3" w:rsidR="00940804" w:rsidRPr="00940804" w:rsidRDefault="00940804" w:rsidP="00E415DA">
      <w:pPr>
        <w:pStyle w:val="FootnoteText"/>
        <w:bidi/>
        <w:ind w:left="720"/>
        <w:rPr>
          <w:rtl/>
          <w:lang w:val="en-US" w:bidi="ar-AE"/>
        </w:rPr>
      </w:pPr>
      <w:r>
        <w:rPr>
          <w:rStyle w:val="FootnoteReference"/>
        </w:rPr>
        <w:footnoteRef/>
      </w:r>
      <w:r>
        <w:t xml:space="preserve"> </w:t>
      </w:r>
      <w:r>
        <w:rPr>
          <w:rFonts w:hint="cs"/>
          <w:rtl/>
          <w:lang w:val="en-US" w:bidi="ar-AE"/>
        </w:rPr>
        <w:t xml:space="preserve">الوثيقة </w:t>
      </w:r>
      <w:r w:rsidRPr="00940804">
        <w:rPr>
          <w:lang w:val="en-US" w:bidi="ar-AE"/>
        </w:rPr>
        <w:t>UNEP/OzL.Pro/ExCom/97/31</w:t>
      </w:r>
      <w:r>
        <w:rPr>
          <w:rFonts w:hint="cs"/>
          <w:rtl/>
          <w:lang w:val="en-US" w:bidi="ar-AE"/>
        </w:rPr>
        <w:t>.</w:t>
      </w:r>
    </w:p>
  </w:footnote>
  <w:footnote w:id="31">
    <w:p w14:paraId="42DF1953" w14:textId="6394C45C" w:rsidR="00940804" w:rsidRPr="00940804" w:rsidRDefault="00940804" w:rsidP="00E415DA">
      <w:pPr>
        <w:pStyle w:val="FootnoteText"/>
        <w:bidi/>
        <w:ind w:left="720"/>
        <w:rPr>
          <w:rtl/>
          <w:lang w:val="en-US" w:bidi="ar-AE"/>
        </w:rPr>
      </w:pPr>
      <w:r>
        <w:rPr>
          <w:rStyle w:val="FootnoteReference"/>
        </w:rPr>
        <w:footnoteRef/>
      </w:r>
      <w:r>
        <w:t xml:space="preserve"> </w:t>
      </w:r>
      <w:r>
        <w:rPr>
          <w:rFonts w:hint="cs"/>
          <w:rtl/>
          <w:lang w:val="en-US" w:bidi="ar-AE"/>
        </w:rPr>
        <w:t xml:space="preserve">الوثيقة </w:t>
      </w:r>
      <w:r w:rsidRPr="00940804">
        <w:rPr>
          <w:lang w:val="en-US" w:bidi="ar-AE"/>
        </w:rPr>
        <w:t>UNEP/OzL.Pro/ExCom/97/32</w:t>
      </w:r>
      <w:r>
        <w:rPr>
          <w:rFonts w:hint="cs"/>
          <w:rtl/>
          <w:lang w:val="en-US" w:bidi="ar-AE"/>
        </w:rPr>
        <w:t>.</w:t>
      </w:r>
    </w:p>
  </w:footnote>
  <w:footnote w:id="32">
    <w:p w14:paraId="5552800A" w14:textId="471B82D1" w:rsidR="00940804" w:rsidRPr="00940804" w:rsidRDefault="00940804" w:rsidP="00E415DA">
      <w:pPr>
        <w:pStyle w:val="FootnoteText"/>
        <w:bidi/>
        <w:ind w:left="720"/>
        <w:rPr>
          <w:rtl/>
          <w:lang w:val="en-US" w:bidi="ar-AE"/>
        </w:rPr>
      </w:pPr>
      <w:r>
        <w:rPr>
          <w:rStyle w:val="FootnoteReference"/>
        </w:rPr>
        <w:footnoteRef/>
      </w:r>
      <w:r>
        <w:t xml:space="preserve"> </w:t>
      </w:r>
      <w:r>
        <w:rPr>
          <w:rFonts w:hint="cs"/>
          <w:rtl/>
          <w:lang w:val="en-US" w:bidi="ar-AE"/>
        </w:rPr>
        <w:t xml:space="preserve">الوثيقة </w:t>
      </w:r>
      <w:r w:rsidRPr="00940804">
        <w:rPr>
          <w:lang w:val="en-US" w:bidi="ar-AE"/>
        </w:rPr>
        <w:t>UNEP/OzL.Pro/ExCom/97/33</w:t>
      </w:r>
      <w:r>
        <w:rPr>
          <w:rFonts w:hint="cs"/>
          <w:rtl/>
          <w:lang w:val="en-US" w:bidi="ar-AE"/>
        </w:rPr>
        <w:t>.</w:t>
      </w:r>
    </w:p>
  </w:footnote>
  <w:footnote w:id="33">
    <w:p w14:paraId="60AF0038" w14:textId="29137B1E" w:rsidR="00DC4126" w:rsidRPr="00DC4126" w:rsidRDefault="00DC4126" w:rsidP="00E415DA">
      <w:pPr>
        <w:pStyle w:val="FootnoteText"/>
        <w:bidi/>
        <w:ind w:left="720"/>
        <w:rPr>
          <w:rtl/>
          <w:lang w:bidi="ar-AE"/>
        </w:rPr>
      </w:pPr>
      <w:r>
        <w:rPr>
          <w:rStyle w:val="FootnoteReference"/>
        </w:rPr>
        <w:footnoteRef/>
      </w:r>
      <w:r>
        <w:t xml:space="preserve"> </w:t>
      </w:r>
      <w:r>
        <w:rPr>
          <w:rFonts w:hint="cs"/>
          <w:rtl/>
          <w:lang w:bidi="ar-AE"/>
        </w:rPr>
        <w:t xml:space="preserve">الوثيقة </w:t>
      </w:r>
      <w:r w:rsidRPr="00DC4126">
        <w:rPr>
          <w:lang w:bidi="ar-AE"/>
        </w:rPr>
        <w:t>UNEP/OzL.Pro/ExCom/98/11</w:t>
      </w:r>
      <w:r>
        <w:rPr>
          <w:rFonts w:hint="cs"/>
          <w:rtl/>
          <w:lang w:bidi="ar-AE"/>
        </w:rPr>
        <w:t>.</w:t>
      </w:r>
    </w:p>
  </w:footnote>
  <w:footnote w:id="34">
    <w:p w14:paraId="2A36E9CA" w14:textId="378B628C" w:rsidR="00DC4126" w:rsidRPr="00DC4126" w:rsidRDefault="00DC4126" w:rsidP="00E415DA">
      <w:pPr>
        <w:pStyle w:val="FootnoteText"/>
        <w:bidi/>
        <w:ind w:left="720"/>
        <w:rPr>
          <w:rtl/>
          <w:lang w:bidi="ar-AE"/>
        </w:rPr>
      </w:pPr>
      <w:r>
        <w:rPr>
          <w:rStyle w:val="FootnoteReference"/>
        </w:rPr>
        <w:footnoteRef/>
      </w:r>
      <w:r>
        <w:t xml:space="preserve"> </w:t>
      </w:r>
      <w:r>
        <w:rPr>
          <w:rFonts w:hint="cs"/>
          <w:rtl/>
          <w:lang w:bidi="ar-AE"/>
        </w:rPr>
        <w:t xml:space="preserve">الوثيقة </w:t>
      </w:r>
      <w:r w:rsidRPr="00DC4126">
        <w:rPr>
          <w:lang w:bidi="ar-AE"/>
        </w:rPr>
        <w:t>UNEP/OzL.Pro/ExCom/98/14</w:t>
      </w:r>
      <w:r>
        <w:rPr>
          <w:rFonts w:hint="cs"/>
          <w:rtl/>
          <w:lang w:bidi="ar-AE"/>
        </w:rPr>
        <w:t>.</w:t>
      </w:r>
    </w:p>
  </w:footnote>
  <w:footnote w:id="35">
    <w:p w14:paraId="3272264B" w14:textId="1F9ABEC8" w:rsidR="00DC4126" w:rsidRPr="00DC4126" w:rsidRDefault="00DC4126" w:rsidP="00E415DA">
      <w:pPr>
        <w:pStyle w:val="FootnoteText"/>
        <w:bidi/>
        <w:ind w:left="720"/>
        <w:rPr>
          <w:rtl/>
          <w:lang w:val="en-US" w:bidi="ar-AE"/>
        </w:rPr>
      </w:pPr>
      <w:r>
        <w:rPr>
          <w:rStyle w:val="FootnoteReference"/>
        </w:rPr>
        <w:footnoteRef/>
      </w:r>
      <w:r>
        <w:t xml:space="preserve"> </w:t>
      </w:r>
      <w:r>
        <w:rPr>
          <w:rFonts w:hint="cs"/>
          <w:rtl/>
          <w:lang w:bidi="ar-AE"/>
        </w:rPr>
        <w:t xml:space="preserve">الوثيقة </w:t>
      </w:r>
      <w:r w:rsidRPr="00DC4126">
        <w:rPr>
          <w:lang w:bidi="ar-AE"/>
        </w:rPr>
        <w:t>UNEP/OzL.Pro/ExCom/98/15</w:t>
      </w:r>
      <w:r>
        <w:rPr>
          <w:rFonts w:hint="cs"/>
          <w:rtl/>
          <w:lang w:val="en-US" w:bidi="ar-AE"/>
        </w:rPr>
        <w:t>.</w:t>
      </w:r>
    </w:p>
  </w:footnote>
  <w:footnote w:id="36">
    <w:p w14:paraId="3E0C4107" w14:textId="7828643B" w:rsidR="00DC4126" w:rsidRPr="00DC4126" w:rsidRDefault="00DC4126" w:rsidP="00E415DA">
      <w:pPr>
        <w:pStyle w:val="FootnoteText"/>
        <w:bidi/>
        <w:ind w:left="720"/>
        <w:rPr>
          <w:rtl/>
          <w:lang w:bidi="ar-AE"/>
        </w:rPr>
      </w:pPr>
      <w:r>
        <w:rPr>
          <w:rStyle w:val="FootnoteReference"/>
        </w:rPr>
        <w:footnoteRef/>
      </w:r>
      <w:r>
        <w:t xml:space="preserve"> </w:t>
      </w:r>
      <w:r>
        <w:rPr>
          <w:rFonts w:hint="cs"/>
          <w:rtl/>
          <w:lang w:bidi="ar-AE"/>
        </w:rPr>
        <w:t xml:space="preserve">الوثيقة </w:t>
      </w:r>
      <w:r w:rsidRPr="00DC4126">
        <w:rPr>
          <w:lang w:bidi="ar-AE"/>
        </w:rPr>
        <w:t>UNEP/OzL.Pro/ExCom/98/16</w:t>
      </w:r>
      <w:r>
        <w:rPr>
          <w:rFonts w:hint="cs"/>
          <w:rtl/>
          <w:lang w:bidi="ar-AE"/>
        </w:rPr>
        <w:t>.</w:t>
      </w:r>
    </w:p>
  </w:footnote>
  <w:footnote w:id="37">
    <w:p w14:paraId="46152E79" w14:textId="174B03DD" w:rsidR="00E94810" w:rsidRPr="00E94810" w:rsidRDefault="00E94810" w:rsidP="00E415DA">
      <w:pPr>
        <w:pStyle w:val="FootnoteText"/>
        <w:bidi/>
        <w:ind w:left="720"/>
        <w:rPr>
          <w:rtl/>
          <w:lang w:val="en-US" w:bidi="ar-AE"/>
        </w:rPr>
      </w:pPr>
      <w:r>
        <w:rPr>
          <w:rStyle w:val="FootnoteReference"/>
        </w:rPr>
        <w:footnoteRef/>
      </w:r>
      <w:r>
        <w:t xml:space="preserve"> </w:t>
      </w:r>
      <w:r>
        <w:rPr>
          <w:rFonts w:hint="cs"/>
          <w:rtl/>
          <w:lang w:val="en-US" w:bidi="ar-AE"/>
        </w:rPr>
        <w:t xml:space="preserve">الوثيقة </w:t>
      </w:r>
      <w:r w:rsidRPr="00E94810">
        <w:rPr>
          <w:lang w:val="en-US" w:bidi="ar-AE"/>
        </w:rPr>
        <w:t>UNEP/OzL.Pro/ExCom/97/83 and Add.1</w:t>
      </w:r>
      <w:r>
        <w:rPr>
          <w:rFonts w:hint="cs"/>
          <w:rtl/>
          <w:lang w:val="en-US" w:bidi="ar-AE"/>
        </w:rPr>
        <w:t>.</w:t>
      </w:r>
    </w:p>
  </w:footnote>
  <w:footnote w:id="38">
    <w:p w14:paraId="7E24DA0A" w14:textId="799328A9" w:rsidR="00E94810" w:rsidRPr="00E94810" w:rsidRDefault="00E94810" w:rsidP="00E415DA">
      <w:pPr>
        <w:pStyle w:val="FootnoteText"/>
        <w:bidi/>
        <w:ind w:left="720"/>
        <w:rPr>
          <w:rtl/>
          <w:lang w:val="en-US" w:bidi="ar-AE"/>
        </w:rPr>
      </w:pPr>
      <w:r>
        <w:rPr>
          <w:rStyle w:val="FootnoteReference"/>
        </w:rPr>
        <w:footnoteRef/>
      </w:r>
      <w:r>
        <w:t xml:space="preserve"> </w:t>
      </w:r>
      <w:r>
        <w:rPr>
          <w:rFonts w:hint="cs"/>
          <w:rtl/>
          <w:lang w:val="en-US" w:bidi="ar-AE"/>
        </w:rPr>
        <w:t xml:space="preserve">الوثيقة </w:t>
      </w:r>
      <w:r w:rsidRPr="00E94810">
        <w:rPr>
          <w:lang w:val="en-US" w:bidi="ar-AE"/>
        </w:rPr>
        <w:t>UNEP/OzL.Pro/ExCom/97/91</w:t>
      </w:r>
      <w:r>
        <w:rPr>
          <w:rFonts w:hint="cs"/>
          <w:rtl/>
          <w:lang w:val="en-US" w:bidi="ar-AE"/>
        </w:rPr>
        <w:t xml:space="preserve">، المرفق </w:t>
      </w:r>
      <w:r>
        <w:rPr>
          <w:lang w:val="en-US" w:bidi="ar-AE"/>
        </w:rPr>
        <w:t>59</w:t>
      </w:r>
      <w:r>
        <w:rPr>
          <w:rFonts w:hint="cs"/>
          <w:rtl/>
          <w:lang w:val="en-US" w:bidi="ar-AE"/>
        </w:rPr>
        <w:t>.</w:t>
      </w:r>
    </w:p>
  </w:footnote>
  <w:footnote w:id="39">
    <w:p w14:paraId="5CF6E2B2" w14:textId="40B531DF" w:rsidR="005A06FC" w:rsidRPr="005A06FC" w:rsidRDefault="005A06FC" w:rsidP="00E415DA">
      <w:pPr>
        <w:pStyle w:val="FootnoteText"/>
        <w:bidi/>
        <w:ind w:left="720"/>
        <w:rPr>
          <w:rtl/>
          <w:lang w:bidi="ar-AE"/>
        </w:rPr>
      </w:pPr>
      <w:r>
        <w:rPr>
          <w:rStyle w:val="FootnoteReference"/>
        </w:rPr>
        <w:footnoteRef/>
      </w:r>
      <w:r>
        <w:t xml:space="preserve"> </w:t>
      </w:r>
      <w:r>
        <w:rPr>
          <w:rFonts w:hint="cs"/>
          <w:rtl/>
          <w:lang w:bidi="ar-AE"/>
        </w:rPr>
        <w:t xml:space="preserve">الوثيقة </w:t>
      </w:r>
      <w:r w:rsidRPr="005A06FC">
        <w:rPr>
          <w:lang w:bidi="ar-AE"/>
        </w:rPr>
        <w:t>UNEP/OzL.Pro/ExCom/97/84</w:t>
      </w:r>
      <w:r>
        <w:rPr>
          <w:rFonts w:hint="cs"/>
          <w:rtl/>
          <w:lang w:bidi="ar-AE"/>
        </w:rPr>
        <w:t>.</w:t>
      </w:r>
    </w:p>
  </w:footnote>
  <w:footnote w:id="40">
    <w:p w14:paraId="0596E913" w14:textId="6B070528" w:rsidR="00EC5E62" w:rsidRPr="00EC5E62" w:rsidRDefault="00EC5E62" w:rsidP="00E415DA">
      <w:pPr>
        <w:pStyle w:val="FootnoteText"/>
        <w:bidi/>
        <w:ind w:left="720"/>
        <w:rPr>
          <w:rtl/>
          <w:lang w:val="en-US" w:bidi="ar-AE"/>
        </w:rPr>
      </w:pPr>
      <w:r>
        <w:rPr>
          <w:rStyle w:val="FootnoteReference"/>
        </w:rPr>
        <w:footnoteRef/>
      </w:r>
      <w:r>
        <w:t xml:space="preserve"> </w:t>
      </w:r>
      <w:r>
        <w:rPr>
          <w:rFonts w:hint="cs"/>
          <w:rtl/>
          <w:lang w:val="en-US" w:bidi="ar-AE"/>
        </w:rPr>
        <w:t xml:space="preserve">الوثيقة </w:t>
      </w:r>
      <w:r w:rsidRPr="00EC5E62">
        <w:rPr>
          <w:lang w:val="en-US" w:bidi="ar-AE"/>
        </w:rPr>
        <w:t>UNEP/OzL.Pro/ExCom/97/8</w:t>
      </w:r>
      <w:r>
        <w:rPr>
          <w:rFonts w:hint="cs"/>
          <w:rtl/>
          <w:lang w:val="en-US" w:bidi="ar-AE"/>
        </w:rPr>
        <w:t>.</w:t>
      </w:r>
    </w:p>
  </w:footnote>
  <w:footnote w:id="41">
    <w:p w14:paraId="1ECD5D18" w14:textId="13265F9F" w:rsidR="00EC5E62" w:rsidRPr="00EC5E62" w:rsidRDefault="00EC5E62" w:rsidP="00E415DA">
      <w:pPr>
        <w:pStyle w:val="FootnoteText"/>
        <w:bidi/>
        <w:ind w:left="720"/>
        <w:rPr>
          <w:rtl/>
          <w:lang w:val="en-US" w:bidi="ar-AE"/>
        </w:rPr>
      </w:pPr>
      <w:r>
        <w:rPr>
          <w:rStyle w:val="FootnoteReference"/>
        </w:rPr>
        <w:footnoteRef/>
      </w:r>
      <w:r>
        <w:t xml:space="preserve"> </w:t>
      </w:r>
      <w:r>
        <w:rPr>
          <w:rFonts w:hint="cs"/>
          <w:rtl/>
          <w:lang w:val="en-US" w:bidi="ar-AE"/>
        </w:rPr>
        <w:t xml:space="preserve">الوثيقة </w:t>
      </w:r>
      <w:r w:rsidRPr="00EC5E62">
        <w:rPr>
          <w:lang w:val="en-US" w:bidi="ar-AE"/>
        </w:rPr>
        <w:t>UNEP/OzL.Pro/ExCom/98/5</w:t>
      </w:r>
      <w:r>
        <w:rPr>
          <w:rFonts w:hint="cs"/>
          <w:rtl/>
          <w:lang w:val="en-US" w:bidi="ar-AE"/>
        </w:rPr>
        <w:t>.</w:t>
      </w:r>
    </w:p>
  </w:footnote>
  <w:footnote w:id="42">
    <w:p w14:paraId="4EC2EF80" w14:textId="4719000F" w:rsidR="0029416C" w:rsidRPr="0029416C" w:rsidRDefault="0029416C" w:rsidP="00E415DA">
      <w:pPr>
        <w:pStyle w:val="FootnoteText"/>
        <w:bidi/>
        <w:ind w:left="720"/>
        <w:rPr>
          <w:rtl/>
          <w:lang w:bidi="ar-AE"/>
        </w:rPr>
      </w:pPr>
      <w:r>
        <w:rPr>
          <w:rStyle w:val="FootnoteReference"/>
        </w:rPr>
        <w:footnoteRef/>
      </w:r>
      <w:r>
        <w:t xml:space="preserve"> </w:t>
      </w:r>
      <w:r>
        <w:rPr>
          <w:rFonts w:hint="cs"/>
          <w:rtl/>
          <w:lang w:val="en-US" w:bidi="ar-AE"/>
        </w:rPr>
        <w:t xml:space="preserve">الوثيقة </w:t>
      </w:r>
      <w:r w:rsidRPr="0034653E">
        <w:rPr>
          <w:lang w:val="en-US" w:bidi="ar-AE"/>
        </w:rPr>
        <w:t>UNEP/OzL.Pro/ExCom/98/9</w:t>
      </w:r>
      <w:r>
        <w:rPr>
          <w:rFonts w:hint="cs"/>
          <w:rtl/>
          <w:lang w:bidi="ar-AE"/>
        </w:rPr>
        <w:t>.</w:t>
      </w:r>
    </w:p>
  </w:footnote>
  <w:footnote w:id="43">
    <w:p w14:paraId="1B2A2819" w14:textId="43D79C63" w:rsidR="0034653E" w:rsidRPr="0029416C" w:rsidRDefault="0034653E" w:rsidP="00E415DA">
      <w:pPr>
        <w:pStyle w:val="FootnoteText"/>
        <w:bidi/>
        <w:ind w:left="720"/>
        <w:rPr>
          <w:rtl/>
          <w:lang w:val="en-US" w:bidi="ar-AE"/>
        </w:rPr>
      </w:pPr>
      <w:r>
        <w:rPr>
          <w:rStyle w:val="FootnoteReference"/>
        </w:rPr>
        <w:footnoteRef/>
      </w:r>
      <w:r w:rsidR="0029416C">
        <w:rPr>
          <w:lang w:val="en-US" w:bidi="ar-AE"/>
        </w:rPr>
        <w:t xml:space="preserve"> </w:t>
      </w:r>
      <w:r w:rsidR="0029416C">
        <w:rPr>
          <w:rFonts w:hint="cs"/>
          <w:rtl/>
          <w:lang w:val="en-US" w:bidi="ar-AE"/>
        </w:rPr>
        <w:t xml:space="preserve">الوثيقة </w:t>
      </w:r>
      <w:r w:rsidR="0029416C" w:rsidRPr="0029416C">
        <w:rPr>
          <w:lang w:val="en-US" w:bidi="ar-AE"/>
        </w:rPr>
        <w:t>UNEP/OzL.Pro/ExCom/98/64</w:t>
      </w:r>
      <w:r w:rsidR="0029416C">
        <w:rPr>
          <w:rFonts w:hint="cs"/>
          <w:rtl/>
          <w:lang w:val="en-US" w:bidi="ar-AE"/>
        </w:rPr>
        <w:t xml:space="preserve">، المرفق </w:t>
      </w:r>
      <w:r w:rsidR="0029416C">
        <w:rPr>
          <w:lang w:val="en-US" w:bidi="ar-AE"/>
        </w:rPr>
        <w:t>38</w:t>
      </w:r>
      <w:r w:rsidR="0029416C">
        <w:rPr>
          <w:rFonts w:hint="cs"/>
          <w:rtl/>
          <w:lang w:val="en-US" w:bidi="ar-AE"/>
        </w:rPr>
        <w:t>.</w:t>
      </w:r>
    </w:p>
  </w:footnote>
  <w:footnote w:id="44">
    <w:p w14:paraId="6A2620A5" w14:textId="32C54225" w:rsidR="00EC5E02" w:rsidRPr="00EC5E02" w:rsidRDefault="00EC5E02" w:rsidP="00E415DA">
      <w:pPr>
        <w:pStyle w:val="FootnoteText"/>
        <w:bidi/>
        <w:ind w:left="720"/>
        <w:rPr>
          <w:rtl/>
          <w:lang w:bidi="ar-AE"/>
        </w:rPr>
      </w:pPr>
      <w:r>
        <w:rPr>
          <w:rStyle w:val="FootnoteReference"/>
        </w:rPr>
        <w:footnoteRef/>
      </w:r>
      <w:r>
        <w:t xml:space="preserve"> </w:t>
      </w:r>
      <w:r>
        <w:rPr>
          <w:rFonts w:hint="cs"/>
          <w:rtl/>
          <w:lang w:bidi="ar-AE"/>
        </w:rPr>
        <w:t xml:space="preserve">الوثيقة </w:t>
      </w:r>
      <w:r w:rsidRPr="00EC5E02">
        <w:rPr>
          <w:lang w:bidi="ar-AE"/>
        </w:rPr>
        <w:t>UNEP/OzL.Pro/ExCom/97/11</w:t>
      </w:r>
      <w:r>
        <w:rPr>
          <w:rFonts w:hint="cs"/>
          <w:rtl/>
          <w:lang w:bidi="ar-AE"/>
        </w:rPr>
        <w:t>.</w:t>
      </w:r>
    </w:p>
  </w:footnote>
  <w:footnote w:id="45">
    <w:p w14:paraId="08C8AB72" w14:textId="6DC52FDC" w:rsidR="00EC5E02" w:rsidRPr="00EC5E02" w:rsidRDefault="00EC5E02" w:rsidP="00E415DA">
      <w:pPr>
        <w:pStyle w:val="FootnoteText"/>
        <w:bidi/>
        <w:ind w:left="720"/>
        <w:rPr>
          <w:rtl/>
          <w:lang w:bidi="ar-AE"/>
        </w:rPr>
      </w:pPr>
      <w:r>
        <w:rPr>
          <w:rStyle w:val="FootnoteReference"/>
        </w:rPr>
        <w:footnoteRef/>
      </w:r>
      <w:r>
        <w:t xml:space="preserve"> </w:t>
      </w:r>
      <w:r>
        <w:rPr>
          <w:rFonts w:hint="cs"/>
          <w:rtl/>
          <w:lang w:bidi="ar-AE"/>
        </w:rPr>
        <w:t xml:space="preserve">الوثيقة </w:t>
      </w:r>
      <w:r w:rsidRPr="00EC5E02">
        <w:rPr>
          <w:lang w:bidi="ar-AE"/>
        </w:rPr>
        <w:t>UNEP/OzL.Pro/ExCom/97/12</w:t>
      </w:r>
      <w:r>
        <w:rPr>
          <w:rFonts w:hint="cs"/>
          <w:rtl/>
          <w:lang w:bidi="ar-AE"/>
        </w:rPr>
        <w:t>.</w:t>
      </w:r>
    </w:p>
  </w:footnote>
  <w:footnote w:id="46">
    <w:p w14:paraId="4AAD18C3" w14:textId="7BF0A5A4" w:rsidR="00EC5E02" w:rsidRPr="00EC5E02" w:rsidRDefault="00EC5E02" w:rsidP="00E415DA">
      <w:pPr>
        <w:pStyle w:val="FootnoteText"/>
        <w:bidi/>
        <w:ind w:left="720"/>
        <w:rPr>
          <w:rtl/>
          <w:lang w:bidi="ar-AE"/>
        </w:rPr>
      </w:pPr>
      <w:r>
        <w:rPr>
          <w:rStyle w:val="FootnoteReference"/>
        </w:rPr>
        <w:footnoteRef/>
      </w:r>
      <w:r>
        <w:t xml:space="preserve"> </w:t>
      </w:r>
      <w:r>
        <w:rPr>
          <w:rFonts w:hint="cs"/>
          <w:rtl/>
          <w:lang w:bidi="ar-AE"/>
        </w:rPr>
        <w:t xml:space="preserve">الوثيقة </w:t>
      </w:r>
      <w:r w:rsidRPr="00EC5E02">
        <w:rPr>
          <w:lang w:bidi="ar-AE"/>
        </w:rPr>
        <w:t>UNEP/OzL.Pro/ExCom/97/13</w:t>
      </w:r>
      <w:r>
        <w:rPr>
          <w:rFonts w:hint="cs"/>
          <w:rtl/>
          <w:lang w:bidi="ar-AE"/>
        </w:rPr>
        <w:t>.</w:t>
      </w:r>
    </w:p>
  </w:footnote>
  <w:footnote w:id="47">
    <w:p w14:paraId="49FC4F04" w14:textId="0E18C60C" w:rsidR="00EC5E02" w:rsidRPr="00EC5E02" w:rsidRDefault="00EC5E02" w:rsidP="00E415DA">
      <w:pPr>
        <w:pStyle w:val="FootnoteText"/>
        <w:bidi/>
        <w:ind w:left="720"/>
        <w:rPr>
          <w:rtl/>
          <w:lang w:bidi="ar-AE"/>
        </w:rPr>
      </w:pPr>
      <w:r>
        <w:rPr>
          <w:rStyle w:val="FootnoteReference"/>
        </w:rPr>
        <w:footnoteRef/>
      </w:r>
      <w:r>
        <w:t xml:space="preserve"> </w:t>
      </w:r>
      <w:r>
        <w:rPr>
          <w:rFonts w:hint="cs"/>
          <w:rtl/>
          <w:lang w:bidi="ar-AE"/>
        </w:rPr>
        <w:t xml:space="preserve">الوثيقة </w:t>
      </w:r>
      <w:r w:rsidRPr="00EC5E02">
        <w:rPr>
          <w:lang w:bidi="ar-AE"/>
        </w:rPr>
        <w:t>UNEP/OzL.Pro/ExCom/97/14</w:t>
      </w:r>
      <w:r>
        <w:rPr>
          <w:rFonts w:hint="cs"/>
          <w:rtl/>
          <w:lang w:bidi="ar-AE"/>
        </w:rPr>
        <w:t>.</w:t>
      </w:r>
    </w:p>
  </w:footnote>
  <w:footnote w:id="48">
    <w:p w14:paraId="5D51157C" w14:textId="7EFABBD4" w:rsidR="00206D19" w:rsidRPr="00206D19" w:rsidRDefault="00206D19" w:rsidP="00E415DA">
      <w:pPr>
        <w:pStyle w:val="FootnoteText"/>
        <w:bidi/>
        <w:ind w:left="720"/>
        <w:rPr>
          <w:rtl/>
          <w:lang w:bidi="ar-AE"/>
        </w:rPr>
      </w:pPr>
      <w:r>
        <w:rPr>
          <w:rStyle w:val="FootnoteReference"/>
        </w:rPr>
        <w:footnoteRef/>
      </w:r>
      <w:r>
        <w:t xml:space="preserve"> </w:t>
      </w:r>
      <w:r>
        <w:rPr>
          <w:rFonts w:hint="cs"/>
          <w:rtl/>
          <w:lang w:bidi="ar-AE"/>
        </w:rPr>
        <w:t xml:space="preserve">الوثيقة </w:t>
      </w:r>
      <w:r w:rsidRPr="00206D19">
        <w:rPr>
          <w:lang w:bidi="ar-AE"/>
        </w:rPr>
        <w:t>UNEP/OzL.Pro/ExCom/97/15</w:t>
      </w:r>
      <w:r>
        <w:rPr>
          <w:rFonts w:hint="cs"/>
          <w:rtl/>
          <w:lang w:bidi="ar-AE"/>
        </w:rPr>
        <w:t>.</w:t>
      </w:r>
    </w:p>
  </w:footnote>
  <w:footnote w:id="49">
    <w:p w14:paraId="34A4416F" w14:textId="22B1E945" w:rsidR="00206D19" w:rsidRPr="00206D19" w:rsidRDefault="00206D19" w:rsidP="00E415DA">
      <w:pPr>
        <w:pStyle w:val="FootnoteText"/>
        <w:bidi/>
        <w:ind w:left="720"/>
        <w:rPr>
          <w:rtl/>
          <w:lang w:bidi="ar-AE"/>
        </w:rPr>
      </w:pPr>
      <w:r>
        <w:rPr>
          <w:rStyle w:val="FootnoteReference"/>
        </w:rPr>
        <w:footnoteRef/>
      </w:r>
      <w:r>
        <w:t xml:space="preserve"> </w:t>
      </w:r>
      <w:r>
        <w:rPr>
          <w:rFonts w:hint="cs"/>
          <w:rtl/>
          <w:lang w:bidi="ar-AE"/>
        </w:rPr>
        <w:t xml:space="preserve">الوثيقة </w:t>
      </w:r>
      <w:r w:rsidRPr="00206D19">
        <w:rPr>
          <w:lang w:bidi="ar-AE"/>
        </w:rPr>
        <w:t>UNEP/OzL.Pro/ExCom/97/16</w:t>
      </w:r>
      <w:r>
        <w:rPr>
          <w:rFonts w:hint="cs"/>
          <w:rtl/>
          <w:lang w:bidi="ar-AE"/>
        </w:rPr>
        <w:t>.</w:t>
      </w:r>
    </w:p>
  </w:footnote>
  <w:footnote w:id="50">
    <w:p w14:paraId="2192F3AC" w14:textId="5FF2A00B" w:rsidR="00D2046F" w:rsidRPr="00D2046F" w:rsidRDefault="00D2046F" w:rsidP="00E415DA">
      <w:pPr>
        <w:pStyle w:val="FootnoteText"/>
        <w:bidi/>
        <w:ind w:left="720"/>
        <w:rPr>
          <w:rtl/>
          <w:lang w:val="en-US" w:bidi="ar-AE"/>
        </w:rPr>
      </w:pPr>
      <w:r>
        <w:rPr>
          <w:rStyle w:val="FootnoteReference"/>
        </w:rPr>
        <w:footnoteRef/>
      </w:r>
      <w:r>
        <w:t xml:space="preserve"> </w:t>
      </w:r>
      <w:r>
        <w:rPr>
          <w:rFonts w:hint="cs"/>
          <w:rtl/>
          <w:lang w:bidi="ar-AE"/>
        </w:rPr>
        <w:t xml:space="preserve">الوثيقة </w:t>
      </w:r>
      <w:r w:rsidRPr="00D2046F">
        <w:rPr>
          <w:lang w:bidi="ar-AE"/>
        </w:rPr>
        <w:t>UNEP/OzL.Pro/ExCom/97/91</w:t>
      </w:r>
      <w:r>
        <w:rPr>
          <w:rFonts w:hint="cs"/>
          <w:rtl/>
          <w:lang w:bidi="ar-AE"/>
        </w:rPr>
        <w:t xml:space="preserve">، المرفقات من </w:t>
      </w:r>
      <w:r>
        <w:rPr>
          <w:lang w:val="en-US" w:bidi="ar-AE"/>
        </w:rPr>
        <w:t>4</w:t>
      </w:r>
      <w:r>
        <w:rPr>
          <w:rFonts w:hint="cs"/>
          <w:rtl/>
          <w:lang w:val="en-US" w:bidi="ar-AE"/>
        </w:rPr>
        <w:t xml:space="preserve"> إلى </w:t>
      </w:r>
      <w:r>
        <w:rPr>
          <w:lang w:val="en-US" w:bidi="ar-AE"/>
        </w:rPr>
        <w:t>8</w:t>
      </w:r>
      <w:r>
        <w:rPr>
          <w:rFonts w:hint="cs"/>
          <w:rtl/>
          <w:lang w:val="en-US" w:bidi="ar-AE"/>
        </w:rPr>
        <w:t>.</w:t>
      </w:r>
    </w:p>
  </w:footnote>
  <w:footnote w:id="51">
    <w:p w14:paraId="1BE306C6" w14:textId="5568A287" w:rsidR="008E3F2A" w:rsidRPr="008E3F2A" w:rsidRDefault="008E3F2A" w:rsidP="00E415DA">
      <w:pPr>
        <w:pStyle w:val="FootnoteText"/>
        <w:bidi/>
        <w:ind w:left="720"/>
        <w:rPr>
          <w:rtl/>
          <w:lang w:bidi="ar-AE"/>
        </w:rPr>
      </w:pPr>
      <w:r>
        <w:rPr>
          <w:rStyle w:val="FootnoteReference"/>
        </w:rPr>
        <w:footnoteRef/>
      </w:r>
      <w:r>
        <w:t xml:space="preserve"> </w:t>
      </w:r>
      <w:r>
        <w:rPr>
          <w:rFonts w:hint="cs"/>
          <w:rtl/>
          <w:lang w:bidi="ar-AE"/>
        </w:rPr>
        <w:t xml:space="preserve">الوثيقة </w:t>
      </w:r>
      <w:r w:rsidRPr="008E3F2A">
        <w:rPr>
          <w:lang w:bidi="ar-AE"/>
        </w:rPr>
        <w:t>UNEP/OzL.Pro/ExCom/97/17</w:t>
      </w:r>
      <w:r>
        <w:rPr>
          <w:rFonts w:hint="cs"/>
          <w:rtl/>
          <w:lang w:bidi="ar-AE"/>
        </w:rPr>
        <w:t>، و</w:t>
      </w:r>
      <w:r w:rsidRPr="008E3F2A">
        <w:rPr>
          <w:lang w:bidi="ar-AE"/>
        </w:rPr>
        <w:t>UNEP/OzL.Pro/ExCom/97/18</w:t>
      </w:r>
      <w:r>
        <w:rPr>
          <w:rFonts w:hint="cs"/>
          <w:rtl/>
          <w:lang w:bidi="ar-AE"/>
        </w:rPr>
        <w:t>.</w:t>
      </w:r>
    </w:p>
  </w:footnote>
  <w:footnote w:id="52">
    <w:p w14:paraId="3298535C" w14:textId="2A0FBEBE" w:rsidR="008E3F2A" w:rsidRPr="008E3F2A" w:rsidRDefault="008E3F2A" w:rsidP="00E415DA">
      <w:pPr>
        <w:pStyle w:val="FootnoteText"/>
        <w:bidi/>
        <w:ind w:left="720"/>
        <w:rPr>
          <w:rtl/>
          <w:lang w:val="en-US" w:bidi="ar-AE"/>
        </w:rPr>
      </w:pPr>
      <w:r>
        <w:rPr>
          <w:rStyle w:val="FootnoteReference"/>
        </w:rPr>
        <w:footnoteRef/>
      </w:r>
      <w:r>
        <w:t xml:space="preserve"> </w:t>
      </w:r>
      <w:r>
        <w:rPr>
          <w:rFonts w:hint="cs"/>
          <w:rtl/>
          <w:lang w:val="en-US" w:bidi="ar-AE"/>
        </w:rPr>
        <w:t xml:space="preserve">الوثيقة </w:t>
      </w:r>
      <w:r w:rsidRPr="008E3F2A">
        <w:rPr>
          <w:lang w:val="en-US" w:bidi="ar-AE"/>
        </w:rPr>
        <w:t>UNEP/OzL.Pro/ExCom/98/6</w:t>
      </w:r>
      <w:r>
        <w:rPr>
          <w:rFonts w:hint="cs"/>
          <w:rtl/>
          <w:lang w:val="en-US" w:bidi="ar-AE"/>
        </w:rPr>
        <w:t>.</w:t>
      </w:r>
    </w:p>
  </w:footnote>
  <w:footnote w:id="53">
    <w:p w14:paraId="39E94788" w14:textId="6399F412" w:rsidR="00BD545E" w:rsidRPr="00BD545E" w:rsidRDefault="00BD545E" w:rsidP="00E415DA">
      <w:pPr>
        <w:pStyle w:val="FootnoteText"/>
        <w:bidi/>
        <w:ind w:left="720"/>
        <w:rPr>
          <w:rtl/>
          <w:lang w:val="en-US" w:bidi="ar-AE"/>
        </w:rPr>
      </w:pPr>
      <w:r>
        <w:rPr>
          <w:rStyle w:val="FootnoteReference"/>
        </w:rPr>
        <w:footnoteRef/>
      </w:r>
      <w:r>
        <w:t xml:space="preserve"> </w:t>
      </w:r>
      <w:r>
        <w:rPr>
          <w:rFonts w:hint="cs"/>
          <w:rtl/>
          <w:lang w:val="en-US" w:bidi="ar-AE"/>
        </w:rPr>
        <w:t xml:space="preserve">الوثيقة </w:t>
      </w:r>
      <w:r w:rsidRPr="00BD545E">
        <w:rPr>
          <w:lang w:val="en-US" w:bidi="ar-AE"/>
        </w:rPr>
        <w:t>UNEP/OzL.Pro/ExCom/98/64</w:t>
      </w:r>
      <w:r>
        <w:rPr>
          <w:rFonts w:hint="cs"/>
          <w:rtl/>
          <w:lang w:val="en-US" w:bidi="ar-AE"/>
        </w:rPr>
        <w:t xml:space="preserve">، المرفقات من </w:t>
      </w:r>
      <w:r>
        <w:rPr>
          <w:lang w:val="en-US" w:bidi="ar-AE"/>
        </w:rPr>
        <w:t>4</w:t>
      </w:r>
      <w:r>
        <w:rPr>
          <w:rFonts w:hint="cs"/>
          <w:rtl/>
          <w:lang w:val="en-US" w:bidi="ar-AE"/>
        </w:rPr>
        <w:t xml:space="preserve"> إلى </w:t>
      </w:r>
      <w:r>
        <w:rPr>
          <w:lang w:val="en-US" w:bidi="ar-AE"/>
        </w:rPr>
        <w:t>37</w:t>
      </w:r>
      <w:r>
        <w:rPr>
          <w:rFonts w:hint="cs"/>
          <w:rtl/>
          <w:lang w:val="en-US" w:bidi="ar-AE"/>
        </w:rPr>
        <w:t>.</w:t>
      </w:r>
    </w:p>
  </w:footnote>
  <w:footnote w:id="54">
    <w:p w14:paraId="53D622C9" w14:textId="76B7AB87" w:rsidR="00674279" w:rsidRPr="00674279" w:rsidRDefault="00674279" w:rsidP="00E415DA">
      <w:pPr>
        <w:pStyle w:val="FootnoteText"/>
        <w:bidi/>
        <w:ind w:left="720"/>
        <w:rPr>
          <w:rtl/>
          <w:lang w:val="en-US" w:bidi="ar-AE"/>
        </w:rPr>
      </w:pPr>
      <w:r>
        <w:rPr>
          <w:rStyle w:val="FootnoteReference"/>
        </w:rPr>
        <w:footnoteRef/>
      </w:r>
      <w:r>
        <w:t xml:space="preserve"> </w:t>
      </w:r>
      <w:r>
        <w:rPr>
          <w:rFonts w:hint="cs"/>
          <w:rtl/>
          <w:lang w:val="en-US" w:bidi="ar-AE"/>
        </w:rPr>
        <w:t xml:space="preserve">الوثيقة </w:t>
      </w:r>
      <w:r w:rsidRPr="00674279">
        <w:rPr>
          <w:lang w:val="en-US" w:bidi="ar-AE"/>
        </w:rPr>
        <w:t>UNEP/OzL.Pro/ExCom/98/7</w:t>
      </w:r>
      <w:r>
        <w:rPr>
          <w:rFonts w:hint="cs"/>
          <w:rtl/>
          <w:lang w:val="en-US" w:bidi="ar-AE"/>
        </w:rPr>
        <w:t>.</w:t>
      </w:r>
    </w:p>
  </w:footnote>
  <w:footnote w:id="55">
    <w:p w14:paraId="430B3D28" w14:textId="12D859E0" w:rsidR="0097080B" w:rsidRPr="0097080B" w:rsidRDefault="0097080B" w:rsidP="00E415DA">
      <w:pPr>
        <w:pStyle w:val="FootnoteText"/>
        <w:bidi/>
        <w:ind w:left="720"/>
        <w:rPr>
          <w:rtl/>
          <w:lang w:val="en-US" w:bidi="ar-AE"/>
        </w:rPr>
      </w:pPr>
      <w:r>
        <w:rPr>
          <w:rStyle w:val="FootnoteReference"/>
        </w:rPr>
        <w:footnoteRef/>
      </w:r>
      <w:r>
        <w:t xml:space="preserve"> </w:t>
      </w:r>
      <w:r>
        <w:rPr>
          <w:rFonts w:hint="cs"/>
          <w:rtl/>
          <w:lang w:val="en-US" w:bidi="ar-AE"/>
        </w:rPr>
        <w:t xml:space="preserve">الوثيقة </w:t>
      </w:r>
      <w:r w:rsidRPr="0097080B">
        <w:rPr>
          <w:lang w:val="en-US" w:bidi="ar-AE"/>
        </w:rPr>
        <w:t>UNEP/OzL.Pro/ExCom/97/9</w:t>
      </w:r>
      <w:r>
        <w:rPr>
          <w:rFonts w:hint="cs"/>
          <w:rtl/>
          <w:lang w:val="en-US" w:bidi="ar-AE"/>
        </w:rPr>
        <w:t>.</w:t>
      </w:r>
    </w:p>
  </w:footnote>
  <w:footnote w:id="56">
    <w:p w14:paraId="4525784B" w14:textId="48C50733" w:rsidR="00AB5FB4" w:rsidRPr="00AB5FB4" w:rsidRDefault="00AB5FB4" w:rsidP="00E415DA">
      <w:pPr>
        <w:pStyle w:val="FootnoteText"/>
        <w:bidi/>
        <w:ind w:left="720"/>
        <w:rPr>
          <w:rtl/>
          <w:lang w:val="en-US" w:bidi="ar-AE"/>
        </w:rPr>
      </w:pPr>
      <w:r>
        <w:rPr>
          <w:rStyle w:val="FootnoteReference"/>
        </w:rPr>
        <w:footnoteRef/>
      </w:r>
      <w:r>
        <w:t xml:space="preserve"> </w:t>
      </w:r>
      <w:r>
        <w:rPr>
          <w:rFonts w:hint="cs"/>
          <w:rtl/>
          <w:lang w:val="en-US" w:bidi="ar-AE"/>
        </w:rPr>
        <w:t xml:space="preserve">الوثيقة </w:t>
      </w:r>
      <w:r w:rsidRPr="00AB5FB4">
        <w:rPr>
          <w:lang w:val="en-US" w:bidi="ar-AE"/>
        </w:rPr>
        <w:t>UNEP/OzL.Pro/ExCom/97/10</w:t>
      </w:r>
      <w:r>
        <w:rPr>
          <w:rFonts w:hint="cs"/>
          <w:rtl/>
          <w:lang w:val="en-US" w:bidi="ar-AE"/>
        </w:rPr>
        <w:t>.</w:t>
      </w:r>
    </w:p>
  </w:footnote>
  <w:footnote w:id="57">
    <w:p w14:paraId="4E0B6EEE" w14:textId="0BDD7BC1" w:rsidR="00AB5FB4" w:rsidRPr="00AB5FB4" w:rsidRDefault="00AB5FB4" w:rsidP="00E415DA">
      <w:pPr>
        <w:pStyle w:val="FootnoteText"/>
        <w:bidi/>
        <w:ind w:left="720"/>
        <w:rPr>
          <w:rtl/>
          <w:lang w:val="en-US" w:bidi="ar-AE"/>
        </w:rPr>
      </w:pPr>
      <w:r>
        <w:rPr>
          <w:rStyle w:val="FootnoteReference"/>
        </w:rPr>
        <w:footnoteRef/>
      </w:r>
      <w:r>
        <w:t xml:space="preserve"> </w:t>
      </w:r>
      <w:r>
        <w:rPr>
          <w:rFonts w:hint="cs"/>
          <w:rtl/>
          <w:lang w:val="en-US" w:bidi="ar-AE"/>
        </w:rPr>
        <w:t xml:space="preserve">الوثيقة </w:t>
      </w:r>
      <w:r w:rsidRPr="00AB5FB4">
        <w:rPr>
          <w:lang w:val="en-US" w:bidi="ar-AE"/>
        </w:rPr>
        <w:t>UNEP/OzL.Pro/ExCom/97/91</w:t>
      </w:r>
      <w:r>
        <w:rPr>
          <w:rFonts w:hint="cs"/>
          <w:rtl/>
          <w:lang w:val="en-US" w:bidi="ar-AE"/>
        </w:rPr>
        <w:t xml:space="preserve">، المرفق </w:t>
      </w:r>
      <w:r>
        <w:rPr>
          <w:lang w:val="en-US" w:bidi="ar-AE"/>
        </w:rPr>
        <w:t>3</w:t>
      </w:r>
      <w:r>
        <w:rPr>
          <w:rFonts w:hint="cs"/>
          <w:rtl/>
          <w:lang w:val="en-US" w:bidi="ar-AE"/>
        </w:rPr>
        <w:t>.</w:t>
      </w:r>
    </w:p>
  </w:footnote>
  <w:footnote w:id="58">
    <w:p w14:paraId="49DFC0CF" w14:textId="1B0983C0" w:rsidR="00DA1DE4" w:rsidRPr="00DA1DE4" w:rsidRDefault="00DA1DE4" w:rsidP="00E415DA">
      <w:pPr>
        <w:pStyle w:val="FootnoteText"/>
        <w:bidi/>
        <w:ind w:left="720"/>
        <w:rPr>
          <w:rtl/>
          <w:lang w:val="en-US" w:bidi="ar-AE"/>
        </w:rPr>
      </w:pPr>
      <w:r>
        <w:rPr>
          <w:rStyle w:val="FootnoteReference"/>
        </w:rPr>
        <w:footnoteRef/>
      </w:r>
      <w:r>
        <w:t xml:space="preserve"> </w:t>
      </w:r>
      <w:r>
        <w:rPr>
          <w:rFonts w:hint="cs"/>
          <w:rtl/>
          <w:lang w:val="en-US" w:bidi="ar-AE"/>
        </w:rPr>
        <w:t xml:space="preserve">الوثيقة </w:t>
      </w:r>
      <w:r w:rsidRPr="00DA1DE4">
        <w:rPr>
          <w:lang w:val="en-US" w:bidi="ar-AE"/>
        </w:rPr>
        <w:t>UNEP/OzL.Pro/ExCom/97/19</w:t>
      </w:r>
      <w:r>
        <w:rPr>
          <w:rFonts w:hint="cs"/>
          <w:rtl/>
          <w:lang w:val="en-US" w:bidi="ar-AE"/>
        </w:rPr>
        <w:t>.</w:t>
      </w:r>
    </w:p>
  </w:footnote>
  <w:footnote w:id="59">
    <w:p w14:paraId="29BFF881" w14:textId="79E98E42" w:rsidR="00155DC5" w:rsidRPr="00155DC5" w:rsidRDefault="00155DC5" w:rsidP="00E415DA">
      <w:pPr>
        <w:pStyle w:val="FootnoteText"/>
        <w:bidi/>
        <w:ind w:left="720"/>
        <w:rPr>
          <w:rtl/>
          <w:lang w:val="en-US" w:bidi="ar-AE"/>
        </w:rPr>
      </w:pPr>
      <w:r>
        <w:rPr>
          <w:rStyle w:val="FootnoteReference"/>
        </w:rPr>
        <w:footnoteRef/>
      </w:r>
      <w:r>
        <w:t xml:space="preserve"> </w:t>
      </w:r>
      <w:r>
        <w:rPr>
          <w:rFonts w:hint="cs"/>
          <w:rtl/>
          <w:lang w:val="en-US" w:bidi="ar-AE"/>
        </w:rPr>
        <w:t xml:space="preserve">الوثيقة </w:t>
      </w:r>
      <w:r w:rsidRPr="00155DC5">
        <w:rPr>
          <w:lang w:val="en-US" w:bidi="ar-AE"/>
        </w:rPr>
        <w:t>UNEP/OzL.Pro/ExCom/97/20</w:t>
      </w:r>
      <w:r>
        <w:rPr>
          <w:rFonts w:hint="cs"/>
          <w:rtl/>
          <w:lang w:val="en-US" w:bidi="ar-AE"/>
        </w:rPr>
        <w:t>.</w:t>
      </w:r>
    </w:p>
  </w:footnote>
  <w:footnote w:id="60">
    <w:p w14:paraId="47450411" w14:textId="1F36F135" w:rsidR="00155DC5" w:rsidRPr="00155DC5" w:rsidRDefault="00155DC5" w:rsidP="00E415DA">
      <w:pPr>
        <w:pStyle w:val="FootnoteText"/>
        <w:bidi/>
        <w:ind w:left="720"/>
        <w:rPr>
          <w:rtl/>
          <w:lang w:val="en-US" w:bidi="ar-AE"/>
        </w:rPr>
      </w:pPr>
      <w:r>
        <w:rPr>
          <w:rStyle w:val="FootnoteReference"/>
        </w:rPr>
        <w:footnoteRef/>
      </w:r>
      <w:r>
        <w:t xml:space="preserve"> </w:t>
      </w:r>
      <w:r>
        <w:rPr>
          <w:rFonts w:hint="cs"/>
          <w:rtl/>
          <w:lang w:val="en-US" w:bidi="ar-AE"/>
        </w:rPr>
        <w:t xml:space="preserve">الوثيقة </w:t>
      </w:r>
      <w:r w:rsidRPr="00155DC5">
        <w:rPr>
          <w:lang w:val="en-US" w:bidi="ar-AE"/>
        </w:rPr>
        <w:t>UNEP/OzL.Pro/ExCom/97/21</w:t>
      </w:r>
      <w:r>
        <w:rPr>
          <w:rFonts w:hint="cs"/>
          <w:rtl/>
          <w:lang w:val="en-US" w:bidi="ar-AE"/>
        </w:rPr>
        <w:t>.</w:t>
      </w:r>
    </w:p>
  </w:footnote>
  <w:footnote w:id="61">
    <w:p w14:paraId="4881BB84" w14:textId="600A6EDE" w:rsidR="00320006" w:rsidRPr="00320006" w:rsidRDefault="00320006" w:rsidP="00E415DA">
      <w:pPr>
        <w:pStyle w:val="FootnoteText"/>
        <w:bidi/>
        <w:ind w:left="720"/>
        <w:rPr>
          <w:rtl/>
          <w:lang w:val="en-US" w:bidi="ar-AE"/>
        </w:rPr>
      </w:pPr>
      <w:r>
        <w:rPr>
          <w:rStyle w:val="FootnoteReference"/>
        </w:rPr>
        <w:footnoteRef/>
      </w:r>
      <w:r>
        <w:t xml:space="preserve"> </w:t>
      </w:r>
      <w:r>
        <w:rPr>
          <w:rFonts w:hint="cs"/>
          <w:rtl/>
          <w:lang w:val="en-US" w:bidi="ar-AE"/>
        </w:rPr>
        <w:t xml:space="preserve">الوثيقة </w:t>
      </w:r>
      <w:r w:rsidRPr="00320006">
        <w:rPr>
          <w:lang w:val="en-US" w:bidi="ar-AE"/>
        </w:rPr>
        <w:t>UNEP/OzL.Pro/ExCom/97/22</w:t>
      </w:r>
      <w:r>
        <w:rPr>
          <w:rFonts w:hint="cs"/>
          <w:rtl/>
          <w:lang w:val="en-US" w:bidi="ar-AE"/>
        </w:rPr>
        <w:t>.</w:t>
      </w:r>
    </w:p>
  </w:footnote>
  <w:footnote w:id="62">
    <w:p w14:paraId="1032509E" w14:textId="7F467C97" w:rsidR="00320006" w:rsidRPr="00320006" w:rsidRDefault="00320006" w:rsidP="00E415DA">
      <w:pPr>
        <w:pStyle w:val="FootnoteText"/>
        <w:bidi/>
        <w:ind w:left="720"/>
        <w:rPr>
          <w:rtl/>
          <w:lang w:val="en-US" w:bidi="ar-AE"/>
        </w:rPr>
      </w:pPr>
      <w:r>
        <w:rPr>
          <w:rStyle w:val="FootnoteReference"/>
        </w:rPr>
        <w:footnoteRef/>
      </w:r>
      <w:r>
        <w:t xml:space="preserve"> </w:t>
      </w:r>
      <w:r>
        <w:rPr>
          <w:rFonts w:hint="cs"/>
          <w:rtl/>
          <w:lang w:val="en-US" w:bidi="ar-AE"/>
        </w:rPr>
        <w:t xml:space="preserve">الوثيقة </w:t>
      </w:r>
      <w:r w:rsidRPr="00320006">
        <w:rPr>
          <w:lang w:val="en-US" w:bidi="ar-AE"/>
        </w:rPr>
        <w:t>UNEP/OzL.Pro/ExCom/97/23</w:t>
      </w:r>
      <w:r>
        <w:rPr>
          <w:rFonts w:hint="cs"/>
          <w:sz w:val="18"/>
          <w:szCs w:val="18"/>
          <w:rtl/>
          <w:lang w:val="en-US"/>
        </w:rPr>
        <w:t>.</w:t>
      </w:r>
    </w:p>
  </w:footnote>
  <w:footnote w:id="63">
    <w:p w14:paraId="022DD7A5" w14:textId="41D051F0" w:rsidR="005B05AB" w:rsidRPr="005B05AB" w:rsidRDefault="005B05AB" w:rsidP="00E415DA">
      <w:pPr>
        <w:pStyle w:val="FootnoteText"/>
        <w:bidi/>
        <w:ind w:left="720"/>
        <w:rPr>
          <w:rtl/>
          <w:lang w:val="en-US" w:bidi="ar-AE"/>
        </w:rPr>
      </w:pPr>
      <w:r>
        <w:rPr>
          <w:rStyle w:val="FootnoteReference"/>
        </w:rPr>
        <w:footnoteRef/>
      </w:r>
      <w:r>
        <w:t xml:space="preserve"> </w:t>
      </w:r>
      <w:r>
        <w:rPr>
          <w:rFonts w:hint="cs"/>
          <w:rtl/>
          <w:lang w:val="en-US" w:bidi="ar-AE"/>
        </w:rPr>
        <w:t xml:space="preserve">الوثيقة </w:t>
      </w:r>
      <w:r w:rsidRPr="005B05AB">
        <w:rPr>
          <w:lang w:val="en-US" w:bidi="ar-AE"/>
        </w:rPr>
        <w:t>UNEP/OzL.Pro/ExCom/97/24</w:t>
      </w:r>
      <w:r>
        <w:rPr>
          <w:rFonts w:hint="cs"/>
          <w:rtl/>
          <w:lang w:val="en-US" w:bidi="ar-AE"/>
        </w:rPr>
        <w:t>.</w:t>
      </w:r>
    </w:p>
  </w:footnote>
  <w:footnote w:id="64">
    <w:p w14:paraId="66740C33" w14:textId="2B757D4B" w:rsidR="005B05AB" w:rsidRPr="005B05AB" w:rsidRDefault="005B05AB" w:rsidP="00E415DA">
      <w:pPr>
        <w:pStyle w:val="FootnoteText"/>
        <w:bidi/>
        <w:ind w:left="720"/>
        <w:rPr>
          <w:rtl/>
          <w:lang w:val="en-US" w:bidi="ar-AE"/>
        </w:rPr>
      </w:pPr>
      <w:r>
        <w:rPr>
          <w:rStyle w:val="FootnoteReference"/>
        </w:rPr>
        <w:footnoteRef/>
      </w:r>
      <w:r>
        <w:t xml:space="preserve"> </w:t>
      </w:r>
      <w:r>
        <w:rPr>
          <w:rFonts w:hint="cs"/>
          <w:rtl/>
          <w:lang w:val="en-US" w:bidi="ar-AE"/>
        </w:rPr>
        <w:t xml:space="preserve">الوثيقة </w:t>
      </w:r>
      <w:r w:rsidRPr="005B05AB">
        <w:rPr>
          <w:lang w:val="en-US" w:bidi="ar-AE"/>
        </w:rPr>
        <w:t>UNEP/OzL.Pro/ExCom/97/25</w:t>
      </w:r>
      <w:r>
        <w:rPr>
          <w:rFonts w:hint="cs"/>
          <w:rtl/>
          <w:lang w:val="en-US" w:bidi="ar-AE"/>
        </w:rPr>
        <w:t>.</w:t>
      </w:r>
    </w:p>
  </w:footnote>
  <w:footnote w:id="65">
    <w:p w14:paraId="314D7E99" w14:textId="71906521" w:rsidR="005B05AB" w:rsidRPr="005B05AB" w:rsidRDefault="005B05AB" w:rsidP="00E415DA">
      <w:pPr>
        <w:pStyle w:val="FootnoteText"/>
        <w:bidi/>
        <w:ind w:left="720"/>
        <w:rPr>
          <w:rtl/>
          <w:lang w:val="en-US" w:bidi="ar-AE"/>
        </w:rPr>
      </w:pPr>
      <w:r>
        <w:rPr>
          <w:rStyle w:val="FootnoteReference"/>
        </w:rPr>
        <w:footnoteRef/>
      </w:r>
      <w:r>
        <w:t xml:space="preserve"> </w:t>
      </w:r>
      <w:r>
        <w:rPr>
          <w:rFonts w:hint="cs"/>
          <w:rtl/>
          <w:lang w:val="en-US" w:bidi="ar-AE"/>
        </w:rPr>
        <w:t xml:space="preserve">الوثيقة </w:t>
      </w:r>
      <w:r w:rsidRPr="005B05AB">
        <w:rPr>
          <w:rtl/>
          <w:lang w:val="en-US" w:bidi="ar-AE"/>
        </w:rPr>
        <w:t xml:space="preserve">  </w:t>
      </w:r>
      <w:r w:rsidRPr="005B05AB">
        <w:rPr>
          <w:lang w:val="en-US" w:bidi="ar-AE"/>
        </w:rPr>
        <w:t>UNEP/OzL.Pro/ExCom/97/91</w:t>
      </w:r>
      <w:r>
        <w:rPr>
          <w:rFonts w:hint="cs"/>
          <w:rtl/>
          <w:lang w:val="en-US" w:bidi="ar-AE"/>
        </w:rPr>
        <w:t xml:space="preserve">، والمرفقات </w:t>
      </w:r>
      <w:r>
        <w:rPr>
          <w:lang w:val="en-US" w:bidi="ar-AE"/>
        </w:rPr>
        <w:t>24</w:t>
      </w:r>
      <w:r>
        <w:rPr>
          <w:rFonts w:hint="cs"/>
          <w:rtl/>
          <w:lang w:val="en-US" w:bidi="ar-AE"/>
        </w:rPr>
        <w:t>، و</w:t>
      </w:r>
      <w:r>
        <w:rPr>
          <w:lang w:val="en-US" w:bidi="ar-AE"/>
        </w:rPr>
        <w:t>25</w:t>
      </w:r>
      <w:r>
        <w:rPr>
          <w:rFonts w:hint="cs"/>
          <w:rtl/>
          <w:lang w:val="en-US" w:bidi="ar-AE"/>
        </w:rPr>
        <w:t>، و</w:t>
      </w:r>
      <w:r>
        <w:rPr>
          <w:lang w:val="en-US" w:bidi="ar-AE"/>
        </w:rPr>
        <w:t>26</w:t>
      </w:r>
      <w:r>
        <w:rPr>
          <w:rFonts w:hint="cs"/>
          <w:rtl/>
          <w:lang w:val="en-US" w:bidi="ar-AE"/>
        </w:rPr>
        <w:t>، و</w:t>
      </w:r>
      <w:r>
        <w:rPr>
          <w:lang w:val="en-US" w:bidi="ar-AE"/>
        </w:rPr>
        <w:t>27</w:t>
      </w:r>
      <w:r>
        <w:rPr>
          <w:rFonts w:hint="cs"/>
          <w:rtl/>
          <w:lang w:val="en-US" w:bidi="ar-AE"/>
        </w:rPr>
        <w:t>.</w:t>
      </w:r>
    </w:p>
  </w:footnote>
  <w:footnote w:id="66">
    <w:p w14:paraId="521F375E" w14:textId="1F75FA8A" w:rsidR="00A71DDF" w:rsidRPr="00A71DDF" w:rsidRDefault="00A71DDF" w:rsidP="00E415DA">
      <w:pPr>
        <w:pStyle w:val="FootnoteText"/>
        <w:bidi/>
        <w:ind w:left="720"/>
        <w:rPr>
          <w:rtl/>
          <w:lang w:bidi="ar-AE"/>
        </w:rPr>
      </w:pPr>
      <w:r>
        <w:rPr>
          <w:rStyle w:val="FootnoteReference"/>
        </w:rPr>
        <w:footnoteRef/>
      </w:r>
      <w:r>
        <w:t xml:space="preserve"> </w:t>
      </w:r>
      <w:r>
        <w:rPr>
          <w:rFonts w:hint="cs"/>
          <w:rtl/>
          <w:lang w:bidi="ar-AE"/>
        </w:rPr>
        <w:t xml:space="preserve">الوثيقة </w:t>
      </w:r>
      <w:r w:rsidRPr="00A71DDF">
        <w:rPr>
          <w:lang w:bidi="ar-AE"/>
        </w:rPr>
        <w:t>UNEP/OzL.Pro/ExCom/98/8</w:t>
      </w:r>
      <w:r>
        <w:rPr>
          <w:rFonts w:hint="cs"/>
          <w:rtl/>
          <w:lang w:bidi="ar-AE"/>
        </w:rPr>
        <w:t>.</w:t>
      </w:r>
    </w:p>
  </w:footnote>
  <w:footnote w:id="67">
    <w:p w14:paraId="17BABD15" w14:textId="06D4904E" w:rsidR="00464F0B" w:rsidRPr="00464F0B" w:rsidRDefault="00464F0B" w:rsidP="00E415DA">
      <w:pPr>
        <w:pStyle w:val="FootnoteText"/>
        <w:bidi/>
        <w:ind w:left="720"/>
        <w:rPr>
          <w:rtl/>
          <w:lang w:val="en-US" w:bidi="ar-AE"/>
        </w:rPr>
      </w:pPr>
      <w:r>
        <w:rPr>
          <w:rStyle w:val="FootnoteReference"/>
        </w:rPr>
        <w:footnoteRef/>
      </w:r>
      <w:r>
        <w:t xml:space="preserve"> </w:t>
      </w:r>
      <w:r>
        <w:rPr>
          <w:rFonts w:hint="cs"/>
          <w:rtl/>
          <w:lang w:val="en-US" w:bidi="ar-AE"/>
        </w:rPr>
        <w:t xml:space="preserve">الوثيقة </w:t>
      </w:r>
      <w:r w:rsidRPr="00464F0B">
        <w:rPr>
          <w:lang w:val="en-US" w:bidi="ar-AE"/>
        </w:rPr>
        <w:t>UNEP/OzL.Pro/ExCom/98/64</w:t>
      </w:r>
      <w:r>
        <w:rPr>
          <w:rFonts w:hint="cs"/>
          <w:rtl/>
          <w:lang w:val="en-US" w:bidi="ar-AE"/>
        </w:rPr>
        <w:t xml:space="preserve">، المرفق </w:t>
      </w:r>
      <w:r>
        <w:rPr>
          <w:lang w:val="en-US" w:bidi="ar-AE"/>
        </w:rPr>
        <w:t>1</w:t>
      </w:r>
      <w:r>
        <w:rPr>
          <w:rFonts w:hint="cs"/>
          <w:rtl/>
          <w:lang w:val="en-US" w:bidi="ar-AE"/>
        </w:rPr>
        <w:t>.</w:t>
      </w:r>
    </w:p>
  </w:footnote>
  <w:footnote w:id="68">
    <w:p w14:paraId="1648F023" w14:textId="5AE23AC5" w:rsidR="00E220D8" w:rsidRPr="00E220D8" w:rsidRDefault="00E220D8" w:rsidP="00E415DA">
      <w:pPr>
        <w:pStyle w:val="FootnoteText"/>
        <w:bidi/>
        <w:ind w:left="720"/>
        <w:rPr>
          <w:rtl/>
          <w:lang w:val="en-US" w:bidi="ar-AE"/>
        </w:rPr>
      </w:pPr>
      <w:r>
        <w:rPr>
          <w:rStyle w:val="FootnoteReference"/>
        </w:rPr>
        <w:footnoteRef/>
      </w:r>
      <w:r>
        <w:t xml:space="preserve"> </w:t>
      </w:r>
      <w:r>
        <w:rPr>
          <w:rFonts w:hint="cs"/>
          <w:rtl/>
          <w:lang w:val="en-US" w:bidi="ar-AE"/>
        </w:rPr>
        <w:t xml:space="preserve">الوثيقة </w:t>
      </w:r>
      <w:r w:rsidRPr="00E220D8">
        <w:rPr>
          <w:lang w:val="en-US" w:bidi="ar-AE"/>
        </w:rPr>
        <w:t>UNEP/OzL.Pro/ExCom/97/3</w:t>
      </w:r>
      <w:r>
        <w:rPr>
          <w:rFonts w:hint="cs"/>
          <w:rtl/>
          <w:lang w:val="en-US" w:bidi="ar-AE"/>
        </w:rPr>
        <w:t>.</w:t>
      </w:r>
    </w:p>
  </w:footnote>
  <w:footnote w:id="69">
    <w:p w14:paraId="31C93FE6" w14:textId="4957AC9F" w:rsidR="00804E23" w:rsidRPr="00804E23" w:rsidRDefault="00804E23" w:rsidP="00E415DA">
      <w:pPr>
        <w:pStyle w:val="FootnoteText"/>
        <w:bidi/>
        <w:ind w:left="720"/>
        <w:rPr>
          <w:rtl/>
          <w:lang w:val="en-US" w:bidi="ar-AE"/>
        </w:rPr>
      </w:pPr>
      <w:r>
        <w:rPr>
          <w:rStyle w:val="FootnoteReference"/>
        </w:rPr>
        <w:footnoteRef/>
      </w:r>
      <w:r>
        <w:t xml:space="preserve"> </w:t>
      </w:r>
      <w:r>
        <w:rPr>
          <w:rFonts w:hint="cs"/>
          <w:rtl/>
          <w:lang w:val="en-US" w:bidi="ar-AE"/>
        </w:rPr>
        <w:t xml:space="preserve">الوثيقة </w:t>
      </w:r>
      <w:r w:rsidRPr="00804E23">
        <w:rPr>
          <w:lang w:val="en-US" w:bidi="ar-AE"/>
        </w:rPr>
        <w:t>UNEP/OzL.Pro/ExCom/97/4</w:t>
      </w:r>
      <w:r>
        <w:rPr>
          <w:rFonts w:hint="cs"/>
          <w:rtl/>
          <w:lang w:val="en-US" w:bidi="ar-AE"/>
        </w:rPr>
        <w:t>.</w:t>
      </w:r>
    </w:p>
  </w:footnote>
  <w:footnote w:id="70">
    <w:p w14:paraId="04065BA1" w14:textId="55D4548C" w:rsidR="00804E23" w:rsidRPr="00804E23" w:rsidRDefault="00804E23" w:rsidP="00E415DA">
      <w:pPr>
        <w:pStyle w:val="FootnoteText"/>
        <w:bidi/>
        <w:ind w:left="720"/>
        <w:rPr>
          <w:rtl/>
          <w:lang w:val="en-US" w:bidi="ar-AE"/>
        </w:rPr>
      </w:pPr>
      <w:r>
        <w:rPr>
          <w:rStyle w:val="FootnoteReference"/>
        </w:rPr>
        <w:footnoteRef/>
      </w:r>
      <w:r>
        <w:t xml:space="preserve"> </w:t>
      </w:r>
      <w:r>
        <w:rPr>
          <w:rFonts w:hint="cs"/>
          <w:rtl/>
          <w:lang w:val="en-US" w:bidi="ar-AE"/>
        </w:rPr>
        <w:t xml:space="preserve">الوثيقة </w:t>
      </w:r>
      <w:r w:rsidRPr="00804E23">
        <w:rPr>
          <w:lang w:val="en-US" w:bidi="ar-AE"/>
        </w:rPr>
        <w:t>UNEP/OzL.Pro/ExCom/97/5</w:t>
      </w:r>
      <w:r>
        <w:rPr>
          <w:rFonts w:hint="cs"/>
          <w:rtl/>
          <w:lang w:val="en-US" w:bidi="ar-AE"/>
        </w:rPr>
        <w:t>.</w:t>
      </w:r>
    </w:p>
  </w:footnote>
  <w:footnote w:id="71">
    <w:p w14:paraId="768265B8" w14:textId="0479513C" w:rsidR="00804E23" w:rsidRPr="00804E23" w:rsidRDefault="00804E23" w:rsidP="00E415DA">
      <w:pPr>
        <w:pStyle w:val="FootnoteText"/>
        <w:bidi/>
        <w:ind w:left="720"/>
        <w:rPr>
          <w:rtl/>
          <w:lang w:val="en-US" w:bidi="ar-AE"/>
        </w:rPr>
      </w:pPr>
      <w:r>
        <w:rPr>
          <w:rStyle w:val="FootnoteReference"/>
        </w:rPr>
        <w:footnoteRef/>
      </w:r>
      <w:r>
        <w:t xml:space="preserve"> </w:t>
      </w:r>
      <w:r>
        <w:rPr>
          <w:rFonts w:hint="cs"/>
          <w:rtl/>
          <w:lang w:val="en-US" w:bidi="ar-AE"/>
        </w:rPr>
        <w:t xml:space="preserve">الوثيقة </w:t>
      </w:r>
      <w:r w:rsidRPr="00804E23">
        <w:rPr>
          <w:lang w:val="en-US" w:bidi="ar-AE"/>
        </w:rPr>
        <w:t>UNEP/OzL.Pro/ExCom/97/6</w:t>
      </w:r>
      <w:r>
        <w:rPr>
          <w:rFonts w:hint="cs"/>
          <w:rtl/>
          <w:lang w:val="en-US" w:bidi="ar-AE"/>
        </w:rPr>
        <w:t>.</w:t>
      </w:r>
    </w:p>
  </w:footnote>
  <w:footnote w:id="72">
    <w:p w14:paraId="7316A6FF" w14:textId="1127C124" w:rsidR="00804E23" w:rsidRPr="00804E23" w:rsidRDefault="00804E23" w:rsidP="00E415DA">
      <w:pPr>
        <w:pStyle w:val="FootnoteText"/>
        <w:bidi/>
        <w:ind w:left="720"/>
        <w:rPr>
          <w:rtl/>
          <w:lang w:val="en-US" w:bidi="ar-AE"/>
        </w:rPr>
      </w:pPr>
      <w:r>
        <w:rPr>
          <w:rStyle w:val="FootnoteReference"/>
        </w:rPr>
        <w:footnoteRef/>
      </w:r>
      <w:r>
        <w:t xml:space="preserve"> </w:t>
      </w:r>
      <w:r>
        <w:rPr>
          <w:rFonts w:hint="cs"/>
          <w:rtl/>
          <w:lang w:val="en-US" w:bidi="ar-AE"/>
        </w:rPr>
        <w:t xml:space="preserve">الوثيقة </w:t>
      </w:r>
      <w:r w:rsidRPr="00804E23">
        <w:rPr>
          <w:lang w:val="en-US" w:bidi="ar-AE"/>
        </w:rPr>
        <w:t>UNEP/OzL.Pro/ExCom/97/7</w:t>
      </w:r>
      <w:r>
        <w:rPr>
          <w:rFonts w:hint="cs"/>
          <w:rtl/>
          <w:lang w:val="en-US" w:bidi="ar-AE"/>
        </w:rPr>
        <w:t>.</w:t>
      </w:r>
    </w:p>
  </w:footnote>
  <w:footnote w:id="73">
    <w:p w14:paraId="3CAD1B01" w14:textId="10678158" w:rsidR="00804E23" w:rsidRPr="00804E23" w:rsidRDefault="00804E23" w:rsidP="00E415DA">
      <w:pPr>
        <w:pStyle w:val="FootnoteText"/>
        <w:bidi/>
        <w:ind w:left="720"/>
        <w:rPr>
          <w:rtl/>
          <w:lang w:val="en-US" w:bidi="ar-AE"/>
        </w:rPr>
      </w:pPr>
      <w:r>
        <w:rPr>
          <w:rStyle w:val="FootnoteReference"/>
        </w:rPr>
        <w:footnoteRef/>
      </w:r>
      <w:r>
        <w:t xml:space="preserve"> </w:t>
      </w:r>
      <w:r>
        <w:rPr>
          <w:rFonts w:hint="cs"/>
          <w:rtl/>
          <w:lang w:val="en-US" w:bidi="ar-AE"/>
        </w:rPr>
        <w:t xml:space="preserve">الوثيقة </w:t>
      </w:r>
      <w:r w:rsidRPr="00804E23">
        <w:rPr>
          <w:lang w:val="en-US" w:bidi="ar-AE"/>
        </w:rPr>
        <w:t>UNEP/OzL.Pro/ExCom/97/91</w:t>
      </w:r>
      <w:r>
        <w:rPr>
          <w:rFonts w:hint="cs"/>
          <w:rtl/>
          <w:lang w:val="en-US" w:bidi="ar-AE"/>
        </w:rPr>
        <w:t xml:space="preserve">، المرفق </w:t>
      </w:r>
      <w:r>
        <w:rPr>
          <w:lang w:val="en-US" w:bidi="ar-AE"/>
        </w:rPr>
        <w:t>2</w:t>
      </w:r>
      <w:r>
        <w:rPr>
          <w:rFonts w:hint="cs"/>
          <w:rtl/>
          <w:lang w:val="en-US" w:bidi="ar-AE"/>
        </w:rPr>
        <w:t>.</w:t>
      </w:r>
    </w:p>
  </w:footnote>
  <w:footnote w:id="74">
    <w:p w14:paraId="66CAD514" w14:textId="328E4409" w:rsidR="002E5922" w:rsidRPr="002E5922" w:rsidRDefault="002E5922" w:rsidP="00E415DA">
      <w:pPr>
        <w:pStyle w:val="FootnoteText"/>
        <w:bidi/>
        <w:ind w:left="720"/>
        <w:rPr>
          <w:rtl/>
          <w:lang w:val="en-US" w:bidi="ar-AE"/>
        </w:rPr>
      </w:pPr>
      <w:r>
        <w:rPr>
          <w:rStyle w:val="FootnoteReference"/>
        </w:rPr>
        <w:footnoteRef/>
      </w:r>
      <w:r>
        <w:t xml:space="preserve"> </w:t>
      </w:r>
      <w:r>
        <w:rPr>
          <w:rFonts w:hint="cs"/>
          <w:rtl/>
          <w:lang w:val="en-US" w:bidi="ar-AE"/>
        </w:rPr>
        <w:t xml:space="preserve">الوثيقة </w:t>
      </w:r>
      <w:r w:rsidRPr="002E5922">
        <w:rPr>
          <w:lang w:val="en-US" w:bidi="ar-AE"/>
        </w:rPr>
        <w:t>UNEP/OzL.Pro/ExCom/98/3</w:t>
      </w:r>
      <w:r>
        <w:rPr>
          <w:rFonts w:hint="cs"/>
          <w:rtl/>
          <w:lang w:val="en-US" w:bidi="ar-AE"/>
        </w:rPr>
        <w:t>.</w:t>
      </w:r>
    </w:p>
  </w:footnote>
  <w:footnote w:id="75">
    <w:p w14:paraId="3875956A" w14:textId="014B5DE4" w:rsidR="002E5922" w:rsidRPr="002E5922" w:rsidRDefault="002E5922" w:rsidP="00E415DA">
      <w:pPr>
        <w:pStyle w:val="FootnoteText"/>
        <w:bidi/>
        <w:ind w:left="720"/>
        <w:rPr>
          <w:rtl/>
          <w:lang w:val="en-US" w:bidi="ar-AE"/>
        </w:rPr>
      </w:pPr>
      <w:r>
        <w:rPr>
          <w:rStyle w:val="FootnoteReference"/>
        </w:rPr>
        <w:footnoteRef/>
      </w:r>
      <w:r>
        <w:t xml:space="preserve"> </w:t>
      </w:r>
      <w:r>
        <w:rPr>
          <w:rFonts w:hint="cs"/>
          <w:rtl/>
          <w:lang w:val="en-US" w:bidi="ar-AE"/>
        </w:rPr>
        <w:t xml:space="preserve">الوثيقة </w:t>
      </w:r>
      <w:r w:rsidRPr="002E5922">
        <w:rPr>
          <w:lang w:val="en-US" w:bidi="ar-AE"/>
        </w:rPr>
        <w:t>UNEP/OzL.Pro/ExCom/98/4</w:t>
      </w:r>
      <w:r>
        <w:rPr>
          <w:rFonts w:hint="cs"/>
          <w:rtl/>
          <w:lang w:val="en-US" w:bidi="ar-AE"/>
        </w:rPr>
        <w:t>.</w:t>
      </w:r>
    </w:p>
  </w:footnote>
  <w:footnote w:id="76">
    <w:p w14:paraId="06206A07" w14:textId="17DF6BFB" w:rsidR="00B66864" w:rsidRPr="00B66864" w:rsidRDefault="00B66864" w:rsidP="00E415DA">
      <w:pPr>
        <w:pStyle w:val="FootnoteText"/>
        <w:bidi/>
        <w:ind w:left="720"/>
        <w:rPr>
          <w:rtl/>
          <w:lang w:bidi="ar-AE"/>
        </w:rPr>
      </w:pPr>
      <w:r>
        <w:rPr>
          <w:rStyle w:val="FootnoteReference"/>
        </w:rPr>
        <w:footnoteRef/>
      </w:r>
      <w:r>
        <w:t xml:space="preserve"> </w:t>
      </w:r>
      <w:r>
        <w:rPr>
          <w:rFonts w:hint="cs"/>
          <w:rtl/>
          <w:lang w:bidi="ar-AE"/>
        </w:rPr>
        <w:t xml:space="preserve">الوثيقة </w:t>
      </w:r>
      <w:r w:rsidRPr="00B66864">
        <w:rPr>
          <w:lang w:bidi="ar-AE"/>
        </w:rPr>
        <w:t>UNEP/OzL.Pro/ExCom/97/2</w:t>
      </w:r>
      <w:r>
        <w:rPr>
          <w:rFonts w:hint="cs"/>
          <w:rtl/>
          <w:lang w:bidi="ar-AE"/>
        </w:rPr>
        <w:t>.</w:t>
      </w:r>
    </w:p>
  </w:footnote>
  <w:footnote w:id="77">
    <w:p w14:paraId="1952DE41" w14:textId="628D5C30" w:rsidR="00B66864" w:rsidRPr="00B66864" w:rsidRDefault="00B66864" w:rsidP="00E415DA">
      <w:pPr>
        <w:pStyle w:val="FootnoteText"/>
        <w:bidi/>
        <w:ind w:left="720"/>
        <w:rPr>
          <w:rtl/>
          <w:lang w:bidi="ar-AE"/>
        </w:rPr>
      </w:pPr>
      <w:r>
        <w:rPr>
          <w:rStyle w:val="FootnoteReference"/>
        </w:rPr>
        <w:footnoteRef/>
      </w:r>
      <w:r>
        <w:t xml:space="preserve"> </w:t>
      </w:r>
      <w:r>
        <w:rPr>
          <w:rFonts w:hint="cs"/>
          <w:rtl/>
          <w:lang w:bidi="ar-AE"/>
        </w:rPr>
        <w:t xml:space="preserve">الوثيقة </w:t>
      </w:r>
      <w:r w:rsidRPr="00B66864">
        <w:rPr>
          <w:lang w:bidi="ar-AE"/>
        </w:rPr>
        <w:t>UNEP/OzL.Pro/ExCom/98/2</w:t>
      </w:r>
      <w:r>
        <w:rPr>
          <w:rFonts w:hint="cs"/>
          <w:rtl/>
          <w:lang w:bidi="ar-AE"/>
        </w:rPr>
        <w:t>.</w:t>
      </w:r>
    </w:p>
  </w:footnote>
  <w:footnote w:id="78">
    <w:p w14:paraId="7FD2F66B" w14:textId="0640817A" w:rsidR="00E51CB8" w:rsidRPr="00E51CB8" w:rsidRDefault="00E51CB8" w:rsidP="00E415DA">
      <w:pPr>
        <w:pStyle w:val="FootnoteText"/>
        <w:bidi/>
        <w:ind w:left="720"/>
        <w:rPr>
          <w:rtl/>
          <w:lang w:val="en-US" w:bidi="ar-AE"/>
        </w:rPr>
      </w:pPr>
      <w:r>
        <w:rPr>
          <w:rStyle w:val="FootnoteReference"/>
        </w:rPr>
        <w:footnoteRef/>
      </w:r>
      <w:r>
        <w:t xml:space="preserve"> </w:t>
      </w:r>
      <w:r w:rsidRPr="00E51CB8">
        <w:rPr>
          <w:rtl/>
          <w:lang w:val="en-US" w:bidi="ar-AE"/>
        </w:rPr>
        <w:t>يشير فقط إلى المشاريع المعتمدة والممولة من المساهمات العادية.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89BAC" w14:textId="4696DAB6" w:rsidR="00486D8C" w:rsidRPr="009C31CF" w:rsidRDefault="00EF12E2" w:rsidP="00F05613">
    <w:pPr>
      <w:jc w:val="left"/>
      <w:rPr>
        <w:sz w:val="24"/>
        <w:szCs w:val="24"/>
      </w:rPr>
    </w:pPr>
    <w:r w:rsidRPr="009C31CF">
      <w:rPr>
        <w:sz w:val="24"/>
        <w:szCs w:val="24"/>
      </w:rPr>
      <w:t>UNEP/OzL.Pro.38/8</w:t>
    </w:r>
  </w:p>
  <w:p w14:paraId="4318F877" w14:textId="7F179407" w:rsidR="00486D8C" w:rsidRPr="00802AD7" w:rsidRDefault="00486D8C">
    <w:pPr>
      <w:rPr>
        <w:sz w:val="20"/>
        <w:szCs w:val="20"/>
      </w:rPr>
    </w:pPr>
  </w:p>
  <w:p w14:paraId="3000C50C" w14:textId="77777777" w:rsidR="00486D8C" w:rsidRPr="00802AD7" w:rsidRDefault="00486D8C">
    <w:pPr>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9F8F5" w14:textId="5FC559FF" w:rsidR="00486D8C" w:rsidRPr="009C31CF" w:rsidRDefault="00100557">
    <w:pPr>
      <w:jc w:val="right"/>
      <w:rPr>
        <w:sz w:val="24"/>
        <w:szCs w:val="24"/>
      </w:rPr>
    </w:pPr>
    <w:r w:rsidRPr="009C31CF">
      <w:rPr>
        <w:sz w:val="24"/>
        <w:szCs w:val="24"/>
      </w:rPr>
      <w:t>UNEP/OzL.Pro.38/8</w:t>
    </w:r>
  </w:p>
  <w:p w14:paraId="7480B979" w14:textId="77777777" w:rsidR="00486D8C" w:rsidRPr="00802AD7" w:rsidRDefault="00486D8C">
    <w:pPr>
      <w:rPr>
        <w:sz w:val="20"/>
        <w:szCs w:val="20"/>
      </w:rPr>
    </w:pPr>
  </w:p>
  <w:p w14:paraId="09585B6F" w14:textId="77777777" w:rsidR="00486D8C" w:rsidRPr="00802AD7" w:rsidRDefault="00486D8C">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B2190" w14:textId="77777777" w:rsidR="00F05613" w:rsidRPr="009C31CF" w:rsidRDefault="00F05613" w:rsidP="00F05613">
    <w:pPr>
      <w:jc w:val="right"/>
      <w:rPr>
        <w:sz w:val="24"/>
        <w:szCs w:val="24"/>
      </w:rPr>
    </w:pPr>
    <w:r w:rsidRPr="009C31CF">
      <w:rPr>
        <w:sz w:val="24"/>
        <w:szCs w:val="24"/>
      </w:rPr>
      <w:t>UNEP/OzL.Pro.38/8</w:t>
    </w:r>
  </w:p>
  <w:p w14:paraId="4EC3665B" w14:textId="77777777" w:rsidR="00F05613" w:rsidRDefault="00F05613">
    <w:pPr>
      <w:pStyle w:val="Header"/>
    </w:pPr>
  </w:p>
  <w:p w14:paraId="393A911E" w14:textId="77777777" w:rsidR="00F05613" w:rsidRDefault="00F056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DB2175A"/>
    <w:styleLink w:val="ArticleSection12"/>
    <w:lvl w:ilvl="0">
      <w:start w:val="1"/>
      <w:numFmt w:val="decimal"/>
      <w:lvlText w:val="%1."/>
      <w:lvlJc w:val="left"/>
      <w:pPr>
        <w:tabs>
          <w:tab w:val="num" w:pos="1800"/>
        </w:tabs>
        <w:ind w:left="1800" w:hanging="360"/>
      </w:pPr>
    </w:lvl>
  </w:abstractNum>
  <w:abstractNum w:abstractNumId="1" w15:restartNumberingAfterBreak="0">
    <w:nsid w:val="FFFFFF83"/>
    <w:multiLevelType w:val="singleLevel"/>
    <w:tmpl w:val="4C3AD18E"/>
    <w:styleLink w:val="CurrentList111"/>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FB"/>
    <w:multiLevelType w:val="multilevel"/>
    <w:tmpl w:val="7548BB0C"/>
    <w:styleLink w:val="ArticleSection114"/>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Letter"/>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3" w15:restartNumberingAfterBreak="0">
    <w:nsid w:val="0A1158F8"/>
    <w:multiLevelType w:val="hybridMultilevel"/>
    <w:tmpl w:val="CD5A758C"/>
    <w:styleLink w:val="ArticleSection11"/>
    <w:lvl w:ilvl="0" w:tplc="1F20924E">
      <w:start w:val="1"/>
      <w:numFmt w:val="lowerLetter"/>
      <w:lvlText w:val="(%1)"/>
      <w:lvlJc w:val="left"/>
      <w:pPr>
        <w:ind w:left="1080" w:hanging="360"/>
      </w:pPr>
      <w:rPr>
        <w:rFonts w:ascii="Times New Roman" w:eastAsia="Times New Roman" w:hAnsi="Times New Roman" w:cs="Times New Roman"/>
        <w:i w:val="0"/>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10605A11"/>
    <w:multiLevelType w:val="hybridMultilevel"/>
    <w:tmpl w:val="2FC85178"/>
    <w:lvl w:ilvl="0" w:tplc="F0C68FF4">
      <w:start w:val="1"/>
      <w:numFmt w:val="lowerRoman"/>
      <w:pStyle w:val="Listparagraph2"/>
      <w:lvlText w:val="(%1)"/>
      <w:lvlJc w:val="left"/>
      <w:pPr>
        <w:tabs>
          <w:tab w:val="num" w:pos="1440"/>
        </w:tabs>
        <w:ind w:left="144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6D9369C"/>
    <w:multiLevelType w:val="hybridMultilevel"/>
    <w:tmpl w:val="1BC00664"/>
    <w:lvl w:ilvl="0" w:tplc="FFFFFFFF">
      <w:start w:val="1"/>
      <w:numFmt w:val="decimal"/>
      <w:lvlText w:val="%1."/>
      <w:lvlJc w:val="left"/>
      <w:pPr>
        <w:ind w:left="1344" w:hanging="360"/>
      </w:pPr>
      <w:rPr>
        <w:rFonts w:hint="default"/>
      </w:rPr>
    </w:lvl>
    <w:lvl w:ilvl="1" w:tplc="FFFFFFFF" w:tentative="1">
      <w:start w:val="1"/>
      <w:numFmt w:val="lowerLetter"/>
      <w:lvlText w:val="%2."/>
      <w:lvlJc w:val="left"/>
      <w:pPr>
        <w:ind w:left="2064" w:hanging="360"/>
      </w:pPr>
    </w:lvl>
    <w:lvl w:ilvl="2" w:tplc="FFFFFFFF" w:tentative="1">
      <w:start w:val="1"/>
      <w:numFmt w:val="lowerRoman"/>
      <w:lvlText w:val="%3."/>
      <w:lvlJc w:val="right"/>
      <w:pPr>
        <w:ind w:left="2784" w:hanging="180"/>
      </w:pPr>
    </w:lvl>
    <w:lvl w:ilvl="3" w:tplc="FFFFFFFF" w:tentative="1">
      <w:start w:val="1"/>
      <w:numFmt w:val="decimal"/>
      <w:lvlText w:val="%4."/>
      <w:lvlJc w:val="left"/>
      <w:pPr>
        <w:ind w:left="3504" w:hanging="360"/>
      </w:pPr>
    </w:lvl>
    <w:lvl w:ilvl="4" w:tplc="FFFFFFFF" w:tentative="1">
      <w:start w:val="1"/>
      <w:numFmt w:val="lowerLetter"/>
      <w:lvlText w:val="%5."/>
      <w:lvlJc w:val="left"/>
      <w:pPr>
        <w:ind w:left="4224" w:hanging="360"/>
      </w:pPr>
    </w:lvl>
    <w:lvl w:ilvl="5" w:tplc="FFFFFFFF" w:tentative="1">
      <w:start w:val="1"/>
      <w:numFmt w:val="lowerRoman"/>
      <w:lvlText w:val="%6."/>
      <w:lvlJc w:val="right"/>
      <w:pPr>
        <w:ind w:left="4944" w:hanging="180"/>
      </w:pPr>
    </w:lvl>
    <w:lvl w:ilvl="6" w:tplc="FFFFFFFF" w:tentative="1">
      <w:start w:val="1"/>
      <w:numFmt w:val="decimal"/>
      <w:lvlText w:val="%7."/>
      <w:lvlJc w:val="left"/>
      <w:pPr>
        <w:ind w:left="5664" w:hanging="360"/>
      </w:pPr>
    </w:lvl>
    <w:lvl w:ilvl="7" w:tplc="FFFFFFFF" w:tentative="1">
      <w:start w:val="1"/>
      <w:numFmt w:val="lowerLetter"/>
      <w:lvlText w:val="%8."/>
      <w:lvlJc w:val="left"/>
      <w:pPr>
        <w:ind w:left="6384" w:hanging="360"/>
      </w:pPr>
    </w:lvl>
    <w:lvl w:ilvl="8" w:tplc="FFFFFFFF" w:tentative="1">
      <w:start w:val="1"/>
      <w:numFmt w:val="lowerRoman"/>
      <w:lvlText w:val="%9."/>
      <w:lvlJc w:val="right"/>
      <w:pPr>
        <w:ind w:left="7104" w:hanging="180"/>
      </w:pPr>
    </w:lvl>
  </w:abstractNum>
  <w:abstractNum w:abstractNumId="6" w15:restartNumberingAfterBreak="0">
    <w:nsid w:val="181476B2"/>
    <w:multiLevelType w:val="multilevel"/>
    <w:tmpl w:val="CE2E3662"/>
    <w:styleLink w:val="CurrentList1"/>
    <w:lvl w:ilvl="0">
      <w:start w:val="1"/>
      <w:numFmt w:val="decimal"/>
      <w:lvlText w:val="%1."/>
      <w:lvlJc w:val="left"/>
      <w:pPr>
        <w:tabs>
          <w:tab w:val="num" w:pos="567"/>
        </w:tabs>
        <w:ind w:left="0" w:firstLine="0"/>
      </w:pPr>
      <w:rPr>
        <w:lang w:val="en-GB"/>
      </w:rPr>
    </w:lvl>
    <w:lvl w:ilvl="1">
      <w:start w:val="1"/>
      <w:numFmt w:val="upperLetter"/>
      <w:lvlText w:val="%2."/>
      <w:lvlJc w:val="left"/>
      <w:pPr>
        <w:tabs>
          <w:tab w:val="num" w:pos="567"/>
        </w:tabs>
        <w:ind w:left="0" w:firstLine="0"/>
      </w:pPr>
      <w:rPr>
        <w:rFonts w:ascii="Times New Roman" w:eastAsia="Times New Roman" w:hAnsi="Times New Roman" w:cs="Times New Roman"/>
        <w:b/>
        <w:i w:val="0"/>
        <w:lang w:val="en-GB"/>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567"/>
        </w:tabs>
        <w:ind w:left="0" w:firstLine="0"/>
      </w:pPr>
      <w:rPr>
        <w:rFonts w:hint="default"/>
        <w:b/>
        <w:i w:val="0"/>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8F8189B"/>
    <w:multiLevelType w:val="multilevel"/>
    <w:tmpl w:val="2786BD76"/>
    <w:lvl w:ilvl="0">
      <w:start w:val="1"/>
      <w:numFmt w:val="decimal"/>
      <w:lvlText w:val="%1."/>
      <w:lvlJc w:val="left"/>
      <w:pPr>
        <w:tabs>
          <w:tab w:val="num" w:pos="386"/>
        </w:tabs>
        <w:ind w:left="386" w:firstLine="0"/>
      </w:pPr>
      <w:rPr>
        <w:b w:val="0"/>
        <w:bCs/>
      </w:rPr>
    </w:lvl>
    <w:lvl w:ilvl="1">
      <w:start w:val="1"/>
      <w:numFmt w:val="lowerLetter"/>
      <w:lvlText w:val="(%2)"/>
      <w:lvlJc w:val="left"/>
      <w:pPr>
        <w:tabs>
          <w:tab w:val="num" w:pos="386"/>
        </w:tabs>
        <w:ind w:left="1826" w:hanging="720"/>
      </w:pPr>
    </w:lvl>
    <w:lvl w:ilvl="2">
      <w:start w:val="1"/>
      <w:numFmt w:val="decimal"/>
      <w:lvlText w:val="%3."/>
      <w:lvlJc w:val="left"/>
      <w:pPr>
        <w:ind w:left="2186" w:hanging="360"/>
      </w:pPr>
      <w:rPr>
        <w:b w:val="0"/>
        <w:bCs w:val="0"/>
        <w:sz w:val="26"/>
        <w:szCs w:val="26"/>
      </w:rPr>
    </w:lvl>
    <w:lvl w:ilvl="3">
      <w:start w:val="1"/>
      <w:numFmt w:val="lowerLetter"/>
      <w:lvlText w:val="%4)"/>
      <w:lvlJc w:val="left"/>
      <w:pPr>
        <w:tabs>
          <w:tab w:val="num" w:pos="296"/>
        </w:tabs>
        <w:ind w:left="3162" w:hanging="706"/>
      </w:pPr>
      <w:rPr>
        <w:b w:val="0"/>
        <w:i w:val="0"/>
      </w:rPr>
    </w:lvl>
    <w:lvl w:ilvl="4">
      <w:start w:val="1"/>
      <w:numFmt w:val="decimal"/>
      <w:lvlText w:val="(%5)"/>
      <w:lvlJc w:val="left"/>
      <w:pPr>
        <w:tabs>
          <w:tab w:val="num" w:pos="386"/>
        </w:tabs>
        <w:ind w:left="3957" w:hanging="705"/>
      </w:pPr>
    </w:lvl>
    <w:lvl w:ilvl="5">
      <w:start w:val="1"/>
      <w:numFmt w:val="lowerLetter"/>
      <w:lvlText w:val="(%6)"/>
      <w:lvlJc w:val="left"/>
      <w:pPr>
        <w:tabs>
          <w:tab w:val="num" w:pos="386"/>
        </w:tabs>
        <w:ind w:left="4677" w:hanging="720"/>
      </w:pPr>
    </w:lvl>
    <w:lvl w:ilvl="6">
      <w:start w:val="1"/>
      <w:numFmt w:val="lowerRoman"/>
      <w:lvlText w:val="(%7)"/>
      <w:lvlJc w:val="left"/>
      <w:pPr>
        <w:tabs>
          <w:tab w:val="num" w:pos="386"/>
        </w:tabs>
        <w:ind w:left="5383" w:hanging="706"/>
      </w:pPr>
    </w:lvl>
    <w:lvl w:ilvl="7">
      <w:start w:val="1"/>
      <w:numFmt w:val="lowerLetter"/>
      <w:lvlText w:val="(%8)"/>
      <w:lvlJc w:val="left"/>
      <w:pPr>
        <w:tabs>
          <w:tab w:val="num" w:pos="386"/>
        </w:tabs>
        <w:ind w:left="6088" w:hanging="705"/>
      </w:pPr>
    </w:lvl>
    <w:lvl w:ilvl="8">
      <w:start w:val="1"/>
      <w:numFmt w:val="lowerRoman"/>
      <w:lvlText w:val="(%9)"/>
      <w:lvlJc w:val="left"/>
      <w:pPr>
        <w:tabs>
          <w:tab w:val="num" w:pos="386"/>
        </w:tabs>
        <w:ind w:left="6794" w:hanging="706"/>
      </w:pPr>
    </w:lvl>
  </w:abstractNum>
  <w:abstractNum w:abstractNumId="8" w15:restartNumberingAfterBreak="0">
    <w:nsid w:val="24725198"/>
    <w:multiLevelType w:val="hybridMultilevel"/>
    <w:tmpl w:val="3D9846D8"/>
    <w:lvl w:ilvl="0" w:tplc="FFFFFFFF">
      <w:start w:val="1"/>
      <w:numFmt w:val="arabicAbjad"/>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2AAA6B66"/>
    <w:multiLevelType w:val="hybridMultilevel"/>
    <w:tmpl w:val="F924A206"/>
    <w:lvl w:ilvl="0" w:tplc="8BA823F2">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2DBE0BFE"/>
    <w:multiLevelType w:val="hybridMultilevel"/>
    <w:tmpl w:val="3D9846D8"/>
    <w:lvl w:ilvl="0" w:tplc="FFFFFFFF">
      <w:start w:val="1"/>
      <w:numFmt w:val="arabicAbjad"/>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86D7A3D"/>
    <w:multiLevelType w:val="hybridMultilevel"/>
    <w:tmpl w:val="1BC00664"/>
    <w:lvl w:ilvl="0" w:tplc="FCEE0346">
      <w:start w:val="1"/>
      <w:numFmt w:val="decimal"/>
      <w:lvlText w:val="%1."/>
      <w:lvlJc w:val="left"/>
      <w:pPr>
        <w:ind w:left="1344" w:hanging="360"/>
      </w:pPr>
      <w:rPr>
        <w:rFonts w:hint="default"/>
      </w:rPr>
    </w:lvl>
    <w:lvl w:ilvl="1" w:tplc="04090019" w:tentative="1">
      <w:start w:val="1"/>
      <w:numFmt w:val="lowerLetter"/>
      <w:lvlText w:val="%2."/>
      <w:lvlJc w:val="left"/>
      <w:pPr>
        <w:ind w:left="2064" w:hanging="360"/>
      </w:pPr>
    </w:lvl>
    <w:lvl w:ilvl="2" w:tplc="0409001B" w:tentative="1">
      <w:start w:val="1"/>
      <w:numFmt w:val="lowerRoman"/>
      <w:lvlText w:val="%3."/>
      <w:lvlJc w:val="right"/>
      <w:pPr>
        <w:ind w:left="2784" w:hanging="180"/>
      </w:pPr>
    </w:lvl>
    <w:lvl w:ilvl="3" w:tplc="0409000F" w:tentative="1">
      <w:start w:val="1"/>
      <w:numFmt w:val="decimal"/>
      <w:lvlText w:val="%4."/>
      <w:lvlJc w:val="left"/>
      <w:pPr>
        <w:ind w:left="3504" w:hanging="360"/>
      </w:pPr>
    </w:lvl>
    <w:lvl w:ilvl="4" w:tplc="04090019" w:tentative="1">
      <w:start w:val="1"/>
      <w:numFmt w:val="lowerLetter"/>
      <w:lvlText w:val="%5."/>
      <w:lvlJc w:val="left"/>
      <w:pPr>
        <w:ind w:left="4224" w:hanging="360"/>
      </w:pPr>
    </w:lvl>
    <w:lvl w:ilvl="5" w:tplc="0409001B" w:tentative="1">
      <w:start w:val="1"/>
      <w:numFmt w:val="lowerRoman"/>
      <w:lvlText w:val="%6."/>
      <w:lvlJc w:val="right"/>
      <w:pPr>
        <w:ind w:left="4944" w:hanging="180"/>
      </w:pPr>
    </w:lvl>
    <w:lvl w:ilvl="6" w:tplc="0409000F" w:tentative="1">
      <w:start w:val="1"/>
      <w:numFmt w:val="decimal"/>
      <w:lvlText w:val="%7."/>
      <w:lvlJc w:val="left"/>
      <w:pPr>
        <w:ind w:left="5664" w:hanging="360"/>
      </w:pPr>
    </w:lvl>
    <w:lvl w:ilvl="7" w:tplc="04090019" w:tentative="1">
      <w:start w:val="1"/>
      <w:numFmt w:val="lowerLetter"/>
      <w:lvlText w:val="%8."/>
      <w:lvlJc w:val="left"/>
      <w:pPr>
        <w:ind w:left="6384" w:hanging="360"/>
      </w:pPr>
    </w:lvl>
    <w:lvl w:ilvl="8" w:tplc="0409001B" w:tentative="1">
      <w:start w:val="1"/>
      <w:numFmt w:val="lowerRoman"/>
      <w:lvlText w:val="%9."/>
      <w:lvlJc w:val="right"/>
      <w:pPr>
        <w:ind w:left="7104" w:hanging="180"/>
      </w:pPr>
    </w:lvl>
  </w:abstractNum>
  <w:abstractNum w:abstractNumId="14" w15:restartNumberingAfterBreak="0">
    <w:nsid w:val="39CB6F43"/>
    <w:multiLevelType w:val="hybridMultilevel"/>
    <w:tmpl w:val="3D9846D8"/>
    <w:lvl w:ilvl="0" w:tplc="FFFFFFFF">
      <w:start w:val="1"/>
      <w:numFmt w:val="arabicAbjad"/>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49295F3E"/>
    <w:multiLevelType w:val="hybridMultilevel"/>
    <w:tmpl w:val="BBE0274E"/>
    <w:lvl w:ilvl="0" w:tplc="87E6F8D6">
      <w:start w:val="1"/>
      <w:numFmt w:val="lowerRoman"/>
      <w:pStyle w:val="Letteredlist"/>
      <w:lvlText w:val="(%1)"/>
      <w:lvlJc w:val="left"/>
      <w:pPr>
        <w:ind w:left="2160" w:hanging="72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pStyle w:val="Newheader4"/>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9" w15:restartNumberingAfterBreak="0">
    <w:nsid w:val="55F85EC3"/>
    <w:multiLevelType w:val="hybridMultilevel"/>
    <w:tmpl w:val="F924A206"/>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8EE6F10"/>
    <w:multiLevelType w:val="hybridMultilevel"/>
    <w:tmpl w:val="77A0BE68"/>
    <w:lvl w:ilvl="0" w:tplc="4268E54A">
      <w:start w:val="1"/>
      <w:numFmt w:val="lowerLetter"/>
      <w:pStyle w:val="Listlettered"/>
      <w:lvlText w:val="(%1)"/>
      <w:lvlJc w:val="left"/>
      <w:pPr>
        <w:ind w:left="144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61AB2CB8"/>
    <w:multiLevelType w:val="hybridMultilevel"/>
    <w:tmpl w:val="F924A206"/>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5F0651A"/>
    <w:multiLevelType w:val="singleLevel"/>
    <w:tmpl w:val="354AA9AE"/>
    <w:lvl w:ilvl="0">
      <w:start w:val="1"/>
      <w:numFmt w:val="lowerRoman"/>
      <w:pStyle w:val="Level3"/>
      <w:lvlText w:val="(%1)"/>
      <w:lvlJc w:val="right"/>
      <w:pPr>
        <w:tabs>
          <w:tab w:val="num" w:pos="1157"/>
        </w:tabs>
        <w:ind w:left="1157" w:hanging="579"/>
      </w:pPr>
      <w:rPr>
        <w:rFonts w:ascii="Times New Roman" w:hAnsi="Times New Roman" w:hint="default"/>
        <w:b w:val="0"/>
        <w:i w:val="0"/>
        <w:sz w:val="22"/>
      </w:rPr>
    </w:lvl>
  </w:abstractNum>
  <w:abstractNum w:abstractNumId="23" w15:restartNumberingAfterBreak="0">
    <w:nsid w:val="6A197FB6"/>
    <w:multiLevelType w:val="hybridMultilevel"/>
    <w:tmpl w:val="B366F69C"/>
    <w:lvl w:ilvl="0" w:tplc="FFFFFFFF">
      <w:start w:val="1"/>
      <w:numFmt w:val="decimal"/>
      <w:lvlText w:val="%1."/>
      <w:lvlJc w:val="left"/>
      <w:pPr>
        <w:ind w:left="1344" w:hanging="360"/>
      </w:pPr>
      <w:rPr>
        <w:rFonts w:hint="default"/>
      </w:rPr>
    </w:lvl>
    <w:lvl w:ilvl="1" w:tplc="FFFFFFFF" w:tentative="1">
      <w:start w:val="1"/>
      <w:numFmt w:val="lowerLetter"/>
      <w:lvlText w:val="%2."/>
      <w:lvlJc w:val="left"/>
      <w:pPr>
        <w:ind w:left="2064" w:hanging="360"/>
      </w:pPr>
    </w:lvl>
    <w:lvl w:ilvl="2" w:tplc="FFFFFFFF" w:tentative="1">
      <w:start w:val="1"/>
      <w:numFmt w:val="lowerRoman"/>
      <w:lvlText w:val="%3."/>
      <w:lvlJc w:val="right"/>
      <w:pPr>
        <w:ind w:left="2784" w:hanging="180"/>
      </w:pPr>
    </w:lvl>
    <w:lvl w:ilvl="3" w:tplc="FFFFFFFF" w:tentative="1">
      <w:start w:val="1"/>
      <w:numFmt w:val="decimal"/>
      <w:lvlText w:val="%4."/>
      <w:lvlJc w:val="left"/>
      <w:pPr>
        <w:ind w:left="3504" w:hanging="360"/>
      </w:pPr>
    </w:lvl>
    <w:lvl w:ilvl="4" w:tplc="FFFFFFFF" w:tentative="1">
      <w:start w:val="1"/>
      <w:numFmt w:val="lowerLetter"/>
      <w:lvlText w:val="%5."/>
      <w:lvlJc w:val="left"/>
      <w:pPr>
        <w:ind w:left="4224" w:hanging="360"/>
      </w:pPr>
    </w:lvl>
    <w:lvl w:ilvl="5" w:tplc="FFFFFFFF" w:tentative="1">
      <w:start w:val="1"/>
      <w:numFmt w:val="lowerRoman"/>
      <w:lvlText w:val="%6."/>
      <w:lvlJc w:val="right"/>
      <w:pPr>
        <w:ind w:left="4944" w:hanging="180"/>
      </w:pPr>
    </w:lvl>
    <w:lvl w:ilvl="6" w:tplc="FFFFFFFF" w:tentative="1">
      <w:start w:val="1"/>
      <w:numFmt w:val="decimal"/>
      <w:lvlText w:val="%7."/>
      <w:lvlJc w:val="left"/>
      <w:pPr>
        <w:ind w:left="5664" w:hanging="360"/>
      </w:pPr>
    </w:lvl>
    <w:lvl w:ilvl="7" w:tplc="FFFFFFFF" w:tentative="1">
      <w:start w:val="1"/>
      <w:numFmt w:val="lowerLetter"/>
      <w:lvlText w:val="%8."/>
      <w:lvlJc w:val="left"/>
      <w:pPr>
        <w:ind w:left="6384" w:hanging="360"/>
      </w:pPr>
    </w:lvl>
    <w:lvl w:ilvl="8" w:tplc="FFFFFFFF" w:tentative="1">
      <w:start w:val="1"/>
      <w:numFmt w:val="lowerRoman"/>
      <w:lvlText w:val="%9."/>
      <w:lvlJc w:val="right"/>
      <w:pPr>
        <w:ind w:left="7104" w:hanging="180"/>
      </w:pPr>
    </w:lvl>
  </w:abstractNum>
  <w:abstractNum w:abstractNumId="24" w15:restartNumberingAfterBreak="0">
    <w:nsid w:val="73780B3C"/>
    <w:multiLevelType w:val="hybridMultilevel"/>
    <w:tmpl w:val="3D9846D8"/>
    <w:lvl w:ilvl="0" w:tplc="8BA823F2">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76810385"/>
    <w:multiLevelType w:val="hybridMultilevel"/>
    <w:tmpl w:val="B366F69C"/>
    <w:lvl w:ilvl="0" w:tplc="FFFFFFFF">
      <w:start w:val="1"/>
      <w:numFmt w:val="decimal"/>
      <w:lvlText w:val="%1."/>
      <w:lvlJc w:val="left"/>
      <w:pPr>
        <w:ind w:left="1344" w:hanging="360"/>
      </w:pPr>
      <w:rPr>
        <w:rFonts w:hint="default"/>
      </w:rPr>
    </w:lvl>
    <w:lvl w:ilvl="1" w:tplc="FFFFFFFF" w:tentative="1">
      <w:start w:val="1"/>
      <w:numFmt w:val="lowerLetter"/>
      <w:lvlText w:val="%2."/>
      <w:lvlJc w:val="left"/>
      <w:pPr>
        <w:ind w:left="2064" w:hanging="360"/>
      </w:pPr>
    </w:lvl>
    <w:lvl w:ilvl="2" w:tplc="FFFFFFFF" w:tentative="1">
      <w:start w:val="1"/>
      <w:numFmt w:val="lowerRoman"/>
      <w:lvlText w:val="%3."/>
      <w:lvlJc w:val="right"/>
      <w:pPr>
        <w:ind w:left="2784" w:hanging="180"/>
      </w:pPr>
    </w:lvl>
    <w:lvl w:ilvl="3" w:tplc="FFFFFFFF" w:tentative="1">
      <w:start w:val="1"/>
      <w:numFmt w:val="decimal"/>
      <w:lvlText w:val="%4."/>
      <w:lvlJc w:val="left"/>
      <w:pPr>
        <w:ind w:left="3504" w:hanging="360"/>
      </w:pPr>
    </w:lvl>
    <w:lvl w:ilvl="4" w:tplc="FFFFFFFF" w:tentative="1">
      <w:start w:val="1"/>
      <w:numFmt w:val="lowerLetter"/>
      <w:lvlText w:val="%5."/>
      <w:lvlJc w:val="left"/>
      <w:pPr>
        <w:ind w:left="4224" w:hanging="360"/>
      </w:pPr>
    </w:lvl>
    <w:lvl w:ilvl="5" w:tplc="FFFFFFFF" w:tentative="1">
      <w:start w:val="1"/>
      <w:numFmt w:val="lowerRoman"/>
      <w:lvlText w:val="%6."/>
      <w:lvlJc w:val="right"/>
      <w:pPr>
        <w:ind w:left="4944" w:hanging="180"/>
      </w:pPr>
    </w:lvl>
    <w:lvl w:ilvl="6" w:tplc="FFFFFFFF" w:tentative="1">
      <w:start w:val="1"/>
      <w:numFmt w:val="decimal"/>
      <w:lvlText w:val="%7."/>
      <w:lvlJc w:val="left"/>
      <w:pPr>
        <w:ind w:left="5664" w:hanging="360"/>
      </w:pPr>
    </w:lvl>
    <w:lvl w:ilvl="7" w:tplc="FFFFFFFF" w:tentative="1">
      <w:start w:val="1"/>
      <w:numFmt w:val="lowerLetter"/>
      <w:lvlText w:val="%8."/>
      <w:lvlJc w:val="left"/>
      <w:pPr>
        <w:ind w:left="6384" w:hanging="360"/>
      </w:pPr>
    </w:lvl>
    <w:lvl w:ilvl="8" w:tplc="FFFFFFFF" w:tentative="1">
      <w:start w:val="1"/>
      <w:numFmt w:val="lowerRoman"/>
      <w:lvlText w:val="%9."/>
      <w:lvlJc w:val="right"/>
      <w:pPr>
        <w:ind w:left="7104" w:hanging="180"/>
      </w:pPr>
    </w:lvl>
  </w:abstractNum>
  <w:abstractNum w:abstractNumId="26"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8" w15:restartNumberingAfterBreak="0">
    <w:nsid w:val="7E9C7E42"/>
    <w:multiLevelType w:val="multilevel"/>
    <w:tmpl w:val="FD204A4A"/>
    <w:lvl w:ilvl="0">
      <w:start w:val="1"/>
      <w:numFmt w:val="decimal"/>
      <w:lvlText w:val="%1."/>
      <w:lvlJc w:val="left"/>
      <w:pPr>
        <w:tabs>
          <w:tab w:val="num" w:pos="386"/>
        </w:tabs>
        <w:ind w:left="386" w:firstLine="0"/>
      </w:pPr>
      <w:rPr>
        <w:b w:val="0"/>
        <w:bCs/>
      </w:rPr>
    </w:lvl>
    <w:lvl w:ilvl="1">
      <w:start w:val="1"/>
      <w:numFmt w:val="lowerLetter"/>
      <w:lvlText w:val="(%2)"/>
      <w:lvlJc w:val="left"/>
      <w:pPr>
        <w:tabs>
          <w:tab w:val="num" w:pos="386"/>
        </w:tabs>
        <w:ind w:left="1826" w:hanging="720"/>
      </w:pPr>
    </w:lvl>
    <w:lvl w:ilvl="2">
      <w:start w:val="1"/>
      <w:numFmt w:val="decimal"/>
      <w:lvlText w:val="%3."/>
      <w:lvlJc w:val="left"/>
      <w:pPr>
        <w:ind w:left="2186" w:hanging="360"/>
      </w:pPr>
      <w:rPr>
        <w:b w:val="0"/>
        <w:bCs w:val="0"/>
        <w:sz w:val="26"/>
        <w:szCs w:val="26"/>
      </w:rPr>
    </w:lvl>
    <w:lvl w:ilvl="3">
      <w:start w:val="1"/>
      <w:numFmt w:val="lowerLetter"/>
      <w:lvlText w:val="%4)"/>
      <w:lvlJc w:val="left"/>
      <w:pPr>
        <w:tabs>
          <w:tab w:val="num" w:pos="296"/>
        </w:tabs>
        <w:ind w:left="3162" w:hanging="706"/>
      </w:pPr>
      <w:rPr>
        <w:b w:val="0"/>
        <w:i w:val="0"/>
      </w:rPr>
    </w:lvl>
    <w:lvl w:ilvl="4">
      <w:start w:val="1"/>
      <w:numFmt w:val="decimal"/>
      <w:lvlText w:val="(%5)"/>
      <w:lvlJc w:val="left"/>
      <w:pPr>
        <w:tabs>
          <w:tab w:val="num" w:pos="386"/>
        </w:tabs>
        <w:ind w:left="3957" w:hanging="705"/>
      </w:pPr>
    </w:lvl>
    <w:lvl w:ilvl="5">
      <w:start w:val="1"/>
      <w:numFmt w:val="lowerLetter"/>
      <w:lvlText w:val="(%6)"/>
      <w:lvlJc w:val="left"/>
      <w:pPr>
        <w:tabs>
          <w:tab w:val="num" w:pos="386"/>
        </w:tabs>
        <w:ind w:left="4677" w:hanging="720"/>
      </w:pPr>
    </w:lvl>
    <w:lvl w:ilvl="6">
      <w:start w:val="1"/>
      <w:numFmt w:val="lowerRoman"/>
      <w:lvlText w:val="(%7)"/>
      <w:lvlJc w:val="left"/>
      <w:pPr>
        <w:tabs>
          <w:tab w:val="num" w:pos="386"/>
        </w:tabs>
        <w:ind w:left="5383" w:hanging="706"/>
      </w:pPr>
    </w:lvl>
    <w:lvl w:ilvl="7">
      <w:start w:val="1"/>
      <w:numFmt w:val="lowerLetter"/>
      <w:lvlText w:val="(%8)"/>
      <w:lvlJc w:val="left"/>
      <w:pPr>
        <w:tabs>
          <w:tab w:val="num" w:pos="386"/>
        </w:tabs>
        <w:ind w:left="6088" w:hanging="705"/>
      </w:pPr>
    </w:lvl>
    <w:lvl w:ilvl="8">
      <w:start w:val="1"/>
      <w:numFmt w:val="lowerRoman"/>
      <w:lvlText w:val="(%9)"/>
      <w:lvlJc w:val="left"/>
      <w:pPr>
        <w:tabs>
          <w:tab w:val="num" w:pos="386"/>
        </w:tabs>
        <w:ind w:left="6794" w:hanging="706"/>
      </w:pPr>
    </w:lvl>
  </w:abstractNum>
  <w:num w:numId="1" w16cid:durableId="872812686">
    <w:abstractNumId w:val="2"/>
  </w:num>
  <w:num w:numId="2" w16cid:durableId="2032874041">
    <w:abstractNumId w:val="10"/>
  </w:num>
  <w:num w:numId="3" w16cid:durableId="1681932515">
    <w:abstractNumId w:val="16"/>
  </w:num>
  <w:num w:numId="4" w16cid:durableId="623081576">
    <w:abstractNumId w:val="17"/>
  </w:num>
  <w:num w:numId="5" w16cid:durableId="825439201">
    <w:abstractNumId w:val="27"/>
  </w:num>
  <w:num w:numId="6" w16cid:durableId="1432819273">
    <w:abstractNumId w:val="12"/>
  </w:num>
  <w:num w:numId="7" w16cid:durableId="1785298131">
    <w:abstractNumId w:val="18"/>
  </w:num>
  <w:num w:numId="8" w16cid:durableId="969438327">
    <w:abstractNumId w:val="6"/>
  </w:num>
  <w:num w:numId="9" w16cid:durableId="292643302">
    <w:abstractNumId w:val="22"/>
  </w:num>
  <w:num w:numId="10" w16cid:durableId="668095613">
    <w:abstractNumId w:val="3"/>
  </w:num>
  <w:num w:numId="11" w16cid:durableId="384335192">
    <w:abstractNumId w:val="2"/>
    <w:lvlOverride w:ilvl="0">
      <w:lvl w:ilvl="0">
        <w:start w:val="1"/>
        <w:numFmt w:val="decimal"/>
        <w:pStyle w:val="Heading1"/>
        <w:lvlText w:val="%1."/>
        <w:lvlJc w:val="left"/>
        <w:pPr>
          <w:tabs>
            <w:tab w:val="num" w:pos="0"/>
          </w:tabs>
          <w:ind w:left="0" w:firstLine="0"/>
        </w:pPr>
        <w:rPr>
          <w:b w:val="0"/>
          <w:bCs/>
        </w:rPr>
      </w:lvl>
    </w:lvlOverride>
    <w:lvlOverride w:ilvl="1">
      <w:lvl w:ilvl="1">
        <w:start w:val="1"/>
        <w:numFmt w:val="lowerLetter"/>
        <w:pStyle w:val="Heading2"/>
        <w:lvlText w:val="(%2)"/>
        <w:lvlJc w:val="left"/>
        <w:pPr>
          <w:tabs>
            <w:tab w:val="num" w:pos="0"/>
          </w:tabs>
          <w:ind w:left="1440" w:hanging="720"/>
        </w:pPr>
      </w:lvl>
    </w:lvlOverride>
    <w:lvlOverride w:ilvl="2">
      <w:lvl w:ilvl="2">
        <w:start w:val="1"/>
        <w:numFmt w:val="lowerLetter"/>
        <w:pStyle w:val="Heading3"/>
        <w:lvlText w:val="(%3)"/>
        <w:lvlJc w:val="left"/>
        <w:pPr>
          <w:tabs>
            <w:tab w:val="num" w:pos="0"/>
          </w:tabs>
          <w:ind w:left="2160" w:hanging="720"/>
        </w:pPr>
        <w:rPr>
          <w:rFonts w:ascii="Times New Roman" w:eastAsia="Times New Roman" w:hAnsi="Times New Roman" w:cs="Times New Roman"/>
        </w:rPr>
      </w:lvl>
    </w:lvlOverride>
    <w:lvlOverride w:ilvl="3">
      <w:lvl w:ilvl="3">
        <w:start w:val="1"/>
        <w:numFmt w:val="lowerLetter"/>
        <w:pStyle w:val="Heading4"/>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lowerLetter"/>
        <w:pStyle w:val="Heading6"/>
        <w:lvlText w:val="(%6)"/>
        <w:lvlJc w:val="left"/>
        <w:pPr>
          <w:tabs>
            <w:tab w:val="num" w:pos="0"/>
          </w:tabs>
          <w:ind w:left="4291" w:hanging="720"/>
        </w:pPr>
      </w:lvl>
    </w:lvlOverride>
    <w:lvlOverride w:ilvl="6">
      <w:lvl w:ilvl="6">
        <w:start w:val="1"/>
        <w:numFmt w:val="lowerRoman"/>
        <w:pStyle w:val="Heading7"/>
        <w:lvlText w:val="(%7)"/>
        <w:lvlJc w:val="left"/>
        <w:pPr>
          <w:tabs>
            <w:tab w:val="num" w:pos="0"/>
          </w:tabs>
          <w:ind w:left="4997" w:hanging="706"/>
        </w:pPr>
      </w:lvl>
    </w:lvlOverride>
    <w:lvlOverride w:ilvl="7">
      <w:lvl w:ilvl="7">
        <w:start w:val="1"/>
        <w:numFmt w:val="lowerLetter"/>
        <w:lvlText w:val="(%8)"/>
        <w:lvlJc w:val="left"/>
        <w:pPr>
          <w:tabs>
            <w:tab w:val="num" w:pos="0"/>
          </w:tabs>
          <w:ind w:left="5702" w:hanging="705"/>
        </w:pPr>
      </w:lvl>
    </w:lvlOverride>
    <w:lvlOverride w:ilvl="8">
      <w:lvl w:ilvl="8">
        <w:start w:val="1"/>
        <w:numFmt w:val="lowerRoman"/>
        <w:pStyle w:val="Heading9"/>
        <w:lvlText w:val="(%9)"/>
        <w:lvlJc w:val="left"/>
        <w:pPr>
          <w:tabs>
            <w:tab w:val="num" w:pos="0"/>
          </w:tabs>
          <w:ind w:left="6408" w:hanging="706"/>
        </w:pPr>
      </w:lvl>
    </w:lvlOverride>
  </w:num>
  <w:num w:numId="12" w16cid:durableId="1223829628">
    <w:abstractNumId w:val="4"/>
  </w:num>
  <w:num w:numId="13" w16cid:durableId="1182629551">
    <w:abstractNumId w:val="26"/>
  </w:num>
  <w:num w:numId="14" w16cid:durableId="1308780019">
    <w:abstractNumId w:val="1"/>
  </w:num>
  <w:num w:numId="15" w16cid:durableId="784426817">
    <w:abstractNumId w:val="0"/>
  </w:num>
  <w:num w:numId="16" w16cid:durableId="1913078684">
    <w:abstractNumId w:val="28"/>
  </w:num>
  <w:num w:numId="17" w16cid:durableId="1679964872">
    <w:abstractNumId w:val="20"/>
  </w:num>
  <w:num w:numId="18" w16cid:durableId="1906840218">
    <w:abstractNumId w:val="15"/>
  </w:num>
  <w:num w:numId="19" w16cid:durableId="793793754">
    <w:abstractNumId w:val="7"/>
  </w:num>
  <w:num w:numId="20" w16cid:durableId="1297570566">
    <w:abstractNumId w:val="13"/>
  </w:num>
  <w:num w:numId="21" w16cid:durableId="11882955">
    <w:abstractNumId w:val="9"/>
  </w:num>
  <w:num w:numId="22" w16cid:durableId="972055849">
    <w:abstractNumId w:val="19"/>
  </w:num>
  <w:num w:numId="23" w16cid:durableId="962543483">
    <w:abstractNumId w:val="21"/>
  </w:num>
  <w:num w:numId="24" w16cid:durableId="695617205">
    <w:abstractNumId w:val="25"/>
  </w:num>
  <w:num w:numId="25" w16cid:durableId="1320882084">
    <w:abstractNumId w:val="23"/>
  </w:num>
  <w:num w:numId="26" w16cid:durableId="234554030">
    <w:abstractNumId w:val="24"/>
  </w:num>
  <w:num w:numId="27" w16cid:durableId="2053919">
    <w:abstractNumId w:val="8"/>
  </w:num>
  <w:num w:numId="28" w16cid:durableId="737940178">
    <w:abstractNumId w:val="14"/>
  </w:num>
  <w:num w:numId="29" w16cid:durableId="1215431193">
    <w:abstractNumId w:val="5"/>
  </w:num>
  <w:num w:numId="30" w16cid:durableId="834759966">
    <w:abstractNumId w:val="1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s-ES_tradnl" w:vendorID="64" w:dllVersion="6" w:nlCheck="1" w:checkStyle="0"/>
  <w:activeWritingStyle w:appName="MSWord" w:lang="en-CA" w:vendorID="64" w:dllVersion="6" w:nlCheck="1" w:checkStyle="0"/>
  <w:activeWritingStyle w:appName="MSWord" w:lang="en-US" w:vendorID="64" w:dllVersion="6" w:nlCheck="1" w:checkStyle="0"/>
  <w:activeWritingStyle w:appName="MSWord" w:lang="en-GB" w:vendorID="64" w:dllVersion="6" w:nlCheck="1" w:checkStyle="0"/>
  <w:activeWritingStyle w:appName="MSWord" w:lang="en-GB" w:vendorID="64" w:dllVersion="4096" w:nlCheck="1" w:checkStyle="0"/>
  <w:activeWritingStyle w:appName="MSWord" w:lang="en-CA" w:vendorID="64" w:dllVersion="4096" w:nlCheck="1" w:checkStyle="0"/>
  <w:activeWritingStyle w:appName="MSWord" w:lang="en-US" w:vendorID="64" w:dllVersion="4096" w:nlCheck="1" w:checkStyle="0"/>
  <w:activeWritingStyle w:appName="MSWord" w:lang="es-ES_tradnl" w:vendorID="64" w:dllVersion="4096" w:nlCheck="1" w:checkStyle="0"/>
  <w:activeWritingStyle w:appName="MSWord" w:lang="en-CA" w:vendorID="64" w:dllVersion="0" w:nlCheck="1" w:checkStyle="0"/>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activeWritingStyle w:appName="MSWord" w:lang="ar-SA" w:vendorID="64" w:dllVersion="0" w:nlCheck="1" w:checkStyle="0"/>
  <w:activeWritingStyle w:appName="MSWord" w:lang="ar-AE" w:vendorID="64" w:dllVersion="0" w:nlCheck="1" w:checkStyle="0"/>
  <w:activeWritingStyle w:appName="MSWord" w:lang="ar-EG" w:vendorID="64" w:dllVersion="0" w:nlCheck="1" w:checkStyle="0"/>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EC123B"/>
    <w:rsid w:val="000006CA"/>
    <w:rsid w:val="000009E2"/>
    <w:rsid w:val="00000FED"/>
    <w:rsid w:val="00002728"/>
    <w:rsid w:val="0000434E"/>
    <w:rsid w:val="0000462B"/>
    <w:rsid w:val="00005577"/>
    <w:rsid w:val="0000561C"/>
    <w:rsid w:val="00006DBD"/>
    <w:rsid w:val="00007772"/>
    <w:rsid w:val="000078B3"/>
    <w:rsid w:val="00011DE2"/>
    <w:rsid w:val="000128E2"/>
    <w:rsid w:val="00012E78"/>
    <w:rsid w:val="000147B5"/>
    <w:rsid w:val="00015C15"/>
    <w:rsid w:val="000167B1"/>
    <w:rsid w:val="00016A27"/>
    <w:rsid w:val="000211A9"/>
    <w:rsid w:val="00021944"/>
    <w:rsid w:val="0002228F"/>
    <w:rsid w:val="00023448"/>
    <w:rsid w:val="00024F5B"/>
    <w:rsid w:val="00024FDC"/>
    <w:rsid w:val="0002538B"/>
    <w:rsid w:val="000256E3"/>
    <w:rsid w:val="00026079"/>
    <w:rsid w:val="00027004"/>
    <w:rsid w:val="00030261"/>
    <w:rsid w:val="00030B76"/>
    <w:rsid w:val="00030DA6"/>
    <w:rsid w:val="00030F3D"/>
    <w:rsid w:val="00031260"/>
    <w:rsid w:val="00031DAA"/>
    <w:rsid w:val="00032058"/>
    <w:rsid w:val="0003206B"/>
    <w:rsid w:val="00033200"/>
    <w:rsid w:val="0003681A"/>
    <w:rsid w:val="000372B7"/>
    <w:rsid w:val="00040026"/>
    <w:rsid w:val="00040235"/>
    <w:rsid w:val="000417EA"/>
    <w:rsid w:val="000422D9"/>
    <w:rsid w:val="00042C33"/>
    <w:rsid w:val="00043665"/>
    <w:rsid w:val="00044F88"/>
    <w:rsid w:val="00050F6E"/>
    <w:rsid w:val="00051061"/>
    <w:rsid w:val="0005159D"/>
    <w:rsid w:val="00051C7A"/>
    <w:rsid w:val="00053C51"/>
    <w:rsid w:val="00054BBF"/>
    <w:rsid w:val="000567B4"/>
    <w:rsid w:val="000568AD"/>
    <w:rsid w:val="00057C87"/>
    <w:rsid w:val="000600AC"/>
    <w:rsid w:val="000607BB"/>
    <w:rsid w:val="000609B1"/>
    <w:rsid w:val="0006113D"/>
    <w:rsid w:val="000615A0"/>
    <w:rsid w:val="000615C7"/>
    <w:rsid w:val="00061EC2"/>
    <w:rsid w:val="000621FB"/>
    <w:rsid w:val="000628B4"/>
    <w:rsid w:val="000632EB"/>
    <w:rsid w:val="00063937"/>
    <w:rsid w:val="00063C01"/>
    <w:rsid w:val="00064D5D"/>
    <w:rsid w:val="00065579"/>
    <w:rsid w:val="00065707"/>
    <w:rsid w:val="000661B5"/>
    <w:rsid w:val="0006685E"/>
    <w:rsid w:val="00066CE8"/>
    <w:rsid w:val="00067439"/>
    <w:rsid w:val="000731D4"/>
    <w:rsid w:val="00074135"/>
    <w:rsid w:val="00074941"/>
    <w:rsid w:val="00075315"/>
    <w:rsid w:val="00075BF9"/>
    <w:rsid w:val="00077124"/>
    <w:rsid w:val="0008048D"/>
    <w:rsid w:val="00080C9B"/>
    <w:rsid w:val="00080ED0"/>
    <w:rsid w:val="00081DE2"/>
    <w:rsid w:val="0008315E"/>
    <w:rsid w:val="00084271"/>
    <w:rsid w:val="00085B8F"/>
    <w:rsid w:val="00086BE7"/>
    <w:rsid w:val="00086CAD"/>
    <w:rsid w:val="00087980"/>
    <w:rsid w:val="00087AEF"/>
    <w:rsid w:val="00090481"/>
    <w:rsid w:val="000904BE"/>
    <w:rsid w:val="00091AE9"/>
    <w:rsid w:val="00091CC2"/>
    <w:rsid w:val="0009298F"/>
    <w:rsid w:val="00093CD4"/>
    <w:rsid w:val="00093D4C"/>
    <w:rsid w:val="0009427C"/>
    <w:rsid w:val="00094557"/>
    <w:rsid w:val="00094977"/>
    <w:rsid w:val="00094B4A"/>
    <w:rsid w:val="000952E8"/>
    <w:rsid w:val="000958D2"/>
    <w:rsid w:val="00095E2E"/>
    <w:rsid w:val="00096EB7"/>
    <w:rsid w:val="00096ED5"/>
    <w:rsid w:val="00097BDA"/>
    <w:rsid w:val="000A03A5"/>
    <w:rsid w:val="000A134D"/>
    <w:rsid w:val="000A1893"/>
    <w:rsid w:val="000A1A88"/>
    <w:rsid w:val="000A2C31"/>
    <w:rsid w:val="000A30DE"/>
    <w:rsid w:val="000A3103"/>
    <w:rsid w:val="000A3676"/>
    <w:rsid w:val="000A3826"/>
    <w:rsid w:val="000A3860"/>
    <w:rsid w:val="000A3978"/>
    <w:rsid w:val="000A4A4D"/>
    <w:rsid w:val="000A6988"/>
    <w:rsid w:val="000A6C26"/>
    <w:rsid w:val="000A6E65"/>
    <w:rsid w:val="000A73E7"/>
    <w:rsid w:val="000A79FC"/>
    <w:rsid w:val="000B0C31"/>
    <w:rsid w:val="000B3268"/>
    <w:rsid w:val="000B3F0F"/>
    <w:rsid w:val="000B42D3"/>
    <w:rsid w:val="000B4971"/>
    <w:rsid w:val="000B74FD"/>
    <w:rsid w:val="000C03E1"/>
    <w:rsid w:val="000C3CE5"/>
    <w:rsid w:val="000C473B"/>
    <w:rsid w:val="000C4CCE"/>
    <w:rsid w:val="000C5462"/>
    <w:rsid w:val="000C57A0"/>
    <w:rsid w:val="000C6051"/>
    <w:rsid w:val="000C6A81"/>
    <w:rsid w:val="000C7855"/>
    <w:rsid w:val="000C7982"/>
    <w:rsid w:val="000D07AB"/>
    <w:rsid w:val="000D1BC7"/>
    <w:rsid w:val="000D1CD3"/>
    <w:rsid w:val="000D3F5D"/>
    <w:rsid w:val="000D52A4"/>
    <w:rsid w:val="000D6353"/>
    <w:rsid w:val="000D6AB7"/>
    <w:rsid w:val="000D7C4D"/>
    <w:rsid w:val="000D7F0B"/>
    <w:rsid w:val="000E03DA"/>
    <w:rsid w:val="000E07BC"/>
    <w:rsid w:val="000E1097"/>
    <w:rsid w:val="000E1DF9"/>
    <w:rsid w:val="000E3178"/>
    <w:rsid w:val="000E3CA7"/>
    <w:rsid w:val="000E4BFE"/>
    <w:rsid w:val="000E4C87"/>
    <w:rsid w:val="000E6AEC"/>
    <w:rsid w:val="000F0039"/>
    <w:rsid w:val="000F01CB"/>
    <w:rsid w:val="000F1CD4"/>
    <w:rsid w:val="000F271D"/>
    <w:rsid w:val="000F2D30"/>
    <w:rsid w:val="000F2D5D"/>
    <w:rsid w:val="000F3D41"/>
    <w:rsid w:val="000F4103"/>
    <w:rsid w:val="000F4905"/>
    <w:rsid w:val="000F4931"/>
    <w:rsid w:val="000F4A5F"/>
    <w:rsid w:val="000F551D"/>
    <w:rsid w:val="000F56F1"/>
    <w:rsid w:val="000F5E80"/>
    <w:rsid w:val="000F6645"/>
    <w:rsid w:val="000F70A7"/>
    <w:rsid w:val="000F757C"/>
    <w:rsid w:val="001003AA"/>
    <w:rsid w:val="00100557"/>
    <w:rsid w:val="00101A4F"/>
    <w:rsid w:val="001030FC"/>
    <w:rsid w:val="00104AD4"/>
    <w:rsid w:val="00106A7B"/>
    <w:rsid w:val="0011248C"/>
    <w:rsid w:val="00113A97"/>
    <w:rsid w:val="00113CCA"/>
    <w:rsid w:val="00114F5A"/>
    <w:rsid w:val="001156A1"/>
    <w:rsid w:val="00115991"/>
    <w:rsid w:val="001175FE"/>
    <w:rsid w:val="00117C10"/>
    <w:rsid w:val="00122F25"/>
    <w:rsid w:val="0012423F"/>
    <w:rsid w:val="0012495D"/>
    <w:rsid w:val="00124A00"/>
    <w:rsid w:val="00124F3F"/>
    <w:rsid w:val="00126441"/>
    <w:rsid w:val="00126533"/>
    <w:rsid w:val="00126A9D"/>
    <w:rsid w:val="00126DFE"/>
    <w:rsid w:val="00127D20"/>
    <w:rsid w:val="00131537"/>
    <w:rsid w:val="00133263"/>
    <w:rsid w:val="001334DE"/>
    <w:rsid w:val="001335E3"/>
    <w:rsid w:val="00134CCE"/>
    <w:rsid w:val="001357FA"/>
    <w:rsid w:val="00135980"/>
    <w:rsid w:val="00135E60"/>
    <w:rsid w:val="001360D6"/>
    <w:rsid w:val="001361D6"/>
    <w:rsid w:val="0013654E"/>
    <w:rsid w:val="00136C74"/>
    <w:rsid w:val="001407E3"/>
    <w:rsid w:val="00140D7A"/>
    <w:rsid w:val="001411C9"/>
    <w:rsid w:val="001417A5"/>
    <w:rsid w:val="00141F6B"/>
    <w:rsid w:val="00142211"/>
    <w:rsid w:val="001425A5"/>
    <w:rsid w:val="001426BE"/>
    <w:rsid w:val="00143732"/>
    <w:rsid w:val="00144CC6"/>
    <w:rsid w:val="0014549A"/>
    <w:rsid w:val="0014645A"/>
    <w:rsid w:val="00147026"/>
    <w:rsid w:val="00150412"/>
    <w:rsid w:val="001507B9"/>
    <w:rsid w:val="00153E55"/>
    <w:rsid w:val="00154FB3"/>
    <w:rsid w:val="00155DC5"/>
    <w:rsid w:val="00156270"/>
    <w:rsid w:val="00161994"/>
    <w:rsid w:val="00164719"/>
    <w:rsid w:val="001648A7"/>
    <w:rsid w:val="00164984"/>
    <w:rsid w:val="001650E5"/>
    <w:rsid w:val="001659A2"/>
    <w:rsid w:val="00165D0E"/>
    <w:rsid w:val="00166AEB"/>
    <w:rsid w:val="00166FC4"/>
    <w:rsid w:val="001677AC"/>
    <w:rsid w:val="00170BB0"/>
    <w:rsid w:val="001718F3"/>
    <w:rsid w:val="0017221E"/>
    <w:rsid w:val="00172851"/>
    <w:rsid w:val="001737A4"/>
    <w:rsid w:val="0017463D"/>
    <w:rsid w:val="001769E3"/>
    <w:rsid w:val="001804EA"/>
    <w:rsid w:val="001813E1"/>
    <w:rsid w:val="00181432"/>
    <w:rsid w:val="00181D4D"/>
    <w:rsid w:val="00182655"/>
    <w:rsid w:val="001827ED"/>
    <w:rsid w:val="00182981"/>
    <w:rsid w:val="00182CF0"/>
    <w:rsid w:val="00183770"/>
    <w:rsid w:val="001847B1"/>
    <w:rsid w:val="00184D22"/>
    <w:rsid w:val="00185E83"/>
    <w:rsid w:val="0019004B"/>
    <w:rsid w:val="00190A61"/>
    <w:rsid w:val="00192522"/>
    <w:rsid w:val="00192C8E"/>
    <w:rsid w:val="00193C7A"/>
    <w:rsid w:val="00193CCD"/>
    <w:rsid w:val="00193CE7"/>
    <w:rsid w:val="00195152"/>
    <w:rsid w:val="001952BD"/>
    <w:rsid w:val="001958AE"/>
    <w:rsid w:val="00197EE4"/>
    <w:rsid w:val="001A18F7"/>
    <w:rsid w:val="001A2215"/>
    <w:rsid w:val="001A3207"/>
    <w:rsid w:val="001A3342"/>
    <w:rsid w:val="001A3A70"/>
    <w:rsid w:val="001A3E3D"/>
    <w:rsid w:val="001A48F0"/>
    <w:rsid w:val="001A551D"/>
    <w:rsid w:val="001A564F"/>
    <w:rsid w:val="001A58AF"/>
    <w:rsid w:val="001A678A"/>
    <w:rsid w:val="001A7049"/>
    <w:rsid w:val="001A7491"/>
    <w:rsid w:val="001B0DD0"/>
    <w:rsid w:val="001B0E40"/>
    <w:rsid w:val="001B0F93"/>
    <w:rsid w:val="001B1E40"/>
    <w:rsid w:val="001B1EE2"/>
    <w:rsid w:val="001B2063"/>
    <w:rsid w:val="001B2AB9"/>
    <w:rsid w:val="001B339C"/>
    <w:rsid w:val="001B39ED"/>
    <w:rsid w:val="001B3C22"/>
    <w:rsid w:val="001B435A"/>
    <w:rsid w:val="001B65DE"/>
    <w:rsid w:val="001B7000"/>
    <w:rsid w:val="001B7B48"/>
    <w:rsid w:val="001C04A5"/>
    <w:rsid w:val="001C0F5C"/>
    <w:rsid w:val="001C1AE1"/>
    <w:rsid w:val="001C34ED"/>
    <w:rsid w:val="001C38D1"/>
    <w:rsid w:val="001C50D4"/>
    <w:rsid w:val="001C5ADE"/>
    <w:rsid w:val="001C6AA1"/>
    <w:rsid w:val="001C6BD9"/>
    <w:rsid w:val="001C764E"/>
    <w:rsid w:val="001D0CC3"/>
    <w:rsid w:val="001D150C"/>
    <w:rsid w:val="001D19B0"/>
    <w:rsid w:val="001D2DE2"/>
    <w:rsid w:val="001D359F"/>
    <w:rsid w:val="001D3AF1"/>
    <w:rsid w:val="001D4217"/>
    <w:rsid w:val="001D42A2"/>
    <w:rsid w:val="001D42CD"/>
    <w:rsid w:val="001D4A22"/>
    <w:rsid w:val="001D560A"/>
    <w:rsid w:val="001D5FD2"/>
    <w:rsid w:val="001D6871"/>
    <w:rsid w:val="001D6954"/>
    <w:rsid w:val="001E0A68"/>
    <w:rsid w:val="001E1052"/>
    <w:rsid w:val="001E2078"/>
    <w:rsid w:val="001E21B1"/>
    <w:rsid w:val="001E2F93"/>
    <w:rsid w:val="001E4554"/>
    <w:rsid w:val="001E4DD4"/>
    <w:rsid w:val="001E5E93"/>
    <w:rsid w:val="001E61E5"/>
    <w:rsid w:val="001E6DAE"/>
    <w:rsid w:val="001F1159"/>
    <w:rsid w:val="001F2159"/>
    <w:rsid w:val="001F5009"/>
    <w:rsid w:val="001F5851"/>
    <w:rsid w:val="001F74DC"/>
    <w:rsid w:val="002004FF"/>
    <w:rsid w:val="00200502"/>
    <w:rsid w:val="002007D3"/>
    <w:rsid w:val="00202BB7"/>
    <w:rsid w:val="00203D08"/>
    <w:rsid w:val="00204139"/>
    <w:rsid w:val="00204CDE"/>
    <w:rsid w:val="00205BAF"/>
    <w:rsid w:val="00206A95"/>
    <w:rsid w:val="00206D19"/>
    <w:rsid w:val="0020711E"/>
    <w:rsid w:val="002073E7"/>
    <w:rsid w:val="00207A0D"/>
    <w:rsid w:val="00210AD7"/>
    <w:rsid w:val="00210B8B"/>
    <w:rsid w:val="00210BC7"/>
    <w:rsid w:val="002123E7"/>
    <w:rsid w:val="00213100"/>
    <w:rsid w:val="0021312C"/>
    <w:rsid w:val="00214863"/>
    <w:rsid w:val="002156B4"/>
    <w:rsid w:val="00215993"/>
    <w:rsid w:val="002206FF"/>
    <w:rsid w:val="00220C49"/>
    <w:rsid w:val="00223D5E"/>
    <w:rsid w:val="00224FCD"/>
    <w:rsid w:val="00225948"/>
    <w:rsid w:val="00230503"/>
    <w:rsid w:val="0023064F"/>
    <w:rsid w:val="002306E4"/>
    <w:rsid w:val="00231207"/>
    <w:rsid w:val="0023193A"/>
    <w:rsid w:val="00231AD6"/>
    <w:rsid w:val="00231EA3"/>
    <w:rsid w:val="002327EA"/>
    <w:rsid w:val="00232E07"/>
    <w:rsid w:val="00233A88"/>
    <w:rsid w:val="00233AB4"/>
    <w:rsid w:val="00235951"/>
    <w:rsid w:val="00235DF4"/>
    <w:rsid w:val="002364FB"/>
    <w:rsid w:val="0024063F"/>
    <w:rsid w:val="002407EF"/>
    <w:rsid w:val="00241853"/>
    <w:rsid w:val="00242324"/>
    <w:rsid w:val="00242350"/>
    <w:rsid w:val="002437C7"/>
    <w:rsid w:val="00244D65"/>
    <w:rsid w:val="002454E8"/>
    <w:rsid w:val="002460B6"/>
    <w:rsid w:val="00246B9D"/>
    <w:rsid w:val="00247F06"/>
    <w:rsid w:val="0025010F"/>
    <w:rsid w:val="00250426"/>
    <w:rsid w:val="00250A4D"/>
    <w:rsid w:val="002527E9"/>
    <w:rsid w:val="002528C5"/>
    <w:rsid w:val="00253222"/>
    <w:rsid w:val="002533C3"/>
    <w:rsid w:val="00254AB0"/>
    <w:rsid w:val="0025745A"/>
    <w:rsid w:val="00257A67"/>
    <w:rsid w:val="00257C89"/>
    <w:rsid w:val="002619A8"/>
    <w:rsid w:val="00262847"/>
    <w:rsid w:val="00262F56"/>
    <w:rsid w:val="002633B0"/>
    <w:rsid w:val="002645CB"/>
    <w:rsid w:val="0026570C"/>
    <w:rsid w:val="002668F1"/>
    <w:rsid w:val="00266993"/>
    <w:rsid w:val="00266998"/>
    <w:rsid w:val="002675AB"/>
    <w:rsid w:val="00275570"/>
    <w:rsid w:val="00275D91"/>
    <w:rsid w:val="00276A0A"/>
    <w:rsid w:val="00276A75"/>
    <w:rsid w:val="002772FB"/>
    <w:rsid w:val="00277367"/>
    <w:rsid w:val="00277594"/>
    <w:rsid w:val="0028091B"/>
    <w:rsid w:val="00281BB2"/>
    <w:rsid w:val="002826ED"/>
    <w:rsid w:val="002827D0"/>
    <w:rsid w:val="00282FE8"/>
    <w:rsid w:val="0028434A"/>
    <w:rsid w:val="00284748"/>
    <w:rsid w:val="00284D9A"/>
    <w:rsid w:val="002854CA"/>
    <w:rsid w:val="00286009"/>
    <w:rsid w:val="00286444"/>
    <w:rsid w:val="002864C8"/>
    <w:rsid w:val="0028691F"/>
    <w:rsid w:val="002875FC"/>
    <w:rsid w:val="00287DCA"/>
    <w:rsid w:val="002913FC"/>
    <w:rsid w:val="00292311"/>
    <w:rsid w:val="00292889"/>
    <w:rsid w:val="00292FAA"/>
    <w:rsid w:val="0029416C"/>
    <w:rsid w:val="00295126"/>
    <w:rsid w:val="00295728"/>
    <w:rsid w:val="00295E44"/>
    <w:rsid w:val="00297433"/>
    <w:rsid w:val="00297847"/>
    <w:rsid w:val="002A007C"/>
    <w:rsid w:val="002A018C"/>
    <w:rsid w:val="002A08A6"/>
    <w:rsid w:val="002A1DFF"/>
    <w:rsid w:val="002A2842"/>
    <w:rsid w:val="002A387A"/>
    <w:rsid w:val="002A391C"/>
    <w:rsid w:val="002A4C08"/>
    <w:rsid w:val="002B045B"/>
    <w:rsid w:val="002B09C7"/>
    <w:rsid w:val="002B11D4"/>
    <w:rsid w:val="002B254E"/>
    <w:rsid w:val="002B667C"/>
    <w:rsid w:val="002B72E9"/>
    <w:rsid w:val="002B7E51"/>
    <w:rsid w:val="002C0957"/>
    <w:rsid w:val="002C149C"/>
    <w:rsid w:val="002C1682"/>
    <w:rsid w:val="002C1FD5"/>
    <w:rsid w:val="002C2295"/>
    <w:rsid w:val="002C22A6"/>
    <w:rsid w:val="002C3AA0"/>
    <w:rsid w:val="002C3B2F"/>
    <w:rsid w:val="002C4066"/>
    <w:rsid w:val="002C4D1F"/>
    <w:rsid w:val="002C59E2"/>
    <w:rsid w:val="002C6886"/>
    <w:rsid w:val="002C74D4"/>
    <w:rsid w:val="002C7998"/>
    <w:rsid w:val="002D05A1"/>
    <w:rsid w:val="002D110B"/>
    <w:rsid w:val="002D114E"/>
    <w:rsid w:val="002D2291"/>
    <w:rsid w:val="002D3D50"/>
    <w:rsid w:val="002D5DCD"/>
    <w:rsid w:val="002D6E84"/>
    <w:rsid w:val="002D728B"/>
    <w:rsid w:val="002D750A"/>
    <w:rsid w:val="002D75D8"/>
    <w:rsid w:val="002D7C91"/>
    <w:rsid w:val="002E0656"/>
    <w:rsid w:val="002E10C4"/>
    <w:rsid w:val="002E1AD9"/>
    <w:rsid w:val="002E1D13"/>
    <w:rsid w:val="002E22CA"/>
    <w:rsid w:val="002E27EE"/>
    <w:rsid w:val="002E4012"/>
    <w:rsid w:val="002E5922"/>
    <w:rsid w:val="002E6086"/>
    <w:rsid w:val="002E64F0"/>
    <w:rsid w:val="002F0AB5"/>
    <w:rsid w:val="002F17C7"/>
    <w:rsid w:val="002F1E53"/>
    <w:rsid w:val="002F20E9"/>
    <w:rsid w:val="002F2CAA"/>
    <w:rsid w:val="002F2ED3"/>
    <w:rsid w:val="002F2F3B"/>
    <w:rsid w:val="002F3142"/>
    <w:rsid w:val="002F4ADB"/>
    <w:rsid w:val="002F77CB"/>
    <w:rsid w:val="002F7980"/>
    <w:rsid w:val="002F7CD0"/>
    <w:rsid w:val="002F7DA5"/>
    <w:rsid w:val="002F7F3C"/>
    <w:rsid w:val="00300400"/>
    <w:rsid w:val="0030052C"/>
    <w:rsid w:val="003010BB"/>
    <w:rsid w:val="0030118F"/>
    <w:rsid w:val="00301547"/>
    <w:rsid w:val="00301F02"/>
    <w:rsid w:val="00302630"/>
    <w:rsid w:val="00302929"/>
    <w:rsid w:val="003036DE"/>
    <w:rsid w:val="00303DEF"/>
    <w:rsid w:val="00304097"/>
    <w:rsid w:val="00304A1D"/>
    <w:rsid w:val="00305462"/>
    <w:rsid w:val="0030580C"/>
    <w:rsid w:val="003059F1"/>
    <w:rsid w:val="00307FC5"/>
    <w:rsid w:val="003102B4"/>
    <w:rsid w:val="00310E08"/>
    <w:rsid w:val="00311533"/>
    <w:rsid w:val="003135F8"/>
    <w:rsid w:val="0031371B"/>
    <w:rsid w:val="003147E5"/>
    <w:rsid w:val="0031551D"/>
    <w:rsid w:val="00315CC3"/>
    <w:rsid w:val="00317403"/>
    <w:rsid w:val="00317AE9"/>
    <w:rsid w:val="00320006"/>
    <w:rsid w:val="003208C3"/>
    <w:rsid w:val="00320C55"/>
    <w:rsid w:val="00320CA7"/>
    <w:rsid w:val="00321A02"/>
    <w:rsid w:val="00321FD4"/>
    <w:rsid w:val="00322444"/>
    <w:rsid w:val="003238A4"/>
    <w:rsid w:val="00323ED0"/>
    <w:rsid w:val="00323F96"/>
    <w:rsid w:val="00324979"/>
    <w:rsid w:val="00326081"/>
    <w:rsid w:val="00326B01"/>
    <w:rsid w:val="003272AD"/>
    <w:rsid w:val="003306E1"/>
    <w:rsid w:val="00331C7A"/>
    <w:rsid w:val="00331F49"/>
    <w:rsid w:val="003320E4"/>
    <w:rsid w:val="00333FC0"/>
    <w:rsid w:val="00334BC4"/>
    <w:rsid w:val="003351E5"/>
    <w:rsid w:val="0033525D"/>
    <w:rsid w:val="00335498"/>
    <w:rsid w:val="0033693C"/>
    <w:rsid w:val="0033745E"/>
    <w:rsid w:val="0034054A"/>
    <w:rsid w:val="00340A49"/>
    <w:rsid w:val="003414F3"/>
    <w:rsid w:val="00341BA7"/>
    <w:rsid w:val="003431B1"/>
    <w:rsid w:val="003437BA"/>
    <w:rsid w:val="00344718"/>
    <w:rsid w:val="00344BAC"/>
    <w:rsid w:val="00345043"/>
    <w:rsid w:val="0034653E"/>
    <w:rsid w:val="003503D5"/>
    <w:rsid w:val="00350442"/>
    <w:rsid w:val="00350B36"/>
    <w:rsid w:val="0035137B"/>
    <w:rsid w:val="00351639"/>
    <w:rsid w:val="003517F6"/>
    <w:rsid w:val="003527C3"/>
    <w:rsid w:val="0035325F"/>
    <w:rsid w:val="00355761"/>
    <w:rsid w:val="003558C4"/>
    <w:rsid w:val="0035613E"/>
    <w:rsid w:val="0035658D"/>
    <w:rsid w:val="00356DA6"/>
    <w:rsid w:val="00357C9B"/>
    <w:rsid w:val="00357D02"/>
    <w:rsid w:val="00360314"/>
    <w:rsid w:val="0036103C"/>
    <w:rsid w:val="0036130A"/>
    <w:rsid w:val="00361A26"/>
    <w:rsid w:val="00362601"/>
    <w:rsid w:val="00363EE9"/>
    <w:rsid w:val="003642D7"/>
    <w:rsid w:val="0036507D"/>
    <w:rsid w:val="003666E6"/>
    <w:rsid w:val="00367061"/>
    <w:rsid w:val="00367CDE"/>
    <w:rsid w:val="00370D86"/>
    <w:rsid w:val="00371F02"/>
    <w:rsid w:val="00372043"/>
    <w:rsid w:val="0037291D"/>
    <w:rsid w:val="00372F67"/>
    <w:rsid w:val="00373438"/>
    <w:rsid w:val="00373F98"/>
    <w:rsid w:val="00374706"/>
    <w:rsid w:val="003747C9"/>
    <w:rsid w:val="00375ABF"/>
    <w:rsid w:val="00376128"/>
    <w:rsid w:val="003768A4"/>
    <w:rsid w:val="00376F73"/>
    <w:rsid w:val="003772EA"/>
    <w:rsid w:val="0037742E"/>
    <w:rsid w:val="003779C7"/>
    <w:rsid w:val="00377D56"/>
    <w:rsid w:val="00377E25"/>
    <w:rsid w:val="00380306"/>
    <w:rsid w:val="00380D12"/>
    <w:rsid w:val="00380D1E"/>
    <w:rsid w:val="003810D5"/>
    <w:rsid w:val="003815BE"/>
    <w:rsid w:val="00381811"/>
    <w:rsid w:val="00381DB4"/>
    <w:rsid w:val="00382360"/>
    <w:rsid w:val="0038245A"/>
    <w:rsid w:val="00382C24"/>
    <w:rsid w:val="00383D85"/>
    <w:rsid w:val="003840E6"/>
    <w:rsid w:val="00385CFC"/>
    <w:rsid w:val="00386168"/>
    <w:rsid w:val="00386675"/>
    <w:rsid w:val="00386A5D"/>
    <w:rsid w:val="00386E04"/>
    <w:rsid w:val="003879CC"/>
    <w:rsid w:val="00387A5C"/>
    <w:rsid w:val="00390475"/>
    <w:rsid w:val="0039337A"/>
    <w:rsid w:val="0039343A"/>
    <w:rsid w:val="00393ACA"/>
    <w:rsid w:val="003949E3"/>
    <w:rsid w:val="00395EE2"/>
    <w:rsid w:val="0039626A"/>
    <w:rsid w:val="0039710E"/>
    <w:rsid w:val="0039742D"/>
    <w:rsid w:val="00397626"/>
    <w:rsid w:val="003A0A63"/>
    <w:rsid w:val="003A0C33"/>
    <w:rsid w:val="003A1B46"/>
    <w:rsid w:val="003A20C1"/>
    <w:rsid w:val="003A20F6"/>
    <w:rsid w:val="003A3189"/>
    <w:rsid w:val="003A3CA7"/>
    <w:rsid w:val="003A47B6"/>
    <w:rsid w:val="003A4876"/>
    <w:rsid w:val="003A4A48"/>
    <w:rsid w:val="003B0F4C"/>
    <w:rsid w:val="003B1B0E"/>
    <w:rsid w:val="003B2F40"/>
    <w:rsid w:val="003B33BD"/>
    <w:rsid w:val="003B569D"/>
    <w:rsid w:val="003B57FE"/>
    <w:rsid w:val="003B620B"/>
    <w:rsid w:val="003B64CF"/>
    <w:rsid w:val="003B7CC8"/>
    <w:rsid w:val="003B7FBC"/>
    <w:rsid w:val="003C05D1"/>
    <w:rsid w:val="003C0E9B"/>
    <w:rsid w:val="003C3C0E"/>
    <w:rsid w:val="003C443F"/>
    <w:rsid w:val="003C46BF"/>
    <w:rsid w:val="003C4D34"/>
    <w:rsid w:val="003C5293"/>
    <w:rsid w:val="003C6FE7"/>
    <w:rsid w:val="003C724E"/>
    <w:rsid w:val="003C7501"/>
    <w:rsid w:val="003C77CD"/>
    <w:rsid w:val="003D0925"/>
    <w:rsid w:val="003D1473"/>
    <w:rsid w:val="003D2367"/>
    <w:rsid w:val="003D393E"/>
    <w:rsid w:val="003D42A6"/>
    <w:rsid w:val="003D42EB"/>
    <w:rsid w:val="003D4F21"/>
    <w:rsid w:val="003D4FAC"/>
    <w:rsid w:val="003D50B2"/>
    <w:rsid w:val="003D6D41"/>
    <w:rsid w:val="003E0733"/>
    <w:rsid w:val="003E0826"/>
    <w:rsid w:val="003E12AD"/>
    <w:rsid w:val="003E1713"/>
    <w:rsid w:val="003E3729"/>
    <w:rsid w:val="003E3F1A"/>
    <w:rsid w:val="003E4612"/>
    <w:rsid w:val="003E4E36"/>
    <w:rsid w:val="003E58D5"/>
    <w:rsid w:val="003E5C5A"/>
    <w:rsid w:val="003E60FB"/>
    <w:rsid w:val="003E6198"/>
    <w:rsid w:val="003E6D0A"/>
    <w:rsid w:val="003E7906"/>
    <w:rsid w:val="003F0342"/>
    <w:rsid w:val="003F1986"/>
    <w:rsid w:val="003F1AFD"/>
    <w:rsid w:val="003F2191"/>
    <w:rsid w:val="003F3C50"/>
    <w:rsid w:val="003F4510"/>
    <w:rsid w:val="003F4B86"/>
    <w:rsid w:val="003F4FBE"/>
    <w:rsid w:val="003F5392"/>
    <w:rsid w:val="003F5493"/>
    <w:rsid w:val="003F68E0"/>
    <w:rsid w:val="003F6E33"/>
    <w:rsid w:val="00401159"/>
    <w:rsid w:val="0040122E"/>
    <w:rsid w:val="0040199F"/>
    <w:rsid w:val="00402D5F"/>
    <w:rsid w:val="00402E67"/>
    <w:rsid w:val="0040322A"/>
    <w:rsid w:val="0040385F"/>
    <w:rsid w:val="0040430F"/>
    <w:rsid w:val="00404980"/>
    <w:rsid w:val="0040579D"/>
    <w:rsid w:val="00405846"/>
    <w:rsid w:val="00405DE9"/>
    <w:rsid w:val="00405E39"/>
    <w:rsid w:val="00406A6A"/>
    <w:rsid w:val="00406B22"/>
    <w:rsid w:val="00406FE3"/>
    <w:rsid w:val="00407963"/>
    <w:rsid w:val="00410A49"/>
    <w:rsid w:val="00410D6D"/>
    <w:rsid w:val="00410D8B"/>
    <w:rsid w:val="00411964"/>
    <w:rsid w:val="00412FB2"/>
    <w:rsid w:val="004132C6"/>
    <w:rsid w:val="00413720"/>
    <w:rsid w:val="00413C2A"/>
    <w:rsid w:val="00416761"/>
    <w:rsid w:val="00416BAB"/>
    <w:rsid w:val="0042072C"/>
    <w:rsid w:val="00422088"/>
    <w:rsid w:val="00422198"/>
    <w:rsid w:val="00422F90"/>
    <w:rsid w:val="00424055"/>
    <w:rsid w:val="004256B5"/>
    <w:rsid w:val="0042640D"/>
    <w:rsid w:val="00426875"/>
    <w:rsid w:val="00430793"/>
    <w:rsid w:val="004311EC"/>
    <w:rsid w:val="00431D9E"/>
    <w:rsid w:val="00432354"/>
    <w:rsid w:val="004328A7"/>
    <w:rsid w:val="00434C74"/>
    <w:rsid w:val="00434F97"/>
    <w:rsid w:val="004368F2"/>
    <w:rsid w:val="00436BCE"/>
    <w:rsid w:val="004370E3"/>
    <w:rsid w:val="00437274"/>
    <w:rsid w:val="00440684"/>
    <w:rsid w:val="00440819"/>
    <w:rsid w:val="00441ABC"/>
    <w:rsid w:val="00441C70"/>
    <w:rsid w:val="00441D00"/>
    <w:rsid w:val="004423BB"/>
    <w:rsid w:val="004428F0"/>
    <w:rsid w:val="00442FF2"/>
    <w:rsid w:val="00443334"/>
    <w:rsid w:val="00443B81"/>
    <w:rsid w:val="00444394"/>
    <w:rsid w:val="00446440"/>
    <w:rsid w:val="0044658C"/>
    <w:rsid w:val="00450319"/>
    <w:rsid w:val="004515EA"/>
    <w:rsid w:val="00452637"/>
    <w:rsid w:val="00452C2B"/>
    <w:rsid w:val="00453EBA"/>
    <w:rsid w:val="004549FE"/>
    <w:rsid w:val="00455179"/>
    <w:rsid w:val="00455F68"/>
    <w:rsid w:val="00456370"/>
    <w:rsid w:val="00456EB4"/>
    <w:rsid w:val="004576C7"/>
    <w:rsid w:val="00457C71"/>
    <w:rsid w:val="00457CCB"/>
    <w:rsid w:val="0046045F"/>
    <w:rsid w:val="004607A3"/>
    <w:rsid w:val="004607A9"/>
    <w:rsid w:val="00461C09"/>
    <w:rsid w:val="004626A8"/>
    <w:rsid w:val="00462BA8"/>
    <w:rsid w:val="00463977"/>
    <w:rsid w:val="00464F0B"/>
    <w:rsid w:val="00465340"/>
    <w:rsid w:val="004662C5"/>
    <w:rsid w:val="0046637D"/>
    <w:rsid w:val="004663E2"/>
    <w:rsid w:val="004673AC"/>
    <w:rsid w:val="00467700"/>
    <w:rsid w:val="0047049E"/>
    <w:rsid w:val="0047057B"/>
    <w:rsid w:val="00470C07"/>
    <w:rsid w:val="004718F3"/>
    <w:rsid w:val="00471EA5"/>
    <w:rsid w:val="00472EAA"/>
    <w:rsid w:val="00473B4D"/>
    <w:rsid w:val="00474B0F"/>
    <w:rsid w:val="00475040"/>
    <w:rsid w:val="00475314"/>
    <w:rsid w:val="0048014E"/>
    <w:rsid w:val="004801D8"/>
    <w:rsid w:val="0048320B"/>
    <w:rsid w:val="00483A6C"/>
    <w:rsid w:val="004845F6"/>
    <w:rsid w:val="00485C14"/>
    <w:rsid w:val="00486D8C"/>
    <w:rsid w:val="0048718D"/>
    <w:rsid w:val="00490E1C"/>
    <w:rsid w:val="004911DC"/>
    <w:rsid w:val="00491500"/>
    <w:rsid w:val="00493D40"/>
    <w:rsid w:val="00493EAA"/>
    <w:rsid w:val="00495A2E"/>
    <w:rsid w:val="004967B6"/>
    <w:rsid w:val="00497B74"/>
    <w:rsid w:val="00497CEB"/>
    <w:rsid w:val="004A041B"/>
    <w:rsid w:val="004A07E2"/>
    <w:rsid w:val="004A2550"/>
    <w:rsid w:val="004A25B9"/>
    <w:rsid w:val="004A27AC"/>
    <w:rsid w:val="004A3AF1"/>
    <w:rsid w:val="004A504B"/>
    <w:rsid w:val="004A5206"/>
    <w:rsid w:val="004A5387"/>
    <w:rsid w:val="004A605C"/>
    <w:rsid w:val="004A6150"/>
    <w:rsid w:val="004A657A"/>
    <w:rsid w:val="004A6911"/>
    <w:rsid w:val="004A7832"/>
    <w:rsid w:val="004A7BA7"/>
    <w:rsid w:val="004B1288"/>
    <w:rsid w:val="004B1E15"/>
    <w:rsid w:val="004B24B4"/>
    <w:rsid w:val="004B2D53"/>
    <w:rsid w:val="004B3407"/>
    <w:rsid w:val="004B4124"/>
    <w:rsid w:val="004B4792"/>
    <w:rsid w:val="004B4FB1"/>
    <w:rsid w:val="004B54E0"/>
    <w:rsid w:val="004B68D1"/>
    <w:rsid w:val="004B6C7B"/>
    <w:rsid w:val="004B6DC7"/>
    <w:rsid w:val="004B7384"/>
    <w:rsid w:val="004B7841"/>
    <w:rsid w:val="004B7944"/>
    <w:rsid w:val="004B7EE8"/>
    <w:rsid w:val="004C057D"/>
    <w:rsid w:val="004C32E6"/>
    <w:rsid w:val="004C34D7"/>
    <w:rsid w:val="004C4269"/>
    <w:rsid w:val="004C4E2D"/>
    <w:rsid w:val="004C50B5"/>
    <w:rsid w:val="004C6203"/>
    <w:rsid w:val="004D085F"/>
    <w:rsid w:val="004D1623"/>
    <w:rsid w:val="004D193E"/>
    <w:rsid w:val="004D2C72"/>
    <w:rsid w:val="004D2FC4"/>
    <w:rsid w:val="004D32B6"/>
    <w:rsid w:val="004D34CA"/>
    <w:rsid w:val="004D384A"/>
    <w:rsid w:val="004D5032"/>
    <w:rsid w:val="004D6236"/>
    <w:rsid w:val="004D6AAE"/>
    <w:rsid w:val="004D6F32"/>
    <w:rsid w:val="004D7023"/>
    <w:rsid w:val="004D7F90"/>
    <w:rsid w:val="004E02F4"/>
    <w:rsid w:val="004E1440"/>
    <w:rsid w:val="004E1FE2"/>
    <w:rsid w:val="004E2142"/>
    <w:rsid w:val="004E21B8"/>
    <w:rsid w:val="004E2885"/>
    <w:rsid w:val="004E29E5"/>
    <w:rsid w:val="004E2F88"/>
    <w:rsid w:val="004E42C6"/>
    <w:rsid w:val="004E491C"/>
    <w:rsid w:val="004E4DBB"/>
    <w:rsid w:val="004E4E41"/>
    <w:rsid w:val="004E5002"/>
    <w:rsid w:val="004E6F97"/>
    <w:rsid w:val="004E7D62"/>
    <w:rsid w:val="004E7F9C"/>
    <w:rsid w:val="004F00A8"/>
    <w:rsid w:val="004F02B5"/>
    <w:rsid w:val="004F1462"/>
    <w:rsid w:val="004F1F40"/>
    <w:rsid w:val="004F3493"/>
    <w:rsid w:val="004F41D0"/>
    <w:rsid w:val="004F42A0"/>
    <w:rsid w:val="004F4A73"/>
    <w:rsid w:val="004F4AEB"/>
    <w:rsid w:val="004F503A"/>
    <w:rsid w:val="004F5143"/>
    <w:rsid w:val="004F5448"/>
    <w:rsid w:val="004F5F13"/>
    <w:rsid w:val="004F5F28"/>
    <w:rsid w:val="004F5F65"/>
    <w:rsid w:val="004F6E4E"/>
    <w:rsid w:val="005007BD"/>
    <w:rsid w:val="005017FB"/>
    <w:rsid w:val="00501920"/>
    <w:rsid w:val="00501B99"/>
    <w:rsid w:val="00501DE8"/>
    <w:rsid w:val="00502108"/>
    <w:rsid w:val="0050255C"/>
    <w:rsid w:val="00502CAF"/>
    <w:rsid w:val="00502FDB"/>
    <w:rsid w:val="005030DF"/>
    <w:rsid w:val="005042E1"/>
    <w:rsid w:val="005053C3"/>
    <w:rsid w:val="00507C01"/>
    <w:rsid w:val="00510223"/>
    <w:rsid w:val="00510CE7"/>
    <w:rsid w:val="00511DA2"/>
    <w:rsid w:val="00512B09"/>
    <w:rsid w:val="00512D99"/>
    <w:rsid w:val="0051326D"/>
    <w:rsid w:val="00514676"/>
    <w:rsid w:val="005146A0"/>
    <w:rsid w:val="00514B94"/>
    <w:rsid w:val="00514E7F"/>
    <w:rsid w:val="005154E3"/>
    <w:rsid w:val="00517B92"/>
    <w:rsid w:val="00520ADB"/>
    <w:rsid w:val="00520E8D"/>
    <w:rsid w:val="00520FDB"/>
    <w:rsid w:val="00521112"/>
    <w:rsid w:val="0052119A"/>
    <w:rsid w:val="005211DE"/>
    <w:rsid w:val="005220ED"/>
    <w:rsid w:val="005222DD"/>
    <w:rsid w:val="00522DED"/>
    <w:rsid w:val="005232CE"/>
    <w:rsid w:val="00523A67"/>
    <w:rsid w:val="00523A82"/>
    <w:rsid w:val="00523B32"/>
    <w:rsid w:val="00523E0B"/>
    <w:rsid w:val="00524312"/>
    <w:rsid w:val="0052514A"/>
    <w:rsid w:val="00525182"/>
    <w:rsid w:val="005265CF"/>
    <w:rsid w:val="0052797C"/>
    <w:rsid w:val="00530671"/>
    <w:rsid w:val="005328DA"/>
    <w:rsid w:val="005332C6"/>
    <w:rsid w:val="005334A8"/>
    <w:rsid w:val="005335AA"/>
    <w:rsid w:val="00533796"/>
    <w:rsid w:val="0053424E"/>
    <w:rsid w:val="00535135"/>
    <w:rsid w:val="005372A6"/>
    <w:rsid w:val="00537343"/>
    <w:rsid w:val="00537AE1"/>
    <w:rsid w:val="00537B81"/>
    <w:rsid w:val="005411C8"/>
    <w:rsid w:val="00543742"/>
    <w:rsid w:val="00543D94"/>
    <w:rsid w:val="005447A9"/>
    <w:rsid w:val="00544B54"/>
    <w:rsid w:val="00544F9F"/>
    <w:rsid w:val="005454A2"/>
    <w:rsid w:val="00546224"/>
    <w:rsid w:val="005462AF"/>
    <w:rsid w:val="00546362"/>
    <w:rsid w:val="00546ECE"/>
    <w:rsid w:val="00547580"/>
    <w:rsid w:val="00550393"/>
    <w:rsid w:val="0055167C"/>
    <w:rsid w:val="005517C1"/>
    <w:rsid w:val="0055225E"/>
    <w:rsid w:val="005529CC"/>
    <w:rsid w:val="00552FA1"/>
    <w:rsid w:val="005547EC"/>
    <w:rsid w:val="005559D3"/>
    <w:rsid w:val="00555D75"/>
    <w:rsid w:val="005566F3"/>
    <w:rsid w:val="00556B1A"/>
    <w:rsid w:val="00556EC6"/>
    <w:rsid w:val="0056015E"/>
    <w:rsid w:val="005608CD"/>
    <w:rsid w:val="00560DF0"/>
    <w:rsid w:val="00562E85"/>
    <w:rsid w:val="00562ED1"/>
    <w:rsid w:val="00563D55"/>
    <w:rsid w:val="00564161"/>
    <w:rsid w:val="00564D56"/>
    <w:rsid w:val="0056614F"/>
    <w:rsid w:val="00566A32"/>
    <w:rsid w:val="0056759C"/>
    <w:rsid w:val="00567B6C"/>
    <w:rsid w:val="00570395"/>
    <w:rsid w:val="00572792"/>
    <w:rsid w:val="00572F2A"/>
    <w:rsid w:val="0057382F"/>
    <w:rsid w:val="005738A7"/>
    <w:rsid w:val="00573977"/>
    <w:rsid w:val="00573D4E"/>
    <w:rsid w:val="0057400C"/>
    <w:rsid w:val="00574CB8"/>
    <w:rsid w:val="00575EFA"/>
    <w:rsid w:val="005765A3"/>
    <w:rsid w:val="00576ADD"/>
    <w:rsid w:val="00583533"/>
    <w:rsid w:val="00583A7B"/>
    <w:rsid w:val="00583E9B"/>
    <w:rsid w:val="00583EF8"/>
    <w:rsid w:val="00584413"/>
    <w:rsid w:val="00584B40"/>
    <w:rsid w:val="00586048"/>
    <w:rsid w:val="005861E1"/>
    <w:rsid w:val="00587028"/>
    <w:rsid w:val="00587171"/>
    <w:rsid w:val="005874E2"/>
    <w:rsid w:val="005877AA"/>
    <w:rsid w:val="00590B3B"/>
    <w:rsid w:val="00591008"/>
    <w:rsid w:val="00592D1F"/>
    <w:rsid w:val="00593025"/>
    <w:rsid w:val="0059513E"/>
    <w:rsid w:val="005963D0"/>
    <w:rsid w:val="00597602"/>
    <w:rsid w:val="005A03A4"/>
    <w:rsid w:val="005A06FC"/>
    <w:rsid w:val="005A1447"/>
    <w:rsid w:val="005A1593"/>
    <w:rsid w:val="005A1795"/>
    <w:rsid w:val="005A1F01"/>
    <w:rsid w:val="005A230F"/>
    <w:rsid w:val="005A25F7"/>
    <w:rsid w:val="005A39DE"/>
    <w:rsid w:val="005A48CD"/>
    <w:rsid w:val="005A6AA4"/>
    <w:rsid w:val="005A6D9F"/>
    <w:rsid w:val="005A71AC"/>
    <w:rsid w:val="005B05AB"/>
    <w:rsid w:val="005B1299"/>
    <w:rsid w:val="005B158F"/>
    <w:rsid w:val="005B1B41"/>
    <w:rsid w:val="005B2F62"/>
    <w:rsid w:val="005B4664"/>
    <w:rsid w:val="005B48FF"/>
    <w:rsid w:val="005B4AAA"/>
    <w:rsid w:val="005B6181"/>
    <w:rsid w:val="005B72B5"/>
    <w:rsid w:val="005B7860"/>
    <w:rsid w:val="005B7948"/>
    <w:rsid w:val="005C0D78"/>
    <w:rsid w:val="005C0FD0"/>
    <w:rsid w:val="005C2900"/>
    <w:rsid w:val="005C3B42"/>
    <w:rsid w:val="005C46FC"/>
    <w:rsid w:val="005C5267"/>
    <w:rsid w:val="005C55CC"/>
    <w:rsid w:val="005C5699"/>
    <w:rsid w:val="005C5E40"/>
    <w:rsid w:val="005C65A9"/>
    <w:rsid w:val="005C66BD"/>
    <w:rsid w:val="005C6C74"/>
    <w:rsid w:val="005C6EEF"/>
    <w:rsid w:val="005C7375"/>
    <w:rsid w:val="005C7485"/>
    <w:rsid w:val="005C77DF"/>
    <w:rsid w:val="005C78B4"/>
    <w:rsid w:val="005C7D9B"/>
    <w:rsid w:val="005D09D0"/>
    <w:rsid w:val="005D1544"/>
    <w:rsid w:val="005D1C37"/>
    <w:rsid w:val="005D2977"/>
    <w:rsid w:val="005D363C"/>
    <w:rsid w:val="005D363F"/>
    <w:rsid w:val="005D37DA"/>
    <w:rsid w:val="005D3A8A"/>
    <w:rsid w:val="005D5C51"/>
    <w:rsid w:val="005D656D"/>
    <w:rsid w:val="005D7361"/>
    <w:rsid w:val="005D7E27"/>
    <w:rsid w:val="005E1480"/>
    <w:rsid w:val="005E2AAC"/>
    <w:rsid w:val="005E2DE2"/>
    <w:rsid w:val="005E2E04"/>
    <w:rsid w:val="005E3283"/>
    <w:rsid w:val="005E358B"/>
    <w:rsid w:val="005E41F8"/>
    <w:rsid w:val="005E52AB"/>
    <w:rsid w:val="005E5C0A"/>
    <w:rsid w:val="005E6047"/>
    <w:rsid w:val="005E777F"/>
    <w:rsid w:val="005E7BC8"/>
    <w:rsid w:val="005E7F1F"/>
    <w:rsid w:val="005F06E7"/>
    <w:rsid w:val="005F12D1"/>
    <w:rsid w:val="005F1D31"/>
    <w:rsid w:val="005F31C4"/>
    <w:rsid w:val="005F3B59"/>
    <w:rsid w:val="005F5A11"/>
    <w:rsid w:val="005F5F74"/>
    <w:rsid w:val="005F6230"/>
    <w:rsid w:val="005F6BF1"/>
    <w:rsid w:val="005F746C"/>
    <w:rsid w:val="005F7628"/>
    <w:rsid w:val="00600A8F"/>
    <w:rsid w:val="00600B65"/>
    <w:rsid w:val="00600C00"/>
    <w:rsid w:val="00600FC2"/>
    <w:rsid w:val="0060119F"/>
    <w:rsid w:val="00601365"/>
    <w:rsid w:val="006022EC"/>
    <w:rsid w:val="00602934"/>
    <w:rsid w:val="00602ECE"/>
    <w:rsid w:val="00603C5D"/>
    <w:rsid w:val="00604C15"/>
    <w:rsid w:val="00604D68"/>
    <w:rsid w:val="0061101C"/>
    <w:rsid w:val="00611611"/>
    <w:rsid w:val="00613D3E"/>
    <w:rsid w:val="006146CF"/>
    <w:rsid w:val="006158D5"/>
    <w:rsid w:val="00616680"/>
    <w:rsid w:val="00616E07"/>
    <w:rsid w:val="00620019"/>
    <w:rsid w:val="00620529"/>
    <w:rsid w:val="00621873"/>
    <w:rsid w:val="00621C41"/>
    <w:rsid w:val="0062204F"/>
    <w:rsid w:val="0062210D"/>
    <w:rsid w:val="00622E9E"/>
    <w:rsid w:val="00623EB6"/>
    <w:rsid w:val="00624FC7"/>
    <w:rsid w:val="00625A03"/>
    <w:rsid w:val="00625D83"/>
    <w:rsid w:val="00626266"/>
    <w:rsid w:val="006308E0"/>
    <w:rsid w:val="00630B10"/>
    <w:rsid w:val="0063311C"/>
    <w:rsid w:val="00633EC0"/>
    <w:rsid w:val="00637439"/>
    <w:rsid w:val="00637F94"/>
    <w:rsid w:val="00640383"/>
    <w:rsid w:val="006406C1"/>
    <w:rsid w:val="00640E96"/>
    <w:rsid w:val="006412FE"/>
    <w:rsid w:val="00641CF3"/>
    <w:rsid w:val="00642B0E"/>
    <w:rsid w:val="006434C6"/>
    <w:rsid w:val="00643A2A"/>
    <w:rsid w:val="00643C38"/>
    <w:rsid w:val="0064531A"/>
    <w:rsid w:val="0064648D"/>
    <w:rsid w:val="00646CB4"/>
    <w:rsid w:val="00647E8A"/>
    <w:rsid w:val="0065298E"/>
    <w:rsid w:val="00653107"/>
    <w:rsid w:val="006534A3"/>
    <w:rsid w:val="006551E2"/>
    <w:rsid w:val="00655680"/>
    <w:rsid w:val="00655929"/>
    <w:rsid w:val="00655A9E"/>
    <w:rsid w:val="00655E56"/>
    <w:rsid w:val="00656D69"/>
    <w:rsid w:val="00657616"/>
    <w:rsid w:val="00660E2F"/>
    <w:rsid w:val="0066200C"/>
    <w:rsid w:val="006623E7"/>
    <w:rsid w:val="00662B80"/>
    <w:rsid w:val="006634D1"/>
    <w:rsid w:val="006638DC"/>
    <w:rsid w:val="0066602A"/>
    <w:rsid w:val="006666A7"/>
    <w:rsid w:val="0066673D"/>
    <w:rsid w:val="0066684F"/>
    <w:rsid w:val="00667A65"/>
    <w:rsid w:val="00667F1F"/>
    <w:rsid w:val="00670F6C"/>
    <w:rsid w:val="00671483"/>
    <w:rsid w:val="006719D3"/>
    <w:rsid w:val="00672449"/>
    <w:rsid w:val="006724C4"/>
    <w:rsid w:val="006735F8"/>
    <w:rsid w:val="006738CE"/>
    <w:rsid w:val="00674279"/>
    <w:rsid w:val="00674A44"/>
    <w:rsid w:val="00675B58"/>
    <w:rsid w:val="006762BA"/>
    <w:rsid w:val="006766C2"/>
    <w:rsid w:val="0067744E"/>
    <w:rsid w:val="00677919"/>
    <w:rsid w:val="00677BFE"/>
    <w:rsid w:val="00677E09"/>
    <w:rsid w:val="006803BE"/>
    <w:rsid w:val="006811E7"/>
    <w:rsid w:val="00681A31"/>
    <w:rsid w:val="00683093"/>
    <w:rsid w:val="00683151"/>
    <w:rsid w:val="006832F6"/>
    <w:rsid w:val="00683440"/>
    <w:rsid w:val="006852C7"/>
    <w:rsid w:val="006852CE"/>
    <w:rsid w:val="006865CD"/>
    <w:rsid w:val="006870F3"/>
    <w:rsid w:val="006900FA"/>
    <w:rsid w:val="006916F7"/>
    <w:rsid w:val="0069257E"/>
    <w:rsid w:val="00692D14"/>
    <w:rsid w:val="00693A6D"/>
    <w:rsid w:val="006944BF"/>
    <w:rsid w:val="00694E9C"/>
    <w:rsid w:val="0069598D"/>
    <w:rsid w:val="00697065"/>
    <w:rsid w:val="0069731F"/>
    <w:rsid w:val="006A1934"/>
    <w:rsid w:val="006A1A38"/>
    <w:rsid w:val="006A215C"/>
    <w:rsid w:val="006A4FEB"/>
    <w:rsid w:val="006A5B9A"/>
    <w:rsid w:val="006A5C9B"/>
    <w:rsid w:val="006A6736"/>
    <w:rsid w:val="006A67B4"/>
    <w:rsid w:val="006A69DB"/>
    <w:rsid w:val="006A74A1"/>
    <w:rsid w:val="006A76B4"/>
    <w:rsid w:val="006B0547"/>
    <w:rsid w:val="006B0C19"/>
    <w:rsid w:val="006B2359"/>
    <w:rsid w:val="006B2761"/>
    <w:rsid w:val="006B4CAA"/>
    <w:rsid w:val="006B623A"/>
    <w:rsid w:val="006B65C7"/>
    <w:rsid w:val="006B6835"/>
    <w:rsid w:val="006B7677"/>
    <w:rsid w:val="006B7FEE"/>
    <w:rsid w:val="006C1727"/>
    <w:rsid w:val="006C1A1E"/>
    <w:rsid w:val="006C2CC0"/>
    <w:rsid w:val="006C32FD"/>
    <w:rsid w:val="006C332D"/>
    <w:rsid w:val="006C39CE"/>
    <w:rsid w:val="006C3F71"/>
    <w:rsid w:val="006C5B1A"/>
    <w:rsid w:val="006C7BAE"/>
    <w:rsid w:val="006D0D7F"/>
    <w:rsid w:val="006D0FCC"/>
    <w:rsid w:val="006D10A6"/>
    <w:rsid w:val="006D21F5"/>
    <w:rsid w:val="006D392C"/>
    <w:rsid w:val="006D4B03"/>
    <w:rsid w:val="006D5315"/>
    <w:rsid w:val="006D549E"/>
    <w:rsid w:val="006D5547"/>
    <w:rsid w:val="006D5EB4"/>
    <w:rsid w:val="006D6F89"/>
    <w:rsid w:val="006D759C"/>
    <w:rsid w:val="006E019A"/>
    <w:rsid w:val="006E126D"/>
    <w:rsid w:val="006E1FC3"/>
    <w:rsid w:val="006E2A16"/>
    <w:rsid w:val="006E325B"/>
    <w:rsid w:val="006E3846"/>
    <w:rsid w:val="006E3E0B"/>
    <w:rsid w:val="006E4EDE"/>
    <w:rsid w:val="006E4F5A"/>
    <w:rsid w:val="006E63E2"/>
    <w:rsid w:val="006F2607"/>
    <w:rsid w:val="006F2756"/>
    <w:rsid w:val="006F2D70"/>
    <w:rsid w:val="006F5F8D"/>
    <w:rsid w:val="006F62D0"/>
    <w:rsid w:val="006F6B84"/>
    <w:rsid w:val="006F6EDD"/>
    <w:rsid w:val="007000D4"/>
    <w:rsid w:val="00702B8D"/>
    <w:rsid w:val="00702C13"/>
    <w:rsid w:val="00703221"/>
    <w:rsid w:val="00703C3A"/>
    <w:rsid w:val="00704A20"/>
    <w:rsid w:val="00704CE9"/>
    <w:rsid w:val="007050CC"/>
    <w:rsid w:val="0070616B"/>
    <w:rsid w:val="00706295"/>
    <w:rsid w:val="00706969"/>
    <w:rsid w:val="00706FDA"/>
    <w:rsid w:val="007076D8"/>
    <w:rsid w:val="0071003F"/>
    <w:rsid w:val="007103BE"/>
    <w:rsid w:val="00710AFA"/>
    <w:rsid w:val="00710E65"/>
    <w:rsid w:val="007110B6"/>
    <w:rsid w:val="007110BA"/>
    <w:rsid w:val="007118EA"/>
    <w:rsid w:val="00711F9A"/>
    <w:rsid w:val="00712F68"/>
    <w:rsid w:val="00713810"/>
    <w:rsid w:val="00713882"/>
    <w:rsid w:val="007154F3"/>
    <w:rsid w:val="007159C9"/>
    <w:rsid w:val="00715C7B"/>
    <w:rsid w:val="00716466"/>
    <w:rsid w:val="00716791"/>
    <w:rsid w:val="007179E9"/>
    <w:rsid w:val="007202BE"/>
    <w:rsid w:val="00720C6F"/>
    <w:rsid w:val="00720E5E"/>
    <w:rsid w:val="0072281F"/>
    <w:rsid w:val="007237F5"/>
    <w:rsid w:val="00726027"/>
    <w:rsid w:val="007260BB"/>
    <w:rsid w:val="00726611"/>
    <w:rsid w:val="007303A5"/>
    <w:rsid w:val="00730B3E"/>
    <w:rsid w:val="00731305"/>
    <w:rsid w:val="00731B07"/>
    <w:rsid w:val="00732651"/>
    <w:rsid w:val="0073420B"/>
    <w:rsid w:val="0073441A"/>
    <w:rsid w:val="00734BC4"/>
    <w:rsid w:val="00735E4B"/>
    <w:rsid w:val="00736712"/>
    <w:rsid w:val="0073671F"/>
    <w:rsid w:val="007371ED"/>
    <w:rsid w:val="00737595"/>
    <w:rsid w:val="00742397"/>
    <w:rsid w:val="007438D3"/>
    <w:rsid w:val="00743C00"/>
    <w:rsid w:val="00744CFB"/>
    <w:rsid w:val="0074736C"/>
    <w:rsid w:val="0074760E"/>
    <w:rsid w:val="00747D6E"/>
    <w:rsid w:val="00751035"/>
    <w:rsid w:val="0075179F"/>
    <w:rsid w:val="00751B14"/>
    <w:rsid w:val="00753D47"/>
    <w:rsid w:val="00754774"/>
    <w:rsid w:val="00754A5B"/>
    <w:rsid w:val="00754ABA"/>
    <w:rsid w:val="00755644"/>
    <w:rsid w:val="00755FD4"/>
    <w:rsid w:val="007562B4"/>
    <w:rsid w:val="00756BBB"/>
    <w:rsid w:val="00756D1D"/>
    <w:rsid w:val="00756E0F"/>
    <w:rsid w:val="00756E27"/>
    <w:rsid w:val="007579D3"/>
    <w:rsid w:val="007609FC"/>
    <w:rsid w:val="007638D0"/>
    <w:rsid w:val="0076453D"/>
    <w:rsid w:val="00764574"/>
    <w:rsid w:val="007645D9"/>
    <w:rsid w:val="007647F1"/>
    <w:rsid w:val="00764D26"/>
    <w:rsid w:val="00764E70"/>
    <w:rsid w:val="0076656B"/>
    <w:rsid w:val="00767A64"/>
    <w:rsid w:val="0077058E"/>
    <w:rsid w:val="0077158B"/>
    <w:rsid w:val="007730F6"/>
    <w:rsid w:val="007737E6"/>
    <w:rsid w:val="007738E3"/>
    <w:rsid w:val="0077428A"/>
    <w:rsid w:val="00774699"/>
    <w:rsid w:val="007766CA"/>
    <w:rsid w:val="00776B32"/>
    <w:rsid w:val="007770D6"/>
    <w:rsid w:val="0077741A"/>
    <w:rsid w:val="007778FC"/>
    <w:rsid w:val="00777C05"/>
    <w:rsid w:val="00780D3A"/>
    <w:rsid w:val="00781179"/>
    <w:rsid w:val="00781655"/>
    <w:rsid w:val="00781A31"/>
    <w:rsid w:val="00781D74"/>
    <w:rsid w:val="00783A32"/>
    <w:rsid w:val="00783F24"/>
    <w:rsid w:val="0078453B"/>
    <w:rsid w:val="00786912"/>
    <w:rsid w:val="00787640"/>
    <w:rsid w:val="00787F03"/>
    <w:rsid w:val="007903A8"/>
    <w:rsid w:val="007915AB"/>
    <w:rsid w:val="00792C6A"/>
    <w:rsid w:val="00792D82"/>
    <w:rsid w:val="007942C3"/>
    <w:rsid w:val="00794881"/>
    <w:rsid w:val="007958DD"/>
    <w:rsid w:val="00796869"/>
    <w:rsid w:val="0079714B"/>
    <w:rsid w:val="0079715A"/>
    <w:rsid w:val="007971AC"/>
    <w:rsid w:val="00797F9B"/>
    <w:rsid w:val="007A0073"/>
    <w:rsid w:val="007A0A70"/>
    <w:rsid w:val="007A1546"/>
    <w:rsid w:val="007A1652"/>
    <w:rsid w:val="007A228C"/>
    <w:rsid w:val="007A27F5"/>
    <w:rsid w:val="007A368E"/>
    <w:rsid w:val="007A3A4C"/>
    <w:rsid w:val="007A440D"/>
    <w:rsid w:val="007A4825"/>
    <w:rsid w:val="007A5868"/>
    <w:rsid w:val="007A66DE"/>
    <w:rsid w:val="007A7A5E"/>
    <w:rsid w:val="007B04BC"/>
    <w:rsid w:val="007B04CE"/>
    <w:rsid w:val="007B0BF0"/>
    <w:rsid w:val="007B0E28"/>
    <w:rsid w:val="007B0EBE"/>
    <w:rsid w:val="007B1D5D"/>
    <w:rsid w:val="007B219D"/>
    <w:rsid w:val="007B2D9B"/>
    <w:rsid w:val="007B4A97"/>
    <w:rsid w:val="007B5006"/>
    <w:rsid w:val="007B5055"/>
    <w:rsid w:val="007B6361"/>
    <w:rsid w:val="007B66BF"/>
    <w:rsid w:val="007B6871"/>
    <w:rsid w:val="007B6DDB"/>
    <w:rsid w:val="007B7759"/>
    <w:rsid w:val="007B7A2F"/>
    <w:rsid w:val="007C09A3"/>
    <w:rsid w:val="007C118B"/>
    <w:rsid w:val="007C1484"/>
    <w:rsid w:val="007C2458"/>
    <w:rsid w:val="007C282F"/>
    <w:rsid w:val="007C3052"/>
    <w:rsid w:val="007C32AF"/>
    <w:rsid w:val="007C3D33"/>
    <w:rsid w:val="007C5AB4"/>
    <w:rsid w:val="007C689D"/>
    <w:rsid w:val="007C79A9"/>
    <w:rsid w:val="007C7D1B"/>
    <w:rsid w:val="007D019F"/>
    <w:rsid w:val="007D07DD"/>
    <w:rsid w:val="007D26CD"/>
    <w:rsid w:val="007D294A"/>
    <w:rsid w:val="007D295F"/>
    <w:rsid w:val="007D2970"/>
    <w:rsid w:val="007D2CFD"/>
    <w:rsid w:val="007D3ABD"/>
    <w:rsid w:val="007D3B5E"/>
    <w:rsid w:val="007D3F9B"/>
    <w:rsid w:val="007D41B2"/>
    <w:rsid w:val="007D47D2"/>
    <w:rsid w:val="007D5A75"/>
    <w:rsid w:val="007D6EC0"/>
    <w:rsid w:val="007D7E1D"/>
    <w:rsid w:val="007E1470"/>
    <w:rsid w:val="007E17C3"/>
    <w:rsid w:val="007E1894"/>
    <w:rsid w:val="007E1A26"/>
    <w:rsid w:val="007E23A3"/>
    <w:rsid w:val="007E240A"/>
    <w:rsid w:val="007E4B11"/>
    <w:rsid w:val="007E56BF"/>
    <w:rsid w:val="007E7421"/>
    <w:rsid w:val="007E7B7C"/>
    <w:rsid w:val="007E7DED"/>
    <w:rsid w:val="007F0180"/>
    <w:rsid w:val="007F36B1"/>
    <w:rsid w:val="007F38AA"/>
    <w:rsid w:val="007F4EA1"/>
    <w:rsid w:val="008008F1"/>
    <w:rsid w:val="0080105A"/>
    <w:rsid w:val="00801D83"/>
    <w:rsid w:val="00802250"/>
    <w:rsid w:val="00802AD7"/>
    <w:rsid w:val="00802E90"/>
    <w:rsid w:val="00803313"/>
    <w:rsid w:val="00803CD4"/>
    <w:rsid w:val="00804582"/>
    <w:rsid w:val="00804E23"/>
    <w:rsid w:val="008054C6"/>
    <w:rsid w:val="0080584A"/>
    <w:rsid w:val="00805E47"/>
    <w:rsid w:val="00805EC2"/>
    <w:rsid w:val="008069DC"/>
    <w:rsid w:val="00807675"/>
    <w:rsid w:val="00807DAE"/>
    <w:rsid w:val="008128AE"/>
    <w:rsid w:val="00812C15"/>
    <w:rsid w:val="008132B2"/>
    <w:rsid w:val="00813CBF"/>
    <w:rsid w:val="00813E48"/>
    <w:rsid w:val="008144B8"/>
    <w:rsid w:val="008144CF"/>
    <w:rsid w:val="00815929"/>
    <w:rsid w:val="00815930"/>
    <w:rsid w:val="00815DA3"/>
    <w:rsid w:val="00816C75"/>
    <w:rsid w:val="008201EA"/>
    <w:rsid w:val="00820D62"/>
    <w:rsid w:val="00820E22"/>
    <w:rsid w:val="0082122C"/>
    <w:rsid w:val="008212BC"/>
    <w:rsid w:val="00823DA3"/>
    <w:rsid w:val="00824F59"/>
    <w:rsid w:val="00825EEC"/>
    <w:rsid w:val="00826071"/>
    <w:rsid w:val="0082617D"/>
    <w:rsid w:val="008264E4"/>
    <w:rsid w:val="0083162D"/>
    <w:rsid w:val="00831979"/>
    <w:rsid w:val="00831D83"/>
    <w:rsid w:val="00832032"/>
    <w:rsid w:val="00833A11"/>
    <w:rsid w:val="00834520"/>
    <w:rsid w:val="0083674F"/>
    <w:rsid w:val="00841925"/>
    <w:rsid w:val="00841BD5"/>
    <w:rsid w:val="00842030"/>
    <w:rsid w:val="00843731"/>
    <w:rsid w:val="00844641"/>
    <w:rsid w:val="0084540C"/>
    <w:rsid w:val="00845422"/>
    <w:rsid w:val="00845B13"/>
    <w:rsid w:val="0084736C"/>
    <w:rsid w:val="00847B2C"/>
    <w:rsid w:val="00850230"/>
    <w:rsid w:val="008502CA"/>
    <w:rsid w:val="00850C0B"/>
    <w:rsid w:val="008510E3"/>
    <w:rsid w:val="00851352"/>
    <w:rsid w:val="00851ABE"/>
    <w:rsid w:val="00851B5D"/>
    <w:rsid w:val="00852972"/>
    <w:rsid w:val="00852B16"/>
    <w:rsid w:val="00852E4C"/>
    <w:rsid w:val="00854AC2"/>
    <w:rsid w:val="00855D3F"/>
    <w:rsid w:val="00855E93"/>
    <w:rsid w:val="00856468"/>
    <w:rsid w:val="00856BBF"/>
    <w:rsid w:val="00857077"/>
    <w:rsid w:val="008570B4"/>
    <w:rsid w:val="00857F41"/>
    <w:rsid w:val="00860C35"/>
    <w:rsid w:val="0086209F"/>
    <w:rsid w:val="00863230"/>
    <w:rsid w:val="008643AD"/>
    <w:rsid w:val="00865043"/>
    <w:rsid w:val="00865785"/>
    <w:rsid w:val="00865BD0"/>
    <w:rsid w:val="00865FF4"/>
    <w:rsid w:val="00867CBE"/>
    <w:rsid w:val="008717D8"/>
    <w:rsid w:val="00871F23"/>
    <w:rsid w:val="0087215C"/>
    <w:rsid w:val="008759F2"/>
    <w:rsid w:val="00875D25"/>
    <w:rsid w:val="00876A2D"/>
    <w:rsid w:val="00876E51"/>
    <w:rsid w:val="008774B2"/>
    <w:rsid w:val="008779AB"/>
    <w:rsid w:val="00877E30"/>
    <w:rsid w:val="00877FE7"/>
    <w:rsid w:val="00880E35"/>
    <w:rsid w:val="0088176B"/>
    <w:rsid w:val="0088278F"/>
    <w:rsid w:val="00882CC0"/>
    <w:rsid w:val="008835D0"/>
    <w:rsid w:val="008839C5"/>
    <w:rsid w:val="0088406A"/>
    <w:rsid w:val="00884C7B"/>
    <w:rsid w:val="00885C27"/>
    <w:rsid w:val="00886789"/>
    <w:rsid w:val="008875FE"/>
    <w:rsid w:val="0088797F"/>
    <w:rsid w:val="00887DD6"/>
    <w:rsid w:val="00887F8E"/>
    <w:rsid w:val="008903B4"/>
    <w:rsid w:val="00891067"/>
    <w:rsid w:val="00891AA5"/>
    <w:rsid w:val="008924C8"/>
    <w:rsid w:val="008931D8"/>
    <w:rsid w:val="0089386B"/>
    <w:rsid w:val="00893D30"/>
    <w:rsid w:val="00894031"/>
    <w:rsid w:val="00894360"/>
    <w:rsid w:val="008949E5"/>
    <w:rsid w:val="00894DAC"/>
    <w:rsid w:val="00895CD7"/>
    <w:rsid w:val="00895D25"/>
    <w:rsid w:val="00895E9C"/>
    <w:rsid w:val="00896234"/>
    <w:rsid w:val="00897E43"/>
    <w:rsid w:val="008A09F0"/>
    <w:rsid w:val="008A0F0C"/>
    <w:rsid w:val="008A1C26"/>
    <w:rsid w:val="008A2347"/>
    <w:rsid w:val="008A2FDC"/>
    <w:rsid w:val="008A34B7"/>
    <w:rsid w:val="008A4335"/>
    <w:rsid w:val="008A4418"/>
    <w:rsid w:val="008A4E40"/>
    <w:rsid w:val="008A4E5F"/>
    <w:rsid w:val="008A5038"/>
    <w:rsid w:val="008A6D64"/>
    <w:rsid w:val="008A731D"/>
    <w:rsid w:val="008B1818"/>
    <w:rsid w:val="008B1956"/>
    <w:rsid w:val="008B2CE3"/>
    <w:rsid w:val="008B33A9"/>
    <w:rsid w:val="008B49B6"/>
    <w:rsid w:val="008B53BB"/>
    <w:rsid w:val="008C1351"/>
    <w:rsid w:val="008C21EE"/>
    <w:rsid w:val="008C259A"/>
    <w:rsid w:val="008C32AE"/>
    <w:rsid w:val="008C3305"/>
    <w:rsid w:val="008C43E0"/>
    <w:rsid w:val="008C44AA"/>
    <w:rsid w:val="008C5601"/>
    <w:rsid w:val="008C5738"/>
    <w:rsid w:val="008C5A27"/>
    <w:rsid w:val="008C5C5C"/>
    <w:rsid w:val="008C5DEA"/>
    <w:rsid w:val="008C6861"/>
    <w:rsid w:val="008C726F"/>
    <w:rsid w:val="008C7EAD"/>
    <w:rsid w:val="008D03E8"/>
    <w:rsid w:val="008D07FE"/>
    <w:rsid w:val="008D0CFE"/>
    <w:rsid w:val="008D1285"/>
    <w:rsid w:val="008D16F5"/>
    <w:rsid w:val="008D290E"/>
    <w:rsid w:val="008D45F0"/>
    <w:rsid w:val="008D5816"/>
    <w:rsid w:val="008D6152"/>
    <w:rsid w:val="008D7055"/>
    <w:rsid w:val="008D759E"/>
    <w:rsid w:val="008E0B50"/>
    <w:rsid w:val="008E0FFC"/>
    <w:rsid w:val="008E13D0"/>
    <w:rsid w:val="008E1B14"/>
    <w:rsid w:val="008E243E"/>
    <w:rsid w:val="008E2A9A"/>
    <w:rsid w:val="008E2ED7"/>
    <w:rsid w:val="008E3472"/>
    <w:rsid w:val="008E3F2A"/>
    <w:rsid w:val="008E4F1C"/>
    <w:rsid w:val="008E540A"/>
    <w:rsid w:val="008E57F7"/>
    <w:rsid w:val="008E5AE8"/>
    <w:rsid w:val="008E6A8B"/>
    <w:rsid w:val="008E7768"/>
    <w:rsid w:val="008E7B49"/>
    <w:rsid w:val="008E7BA9"/>
    <w:rsid w:val="008E7EFF"/>
    <w:rsid w:val="008F0F81"/>
    <w:rsid w:val="008F1D8E"/>
    <w:rsid w:val="008F27BF"/>
    <w:rsid w:val="008F55B6"/>
    <w:rsid w:val="008F5728"/>
    <w:rsid w:val="008F7592"/>
    <w:rsid w:val="008F76BE"/>
    <w:rsid w:val="00900176"/>
    <w:rsid w:val="009010F6"/>
    <w:rsid w:val="009011D1"/>
    <w:rsid w:val="00901643"/>
    <w:rsid w:val="00902CF3"/>
    <w:rsid w:val="00902E5A"/>
    <w:rsid w:val="00903877"/>
    <w:rsid w:val="00905012"/>
    <w:rsid w:val="0090555D"/>
    <w:rsid w:val="00905651"/>
    <w:rsid w:val="00905912"/>
    <w:rsid w:val="00907E3D"/>
    <w:rsid w:val="00907F44"/>
    <w:rsid w:val="009118FF"/>
    <w:rsid w:val="00912CDE"/>
    <w:rsid w:val="0091406A"/>
    <w:rsid w:val="009142EC"/>
    <w:rsid w:val="009150DF"/>
    <w:rsid w:val="009154C3"/>
    <w:rsid w:val="00915541"/>
    <w:rsid w:val="009156C0"/>
    <w:rsid w:val="0091586E"/>
    <w:rsid w:val="0091657F"/>
    <w:rsid w:val="009171F3"/>
    <w:rsid w:val="00917A8F"/>
    <w:rsid w:val="00917D16"/>
    <w:rsid w:val="00921DC6"/>
    <w:rsid w:val="00923540"/>
    <w:rsid w:val="009247A6"/>
    <w:rsid w:val="00924FEB"/>
    <w:rsid w:val="0092538A"/>
    <w:rsid w:val="009261CB"/>
    <w:rsid w:val="00926767"/>
    <w:rsid w:val="00926B45"/>
    <w:rsid w:val="009306E0"/>
    <w:rsid w:val="00932803"/>
    <w:rsid w:val="00933DC9"/>
    <w:rsid w:val="00934215"/>
    <w:rsid w:val="0093540B"/>
    <w:rsid w:val="00935DED"/>
    <w:rsid w:val="009361AC"/>
    <w:rsid w:val="009361D5"/>
    <w:rsid w:val="009404D4"/>
    <w:rsid w:val="00940804"/>
    <w:rsid w:val="0094090B"/>
    <w:rsid w:val="00940B58"/>
    <w:rsid w:val="00941D59"/>
    <w:rsid w:val="009428A4"/>
    <w:rsid w:val="0094314A"/>
    <w:rsid w:val="00944143"/>
    <w:rsid w:val="009449FB"/>
    <w:rsid w:val="00945B8B"/>
    <w:rsid w:val="00945F6E"/>
    <w:rsid w:val="00946F7F"/>
    <w:rsid w:val="00950138"/>
    <w:rsid w:val="00950A52"/>
    <w:rsid w:val="00952D1F"/>
    <w:rsid w:val="009537BF"/>
    <w:rsid w:val="00954AED"/>
    <w:rsid w:val="00954F71"/>
    <w:rsid w:val="00955178"/>
    <w:rsid w:val="00955F82"/>
    <w:rsid w:val="00956020"/>
    <w:rsid w:val="00956071"/>
    <w:rsid w:val="009568C9"/>
    <w:rsid w:val="0096076D"/>
    <w:rsid w:val="0096085B"/>
    <w:rsid w:val="0096106F"/>
    <w:rsid w:val="009612C9"/>
    <w:rsid w:val="00961A31"/>
    <w:rsid w:val="00962912"/>
    <w:rsid w:val="009630B5"/>
    <w:rsid w:val="009634EA"/>
    <w:rsid w:val="0096384E"/>
    <w:rsid w:val="00963A72"/>
    <w:rsid w:val="009649D4"/>
    <w:rsid w:val="00964A62"/>
    <w:rsid w:val="009659F4"/>
    <w:rsid w:val="00965D5A"/>
    <w:rsid w:val="00966971"/>
    <w:rsid w:val="0097080B"/>
    <w:rsid w:val="00970927"/>
    <w:rsid w:val="00970D60"/>
    <w:rsid w:val="009715B5"/>
    <w:rsid w:val="009733CF"/>
    <w:rsid w:val="0097348B"/>
    <w:rsid w:val="00973972"/>
    <w:rsid w:val="00973D1A"/>
    <w:rsid w:val="009752F5"/>
    <w:rsid w:val="0097551C"/>
    <w:rsid w:val="0097609B"/>
    <w:rsid w:val="0097674D"/>
    <w:rsid w:val="0098082A"/>
    <w:rsid w:val="00980D02"/>
    <w:rsid w:val="009814B1"/>
    <w:rsid w:val="0098227F"/>
    <w:rsid w:val="0098319C"/>
    <w:rsid w:val="00984630"/>
    <w:rsid w:val="0098528D"/>
    <w:rsid w:val="00985B28"/>
    <w:rsid w:val="00985E1C"/>
    <w:rsid w:val="00990036"/>
    <w:rsid w:val="009919DD"/>
    <w:rsid w:val="00992090"/>
    <w:rsid w:val="0099290D"/>
    <w:rsid w:val="009929F7"/>
    <w:rsid w:val="00993672"/>
    <w:rsid w:val="0099390E"/>
    <w:rsid w:val="00993B05"/>
    <w:rsid w:val="00993B6E"/>
    <w:rsid w:val="00994CD6"/>
    <w:rsid w:val="00995455"/>
    <w:rsid w:val="009960E5"/>
    <w:rsid w:val="0099613D"/>
    <w:rsid w:val="00996A7B"/>
    <w:rsid w:val="009973CB"/>
    <w:rsid w:val="009974D0"/>
    <w:rsid w:val="009975E3"/>
    <w:rsid w:val="009A0A67"/>
    <w:rsid w:val="009A0EB9"/>
    <w:rsid w:val="009A293C"/>
    <w:rsid w:val="009A29BF"/>
    <w:rsid w:val="009A3B28"/>
    <w:rsid w:val="009A3D76"/>
    <w:rsid w:val="009A4323"/>
    <w:rsid w:val="009A61D7"/>
    <w:rsid w:val="009A7ADC"/>
    <w:rsid w:val="009B0142"/>
    <w:rsid w:val="009B0D30"/>
    <w:rsid w:val="009B1925"/>
    <w:rsid w:val="009B262E"/>
    <w:rsid w:val="009B2C92"/>
    <w:rsid w:val="009B3A1A"/>
    <w:rsid w:val="009B52D7"/>
    <w:rsid w:val="009B55AB"/>
    <w:rsid w:val="009B6114"/>
    <w:rsid w:val="009B6D42"/>
    <w:rsid w:val="009B7D4E"/>
    <w:rsid w:val="009C00A2"/>
    <w:rsid w:val="009C038C"/>
    <w:rsid w:val="009C19B7"/>
    <w:rsid w:val="009C2193"/>
    <w:rsid w:val="009C309C"/>
    <w:rsid w:val="009C31CF"/>
    <w:rsid w:val="009C354F"/>
    <w:rsid w:val="009C3BFD"/>
    <w:rsid w:val="009C3CC2"/>
    <w:rsid w:val="009C3D7C"/>
    <w:rsid w:val="009C4631"/>
    <w:rsid w:val="009C5ABB"/>
    <w:rsid w:val="009C5C72"/>
    <w:rsid w:val="009C6E9D"/>
    <w:rsid w:val="009C71C5"/>
    <w:rsid w:val="009C7578"/>
    <w:rsid w:val="009C7875"/>
    <w:rsid w:val="009C7D4A"/>
    <w:rsid w:val="009D0BD8"/>
    <w:rsid w:val="009D0E5B"/>
    <w:rsid w:val="009D197E"/>
    <w:rsid w:val="009D19F7"/>
    <w:rsid w:val="009D2BDA"/>
    <w:rsid w:val="009D55E1"/>
    <w:rsid w:val="009D6192"/>
    <w:rsid w:val="009D7C51"/>
    <w:rsid w:val="009E0132"/>
    <w:rsid w:val="009E196C"/>
    <w:rsid w:val="009E27E1"/>
    <w:rsid w:val="009E2F91"/>
    <w:rsid w:val="009E3C89"/>
    <w:rsid w:val="009E47B7"/>
    <w:rsid w:val="009E49BA"/>
    <w:rsid w:val="009E5876"/>
    <w:rsid w:val="009E5FBA"/>
    <w:rsid w:val="009E64D8"/>
    <w:rsid w:val="009E766D"/>
    <w:rsid w:val="009E789E"/>
    <w:rsid w:val="009E7CC2"/>
    <w:rsid w:val="009F01BB"/>
    <w:rsid w:val="009F0BCA"/>
    <w:rsid w:val="009F0D04"/>
    <w:rsid w:val="009F175E"/>
    <w:rsid w:val="009F1BE5"/>
    <w:rsid w:val="009F36BF"/>
    <w:rsid w:val="009F4E02"/>
    <w:rsid w:val="009F5260"/>
    <w:rsid w:val="009F550F"/>
    <w:rsid w:val="009F6CEA"/>
    <w:rsid w:val="009F6F6F"/>
    <w:rsid w:val="00A000CB"/>
    <w:rsid w:val="00A002DF"/>
    <w:rsid w:val="00A014E5"/>
    <w:rsid w:val="00A02715"/>
    <w:rsid w:val="00A04779"/>
    <w:rsid w:val="00A048D7"/>
    <w:rsid w:val="00A05025"/>
    <w:rsid w:val="00A05291"/>
    <w:rsid w:val="00A05E13"/>
    <w:rsid w:val="00A0635D"/>
    <w:rsid w:val="00A06569"/>
    <w:rsid w:val="00A06B2C"/>
    <w:rsid w:val="00A06D46"/>
    <w:rsid w:val="00A07B38"/>
    <w:rsid w:val="00A10902"/>
    <w:rsid w:val="00A110F7"/>
    <w:rsid w:val="00A111B6"/>
    <w:rsid w:val="00A113C8"/>
    <w:rsid w:val="00A129BE"/>
    <w:rsid w:val="00A1383F"/>
    <w:rsid w:val="00A13FC3"/>
    <w:rsid w:val="00A14039"/>
    <w:rsid w:val="00A1468D"/>
    <w:rsid w:val="00A15648"/>
    <w:rsid w:val="00A15FE1"/>
    <w:rsid w:val="00A174A1"/>
    <w:rsid w:val="00A17670"/>
    <w:rsid w:val="00A21399"/>
    <w:rsid w:val="00A22385"/>
    <w:rsid w:val="00A23B04"/>
    <w:rsid w:val="00A2475E"/>
    <w:rsid w:val="00A2533B"/>
    <w:rsid w:val="00A2663B"/>
    <w:rsid w:val="00A26D27"/>
    <w:rsid w:val="00A31A37"/>
    <w:rsid w:val="00A31ACD"/>
    <w:rsid w:val="00A325B9"/>
    <w:rsid w:val="00A331D3"/>
    <w:rsid w:val="00A3478A"/>
    <w:rsid w:val="00A348BD"/>
    <w:rsid w:val="00A35A48"/>
    <w:rsid w:val="00A369EC"/>
    <w:rsid w:val="00A37306"/>
    <w:rsid w:val="00A376D6"/>
    <w:rsid w:val="00A376EE"/>
    <w:rsid w:val="00A37714"/>
    <w:rsid w:val="00A40672"/>
    <w:rsid w:val="00A41513"/>
    <w:rsid w:val="00A428D9"/>
    <w:rsid w:val="00A42A99"/>
    <w:rsid w:val="00A4314A"/>
    <w:rsid w:val="00A433EF"/>
    <w:rsid w:val="00A43654"/>
    <w:rsid w:val="00A448C8"/>
    <w:rsid w:val="00A449C6"/>
    <w:rsid w:val="00A451CE"/>
    <w:rsid w:val="00A45730"/>
    <w:rsid w:val="00A464E9"/>
    <w:rsid w:val="00A50175"/>
    <w:rsid w:val="00A5151A"/>
    <w:rsid w:val="00A51B94"/>
    <w:rsid w:val="00A53139"/>
    <w:rsid w:val="00A54719"/>
    <w:rsid w:val="00A559FA"/>
    <w:rsid w:val="00A55B66"/>
    <w:rsid w:val="00A55F03"/>
    <w:rsid w:val="00A56590"/>
    <w:rsid w:val="00A56599"/>
    <w:rsid w:val="00A5676B"/>
    <w:rsid w:val="00A569BD"/>
    <w:rsid w:val="00A57927"/>
    <w:rsid w:val="00A5793D"/>
    <w:rsid w:val="00A57E0A"/>
    <w:rsid w:val="00A6200A"/>
    <w:rsid w:val="00A6287D"/>
    <w:rsid w:val="00A63F91"/>
    <w:rsid w:val="00A647D4"/>
    <w:rsid w:val="00A6577B"/>
    <w:rsid w:val="00A65BA0"/>
    <w:rsid w:val="00A65C4B"/>
    <w:rsid w:val="00A6631F"/>
    <w:rsid w:val="00A7178E"/>
    <w:rsid w:val="00A71DDF"/>
    <w:rsid w:val="00A722DA"/>
    <w:rsid w:val="00A725C9"/>
    <w:rsid w:val="00A73756"/>
    <w:rsid w:val="00A74D1B"/>
    <w:rsid w:val="00A74EF6"/>
    <w:rsid w:val="00A75DF1"/>
    <w:rsid w:val="00A76070"/>
    <w:rsid w:val="00A76163"/>
    <w:rsid w:val="00A77042"/>
    <w:rsid w:val="00A7710B"/>
    <w:rsid w:val="00A77437"/>
    <w:rsid w:val="00A82278"/>
    <w:rsid w:val="00A823AE"/>
    <w:rsid w:val="00A823F6"/>
    <w:rsid w:val="00A826D0"/>
    <w:rsid w:val="00A83EA7"/>
    <w:rsid w:val="00A84FB8"/>
    <w:rsid w:val="00A865E7"/>
    <w:rsid w:val="00A8719E"/>
    <w:rsid w:val="00A87B2F"/>
    <w:rsid w:val="00A901A0"/>
    <w:rsid w:val="00A90811"/>
    <w:rsid w:val="00A9097D"/>
    <w:rsid w:val="00A910A2"/>
    <w:rsid w:val="00A911C8"/>
    <w:rsid w:val="00A9246C"/>
    <w:rsid w:val="00A925E4"/>
    <w:rsid w:val="00A92632"/>
    <w:rsid w:val="00A92F84"/>
    <w:rsid w:val="00A93A9A"/>
    <w:rsid w:val="00A94D91"/>
    <w:rsid w:val="00A94E19"/>
    <w:rsid w:val="00A94FE0"/>
    <w:rsid w:val="00A9568E"/>
    <w:rsid w:val="00A958D7"/>
    <w:rsid w:val="00A959E4"/>
    <w:rsid w:val="00A95D00"/>
    <w:rsid w:val="00A964CF"/>
    <w:rsid w:val="00A96F90"/>
    <w:rsid w:val="00A97864"/>
    <w:rsid w:val="00A9797F"/>
    <w:rsid w:val="00AA0517"/>
    <w:rsid w:val="00AA0A89"/>
    <w:rsid w:val="00AA0B1C"/>
    <w:rsid w:val="00AA1C42"/>
    <w:rsid w:val="00AA6429"/>
    <w:rsid w:val="00AA70EC"/>
    <w:rsid w:val="00AA7EDA"/>
    <w:rsid w:val="00AB097E"/>
    <w:rsid w:val="00AB1E2C"/>
    <w:rsid w:val="00AB3BE3"/>
    <w:rsid w:val="00AB4540"/>
    <w:rsid w:val="00AB5FB4"/>
    <w:rsid w:val="00AB79E5"/>
    <w:rsid w:val="00AC0168"/>
    <w:rsid w:val="00AC01AA"/>
    <w:rsid w:val="00AC17F3"/>
    <w:rsid w:val="00AC1E76"/>
    <w:rsid w:val="00AC212A"/>
    <w:rsid w:val="00AC25FC"/>
    <w:rsid w:val="00AC4E6D"/>
    <w:rsid w:val="00AC4F72"/>
    <w:rsid w:val="00AC5F3F"/>
    <w:rsid w:val="00AC6927"/>
    <w:rsid w:val="00AC696A"/>
    <w:rsid w:val="00AC6974"/>
    <w:rsid w:val="00AC6BF0"/>
    <w:rsid w:val="00AC7121"/>
    <w:rsid w:val="00AC7366"/>
    <w:rsid w:val="00AC76E8"/>
    <w:rsid w:val="00AD04D9"/>
    <w:rsid w:val="00AD0FB0"/>
    <w:rsid w:val="00AD17EC"/>
    <w:rsid w:val="00AD2299"/>
    <w:rsid w:val="00AD230E"/>
    <w:rsid w:val="00AD373E"/>
    <w:rsid w:val="00AD3CA4"/>
    <w:rsid w:val="00AD4EC5"/>
    <w:rsid w:val="00AD4F7B"/>
    <w:rsid w:val="00AD6594"/>
    <w:rsid w:val="00AD69A4"/>
    <w:rsid w:val="00AE0150"/>
    <w:rsid w:val="00AE0731"/>
    <w:rsid w:val="00AE1DBE"/>
    <w:rsid w:val="00AE20EC"/>
    <w:rsid w:val="00AE2847"/>
    <w:rsid w:val="00AE2B4A"/>
    <w:rsid w:val="00AE3156"/>
    <w:rsid w:val="00AE3B97"/>
    <w:rsid w:val="00AE3FFA"/>
    <w:rsid w:val="00AE4468"/>
    <w:rsid w:val="00AE449B"/>
    <w:rsid w:val="00AE5159"/>
    <w:rsid w:val="00AE6018"/>
    <w:rsid w:val="00AE76B3"/>
    <w:rsid w:val="00AF093D"/>
    <w:rsid w:val="00AF0E2B"/>
    <w:rsid w:val="00AF1609"/>
    <w:rsid w:val="00AF2016"/>
    <w:rsid w:val="00AF21F9"/>
    <w:rsid w:val="00AF3A3A"/>
    <w:rsid w:val="00AF4B24"/>
    <w:rsid w:val="00AF4C03"/>
    <w:rsid w:val="00AF5640"/>
    <w:rsid w:val="00AF586E"/>
    <w:rsid w:val="00AF598A"/>
    <w:rsid w:val="00AF6016"/>
    <w:rsid w:val="00AF65B5"/>
    <w:rsid w:val="00AF6D90"/>
    <w:rsid w:val="00AF741A"/>
    <w:rsid w:val="00AF751C"/>
    <w:rsid w:val="00B000F9"/>
    <w:rsid w:val="00B00DEF"/>
    <w:rsid w:val="00B00F39"/>
    <w:rsid w:val="00B01481"/>
    <w:rsid w:val="00B01ADB"/>
    <w:rsid w:val="00B01FAB"/>
    <w:rsid w:val="00B02AF8"/>
    <w:rsid w:val="00B02DD3"/>
    <w:rsid w:val="00B03A36"/>
    <w:rsid w:val="00B03C27"/>
    <w:rsid w:val="00B03CED"/>
    <w:rsid w:val="00B04161"/>
    <w:rsid w:val="00B04B7B"/>
    <w:rsid w:val="00B04E6F"/>
    <w:rsid w:val="00B0512D"/>
    <w:rsid w:val="00B056F9"/>
    <w:rsid w:val="00B10021"/>
    <w:rsid w:val="00B11E3D"/>
    <w:rsid w:val="00B1278E"/>
    <w:rsid w:val="00B14A47"/>
    <w:rsid w:val="00B162E9"/>
    <w:rsid w:val="00B1692A"/>
    <w:rsid w:val="00B16BF4"/>
    <w:rsid w:val="00B1770D"/>
    <w:rsid w:val="00B17E82"/>
    <w:rsid w:val="00B2013A"/>
    <w:rsid w:val="00B212E9"/>
    <w:rsid w:val="00B2280D"/>
    <w:rsid w:val="00B23C28"/>
    <w:rsid w:val="00B24955"/>
    <w:rsid w:val="00B24BB0"/>
    <w:rsid w:val="00B26335"/>
    <w:rsid w:val="00B271CD"/>
    <w:rsid w:val="00B303BD"/>
    <w:rsid w:val="00B31582"/>
    <w:rsid w:val="00B31E8D"/>
    <w:rsid w:val="00B32B39"/>
    <w:rsid w:val="00B339B9"/>
    <w:rsid w:val="00B342BA"/>
    <w:rsid w:val="00B34727"/>
    <w:rsid w:val="00B34DDD"/>
    <w:rsid w:val="00B34F95"/>
    <w:rsid w:val="00B358D5"/>
    <w:rsid w:val="00B35964"/>
    <w:rsid w:val="00B369CC"/>
    <w:rsid w:val="00B37018"/>
    <w:rsid w:val="00B37E23"/>
    <w:rsid w:val="00B41C83"/>
    <w:rsid w:val="00B41D66"/>
    <w:rsid w:val="00B422F6"/>
    <w:rsid w:val="00B424D3"/>
    <w:rsid w:val="00B4287E"/>
    <w:rsid w:val="00B42EF5"/>
    <w:rsid w:val="00B44F2F"/>
    <w:rsid w:val="00B4575A"/>
    <w:rsid w:val="00B47762"/>
    <w:rsid w:val="00B50A3C"/>
    <w:rsid w:val="00B5115B"/>
    <w:rsid w:val="00B51A14"/>
    <w:rsid w:val="00B528F3"/>
    <w:rsid w:val="00B55F68"/>
    <w:rsid w:val="00B57458"/>
    <w:rsid w:val="00B575BA"/>
    <w:rsid w:val="00B57FC3"/>
    <w:rsid w:val="00B60823"/>
    <w:rsid w:val="00B61E09"/>
    <w:rsid w:val="00B625AD"/>
    <w:rsid w:val="00B627A8"/>
    <w:rsid w:val="00B63679"/>
    <w:rsid w:val="00B63951"/>
    <w:rsid w:val="00B65036"/>
    <w:rsid w:val="00B6671F"/>
    <w:rsid w:val="00B66864"/>
    <w:rsid w:val="00B67411"/>
    <w:rsid w:val="00B67E84"/>
    <w:rsid w:val="00B70BBB"/>
    <w:rsid w:val="00B71234"/>
    <w:rsid w:val="00B71608"/>
    <w:rsid w:val="00B72600"/>
    <w:rsid w:val="00B732FF"/>
    <w:rsid w:val="00B74966"/>
    <w:rsid w:val="00B76429"/>
    <w:rsid w:val="00B764BC"/>
    <w:rsid w:val="00B779EA"/>
    <w:rsid w:val="00B802ED"/>
    <w:rsid w:val="00B80654"/>
    <w:rsid w:val="00B80B0C"/>
    <w:rsid w:val="00B81DEF"/>
    <w:rsid w:val="00B8414A"/>
    <w:rsid w:val="00B8606D"/>
    <w:rsid w:val="00B90A56"/>
    <w:rsid w:val="00B90F2B"/>
    <w:rsid w:val="00B91138"/>
    <w:rsid w:val="00B91B13"/>
    <w:rsid w:val="00B91E0F"/>
    <w:rsid w:val="00B9227E"/>
    <w:rsid w:val="00B92984"/>
    <w:rsid w:val="00B92BDA"/>
    <w:rsid w:val="00B939D6"/>
    <w:rsid w:val="00B9485B"/>
    <w:rsid w:val="00B95145"/>
    <w:rsid w:val="00B956D4"/>
    <w:rsid w:val="00B96020"/>
    <w:rsid w:val="00B97446"/>
    <w:rsid w:val="00B97BD8"/>
    <w:rsid w:val="00B97E04"/>
    <w:rsid w:val="00BA014F"/>
    <w:rsid w:val="00BA0348"/>
    <w:rsid w:val="00BA0964"/>
    <w:rsid w:val="00BA13B9"/>
    <w:rsid w:val="00BA14FC"/>
    <w:rsid w:val="00BA3899"/>
    <w:rsid w:val="00BA3F34"/>
    <w:rsid w:val="00BA41F7"/>
    <w:rsid w:val="00BA5624"/>
    <w:rsid w:val="00BA5785"/>
    <w:rsid w:val="00BA6B1D"/>
    <w:rsid w:val="00BA7432"/>
    <w:rsid w:val="00BA78BD"/>
    <w:rsid w:val="00BA7B1E"/>
    <w:rsid w:val="00BB1446"/>
    <w:rsid w:val="00BB2764"/>
    <w:rsid w:val="00BB60C5"/>
    <w:rsid w:val="00BB63EB"/>
    <w:rsid w:val="00BB6464"/>
    <w:rsid w:val="00BC0C87"/>
    <w:rsid w:val="00BC0F9C"/>
    <w:rsid w:val="00BC1215"/>
    <w:rsid w:val="00BC19CE"/>
    <w:rsid w:val="00BC1A3E"/>
    <w:rsid w:val="00BC1AA0"/>
    <w:rsid w:val="00BC2495"/>
    <w:rsid w:val="00BC3472"/>
    <w:rsid w:val="00BC4495"/>
    <w:rsid w:val="00BC48D1"/>
    <w:rsid w:val="00BC5D4D"/>
    <w:rsid w:val="00BC6444"/>
    <w:rsid w:val="00BC6E4D"/>
    <w:rsid w:val="00BC7117"/>
    <w:rsid w:val="00BC7EB9"/>
    <w:rsid w:val="00BD0253"/>
    <w:rsid w:val="00BD0BEC"/>
    <w:rsid w:val="00BD0DDA"/>
    <w:rsid w:val="00BD11BA"/>
    <w:rsid w:val="00BD2643"/>
    <w:rsid w:val="00BD50B9"/>
    <w:rsid w:val="00BD53D1"/>
    <w:rsid w:val="00BD545E"/>
    <w:rsid w:val="00BD56B1"/>
    <w:rsid w:val="00BD6558"/>
    <w:rsid w:val="00BD755A"/>
    <w:rsid w:val="00BE0AF7"/>
    <w:rsid w:val="00BE0F11"/>
    <w:rsid w:val="00BE108B"/>
    <w:rsid w:val="00BE14A1"/>
    <w:rsid w:val="00BE21DE"/>
    <w:rsid w:val="00BE35AE"/>
    <w:rsid w:val="00BE4271"/>
    <w:rsid w:val="00BE460D"/>
    <w:rsid w:val="00BE6815"/>
    <w:rsid w:val="00BE709A"/>
    <w:rsid w:val="00BF0EB0"/>
    <w:rsid w:val="00BF1C06"/>
    <w:rsid w:val="00BF2AF9"/>
    <w:rsid w:val="00BF2F76"/>
    <w:rsid w:val="00BF3022"/>
    <w:rsid w:val="00BF3214"/>
    <w:rsid w:val="00BF4124"/>
    <w:rsid w:val="00BF4192"/>
    <w:rsid w:val="00BF5573"/>
    <w:rsid w:val="00BF571B"/>
    <w:rsid w:val="00BF597A"/>
    <w:rsid w:val="00BF6DAC"/>
    <w:rsid w:val="00BF71C9"/>
    <w:rsid w:val="00C00D4D"/>
    <w:rsid w:val="00C01977"/>
    <w:rsid w:val="00C019B4"/>
    <w:rsid w:val="00C023B5"/>
    <w:rsid w:val="00C02997"/>
    <w:rsid w:val="00C031B4"/>
    <w:rsid w:val="00C0471E"/>
    <w:rsid w:val="00C059CC"/>
    <w:rsid w:val="00C107DD"/>
    <w:rsid w:val="00C1331F"/>
    <w:rsid w:val="00C13E1B"/>
    <w:rsid w:val="00C14279"/>
    <w:rsid w:val="00C15551"/>
    <w:rsid w:val="00C15867"/>
    <w:rsid w:val="00C163E6"/>
    <w:rsid w:val="00C16CB0"/>
    <w:rsid w:val="00C16CCA"/>
    <w:rsid w:val="00C179F5"/>
    <w:rsid w:val="00C17D1A"/>
    <w:rsid w:val="00C20931"/>
    <w:rsid w:val="00C209F5"/>
    <w:rsid w:val="00C20DBD"/>
    <w:rsid w:val="00C21007"/>
    <w:rsid w:val="00C21071"/>
    <w:rsid w:val="00C21EA0"/>
    <w:rsid w:val="00C22146"/>
    <w:rsid w:val="00C2296D"/>
    <w:rsid w:val="00C22F4F"/>
    <w:rsid w:val="00C23155"/>
    <w:rsid w:val="00C235E5"/>
    <w:rsid w:val="00C24385"/>
    <w:rsid w:val="00C252B7"/>
    <w:rsid w:val="00C2533D"/>
    <w:rsid w:val="00C260DA"/>
    <w:rsid w:val="00C27CDA"/>
    <w:rsid w:val="00C30806"/>
    <w:rsid w:val="00C30A7B"/>
    <w:rsid w:val="00C31192"/>
    <w:rsid w:val="00C31E53"/>
    <w:rsid w:val="00C32236"/>
    <w:rsid w:val="00C32F0C"/>
    <w:rsid w:val="00C339F4"/>
    <w:rsid w:val="00C33E6D"/>
    <w:rsid w:val="00C36069"/>
    <w:rsid w:val="00C3646E"/>
    <w:rsid w:val="00C36CA8"/>
    <w:rsid w:val="00C377B6"/>
    <w:rsid w:val="00C379D9"/>
    <w:rsid w:val="00C37BEC"/>
    <w:rsid w:val="00C40C41"/>
    <w:rsid w:val="00C40E56"/>
    <w:rsid w:val="00C4254D"/>
    <w:rsid w:val="00C428FE"/>
    <w:rsid w:val="00C43CCD"/>
    <w:rsid w:val="00C4419D"/>
    <w:rsid w:val="00C445BD"/>
    <w:rsid w:val="00C44786"/>
    <w:rsid w:val="00C452F2"/>
    <w:rsid w:val="00C45885"/>
    <w:rsid w:val="00C46483"/>
    <w:rsid w:val="00C50F22"/>
    <w:rsid w:val="00C51235"/>
    <w:rsid w:val="00C52A4C"/>
    <w:rsid w:val="00C54CF5"/>
    <w:rsid w:val="00C54DC6"/>
    <w:rsid w:val="00C5684C"/>
    <w:rsid w:val="00C57971"/>
    <w:rsid w:val="00C57BCB"/>
    <w:rsid w:val="00C6076D"/>
    <w:rsid w:val="00C607C1"/>
    <w:rsid w:val="00C61714"/>
    <w:rsid w:val="00C61A0B"/>
    <w:rsid w:val="00C6380B"/>
    <w:rsid w:val="00C647E7"/>
    <w:rsid w:val="00C65541"/>
    <w:rsid w:val="00C65BD7"/>
    <w:rsid w:val="00C67B45"/>
    <w:rsid w:val="00C701FD"/>
    <w:rsid w:val="00C708D8"/>
    <w:rsid w:val="00C71FA9"/>
    <w:rsid w:val="00C727F3"/>
    <w:rsid w:val="00C73385"/>
    <w:rsid w:val="00C7494F"/>
    <w:rsid w:val="00C74F1D"/>
    <w:rsid w:val="00C75991"/>
    <w:rsid w:val="00C7691C"/>
    <w:rsid w:val="00C76BA4"/>
    <w:rsid w:val="00C779A3"/>
    <w:rsid w:val="00C77D76"/>
    <w:rsid w:val="00C80473"/>
    <w:rsid w:val="00C83016"/>
    <w:rsid w:val="00C83A48"/>
    <w:rsid w:val="00C83D4C"/>
    <w:rsid w:val="00C84A16"/>
    <w:rsid w:val="00C85865"/>
    <w:rsid w:val="00C85E85"/>
    <w:rsid w:val="00C86333"/>
    <w:rsid w:val="00C86E1A"/>
    <w:rsid w:val="00C86F76"/>
    <w:rsid w:val="00C874DC"/>
    <w:rsid w:val="00C878E2"/>
    <w:rsid w:val="00C87E67"/>
    <w:rsid w:val="00C902F8"/>
    <w:rsid w:val="00C906FD"/>
    <w:rsid w:val="00C9193E"/>
    <w:rsid w:val="00C9328E"/>
    <w:rsid w:val="00C94BED"/>
    <w:rsid w:val="00C956C7"/>
    <w:rsid w:val="00C95E4D"/>
    <w:rsid w:val="00C96848"/>
    <w:rsid w:val="00C96A94"/>
    <w:rsid w:val="00C97D6B"/>
    <w:rsid w:val="00CA1454"/>
    <w:rsid w:val="00CA1473"/>
    <w:rsid w:val="00CA1D41"/>
    <w:rsid w:val="00CA1F45"/>
    <w:rsid w:val="00CA2033"/>
    <w:rsid w:val="00CA2082"/>
    <w:rsid w:val="00CA2EAE"/>
    <w:rsid w:val="00CA4A26"/>
    <w:rsid w:val="00CA4AC1"/>
    <w:rsid w:val="00CA4C5D"/>
    <w:rsid w:val="00CA51E4"/>
    <w:rsid w:val="00CA551F"/>
    <w:rsid w:val="00CA5638"/>
    <w:rsid w:val="00CA5A55"/>
    <w:rsid w:val="00CA779D"/>
    <w:rsid w:val="00CB0316"/>
    <w:rsid w:val="00CB0B11"/>
    <w:rsid w:val="00CB1712"/>
    <w:rsid w:val="00CB2395"/>
    <w:rsid w:val="00CB248A"/>
    <w:rsid w:val="00CB2F1F"/>
    <w:rsid w:val="00CB30BC"/>
    <w:rsid w:val="00CB40B4"/>
    <w:rsid w:val="00CB426A"/>
    <w:rsid w:val="00CB431F"/>
    <w:rsid w:val="00CB4D04"/>
    <w:rsid w:val="00CB50C6"/>
    <w:rsid w:val="00CB5354"/>
    <w:rsid w:val="00CB5A76"/>
    <w:rsid w:val="00CB5E29"/>
    <w:rsid w:val="00CC0567"/>
    <w:rsid w:val="00CC171B"/>
    <w:rsid w:val="00CC2D6D"/>
    <w:rsid w:val="00CC3C9E"/>
    <w:rsid w:val="00CC4778"/>
    <w:rsid w:val="00CC4E74"/>
    <w:rsid w:val="00CC5F27"/>
    <w:rsid w:val="00CC6316"/>
    <w:rsid w:val="00CC659E"/>
    <w:rsid w:val="00CC68ED"/>
    <w:rsid w:val="00CC698C"/>
    <w:rsid w:val="00CC6A14"/>
    <w:rsid w:val="00CC70A3"/>
    <w:rsid w:val="00CC70A9"/>
    <w:rsid w:val="00CC73C8"/>
    <w:rsid w:val="00CD0314"/>
    <w:rsid w:val="00CD09B1"/>
    <w:rsid w:val="00CD0F0E"/>
    <w:rsid w:val="00CD2051"/>
    <w:rsid w:val="00CD23CF"/>
    <w:rsid w:val="00CD25D9"/>
    <w:rsid w:val="00CD2604"/>
    <w:rsid w:val="00CD2786"/>
    <w:rsid w:val="00CD2AA3"/>
    <w:rsid w:val="00CD4442"/>
    <w:rsid w:val="00CD53C3"/>
    <w:rsid w:val="00CD574E"/>
    <w:rsid w:val="00CD6E9A"/>
    <w:rsid w:val="00CD776A"/>
    <w:rsid w:val="00CE0092"/>
    <w:rsid w:val="00CE00F3"/>
    <w:rsid w:val="00CE136A"/>
    <w:rsid w:val="00CE1597"/>
    <w:rsid w:val="00CE1A8B"/>
    <w:rsid w:val="00CE27E6"/>
    <w:rsid w:val="00CE4C22"/>
    <w:rsid w:val="00CE5831"/>
    <w:rsid w:val="00CE5FFD"/>
    <w:rsid w:val="00CE6485"/>
    <w:rsid w:val="00CE76B2"/>
    <w:rsid w:val="00CF04DE"/>
    <w:rsid w:val="00CF08E3"/>
    <w:rsid w:val="00CF23B2"/>
    <w:rsid w:val="00CF41EC"/>
    <w:rsid w:val="00CF4803"/>
    <w:rsid w:val="00CF496C"/>
    <w:rsid w:val="00CF4AE4"/>
    <w:rsid w:val="00CF5497"/>
    <w:rsid w:val="00CF5977"/>
    <w:rsid w:val="00CF5D04"/>
    <w:rsid w:val="00CF5D4F"/>
    <w:rsid w:val="00CF5EBB"/>
    <w:rsid w:val="00CF71DD"/>
    <w:rsid w:val="00CF7FB6"/>
    <w:rsid w:val="00D00693"/>
    <w:rsid w:val="00D0114D"/>
    <w:rsid w:val="00D02DD9"/>
    <w:rsid w:val="00D033F9"/>
    <w:rsid w:val="00D0383F"/>
    <w:rsid w:val="00D03C8D"/>
    <w:rsid w:val="00D043F8"/>
    <w:rsid w:val="00D04D20"/>
    <w:rsid w:val="00D04DE4"/>
    <w:rsid w:val="00D04EA8"/>
    <w:rsid w:val="00D05192"/>
    <w:rsid w:val="00D05795"/>
    <w:rsid w:val="00D063F1"/>
    <w:rsid w:val="00D06430"/>
    <w:rsid w:val="00D07515"/>
    <w:rsid w:val="00D07E9B"/>
    <w:rsid w:val="00D10793"/>
    <w:rsid w:val="00D109A5"/>
    <w:rsid w:val="00D10E3D"/>
    <w:rsid w:val="00D1123C"/>
    <w:rsid w:val="00D118E6"/>
    <w:rsid w:val="00D11FAC"/>
    <w:rsid w:val="00D12ACD"/>
    <w:rsid w:val="00D13D78"/>
    <w:rsid w:val="00D146B1"/>
    <w:rsid w:val="00D14F22"/>
    <w:rsid w:val="00D165AD"/>
    <w:rsid w:val="00D16BC1"/>
    <w:rsid w:val="00D16C17"/>
    <w:rsid w:val="00D17895"/>
    <w:rsid w:val="00D179DD"/>
    <w:rsid w:val="00D17E90"/>
    <w:rsid w:val="00D20072"/>
    <w:rsid w:val="00D20240"/>
    <w:rsid w:val="00D20393"/>
    <w:rsid w:val="00D2046F"/>
    <w:rsid w:val="00D2157D"/>
    <w:rsid w:val="00D21CDD"/>
    <w:rsid w:val="00D2369F"/>
    <w:rsid w:val="00D247F4"/>
    <w:rsid w:val="00D25410"/>
    <w:rsid w:val="00D27C3F"/>
    <w:rsid w:val="00D31496"/>
    <w:rsid w:val="00D315B8"/>
    <w:rsid w:val="00D3206F"/>
    <w:rsid w:val="00D34DF5"/>
    <w:rsid w:val="00D3585C"/>
    <w:rsid w:val="00D3734D"/>
    <w:rsid w:val="00D41C96"/>
    <w:rsid w:val="00D430E8"/>
    <w:rsid w:val="00D44869"/>
    <w:rsid w:val="00D454E6"/>
    <w:rsid w:val="00D45FAD"/>
    <w:rsid w:val="00D471DE"/>
    <w:rsid w:val="00D472C1"/>
    <w:rsid w:val="00D4741C"/>
    <w:rsid w:val="00D4785B"/>
    <w:rsid w:val="00D50372"/>
    <w:rsid w:val="00D51436"/>
    <w:rsid w:val="00D534E1"/>
    <w:rsid w:val="00D542DD"/>
    <w:rsid w:val="00D5480B"/>
    <w:rsid w:val="00D551B9"/>
    <w:rsid w:val="00D56CEA"/>
    <w:rsid w:val="00D57559"/>
    <w:rsid w:val="00D57918"/>
    <w:rsid w:val="00D615FA"/>
    <w:rsid w:val="00D61924"/>
    <w:rsid w:val="00D6409B"/>
    <w:rsid w:val="00D7183E"/>
    <w:rsid w:val="00D72718"/>
    <w:rsid w:val="00D73DC6"/>
    <w:rsid w:val="00D74C1A"/>
    <w:rsid w:val="00D754C1"/>
    <w:rsid w:val="00D755D0"/>
    <w:rsid w:val="00D7638F"/>
    <w:rsid w:val="00D77393"/>
    <w:rsid w:val="00D7744F"/>
    <w:rsid w:val="00D77A35"/>
    <w:rsid w:val="00D81B3E"/>
    <w:rsid w:val="00D82370"/>
    <w:rsid w:val="00D842C0"/>
    <w:rsid w:val="00D84A6A"/>
    <w:rsid w:val="00D84EF3"/>
    <w:rsid w:val="00D85364"/>
    <w:rsid w:val="00D85A62"/>
    <w:rsid w:val="00D876D9"/>
    <w:rsid w:val="00D878F6"/>
    <w:rsid w:val="00D90C70"/>
    <w:rsid w:val="00D90E49"/>
    <w:rsid w:val="00D911BB"/>
    <w:rsid w:val="00D9161E"/>
    <w:rsid w:val="00D91B21"/>
    <w:rsid w:val="00D92730"/>
    <w:rsid w:val="00D9288B"/>
    <w:rsid w:val="00D94316"/>
    <w:rsid w:val="00D954E8"/>
    <w:rsid w:val="00D95837"/>
    <w:rsid w:val="00D95A7E"/>
    <w:rsid w:val="00D960F5"/>
    <w:rsid w:val="00D969AA"/>
    <w:rsid w:val="00D96ADE"/>
    <w:rsid w:val="00D96CD3"/>
    <w:rsid w:val="00D97D26"/>
    <w:rsid w:val="00DA00F6"/>
    <w:rsid w:val="00DA0CE2"/>
    <w:rsid w:val="00DA0F8A"/>
    <w:rsid w:val="00DA1DE4"/>
    <w:rsid w:val="00DA25CE"/>
    <w:rsid w:val="00DA28A0"/>
    <w:rsid w:val="00DA32A6"/>
    <w:rsid w:val="00DA3B3A"/>
    <w:rsid w:val="00DA57C5"/>
    <w:rsid w:val="00DA5CF9"/>
    <w:rsid w:val="00DA7FA0"/>
    <w:rsid w:val="00DB21D4"/>
    <w:rsid w:val="00DB2804"/>
    <w:rsid w:val="00DB2B13"/>
    <w:rsid w:val="00DB2D4F"/>
    <w:rsid w:val="00DB44BB"/>
    <w:rsid w:val="00DB5A83"/>
    <w:rsid w:val="00DC0824"/>
    <w:rsid w:val="00DC12B2"/>
    <w:rsid w:val="00DC12D4"/>
    <w:rsid w:val="00DC2285"/>
    <w:rsid w:val="00DC26C4"/>
    <w:rsid w:val="00DC3C05"/>
    <w:rsid w:val="00DC4126"/>
    <w:rsid w:val="00DC49C5"/>
    <w:rsid w:val="00DC5091"/>
    <w:rsid w:val="00DC525E"/>
    <w:rsid w:val="00DC6989"/>
    <w:rsid w:val="00DC6A10"/>
    <w:rsid w:val="00DC77C7"/>
    <w:rsid w:val="00DC7B25"/>
    <w:rsid w:val="00DC7ED0"/>
    <w:rsid w:val="00DD123D"/>
    <w:rsid w:val="00DD2BBB"/>
    <w:rsid w:val="00DD37D5"/>
    <w:rsid w:val="00DD42B7"/>
    <w:rsid w:val="00DD4589"/>
    <w:rsid w:val="00DD4C20"/>
    <w:rsid w:val="00DD4F70"/>
    <w:rsid w:val="00DD5963"/>
    <w:rsid w:val="00DD5BD2"/>
    <w:rsid w:val="00DD6243"/>
    <w:rsid w:val="00DD715A"/>
    <w:rsid w:val="00DE08E6"/>
    <w:rsid w:val="00DE1888"/>
    <w:rsid w:val="00DE1EBF"/>
    <w:rsid w:val="00DE4452"/>
    <w:rsid w:val="00DE59CD"/>
    <w:rsid w:val="00DE657E"/>
    <w:rsid w:val="00DE7308"/>
    <w:rsid w:val="00DE74F4"/>
    <w:rsid w:val="00DE766A"/>
    <w:rsid w:val="00DF0B19"/>
    <w:rsid w:val="00DF0DEF"/>
    <w:rsid w:val="00DF1A07"/>
    <w:rsid w:val="00DF3A27"/>
    <w:rsid w:val="00DF4704"/>
    <w:rsid w:val="00DF475C"/>
    <w:rsid w:val="00DF497B"/>
    <w:rsid w:val="00DF535B"/>
    <w:rsid w:val="00DF56F6"/>
    <w:rsid w:val="00DF5D60"/>
    <w:rsid w:val="00DF61CD"/>
    <w:rsid w:val="00DF759F"/>
    <w:rsid w:val="00E01090"/>
    <w:rsid w:val="00E011E5"/>
    <w:rsid w:val="00E01427"/>
    <w:rsid w:val="00E024AA"/>
    <w:rsid w:val="00E02AF4"/>
    <w:rsid w:val="00E054CD"/>
    <w:rsid w:val="00E06408"/>
    <w:rsid w:val="00E07303"/>
    <w:rsid w:val="00E07C9A"/>
    <w:rsid w:val="00E07EF3"/>
    <w:rsid w:val="00E07FF0"/>
    <w:rsid w:val="00E10249"/>
    <w:rsid w:val="00E114B7"/>
    <w:rsid w:val="00E12AFA"/>
    <w:rsid w:val="00E13013"/>
    <w:rsid w:val="00E13FAE"/>
    <w:rsid w:val="00E140E5"/>
    <w:rsid w:val="00E15C77"/>
    <w:rsid w:val="00E15EA8"/>
    <w:rsid w:val="00E164FA"/>
    <w:rsid w:val="00E20ADA"/>
    <w:rsid w:val="00E2130D"/>
    <w:rsid w:val="00E21734"/>
    <w:rsid w:val="00E220D8"/>
    <w:rsid w:val="00E221FB"/>
    <w:rsid w:val="00E2257A"/>
    <w:rsid w:val="00E2279C"/>
    <w:rsid w:val="00E22CCF"/>
    <w:rsid w:val="00E23AAC"/>
    <w:rsid w:val="00E23BEF"/>
    <w:rsid w:val="00E250F1"/>
    <w:rsid w:val="00E25408"/>
    <w:rsid w:val="00E25B5E"/>
    <w:rsid w:val="00E26192"/>
    <w:rsid w:val="00E26491"/>
    <w:rsid w:val="00E2653F"/>
    <w:rsid w:val="00E301B6"/>
    <w:rsid w:val="00E335C7"/>
    <w:rsid w:val="00E33A38"/>
    <w:rsid w:val="00E3550D"/>
    <w:rsid w:val="00E36A59"/>
    <w:rsid w:val="00E36C14"/>
    <w:rsid w:val="00E36DB1"/>
    <w:rsid w:val="00E405F8"/>
    <w:rsid w:val="00E415DA"/>
    <w:rsid w:val="00E417EB"/>
    <w:rsid w:val="00E41EC7"/>
    <w:rsid w:val="00E42FAA"/>
    <w:rsid w:val="00E43D6E"/>
    <w:rsid w:val="00E45BE6"/>
    <w:rsid w:val="00E466E0"/>
    <w:rsid w:val="00E46764"/>
    <w:rsid w:val="00E47724"/>
    <w:rsid w:val="00E505DC"/>
    <w:rsid w:val="00E514EA"/>
    <w:rsid w:val="00E51CB8"/>
    <w:rsid w:val="00E527F2"/>
    <w:rsid w:val="00E52838"/>
    <w:rsid w:val="00E529BF"/>
    <w:rsid w:val="00E52C99"/>
    <w:rsid w:val="00E52CC6"/>
    <w:rsid w:val="00E54886"/>
    <w:rsid w:val="00E54A21"/>
    <w:rsid w:val="00E557A8"/>
    <w:rsid w:val="00E557B7"/>
    <w:rsid w:val="00E57182"/>
    <w:rsid w:val="00E578DA"/>
    <w:rsid w:val="00E6016B"/>
    <w:rsid w:val="00E60255"/>
    <w:rsid w:val="00E614E0"/>
    <w:rsid w:val="00E62A83"/>
    <w:rsid w:val="00E62E83"/>
    <w:rsid w:val="00E64139"/>
    <w:rsid w:val="00E64332"/>
    <w:rsid w:val="00E647F0"/>
    <w:rsid w:val="00E65778"/>
    <w:rsid w:val="00E66738"/>
    <w:rsid w:val="00E674D8"/>
    <w:rsid w:val="00E67ADC"/>
    <w:rsid w:val="00E67C79"/>
    <w:rsid w:val="00E67DFB"/>
    <w:rsid w:val="00E7004B"/>
    <w:rsid w:val="00E7010D"/>
    <w:rsid w:val="00E70331"/>
    <w:rsid w:val="00E70D80"/>
    <w:rsid w:val="00E71647"/>
    <w:rsid w:val="00E71BC5"/>
    <w:rsid w:val="00E71D94"/>
    <w:rsid w:val="00E71E5D"/>
    <w:rsid w:val="00E730DD"/>
    <w:rsid w:val="00E73F7F"/>
    <w:rsid w:val="00E74BA3"/>
    <w:rsid w:val="00E75633"/>
    <w:rsid w:val="00E771CF"/>
    <w:rsid w:val="00E80800"/>
    <w:rsid w:val="00E80A03"/>
    <w:rsid w:val="00E80C90"/>
    <w:rsid w:val="00E82C53"/>
    <w:rsid w:val="00E8322A"/>
    <w:rsid w:val="00E839C4"/>
    <w:rsid w:val="00E8490E"/>
    <w:rsid w:val="00E85409"/>
    <w:rsid w:val="00E85AB7"/>
    <w:rsid w:val="00E87B5F"/>
    <w:rsid w:val="00E87E5E"/>
    <w:rsid w:val="00E905E1"/>
    <w:rsid w:val="00E907EB"/>
    <w:rsid w:val="00E9246B"/>
    <w:rsid w:val="00E929FB"/>
    <w:rsid w:val="00E932C1"/>
    <w:rsid w:val="00E94810"/>
    <w:rsid w:val="00E94992"/>
    <w:rsid w:val="00E959DE"/>
    <w:rsid w:val="00E97917"/>
    <w:rsid w:val="00E97C75"/>
    <w:rsid w:val="00EA01B3"/>
    <w:rsid w:val="00EA0545"/>
    <w:rsid w:val="00EA30B4"/>
    <w:rsid w:val="00EA30D2"/>
    <w:rsid w:val="00EA3A23"/>
    <w:rsid w:val="00EA429F"/>
    <w:rsid w:val="00EA4F9E"/>
    <w:rsid w:val="00EA53A6"/>
    <w:rsid w:val="00EA5900"/>
    <w:rsid w:val="00EA63CA"/>
    <w:rsid w:val="00EA6A7F"/>
    <w:rsid w:val="00EA6D3B"/>
    <w:rsid w:val="00EA70E6"/>
    <w:rsid w:val="00EA74DC"/>
    <w:rsid w:val="00EA7F3B"/>
    <w:rsid w:val="00EB00AD"/>
    <w:rsid w:val="00EB05C7"/>
    <w:rsid w:val="00EB0EC2"/>
    <w:rsid w:val="00EB136C"/>
    <w:rsid w:val="00EB2E78"/>
    <w:rsid w:val="00EB480E"/>
    <w:rsid w:val="00EB4874"/>
    <w:rsid w:val="00EB4D28"/>
    <w:rsid w:val="00EB56E0"/>
    <w:rsid w:val="00EB5E3B"/>
    <w:rsid w:val="00EB5EC6"/>
    <w:rsid w:val="00EB6D97"/>
    <w:rsid w:val="00EB7FC9"/>
    <w:rsid w:val="00EC0ED4"/>
    <w:rsid w:val="00EC123B"/>
    <w:rsid w:val="00EC5872"/>
    <w:rsid w:val="00EC5E02"/>
    <w:rsid w:val="00EC5E62"/>
    <w:rsid w:val="00ED0519"/>
    <w:rsid w:val="00ED0B4A"/>
    <w:rsid w:val="00ED0F48"/>
    <w:rsid w:val="00ED2711"/>
    <w:rsid w:val="00ED27E8"/>
    <w:rsid w:val="00ED2BFE"/>
    <w:rsid w:val="00ED3489"/>
    <w:rsid w:val="00ED3845"/>
    <w:rsid w:val="00ED391F"/>
    <w:rsid w:val="00ED392B"/>
    <w:rsid w:val="00ED41E9"/>
    <w:rsid w:val="00ED7137"/>
    <w:rsid w:val="00ED7378"/>
    <w:rsid w:val="00ED7C8A"/>
    <w:rsid w:val="00EE0D97"/>
    <w:rsid w:val="00EE25E4"/>
    <w:rsid w:val="00EE3406"/>
    <w:rsid w:val="00EE4935"/>
    <w:rsid w:val="00EF06EA"/>
    <w:rsid w:val="00EF0A1A"/>
    <w:rsid w:val="00EF0A76"/>
    <w:rsid w:val="00EF0B5C"/>
    <w:rsid w:val="00EF12E2"/>
    <w:rsid w:val="00EF14A9"/>
    <w:rsid w:val="00EF2CE5"/>
    <w:rsid w:val="00EF3659"/>
    <w:rsid w:val="00EF4E48"/>
    <w:rsid w:val="00EF64FD"/>
    <w:rsid w:val="00EF7DD4"/>
    <w:rsid w:val="00F007B5"/>
    <w:rsid w:val="00F00F9E"/>
    <w:rsid w:val="00F01985"/>
    <w:rsid w:val="00F01F7E"/>
    <w:rsid w:val="00F02249"/>
    <w:rsid w:val="00F031D7"/>
    <w:rsid w:val="00F03616"/>
    <w:rsid w:val="00F03AF1"/>
    <w:rsid w:val="00F05613"/>
    <w:rsid w:val="00F05C70"/>
    <w:rsid w:val="00F071EA"/>
    <w:rsid w:val="00F07366"/>
    <w:rsid w:val="00F07949"/>
    <w:rsid w:val="00F102E0"/>
    <w:rsid w:val="00F104C5"/>
    <w:rsid w:val="00F11D27"/>
    <w:rsid w:val="00F12A2C"/>
    <w:rsid w:val="00F13148"/>
    <w:rsid w:val="00F13378"/>
    <w:rsid w:val="00F136F7"/>
    <w:rsid w:val="00F139C8"/>
    <w:rsid w:val="00F13C72"/>
    <w:rsid w:val="00F1717D"/>
    <w:rsid w:val="00F177E2"/>
    <w:rsid w:val="00F17C5B"/>
    <w:rsid w:val="00F21088"/>
    <w:rsid w:val="00F21D16"/>
    <w:rsid w:val="00F25EBC"/>
    <w:rsid w:val="00F2665A"/>
    <w:rsid w:val="00F304A3"/>
    <w:rsid w:val="00F3155F"/>
    <w:rsid w:val="00F327E7"/>
    <w:rsid w:val="00F32F62"/>
    <w:rsid w:val="00F33F7C"/>
    <w:rsid w:val="00F33FDE"/>
    <w:rsid w:val="00F344F7"/>
    <w:rsid w:val="00F3523F"/>
    <w:rsid w:val="00F35746"/>
    <w:rsid w:val="00F37326"/>
    <w:rsid w:val="00F37455"/>
    <w:rsid w:val="00F4018F"/>
    <w:rsid w:val="00F4020D"/>
    <w:rsid w:val="00F4020E"/>
    <w:rsid w:val="00F4035C"/>
    <w:rsid w:val="00F408B6"/>
    <w:rsid w:val="00F41595"/>
    <w:rsid w:val="00F418DC"/>
    <w:rsid w:val="00F438BC"/>
    <w:rsid w:val="00F43A2C"/>
    <w:rsid w:val="00F447C7"/>
    <w:rsid w:val="00F459B4"/>
    <w:rsid w:val="00F46177"/>
    <w:rsid w:val="00F4716B"/>
    <w:rsid w:val="00F47E07"/>
    <w:rsid w:val="00F5198A"/>
    <w:rsid w:val="00F51BF8"/>
    <w:rsid w:val="00F5211B"/>
    <w:rsid w:val="00F526C4"/>
    <w:rsid w:val="00F530D8"/>
    <w:rsid w:val="00F5369B"/>
    <w:rsid w:val="00F53B7C"/>
    <w:rsid w:val="00F549A3"/>
    <w:rsid w:val="00F54C3F"/>
    <w:rsid w:val="00F551FF"/>
    <w:rsid w:val="00F554A9"/>
    <w:rsid w:val="00F558B2"/>
    <w:rsid w:val="00F5663D"/>
    <w:rsid w:val="00F57A67"/>
    <w:rsid w:val="00F60ED5"/>
    <w:rsid w:val="00F61325"/>
    <w:rsid w:val="00F62494"/>
    <w:rsid w:val="00F62698"/>
    <w:rsid w:val="00F62BCA"/>
    <w:rsid w:val="00F63E3E"/>
    <w:rsid w:val="00F63F63"/>
    <w:rsid w:val="00F64973"/>
    <w:rsid w:val="00F64E68"/>
    <w:rsid w:val="00F658B1"/>
    <w:rsid w:val="00F662B8"/>
    <w:rsid w:val="00F678D5"/>
    <w:rsid w:val="00F678ED"/>
    <w:rsid w:val="00F70A60"/>
    <w:rsid w:val="00F716FD"/>
    <w:rsid w:val="00F7173C"/>
    <w:rsid w:val="00F71F89"/>
    <w:rsid w:val="00F72735"/>
    <w:rsid w:val="00F735BA"/>
    <w:rsid w:val="00F750AE"/>
    <w:rsid w:val="00F759A5"/>
    <w:rsid w:val="00F7666C"/>
    <w:rsid w:val="00F76821"/>
    <w:rsid w:val="00F76FFD"/>
    <w:rsid w:val="00F7732A"/>
    <w:rsid w:val="00F77E4A"/>
    <w:rsid w:val="00F77EBF"/>
    <w:rsid w:val="00F80355"/>
    <w:rsid w:val="00F804AA"/>
    <w:rsid w:val="00F81CBF"/>
    <w:rsid w:val="00F81D87"/>
    <w:rsid w:val="00F838E8"/>
    <w:rsid w:val="00F83B72"/>
    <w:rsid w:val="00F83BFD"/>
    <w:rsid w:val="00F83E2C"/>
    <w:rsid w:val="00F84948"/>
    <w:rsid w:val="00F8554C"/>
    <w:rsid w:val="00F85A9B"/>
    <w:rsid w:val="00F85EB1"/>
    <w:rsid w:val="00F873FF"/>
    <w:rsid w:val="00F87BD9"/>
    <w:rsid w:val="00F87C43"/>
    <w:rsid w:val="00F926D6"/>
    <w:rsid w:val="00F92E14"/>
    <w:rsid w:val="00F93739"/>
    <w:rsid w:val="00F9481D"/>
    <w:rsid w:val="00F94DF6"/>
    <w:rsid w:val="00F955E9"/>
    <w:rsid w:val="00F97425"/>
    <w:rsid w:val="00F97E45"/>
    <w:rsid w:val="00FA015C"/>
    <w:rsid w:val="00FA23B4"/>
    <w:rsid w:val="00FA30DB"/>
    <w:rsid w:val="00FA4C82"/>
    <w:rsid w:val="00FA50EA"/>
    <w:rsid w:val="00FA5722"/>
    <w:rsid w:val="00FA58BC"/>
    <w:rsid w:val="00FA5A4B"/>
    <w:rsid w:val="00FA710B"/>
    <w:rsid w:val="00FA7260"/>
    <w:rsid w:val="00FA7B5A"/>
    <w:rsid w:val="00FA7BDF"/>
    <w:rsid w:val="00FA7EF1"/>
    <w:rsid w:val="00FA7F5B"/>
    <w:rsid w:val="00FB0C81"/>
    <w:rsid w:val="00FB16E7"/>
    <w:rsid w:val="00FB41B3"/>
    <w:rsid w:val="00FB43A3"/>
    <w:rsid w:val="00FB4610"/>
    <w:rsid w:val="00FB6150"/>
    <w:rsid w:val="00FB692E"/>
    <w:rsid w:val="00FB6960"/>
    <w:rsid w:val="00FB69C2"/>
    <w:rsid w:val="00FB6D64"/>
    <w:rsid w:val="00FB7D2F"/>
    <w:rsid w:val="00FC1189"/>
    <w:rsid w:val="00FC2200"/>
    <w:rsid w:val="00FC2540"/>
    <w:rsid w:val="00FC2DA2"/>
    <w:rsid w:val="00FC4BB2"/>
    <w:rsid w:val="00FC66DD"/>
    <w:rsid w:val="00FC68BA"/>
    <w:rsid w:val="00FC6A7F"/>
    <w:rsid w:val="00FC7917"/>
    <w:rsid w:val="00FC7D7D"/>
    <w:rsid w:val="00FD0055"/>
    <w:rsid w:val="00FD0E28"/>
    <w:rsid w:val="00FD27F5"/>
    <w:rsid w:val="00FD2E5C"/>
    <w:rsid w:val="00FD4856"/>
    <w:rsid w:val="00FD547F"/>
    <w:rsid w:val="00FD6ABB"/>
    <w:rsid w:val="00FE0C3B"/>
    <w:rsid w:val="00FE20FC"/>
    <w:rsid w:val="00FE25D1"/>
    <w:rsid w:val="00FE300A"/>
    <w:rsid w:val="00FE3BFB"/>
    <w:rsid w:val="00FE3E3A"/>
    <w:rsid w:val="00FE4DFA"/>
    <w:rsid w:val="00FE5373"/>
    <w:rsid w:val="00FE6F16"/>
    <w:rsid w:val="00FF0204"/>
    <w:rsid w:val="00FF1A7B"/>
    <w:rsid w:val="00FF1CEE"/>
    <w:rsid w:val="00FF24A2"/>
    <w:rsid w:val="00FF2809"/>
    <w:rsid w:val="00FF2E2A"/>
    <w:rsid w:val="00FF2EDD"/>
    <w:rsid w:val="00FF3AED"/>
    <w:rsid w:val="00FF3C78"/>
    <w:rsid w:val="00FF48B6"/>
    <w:rsid w:val="00FF4A72"/>
    <w:rsid w:val="00FF4D2A"/>
    <w:rsid w:val="00FF542A"/>
    <w:rsid w:val="00FF64F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30A7B"/>
  <w15:docId w15:val="{31E95067-726B-4C8C-B96F-4B1757DFD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1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1"/>
      </w:numPr>
      <w:spacing w:before="240" w:after="60"/>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1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unhideWhenUsed/>
    <w:rsid w:val="00B04161"/>
    <w:rPr>
      <w:b/>
      <w:bCs/>
    </w:rPr>
  </w:style>
  <w:style w:type="character" w:customStyle="1" w:styleId="CommentSubjectChar">
    <w:name w:val="Comment Subject Char"/>
    <w:basedOn w:val="CommentTextChar"/>
    <w:link w:val="CommentSubject"/>
    <w:uiPriority w:val="99"/>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C123B"/>
    <w:rPr>
      <w:sz w:val="22"/>
      <w:szCs w:val="22"/>
      <w:lang w:val="en-CA"/>
    </w:rPr>
  </w:style>
  <w:style w:type="character" w:customStyle="1" w:styleId="Heading3Char">
    <w:name w:val="Heading 3 Char"/>
    <w:basedOn w:val="DefaultParagraphFont"/>
    <w:qFormat/>
    <w:rsid w:val="00EC123B"/>
    <w:rPr>
      <w:rFonts w:asciiTheme="majorHAnsi" w:eastAsiaTheme="majorEastAsia" w:hAnsiTheme="majorHAnsi" w:cstheme="majorBidi"/>
      <w:color w:val="243F60" w:themeColor="accent1" w:themeShade="7F"/>
      <w:sz w:val="24"/>
      <w:szCs w:val="24"/>
      <w:lang w:val="en-GB"/>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C123B"/>
    <w:rPr>
      <w:sz w:val="22"/>
      <w:szCs w:val="22"/>
      <w:lang w:val="en-CA"/>
    </w:rPr>
  </w:style>
  <w:style w:type="character" w:customStyle="1" w:styleId="Heading5Char">
    <w:name w:val="Heading 5 Char"/>
    <w:basedOn w:val="DefaultParagraphFont"/>
    <w:link w:val="Heading5"/>
    <w:rsid w:val="00EC123B"/>
    <w:rPr>
      <w:sz w:val="22"/>
      <w:szCs w:val="22"/>
      <w:lang w:val="en-CA"/>
    </w:rPr>
  </w:style>
  <w:style w:type="character" w:customStyle="1" w:styleId="Heading6Char">
    <w:name w:val="Heading 6 Char"/>
    <w:basedOn w:val="DefaultParagraphFont"/>
    <w:link w:val="Heading6"/>
    <w:rsid w:val="00EC123B"/>
    <w:rPr>
      <w:rFonts w:ascii="Arial" w:hAnsi="Arial"/>
      <w:i/>
      <w:sz w:val="22"/>
      <w:szCs w:val="22"/>
      <w:lang w:val="en-CA"/>
    </w:rPr>
  </w:style>
  <w:style w:type="character" w:customStyle="1" w:styleId="Heading7Char">
    <w:name w:val="Heading 7 Char"/>
    <w:basedOn w:val="DefaultParagraphFont"/>
    <w:link w:val="Heading7"/>
    <w:rsid w:val="00EC123B"/>
    <w:rPr>
      <w:rFonts w:ascii="Arial" w:hAnsi="Arial"/>
      <w:sz w:val="22"/>
      <w:szCs w:val="22"/>
      <w:lang w:val="en-CA"/>
    </w:rPr>
  </w:style>
  <w:style w:type="character" w:customStyle="1" w:styleId="Heading8Char">
    <w:name w:val="Heading 8 Char"/>
    <w:basedOn w:val="DefaultParagraphFont"/>
    <w:link w:val="Heading8"/>
    <w:rsid w:val="00EC123B"/>
    <w:rPr>
      <w:b/>
      <w:sz w:val="22"/>
      <w:szCs w:val="22"/>
      <w:lang w:val="en-CA"/>
    </w:rPr>
  </w:style>
  <w:style w:type="character" w:customStyle="1" w:styleId="Heading9Char">
    <w:name w:val="Heading 9 Char"/>
    <w:basedOn w:val="DefaultParagraphFont"/>
    <w:link w:val="Heading9"/>
    <w:rsid w:val="00EC123B"/>
    <w:rPr>
      <w:rFonts w:ascii="Arial" w:hAnsi="Arial"/>
      <w:i/>
      <w:sz w:val="18"/>
      <w:szCs w:val="22"/>
      <w:lang w:val="en-CA"/>
    </w:rPr>
  </w:style>
  <w:style w:type="character" w:styleId="PageNumber">
    <w:name w:val="page number"/>
    <w:basedOn w:val="DefaultParagraphFont"/>
    <w:rsid w:val="00EC123B"/>
    <w:rPr>
      <w:rFonts w:ascii="Times New Roman" w:hAnsi="Times New Roman"/>
      <w:b/>
      <w:sz w:val="18"/>
    </w:rPr>
  </w:style>
  <w:style w:type="table" w:customStyle="1" w:styleId="Tabledocright">
    <w:name w:val="Table_doc_right"/>
    <w:basedOn w:val="TableNormal"/>
    <w:rsid w:val="00EC123B"/>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EC123B"/>
    <w:pPr>
      <w:tabs>
        <w:tab w:val="left" w:pos="1247"/>
      </w:tabs>
      <w:ind w:left="1000"/>
      <w:jc w:val="left"/>
    </w:pPr>
    <w:rPr>
      <w:sz w:val="18"/>
      <w:szCs w:val="18"/>
      <w:lang w:val="en-GB"/>
    </w:rPr>
  </w:style>
  <w:style w:type="paragraph" w:styleId="TOC7">
    <w:name w:val="toc 7"/>
    <w:basedOn w:val="Normal"/>
    <w:next w:val="Normal"/>
    <w:autoRedefine/>
    <w:semiHidden/>
    <w:rsid w:val="00EC123B"/>
    <w:pPr>
      <w:tabs>
        <w:tab w:val="left" w:pos="1247"/>
      </w:tabs>
      <w:ind w:left="1200"/>
      <w:jc w:val="left"/>
    </w:pPr>
    <w:rPr>
      <w:sz w:val="18"/>
      <w:szCs w:val="18"/>
      <w:lang w:val="en-GB"/>
    </w:rPr>
  </w:style>
  <w:style w:type="paragraph" w:styleId="TOC8">
    <w:name w:val="toc 8"/>
    <w:basedOn w:val="Normal"/>
    <w:next w:val="Normal"/>
    <w:autoRedefine/>
    <w:semiHidden/>
    <w:rsid w:val="00EC123B"/>
    <w:pPr>
      <w:tabs>
        <w:tab w:val="left" w:pos="1247"/>
      </w:tabs>
      <w:ind w:left="1400"/>
      <w:jc w:val="left"/>
    </w:pPr>
    <w:rPr>
      <w:sz w:val="18"/>
      <w:szCs w:val="18"/>
      <w:lang w:val="en-GB"/>
    </w:rPr>
  </w:style>
  <w:style w:type="paragraph" w:styleId="TOC9">
    <w:name w:val="toc 9"/>
    <w:basedOn w:val="Normal"/>
    <w:next w:val="Normal"/>
    <w:autoRedefine/>
    <w:semiHidden/>
    <w:rsid w:val="00EC123B"/>
    <w:pPr>
      <w:tabs>
        <w:tab w:val="left" w:pos="1247"/>
      </w:tabs>
      <w:ind w:left="1600"/>
      <w:jc w:val="left"/>
    </w:pPr>
    <w:rPr>
      <w:sz w:val="18"/>
      <w:szCs w:val="18"/>
      <w:lang w:val="en-GB"/>
    </w:rPr>
  </w:style>
  <w:style w:type="paragraph" w:customStyle="1" w:styleId="Titlefigure">
    <w:name w:val="Title_figure"/>
    <w:basedOn w:val="Titletable"/>
    <w:next w:val="NormalNonumber"/>
    <w:rsid w:val="00EC123B"/>
    <w:rPr>
      <w:bCs w:val="0"/>
    </w:rPr>
  </w:style>
  <w:style w:type="paragraph" w:styleId="TableofFigures">
    <w:name w:val="table of figures"/>
    <w:basedOn w:val="Normal"/>
    <w:next w:val="Normal"/>
    <w:autoRedefine/>
    <w:semiHidden/>
    <w:rsid w:val="00EC123B"/>
    <w:pPr>
      <w:tabs>
        <w:tab w:val="left" w:pos="1247"/>
      </w:tabs>
      <w:ind w:left="1814" w:hanging="567"/>
      <w:jc w:val="left"/>
    </w:pPr>
    <w:rPr>
      <w:sz w:val="20"/>
      <w:szCs w:val="20"/>
      <w:lang w:val="en-GB"/>
    </w:rPr>
  </w:style>
  <w:style w:type="paragraph" w:customStyle="1" w:styleId="CH1">
    <w:name w:val="CH1"/>
    <w:basedOn w:val="Normalpool"/>
    <w:next w:val="CH2"/>
    <w:link w:val="CH1Char"/>
    <w:qFormat/>
    <w:rsid w:val="00EC123B"/>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link w:val="CH2Char"/>
    <w:rsid w:val="00EC123B"/>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EC123B"/>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EC123B"/>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EC123B"/>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EC123B"/>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EC123B"/>
    <w:pPr>
      <w:tabs>
        <w:tab w:val="left" w:pos="1247"/>
        <w:tab w:val="left" w:pos="1814"/>
        <w:tab w:val="left" w:pos="2381"/>
        <w:tab w:val="left" w:pos="2948"/>
        <w:tab w:val="left" w:pos="3515"/>
        <w:tab w:val="left" w:pos="4321"/>
        <w:tab w:val="right" w:pos="8641"/>
      </w:tabs>
      <w:spacing w:before="60" w:after="120"/>
      <w:jc w:val="left"/>
    </w:pPr>
    <w:rPr>
      <w:b/>
      <w:sz w:val="18"/>
      <w:szCs w:val="20"/>
      <w:lang w:val="en-GB"/>
    </w:rPr>
  </w:style>
  <w:style w:type="paragraph" w:customStyle="1" w:styleId="Headerpool">
    <w:name w:val="Header_pool"/>
    <w:basedOn w:val="Normal"/>
    <w:next w:val="Normal"/>
    <w:semiHidden/>
    <w:rsid w:val="00EC123B"/>
    <w:pPr>
      <w:pBdr>
        <w:bottom w:val="single" w:sz="4" w:space="1" w:color="auto"/>
      </w:pBdr>
      <w:tabs>
        <w:tab w:val="left" w:pos="1247"/>
        <w:tab w:val="center" w:pos="4536"/>
        <w:tab w:val="right" w:pos="9072"/>
      </w:tabs>
      <w:spacing w:after="120"/>
      <w:jc w:val="left"/>
    </w:pPr>
    <w:rPr>
      <w:b/>
      <w:sz w:val="18"/>
      <w:szCs w:val="20"/>
      <w:lang w:val="en-GB"/>
    </w:rPr>
  </w:style>
  <w:style w:type="paragraph" w:customStyle="1" w:styleId="Normalpool">
    <w:name w:val="Normal_pool"/>
    <w:link w:val="NormalpoolChar"/>
    <w:rsid w:val="00EC123B"/>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EC123B"/>
    <w:pPr>
      <w:tabs>
        <w:tab w:val="left" w:pos="4321"/>
        <w:tab w:val="right" w:pos="8641"/>
      </w:tabs>
      <w:spacing w:before="60" w:after="120"/>
    </w:pPr>
    <w:rPr>
      <w:b/>
      <w:sz w:val="18"/>
    </w:rPr>
  </w:style>
  <w:style w:type="paragraph" w:customStyle="1" w:styleId="Header-pool">
    <w:name w:val="Header-pool"/>
    <w:basedOn w:val="Normal-pool"/>
    <w:next w:val="Normal-pool"/>
    <w:rsid w:val="00EC123B"/>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qFormat/>
    <w:rsid w:val="00EC123B"/>
    <w:pPr>
      <w:tabs>
        <w:tab w:val="left" w:pos="1247"/>
        <w:tab w:val="left" w:pos="1814"/>
        <w:tab w:val="left" w:pos="2381"/>
        <w:tab w:val="left" w:pos="2948"/>
        <w:tab w:val="left" w:pos="3515"/>
        <w:tab w:val="left" w:pos="4082"/>
      </w:tabs>
    </w:pPr>
    <w:rPr>
      <w:lang w:val="en-GB"/>
    </w:rPr>
  </w:style>
  <w:style w:type="character" w:customStyle="1" w:styleId="FooterChar">
    <w:name w:val="Footer Char"/>
    <w:link w:val="Footer"/>
    <w:uiPriority w:val="99"/>
    <w:rsid w:val="00EC123B"/>
    <w:rPr>
      <w:sz w:val="22"/>
      <w:szCs w:val="22"/>
      <w:lang w:val="en-CA"/>
    </w:rPr>
  </w:style>
  <w:style w:type="character" w:customStyle="1" w:styleId="HeaderChar">
    <w:name w:val="Header Char"/>
    <w:aliases w:val="EthylHeader Char"/>
    <w:link w:val="Header"/>
    <w:uiPriority w:val="99"/>
    <w:rsid w:val="00EC123B"/>
    <w:rPr>
      <w:sz w:val="22"/>
      <w:szCs w:val="22"/>
      <w:lang w:val="en-CA"/>
    </w:rPr>
  </w:style>
  <w:style w:type="character" w:customStyle="1" w:styleId="CH2Char">
    <w:name w:val="CH2 Char"/>
    <w:link w:val="CH2"/>
    <w:locked/>
    <w:rsid w:val="00EC123B"/>
    <w:rPr>
      <w:b/>
      <w:sz w:val="24"/>
      <w:szCs w:val="24"/>
      <w:lang w:val="en-GB"/>
    </w:rPr>
  </w:style>
  <w:style w:type="character" w:customStyle="1" w:styleId="NormalnumberChar">
    <w:name w:val="Normal_number Char"/>
    <w:link w:val="Normalnumber"/>
    <w:locked/>
    <w:rsid w:val="00EC123B"/>
    <w:rPr>
      <w:lang w:val="en-GB"/>
    </w:rPr>
  </w:style>
  <w:style w:type="paragraph" w:styleId="ListParagraph">
    <w:name w:val="List Paragraph"/>
    <w:aliases w:val="(i) Indent 2,List Paragraph (numbered (a)) Char,List Paragraph Char Char Char,List Paragraph (numbered (a)),Use Case List Paragraph,List Paragraph2,Numbered List Paragraph,Main numbered paragraph,Bullet paras,ANNEX,列出段落YUAN"/>
    <w:basedOn w:val="Normal"/>
    <w:link w:val="ListParagraphChar"/>
    <w:uiPriority w:val="34"/>
    <w:qFormat/>
    <w:rsid w:val="00EC123B"/>
    <w:pPr>
      <w:spacing w:after="200" w:line="276" w:lineRule="auto"/>
      <w:ind w:left="720"/>
      <w:contextualSpacing/>
      <w:jc w:val="left"/>
    </w:pPr>
    <w:rPr>
      <w:rFonts w:ascii="Calibri" w:eastAsia="Calibri" w:hAnsi="Calibri" w:cs="Arial"/>
      <w:lang w:val="en-US"/>
    </w:rPr>
  </w:style>
  <w:style w:type="paragraph" w:styleId="NormalWeb">
    <w:name w:val="Normal (Web)"/>
    <w:basedOn w:val="Normal"/>
    <w:unhideWhenUsed/>
    <w:rsid w:val="00EC123B"/>
    <w:pPr>
      <w:spacing w:before="100" w:beforeAutospacing="1" w:after="100" w:afterAutospacing="1"/>
      <w:jc w:val="left"/>
    </w:pPr>
    <w:rPr>
      <w:sz w:val="24"/>
      <w:szCs w:val="24"/>
      <w:lang w:val="en-US" w:eastAsia="zh-CN"/>
    </w:rPr>
  </w:style>
  <w:style w:type="character" w:styleId="Emphasis">
    <w:name w:val="Emphasis"/>
    <w:qFormat/>
    <w:rsid w:val="00EC123B"/>
    <w:rPr>
      <w:i/>
      <w:iCs/>
    </w:rPr>
  </w:style>
  <w:style w:type="character" w:styleId="FollowedHyperlink">
    <w:name w:val="FollowedHyperlink"/>
    <w:uiPriority w:val="99"/>
    <w:unhideWhenUsed/>
    <w:rsid w:val="00EC123B"/>
    <w:rPr>
      <w:color w:val="954F72"/>
      <w:u w:val="single"/>
    </w:rPr>
  </w:style>
  <w:style w:type="paragraph" w:customStyle="1" w:styleId="xl63">
    <w:name w:val="xl63"/>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sz w:val="16"/>
      <w:szCs w:val="16"/>
      <w:lang w:val="en-GB"/>
    </w:rPr>
  </w:style>
  <w:style w:type="paragraph" w:customStyle="1" w:styleId="xl64">
    <w:name w:val="xl64"/>
    <w:basedOn w:val="Normal"/>
    <w:rsid w:val="00EC123B"/>
    <w:pPr>
      <w:spacing w:before="100" w:beforeAutospacing="1" w:after="100" w:afterAutospacing="1"/>
      <w:jc w:val="left"/>
    </w:pPr>
    <w:rPr>
      <w:rFonts w:ascii="Roboto" w:hAnsi="Roboto"/>
      <w:sz w:val="16"/>
      <w:szCs w:val="16"/>
      <w:lang w:val="en-GB"/>
    </w:rPr>
  </w:style>
  <w:style w:type="paragraph" w:customStyle="1" w:styleId="xl65">
    <w:name w:val="xl65"/>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sz w:val="16"/>
      <w:szCs w:val="16"/>
      <w:lang w:val="en-GB"/>
    </w:rPr>
  </w:style>
  <w:style w:type="paragraph" w:customStyle="1" w:styleId="xl66">
    <w:name w:val="xl66"/>
    <w:basedOn w:val="Normal"/>
    <w:rsid w:val="00EC123B"/>
    <w:pPr>
      <w:spacing w:before="100" w:beforeAutospacing="1" w:after="100" w:afterAutospacing="1"/>
      <w:jc w:val="left"/>
    </w:pPr>
    <w:rPr>
      <w:rFonts w:ascii="Roboto" w:hAnsi="Roboto"/>
      <w:sz w:val="16"/>
      <w:szCs w:val="16"/>
      <w:lang w:val="en-GB"/>
    </w:rPr>
  </w:style>
  <w:style w:type="paragraph" w:customStyle="1" w:styleId="xl67">
    <w:name w:val="xl67"/>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b/>
      <w:bCs/>
      <w:sz w:val="16"/>
      <w:szCs w:val="16"/>
      <w:lang w:val="en-GB"/>
    </w:rPr>
  </w:style>
  <w:style w:type="paragraph" w:customStyle="1" w:styleId="xl68">
    <w:name w:val="xl68"/>
    <w:basedOn w:val="Normal"/>
    <w:rsid w:val="00EC123B"/>
    <w:pPr>
      <w:spacing w:before="100" w:beforeAutospacing="1" w:after="100" w:afterAutospacing="1"/>
      <w:jc w:val="left"/>
    </w:pPr>
    <w:rPr>
      <w:rFonts w:ascii="Roboto" w:hAnsi="Roboto"/>
      <w:b/>
      <w:bCs/>
      <w:sz w:val="16"/>
      <w:szCs w:val="16"/>
      <w:lang w:val="en-GB"/>
    </w:rPr>
  </w:style>
  <w:style w:type="paragraph" w:customStyle="1" w:styleId="xl69">
    <w:name w:val="xl69"/>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Roboto" w:hAnsi="Roboto"/>
      <w:sz w:val="16"/>
      <w:szCs w:val="16"/>
      <w:lang w:val="en-GB"/>
    </w:rPr>
  </w:style>
  <w:style w:type="paragraph" w:customStyle="1" w:styleId="xl70">
    <w:name w:val="xl70"/>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Roboto" w:hAnsi="Roboto"/>
      <w:sz w:val="16"/>
      <w:szCs w:val="16"/>
      <w:lang w:val="en-GB"/>
    </w:rPr>
  </w:style>
  <w:style w:type="paragraph" w:customStyle="1" w:styleId="xl71">
    <w:name w:val="xl71"/>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b/>
      <w:bCs/>
      <w:sz w:val="16"/>
      <w:szCs w:val="16"/>
      <w:lang w:val="en-GB"/>
    </w:rPr>
  </w:style>
  <w:style w:type="paragraph" w:customStyle="1" w:styleId="xl72">
    <w:name w:val="xl72"/>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Roboto" w:hAnsi="Roboto"/>
      <w:b/>
      <w:bCs/>
      <w:sz w:val="16"/>
      <w:szCs w:val="16"/>
      <w:lang w:val="en-GB"/>
    </w:rPr>
  </w:style>
  <w:style w:type="paragraph" w:customStyle="1" w:styleId="xl73">
    <w:name w:val="xl73"/>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Roboto" w:hAnsi="Roboto"/>
      <w:sz w:val="16"/>
      <w:szCs w:val="16"/>
      <w:lang w:val="en-GB"/>
    </w:rPr>
  </w:style>
  <w:style w:type="paragraph" w:customStyle="1" w:styleId="xl74">
    <w:name w:val="xl74"/>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Roboto" w:hAnsi="Roboto"/>
      <w:sz w:val="16"/>
      <w:szCs w:val="16"/>
      <w:lang w:val="en-GB"/>
    </w:rPr>
  </w:style>
  <w:style w:type="paragraph" w:customStyle="1" w:styleId="xl75">
    <w:name w:val="xl75"/>
    <w:basedOn w:val="Normal"/>
    <w:rsid w:val="00EC123B"/>
    <w:pPr>
      <w:spacing w:before="100" w:beforeAutospacing="1" w:after="100" w:afterAutospacing="1"/>
      <w:jc w:val="center"/>
    </w:pPr>
    <w:rPr>
      <w:rFonts w:ascii="Roboto" w:hAnsi="Roboto"/>
      <w:sz w:val="16"/>
      <w:szCs w:val="16"/>
      <w:lang w:val="en-GB"/>
    </w:rPr>
  </w:style>
  <w:style w:type="paragraph" w:styleId="EndnoteText">
    <w:name w:val="endnote text"/>
    <w:basedOn w:val="Normal"/>
    <w:link w:val="EndnoteTextChar"/>
    <w:uiPriority w:val="99"/>
    <w:rsid w:val="00EC123B"/>
    <w:pPr>
      <w:widowControl w:val="0"/>
      <w:tabs>
        <w:tab w:val="left" w:pos="-720"/>
      </w:tabs>
      <w:suppressAutoHyphens/>
      <w:overflowPunct w:val="0"/>
      <w:autoSpaceDE w:val="0"/>
      <w:autoSpaceDN w:val="0"/>
      <w:adjustRightInd w:val="0"/>
      <w:jc w:val="left"/>
      <w:textAlignment w:val="baseline"/>
    </w:pPr>
    <w:rPr>
      <w:rFonts w:ascii="Courier" w:hAnsi="Courier"/>
      <w:sz w:val="24"/>
      <w:szCs w:val="20"/>
      <w:lang w:val="en-US"/>
    </w:rPr>
  </w:style>
  <w:style w:type="character" w:customStyle="1" w:styleId="EndnoteTextChar">
    <w:name w:val="Endnote Text Char"/>
    <w:basedOn w:val="DefaultParagraphFont"/>
    <w:link w:val="EndnoteText"/>
    <w:uiPriority w:val="99"/>
    <w:rsid w:val="00EC123B"/>
    <w:rPr>
      <w:rFonts w:ascii="Courier" w:hAnsi="Courier"/>
      <w:sz w:val="24"/>
    </w:rPr>
  </w:style>
  <w:style w:type="character" w:styleId="EndnoteReference">
    <w:name w:val="endnote reference"/>
    <w:uiPriority w:val="99"/>
    <w:rsid w:val="00EC123B"/>
    <w:rPr>
      <w:vertAlign w:val="superscript"/>
    </w:rPr>
  </w:style>
  <w:style w:type="character" w:customStyle="1" w:styleId="DefaultPara">
    <w:name w:val="Default Para"/>
    <w:rsid w:val="00EC123B"/>
  </w:style>
  <w:style w:type="character" w:customStyle="1" w:styleId="endnoterefe">
    <w:name w:val="endnote refe"/>
    <w:rsid w:val="00EC123B"/>
    <w:rPr>
      <w:rFonts w:ascii="Courier" w:hAnsi="Courier"/>
      <w:noProof w:val="0"/>
      <w:sz w:val="24"/>
      <w:vertAlign w:val="superscript"/>
      <w:lang w:val="en-US"/>
    </w:rPr>
  </w:style>
  <w:style w:type="paragraph" w:customStyle="1" w:styleId="footnotetex">
    <w:name w:val="footnote tex"/>
    <w:rsid w:val="00EC123B"/>
    <w:pPr>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footnoteref">
    <w:name w:val="footnote ref"/>
    <w:rsid w:val="00EC123B"/>
    <w:rPr>
      <w:rFonts w:ascii="Courier" w:hAnsi="Courier"/>
      <w:noProof w:val="0"/>
      <w:sz w:val="24"/>
      <w:vertAlign w:val="superscript"/>
      <w:lang w:val="en-US"/>
    </w:rPr>
  </w:style>
  <w:style w:type="character" w:customStyle="1" w:styleId="EquationCa">
    <w:name w:val="_Equation Ca"/>
    <w:rsid w:val="00EC123B"/>
  </w:style>
  <w:style w:type="paragraph" w:customStyle="1" w:styleId="MSNormal">
    <w:name w:val="MSNormal"/>
    <w:rsid w:val="00EC123B"/>
    <w:pPr>
      <w:widowControl w:val="0"/>
      <w:tabs>
        <w:tab w:val="left" w:pos="0"/>
      </w:tabs>
      <w:suppressAutoHyphens/>
      <w:overflowPunct w:val="0"/>
      <w:autoSpaceDE w:val="0"/>
      <w:autoSpaceDN w:val="0"/>
      <w:adjustRightInd w:val="0"/>
      <w:textAlignment w:val="baseline"/>
    </w:pPr>
    <w:rPr>
      <w:rFonts w:ascii="Arial" w:hAnsi="Arial"/>
      <w:sz w:val="24"/>
    </w:rPr>
  </w:style>
  <w:style w:type="character" w:customStyle="1" w:styleId="a">
    <w:name w:val="•"/>
    <w:rsid w:val="00EC123B"/>
  </w:style>
  <w:style w:type="character" w:customStyle="1" w:styleId="Document8">
    <w:name w:val="Document 8"/>
    <w:rsid w:val="00EC123B"/>
  </w:style>
  <w:style w:type="character" w:customStyle="1" w:styleId="Document4">
    <w:name w:val="Document 4"/>
    <w:rsid w:val="00EC123B"/>
    <w:rPr>
      <w:b/>
      <w:i/>
      <w:sz w:val="24"/>
    </w:rPr>
  </w:style>
  <w:style w:type="character" w:customStyle="1" w:styleId="Document6">
    <w:name w:val="Document 6"/>
    <w:rsid w:val="00EC123B"/>
  </w:style>
  <w:style w:type="character" w:customStyle="1" w:styleId="Document5">
    <w:name w:val="Document 5"/>
    <w:rsid w:val="00EC123B"/>
  </w:style>
  <w:style w:type="character" w:customStyle="1" w:styleId="Document2">
    <w:name w:val="Document 2"/>
    <w:rsid w:val="00EC123B"/>
    <w:rPr>
      <w:rFonts w:ascii="Courier" w:hAnsi="Courier"/>
      <w:noProof w:val="0"/>
      <w:sz w:val="24"/>
      <w:lang w:val="en-US"/>
    </w:rPr>
  </w:style>
  <w:style w:type="character" w:customStyle="1" w:styleId="Document7">
    <w:name w:val="Document 7"/>
    <w:rsid w:val="00EC123B"/>
  </w:style>
  <w:style w:type="character" w:customStyle="1" w:styleId="Bibliogrphy">
    <w:name w:val="Bibliogrphy"/>
    <w:rsid w:val="00EC123B"/>
  </w:style>
  <w:style w:type="character" w:customStyle="1" w:styleId="RightPar1">
    <w:name w:val="Right Par 1"/>
    <w:rsid w:val="00EC123B"/>
  </w:style>
  <w:style w:type="character" w:customStyle="1" w:styleId="RightPar2">
    <w:name w:val="Right Par 2"/>
    <w:rsid w:val="00EC123B"/>
  </w:style>
  <w:style w:type="character" w:customStyle="1" w:styleId="Document3">
    <w:name w:val="Document 3"/>
    <w:rsid w:val="00EC123B"/>
    <w:rPr>
      <w:rFonts w:ascii="Courier" w:hAnsi="Courier"/>
      <w:noProof w:val="0"/>
      <w:sz w:val="24"/>
      <w:lang w:val="en-US"/>
    </w:rPr>
  </w:style>
  <w:style w:type="character" w:customStyle="1" w:styleId="RightPar3">
    <w:name w:val="Right Par 3"/>
    <w:rsid w:val="00EC123B"/>
  </w:style>
  <w:style w:type="character" w:customStyle="1" w:styleId="RightPar4">
    <w:name w:val="Right Par 4"/>
    <w:rsid w:val="00EC123B"/>
  </w:style>
  <w:style w:type="character" w:customStyle="1" w:styleId="RightPar5">
    <w:name w:val="Right Par 5"/>
    <w:rsid w:val="00EC123B"/>
  </w:style>
  <w:style w:type="character" w:customStyle="1" w:styleId="RightPar6">
    <w:name w:val="Right Par 6"/>
    <w:rsid w:val="00EC123B"/>
  </w:style>
  <w:style w:type="character" w:customStyle="1" w:styleId="RightPar7">
    <w:name w:val="Right Par 7"/>
    <w:rsid w:val="00EC123B"/>
  </w:style>
  <w:style w:type="character" w:customStyle="1" w:styleId="RightPar8">
    <w:name w:val="Right Par 8"/>
    <w:rsid w:val="00EC123B"/>
  </w:style>
  <w:style w:type="paragraph" w:customStyle="1" w:styleId="Document1">
    <w:name w:val="Document 1"/>
    <w:rsid w:val="00EC123B"/>
    <w:pPr>
      <w:keepNext/>
      <w:keepLines/>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DocInit">
    <w:name w:val="Doc Init"/>
    <w:rsid w:val="00EC123B"/>
  </w:style>
  <w:style w:type="character" w:customStyle="1" w:styleId="TechInit">
    <w:name w:val="Tech Init"/>
    <w:rsid w:val="00EC123B"/>
    <w:rPr>
      <w:rFonts w:ascii="Courier" w:hAnsi="Courier"/>
      <w:noProof w:val="0"/>
      <w:sz w:val="24"/>
      <w:lang w:val="en-US"/>
    </w:rPr>
  </w:style>
  <w:style w:type="character" w:customStyle="1" w:styleId="Technical5">
    <w:name w:val="Technical 5"/>
    <w:rsid w:val="00EC123B"/>
  </w:style>
  <w:style w:type="character" w:customStyle="1" w:styleId="Technical6">
    <w:name w:val="Technical 6"/>
    <w:rsid w:val="00EC123B"/>
  </w:style>
  <w:style w:type="character" w:customStyle="1" w:styleId="Technical2">
    <w:name w:val="Technical 2"/>
    <w:rsid w:val="00EC123B"/>
    <w:rPr>
      <w:rFonts w:ascii="Courier" w:hAnsi="Courier"/>
      <w:noProof w:val="0"/>
      <w:sz w:val="24"/>
      <w:lang w:val="en-US"/>
    </w:rPr>
  </w:style>
  <w:style w:type="character" w:customStyle="1" w:styleId="Technical3">
    <w:name w:val="Technical 3"/>
    <w:rsid w:val="00EC123B"/>
    <w:rPr>
      <w:rFonts w:ascii="Courier" w:hAnsi="Courier"/>
      <w:noProof w:val="0"/>
      <w:sz w:val="24"/>
      <w:lang w:val="en-US"/>
    </w:rPr>
  </w:style>
  <w:style w:type="character" w:customStyle="1" w:styleId="Technical4">
    <w:name w:val="Technical 4"/>
    <w:rsid w:val="00EC123B"/>
  </w:style>
  <w:style w:type="character" w:customStyle="1" w:styleId="Technical1">
    <w:name w:val="Technical 1"/>
    <w:rsid w:val="00EC123B"/>
    <w:rPr>
      <w:rFonts w:ascii="Courier" w:hAnsi="Courier"/>
      <w:noProof w:val="0"/>
      <w:sz w:val="24"/>
      <w:lang w:val="en-US"/>
    </w:rPr>
  </w:style>
  <w:style w:type="character" w:customStyle="1" w:styleId="Technical7">
    <w:name w:val="Technical 7"/>
    <w:rsid w:val="00EC123B"/>
  </w:style>
  <w:style w:type="character" w:customStyle="1" w:styleId="Technical8">
    <w:name w:val="Technical 8"/>
    <w:rsid w:val="00EC123B"/>
  </w:style>
  <w:style w:type="paragraph" w:styleId="Index1">
    <w:name w:val="index 1"/>
    <w:basedOn w:val="Normal"/>
    <w:next w:val="Normal"/>
    <w:rsid w:val="00EC123B"/>
    <w:pPr>
      <w:widowControl w:val="0"/>
      <w:tabs>
        <w:tab w:val="right" w:leader="dot" w:pos="9360"/>
      </w:tabs>
      <w:suppressAutoHyphens/>
      <w:overflowPunct w:val="0"/>
      <w:autoSpaceDE w:val="0"/>
      <w:autoSpaceDN w:val="0"/>
      <w:adjustRightInd w:val="0"/>
      <w:ind w:left="1440" w:right="720" w:hanging="1440"/>
      <w:jc w:val="left"/>
      <w:textAlignment w:val="baseline"/>
    </w:pPr>
    <w:rPr>
      <w:rFonts w:ascii="Courier" w:hAnsi="Courier"/>
      <w:sz w:val="24"/>
      <w:szCs w:val="20"/>
      <w:lang w:val="en-US"/>
    </w:rPr>
  </w:style>
  <w:style w:type="paragraph" w:styleId="Index2">
    <w:name w:val="index 2"/>
    <w:basedOn w:val="Normal"/>
    <w:next w:val="Normal"/>
    <w:rsid w:val="00EC123B"/>
    <w:pPr>
      <w:widowControl w:val="0"/>
      <w:tabs>
        <w:tab w:val="right" w:leader="dot" w:pos="9360"/>
      </w:tabs>
      <w:suppressAutoHyphens/>
      <w:overflowPunct w:val="0"/>
      <w:autoSpaceDE w:val="0"/>
      <w:autoSpaceDN w:val="0"/>
      <w:adjustRightInd w:val="0"/>
      <w:ind w:left="1440" w:right="720" w:hanging="720"/>
      <w:jc w:val="left"/>
      <w:textAlignment w:val="baseline"/>
    </w:pPr>
    <w:rPr>
      <w:rFonts w:ascii="Courier" w:hAnsi="Courier"/>
      <w:sz w:val="24"/>
      <w:szCs w:val="20"/>
      <w:lang w:val="en-US"/>
    </w:rPr>
  </w:style>
  <w:style w:type="paragraph" w:styleId="TOAHeading">
    <w:name w:val="toa heading"/>
    <w:basedOn w:val="Normal"/>
    <w:next w:val="Normal"/>
    <w:rsid w:val="00EC123B"/>
    <w:pPr>
      <w:widowControl w:val="0"/>
      <w:tabs>
        <w:tab w:val="right" w:pos="9360"/>
      </w:tabs>
      <w:suppressAutoHyphens/>
      <w:overflowPunct w:val="0"/>
      <w:autoSpaceDE w:val="0"/>
      <w:autoSpaceDN w:val="0"/>
      <w:adjustRightInd w:val="0"/>
      <w:jc w:val="left"/>
      <w:textAlignment w:val="baseline"/>
    </w:pPr>
    <w:rPr>
      <w:rFonts w:ascii="Courier" w:hAnsi="Courier"/>
      <w:sz w:val="24"/>
      <w:szCs w:val="20"/>
      <w:lang w:val="en-US"/>
    </w:rPr>
  </w:style>
  <w:style w:type="paragraph" w:styleId="Caption">
    <w:name w:val="caption"/>
    <w:basedOn w:val="Normal"/>
    <w:next w:val="Normal"/>
    <w:qFormat/>
    <w:rsid w:val="00EC123B"/>
    <w:pPr>
      <w:widowControl w:val="0"/>
      <w:overflowPunct w:val="0"/>
      <w:autoSpaceDE w:val="0"/>
      <w:autoSpaceDN w:val="0"/>
      <w:adjustRightInd w:val="0"/>
      <w:jc w:val="left"/>
      <w:textAlignment w:val="baseline"/>
    </w:pPr>
    <w:rPr>
      <w:rFonts w:ascii="Courier" w:hAnsi="Courier"/>
      <w:sz w:val="24"/>
      <w:szCs w:val="20"/>
      <w:lang w:val="en-GB"/>
    </w:rPr>
  </w:style>
  <w:style w:type="character" w:customStyle="1" w:styleId="EquationCaption">
    <w:name w:val="_Equation Caption"/>
    <w:rsid w:val="00EC123B"/>
  </w:style>
  <w:style w:type="paragraph" w:styleId="Revision">
    <w:name w:val="Revision"/>
    <w:hidden/>
    <w:uiPriority w:val="99"/>
    <w:semiHidden/>
    <w:rsid w:val="00EC123B"/>
    <w:rPr>
      <w:rFonts w:ascii="Courier" w:hAnsi="Courier"/>
      <w:sz w:val="24"/>
      <w:lang w:val="en-GB"/>
    </w:rPr>
  </w:style>
  <w:style w:type="paragraph" w:customStyle="1" w:styleId="font0">
    <w:name w:val="font0"/>
    <w:basedOn w:val="Normal"/>
    <w:rsid w:val="00EC123B"/>
    <w:pPr>
      <w:spacing w:before="100" w:beforeAutospacing="1" w:after="100" w:afterAutospacing="1"/>
      <w:jc w:val="left"/>
    </w:pPr>
    <w:rPr>
      <w:rFonts w:ascii="Arial" w:hAnsi="Arial" w:cs="Arial"/>
      <w:sz w:val="18"/>
      <w:szCs w:val="18"/>
      <w:lang w:val="en-US" w:eastAsia="zh-CN"/>
    </w:rPr>
  </w:style>
  <w:style w:type="paragraph" w:customStyle="1" w:styleId="font5">
    <w:name w:val="font5"/>
    <w:basedOn w:val="Normal"/>
    <w:rsid w:val="00EC123B"/>
    <w:pPr>
      <w:spacing w:before="100" w:beforeAutospacing="1" w:after="100" w:afterAutospacing="1"/>
      <w:jc w:val="left"/>
    </w:pPr>
    <w:rPr>
      <w:rFonts w:ascii="Arial" w:hAnsi="Arial" w:cs="Arial"/>
      <w:b/>
      <w:bCs/>
      <w:sz w:val="18"/>
      <w:szCs w:val="18"/>
      <w:lang w:val="en-US" w:eastAsia="zh-CN"/>
    </w:rPr>
  </w:style>
  <w:style w:type="paragraph" w:customStyle="1" w:styleId="font6">
    <w:name w:val="font6"/>
    <w:basedOn w:val="Normal"/>
    <w:rsid w:val="00EC123B"/>
    <w:pPr>
      <w:spacing w:before="100" w:beforeAutospacing="1" w:after="100" w:afterAutospacing="1"/>
      <w:jc w:val="left"/>
    </w:pPr>
    <w:rPr>
      <w:rFonts w:ascii="Arial" w:hAnsi="Arial" w:cs="Arial"/>
      <w:sz w:val="18"/>
      <w:szCs w:val="18"/>
      <w:lang w:val="en-US" w:eastAsia="zh-CN"/>
    </w:rPr>
  </w:style>
  <w:style w:type="paragraph" w:customStyle="1" w:styleId="font7">
    <w:name w:val="font7"/>
    <w:basedOn w:val="Normal"/>
    <w:rsid w:val="00EC123B"/>
    <w:pPr>
      <w:spacing w:before="100" w:beforeAutospacing="1" w:after="100" w:afterAutospacing="1"/>
      <w:jc w:val="left"/>
    </w:pPr>
    <w:rPr>
      <w:rFonts w:ascii="Arial" w:hAnsi="Arial" w:cs="Arial"/>
      <w:sz w:val="18"/>
      <w:szCs w:val="18"/>
      <w:u w:val="single"/>
      <w:lang w:val="en-US" w:eastAsia="zh-CN"/>
    </w:rPr>
  </w:style>
  <w:style w:type="paragraph" w:customStyle="1" w:styleId="font8">
    <w:name w:val="font8"/>
    <w:basedOn w:val="Normal"/>
    <w:rsid w:val="00EC123B"/>
    <w:pPr>
      <w:spacing w:before="100" w:beforeAutospacing="1" w:after="100" w:afterAutospacing="1"/>
      <w:jc w:val="left"/>
    </w:pPr>
    <w:rPr>
      <w:rFonts w:ascii="Arial" w:hAnsi="Arial" w:cs="Arial"/>
      <w:b/>
      <w:bCs/>
      <w:sz w:val="18"/>
      <w:szCs w:val="18"/>
      <w:u w:val="single"/>
      <w:lang w:val="en-US" w:eastAsia="zh-CN"/>
    </w:rPr>
  </w:style>
  <w:style w:type="paragraph" w:customStyle="1" w:styleId="font9">
    <w:name w:val="font9"/>
    <w:basedOn w:val="Normal"/>
    <w:rsid w:val="00EC123B"/>
    <w:pPr>
      <w:spacing w:before="100" w:beforeAutospacing="1" w:after="100" w:afterAutospacing="1"/>
      <w:jc w:val="left"/>
    </w:pPr>
    <w:rPr>
      <w:rFonts w:ascii="Arial" w:hAnsi="Arial" w:cs="Arial"/>
      <w:b/>
      <w:bCs/>
      <w:color w:val="FF0000"/>
      <w:sz w:val="18"/>
      <w:szCs w:val="18"/>
      <w:lang w:val="en-US" w:eastAsia="zh-CN"/>
    </w:rPr>
  </w:style>
  <w:style w:type="paragraph" w:customStyle="1" w:styleId="font10">
    <w:name w:val="font10"/>
    <w:basedOn w:val="Normal"/>
    <w:rsid w:val="00EC123B"/>
    <w:pPr>
      <w:spacing w:before="100" w:beforeAutospacing="1" w:after="100" w:afterAutospacing="1"/>
      <w:jc w:val="left"/>
    </w:pPr>
    <w:rPr>
      <w:rFonts w:ascii="Arial" w:hAnsi="Arial" w:cs="Arial"/>
      <w:b/>
      <w:bCs/>
      <w:color w:val="FF0000"/>
      <w:sz w:val="18"/>
      <w:szCs w:val="18"/>
      <w:u w:val="single"/>
      <w:lang w:val="en-US" w:eastAsia="zh-CN"/>
    </w:rPr>
  </w:style>
  <w:style w:type="paragraph" w:customStyle="1" w:styleId="font11">
    <w:name w:val="font11"/>
    <w:basedOn w:val="Normal"/>
    <w:rsid w:val="00EC123B"/>
    <w:pPr>
      <w:spacing w:before="100" w:beforeAutospacing="1" w:after="100" w:afterAutospacing="1"/>
      <w:jc w:val="left"/>
    </w:pPr>
    <w:rPr>
      <w:rFonts w:ascii="Arial" w:hAnsi="Arial" w:cs="Arial"/>
      <w:color w:val="FF0000"/>
      <w:sz w:val="20"/>
      <w:szCs w:val="20"/>
      <w:lang w:val="en-US" w:eastAsia="zh-CN"/>
    </w:rPr>
  </w:style>
  <w:style w:type="paragraph" w:customStyle="1" w:styleId="font12">
    <w:name w:val="font12"/>
    <w:basedOn w:val="Normal"/>
    <w:rsid w:val="00EC123B"/>
    <w:pPr>
      <w:spacing w:before="100" w:beforeAutospacing="1" w:after="100" w:afterAutospacing="1"/>
      <w:jc w:val="left"/>
    </w:pPr>
    <w:rPr>
      <w:rFonts w:ascii="Arial" w:hAnsi="Arial" w:cs="Arial"/>
      <w:color w:val="FF0000"/>
      <w:sz w:val="20"/>
      <w:szCs w:val="20"/>
      <w:lang w:val="en-US" w:eastAsia="zh-CN"/>
    </w:rPr>
  </w:style>
  <w:style w:type="paragraph" w:customStyle="1" w:styleId="xl76">
    <w:name w:val="xl76"/>
    <w:basedOn w:val="Normal"/>
    <w:rsid w:val="00EC123B"/>
    <w:pPr>
      <w:pBdr>
        <w:bottom w:val="single" w:sz="8" w:space="0" w:color="auto"/>
        <w:right w:val="single" w:sz="4" w:space="0" w:color="auto"/>
      </w:pBdr>
      <w:spacing w:before="100" w:beforeAutospacing="1" w:after="100" w:afterAutospacing="1"/>
      <w:jc w:val="left"/>
    </w:pPr>
    <w:rPr>
      <w:sz w:val="24"/>
      <w:szCs w:val="24"/>
      <w:lang w:val="en-US" w:eastAsia="zh-CN"/>
    </w:rPr>
  </w:style>
  <w:style w:type="paragraph" w:customStyle="1" w:styleId="xl77">
    <w:name w:val="xl77"/>
    <w:basedOn w:val="Normal"/>
    <w:rsid w:val="00EC123B"/>
    <w:pPr>
      <w:pBdr>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78">
    <w:name w:val="xl78"/>
    <w:basedOn w:val="Normal"/>
    <w:rsid w:val="00EC123B"/>
    <w:pPr>
      <w:pBdr>
        <w:left w:val="single" w:sz="4" w:space="0" w:color="auto"/>
      </w:pBdr>
      <w:spacing w:before="100" w:beforeAutospacing="1" w:after="100" w:afterAutospacing="1"/>
      <w:jc w:val="left"/>
    </w:pPr>
    <w:rPr>
      <w:sz w:val="24"/>
      <w:szCs w:val="24"/>
      <w:lang w:val="en-US" w:eastAsia="zh-CN"/>
    </w:rPr>
  </w:style>
  <w:style w:type="table" w:customStyle="1" w:styleId="AATable">
    <w:name w:val="AA_Table"/>
    <w:basedOn w:val="TableNormal"/>
    <w:rsid w:val="00EC123B"/>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EC123B"/>
    <w:pPr>
      <w:keepNext/>
      <w:keepLines/>
      <w:suppressAutoHyphens/>
      <w:ind w:right="5103"/>
    </w:pPr>
    <w:rPr>
      <w:b/>
      <w:lang w:val="en-GB"/>
    </w:rPr>
  </w:style>
  <w:style w:type="paragraph" w:customStyle="1" w:styleId="AATitle2">
    <w:name w:val="AA_Title2"/>
    <w:basedOn w:val="AATitle"/>
    <w:rsid w:val="00EC123B"/>
    <w:pPr>
      <w:tabs>
        <w:tab w:val="clear" w:pos="4082"/>
      </w:tabs>
      <w:spacing w:before="120" w:after="120"/>
      <w:ind w:right="4536"/>
    </w:pPr>
  </w:style>
  <w:style w:type="paragraph" w:customStyle="1" w:styleId="BBTitle">
    <w:name w:val="BB_Title"/>
    <w:basedOn w:val="Normalpool"/>
    <w:link w:val="BBTitleChar"/>
    <w:qFormat/>
    <w:rsid w:val="00EC123B"/>
    <w:pPr>
      <w:keepNext/>
      <w:keepLines/>
      <w:suppressAutoHyphens/>
      <w:spacing w:before="320" w:after="240"/>
      <w:ind w:left="1247" w:right="567"/>
    </w:pPr>
    <w:rPr>
      <w:b/>
      <w:sz w:val="28"/>
      <w:szCs w:val="28"/>
      <w:lang w:val="en-GB"/>
    </w:rPr>
  </w:style>
  <w:style w:type="character" w:customStyle="1" w:styleId="FooterChar1">
    <w:name w:val="Footer Char1"/>
    <w:basedOn w:val="DefaultParagraphFont"/>
    <w:uiPriority w:val="99"/>
    <w:semiHidden/>
    <w:rsid w:val="00EC123B"/>
    <w:rPr>
      <w:lang w:val="en-GB"/>
    </w:rPr>
  </w:style>
  <w:style w:type="character" w:customStyle="1" w:styleId="HeaderChar1">
    <w:name w:val="Header Char1"/>
    <w:basedOn w:val="DefaultParagraphFont"/>
    <w:uiPriority w:val="99"/>
    <w:semiHidden/>
    <w:rsid w:val="00EC123B"/>
    <w:rPr>
      <w:lang w:val="en-GB"/>
    </w:rPr>
  </w:style>
  <w:style w:type="character" w:styleId="Hyperlink">
    <w:name w:val="Hyperlink"/>
    <w:basedOn w:val="DefaultParagraphFont"/>
    <w:uiPriority w:val="99"/>
    <w:rsid w:val="00EC123B"/>
    <w:rPr>
      <w:rFonts w:ascii="Times New Roman" w:hAnsi="Times New Roman"/>
      <w:color w:val="auto"/>
      <w:sz w:val="20"/>
      <w:szCs w:val="20"/>
      <w:u w:val="none"/>
      <w:lang w:val="fr-FR"/>
    </w:rPr>
  </w:style>
  <w:style w:type="numbering" w:customStyle="1" w:styleId="Normallist">
    <w:name w:val="Normal_list"/>
    <w:basedOn w:val="NoList"/>
    <w:rsid w:val="00EC123B"/>
    <w:pPr>
      <w:numPr>
        <w:numId w:val="7"/>
      </w:numPr>
    </w:pPr>
  </w:style>
  <w:style w:type="paragraph" w:customStyle="1" w:styleId="NormalNonumber">
    <w:name w:val="Normal_No_number"/>
    <w:basedOn w:val="Normalpool"/>
    <w:rsid w:val="00EC123B"/>
    <w:pPr>
      <w:spacing w:after="120"/>
      <w:ind w:left="1247"/>
    </w:pPr>
    <w:rPr>
      <w:lang w:val="en-GB"/>
    </w:rPr>
  </w:style>
  <w:style w:type="paragraph" w:customStyle="1" w:styleId="Normalnumber">
    <w:name w:val="Normal_number"/>
    <w:basedOn w:val="Normalpool"/>
    <w:link w:val="NormalnumberChar"/>
    <w:qFormat/>
    <w:rsid w:val="00EC123B"/>
    <w:pPr>
      <w:spacing w:after="120"/>
    </w:pPr>
    <w:rPr>
      <w:lang w:val="en-GB"/>
    </w:rPr>
  </w:style>
  <w:style w:type="paragraph" w:customStyle="1" w:styleId="Titletable">
    <w:name w:val="Title_table"/>
    <w:basedOn w:val="Normalpool"/>
    <w:rsid w:val="00EC123B"/>
    <w:pPr>
      <w:keepNext/>
      <w:keepLines/>
      <w:suppressAutoHyphens/>
      <w:spacing w:after="60"/>
      <w:ind w:left="1247"/>
    </w:pPr>
    <w:rPr>
      <w:b/>
      <w:bCs/>
      <w:lang w:val="en-GB"/>
    </w:rPr>
  </w:style>
  <w:style w:type="paragraph" w:styleId="TOC1">
    <w:name w:val="toc 1"/>
    <w:basedOn w:val="Normalpool"/>
    <w:next w:val="Normalpool"/>
    <w:rsid w:val="00EC123B"/>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EC123B"/>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EC123B"/>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EC123B"/>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EC123B"/>
    <w:pPr>
      <w:tabs>
        <w:tab w:val="left" w:pos="1247"/>
      </w:tabs>
      <w:ind w:left="800"/>
      <w:jc w:val="left"/>
    </w:pPr>
    <w:rPr>
      <w:sz w:val="18"/>
      <w:szCs w:val="18"/>
      <w:lang w:val="en-GB"/>
    </w:rPr>
  </w:style>
  <w:style w:type="paragraph" w:customStyle="1" w:styleId="ZZAnxheader">
    <w:name w:val="ZZ_Anx_header"/>
    <w:basedOn w:val="Normalpool"/>
    <w:rsid w:val="00EC123B"/>
    <w:rPr>
      <w:b/>
      <w:bCs/>
      <w:sz w:val="28"/>
      <w:szCs w:val="22"/>
      <w:lang w:val="en-GB"/>
    </w:rPr>
  </w:style>
  <w:style w:type="paragraph" w:customStyle="1" w:styleId="ZZAnxtitle">
    <w:name w:val="ZZ_Anx_title"/>
    <w:basedOn w:val="Normalpool"/>
    <w:rsid w:val="00EC123B"/>
    <w:pPr>
      <w:spacing w:before="360" w:after="120"/>
      <w:ind w:left="1247"/>
    </w:pPr>
    <w:rPr>
      <w:b/>
      <w:bCs/>
      <w:sz w:val="28"/>
      <w:szCs w:val="26"/>
      <w:lang w:val="en-GB"/>
    </w:rPr>
  </w:style>
  <w:style w:type="paragraph" w:customStyle="1" w:styleId="xl79">
    <w:name w:val="xl79"/>
    <w:basedOn w:val="Normal"/>
    <w:rsid w:val="00EC123B"/>
    <w:pPr>
      <w:pBdr>
        <w:top w:val="double" w:sz="6" w:space="0" w:color="auto"/>
        <w:left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80">
    <w:name w:val="xl80"/>
    <w:basedOn w:val="Normal"/>
    <w:rsid w:val="00EC123B"/>
    <w:pPr>
      <w:pBdr>
        <w:top w:val="double" w:sz="6" w:space="0" w:color="auto"/>
      </w:pBdr>
      <w:spacing w:before="100" w:beforeAutospacing="1" w:after="100" w:afterAutospacing="1"/>
      <w:jc w:val="left"/>
    </w:pPr>
    <w:rPr>
      <w:sz w:val="24"/>
      <w:szCs w:val="24"/>
      <w:lang w:val="en-US" w:eastAsia="zh-CN"/>
    </w:rPr>
  </w:style>
  <w:style w:type="paragraph" w:customStyle="1" w:styleId="xl81">
    <w:name w:val="xl81"/>
    <w:basedOn w:val="Normal"/>
    <w:rsid w:val="00EC123B"/>
    <w:pPr>
      <w:pBdr>
        <w:top w:val="double" w:sz="6" w:space="0" w:color="auto"/>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82">
    <w:name w:val="xl82"/>
    <w:basedOn w:val="Normal"/>
    <w:rsid w:val="00EC123B"/>
    <w:pPr>
      <w:pBdr>
        <w:top w:val="double" w:sz="6" w:space="0" w:color="auto"/>
        <w:left w:val="single" w:sz="4" w:space="0" w:color="auto"/>
      </w:pBdr>
      <w:spacing w:before="100" w:beforeAutospacing="1" w:after="100" w:afterAutospacing="1"/>
      <w:jc w:val="left"/>
    </w:pPr>
    <w:rPr>
      <w:sz w:val="24"/>
      <w:szCs w:val="24"/>
      <w:lang w:val="en-US" w:eastAsia="zh-CN"/>
    </w:rPr>
  </w:style>
  <w:style w:type="paragraph" w:customStyle="1" w:styleId="xl83">
    <w:name w:val="xl83"/>
    <w:basedOn w:val="Normal"/>
    <w:rsid w:val="00EC123B"/>
    <w:pPr>
      <w:pBdr>
        <w:left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84">
    <w:name w:val="xl84"/>
    <w:basedOn w:val="Normal"/>
    <w:rsid w:val="00EC123B"/>
    <w:pPr>
      <w:pBdr>
        <w:left w:val="single" w:sz="4" w:space="0" w:color="auto"/>
        <w:bottom w:val="double" w:sz="6" w:space="0" w:color="auto"/>
      </w:pBdr>
      <w:spacing w:before="100" w:beforeAutospacing="1" w:after="100" w:afterAutospacing="1"/>
      <w:jc w:val="left"/>
    </w:pPr>
    <w:rPr>
      <w:sz w:val="24"/>
      <w:szCs w:val="24"/>
      <w:lang w:val="en-US" w:eastAsia="zh-CN"/>
    </w:rPr>
  </w:style>
  <w:style w:type="paragraph" w:customStyle="1" w:styleId="xl85">
    <w:name w:val="xl85"/>
    <w:basedOn w:val="Normal"/>
    <w:rsid w:val="00EC123B"/>
    <w:pPr>
      <w:spacing w:before="100" w:beforeAutospacing="1" w:after="100" w:afterAutospacing="1"/>
      <w:jc w:val="left"/>
    </w:pPr>
    <w:rPr>
      <w:b/>
      <w:bCs/>
      <w:sz w:val="24"/>
      <w:szCs w:val="24"/>
      <w:lang w:val="en-US" w:eastAsia="zh-CN"/>
    </w:rPr>
  </w:style>
  <w:style w:type="paragraph" w:customStyle="1" w:styleId="xl86">
    <w:name w:val="xl86"/>
    <w:basedOn w:val="Normal"/>
    <w:rsid w:val="00EC123B"/>
    <w:pPr>
      <w:pBdr>
        <w:left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87">
    <w:name w:val="xl87"/>
    <w:basedOn w:val="Normal"/>
    <w:rsid w:val="00EC123B"/>
    <w:pPr>
      <w:pBdr>
        <w:left w:val="double" w:sz="6" w:space="0" w:color="auto"/>
      </w:pBdr>
      <w:spacing w:before="100" w:beforeAutospacing="1" w:after="100" w:afterAutospacing="1"/>
      <w:jc w:val="left"/>
    </w:pPr>
    <w:rPr>
      <w:sz w:val="24"/>
      <w:szCs w:val="24"/>
      <w:lang w:val="en-US" w:eastAsia="zh-CN"/>
    </w:rPr>
  </w:style>
  <w:style w:type="paragraph" w:customStyle="1" w:styleId="xl88">
    <w:name w:val="xl88"/>
    <w:basedOn w:val="Normal"/>
    <w:rsid w:val="00EC123B"/>
    <w:pPr>
      <w:spacing w:before="100" w:beforeAutospacing="1" w:after="100" w:afterAutospacing="1"/>
      <w:jc w:val="center"/>
    </w:pPr>
    <w:rPr>
      <w:sz w:val="24"/>
      <w:szCs w:val="24"/>
      <w:lang w:val="en-US" w:eastAsia="zh-CN"/>
    </w:rPr>
  </w:style>
  <w:style w:type="paragraph" w:customStyle="1" w:styleId="xl89">
    <w:name w:val="xl89"/>
    <w:basedOn w:val="Normal"/>
    <w:rsid w:val="00EC123B"/>
    <w:pPr>
      <w:spacing w:before="100" w:beforeAutospacing="1" w:after="100" w:afterAutospacing="1"/>
      <w:jc w:val="center"/>
    </w:pPr>
    <w:rPr>
      <w:sz w:val="24"/>
      <w:szCs w:val="24"/>
      <w:u w:val="single"/>
      <w:lang w:val="en-US" w:eastAsia="zh-CN"/>
    </w:rPr>
  </w:style>
  <w:style w:type="paragraph" w:customStyle="1" w:styleId="xl90">
    <w:name w:val="xl90"/>
    <w:basedOn w:val="Normal"/>
    <w:rsid w:val="00EC123B"/>
    <w:pPr>
      <w:pBdr>
        <w:right w:val="double" w:sz="6" w:space="0" w:color="auto"/>
      </w:pBdr>
      <w:spacing w:before="100" w:beforeAutospacing="1" w:after="100" w:afterAutospacing="1"/>
      <w:jc w:val="left"/>
    </w:pPr>
    <w:rPr>
      <w:sz w:val="24"/>
      <w:szCs w:val="24"/>
      <w:lang w:val="en-US" w:eastAsia="zh-CN"/>
    </w:rPr>
  </w:style>
  <w:style w:type="paragraph" w:customStyle="1" w:styleId="xl91">
    <w:name w:val="xl91"/>
    <w:basedOn w:val="Normal"/>
    <w:rsid w:val="00EC123B"/>
    <w:pPr>
      <w:pBdr>
        <w:bottom w:val="double" w:sz="6" w:space="0" w:color="auto"/>
      </w:pBdr>
      <w:spacing w:before="100" w:beforeAutospacing="1" w:after="100" w:afterAutospacing="1"/>
      <w:jc w:val="left"/>
    </w:pPr>
    <w:rPr>
      <w:sz w:val="24"/>
      <w:szCs w:val="24"/>
      <w:lang w:val="en-US" w:eastAsia="zh-CN"/>
    </w:rPr>
  </w:style>
  <w:style w:type="paragraph" w:customStyle="1" w:styleId="xl92">
    <w:name w:val="xl92"/>
    <w:basedOn w:val="Normal"/>
    <w:rsid w:val="00EC123B"/>
    <w:pPr>
      <w:pBdr>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93">
    <w:name w:val="xl93"/>
    <w:basedOn w:val="Normal"/>
    <w:rsid w:val="00EC123B"/>
    <w:pPr>
      <w:pBdr>
        <w:left w:val="single" w:sz="4" w:space="0" w:color="auto"/>
        <w:bottom w:val="single" w:sz="8" w:space="0" w:color="auto"/>
        <w:right w:val="single" w:sz="4" w:space="0" w:color="auto"/>
      </w:pBdr>
      <w:spacing w:before="100" w:beforeAutospacing="1" w:after="100" w:afterAutospacing="1"/>
      <w:jc w:val="left"/>
    </w:pPr>
    <w:rPr>
      <w:sz w:val="24"/>
      <w:szCs w:val="24"/>
      <w:lang w:val="en-US" w:eastAsia="zh-CN"/>
    </w:rPr>
  </w:style>
  <w:style w:type="paragraph" w:customStyle="1" w:styleId="xl94">
    <w:name w:val="xl94"/>
    <w:basedOn w:val="Normal"/>
    <w:rsid w:val="00EC123B"/>
    <w:pPr>
      <w:pBdr>
        <w:left w:val="single" w:sz="4" w:space="0" w:color="auto"/>
        <w:bottom w:val="single" w:sz="8" w:space="0" w:color="auto"/>
        <w:right w:val="double" w:sz="6" w:space="0" w:color="auto"/>
      </w:pBdr>
      <w:spacing w:before="100" w:beforeAutospacing="1" w:after="100" w:afterAutospacing="1"/>
      <w:jc w:val="left"/>
    </w:pPr>
    <w:rPr>
      <w:sz w:val="24"/>
      <w:szCs w:val="24"/>
      <w:lang w:val="en-US" w:eastAsia="zh-CN"/>
    </w:rPr>
  </w:style>
  <w:style w:type="paragraph" w:customStyle="1" w:styleId="xl95">
    <w:name w:val="xl95"/>
    <w:basedOn w:val="Normal"/>
    <w:rsid w:val="00EC123B"/>
    <w:pPr>
      <w:pBdr>
        <w:top w:val="single" w:sz="8" w:space="0" w:color="auto"/>
        <w:left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96">
    <w:name w:val="xl96"/>
    <w:basedOn w:val="Normal"/>
    <w:rsid w:val="00EC123B"/>
    <w:pPr>
      <w:pBdr>
        <w:top w:val="single" w:sz="4" w:space="0" w:color="auto"/>
        <w:left w:val="double" w:sz="6" w:space="0" w:color="auto"/>
      </w:pBdr>
      <w:spacing w:before="100" w:beforeAutospacing="1" w:after="100" w:afterAutospacing="1"/>
      <w:jc w:val="left"/>
    </w:pPr>
    <w:rPr>
      <w:sz w:val="24"/>
      <w:szCs w:val="24"/>
      <w:lang w:val="en-US" w:eastAsia="zh-CN"/>
    </w:rPr>
  </w:style>
  <w:style w:type="paragraph" w:customStyle="1" w:styleId="xl97">
    <w:name w:val="xl97"/>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98">
    <w:name w:val="xl98"/>
    <w:basedOn w:val="Normal"/>
    <w:rsid w:val="00EC123B"/>
    <w:pPr>
      <w:pBdr>
        <w:top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99">
    <w:name w:val="xl99"/>
    <w:basedOn w:val="Normal"/>
    <w:rsid w:val="00EC123B"/>
    <w:pPr>
      <w:pBdr>
        <w:top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00">
    <w:name w:val="xl100"/>
    <w:basedOn w:val="Normal"/>
    <w:rsid w:val="00EC123B"/>
    <w:pPr>
      <w:pBdr>
        <w:top w:val="double" w:sz="6" w:space="0" w:color="auto"/>
        <w:left w:val="double" w:sz="6" w:space="0" w:color="auto"/>
      </w:pBdr>
      <w:spacing w:before="100" w:beforeAutospacing="1" w:after="100" w:afterAutospacing="1"/>
      <w:jc w:val="left"/>
    </w:pPr>
    <w:rPr>
      <w:sz w:val="24"/>
      <w:szCs w:val="24"/>
      <w:lang w:val="en-US" w:eastAsia="zh-CN"/>
    </w:rPr>
  </w:style>
  <w:style w:type="paragraph" w:customStyle="1" w:styleId="xl101">
    <w:name w:val="xl101"/>
    <w:basedOn w:val="Normal"/>
    <w:rsid w:val="00EC123B"/>
    <w:pPr>
      <w:pBdr>
        <w:left w:val="single" w:sz="4" w:space="0" w:color="auto"/>
        <w:bottom w:val="single" w:sz="4" w:space="0" w:color="auto"/>
      </w:pBdr>
      <w:spacing w:before="100" w:beforeAutospacing="1" w:after="100" w:afterAutospacing="1"/>
      <w:jc w:val="left"/>
    </w:pPr>
    <w:rPr>
      <w:sz w:val="24"/>
      <w:szCs w:val="24"/>
      <w:lang w:val="en-US" w:eastAsia="zh-CN"/>
    </w:rPr>
  </w:style>
  <w:style w:type="paragraph" w:customStyle="1" w:styleId="xl102">
    <w:name w:val="xl102"/>
    <w:basedOn w:val="Normal"/>
    <w:rsid w:val="00EC123B"/>
    <w:pPr>
      <w:pBdr>
        <w:top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103">
    <w:name w:val="xl103"/>
    <w:basedOn w:val="Normal"/>
    <w:rsid w:val="00EC123B"/>
    <w:pPr>
      <w:spacing w:before="100" w:beforeAutospacing="1" w:after="100" w:afterAutospacing="1"/>
      <w:jc w:val="center"/>
    </w:pPr>
    <w:rPr>
      <w:b/>
      <w:bCs/>
      <w:sz w:val="24"/>
      <w:szCs w:val="24"/>
      <w:lang w:val="en-US" w:eastAsia="zh-CN"/>
    </w:rPr>
  </w:style>
  <w:style w:type="paragraph" w:customStyle="1" w:styleId="xl104">
    <w:name w:val="xl104"/>
    <w:basedOn w:val="Normal"/>
    <w:rsid w:val="00EC123B"/>
    <w:pPr>
      <w:pBdr>
        <w:top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105">
    <w:name w:val="xl105"/>
    <w:basedOn w:val="Normal"/>
    <w:rsid w:val="00EC123B"/>
    <w:pPr>
      <w:pBdr>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06">
    <w:name w:val="xl106"/>
    <w:basedOn w:val="Normal"/>
    <w:rsid w:val="00EC123B"/>
    <w:pPr>
      <w:pBdr>
        <w:top w:val="single" w:sz="4" w:space="0" w:color="auto"/>
        <w:left w:val="single" w:sz="4" w:space="0" w:color="auto"/>
      </w:pBdr>
      <w:spacing w:before="100" w:beforeAutospacing="1" w:after="100" w:afterAutospacing="1"/>
      <w:jc w:val="left"/>
    </w:pPr>
    <w:rPr>
      <w:sz w:val="24"/>
      <w:szCs w:val="24"/>
      <w:lang w:val="en-US" w:eastAsia="zh-CN"/>
    </w:rPr>
  </w:style>
  <w:style w:type="paragraph" w:customStyle="1" w:styleId="xl107">
    <w:name w:val="xl107"/>
    <w:basedOn w:val="Normal"/>
    <w:rsid w:val="00EC123B"/>
    <w:pPr>
      <w:pBdr>
        <w:top w:val="double" w:sz="6" w:space="0" w:color="auto"/>
        <w:left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108">
    <w:name w:val="xl108"/>
    <w:basedOn w:val="Normal"/>
    <w:rsid w:val="00EC123B"/>
    <w:pPr>
      <w:pBdr>
        <w:top w:val="double" w:sz="6" w:space="0" w:color="auto"/>
        <w:left w:val="single" w:sz="4"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09">
    <w:name w:val="xl109"/>
    <w:basedOn w:val="Normal"/>
    <w:rsid w:val="00EC123B"/>
    <w:pPr>
      <w:pBdr>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10">
    <w:name w:val="xl110"/>
    <w:basedOn w:val="Normal"/>
    <w:rsid w:val="00EC123B"/>
    <w:pPr>
      <w:pBdr>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11">
    <w:name w:val="xl111"/>
    <w:basedOn w:val="Normal"/>
    <w:rsid w:val="00EC123B"/>
    <w:pPr>
      <w:pBdr>
        <w:left w:val="double" w:sz="6"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12">
    <w:name w:val="xl112"/>
    <w:basedOn w:val="Normal"/>
    <w:rsid w:val="00EC123B"/>
    <w:pPr>
      <w:pBdr>
        <w:top w:val="double" w:sz="6" w:space="0" w:color="auto"/>
        <w:left w:val="double" w:sz="6" w:space="0" w:color="auto"/>
        <w:right w:val="single" w:sz="4" w:space="0" w:color="auto"/>
      </w:pBdr>
      <w:spacing w:before="100" w:beforeAutospacing="1" w:after="100" w:afterAutospacing="1"/>
      <w:jc w:val="left"/>
      <w:textAlignment w:val="center"/>
    </w:pPr>
    <w:rPr>
      <w:sz w:val="24"/>
      <w:szCs w:val="24"/>
      <w:lang w:val="en-US" w:eastAsia="zh-CN"/>
    </w:rPr>
  </w:style>
  <w:style w:type="paragraph" w:customStyle="1" w:styleId="xl113">
    <w:name w:val="xl113"/>
    <w:basedOn w:val="Normal"/>
    <w:rsid w:val="00EC123B"/>
    <w:pPr>
      <w:pBdr>
        <w:left w:val="double" w:sz="6" w:space="0" w:color="auto"/>
        <w:bottom w:val="double" w:sz="6" w:space="0" w:color="auto"/>
        <w:right w:val="single" w:sz="4" w:space="0" w:color="auto"/>
      </w:pBdr>
      <w:spacing w:before="100" w:beforeAutospacing="1" w:after="100" w:afterAutospacing="1"/>
      <w:jc w:val="center"/>
    </w:pPr>
    <w:rPr>
      <w:sz w:val="24"/>
      <w:szCs w:val="24"/>
      <w:lang w:val="en-US" w:eastAsia="zh-CN"/>
    </w:rPr>
  </w:style>
  <w:style w:type="paragraph" w:customStyle="1" w:styleId="xl114">
    <w:name w:val="xl114"/>
    <w:basedOn w:val="Normal"/>
    <w:rsid w:val="00EC123B"/>
    <w:pPr>
      <w:spacing w:before="100" w:beforeAutospacing="1" w:after="100" w:afterAutospacing="1"/>
      <w:jc w:val="right"/>
    </w:pPr>
    <w:rPr>
      <w:color w:val="FF0000"/>
      <w:sz w:val="24"/>
      <w:szCs w:val="24"/>
      <w:lang w:val="en-US" w:eastAsia="zh-CN"/>
    </w:rPr>
  </w:style>
  <w:style w:type="paragraph" w:customStyle="1" w:styleId="xl115">
    <w:name w:val="xl115"/>
    <w:basedOn w:val="Normal"/>
    <w:rsid w:val="00EC123B"/>
    <w:pPr>
      <w:pBdr>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16">
    <w:name w:val="xl116"/>
    <w:basedOn w:val="Normal"/>
    <w:rsid w:val="00EC123B"/>
    <w:pPr>
      <w:spacing w:before="100" w:beforeAutospacing="1" w:after="100" w:afterAutospacing="1"/>
      <w:jc w:val="left"/>
    </w:pPr>
    <w:rPr>
      <w:b/>
      <w:bCs/>
      <w:color w:val="FF0000"/>
      <w:sz w:val="24"/>
      <w:szCs w:val="24"/>
      <w:lang w:val="en-US" w:eastAsia="zh-CN"/>
    </w:rPr>
  </w:style>
  <w:style w:type="paragraph" w:customStyle="1" w:styleId="xl117">
    <w:name w:val="xl117"/>
    <w:basedOn w:val="Normal"/>
    <w:rsid w:val="00EC123B"/>
    <w:pPr>
      <w:spacing w:before="100" w:beforeAutospacing="1" w:after="100" w:afterAutospacing="1"/>
      <w:jc w:val="left"/>
    </w:pPr>
    <w:rPr>
      <w:color w:val="FF0000"/>
      <w:sz w:val="24"/>
      <w:szCs w:val="24"/>
      <w:lang w:val="en-US" w:eastAsia="zh-CN"/>
    </w:rPr>
  </w:style>
  <w:style w:type="paragraph" w:customStyle="1" w:styleId="xl118">
    <w:name w:val="xl118"/>
    <w:basedOn w:val="Normal"/>
    <w:rsid w:val="00EC123B"/>
    <w:pPr>
      <w:pBdr>
        <w:top w:val="double" w:sz="6" w:space="0" w:color="auto"/>
        <w:left w:val="double" w:sz="6" w:space="0" w:color="auto"/>
      </w:pBdr>
      <w:spacing w:before="100" w:beforeAutospacing="1" w:after="100" w:afterAutospacing="1"/>
      <w:jc w:val="left"/>
    </w:pPr>
    <w:rPr>
      <w:color w:val="FF0000"/>
      <w:sz w:val="24"/>
      <w:szCs w:val="24"/>
      <w:lang w:val="en-US" w:eastAsia="zh-CN"/>
    </w:rPr>
  </w:style>
  <w:style w:type="paragraph" w:customStyle="1" w:styleId="xl119">
    <w:name w:val="xl119"/>
    <w:basedOn w:val="Normal"/>
    <w:rsid w:val="00EC123B"/>
    <w:pPr>
      <w:pBdr>
        <w:top w:val="double" w:sz="6" w:space="0" w:color="auto"/>
        <w:left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0">
    <w:name w:val="xl120"/>
    <w:basedOn w:val="Normal"/>
    <w:rsid w:val="00EC123B"/>
    <w:pPr>
      <w:pBdr>
        <w:top w:val="double" w:sz="6" w:space="0" w:color="auto"/>
      </w:pBdr>
      <w:spacing w:before="100" w:beforeAutospacing="1" w:after="100" w:afterAutospacing="1"/>
      <w:jc w:val="left"/>
    </w:pPr>
    <w:rPr>
      <w:color w:val="FF0000"/>
      <w:sz w:val="24"/>
      <w:szCs w:val="24"/>
      <w:lang w:val="en-US" w:eastAsia="zh-CN"/>
    </w:rPr>
  </w:style>
  <w:style w:type="paragraph" w:customStyle="1" w:styleId="xl121">
    <w:name w:val="xl121"/>
    <w:basedOn w:val="Normal"/>
    <w:rsid w:val="00EC123B"/>
    <w:pPr>
      <w:pBdr>
        <w:top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2">
    <w:name w:val="xl122"/>
    <w:basedOn w:val="Normal"/>
    <w:rsid w:val="00EC123B"/>
    <w:pPr>
      <w:pBdr>
        <w:top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23">
    <w:name w:val="xl123"/>
    <w:basedOn w:val="Normal"/>
    <w:rsid w:val="00EC123B"/>
    <w:pPr>
      <w:pBdr>
        <w:left w:val="double" w:sz="6"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24">
    <w:name w:val="xl124"/>
    <w:basedOn w:val="Normal"/>
    <w:rsid w:val="00EC123B"/>
    <w:pPr>
      <w:pBdr>
        <w:right w:val="single" w:sz="4" w:space="0" w:color="auto"/>
      </w:pBdr>
      <w:spacing w:before="100" w:beforeAutospacing="1" w:after="100" w:afterAutospacing="1"/>
      <w:jc w:val="center"/>
    </w:pPr>
    <w:rPr>
      <w:color w:val="FF0000"/>
      <w:sz w:val="24"/>
      <w:szCs w:val="24"/>
      <w:lang w:val="en-US" w:eastAsia="zh-CN"/>
    </w:rPr>
  </w:style>
  <w:style w:type="paragraph" w:customStyle="1" w:styleId="xl125">
    <w:name w:val="xl125"/>
    <w:basedOn w:val="Normal"/>
    <w:rsid w:val="00EC123B"/>
    <w:pPr>
      <w:pBdr>
        <w:right w:val="single" w:sz="4" w:space="0" w:color="auto"/>
      </w:pBdr>
      <w:spacing w:before="100" w:beforeAutospacing="1" w:after="100" w:afterAutospacing="1"/>
      <w:jc w:val="left"/>
    </w:pPr>
    <w:rPr>
      <w:color w:val="FF0000"/>
      <w:sz w:val="24"/>
      <w:szCs w:val="24"/>
      <w:lang w:val="en-US" w:eastAsia="zh-CN"/>
    </w:rPr>
  </w:style>
  <w:style w:type="paragraph" w:customStyle="1" w:styleId="xl126">
    <w:name w:val="xl126"/>
    <w:basedOn w:val="Normal"/>
    <w:rsid w:val="00EC123B"/>
    <w:pPr>
      <w:pBdr>
        <w:left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7">
    <w:name w:val="xl127"/>
    <w:basedOn w:val="Normal"/>
    <w:rsid w:val="00EC123B"/>
    <w:pPr>
      <w:pBdr>
        <w:right w:val="single" w:sz="4" w:space="0" w:color="auto"/>
      </w:pBdr>
      <w:spacing w:before="100" w:beforeAutospacing="1" w:after="100" w:afterAutospacing="1"/>
      <w:jc w:val="left"/>
    </w:pPr>
    <w:rPr>
      <w:color w:val="FF0000"/>
      <w:sz w:val="24"/>
      <w:szCs w:val="24"/>
      <w:lang w:val="en-US" w:eastAsia="zh-CN"/>
    </w:rPr>
  </w:style>
  <w:style w:type="paragraph" w:customStyle="1" w:styleId="xl128">
    <w:name w:val="xl128"/>
    <w:basedOn w:val="Normal"/>
    <w:rsid w:val="00EC123B"/>
    <w:pPr>
      <w:pBdr>
        <w:left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9">
    <w:name w:val="xl129"/>
    <w:basedOn w:val="Normal"/>
    <w:rsid w:val="00EC123B"/>
    <w:pPr>
      <w:pBdr>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0">
    <w:name w:val="xl130"/>
    <w:basedOn w:val="Normal"/>
    <w:rsid w:val="00EC123B"/>
    <w:pPr>
      <w:pBdr>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31">
    <w:name w:val="xl131"/>
    <w:basedOn w:val="Normal"/>
    <w:rsid w:val="00EC123B"/>
    <w:pPr>
      <w:pBdr>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2">
    <w:name w:val="xl132"/>
    <w:basedOn w:val="Normal"/>
    <w:rsid w:val="00EC123B"/>
    <w:pPr>
      <w:pBdr>
        <w:left w:val="double" w:sz="6" w:space="0" w:color="auto"/>
      </w:pBdr>
      <w:spacing w:before="100" w:beforeAutospacing="1" w:after="100" w:afterAutospacing="1"/>
      <w:jc w:val="left"/>
    </w:pPr>
    <w:rPr>
      <w:color w:val="FF0000"/>
      <w:sz w:val="24"/>
      <w:szCs w:val="24"/>
      <w:lang w:val="en-US" w:eastAsia="zh-CN"/>
    </w:rPr>
  </w:style>
  <w:style w:type="paragraph" w:customStyle="1" w:styleId="xl133">
    <w:name w:val="xl133"/>
    <w:basedOn w:val="Normal"/>
    <w:rsid w:val="00EC123B"/>
    <w:pPr>
      <w:pBdr>
        <w:left w:val="single" w:sz="4" w:space="0" w:color="auto"/>
        <w:bottom w:val="single" w:sz="8"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4">
    <w:name w:val="xl134"/>
    <w:basedOn w:val="Normal"/>
    <w:rsid w:val="00EC123B"/>
    <w:pPr>
      <w:pBdr>
        <w:left w:val="single" w:sz="4" w:space="0" w:color="auto"/>
        <w:bottom w:val="single" w:sz="8"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5">
    <w:name w:val="xl135"/>
    <w:basedOn w:val="Normal"/>
    <w:rsid w:val="00EC123B"/>
    <w:pPr>
      <w:pBdr>
        <w:top w:val="single" w:sz="8" w:space="0" w:color="auto"/>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36">
    <w:name w:val="xl136"/>
    <w:basedOn w:val="Normal"/>
    <w:rsid w:val="00EC123B"/>
    <w:pPr>
      <w:pBdr>
        <w:top w:val="single" w:sz="8"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7">
    <w:name w:val="xl137"/>
    <w:basedOn w:val="Normal"/>
    <w:rsid w:val="00EC123B"/>
    <w:pPr>
      <w:pBdr>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38">
    <w:name w:val="xl138"/>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9">
    <w:name w:val="xl139"/>
    <w:basedOn w:val="Normal"/>
    <w:rsid w:val="00EC123B"/>
    <w:pPr>
      <w:pBdr>
        <w:top w:val="single" w:sz="4" w:space="0" w:color="auto"/>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40">
    <w:name w:val="xl140"/>
    <w:basedOn w:val="Normal"/>
    <w:rsid w:val="00EC123B"/>
    <w:pPr>
      <w:pBdr>
        <w:top w:val="single" w:sz="4" w:space="0" w:color="auto"/>
        <w:left w:val="double" w:sz="6" w:space="0" w:color="auto"/>
      </w:pBdr>
      <w:spacing w:before="100" w:beforeAutospacing="1" w:after="100" w:afterAutospacing="1"/>
      <w:jc w:val="left"/>
    </w:pPr>
    <w:rPr>
      <w:color w:val="FF0000"/>
      <w:sz w:val="24"/>
      <w:szCs w:val="24"/>
      <w:lang w:val="en-US" w:eastAsia="zh-CN"/>
    </w:rPr>
  </w:style>
  <w:style w:type="paragraph" w:customStyle="1" w:styleId="xl141">
    <w:name w:val="xl141"/>
    <w:basedOn w:val="Normal"/>
    <w:rsid w:val="00EC123B"/>
    <w:pPr>
      <w:pBdr>
        <w:top w:val="single" w:sz="4" w:space="0" w:color="auto"/>
        <w:left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2">
    <w:name w:val="xl142"/>
    <w:basedOn w:val="Normal"/>
    <w:rsid w:val="00EC123B"/>
    <w:pPr>
      <w:pBdr>
        <w:top w:val="single" w:sz="4" w:space="0" w:color="auto"/>
        <w:left w:val="single" w:sz="4"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3">
    <w:name w:val="xl143"/>
    <w:basedOn w:val="Normal"/>
    <w:rsid w:val="00EC123B"/>
    <w:pPr>
      <w:pBdr>
        <w:top w:val="double" w:sz="6" w:space="0" w:color="auto"/>
        <w:left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44">
    <w:name w:val="xl144"/>
    <w:basedOn w:val="Normal"/>
    <w:rsid w:val="00EC123B"/>
    <w:pPr>
      <w:pBdr>
        <w:right w:val="double" w:sz="6" w:space="0" w:color="auto"/>
      </w:pBdr>
      <w:spacing w:before="100" w:beforeAutospacing="1" w:after="100" w:afterAutospacing="1"/>
      <w:jc w:val="left"/>
    </w:pPr>
    <w:rPr>
      <w:color w:val="FF0000"/>
      <w:sz w:val="24"/>
      <w:szCs w:val="24"/>
      <w:lang w:val="en-US" w:eastAsia="zh-CN"/>
    </w:rPr>
  </w:style>
  <w:style w:type="paragraph" w:customStyle="1" w:styleId="xl145">
    <w:name w:val="xl145"/>
    <w:basedOn w:val="Normal"/>
    <w:rsid w:val="00EC123B"/>
    <w:pPr>
      <w:pBdr>
        <w:left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6">
    <w:name w:val="xl146"/>
    <w:basedOn w:val="Normal"/>
    <w:rsid w:val="00EC123B"/>
    <w:pPr>
      <w:pBdr>
        <w:left w:val="single" w:sz="4"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7">
    <w:name w:val="xl147"/>
    <w:basedOn w:val="Normal"/>
    <w:rsid w:val="00EC123B"/>
    <w:pPr>
      <w:pBdr>
        <w:bottom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48">
    <w:name w:val="xl148"/>
    <w:basedOn w:val="Normal"/>
    <w:rsid w:val="00EC123B"/>
    <w:pPr>
      <w:pBdr>
        <w:top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9">
    <w:name w:val="xl149"/>
    <w:basedOn w:val="Normal"/>
    <w:rsid w:val="00EC123B"/>
    <w:pPr>
      <w:pBdr>
        <w:bottom w:val="double" w:sz="6" w:space="0" w:color="auto"/>
      </w:pBdr>
      <w:spacing w:before="100" w:beforeAutospacing="1" w:after="100" w:afterAutospacing="1"/>
      <w:jc w:val="left"/>
    </w:pPr>
    <w:rPr>
      <w:color w:val="FF0000"/>
      <w:sz w:val="24"/>
      <w:szCs w:val="24"/>
      <w:lang w:val="en-US" w:eastAsia="zh-CN"/>
    </w:rPr>
  </w:style>
  <w:style w:type="paragraph" w:customStyle="1" w:styleId="xl150">
    <w:name w:val="xl150"/>
    <w:basedOn w:val="Normal"/>
    <w:rsid w:val="00EC123B"/>
    <w:pPr>
      <w:spacing w:before="100" w:beforeAutospacing="1" w:after="100" w:afterAutospacing="1"/>
      <w:jc w:val="right"/>
    </w:pPr>
    <w:rPr>
      <w:b/>
      <w:bCs/>
      <w:color w:val="FF0000"/>
      <w:sz w:val="24"/>
      <w:szCs w:val="24"/>
      <w:lang w:val="en-US" w:eastAsia="zh-CN"/>
    </w:rPr>
  </w:style>
  <w:style w:type="paragraph" w:customStyle="1" w:styleId="xl151">
    <w:name w:val="xl151"/>
    <w:basedOn w:val="Normal"/>
    <w:rsid w:val="00EC123B"/>
    <w:pPr>
      <w:pBdr>
        <w:top w:val="double" w:sz="6"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52">
    <w:name w:val="xl152"/>
    <w:basedOn w:val="Normal"/>
    <w:rsid w:val="00EC123B"/>
    <w:pPr>
      <w:pBdr>
        <w:top w:val="double" w:sz="6" w:space="0" w:color="auto"/>
      </w:pBdr>
      <w:spacing w:before="100" w:beforeAutospacing="1" w:after="100" w:afterAutospacing="1"/>
      <w:jc w:val="center"/>
    </w:pPr>
    <w:rPr>
      <w:color w:val="FF0000"/>
      <w:sz w:val="24"/>
      <w:szCs w:val="24"/>
      <w:lang w:val="en-US" w:eastAsia="zh-CN"/>
    </w:rPr>
  </w:style>
  <w:style w:type="paragraph" w:customStyle="1" w:styleId="xl153">
    <w:name w:val="xl153"/>
    <w:basedOn w:val="Normal"/>
    <w:rsid w:val="00EC123B"/>
    <w:pPr>
      <w:pBdr>
        <w:top w:val="single" w:sz="4" w:space="0" w:color="auto"/>
        <w:left w:val="single" w:sz="4" w:space="0" w:color="auto"/>
        <w:bottom w:val="single" w:sz="4" w:space="0" w:color="auto"/>
      </w:pBdr>
      <w:spacing w:before="100" w:beforeAutospacing="1" w:after="100" w:afterAutospacing="1"/>
      <w:jc w:val="center"/>
    </w:pPr>
    <w:rPr>
      <w:sz w:val="24"/>
      <w:szCs w:val="24"/>
      <w:lang w:val="en-US" w:eastAsia="zh-CN"/>
    </w:rPr>
  </w:style>
  <w:style w:type="paragraph" w:customStyle="1" w:styleId="xl154">
    <w:name w:val="xl154"/>
    <w:basedOn w:val="Normal"/>
    <w:rsid w:val="00EC123B"/>
    <w:pPr>
      <w:pBdr>
        <w:top w:val="single" w:sz="4" w:space="0" w:color="auto"/>
        <w:left w:val="single" w:sz="4" w:space="0" w:color="auto"/>
        <w:bottom w:val="double" w:sz="6" w:space="0" w:color="auto"/>
      </w:pBdr>
      <w:spacing w:before="100" w:beforeAutospacing="1" w:after="100" w:afterAutospacing="1"/>
      <w:jc w:val="center"/>
    </w:pPr>
    <w:rPr>
      <w:sz w:val="24"/>
      <w:szCs w:val="24"/>
      <w:lang w:val="en-US" w:eastAsia="zh-CN"/>
    </w:rPr>
  </w:style>
  <w:style w:type="paragraph" w:customStyle="1" w:styleId="xl155">
    <w:name w:val="xl155"/>
    <w:basedOn w:val="Normal"/>
    <w:rsid w:val="00EC123B"/>
    <w:pPr>
      <w:pBdr>
        <w:top w:val="double" w:sz="6"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56">
    <w:name w:val="xl156"/>
    <w:basedOn w:val="Normal"/>
    <w:rsid w:val="00EC123B"/>
    <w:pPr>
      <w:pBdr>
        <w:left w:val="single" w:sz="4" w:space="0" w:color="auto"/>
      </w:pBdr>
      <w:spacing w:before="100" w:beforeAutospacing="1" w:after="100" w:afterAutospacing="1"/>
      <w:jc w:val="center"/>
    </w:pPr>
    <w:rPr>
      <w:sz w:val="24"/>
      <w:szCs w:val="24"/>
      <w:lang w:val="en-US" w:eastAsia="zh-CN"/>
    </w:rPr>
  </w:style>
  <w:style w:type="paragraph" w:customStyle="1" w:styleId="xl157">
    <w:name w:val="xl157"/>
    <w:basedOn w:val="Normal"/>
    <w:rsid w:val="00EC123B"/>
    <w:pPr>
      <w:pBdr>
        <w:top w:val="double" w:sz="6" w:space="0" w:color="auto"/>
        <w:left w:val="single" w:sz="4" w:space="0" w:color="auto"/>
      </w:pBdr>
      <w:spacing w:before="100" w:beforeAutospacing="1" w:after="100" w:afterAutospacing="1"/>
      <w:jc w:val="center"/>
    </w:pPr>
    <w:rPr>
      <w:sz w:val="24"/>
      <w:szCs w:val="24"/>
      <w:lang w:val="en-US" w:eastAsia="zh-CN"/>
    </w:rPr>
  </w:style>
  <w:style w:type="paragraph" w:customStyle="1" w:styleId="xl158">
    <w:name w:val="xl158"/>
    <w:basedOn w:val="Normal"/>
    <w:rsid w:val="00EC123B"/>
    <w:pPr>
      <w:pBdr>
        <w:top w:val="single" w:sz="4" w:space="0" w:color="auto"/>
        <w:left w:val="single" w:sz="4" w:space="0" w:color="auto"/>
      </w:pBdr>
      <w:spacing w:before="100" w:beforeAutospacing="1" w:after="100" w:afterAutospacing="1"/>
      <w:jc w:val="center"/>
    </w:pPr>
    <w:rPr>
      <w:sz w:val="24"/>
      <w:szCs w:val="24"/>
      <w:lang w:val="en-US" w:eastAsia="zh-CN"/>
    </w:rPr>
  </w:style>
  <w:style w:type="paragraph" w:customStyle="1" w:styleId="xl159">
    <w:name w:val="xl159"/>
    <w:basedOn w:val="Normal"/>
    <w:rsid w:val="00EC123B"/>
    <w:pPr>
      <w:pBdr>
        <w:left w:val="single" w:sz="4" w:space="0" w:color="auto"/>
        <w:bottom w:val="double" w:sz="6" w:space="0" w:color="auto"/>
      </w:pBdr>
      <w:spacing w:before="100" w:beforeAutospacing="1" w:after="100" w:afterAutospacing="1"/>
      <w:jc w:val="center"/>
    </w:pPr>
    <w:rPr>
      <w:sz w:val="24"/>
      <w:szCs w:val="24"/>
      <w:lang w:val="en-US" w:eastAsia="zh-CN"/>
    </w:rPr>
  </w:style>
  <w:style w:type="paragraph" w:customStyle="1" w:styleId="xl160">
    <w:name w:val="xl160"/>
    <w:basedOn w:val="Normal"/>
    <w:rsid w:val="00EC123B"/>
    <w:pPr>
      <w:pBdr>
        <w:top w:val="single" w:sz="4" w:space="0" w:color="auto"/>
        <w:left w:val="single" w:sz="4" w:space="0" w:color="auto"/>
        <w:bottom w:val="single" w:sz="4" w:space="0" w:color="auto"/>
      </w:pBdr>
      <w:spacing w:before="100" w:beforeAutospacing="1" w:after="100" w:afterAutospacing="1"/>
      <w:jc w:val="center"/>
    </w:pPr>
    <w:rPr>
      <w:color w:val="FF0000"/>
      <w:sz w:val="24"/>
      <w:szCs w:val="24"/>
      <w:lang w:val="en-US" w:eastAsia="zh-CN"/>
    </w:rPr>
  </w:style>
  <w:style w:type="paragraph" w:customStyle="1" w:styleId="xl161">
    <w:name w:val="xl161"/>
    <w:basedOn w:val="Normal"/>
    <w:rsid w:val="00EC123B"/>
    <w:pPr>
      <w:pBdr>
        <w:top w:val="single" w:sz="4" w:space="0" w:color="auto"/>
        <w:left w:val="single" w:sz="4" w:space="0" w:color="auto"/>
        <w:bottom w:val="double" w:sz="6" w:space="0" w:color="auto"/>
      </w:pBdr>
      <w:spacing w:before="100" w:beforeAutospacing="1" w:after="100" w:afterAutospacing="1"/>
      <w:jc w:val="center"/>
    </w:pPr>
    <w:rPr>
      <w:color w:val="FF0000"/>
      <w:sz w:val="24"/>
      <w:szCs w:val="24"/>
      <w:lang w:val="en-US" w:eastAsia="zh-CN"/>
    </w:rPr>
  </w:style>
  <w:style w:type="paragraph" w:customStyle="1" w:styleId="xl162">
    <w:name w:val="xl162"/>
    <w:basedOn w:val="Normal"/>
    <w:rsid w:val="00EC123B"/>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63">
    <w:name w:val="xl163"/>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64">
    <w:name w:val="xl164"/>
    <w:basedOn w:val="Normal"/>
    <w:rsid w:val="00EC123B"/>
    <w:pPr>
      <w:pBdr>
        <w:top w:val="single" w:sz="4" w:space="0" w:color="auto"/>
        <w:left w:val="single" w:sz="4" w:space="0" w:color="auto"/>
        <w:bottom w:val="double" w:sz="6" w:space="0" w:color="auto"/>
        <w:right w:val="single" w:sz="4" w:space="0" w:color="auto"/>
      </w:pBdr>
      <w:spacing w:before="100" w:beforeAutospacing="1" w:after="100" w:afterAutospacing="1"/>
      <w:jc w:val="center"/>
    </w:pPr>
    <w:rPr>
      <w:sz w:val="24"/>
      <w:szCs w:val="24"/>
      <w:lang w:val="en-US" w:eastAsia="zh-CN"/>
    </w:rPr>
  </w:style>
  <w:style w:type="paragraph" w:customStyle="1" w:styleId="xl165">
    <w:name w:val="xl165"/>
    <w:basedOn w:val="Normal"/>
    <w:rsid w:val="00EC123B"/>
    <w:pPr>
      <w:pBdr>
        <w:top w:val="single" w:sz="8"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6">
    <w:name w:val="xl166"/>
    <w:basedOn w:val="Normal"/>
    <w:rsid w:val="00EC123B"/>
    <w:pPr>
      <w:pBdr>
        <w:top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7">
    <w:name w:val="xl167"/>
    <w:basedOn w:val="Normal"/>
    <w:rsid w:val="00EC123B"/>
    <w:pPr>
      <w:pBdr>
        <w:top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8">
    <w:name w:val="xl168"/>
    <w:basedOn w:val="Normal"/>
    <w:rsid w:val="00EC123B"/>
    <w:pPr>
      <w:pBdr>
        <w:top w:val="double" w:sz="6"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9">
    <w:name w:val="xl169"/>
    <w:basedOn w:val="Normal"/>
    <w:rsid w:val="00EC123B"/>
    <w:pPr>
      <w:pBdr>
        <w:top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0">
    <w:name w:val="xl170"/>
    <w:basedOn w:val="Normal"/>
    <w:rsid w:val="00EC123B"/>
    <w:pPr>
      <w:pBdr>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71">
    <w:name w:val="xl171"/>
    <w:basedOn w:val="Normal"/>
    <w:rsid w:val="00EC123B"/>
    <w:pPr>
      <w:pBdr>
        <w:top w:val="double" w:sz="6" w:space="0" w:color="auto"/>
        <w:left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2">
    <w:name w:val="xl172"/>
    <w:basedOn w:val="Normal"/>
    <w:rsid w:val="00EC123B"/>
    <w:pPr>
      <w:pBdr>
        <w:top w:val="single" w:sz="8"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73">
    <w:name w:val="xl173"/>
    <w:basedOn w:val="Normal"/>
    <w:rsid w:val="00EC123B"/>
    <w:pPr>
      <w:pBdr>
        <w:top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74">
    <w:name w:val="xl174"/>
    <w:basedOn w:val="Normal"/>
    <w:rsid w:val="00EC123B"/>
    <w:pPr>
      <w:pBdr>
        <w:left w:val="single" w:sz="4" w:space="0" w:color="auto"/>
        <w:bottom w:val="single" w:sz="4" w:space="0" w:color="auto"/>
      </w:pBdr>
      <w:spacing w:before="100" w:beforeAutospacing="1" w:after="100" w:afterAutospacing="1"/>
      <w:jc w:val="center"/>
    </w:pPr>
    <w:rPr>
      <w:sz w:val="24"/>
      <w:szCs w:val="24"/>
      <w:lang w:val="en-US" w:eastAsia="zh-CN"/>
    </w:rPr>
  </w:style>
  <w:style w:type="paragraph" w:customStyle="1" w:styleId="xl175">
    <w:name w:val="xl175"/>
    <w:basedOn w:val="Normal"/>
    <w:rsid w:val="00EC123B"/>
    <w:pPr>
      <w:pBdr>
        <w:top w:val="double" w:sz="6" w:space="0" w:color="auto"/>
        <w:left w:val="single" w:sz="4" w:space="0" w:color="auto"/>
        <w:bottom w:val="double" w:sz="6" w:space="0" w:color="auto"/>
        <w:right w:val="single" w:sz="4" w:space="0" w:color="auto"/>
      </w:pBdr>
      <w:spacing w:before="100" w:beforeAutospacing="1" w:after="100" w:afterAutospacing="1"/>
      <w:jc w:val="center"/>
    </w:pPr>
    <w:rPr>
      <w:sz w:val="16"/>
      <w:szCs w:val="16"/>
      <w:lang w:val="en-US" w:eastAsia="zh-CN"/>
    </w:rPr>
  </w:style>
  <w:style w:type="paragraph" w:customStyle="1" w:styleId="xl176">
    <w:name w:val="xl176"/>
    <w:basedOn w:val="Normal"/>
    <w:rsid w:val="00EC123B"/>
    <w:pPr>
      <w:pBdr>
        <w:top w:val="double" w:sz="6" w:space="0" w:color="auto"/>
        <w:left w:val="single" w:sz="4" w:space="0" w:color="auto"/>
        <w:bottom w:val="double" w:sz="6" w:space="0" w:color="auto"/>
      </w:pBdr>
      <w:spacing w:before="100" w:beforeAutospacing="1" w:after="100" w:afterAutospacing="1"/>
      <w:jc w:val="center"/>
    </w:pPr>
    <w:rPr>
      <w:sz w:val="16"/>
      <w:szCs w:val="16"/>
      <w:lang w:val="en-US" w:eastAsia="zh-CN"/>
    </w:rPr>
  </w:style>
  <w:style w:type="paragraph" w:customStyle="1" w:styleId="xl177">
    <w:name w:val="xl177"/>
    <w:basedOn w:val="Normal"/>
    <w:rsid w:val="00EC123B"/>
    <w:pPr>
      <w:pBdr>
        <w:top w:val="double" w:sz="6" w:space="0" w:color="auto"/>
      </w:pBdr>
      <w:spacing w:before="100" w:beforeAutospacing="1" w:after="100" w:afterAutospacing="1"/>
      <w:jc w:val="center"/>
    </w:pPr>
    <w:rPr>
      <w:sz w:val="24"/>
      <w:szCs w:val="24"/>
      <w:lang w:val="en-US" w:eastAsia="zh-CN"/>
    </w:rPr>
  </w:style>
  <w:style w:type="paragraph" w:customStyle="1" w:styleId="xl178">
    <w:name w:val="xl178"/>
    <w:basedOn w:val="Normal"/>
    <w:rsid w:val="00EC123B"/>
    <w:pPr>
      <w:pBdr>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9">
    <w:name w:val="xl179"/>
    <w:basedOn w:val="Normal"/>
    <w:rsid w:val="00EC123B"/>
    <w:pPr>
      <w:pBdr>
        <w:top w:val="single" w:sz="4"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0">
    <w:name w:val="xl180"/>
    <w:basedOn w:val="Normal"/>
    <w:rsid w:val="00EC123B"/>
    <w:pPr>
      <w:pBdr>
        <w:top w:val="single" w:sz="4" w:space="0" w:color="auto"/>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1">
    <w:name w:val="xl181"/>
    <w:basedOn w:val="Normal"/>
    <w:rsid w:val="00EC123B"/>
    <w:pPr>
      <w:pBdr>
        <w:top w:val="double" w:sz="6" w:space="0" w:color="auto"/>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2">
    <w:name w:val="xl182"/>
    <w:basedOn w:val="Normal"/>
    <w:rsid w:val="00EC123B"/>
    <w:pPr>
      <w:pBdr>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3">
    <w:name w:val="xl183"/>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84">
    <w:name w:val="xl184"/>
    <w:basedOn w:val="Normal"/>
    <w:rsid w:val="00EC123B"/>
    <w:pPr>
      <w:pBdr>
        <w:top w:val="single" w:sz="4" w:space="0" w:color="auto"/>
        <w:left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85">
    <w:name w:val="xl185"/>
    <w:basedOn w:val="Normal"/>
    <w:rsid w:val="00EC123B"/>
    <w:pPr>
      <w:pBdr>
        <w:right w:val="double" w:sz="6" w:space="0" w:color="auto"/>
      </w:pBdr>
      <w:spacing w:before="100" w:beforeAutospacing="1" w:after="100" w:afterAutospacing="1"/>
      <w:jc w:val="left"/>
    </w:pPr>
    <w:rPr>
      <w:sz w:val="24"/>
      <w:szCs w:val="24"/>
      <w:lang w:val="en-US" w:eastAsia="zh-CN"/>
    </w:rPr>
  </w:style>
  <w:style w:type="paragraph" w:customStyle="1" w:styleId="xl186">
    <w:name w:val="xl186"/>
    <w:basedOn w:val="Normal"/>
    <w:rsid w:val="00EC123B"/>
    <w:pPr>
      <w:pBdr>
        <w:top w:val="single" w:sz="4" w:space="0" w:color="auto"/>
        <w:left w:val="single" w:sz="4"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87">
    <w:name w:val="xl187"/>
    <w:basedOn w:val="Normal"/>
    <w:rsid w:val="00EC123B"/>
    <w:pPr>
      <w:pBdr>
        <w:top w:val="single" w:sz="8"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88">
    <w:name w:val="xl188"/>
    <w:basedOn w:val="Normal"/>
    <w:rsid w:val="00EC123B"/>
    <w:pPr>
      <w:pBdr>
        <w:top w:val="single" w:sz="8" w:space="0" w:color="auto"/>
        <w:left w:val="single" w:sz="4"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89">
    <w:name w:val="xl189"/>
    <w:basedOn w:val="Normal"/>
    <w:rsid w:val="00EC123B"/>
    <w:pPr>
      <w:pBdr>
        <w:top w:val="single" w:sz="4"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90">
    <w:name w:val="xl190"/>
    <w:basedOn w:val="Normal"/>
    <w:rsid w:val="00EC123B"/>
    <w:pPr>
      <w:pBdr>
        <w:top w:val="single" w:sz="4" w:space="0" w:color="auto"/>
        <w:left w:val="single" w:sz="4" w:space="0" w:color="auto"/>
      </w:pBdr>
      <w:spacing w:before="100" w:beforeAutospacing="1" w:after="100" w:afterAutospacing="1"/>
      <w:jc w:val="center"/>
    </w:pPr>
    <w:rPr>
      <w:color w:val="FF0000"/>
      <w:sz w:val="24"/>
      <w:szCs w:val="24"/>
      <w:lang w:val="en-US" w:eastAsia="zh-CN"/>
    </w:rPr>
  </w:style>
  <w:style w:type="paragraph" w:customStyle="1" w:styleId="xl191">
    <w:name w:val="xl191"/>
    <w:basedOn w:val="Normal"/>
    <w:rsid w:val="00EC123B"/>
    <w:pPr>
      <w:pBdr>
        <w:top w:val="double" w:sz="6" w:space="0" w:color="auto"/>
        <w:left w:val="single" w:sz="4" w:space="0" w:color="auto"/>
      </w:pBdr>
      <w:spacing w:before="100" w:beforeAutospacing="1" w:after="100" w:afterAutospacing="1"/>
      <w:jc w:val="center"/>
    </w:pPr>
    <w:rPr>
      <w:color w:val="FF0000"/>
      <w:sz w:val="24"/>
      <w:szCs w:val="24"/>
      <w:lang w:val="en-US" w:eastAsia="zh-CN"/>
    </w:rPr>
  </w:style>
  <w:style w:type="paragraph" w:customStyle="1" w:styleId="xl192">
    <w:name w:val="xl192"/>
    <w:basedOn w:val="Normal"/>
    <w:rsid w:val="00EC123B"/>
    <w:pPr>
      <w:pBdr>
        <w:left w:val="single" w:sz="4" w:space="0" w:color="auto"/>
        <w:bottom w:val="double" w:sz="6" w:space="0" w:color="auto"/>
      </w:pBdr>
      <w:spacing w:before="100" w:beforeAutospacing="1" w:after="100" w:afterAutospacing="1"/>
      <w:jc w:val="center"/>
    </w:pPr>
    <w:rPr>
      <w:color w:val="FF0000"/>
      <w:sz w:val="24"/>
      <w:szCs w:val="24"/>
      <w:lang w:val="en-US" w:eastAsia="zh-CN"/>
    </w:rPr>
  </w:style>
  <w:style w:type="paragraph" w:customStyle="1" w:styleId="xl193">
    <w:name w:val="xl193"/>
    <w:basedOn w:val="Normal"/>
    <w:rsid w:val="00EC123B"/>
    <w:pPr>
      <w:pBdr>
        <w:top w:val="single" w:sz="8" w:space="0" w:color="auto"/>
        <w:left w:val="single" w:sz="4" w:space="0" w:color="auto"/>
        <w:bottom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4">
    <w:name w:val="xl194"/>
    <w:basedOn w:val="Normal"/>
    <w:rsid w:val="00EC123B"/>
    <w:pPr>
      <w:pBdr>
        <w:top w:val="single" w:sz="4" w:space="0" w:color="auto"/>
        <w:left w:val="single" w:sz="4" w:space="0" w:color="auto"/>
        <w:bottom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5">
    <w:name w:val="xl195"/>
    <w:basedOn w:val="Normal"/>
    <w:rsid w:val="00EC123B"/>
    <w:pPr>
      <w:pBdr>
        <w:top w:val="single" w:sz="4" w:space="0" w:color="auto"/>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6">
    <w:name w:val="xl196"/>
    <w:basedOn w:val="Normal"/>
    <w:rsid w:val="00EC123B"/>
    <w:pPr>
      <w:pBdr>
        <w:top w:val="double" w:sz="6" w:space="0" w:color="auto"/>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7">
    <w:name w:val="xl197"/>
    <w:basedOn w:val="Normal"/>
    <w:rsid w:val="00EC123B"/>
    <w:pPr>
      <w:pBdr>
        <w:left w:val="single" w:sz="4" w:space="0" w:color="auto"/>
        <w:bottom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8">
    <w:name w:val="xl198"/>
    <w:basedOn w:val="Normal"/>
    <w:rsid w:val="00EC123B"/>
    <w:pPr>
      <w:pBdr>
        <w:top w:val="double" w:sz="6" w:space="0" w:color="auto"/>
        <w:left w:val="double" w:sz="6"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99">
    <w:name w:val="xl199"/>
    <w:basedOn w:val="Normal"/>
    <w:rsid w:val="00EC123B"/>
    <w:pPr>
      <w:pBdr>
        <w:top w:val="double" w:sz="6"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0">
    <w:name w:val="xl200"/>
    <w:basedOn w:val="Normal"/>
    <w:rsid w:val="00EC123B"/>
    <w:pPr>
      <w:pBdr>
        <w:top w:val="single" w:sz="4" w:space="0" w:color="auto"/>
        <w:left w:val="double" w:sz="6"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1">
    <w:name w:val="xl201"/>
    <w:basedOn w:val="Normal"/>
    <w:rsid w:val="00EC123B"/>
    <w:pPr>
      <w:pBdr>
        <w:top w:val="single" w:sz="4" w:space="0" w:color="auto"/>
        <w:left w:val="double" w:sz="6"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202">
    <w:name w:val="xl202"/>
    <w:basedOn w:val="Normal"/>
    <w:rsid w:val="00EC123B"/>
    <w:pPr>
      <w:pBdr>
        <w:top w:val="single" w:sz="4" w:space="0" w:color="auto"/>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3">
    <w:name w:val="xl203"/>
    <w:basedOn w:val="Normal"/>
    <w:rsid w:val="00EC123B"/>
    <w:pPr>
      <w:pBdr>
        <w:top w:val="double" w:sz="6"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04">
    <w:name w:val="xl204"/>
    <w:basedOn w:val="Normal"/>
    <w:rsid w:val="00EC123B"/>
    <w:pPr>
      <w:pBdr>
        <w:top w:val="single" w:sz="4"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05">
    <w:name w:val="xl205"/>
    <w:basedOn w:val="Normal"/>
    <w:rsid w:val="00EC123B"/>
    <w:pPr>
      <w:pBdr>
        <w:top w:val="double" w:sz="6"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06">
    <w:name w:val="xl206"/>
    <w:basedOn w:val="Normal"/>
    <w:rsid w:val="00EC123B"/>
    <w:pPr>
      <w:pBdr>
        <w:top w:val="single" w:sz="4" w:space="0" w:color="auto"/>
        <w:left w:val="single" w:sz="4"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207">
    <w:name w:val="xl207"/>
    <w:basedOn w:val="Normal"/>
    <w:rsid w:val="00EC123B"/>
    <w:pPr>
      <w:pBdr>
        <w:bottom w:val="single" w:sz="4" w:space="0" w:color="auto"/>
      </w:pBdr>
      <w:spacing w:before="100" w:beforeAutospacing="1" w:after="100" w:afterAutospacing="1"/>
      <w:jc w:val="left"/>
    </w:pPr>
    <w:rPr>
      <w:color w:val="FF0000"/>
      <w:sz w:val="24"/>
      <w:szCs w:val="24"/>
      <w:lang w:val="en-US" w:eastAsia="zh-CN"/>
    </w:rPr>
  </w:style>
  <w:style w:type="paragraph" w:customStyle="1" w:styleId="xl208">
    <w:name w:val="xl208"/>
    <w:basedOn w:val="Normal"/>
    <w:rsid w:val="00EC123B"/>
    <w:pPr>
      <w:pBdr>
        <w:top w:val="single" w:sz="4"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209">
    <w:name w:val="xl209"/>
    <w:basedOn w:val="Normal"/>
    <w:rsid w:val="00EC123B"/>
    <w:pPr>
      <w:pBdr>
        <w:top w:val="single" w:sz="4" w:space="0" w:color="auto"/>
      </w:pBdr>
      <w:spacing w:before="100" w:beforeAutospacing="1" w:after="100" w:afterAutospacing="1"/>
      <w:jc w:val="left"/>
    </w:pPr>
    <w:rPr>
      <w:color w:val="FF0000"/>
      <w:sz w:val="24"/>
      <w:szCs w:val="24"/>
      <w:lang w:val="en-US" w:eastAsia="zh-CN"/>
    </w:rPr>
  </w:style>
  <w:style w:type="paragraph" w:customStyle="1" w:styleId="xl210">
    <w:name w:val="xl210"/>
    <w:basedOn w:val="Normal"/>
    <w:rsid w:val="00EC123B"/>
    <w:pPr>
      <w:pBdr>
        <w:left w:val="single" w:sz="4" w:space="0" w:color="auto"/>
      </w:pBdr>
      <w:spacing w:before="100" w:beforeAutospacing="1" w:after="100" w:afterAutospacing="1"/>
      <w:jc w:val="center"/>
      <w:textAlignment w:val="center"/>
    </w:pPr>
    <w:rPr>
      <w:sz w:val="24"/>
      <w:szCs w:val="24"/>
      <w:lang w:val="en-US" w:eastAsia="zh-CN"/>
    </w:rPr>
  </w:style>
  <w:style w:type="paragraph" w:customStyle="1" w:styleId="xl211">
    <w:name w:val="xl211"/>
    <w:basedOn w:val="Normal"/>
    <w:rsid w:val="00EC123B"/>
    <w:pPr>
      <w:pBdr>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12">
    <w:name w:val="xl212"/>
    <w:basedOn w:val="Normal"/>
    <w:rsid w:val="00EC123B"/>
    <w:pPr>
      <w:pBdr>
        <w:left w:val="single" w:sz="4" w:space="0" w:color="auto"/>
        <w:bottom w:val="single" w:sz="4" w:space="0" w:color="auto"/>
      </w:pBdr>
      <w:spacing w:before="100" w:beforeAutospacing="1" w:after="100" w:afterAutospacing="1"/>
      <w:jc w:val="center"/>
      <w:textAlignment w:val="center"/>
    </w:pPr>
    <w:rPr>
      <w:sz w:val="24"/>
      <w:szCs w:val="24"/>
      <w:lang w:val="en-US" w:eastAsia="zh-CN"/>
    </w:rPr>
  </w:style>
  <w:style w:type="paragraph" w:customStyle="1" w:styleId="xl213">
    <w:name w:val="xl213"/>
    <w:basedOn w:val="Normal"/>
    <w:rsid w:val="00EC123B"/>
    <w:pPr>
      <w:pBdr>
        <w:bottom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14">
    <w:name w:val="xl214"/>
    <w:basedOn w:val="Normal"/>
    <w:rsid w:val="00EC123B"/>
    <w:pPr>
      <w:pBdr>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15">
    <w:name w:val="xl215"/>
    <w:basedOn w:val="Normal"/>
    <w:rsid w:val="00EC123B"/>
    <w:pPr>
      <w:pBdr>
        <w:top w:val="double" w:sz="6" w:space="0" w:color="auto"/>
      </w:pBdr>
      <w:spacing w:before="100" w:beforeAutospacing="1" w:after="100" w:afterAutospacing="1"/>
      <w:jc w:val="left"/>
    </w:pPr>
    <w:rPr>
      <w:b/>
      <w:bCs/>
      <w:color w:val="FF0000"/>
      <w:sz w:val="24"/>
      <w:szCs w:val="24"/>
      <w:lang w:val="en-US" w:eastAsia="zh-CN"/>
    </w:rPr>
  </w:style>
  <w:style w:type="paragraph" w:customStyle="1" w:styleId="xl216">
    <w:name w:val="xl216"/>
    <w:basedOn w:val="Normal"/>
    <w:rsid w:val="00EC123B"/>
    <w:pPr>
      <w:pBdr>
        <w:top w:val="single" w:sz="4" w:space="0" w:color="auto"/>
        <w:left w:val="single" w:sz="4" w:space="0" w:color="auto"/>
        <w:right w:val="double" w:sz="6" w:space="0" w:color="auto"/>
      </w:pBdr>
      <w:spacing w:before="100" w:beforeAutospacing="1" w:after="100" w:afterAutospacing="1"/>
      <w:jc w:val="center"/>
    </w:pPr>
    <w:rPr>
      <w:sz w:val="24"/>
      <w:szCs w:val="24"/>
      <w:lang w:val="en-US" w:eastAsia="zh-CN"/>
    </w:rPr>
  </w:style>
  <w:style w:type="paragraph" w:customStyle="1" w:styleId="xl217">
    <w:name w:val="xl217"/>
    <w:basedOn w:val="Normal"/>
    <w:rsid w:val="00EC123B"/>
    <w:pPr>
      <w:pBdr>
        <w:left w:val="single" w:sz="4" w:space="0" w:color="auto"/>
        <w:right w:val="double" w:sz="6" w:space="0" w:color="auto"/>
      </w:pBdr>
      <w:spacing w:before="100" w:beforeAutospacing="1" w:after="100" w:afterAutospacing="1"/>
      <w:jc w:val="center"/>
    </w:pPr>
    <w:rPr>
      <w:sz w:val="24"/>
      <w:szCs w:val="24"/>
      <w:lang w:val="en-US" w:eastAsia="zh-CN"/>
    </w:rPr>
  </w:style>
  <w:style w:type="paragraph" w:customStyle="1" w:styleId="xl218">
    <w:name w:val="xl218"/>
    <w:basedOn w:val="Normal"/>
    <w:rsid w:val="00EC123B"/>
    <w:pPr>
      <w:pBdr>
        <w:top w:val="single" w:sz="4"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19">
    <w:name w:val="xl219"/>
    <w:basedOn w:val="Normal"/>
    <w:rsid w:val="00EC123B"/>
    <w:pPr>
      <w:pBdr>
        <w:right w:val="double" w:sz="6" w:space="0" w:color="auto"/>
      </w:pBdr>
      <w:spacing w:before="100" w:beforeAutospacing="1" w:after="100" w:afterAutospacing="1"/>
      <w:jc w:val="center"/>
      <w:textAlignment w:val="center"/>
    </w:pPr>
    <w:rPr>
      <w:sz w:val="24"/>
      <w:szCs w:val="24"/>
      <w:lang w:val="en-US" w:eastAsia="zh-CN"/>
    </w:rPr>
  </w:style>
  <w:style w:type="paragraph" w:customStyle="1" w:styleId="xl220">
    <w:name w:val="xl220"/>
    <w:basedOn w:val="Normal"/>
    <w:rsid w:val="00EC123B"/>
    <w:pPr>
      <w:pBdr>
        <w:bottom w:val="single" w:sz="4" w:space="0" w:color="auto"/>
        <w:right w:val="double" w:sz="6" w:space="0" w:color="auto"/>
      </w:pBdr>
      <w:spacing w:before="100" w:beforeAutospacing="1" w:after="100" w:afterAutospacing="1"/>
      <w:jc w:val="center"/>
      <w:textAlignment w:val="center"/>
    </w:pPr>
    <w:rPr>
      <w:sz w:val="24"/>
      <w:szCs w:val="24"/>
      <w:lang w:val="en-US" w:eastAsia="zh-CN"/>
    </w:rPr>
  </w:style>
  <w:style w:type="paragraph" w:customStyle="1" w:styleId="xl221">
    <w:name w:val="xl221"/>
    <w:basedOn w:val="Normal"/>
    <w:rsid w:val="00EC123B"/>
    <w:pPr>
      <w:pBdr>
        <w:left w:val="double" w:sz="6"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22">
    <w:name w:val="xl222"/>
    <w:basedOn w:val="Normal"/>
    <w:rsid w:val="00EC123B"/>
    <w:pPr>
      <w:pBdr>
        <w:left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23">
    <w:name w:val="xl223"/>
    <w:basedOn w:val="Normal"/>
    <w:rsid w:val="00EC123B"/>
    <w:pPr>
      <w:pBdr>
        <w:left w:val="single" w:sz="4"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24">
    <w:name w:val="xl224"/>
    <w:basedOn w:val="Normal"/>
    <w:rsid w:val="00EC123B"/>
    <w:pPr>
      <w:pBdr>
        <w:left w:val="double" w:sz="6"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25">
    <w:name w:val="xl225"/>
    <w:basedOn w:val="Normal"/>
    <w:rsid w:val="00EC123B"/>
    <w:pPr>
      <w:pBdr>
        <w:top w:val="double" w:sz="6" w:space="0" w:color="auto"/>
        <w:left w:val="single" w:sz="4" w:space="0" w:color="auto"/>
        <w:right w:val="single" w:sz="4" w:space="0" w:color="auto"/>
      </w:pBdr>
      <w:spacing w:before="100" w:beforeAutospacing="1" w:after="100" w:afterAutospacing="1"/>
      <w:jc w:val="left"/>
      <w:textAlignment w:val="top"/>
    </w:pPr>
    <w:rPr>
      <w:sz w:val="24"/>
      <w:szCs w:val="24"/>
      <w:lang w:val="en-US" w:eastAsia="zh-CN"/>
    </w:rPr>
  </w:style>
  <w:style w:type="paragraph" w:customStyle="1" w:styleId="xl226">
    <w:name w:val="xl226"/>
    <w:basedOn w:val="Normal"/>
    <w:rsid w:val="00EC123B"/>
    <w:pPr>
      <w:pBdr>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eastAsia="zh-CN"/>
    </w:rPr>
  </w:style>
  <w:style w:type="paragraph" w:customStyle="1" w:styleId="xl227">
    <w:name w:val="xl227"/>
    <w:basedOn w:val="Normal"/>
    <w:rsid w:val="00EC123B"/>
    <w:pPr>
      <w:pBdr>
        <w:top w:val="double" w:sz="6" w:space="0" w:color="auto"/>
      </w:pBdr>
      <w:spacing w:before="100" w:beforeAutospacing="1" w:after="100" w:afterAutospacing="1"/>
      <w:jc w:val="left"/>
    </w:pPr>
    <w:rPr>
      <w:sz w:val="24"/>
      <w:szCs w:val="24"/>
      <w:lang w:val="en-US" w:eastAsia="zh-CN"/>
    </w:rPr>
  </w:style>
  <w:style w:type="paragraph" w:customStyle="1" w:styleId="xl228">
    <w:name w:val="xl228"/>
    <w:basedOn w:val="Normal"/>
    <w:rsid w:val="00EC123B"/>
    <w:pPr>
      <w:spacing w:before="100" w:beforeAutospacing="1" w:after="100" w:afterAutospacing="1"/>
      <w:jc w:val="left"/>
    </w:pPr>
    <w:rPr>
      <w:sz w:val="24"/>
      <w:szCs w:val="24"/>
      <w:lang w:val="en-US" w:eastAsia="zh-CN"/>
    </w:rPr>
  </w:style>
  <w:style w:type="paragraph" w:customStyle="1" w:styleId="xl229">
    <w:name w:val="xl229"/>
    <w:basedOn w:val="Normal"/>
    <w:rsid w:val="00EC123B"/>
    <w:pPr>
      <w:pBdr>
        <w:lef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0">
    <w:name w:val="xl230"/>
    <w:basedOn w:val="Normal"/>
    <w:rsid w:val="00EC123B"/>
    <w:pPr>
      <w:pBdr>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1">
    <w:name w:val="xl231"/>
    <w:basedOn w:val="Normal"/>
    <w:rsid w:val="00EC123B"/>
    <w:pPr>
      <w:pBdr>
        <w:left w:val="single" w:sz="4" w:space="0" w:color="auto"/>
        <w:bottom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2">
    <w:name w:val="xl232"/>
    <w:basedOn w:val="Normal"/>
    <w:rsid w:val="00EC123B"/>
    <w:pPr>
      <w:pBdr>
        <w:bottom w:val="single" w:sz="4"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3">
    <w:name w:val="xl233"/>
    <w:basedOn w:val="Normal"/>
    <w:rsid w:val="00EC123B"/>
    <w:pPr>
      <w:pBdr>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4">
    <w:name w:val="xl234"/>
    <w:basedOn w:val="Normal"/>
    <w:rsid w:val="00EC123B"/>
    <w:pPr>
      <w:pBdr>
        <w:right w:val="double" w:sz="6" w:space="0" w:color="auto"/>
      </w:pBdr>
      <w:spacing w:before="100" w:beforeAutospacing="1" w:after="100" w:afterAutospacing="1"/>
      <w:jc w:val="center"/>
      <w:textAlignment w:val="center"/>
    </w:pPr>
    <w:rPr>
      <w:color w:val="FF0000"/>
      <w:sz w:val="24"/>
      <w:szCs w:val="24"/>
      <w:lang w:val="en-US" w:eastAsia="zh-CN"/>
    </w:rPr>
  </w:style>
  <w:style w:type="paragraph" w:customStyle="1" w:styleId="xl235">
    <w:name w:val="xl235"/>
    <w:basedOn w:val="Normal"/>
    <w:rsid w:val="00EC123B"/>
    <w:pPr>
      <w:pBdr>
        <w:bottom w:val="single" w:sz="4" w:space="0" w:color="auto"/>
        <w:right w:val="double" w:sz="6" w:space="0" w:color="auto"/>
      </w:pBdr>
      <w:spacing w:before="100" w:beforeAutospacing="1" w:after="100" w:afterAutospacing="1"/>
      <w:jc w:val="center"/>
      <w:textAlignment w:val="center"/>
    </w:pPr>
    <w:rPr>
      <w:color w:val="FF0000"/>
      <w:sz w:val="24"/>
      <w:szCs w:val="24"/>
      <w:lang w:val="en-US" w:eastAsia="zh-CN"/>
    </w:rPr>
  </w:style>
  <w:style w:type="paragraph" w:customStyle="1" w:styleId="xl236">
    <w:name w:val="xl236"/>
    <w:basedOn w:val="Normal"/>
    <w:rsid w:val="00EC123B"/>
    <w:pPr>
      <w:pBdr>
        <w:top w:val="single" w:sz="4"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7">
    <w:name w:val="xl237"/>
    <w:basedOn w:val="Normal"/>
    <w:rsid w:val="00EC123B"/>
    <w:pPr>
      <w:pBdr>
        <w:top w:val="single" w:sz="4"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8">
    <w:name w:val="xl238"/>
    <w:basedOn w:val="Normal"/>
    <w:rsid w:val="00EC123B"/>
    <w:pPr>
      <w:pBdr>
        <w:top w:val="single" w:sz="4" w:space="0" w:color="auto"/>
        <w:left w:val="single" w:sz="4" w:space="0" w:color="auto"/>
        <w:right w:val="double" w:sz="6" w:space="0" w:color="auto"/>
      </w:pBdr>
      <w:spacing w:before="100" w:beforeAutospacing="1" w:after="100" w:afterAutospacing="1"/>
      <w:jc w:val="center"/>
    </w:pPr>
    <w:rPr>
      <w:color w:val="FF0000"/>
      <w:sz w:val="24"/>
      <w:szCs w:val="24"/>
      <w:lang w:val="en-US" w:eastAsia="zh-CN"/>
    </w:rPr>
  </w:style>
  <w:style w:type="paragraph" w:customStyle="1" w:styleId="xl239">
    <w:name w:val="xl239"/>
    <w:basedOn w:val="Normal"/>
    <w:rsid w:val="00EC123B"/>
    <w:pPr>
      <w:pBdr>
        <w:left w:val="single" w:sz="4" w:space="0" w:color="auto"/>
        <w:right w:val="double" w:sz="6" w:space="0" w:color="auto"/>
      </w:pBdr>
      <w:spacing w:before="100" w:beforeAutospacing="1" w:after="100" w:afterAutospacing="1"/>
      <w:jc w:val="center"/>
    </w:pPr>
    <w:rPr>
      <w:color w:val="FF0000"/>
      <w:sz w:val="24"/>
      <w:szCs w:val="24"/>
      <w:lang w:val="en-US" w:eastAsia="zh-CN"/>
    </w:rPr>
  </w:style>
  <w:style w:type="paragraph" w:customStyle="1" w:styleId="xl240">
    <w:name w:val="xl240"/>
    <w:basedOn w:val="Normal"/>
    <w:rsid w:val="00EC123B"/>
    <w:pPr>
      <w:pBdr>
        <w:top w:val="double" w:sz="6" w:space="0" w:color="auto"/>
      </w:pBdr>
      <w:spacing w:before="100" w:beforeAutospacing="1" w:after="100" w:afterAutospacing="1"/>
      <w:jc w:val="left"/>
    </w:pPr>
    <w:rPr>
      <w:color w:val="FF0000"/>
      <w:sz w:val="24"/>
      <w:szCs w:val="24"/>
      <w:lang w:val="en-US" w:eastAsia="zh-CN"/>
    </w:rPr>
  </w:style>
  <w:style w:type="paragraph" w:customStyle="1" w:styleId="xl241">
    <w:name w:val="xl241"/>
    <w:basedOn w:val="Normal"/>
    <w:rsid w:val="00EC123B"/>
    <w:pPr>
      <w:spacing w:before="100" w:beforeAutospacing="1" w:after="100" w:afterAutospacing="1"/>
      <w:jc w:val="left"/>
    </w:pPr>
    <w:rPr>
      <w:color w:val="FF0000"/>
      <w:sz w:val="24"/>
      <w:szCs w:val="24"/>
      <w:lang w:val="en-US" w:eastAsia="zh-CN"/>
    </w:rPr>
  </w:style>
  <w:style w:type="paragraph" w:customStyle="1" w:styleId="xl242">
    <w:name w:val="xl242"/>
    <w:basedOn w:val="Normal"/>
    <w:rsid w:val="00EC123B"/>
    <w:pPr>
      <w:pBdr>
        <w:top w:val="single" w:sz="4" w:space="0" w:color="auto"/>
        <w:left w:val="single" w:sz="4" w:space="0" w:color="auto"/>
      </w:pBdr>
      <w:spacing w:before="100" w:beforeAutospacing="1" w:after="100" w:afterAutospacing="1"/>
      <w:jc w:val="left"/>
    </w:pPr>
    <w:rPr>
      <w:sz w:val="24"/>
      <w:szCs w:val="24"/>
      <w:lang w:val="en-US" w:eastAsia="zh-CN"/>
    </w:rPr>
  </w:style>
  <w:style w:type="paragraph" w:customStyle="1" w:styleId="xl243">
    <w:name w:val="xl243"/>
    <w:basedOn w:val="Normal"/>
    <w:rsid w:val="00EC123B"/>
    <w:pPr>
      <w:pBdr>
        <w:top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44">
    <w:name w:val="xl244"/>
    <w:basedOn w:val="Normal"/>
    <w:rsid w:val="00EC123B"/>
    <w:pPr>
      <w:pBdr>
        <w:left w:val="single" w:sz="4" w:space="0" w:color="auto"/>
      </w:pBdr>
      <w:spacing w:before="100" w:beforeAutospacing="1" w:after="100" w:afterAutospacing="1"/>
      <w:jc w:val="left"/>
    </w:pPr>
    <w:rPr>
      <w:sz w:val="24"/>
      <w:szCs w:val="24"/>
      <w:lang w:val="en-US" w:eastAsia="zh-CN"/>
    </w:rPr>
  </w:style>
  <w:style w:type="paragraph" w:customStyle="1" w:styleId="xl245">
    <w:name w:val="xl245"/>
    <w:basedOn w:val="Normal"/>
    <w:rsid w:val="00EC123B"/>
    <w:pPr>
      <w:pBdr>
        <w:right w:val="double" w:sz="6" w:space="0" w:color="auto"/>
      </w:pBdr>
      <w:spacing w:before="100" w:beforeAutospacing="1" w:after="100" w:afterAutospacing="1"/>
      <w:jc w:val="left"/>
    </w:pPr>
    <w:rPr>
      <w:sz w:val="24"/>
      <w:szCs w:val="24"/>
      <w:lang w:val="en-US" w:eastAsia="zh-CN"/>
    </w:rPr>
  </w:style>
  <w:style w:type="paragraph" w:customStyle="1" w:styleId="xl246">
    <w:name w:val="xl246"/>
    <w:basedOn w:val="Normal"/>
    <w:rsid w:val="00EC123B"/>
    <w:pPr>
      <w:pBdr>
        <w:left w:val="single" w:sz="4" w:space="0" w:color="auto"/>
        <w:bottom w:val="single" w:sz="4" w:space="0" w:color="auto"/>
      </w:pBdr>
      <w:spacing w:before="100" w:beforeAutospacing="1" w:after="100" w:afterAutospacing="1"/>
      <w:jc w:val="left"/>
    </w:pPr>
    <w:rPr>
      <w:sz w:val="24"/>
      <w:szCs w:val="24"/>
      <w:lang w:val="en-US" w:eastAsia="zh-CN"/>
    </w:rPr>
  </w:style>
  <w:style w:type="paragraph" w:customStyle="1" w:styleId="xl247">
    <w:name w:val="xl247"/>
    <w:basedOn w:val="Normal"/>
    <w:rsid w:val="00EC123B"/>
    <w:pPr>
      <w:pBdr>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48">
    <w:name w:val="xl248"/>
    <w:basedOn w:val="Normal"/>
    <w:rsid w:val="00EC123B"/>
    <w:pPr>
      <w:pBdr>
        <w:left w:val="double" w:sz="6"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49">
    <w:name w:val="xl249"/>
    <w:basedOn w:val="Normal"/>
    <w:rsid w:val="00EC123B"/>
    <w:pPr>
      <w:pBdr>
        <w:left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font13">
    <w:name w:val="font13"/>
    <w:basedOn w:val="Normal"/>
    <w:rsid w:val="00EC123B"/>
    <w:pPr>
      <w:spacing w:before="100" w:beforeAutospacing="1" w:after="100" w:afterAutospacing="1"/>
      <w:jc w:val="left"/>
    </w:pPr>
    <w:rPr>
      <w:rFonts w:ascii="Arial" w:hAnsi="Arial" w:cs="Arial"/>
      <w:color w:val="FF0000"/>
      <w:sz w:val="20"/>
      <w:szCs w:val="20"/>
      <w:lang w:val="en-US" w:eastAsia="zh-CN"/>
    </w:rPr>
  </w:style>
  <w:style w:type="paragraph" w:customStyle="1" w:styleId="font14">
    <w:name w:val="font14"/>
    <w:basedOn w:val="Normal"/>
    <w:rsid w:val="00EC123B"/>
    <w:pPr>
      <w:spacing w:before="100" w:beforeAutospacing="1" w:after="100" w:afterAutospacing="1"/>
      <w:jc w:val="left"/>
    </w:pPr>
    <w:rPr>
      <w:rFonts w:ascii="Arial" w:hAnsi="Arial" w:cs="Arial"/>
      <w:b/>
      <w:bCs/>
      <w:color w:val="FF0000"/>
      <w:sz w:val="18"/>
      <w:szCs w:val="18"/>
      <w:lang w:val="en-US" w:eastAsia="zh-CN"/>
    </w:rPr>
  </w:style>
  <w:style w:type="character" w:customStyle="1" w:styleId="BodyText3Char">
    <w:name w:val="Body Text 3 Char"/>
    <w:basedOn w:val="DefaultParagraphFont"/>
    <w:link w:val="BodyText3"/>
    <w:semiHidden/>
    <w:rsid w:val="00EC123B"/>
    <w:rPr>
      <w:sz w:val="16"/>
      <w:szCs w:val="16"/>
      <w:lang w:val="en-CA"/>
    </w:rPr>
  </w:style>
  <w:style w:type="character" w:customStyle="1" w:styleId="BodyTextIndent3Char">
    <w:name w:val="Body Text Indent 3 Char"/>
    <w:basedOn w:val="DefaultParagraphFont"/>
    <w:link w:val="BodyTextIndent3"/>
    <w:semiHidden/>
    <w:rsid w:val="00EC123B"/>
    <w:rPr>
      <w:sz w:val="16"/>
      <w:szCs w:val="16"/>
      <w:lang w:val="en-CA"/>
    </w:rPr>
  </w:style>
  <w:style w:type="character" w:customStyle="1" w:styleId="PlainTextChar">
    <w:name w:val="Plain Text Char"/>
    <w:basedOn w:val="DefaultParagraphFont"/>
    <w:link w:val="PlainText"/>
    <w:semiHidden/>
    <w:rsid w:val="00EC123B"/>
    <w:rPr>
      <w:rFonts w:ascii="Courier New" w:hAnsi="Courier New" w:cs="Courier New"/>
      <w:szCs w:val="22"/>
      <w:lang w:val="en-CA"/>
    </w:rPr>
  </w:style>
  <w:style w:type="character" w:customStyle="1" w:styleId="SubtitleChar">
    <w:name w:val="Subtitle Char"/>
    <w:basedOn w:val="DefaultParagraphFont"/>
    <w:link w:val="Subtitle"/>
    <w:rsid w:val="00EC123B"/>
    <w:rPr>
      <w:rFonts w:ascii="Arial" w:hAnsi="Arial" w:cs="Arial"/>
      <w:sz w:val="22"/>
      <w:szCs w:val="22"/>
      <w:lang w:val="en-CA"/>
    </w:rPr>
  </w:style>
  <w:style w:type="character" w:customStyle="1" w:styleId="TitleChar">
    <w:name w:val="Title Char"/>
    <w:basedOn w:val="DefaultParagraphFont"/>
    <w:link w:val="Title"/>
    <w:rsid w:val="00EC123B"/>
    <w:rPr>
      <w:rFonts w:ascii="Arial" w:hAnsi="Arial" w:cs="Arial"/>
      <w:b/>
      <w:bCs/>
      <w:kern w:val="28"/>
      <w:sz w:val="22"/>
      <w:szCs w:val="22"/>
      <w:lang w:val="en-CA"/>
    </w:rPr>
  </w:style>
  <w:style w:type="character" w:customStyle="1" w:styleId="DateChar">
    <w:name w:val="Date Char"/>
    <w:basedOn w:val="DefaultParagraphFont"/>
    <w:link w:val="Date"/>
    <w:rsid w:val="00EC123B"/>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EC123B"/>
    <w:rPr>
      <w:sz w:val="22"/>
      <w:szCs w:val="22"/>
      <w:lang w:val="en-CA"/>
    </w:rPr>
  </w:style>
  <w:style w:type="paragraph" w:customStyle="1" w:styleId="Default">
    <w:name w:val="Default"/>
    <w:rsid w:val="00EC123B"/>
    <w:pPr>
      <w:widowControl w:val="0"/>
      <w:autoSpaceDE w:val="0"/>
      <w:autoSpaceDN w:val="0"/>
      <w:adjustRightInd w:val="0"/>
    </w:pPr>
    <w:rPr>
      <w:color w:val="000000"/>
      <w:sz w:val="24"/>
      <w:szCs w:val="24"/>
    </w:rPr>
  </w:style>
  <w:style w:type="paragraph" w:customStyle="1" w:styleId="CM30">
    <w:name w:val="CM30"/>
    <w:basedOn w:val="Default"/>
    <w:next w:val="Default"/>
    <w:rsid w:val="00EC123B"/>
    <w:pPr>
      <w:spacing w:after="320"/>
    </w:pPr>
    <w:rPr>
      <w:color w:val="auto"/>
    </w:rPr>
  </w:style>
  <w:style w:type="paragraph" w:customStyle="1" w:styleId="CM33">
    <w:name w:val="CM33"/>
    <w:basedOn w:val="Default"/>
    <w:next w:val="Default"/>
    <w:rsid w:val="00EC123B"/>
    <w:pPr>
      <w:spacing w:after="435"/>
    </w:pPr>
    <w:rPr>
      <w:color w:val="auto"/>
    </w:rPr>
  </w:style>
  <w:style w:type="paragraph" w:customStyle="1" w:styleId="Anxhead">
    <w:name w:val="Anx head"/>
    <w:basedOn w:val="Normal"/>
    <w:link w:val="AnxheadChar"/>
    <w:rsid w:val="00EC123B"/>
    <w:pPr>
      <w:jc w:val="left"/>
    </w:pPr>
    <w:rPr>
      <w:b/>
      <w:bCs/>
      <w:sz w:val="28"/>
      <w:lang w:val="en-GB"/>
    </w:rPr>
  </w:style>
  <w:style w:type="character" w:customStyle="1" w:styleId="AnxheadChar">
    <w:name w:val="Anx head Char"/>
    <w:link w:val="Anxhead"/>
    <w:rsid w:val="00EC123B"/>
    <w:rPr>
      <w:b/>
      <w:bCs/>
      <w:sz w:val="28"/>
      <w:szCs w:val="22"/>
      <w:lang w:val="en-GB"/>
    </w:rPr>
  </w:style>
  <w:style w:type="paragraph" w:styleId="ListBullet5">
    <w:name w:val="List Bullet 5"/>
    <w:basedOn w:val="Normal"/>
    <w:autoRedefine/>
    <w:semiHidden/>
    <w:rsid w:val="00EC123B"/>
    <w:pPr>
      <w:tabs>
        <w:tab w:val="num" w:pos="1800"/>
      </w:tabs>
      <w:ind w:left="1800" w:hanging="360"/>
    </w:pPr>
    <w:rPr>
      <w:lang w:val="en-GB"/>
    </w:rPr>
  </w:style>
  <w:style w:type="paragraph" w:customStyle="1" w:styleId="CM28">
    <w:name w:val="CM28"/>
    <w:basedOn w:val="Default"/>
    <w:next w:val="Default"/>
    <w:rsid w:val="00EC123B"/>
    <w:pPr>
      <w:spacing w:after="223"/>
    </w:pPr>
    <w:rPr>
      <w:color w:val="auto"/>
    </w:rPr>
  </w:style>
  <w:style w:type="paragraph" w:customStyle="1" w:styleId="Subtitle0">
    <w:name w:val="Sub title"/>
    <w:basedOn w:val="Heading2"/>
    <w:rsid w:val="00EC123B"/>
    <w:pPr>
      <w:keepNext/>
      <w:widowControl/>
      <w:numPr>
        <w:ilvl w:val="0"/>
        <w:numId w:val="0"/>
      </w:numPr>
      <w:tabs>
        <w:tab w:val="num" w:pos="0"/>
      </w:tabs>
      <w:spacing w:before="240" w:after="60"/>
    </w:pPr>
    <w:rPr>
      <w:rFonts w:ascii="Arial" w:hAnsi="Arial" w:cs="Arial"/>
      <w:b/>
      <w:bCs/>
      <w:i/>
      <w:iCs/>
      <w:sz w:val="28"/>
      <w:szCs w:val="28"/>
      <w:lang w:val="en-GB"/>
    </w:rPr>
  </w:style>
  <w:style w:type="numbering" w:customStyle="1" w:styleId="CurrentList1">
    <w:name w:val="Current List1"/>
    <w:rsid w:val="00EC123B"/>
    <w:pPr>
      <w:numPr>
        <w:numId w:val="8"/>
      </w:numPr>
    </w:pPr>
  </w:style>
  <w:style w:type="paragraph" w:customStyle="1" w:styleId="Title2">
    <w:name w:val="Title2"/>
    <w:rsid w:val="00EC123B"/>
    <w:pPr>
      <w:jc w:val="center"/>
      <w:outlineLvl w:val="0"/>
    </w:pPr>
    <w:rPr>
      <w:b/>
      <w:caps/>
      <w:sz w:val="22"/>
      <w:szCs w:val="22"/>
      <w:lang w:val="en-GB"/>
    </w:rPr>
  </w:style>
  <w:style w:type="paragraph" w:styleId="BodyText">
    <w:name w:val="Body Text"/>
    <w:basedOn w:val="Normal"/>
    <w:link w:val="BodyTextChar"/>
    <w:semiHidden/>
    <w:rsid w:val="00EC123B"/>
    <w:pPr>
      <w:spacing w:after="120"/>
    </w:pPr>
    <w:rPr>
      <w:lang w:val="en-GB"/>
    </w:rPr>
  </w:style>
  <w:style w:type="character" w:customStyle="1" w:styleId="BodyTextChar">
    <w:name w:val="Body Text Char"/>
    <w:basedOn w:val="DefaultParagraphFont"/>
    <w:link w:val="BodyText"/>
    <w:semiHidden/>
    <w:rsid w:val="00EC123B"/>
    <w:rPr>
      <w:sz w:val="22"/>
      <w:szCs w:val="22"/>
      <w:lang w:val="en-GB"/>
    </w:rPr>
  </w:style>
  <w:style w:type="paragraph" w:styleId="BodyText2">
    <w:name w:val="Body Text 2"/>
    <w:basedOn w:val="Normal"/>
    <w:link w:val="BodyText2Char"/>
    <w:semiHidden/>
    <w:rsid w:val="00EC123B"/>
    <w:pPr>
      <w:spacing w:after="120" w:line="480" w:lineRule="auto"/>
    </w:pPr>
    <w:rPr>
      <w:lang w:val="en-GB"/>
    </w:rPr>
  </w:style>
  <w:style w:type="character" w:customStyle="1" w:styleId="BodyText2Char">
    <w:name w:val="Body Text 2 Char"/>
    <w:basedOn w:val="DefaultParagraphFont"/>
    <w:link w:val="BodyText2"/>
    <w:semiHidden/>
    <w:rsid w:val="00EC123B"/>
    <w:rPr>
      <w:sz w:val="22"/>
      <w:szCs w:val="22"/>
      <w:lang w:val="en-GB"/>
    </w:rPr>
  </w:style>
  <w:style w:type="paragraph" w:styleId="BodyTextFirstIndent">
    <w:name w:val="Body Text First Indent"/>
    <w:basedOn w:val="BodyText"/>
    <w:link w:val="BodyTextFirstIndentChar"/>
    <w:rsid w:val="00EC123B"/>
    <w:pPr>
      <w:ind w:firstLine="210"/>
    </w:pPr>
  </w:style>
  <w:style w:type="character" w:customStyle="1" w:styleId="BodyTextFirstIndentChar">
    <w:name w:val="Body Text First Indent Char"/>
    <w:basedOn w:val="BodyTextChar"/>
    <w:link w:val="BodyTextFirstIndent"/>
    <w:rsid w:val="00EC123B"/>
    <w:rPr>
      <w:sz w:val="22"/>
      <w:szCs w:val="22"/>
      <w:lang w:val="en-GB"/>
    </w:rPr>
  </w:style>
  <w:style w:type="paragraph" w:styleId="BodyTextIndent">
    <w:name w:val="Body Text Indent"/>
    <w:basedOn w:val="Normal"/>
    <w:link w:val="BodyTextIndentChar"/>
    <w:semiHidden/>
    <w:rsid w:val="00EC123B"/>
    <w:pPr>
      <w:spacing w:after="120"/>
      <w:ind w:left="360"/>
    </w:pPr>
    <w:rPr>
      <w:lang w:val="en-GB"/>
    </w:rPr>
  </w:style>
  <w:style w:type="character" w:customStyle="1" w:styleId="BodyTextIndentChar">
    <w:name w:val="Body Text Indent Char"/>
    <w:basedOn w:val="DefaultParagraphFont"/>
    <w:link w:val="BodyTextIndent"/>
    <w:semiHidden/>
    <w:rsid w:val="00EC123B"/>
    <w:rPr>
      <w:sz w:val="22"/>
      <w:szCs w:val="22"/>
      <w:lang w:val="en-GB"/>
    </w:rPr>
  </w:style>
  <w:style w:type="paragraph" w:styleId="BodyTextFirstIndent2">
    <w:name w:val="Body Text First Indent 2"/>
    <w:basedOn w:val="BodyTextIndent"/>
    <w:link w:val="BodyTextFirstIndent2Char"/>
    <w:semiHidden/>
    <w:rsid w:val="00EC123B"/>
    <w:pPr>
      <w:ind w:firstLine="210"/>
    </w:pPr>
  </w:style>
  <w:style w:type="character" w:customStyle="1" w:styleId="BodyTextFirstIndent2Char">
    <w:name w:val="Body Text First Indent 2 Char"/>
    <w:basedOn w:val="BodyTextIndentChar"/>
    <w:link w:val="BodyTextFirstIndent2"/>
    <w:semiHidden/>
    <w:rsid w:val="00EC123B"/>
    <w:rPr>
      <w:sz w:val="22"/>
      <w:szCs w:val="22"/>
      <w:lang w:val="en-GB"/>
    </w:rPr>
  </w:style>
  <w:style w:type="paragraph" w:styleId="BodyTextIndent2">
    <w:name w:val="Body Text Indent 2"/>
    <w:basedOn w:val="Normal"/>
    <w:link w:val="BodyTextIndent2Char"/>
    <w:semiHidden/>
    <w:rsid w:val="00EC123B"/>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EC123B"/>
    <w:rPr>
      <w:sz w:val="22"/>
      <w:szCs w:val="22"/>
      <w:lang w:val="en-GB"/>
    </w:rPr>
  </w:style>
  <w:style w:type="paragraph" w:styleId="Closing">
    <w:name w:val="Closing"/>
    <w:basedOn w:val="Normal"/>
    <w:link w:val="ClosingChar"/>
    <w:semiHidden/>
    <w:rsid w:val="00EC123B"/>
    <w:pPr>
      <w:ind w:left="4320"/>
    </w:pPr>
    <w:rPr>
      <w:lang w:val="en-GB"/>
    </w:rPr>
  </w:style>
  <w:style w:type="character" w:customStyle="1" w:styleId="ClosingChar">
    <w:name w:val="Closing Char"/>
    <w:basedOn w:val="DefaultParagraphFont"/>
    <w:link w:val="Closing"/>
    <w:semiHidden/>
    <w:rsid w:val="00EC123B"/>
    <w:rPr>
      <w:sz w:val="22"/>
      <w:szCs w:val="22"/>
      <w:lang w:val="en-GB"/>
    </w:rPr>
  </w:style>
  <w:style w:type="paragraph" w:styleId="E-mailSignature">
    <w:name w:val="E-mail Signature"/>
    <w:basedOn w:val="Normal"/>
    <w:link w:val="E-mailSignatureChar"/>
    <w:semiHidden/>
    <w:rsid w:val="00EC123B"/>
    <w:rPr>
      <w:lang w:val="en-GB"/>
    </w:rPr>
  </w:style>
  <w:style w:type="character" w:customStyle="1" w:styleId="E-mailSignatureChar">
    <w:name w:val="E-mail Signature Char"/>
    <w:basedOn w:val="DefaultParagraphFont"/>
    <w:link w:val="E-mailSignature"/>
    <w:semiHidden/>
    <w:rsid w:val="00EC123B"/>
    <w:rPr>
      <w:sz w:val="22"/>
      <w:szCs w:val="22"/>
      <w:lang w:val="en-GB"/>
    </w:rPr>
  </w:style>
  <w:style w:type="paragraph" w:styleId="EnvelopeAddress">
    <w:name w:val="envelope address"/>
    <w:basedOn w:val="Normal"/>
    <w:semiHidden/>
    <w:rsid w:val="00EC123B"/>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semiHidden/>
    <w:rsid w:val="00EC123B"/>
    <w:rPr>
      <w:rFonts w:ascii="Arial" w:hAnsi="Arial" w:cs="Arial"/>
      <w:sz w:val="20"/>
      <w:lang w:val="en-GB"/>
    </w:rPr>
  </w:style>
  <w:style w:type="character" w:styleId="HTMLAcronym">
    <w:name w:val="HTML Acronym"/>
    <w:basedOn w:val="DefaultParagraphFont"/>
    <w:semiHidden/>
    <w:rsid w:val="00EC123B"/>
  </w:style>
  <w:style w:type="paragraph" w:styleId="HTMLAddress">
    <w:name w:val="HTML Address"/>
    <w:basedOn w:val="Normal"/>
    <w:link w:val="HTMLAddressChar"/>
    <w:semiHidden/>
    <w:rsid w:val="00EC123B"/>
    <w:rPr>
      <w:i/>
      <w:iCs/>
      <w:lang w:val="en-GB"/>
    </w:rPr>
  </w:style>
  <w:style w:type="character" w:customStyle="1" w:styleId="HTMLAddressChar">
    <w:name w:val="HTML Address Char"/>
    <w:basedOn w:val="DefaultParagraphFont"/>
    <w:link w:val="HTMLAddress"/>
    <w:semiHidden/>
    <w:rsid w:val="00EC123B"/>
    <w:rPr>
      <w:i/>
      <w:iCs/>
      <w:sz w:val="22"/>
      <w:szCs w:val="22"/>
      <w:lang w:val="en-GB"/>
    </w:rPr>
  </w:style>
  <w:style w:type="character" w:styleId="HTMLCite">
    <w:name w:val="HTML Cite"/>
    <w:semiHidden/>
    <w:rsid w:val="00EC123B"/>
    <w:rPr>
      <w:i/>
      <w:iCs/>
    </w:rPr>
  </w:style>
  <w:style w:type="character" w:styleId="HTMLCode">
    <w:name w:val="HTML Code"/>
    <w:semiHidden/>
    <w:rsid w:val="00EC123B"/>
    <w:rPr>
      <w:rFonts w:ascii="Courier New" w:hAnsi="Courier New" w:cs="Courier New"/>
      <w:sz w:val="20"/>
      <w:szCs w:val="20"/>
    </w:rPr>
  </w:style>
  <w:style w:type="character" w:styleId="HTMLDefinition">
    <w:name w:val="HTML Definition"/>
    <w:semiHidden/>
    <w:rsid w:val="00EC123B"/>
    <w:rPr>
      <w:i/>
      <w:iCs/>
    </w:rPr>
  </w:style>
  <w:style w:type="character" w:styleId="HTMLKeyboard">
    <w:name w:val="HTML Keyboard"/>
    <w:semiHidden/>
    <w:rsid w:val="00EC123B"/>
    <w:rPr>
      <w:rFonts w:ascii="Courier New" w:hAnsi="Courier New" w:cs="Courier New"/>
      <w:sz w:val="20"/>
      <w:szCs w:val="20"/>
    </w:rPr>
  </w:style>
  <w:style w:type="paragraph" w:styleId="HTMLPreformatted">
    <w:name w:val="HTML Preformatted"/>
    <w:basedOn w:val="Normal"/>
    <w:link w:val="HTMLPreformattedChar"/>
    <w:semiHidden/>
    <w:rsid w:val="00EC123B"/>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EC123B"/>
    <w:rPr>
      <w:rFonts w:ascii="Courier New" w:hAnsi="Courier New" w:cs="Courier New"/>
      <w:szCs w:val="22"/>
      <w:lang w:val="en-GB"/>
    </w:rPr>
  </w:style>
  <w:style w:type="character" w:styleId="HTMLSample">
    <w:name w:val="HTML Sample"/>
    <w:semiHidden/>
    <w:rsid w:val="00EC123B"/>
    <w:rPr>
      <w:rFonts w:ascii="Courier New" w:hAnsi="Courier New" w:cs="Courier New"/>
    </w:rPr>
  </w:style>
  <w:style w:type="character" w:styleId="HTMLTypewriter">
    <w:name w:val="HTML Typewriter"/>
    <w:semiHidden/>
    <w:rsid w:val="00EC123B"/>
    <w:rPr>
      <w:rFonts w:ascii="Courier New" w:hAnsi="Courier New" w:cs="Courier New"/>
      <w:sz w:val="20"/>
      <w:szCs w:val="20"/>
    </w:rPr>
  </w:style>
  <w:style w:type="character" w:styleId="HTMLVariable">
    <w:name w:val="HTML Variable"/>
    <w:semiHidden/>
    <w:rsid w:val="00EC123B"/>
    <w:rPr>
      <w:i/>
      <w:iCs/>
    </w:rPr>
  </w:style>
  <w:style w:type="character" w:styleId="LineNumber">
    <w:name w:val="line number"/>
    <w:basedOn w:val="DefaultParagraphFont"/>
    <w:semiHidden/>
    <w:rsid w:val="00EC123B"/>
  </w:style>
  <w:style w:type="paragraph" w:styleId="List">
    <w:name w:val="List"/>
    <w:basedOn w:val="Normal"/>
    <w:semiHidden/>
    <w:rsid w:val="00EC123B"/>
    <w:pPr>
      <w:ind w:left="360" w:hanging="360"/>
    </w:pPr>
    <w:rPr>
      <w:lang w:val="en-GB"/>
    </w:rPr>
  </w:style>
  <w:style w:type="paragraph" w:styleId="List2">
    <w:name w:val="List 2"/>
    <w:basedOn w:val="Normal"/>
    <w:semiHidden/>
    <w:rsid w:val="00EC123B"/>
    <w:pPr>
      <w:ind w:left="720" w:hanging="360"/>
    </w:pPr>
    <w:rPr>
      <w:lang w:val="en-GB"/>
    </w:rPr>
  </w:style>
  <w:style w:type="paragraph" w:styleId="List3">
    <w:name w:val="List 3"/>
    <w:basedOn w:val="Normal"/>
    <w:semiHidden/>
    <w:rsid w:val="00EC123B"/>
    <w:pPr>
      <w:ind w:left="1080" w:hanging="360"/>
    </w:pPr>
    <w:rPr>
      <w:lang w:val="en-GB"/>
    </w:rPr>
  </w:style>
  <w:style w:type="paragraph" w:styleId="List4">
    <w:name w:val="List 4"/>
    <w:basedOn w:val="Normal"/>
    <w:rsid w:val="00EC123B"/>
    <w:pPr>
      <w:ind w:left="1440" w:hanging="360"/>
    </w:pPr>
    <w:rPr>
      <w:lang w:val="en-GB"/>
    </w:rPr>
  </w:style>
  <w:style w:type="paragraph" w:styleId="List5">
    <w:name w:val="List 5"/>
    <w:basedOn w:val="Normal"/>
    <w:rsid w:val="00EC123B"/>
    <w:pPr>
      <w:ind w:left="1800" w:hanging="360"/>
    </w:pPr>
    <w:rPr>
      <w:lang w:val="en-GB"/>
    </w:rPr>
  </w:style>
  <w:style w:type="paragraph" w:styleId="ListBullet">
    <w:name w:val="List Bullet"/>
    <w:basedOn w:val="Normal"/>
    <w:autoRedefine/>
    <w:semiHidden/>
    <w:rsid w:val="00EC123B"/>
    <w:pPr>
      <w:tabs>
        <w:tab w:val="num" w:pos="360"/>
      </w:tabs>
      <w:ind w:left="360" w:hanging="360"/>
    </w:pPr>
    <w:rPr>
      <w:lang w:val="en-GB"/>
    </w:rPr>
  </w:style>
  <w:style w:type="paragraph" w:styleId="ListBullet2">
    <w:name w:val="List Bullet 2"/>
    <w:basedOn w:val="Normal"/>
    <w:autoRedefine/>
    <w:semiHidden/>
    <w:rsid w:val="00EC123B"/>
    <w:pPr>
      <w:tabs>
        <w:tab w:val="num" w:pos="720"/>
      </w:tabs>
      <w:ind w:left="720" w:hanging="360"/>
    </w:pPr>
    <w:rPr>
      <w:lang w:val="en-GB"/>
    </w:rPr>
  </w:style>
  <w:style w:type="paragraph" w:styleId="ListBullet3">
    <w:name w:val="List Bullet 3"/>
    <w:basedOn w:val="Normal"/>
    <w:autoRedefine/>
    <w:semiHidden/>
    <w:rsid w:val="00EC123B"/>
    <w:pPr>
      <w:tabs>
        <w:tab w:val="num" w:pos="1080"/>
      </w:tabs>
      <w:ind w:left="1080" w:hanging="360"/>
    </w:pPr>
    <w:rPr>
      <w:lang w:val="en-GB"/>
    </w:rPr>
  </w:style>
  <w:style w:type="paragraph" w:styleId="ListBullet4">
    <w:name w:val="List Bullet 4"/>
    <w:basedOn w:val="Normal"/>
    <w:autoRedefine/>
    <w:semiHidden/>
    <w:rsid w:val="00EC123B"/>
    <w:pPr>
      <w:tabs>
        <w:tab w:val="num" w:pos="1440"/>
      </w:tabs>
      <w:ind w:left="1440" w:hanging="360"/>
    </w:pPr>
    <w:rPr>
      <w:lang w:val="en-GB"/>
    </w:rPr>
  </w:style>
  <w:style w:type="paragraph" w:styleId="ListContinue">
    <w:name w:val="List Continue"/>
    <w:basedOn w:val="Normal"/>
    <w:semiHidden/>
    <w:rsid w:val="00EC123B"/>
    <w:pPr>
      <w:spacing w:after="120"/>
      <w:ind w:left="360"/>
    </w:pPr>
    <w:rPr>
      <w:lang w:val="en-GB"/>
    </w:rPr>
  </w:style>
  <w:style w:type="paragraph" w:styleId="ListContinue2">
    <w:name w:val="List Continue 2"/>
    <w:basedOn w:val="Normal"/>
    <w:semiHidden/>
    <w:rsid w:val="00EC123B"/>
    <w:pPr>
      <w:spacing w:after="120"/>
      <w:ind w:left="720"/>
    </w:pPr>
    <w:rPr>
      <w:lang w:val="en-GB"/>
    </w:rPr>
  </w:style>
  <w:style w:type="paragraph" w:styleId="ListContinue3">
    <w:name w:val="List Continue 3"/>
    <w:basedOn w:val="Normal"/>
    <w:semiHidden/>
    <w:rsid w:val="00EC123B"/>
    <w:pPr>
      <w:spacing w:after="120"/>
      <w:ind w:left="1080"/>
    </w:pPr>
    <w:rPr>
      <w:lang w:val="en-GB"/>
    </w:rPr>
  </w:style>
  <w:style w:type="paragraph" w:styleId="ListContinue4">
    <w:name w:val="List Continue 4"/>
    <w:basedOn w:val="Normal"/>
    <w:semiHidden/>
    <w:rsid w:val="00EC123B"/>
    <w:pPr>
      <w:spacing w:after="120"/>
      <w:ind w:left="1440"/>
    </w:pPr>
    <w:rPr>
      <w:lang w:val="en-GB"/>
    </w:rPr>
  </w:style>
  <w:style w:type="paragraph" w:styleId="ListContinue5">
    <w:name w:val="List Continue 5"/>
    <w:basedOn w:val="Normal"/>
    <w:semiHidden/>
    <w:rsid w:val="00EC123B"/>
    <w:pPr>
      <w:spacing w:after="120"/>
      <w:ind w:left="1800"/>
    </w:pPr>
    <w:rPr>
      <w:lang w:val="en-GB"/>
    </w:rPr>
  </w:style>
  <w:style w:type="paragraph" w:styleId="ListNumber">
    <w:name w:val="List Number"/>
    <w:basedOn w:val="Normal"/>
    <w:rsid w:val="00EC123B"/>
    <w:pPr>
      <w:tabs>
        <w:tab w:val="num" w:pos="360"/>
      </w:tabs>
      <w:ind w:left="360" w:hanging="360"/>
    </w:pPr>
    <w:rPr>
      <w:lang w:val="en-GB"/>
    </w:rPr>
  </w:style>
  <w:style w:type="paragraph" w:styleId="ListNumber2">
    <w:name w:val="List Number 2"/>
    <w:basedOn w:val="Normal"/>
    <w:semiHidden/>
    <w:rsid w:val="00EC123B"/>
    <w:pPr>
      <w:tabs>
        <w:tab w:val="num" w:pos="720"/>
      </w:tabs>
      <w:ind w:left="720" w:hanging="360"/>
    </w:pPr>
    <w:rPr>
      <w:lang w:val="en-GB"/>
    </w:rPr>
  </w:style>
  <w:style w:type="paragraph" w:styleId="ListNumber3">
    <w:name w:val="List Number 3"/>
    <w:basedOn w:val="Normal"/>
    <w:semiHidden/>
    <w:rsid w:val="00EC123B"/>
    <w:pPr>
      <w:tabs>
        <w:tab w:val="num" w:pos="1080"/>
      </w:tabs>
      <w:ind w:left="1080" w:hanging="360"/>
    </w:pPr>
    <w:rPr>
      <w:lang w:val="en-GB"/>
    </w:rPr>
  </w:style>
  <w:style w:type="paragraph" w:styleId="ListNumber4">
    <w:name w:val="List Number 4"/>
    <w:basedOn w:val="Normal"/>
    <w:semiHidden/>
    <w:rsid w:val="00EC123B"/>
    <w:pPr>
      <w:tabs>
        <w:tab w:val="num" w:pos="1440"/>
      </w:tabs>
      <w:ind w:left="1440" w:hanging="360"/>
    </w:pPr>
    <w:rPr>
      <w:lang w:val="en-GB"/>
    </w:rPr>
  </w:style>
  <w:style w:type="paragraph" w:styleId="ListNumber5">
    <w:name w:val="List Number 5"/>
    <w:basedOn w:val="Normal"/>
    <w:semiHidden/>
    <w:rsid w:val="00EC123B"/>
    <w:pPr>
      <w:tabs>
        <w:tab w:val="num" w:pos="1800"/>
      </w:tabs>
      <w:ind w:left="1800" w:hanging="360"/>
    </w:pPr>
    <w:rPr>
      <w:lang w:val="en-GB"/>
    </w:rPr>
  </w:style>
  <w:style w:type="paragraph" w:styleId="MessageHeader">
    <w:name w:val="Message Header"/>
    <w:basedOn w:val="Normal"/>
    <w:link w:val="MessageHeaderChar"/>
    <w:semiHidden/>
    <w:rsid w:val="00EC123B"/>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EC123B"/>
    <w:rPr>
      <w:rFonts w:ascii="Arial" w:hAnsi="Arial" w:cs="Arial"/>
      <w:sz w:val="22"/>
      <w:szCs w:val="24"/>
      <w:shd w:val="pct20" w:color="auto" w:fill="auto"/>
      <w:lang w:val="en-GB"/>
    </w:rPr>
  </w:style>
  <w:style w:type="paragraph" w:styleId="NormalIndent">
    <w:name w:val="Normal Indent"/>
    <w:basedOn w:val="Normal"/>
    <w:semiHidden/>
    <w:rsid w:val="00EC123B"/>
    <w:pPr>
      <w:ind w:left="720"/>
    </w:pPr>
    <w:rPr>
      <w:lang w:val="en-GB"/>
    </w:rPr>
  </w:style>
  <w:style w:type="paragraph" w:styleId="NoteHeading">
    <w:name w:val="Note Heading"/>
    <w:basedOn w:val="Normal"/>
    <w:next w:val="Normal"/>
    <w:link w:val="NoteHeadingChar"/>
    <w:semiHidden/>
    <w:rsid w:val="00EC123B"/>
    <w:rPr>
      <w:lang w:val="en-GB"/>
    </w:rPr>
  </w:style>
  <w:style w:type="character" w:customStyle="1" w:styleId="NoteHeadingChar">
    <w:name w:val="Note Heading Char"/>
    <w:basedOn w:val="DefaultParagraphFont"/>
    <w:link w:val="NoteHeading"/>
    <w:semiHidden/>
    <w:rsid w:val="00EC123B"/>
    <w:rPr>
      <w:sz w:val="22"/>
      <w:szCs w:val="22"/>
      <w:lang w:val="en-GB"/>
    </w:rPr>
  </w:style>
  <w:style w:type="paragraph" w:styleId="Salutation">
    <w:name w:val="Salutation"/>
    <w:basedOn w:val="Normal"/>
    <w:next w:val="Normal"/>
    <w:link w:val="SalutationChar"/>
    <w:rsid w:val="00EC123B"/>
    <w:rPr>
      <w:lang w:val="en-GB"/>
    </w:rPr>
  </w:style>
  <w:style w:type="character" w:customStyle="1" w:styleId="SalutationChar">
    <w:name w:val="Salutation Char"/>
    <w:basedOn w:val="DefaultParagraphFont"/>
    <w:link w:val="Salutation"/>
    <w:rsid w:val="00EC123B"/>
    <w:rPr>
      <w:sz w:val="22"/>
      <w:szCs w:val="22"/>
      <w:lang w:val="en-GB"/>
    </w:rPr>
  </w:style>
  <w:style w:type="paragraph" w:styleId="Signature">
    <w:name w:val="Signature"/>
    <w:basedOn w:val="Normal"/>
    <w:link w:val="SignatureChar"/>
    <w:semiHidden/>
    <w:rsid w:val="00EC123B"/>
    <w:pPr>
      <w:ind w:left="4320"/>
    </w:pPr>
    <w:rPr>
      <w:lang w:val="en-GB"/>
    </w:rPr>
  </w:style>
  <w:style w:type="character" w:customStyle="1" w:styleId="SignatureChar">
    <w:name w:val="Signature Char"/>
    <w:basedOn w:val="DefaultParagraphFont"/>
    <w:link w:val="Signature"/>
    <w:semiHidden/>
    <w:rsid w:val="00EC123B"/>
    <w:rPr>
      <w:sz w:val="22"/>
      <w:szCs w:val="22"/>
      <w:lang w:val="en-GB"/>
    </w:rPr>
  </w:style>
  <w:style w:type="character" w:styleId="Strong">
    <w:name w:val="Strong"/>
    <w:qFormat/>
    <w:rsid w:val="00EC123B"/>
    <w:rPr>
      <w:b/>
      <w:bCs/>
    </w:rPr>
  </w:style>
  <w:style w:type="paragraph" w:customStyle="1" w:styleId="Level3">
    <w:name w:val="Level3"/>
    <w:basedOn w:val="Normal"/>
    <w:autoRedefine/>
    <w:rsid w:val="00EC123B"/>
    <w:pPr>
      <w:numPr>
        <w:numId w:val="9"/>
      </w:numPr>
      <w:tabs>
        <w:tab w:val="left" w:pos="578"/>
      </w:tabs>
      <w:spacing w:after="240" w:line="288" w:lineRule="auto"/>
      <w:jc w:val="left"/>
    </w:pPr>
    <w:rPr>
      <w:szCs w:val="20"/>
      <w:lang w:val="en-GB"/>
    </w:rPr>
  </w:style>
  <w:style w:type="paragraph" w:customStyle="1" w:styleId="Paralevel1">
    <w:name w:val="Para level1"/>
    <w:basedOn w:val="Normal"/>
    <w:link w:val="Paralevel1Char"/>
    <w:autoRedefine/>
    <w:uiPriority w:val="99"/>
    <w:rsid w:val="00EC123B"/>
    <w:pPr>
      <w:suppressAutoHyphens/>
      <w:spacing w:after="240"/>
      <w:jc w:val="right"/>
    </w:pPr>
    <w:rPr>
      <w:b/>
      <w:bCs/>
      <w:lang w:val="en-GB"/>
    </w:rPr>
  </w:style>
  <w:style w:type="character" w:customStyle="1" w:styleId="Paralevel1Char">
    <w:name w:val="Para level1 Char"/>
    <w:link w:val="Paralevel1"/>
    <w:uiPriority w:val="99"/>
    <w:rsid w:val="00EC123B"/>
    <w:rPr>
      <w:b/>
      <w:bCs/>
      <w:sz w:val="22"/>
      <w:szCs w:val="22"/>
      <w:lang w:val="en-GB"/>
    </w:rPr>
  </w:style>
  <w:style w:type="character" w:customStyle="1" w:styleId="Heading3Char3CharCharChar">
    <w:name w:val="Heading 3 Char3 Char Char Char"/>
    <w:rsid w:val="00EC123B"/>
    <w:rPr>
      <w:sz w:val="22"/>
      <w:szCs w:val="22"/>
      <w:lang w:val="en-GB" w:eastAsia="en-US" w:bidi="ar-SA"/>
    </w:rPr>
  </w:style>
  <w:style w:type="character" w:customStyle="1" w:styleId="Normal-poolChar">
    <w:name w:val="Normal-pool Char"/>
    <w:link w:val="Normal-pool"/>
    <w:locked/>
    <w:rsid w:val="00EC123B"/>
    <w:rPr>
      <w:lang w:val="en-GB"/>
    </w:rPr>
  </w:style>
  <w:style w:type="character" w:customStyle="1" w:styleId="bumpedfont15">
    <w:name w:val="bumpedfont15"/>
    <w:basedOn w:val="DefaultParagraphFont"/>
    <w:rsid w:val="00EC123B"/>
  </w:style>
  <w:style w:type="table" w:customStyle="1" w:styleId="Table3Deffects11">
    <w:name w:val="Table 3D effects 11"/>
    <w:basedOn w:val="TableNormal"/>
    <w:next w:val="Table3Deffects1"/>
    <w:semiHidden/>
    <w:rsid w:val="00EC123B"/>
    <w:pPr>
      <w:jc w:val="both"/>
    </w:pPr>
    <w:rPr>
      <w:lang w:val="en-GB"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EC123B"/>
    <w:pPr>
      <w:jc w:val="both"/>
    </w:pPr>
    <w:rPr>
      <w:lang w:val="en-GB"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EC123B"/>
    <w:pPr>
      <w:jc w:val="both"/>
    </w:pPr>
    <w:rPr>
      <w:lang w:val="en-GB"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EC123B"/>
    <w:pPr>
      <w:jc w:val="both"/>
    </w:pPr>
    <w:rPr>
      <w:lang w:val="en-GB"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EC123B"/>
    <w:pPr>
      <w:jc w:val="both"/>
    </w:pPr>
    <w:rPr>
      <w:lang w:val="en-GB"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EC123B"/>
    <w:pPr>
      <w:jc w:val="both"/>
    </w:pPr>
    <w:rPr>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EC123B"/>
    <w:pPr>
      <w:jc w:val="both"/>
    </w:pPr>
    <w:rPr>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EC123B"/>
    <w:pPr>
      <w:jc w:val="both"/>
    </w:pPr>
    <w:rPr>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EC123B"/>
    <w:pPr>
      <w:jc w:val="both"/>
    </w:pPr>
    <w:rPr>
      <w:lang w:val="en-GB"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EC123B"/>
    <w:pPr>
      <w:jc w:val="both"/>
    </w:pPr>
    <w:rPr>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EC123B"/>
    <w:pPr>
      <w:jc w:val="both"/>
    </w:pPr>
    <w:rPr>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EC123B"/>
    <w:pPr>
      <w:jc w:val="both"/>
    </w:pPr>
    <w:rPr>
      <w:b/>
      <w:bCs/>
      <w:lang w:val="en-GB"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EC123B"/>
    <w:pPr>
      <w:jc w:val="both"/>
    </w:pPr>
    <w:rPr>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EC123B"/>
    <w:pPr>
      <w:jc w:val="both"/>
    </w:pPr>
    <w:rPr>
      <w:lang w:val="en-GB"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EC123B"/>
    <w:pPr>
      <w:jc w:val="both"/>
    </w:pPr>
    <w:rPr>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EC123B"/>
    <w:pPr>
      <w:jc w:val="both"/>
    </w:pPr>
    <w:rPr>
      <w:lang w:val="en-GB"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EC123B"/>
    <w:pPr>
      <w:jc w:val="both"/>
    </w:pPr>
    <w:rPr>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rsid w:val="00EC123B"/>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EC123B"/>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EC123B"/>
    <w:pPr>
      <w:jc w:val="both"/>
    </w:pPr>
    <w:rPr>
      <w:lang w:val="en-GB"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EC123B"/>
    <w:pPr>
      <w:jc w:val="both"/>
    </w:pPr>
    <w:rPr>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EC123B"/>
    <w:pPr>
      <w:jc w:val="both"/>
    </w:pPr>
    <w:rPr>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EC123B"/>
    <w:pPr>
      <w:jc w:val="both"/>
    </w:pPr>
    <w:rPr>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EC123B"/>
    <w:pPr>
      <w:jc w:val="both"/>
    </w:pPr>
    <w:rPr>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EC123B"/>
    <w:pPr>
      <w:jc w:val="both"/>
    </w:pPr>
    <w:rPr>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EC123B"/>
    <w:pPr>
      <w:jc w:val="both"/>
    </w:pPr>
    <w:rPr>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EC123B"/>
    <w:pPr>
      <w:jc w:val="both"/>
    </w:pPr>
    <w:rPr>
      <w:lang w:val="en-GB"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EC123B"/>
    <w:pPr>
      <w:jc w:val="both"/>
    </w:pPr>
    <w:rPr>
      <w:lang w:val="en-GB"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EC123B"/>
    <w:pPr>
      <w:jc w:val="both"/>
    </w:pPr>
    <w:rPr>
      <w:lang w:val="en-GB"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EC123B"/>
    <w:pPr>
      <w:jc w:val="both"/>
    </w:pPr>
    <w:rPr>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EC123B"/>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EC123B"/>
    <w:pPr>
      <w:jc w:val="both"/>
    </w:pPr>
    <w:rPr>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EC123B"/>
    <w:pPr>
      <w:jc w:val="both"/>
    </w:pPr>
    <w:rPr>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EC123B"/>
    <w:pPr>
      <w:jc w:val="both"/>
    </w:pPr>
    <w:rPr>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EC123B"/>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EC123B"/>
    <w:pPr>
      <w:jc w:val="both"/>
    </w:pPr>
    <w:rPr>
      <w:lang w:val="en-GB"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EC123B"/>
    <w:pPr>
      <w:jc w:val="both"/>
    </w:pPr>
    <w:rPr>
      <w:lang w:val="en-GB"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EC123B"/>
    <w:pPr>
      <w:jc w:val="both"/>
    </w:pPr>
    <w:rPr>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EC123B"/>
    <w:pPr>
      <w:jc w:val="both"/>
    </w:pPr>
    <w:rPr>
      <w:lang w:val="en-GB"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EC123B"/>
    <w:pPr>
      <w:jc w:val="both"/>
    </w:pPr>
    <w:rPr>
      <w:lang w:val="en-GB"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EC123B"/>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EC123B"/>
    <w:pPr>
      <w:jc w:val="both"/>
    </w:pPr>
    <w:rPr>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EC123B"/>
    <w:pPr>
      <w:jc w:val="both"/>
    </w:pPr>
    <w:rPr>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EC123B"/>
    <w:pPr>
      <w:jc w:val="both"/>
    </w:pPr>
    <w:rPr>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font15">
    <w:name w:val="font15"/>
    <w:basedOn w:val="Normal"/>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16">
    <w:name w:val="font16"/>
    <w:basedOn w:val="Normal"/>
    <w:rsid w:val="00EC123B"/>
    <w:pPr>
      <w:spacing w:before="100" w:beforeAutospacing="1" w:after="100" w:afterAutospacing="1"/>
      <w:jc w:val="left"/>
    </w:pPr>
    <w:rPr>
      <w:rFonts w:ascii="Tahoma" w:hAnsi="Tahoma" w:cs="Tahoma"/>
      <w:color w:val="000000"/>
      <w:sz w:val="18"/>
      <w:szCs w:val="18"/>
      <w:lang w:eastAsia="en-CA"/>
    </w:rPr>
  </w:style>
  <w:style w:type="paragraph" w:customStyle="1" w:styleId="font17">
    <w:name w:val="font17"/>
    <w:basedOn w:val="Normal"/>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18">
    <w:name w:val="font18"/>
    <w:basedOn w:val="Normal"/>
    <w:rsid w:val="00EC123B"/>
    <w:pPr>
      <w:spacing w:before="100" w:beforeAutospacing="1" w:after="100" w:afterAutospacing="1"/>
      <w:jc w:val="left"/>
    </w:pPr>
    <w:rPr>
      <w:rFonts w:ascii="Tahoma" w:hAnsi="Tahoma" w:cs="Tahoma"/>
      <w:color w:val="000000"/>
      <w:sz w:val="18"/>
      <w:szCs w:val="18"/>
      <w:lang w:eastAsia="en-CA"/>
    </w:rPr>
  </w:style>
  <w:style w:type="paragraph" w:customStyle="1" w:styleId="font19">
    <w:name w:val="font19"/>
    <w:basedOn w:val="Normal"/>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20">
    <w:name w:val="font20"/>
    <w:basedOn w:val="Normal"/>
    <w:rsid w:val="00EC123B"/>
    <w:pPr>
      <w:spacing w:before="100" w:beforeAutospacing="1" w:after="100" w:afterAutospacing="1"/>
      <w:jc w:val="left"/>
    </w:pPr>
    <w:rPr>
      <w:rFonts w:ascii="Tahoma" w:hAnsi="Tahoma" w:cs="Tahoma"/>
      <w:color w:val="000000"/>
      <w:sz w:val="18"/>
      <w:szCs w:val="18"/>
      <w:lang w:eastAsia="en-CA"/>
    </w:rPr>
  </w:style>
  <w:style w:type="paragraph" w:customStyle="1" w:styleId="font21">
    <w:name w:val="font21"/>
    <w:basedOn w:val="Normal"/>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22">
    <w:name w:val="font22"/>
    <w:basedOn w:val="Normal"/>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23">
    <w:name w:val="font23"/>
    <w:basedOn w:val="Normal"/>
    <w:rsid w:val="00EC123B"/>
    <w:pPr>
      <w:spacing w:before="100" w:beforeAutospacing="1" w:after="100" w:afterAutospacing="1"/>
      <w:jc w:val="left"/>
    </w:pPr>
    <w:rPr>
      <w:rFonts w:ascii="Tahoma" w:hAnsi="Tahoma" w:cs="Tahoma"/>
      <w:color w:val="000000"/>
      <w:sz w:val="18"/>
      <w:szCs w:val="18"/>
      <w:lang w:eastAsia="en-CA"/>
    </w:rPr>
  </w:style>
  <w:style w:type="paragraph" w:customStyle="1" w:styleId="StyleMarcellei">
    <w:name w:val="Style Marcelle (i)"/>
    <w:basedOn w:val="Heading3"/>
    <w:uiPriority w:val="99"/>
    <w:rsid w:val="00EC123B"/>
    <w:pPr>
      <w:numPr>
        <w:ilvl w:val="0"/>
        <w:numId w:val="0"/>
      </w:numPr>
      <w:tabs>
        <w:tab w:val="num" w:pos="0"/>
        <w:tab w:val="num" w:pos="1080"/>
      </w:tabs>
      <w:ind w:left="1080" w:hanging="360"/>
    </w:pPr>
    <w:rPr>
      <w:b/>
      <w:bCs/>
      <w:lang w:val="en-GB"/>
    </w:rPr>
  </w:style>
  <w:style w:type="character" w:customStyle="1" w:styleId="0Heading0Char">
    <w:name w:val="0 Heading 0 Char"/>
    <w:link w:val="0Heading0"/>
    <w:rsid w:val="00EC123B"/>
    <w:rPr>
      <w:sz w:val="22"/>
      <w:szCs w:val="22"/>
      <w:lang w:val="en-GB"/>
    </w:rPr>
  </w:style>
  <w:style w:type="paragraph" w:customStyle="1" w:styleId="Indent1">
    <w:name w:val="Indent 1"/>
    <w:basedOn w:val="Normal"/>
    <w:qFormat/>
    <w:rsid w:val="00EC123B"/>
    <w:pPr>
      <w:spacing w:after="240" w:line="360" w:lineRule="auto"/>
      <w:ind w:left="1440" w:hanging="720"/>
      <w:jc w:val="left"/>
    </w:pPr>
    <w:rPr>
      <w:sz w:val="24"/>
      <w:szCs w:val="24"/>
      <w:lang w:val="en-US"/>
    </w:rPr>
  </w:style>
  <w:style w:type="paragraph" w:customStyle="1" w:styleId="msonormal0">
    <w:name w:val="msonormal"/>
    <w:basedOn w:val="Normal"/>
    <w:rsid w:val="00EC123B"/>
    <w:pPr>
      <w:spacing w:before="100" w:beforeAutospacing="1" w:after="100" w:afterAutospacing="1"/>
      <w:jc w:val="left"/>
    </w:pPr>
    <w:rPr>
      <w:sz w:val="24"/>
      <w:szCs w:val="24"/>
      <w:lang w:eastAsia="en-CA"/>
    </w:rPr>
  </w:style>
  <w:style w:type="paragraph" w:customStyle="1" w:styleId="Style3">
    <w:name w:val="Style3"/>
    <w:basedOn w:val="Heading1"/>
    <w:link w:val="Style3Char"/>
    <w:qFormat/>
    <w:rsid w:val="00EC123B"/>
    <w:pPr>
      <w:numPr>
        <w:numId w:val="0"/>
      </w:numPr>
      <w:ind w:firstLine="720"/>
    </w:pPr>
    <w:rPr>
      <w:rFonts w:eastAsiaTheme="minorEastAsia"/>
      <w:b/>
      <w:lang w:val="en-GB" w:eastAsia="zh-CN"/>
    </w:rPr>
  </w:style>
  <w:style w:type="character" w:customStyle="1" w:styleId="Style3Char">
    <w:name w:val="Style3 Char"/>
    <w:basedOn w:val="Heading1Char1"/>
    <w:link w:val="Style3"/>
    <w:rsid w:val="00EC123B"/>
    <w:rPr>
      <w:rFonts w:eastAsiaTheme="minorEastAsia"/>
      <w:b/>
      <w:sz w:val="22"/>
      <w:szCs w:val="22"/>
      <w:lang w:val="en-GB" w:eastAsia="zh-CN"/>
    </w:rPr>
  </w:style>
  <w:style w:type="paragraph" w:customStyle="1" w:styleId="Style2">
    <w:name w:val="Style2"/>
    <w:basedOn w:val="Heading1"/>
    <w:link w:val="Style2Char"/>
    <w:qFormat/>
    <w:rsid w:val="00EC123B"/>
    <w:pPr>
      <w:numPr>
        <w:numId w:val="0"/>
      </w:numPr>
    </w:pPr>
    <w:rPr>
      <w:rFonts w:eastAsiaTheme="minorEastAsia"/>
      <w:b/>
      <w:lang w:val="en-GB" w:eastAsia="zh-CN"/>
    </w:rPr>
  </w:style>
  <w:style w:type="character" w:customStyle="1" w:styleId="Style2Char">
    <w:name w:val="Style2 Char"/>
    <w:basedOn w:val="Heading1Char1"/>
    <w:link w:val="Style2"/>
    <w:rsid w:val="00EC123B"/>
    <w:rPr>
      <w:rFonts w:eastAsiaTheme="minorEastAsia"/>
      <w:b/>
      <w:sz w:val="22"/>
      <w:szCs w:val="22"/>
      <w:lang w:val="en-GB" w:eastAsia="zh-CN"/>
    </w:rPr>
  </w:style>
  <w:style w:type="paragraph" w:customStyle="1" w:styleId="Style1">
    <w:name w:val="Style1"/>
    <w:basedOn w:val="Heading1"/>
    <w:link w:val="Style1Char"/>
    <w:qFormat/>
    <w:rsid w:val="00EC123B"/>
    <w:pPr>
      <w:numPr>
        <w:numId w:val="0"/>
      </w:numPr>
    </w:pPr>
    <w:rPr>
      <w:rFonts w:eastAsiaTheme="minorEastAsia"/>
      <w:b/>
      <w:lang w:val="en-GB" w:eastAsia="zh-CN"/>
    </w:rPr>
  </w:style>
  <w:style w:type="character" w:customStyle="1" w:styleId="Style1Char">
    <w:name w:val="Style1 Char"/>
    <w:basedOn w:val="Heading1Char1"/>
    <w:link w:val="Style1"/>
    <w:rsid w:val="00EC123B"/>
    <w:rPr>
      <w:rFonts w:eastAsiaTheme="minorEastAsia"/>
      <w:b/>
      <w:sz w:val="22"/>
      <w:szCs w:val="22"/>
      <w:lang w:val="en-GB" w:eastAsia="zh-CN"/>
    </w:rPr>
  </w:style>
  <w:style w:type="character" w:customStyle="1" w:styleId="ListParagraphChar">
    <w:name w:val="List Paragraph Char"/>
    <w:aliases w:val="(i) Indent 2 Char,List Paragraph (numbered (a)) Char Char,List Paragraph Char Char Char Char,List Paragraph (numbered (a)) Char1,Use Case List Paragraph Char,List Paragraph2 Char,Numbered List Paragraph Char,Bullet paras Char"/>
    <w:basedOn w:val="DefaultParagraphFont"/>
    <w:link w:val="ListParagraph"/>
    <w:uiPriority w:val="34"/>
    <w:rsid w:val="00EC123B"/>
    <w:rPr>
      <w:rFonts w:ascii="Calibri" w:eastAsia="Calibri" w:hAnsi="Calibri" w:cs="Arial"/>
      <w:sz w:val="22"/>
      <w:szCs w:val="22"/>
    </w:rPr>
  </w:style>
  <w:style w:type="numbering" w:customStyle="1" w:styleId="ArticleSection11">
    <w:name w:val="Article / Section11"/>
    <w:basedOn w:val="NoList"/>
    <w:next w:val="ArticleSection"/>
    <w:rsid w:val="00EC123B"/>
    <w:pPr>
      <w:numPr>
        <w:numId w:val="10"/>
      </w:numPr>
    </w:pPr>
  </w:style>
  <w:style w:type="character" w:customStyle="1" w:styleId="CH1Char">
    <w:name w:val="CH1 Char"/>
    <w:link w:val="CH1"/>
    <w:locked/>
    <w:rsid w:val="00EC123B"/>
    <w:rPr>
      <w:b/>
      <w:sz w:val="28"/>
      <w:szCs w:val="28"/>
      <w:lang w:val="en-GB"/>
    </w:rPr>
  </w:style>
  <w:style w:type="paragraph" w:customStyle="1" w:styleId="Listparagraph2">
    <w:name w:val="List paragraph 2"/>
    <w:basedOn w:val="Normal"/>
    <w:qFormat/>
    <w:rsid w:val="00EC123B"/>
    <w:pPr>
      <w:numPr>
        <w:numId w:val="12"/>
      </w:numPr>
      <w:spacing w:after="240" w:line="360" w:lineRule="auto"/>
      <w:jc w:val="left"/>
    </w:pPr>
    <w:rPr>
      <w:sz w:val="24"/>
      <w:szCs w:val="24"/>
      <w:lang w:val="en-GB"/>
    </w:rPr>
  </w:style>
  <w:style w:type="character" w:customStyle="1" w:styleId="normaltextrun">
    <w:name w:val="normaltextrun"/>
    <w:basedOn w:val="DefaultParagraphFont"/>
    <w:rsid w:val="00EC123B"/>
  </w:style>
  <w:style w:type="character" w:customStyle="1" w:styleId="spellingerror">
    <w:name w:val="spellingerror"/>
    <w:basedOn w:val="DefaultParagraphFont"/>
    <w:rsid w:val="00EC123B"/>
  </w:style>
  <w:style w:type="paragraph" w:customStyle="1" w:styleId="Projecthead">
    <w:name w:val="Project head"/>
    <w:basedOn w:val="Normal"/>
    <w:qFormat/>
    <w:rsid w:val="00EC123B"/>
    <w:pPr>
      <w:spacing w:after="240" w:line="360" w:lineRule="auto"/>
      <w:jc w:val="left"/>
    </w:pPr>
    <w:rPr>
      <w:i/>
      <w:sz w:val="24"/>
      <w:szCs w:val="24"/>
      <w:lang w:val="en-US"/>
    </w:rPr>
  </w:style>
  <w:style w:type="paragraph" w:customStyle="1" w:styleId="letteredhead1">
    <w:name w:val="lettered head1"/>
    <w:basedOn w:val="Normal"/>
    <w:qFormat/>
    <w:rsid w:val="00EC123B"/>
    <w:pPr>
      <w:numPr>
        <w:numId w:val="13"/>
      </w:numPr>
      <w:spacing w:after="240" w:line="360" w:lineRule="auto"/>
    </w:pPr>
    <w:rPr>
      <w:sz w:val="24"/>
      <w:szCs w:val="24"/>
      <w:lang w:val="en-GB"/>
    </w:rPr>
  </w:style>
  <w:style w:type="paragraph" w:customStyle="1" w:styleId="font24">
    <w:name w:val="font24"/>
    <w:basedOn w:val="Normal"/>
    <w:rsid w:val="00EC123B"/>
    <w:pPr>
      <w:spacing w:before="100" w:beforeAutospacing="1" w:after="100" w:afterAutospacing="1"/>
      <w:jc w:val="left"/>
    </w:pPr>
    <w:rPr>
      <w:rFonts w:ascii="Tahoma" w:hAnsi="Tahoma" w:cs="Tahoma"/>
      <w:color w:val="000000"/>
      <w:sz w:val="18"/>
      <w:szCs w:val="18"/>
      <w:lang w:eastAsia="en-CA"/>
    </w:rPr>
  </w:style>
  <w:style w:type="paragraph" w:customStyle="1" w:styleId="font25">
    <w:name w:val="font25"/>
    <w:basedOn w:val="Normal"/>
    <w:rsid w:val="00EC123B"/>
    <w:pPr>
      <w:spacing w:before="100" w:beforeAutospacing="1" w:after="100" w:afterAutospacing="1"/>
      <w:jc w:val="left"/>
    </w:pPr>
    <w:rPr>
      <w:rFonts w:ascii="Tahoma" w:hAnsi="Tahoma" w:cs="Tahoma"/>
      <w:b/>
      <w:bCs/>
      <w:color w:val="000000"/>
      <w:sz w:val="18"/>
      <w:szCs w:val="18"/>
      <w:lang w:eastAsia="en-CA"/>
    </w:rPr>
  </w:style>
  <w:style w:type="character" w:customStyle="1" w:styleId="UnresolvedMention1">
    <w:name w:val="Unresolved Mention1"/>
    <w:basedOn w:val="DefaultParagraphFont"/>
    <w:uiPriority w:val="99"/>
    <w:semiHidden/>
    <w:unhideWhenUsed/>
    <w:rsid w:val="00D50372"/>
    <w:rPr>
      <w:color w:val="605E5C"/>
      <w:shd w:val="clear" w:color="auto" w:fill="E1DFDD"/>
    </w:rPr>
  </w:style>
  <w:style w:type="character" w:customStyle="1" w:styleId="NormalpoolChar">
    <w:name w:val="Normal_pool Char"/>
    <w:link w:val="Normalpool"/>
    <w:locked/>
    <w:rsid w:val="005222DD"/>
    <w:rPr>
      <w:lang w:val="fr-FR"/>
    </w:rPr>
  </w:style>
  <w:style w:type="paragraph" w:customStyle="1" w:styleId="font26">
    <w:name w:val="font26"/>
    <w:basedOn w:val="Normal"/>
    <w:rsid w:val="00996A7B"/>
    <w:pPr>
      <w:spacing w:before="100" w:beforeAutospacing="1" w:after="100" w:afterAutospacing="1"/>
      <w:jc w:val="left"/>
    </w:pPr>
    <w:rPr>
      <w:rFonts w:ascii="Tahoma" w:hAnsi="Tahoma" w:cs="Tahoma"/>
      <w:color w:val="000000"/>
      <w:sz w:val="18"/>
      <w:szCs w:val="18"/>
      <w:lang w:eastAsia="en-CA"/>
    </w:rPr>
  </w:style>
  <w:style w:type="paragraph" w:customStyle="1" w:styleId="font27">
    <w:name w:val="font27"/>
    <w:basedOn w:val="Normal"/>
    <w:rsid w:val="00996A7B"/>
    <w:pPr>
      <w:spacing w:before="100" w:beforeAutospacing="1" w:after="100" w:afterAutospacing="1"/>
      <w:jc w:val="left"/>
    </w:pPr>
    <w:rPr>
      <w:rFonts w:ascii="Tahoma" w:hAnsi="Tahoma" w:cs="Tahoma"/>
      <w:b/>
      <w:bCs/>
      <w:color w:val="000000"/>
      <w:sz w:val="18"/>
      <w:szCs w:val="18"/>
      <w:lang w:eastAsia="en-CA"/>
    </w:rPr>
  </w:style>
  <w:style w:type="numbering" w:customStyle="1" w:styleId="CurrentList111">
    <w:name w:val="Current List111"/>
    <w:rsid w:val="00361A26"/>
    <w:pPr>
      <w:numPr>
        <w:numId w:val="14"/>
      </w:numPr>
    </w:pPr>
  </w:style>
  <w:style w:type="numbering" w:customStyle="1" w:styleId="ArticleSection12">
    <w:name w:val="Article / Section12"/>
    <w:basedOn w:val="NoList"/>
    <w:next w:val="ArticleSection"/>
    <w:semiHidden/>
    <w:rsid w:val="00361A26"/>
    <w:pPr>
      <w:numPr>
        <w:numId w:val="15"/>
      </w:numPr>
    </w:pPr>
  </w:style>
  <w:style w:type="numbering" w:customStyle="1" w:styleId="ArticleSection114">
    <w:name w:val="Article / Section114"/>
    <w:basedOn w:val="NoList"/>
    <w:next w:val="ArticleSection"/>
    <w:rsid w:val="00361A26"/>
    <w:pPr>
      <w:numPr>
        <w:numId w:val="1"/>
      </w:numPr>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1657F"/>
    <w:pPr>
      <w:spacing w:after="160" w:line="240" w:lineRule="exact"/>
    </w:pPr>
    <w:rPr>
      <w:sz w:val="20"/>
      <w:szCs w:val="20"/>
      <w:vertAlign w:val="superscript"/>
      <w:lang w:val="en-US"/>
    </w:rPr>
  </w:style>
  <w:style w:type="character" w:customStyle="1" w:styleId="BBTitleChar">
    <w:name w:val="BB_Title Char"/>
    <w:link w:val="BBTitle"/>
    <w:rsid w:val="00193CCD"/>
    <w:rPr>
      <w:b/>
      <w:sz w:val="28"/>
      <w:szCs w:val="28"/>
      <w:lang w:val="en-GB"/>
    </w:rPr>
  </w:style>
  <w:style w:type="paragraph" w:customStyle="1" w:styleId="paragraph">
    <w:name w:val="paragraph"/>
    <w:basedOn w:val="Normal"/>
    <w:rsid w:val="00A048D7"/>
    <w:pPr>
      <w:spacing w:before="100" w:beforeAutospacing="1" w:after="100" w:afterAutospacing="1"/>
      <w:jc w:val="left"/>
    </w:pPr>
    <w:rPr>
      <w:sz w:val="24"/>
      <w:szCs w:val="24"/>
      <w:lang w:val="fr-FR" w:eastAsia="fr-FR"/>
    </w:rPr>
  </w:style>
  <w:style w:type="character" w:customStyle="1" w:styleId="eop">
    <w:name w:val="eop"/>
    <w:basedOn w:val="DefaultParagraphFont"/>
    <w:rsid w:val="00A048D7"/>
  </w:style>
  <w:style w:type="character" w:customStyle="1" w:styleId="tabchar">
    <w:name w:val="tabchar"/>
    <w:basedOn w:val="DefaultParagraphFont"/>
    <w:rsid w:val="00B01481"/>
  </w:style>
  <w:style w:type="paragraph" w:customStyle="1" w:styleId="Newheader4">
    <w:name w:val="New header 4"/>
    <w:basedOn w:val="Heading4"/>
    <w:next w:val="Normal"/>
    <w:qFormat/>
    <w:rsid w:val="001D4217"/>
    <w:pPr>
      <w:numPr>
        <w:numId w:val="4"/>
      </w:numPr>
    </w:pPr>
  </w:style>
  <w:style w:type="character" w:styleId="UnresolvedMention">
    <w:name w:val="Unresolved Mention"/>
    <w:basedOn w:val="DefaultParagraphFont"/>
    <w:uiPriority w:val="99"/>
    <w:semiHidden/>
    <w:unhideWhenUsed/>
    <w:rsid w:val="001D4217"/>
    <w:rPr>
      <w:color w:val="605E5C"/>
      <w:shd w:val="clear" w:color="auto" w:fill="E1DFDD"/>
    </w:rPr>
  </w:style>
  <w:style w:type="paragraph" w:customStyle="1" w:styleId="Underlinedheader">
    <w:name w:val="Underlined header"/>
    <w:basedOn w:val="Heading1"/>
    <w:qFormat/>
    <w:rsid w:val="001D4217"/>
    <w:pPr>
      <w:numPr>
        <w:numId w:val="0"/>
      </w:numPr>
      <w:spacing w:before="240"/>
      <w:ind w:firstLine="720"/>
    </w:pPr>
    <w:rPr>
      <w:u w:val="single"/>
    </w:rPr>
  </w:style>
  <w:style w:type="character" w:styleId="Mention">
    <w:name w:val="Mention"/>
    <w:basedOn w:val="DefaultParagraphFont"/>
    <w:uiPriority w:val="99"/>
    <w:unhideWhenUsed/>
    <w:rsid w:val="001D4217"/>
    <w:rPr>
      <w:color w:val="2B579A"/>
      <w:shd w:val="clear" w:color="auto" w:fill="E1DFDD"/>
    </w:rPr>
  </w:style>
  <w:style w:type="paragraph" w:customStyle="1" w:styleId="Listlettered">
    <w:name w:val="List lettered"/>
    <w:basedOn w:val="ListParagraph"/>
    <w:qFormat/>
    <w:rsid w:val="00F05C70"/>
    <w:pPr>
      <w:keepLines/>
      <w:widowControl w:val="0"/>
      <w:numPr>
        <w:numId w:val="17"/>
      </w:numPr>
      <w:spacing w:after="240" w:line="240" w:lineRule="auto"/>
      <w:contextualSpacing w:val="0"/>
      <w:jc w:val="both"/>
      <w:outlineLvl w:val="1"/>
    </w:pPr>
    <w:rPr>
      <w:rFonts w:ascii="Times New Roman" w:eastAsia="Times New Roman" w:hAnsi="Times New Roman" w:cs="Times New Roman"/>
      <w:lang w:val="en-GB"/>
    </w:rPr>
  </w:style>
  <w:style w:type="paragraph" w:customStyle="1" w:styleId="Numberedlist">
    <w:name w:val="Numbered list"/>
    <w:basedOn w:val="ListParagraph"/>
    <w:qFormat/>
    <w:rsid w:val="00D960F5"/>
    <w:pPr>
      <w:keepLines/>
      <w:widowControl w:val="0"/>
      <w:tabs>
        <w:tab w:val="num" w:pos="360"/>
      </w:tabs>
      <w:spacing w:after="240" w:line="240" w:lineRule="auto"/>
      <w:contextualSpacing w:val="0"/>
      <w:jc w:val="both"/>
      <w:outlineLvl w:val="1"/>
    </w:pPr>
    <w:rPr>
      <w:rFonts w:ascii="Times New Roman" w:eastAsia="Times New Roman" w:hAnsi="Times New Roman" w:cs="Times New Roman"/>
      <w:lang w:val="en-GB"/>
    </w:rPr>
  </w:style>
  <w:style w:type="paragraph" w:customStyle="1" w:styleId="Letteredlist">
    <w:name w:val="Lettered list"/>
    <w:basedOn w:val="ListParagraph"/>
    <w:qFormat/>
    <w:rsid w:val="000661B5"/>
    <w:pPr>
      <w:widowControl w:val="0"/>
      <w:numPr>
        <w:numId w:val="18"/>
      </w:numPr>
      <w:tabs>
        <w:tab w:val="num" w:pos="360"/>
      </w:tabs>
      <w:spacing w:after="240" w:line="240" w:lineRule="auto"/>
      <w:ind w:left="720" w:firstLine="0"/>
      <w:contextualSpacing w:val="0"/>
      <w:jc w:val="both"/>
      <w:outlineLvl w:val="2"/>
    </w:pPr>
    <w:rPr>
      <w:rFonts w:ascii="Times New Roman" w:eastAsia="Times New Roman" w:hAnsi="Times New Roman" w:cs="Times New Roman"/>
      <w:lang w:val="en-GB"/>
    </w:rPr>
  </w:style>
  <w:style w:type="paragraph" w:customStyle="1" w:styleId="newheader40">
    <w:name w:val="new header4"/>
    <w:basedOn w:val="Heading4"/>
    <w:next w:val="Normal"/>
    <w:qFormat/>
    <w:rsid w:val="00DC525E"/>
    <w:pPr>
      <w:keepNext w:val="0"/>
      <w:numPr>
        <w:ilvl w:val="0"/>
        <w:numId w:val="0"/>
      </w:numPr>
      <w:tabs>
        <w:tab w:val="num" w:pos="-90"/>
      </w:tabs>
      <w:spacing w:before="0" w:after="240"/>
      <w:ind w:left="2776" w:hanging="706"/>
    </w:pPr>
    <w:rPr>
      <w:rFonts w:eastAsiaTheme="minorEastAsia"/>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31197">
      <w:bodyDiv w:val="1"/>
      <w:marLeft w:val="0"/>
      <w:marRight w:val="0"/>
      <w:marTop w:val="0"/>
      <w:marBottom w:val="0"/>
      <w:divBdr>
        <w:top w:val="none" w:sz="0" w:space="0" w:color="auto"/>
        <w:left w:val="none" w:sz="0" w:space="0" w:color="auto"/>
        <w:bottom w:val="none" w:sz="0" w:space="0" w:color="auto"/>
        <w:right w:val="none" w:sz="0" w:space="0" w:color="auto"/>
      </w:divBdr>
    </w:div>
    <w:div w:id="109513210">
      <w:bodyDiv w:val="1"/>
      <w:marLeft w:val="0"/>
      <w:marRight w:val="0"/>
      <w:marTop w:val="0"/>
      <w:marBottom w:val="0"/>
      <w:divBdr>
        <w:top w:val="none" w:sz="0" w:space="0" w:color="auto"/>
        <w:left w:val="none" w:sz="0" w:space="0" w:color="auto"/>
        <w:bottom w:val="none" w:sz="0" w:space="0" w:color="auto"/>
        <w:right w:val="none" w:sz="0" w:space="0" w:color="auto"/>
      </w:divBdr>
    </w:div>
    <w:div w:id="201484193">
      <w:bodyDiv w:val="1"/>
      <w:marLeft w:val="0"/>
      <w:marRight w:val="0"/>
      <w:marTop w:val="0"/>
      <w:marBottom w:val="0"/>
      <w:divBdr>
        <w:top w:val="none" w:sz="0" w:space="0" w:color="auto"/>
        <w:left w:val="none" w:sz="0" w:space="0" w:color="auto"/>
        <w:bottom w:val="none" w:sz="0" w:space="0" w:color="auto"/>
        <w:right w:val="none" w:sz="0" w:space="0" w:color="auto"/>
      </w:divBdr>
    </w:div>
    <w:div w:id="245920281">
      <w:bodyDiv w:val="1"/>
      <w:marLeft w:val="0"/>
      <w:marRight w:val="0"/>
      <w:marTop w:val="0"/>
      <w:marBottom w:val="0"/>
      <w:divBdr>
        <w:top w:val="none" w:sz="0" w:space="0" w:color="auto"/>
        <w:left w:val="none" w:sz="0" w:space="0" w:color="auto"/>
        <w:bottom w:val="none" w:sz="0" w:space="0" w:color="auto"/>
        <w:right w:val="none" w:sz="0" w:space="0" w:color="auto"/>
      </w:divBdr>
    </w:div>
    <w:div w:id="288362181">
      <w:bodyDiv w:val="1"/>
      <w:marLeft w:val="0"/>
      <w:marRight w:val="0"/>
      <w:marTop w:val="0"/>
      <w:marBottom w:val="0"/>
      <w:divBdr>
        <w:top w:val="none" w:sz="0" w:space="0" w:color="auto"/>
        <w:left w:val="none" w:sz="0" w:space="0" w:color="auto"/>
        <w:bottom w:val="none" w:sz="0" w:space="0" w:color="auto"/>
        <w:right w:val="none" w:sz="0" w:space="0" w:color="auto"/>
      </w:divBdr>
    </w:div>
    <w:div w:id="296179820">
      <w:bodyDiv w:val="1"/>
      <w:marLeft w:val="0"/>
      <w:marRight w:val="0"/>
      <w:marTop w:val="0"/>
      <w:marBottom w:val="0"/>
      <w:divBdr>
        <w:top w:val="none" w:sz="0" w:space="0" w:color="auto"/>
        <w:left w:val="none" w:sz="0" w:space="0" w:color="auto"/>
        <w:bottom w:val="none" w:sz="0" w:space="0" w:color="auto"/>
        <w:right w:val="none" w:sz="0" w:space="0" w:color="auto"/>
      </w:divBdr>
    </w:div>
    <w:div w:id="336268294">
      <w:bodyDiv w:val="1"/>
      <w:marLeft w:val="0"/>
      <w:marRight w:val="0"/>
      <w:marTop w:val="0"/>
      <w:marBottom w:val="0"/>
      <w:divBdr>
        <w:top w:val="none" w:sz="0" w:space="0" w:color="auto"/>
        <w:left w:val="none" w:sz="0" w:space="0" w:color="auto"/>
        <w:bottom w:val="none" w:sz="0" w:space="0" w:color="auto"/>
        <w:right w:val="none" w:sz="0" w:space="0" w:color="auto"/>
      </w:divBdr>
    </w:div>
    <w:div w:id="355035618">
      <w:bodyDiv w:val="1"/>
      <w:marLeft w:val="0"/>
      <w:marRight w:val="0"/>
      <w:marTop w:val="0"/>
      <w:marBottom w:val="0"/>
      <w:divBdr>
        <w:top w:val="none" w:sz="0" w:space="0" w:color="auto"/>
        <w:left w:val="none" w:sz="0" w:space="0" w:color="auto"/>
        <w:bottom w:val="none" w:sz="0" w:space="0" w:color="auto"/>
        <w:right w:val="none" w:sz="0" w:space="0" w:color="auto"/>
      </w:divBdr>
    </w:div>
    <w:div w:id="397869437">
      <w:bodyDiv w:val="1"/>
      <w:marLeft w:val="0"/>
      <w:marRight w:val="0"/>
      <w:marTop w:val="0"/>
      <w:marBottom w:val="0"/>
      <w:divBdr>
        <w:top w:val="none" w:sz="0" w:space="0" w:color="auto"/>
        <w:left w:val="none" w:sz="0" w:space="0" w:color="auto"/>
        <w:bottom w:val="none" w:sz="0" w:space="0" w:color="auto"/>
        <w:right w:val="none" w:sz="0" w:space="0" w:color="auto"/>
      </w:divBdr>
    </w:div>
    <w:div w:id="519204554">
      <w:bodyDiv w:val="1"/>
      <w:marLeft w:val="0"/>
      <w:marRight w:val="0"/>
      <w:marTop w:val="0"/>
      <w:marBottom w:val="0"/>
      <w:divBdr>
        <w:top w:val="none" w:sz="0" w:space="0" w:color="auto"/>
        <w:left w:val="none" w:sz="0" w:space="0" w:color="auto"/>
        <w:bottom w:val="none" w:sz="0" w:space="0" w:color="auto"/>
        <w:right w:val="none" w:sz="0" w:space="0" w:color="auto"/>
      </w:divBdr>
    </w:div>
    <w:div w:id="561868104">
      <w:bodyDiv w:val="1"/>
      <w:marLeft w:val="0"/>
      <w:marRight w:val="0"/>
      <w:marTop w:val="0"/>
      <w:marBottom w:val="0"/>
      <w:divBdr>
        <w:top w:val="none" w:sz="0" w:space="0" w:color="auto"/>
        <w:left w:val="none" w:sz="0" w:space="0" w:color="auto"/>
        <w:bottom w:val="none" w:sz="0" w:space="0" w:color="auto"/>
        <w:right w:val="none" w:sz="0" w:space="0" w:color="auto"/>
      </w:divBdr>
    </w:div>
    <w:div w:id="581598690">
      <w:bodyDiv w:val="1"/>
      <w:marLeft w:val="0"/>
      <w:marRight w:val="0"/>
      <w:marTop w:val="0"/>
      <w:marBottom w:val="0"/>
      <w:divBdr>
        <w:top w:val="none" w:sz="0" w:space="0" w:color="auto"/>
        <w:left w:val="none" w:sz="0" w:space="0" w:color="auto"/>
        <w:bottom w:val="none" w:sz="0" w:space="0" w:color="auto"/>
        <w:right w:val="none" w:sz="0" w:space="0" w:color="auto"/>
      </w:divBdr>
    </w:div>
    <w:div w:id="589895156">
      <w:bodyDiv w:val="1"/>
      <w:marLeft w:val="0"/>
      <w:marRight w:val="0"/>
      <w:marTop w:val="0"/>
      <w:marBottom w:val="0"/>
      <w:divBdr>
        <w:top w:val="none" w:sz="0" w:space="0" w:color="auto"/>
        <w:left w:val="none" w:sz="0" w:space="0" w:color="auto"/>
        <w:bottom w:val="none" w:sz="0" w:space="0" w:color="auto"/>
        <w:right w:val="none" w:sz="0" w:space="0" w:color="auto"/>
      </w:divBdr>
    </w:div>
    <w:div w:id="601961685">
      <w:bodyDiv w:val="1"/>
      <w:marLeft w:val="0"/>
      <w:marRight w:val="0"/>
      <w:marTop w:val="0"/>
      <w:marBottom w:val="0"/>
      <w:divBdr>
        <w:top w:val="none" w:sz="0" w:space="0" w:color="auto"/>
        <w:left w:val="none" w:sz="0" w:space="0" w:color="auto"/>
        <w:bottom w:val="none" w:sz="0" w:space="0" w:color="auto"/>
        <w:right w:val="none" w:sz="0" w:space="0" w:color="auto"/>
      </w:divBdr>
    </w:div>
    <w:div w:id="687171452">
      <w:bodyDiv w:val="1"/>
      <w:marLeft w:val="0"/>
      <w:marRight w:val="0"/>
      <w:marTop w:val="0"/>
      <w:marBottom w:val="0"/>
      <w:divBdr>
        <w:top w:val="none" w:sz="0" w:space="0" w:color="auto"/>
        <w:left w:val="none" w:sz="0" w:space="0" w:color="auto"/>
        <w:bottom w:val="none" w:sz="0" w:space="0" w:color="auto"/>
        <w:right w:val="none" w:sz="0" w:space="0" w:color="auto"/>
      </w:divBdr>
    </w:div>
    <w:div w:id="718288506">
      <w:bodyDiv w:val="1"/>
      <w:marLeft w:val="0"/>
      <w:marRight w:val="0"/>
      <w:marTop w:val="0"/>
      <w:marBottom w:val="0"/>
      <w:divBdr>
        <w:top w:val="none" w:sz="0" w:space="0" w:color="auto"/>
        <w:left w:val="none" w:sz="0" w:space="0" w:color="auto"/>
        <w:bottom w:val="none" w:sz="0" w:space="0" w:color="auto"/>
        <w:right w:val="none" w:sz="0" w:space="0" w:color="auto"/>
      </w:divBdr>
    </w:div>
    <w:div w:id="908005732">
      <w:bodyDiv w:val="1"/>
      <w:marLeft w:val="0"/>
      <w:marRight w:val="0"/>
      <w:marTop w:val="0"/>
      <w:marBottom w:val="0"/>
      <w:divBdr>
        <w:top w:val="none" w:sz="0" w:space="0" w:color="auto"/>
        <w:left w:val="none" w:sz="0" w:space="0" w:color="auto"/>
        <w:bottom w:val="none" w:sz="0" w:space="0" w:color="auto"/>
        <w:right w:val="none" w:sz="0" w:space="0" w:color="auto"/>
      </w:divBdr>
    </w:div>
    <w:div w:id="915018338">
      <w:bodyDiv w:val="1"/>
      <w:marLeft w:val="0"/>
      <w:marRight w:val="0"/>
      <w:marTop w:val="0"/>
      <w:marBottom w:val="0"/>
      <w:divBdr>
        <w:top w:val="none" w:sz="0" w:space="0" w:color="auto"/>
        <w:left w:val="none" w:sz="0" w:space="0" w:color="auto"/>
        <w:bottom w:val="none" w:sz="0" w:space="0" w:color="auto"/>
        <w:right w:val="none" w:sz="0" w:space="0" w:color="auto"/>
      </w:divBdr>
    </w:div>
    <w:div w:id="915360906">
      <w:bodyDiv w:val="1"/>
      <w:marLeft w:val="0"/>
      <w:marRight w:val="0"/>
      <w:marTop w:val="0"/>
      <w:marBottom w:val="0"/>
      <w:divBdr>
        <w:top w:val="none" w:sz="0" w:space="0" w:color="auto"/>
        <w:left w:val="none" w:sz="0" w:space="0" w:color="auto"/>
        <w:bottom w:val="none" w:sz="0" w:space="0" w:color="auto"/>
        <w:right w:val="none" w:sz="0" w:space="0" w:color="auto"/>
      </w:divBdr>
    </w:div>
    <w:div w:id="1096636468">
      <w:bodyDiv w:val="1"/>
      <w:marLeft w:val="0"/>
      <w:marRight w:val="0"/>
      <w:marTop w:val="0"/>
      <w:marBottom w:val="0"/>
      <w:divBdr>
        <w:top w:val="none" w:sz="0" w:space="0" w:color="auto"/>
        <w:left w:val="none" w:sz="0" w:space="0" w:color="auto"/>
        <w:bottom w:val="none" w:sz="0" w:space="0" w:color="auto"/>
        <w:right w:val="none" w:sz="0" w:space="0" w:color="auto"/>
      </w:divBdr>
    </w:div>
    <w:div w:id="1143233072">
      <w:bodyDiv w:val="1"/>
      <w:marLeft w:val="0"/>
      <w:marRight w:val="0"/>
      <w:marTop w:val="0"/>
      <w:marBottom w:val="0"/>
      <w:divBdr>
        <w:top w:val="none" w:sz="0" w:space="0" w:color="auto"/>
        <w:left w:val="none" w:sz="0" w:space="0" w:color="auto"/>
        <w:bottom w:val="none" w:sz="0" w:space="0" w:color="auto"/>
        <w:right w:val="none" w:sz="0" w:space="0" w:color="auto"/>
      </w:divBdr>
    </w:div>
    <w:div w:id="1259869633">
      <w:bodyDiv w:val="1"/>
      <w:marLeft w:val="0"/>
      <w:marRight w:val="0"/>
      <w:marTop w:val="0"/>
      <w:marBottom w:val="0"/>
      <w:divBdr>
        <w:top w:val="none" w:sz="0" w:space="0" w:color="auto"/>
        <w:left w:val="none" w:sz="0" w:space="0" w:color="auto"/>
        <w:bottom w:val="none" w:sz="0" w:space="0" w:color="auto"/>
        <w:right w:val="none" w:sz="0" w:space="0" w:color="auto"/>
      </w:divBdr>
    </w:div>
    <w:div w:id="1349528718">
      <w:bodyDiv w:val="1"/>
      <w:marLeft w:val="0"/>
      <w:marRight w:val="0"/>
      <w:marTop w:val="0"/>
      <w:marBottom w:val="0"/>
      <w:divBdr>
        <w:top w:val="none" w:sz="0" w:space="0" w:color="auto"/>
        <w:left w:val="none" w:sz="0" w:space="0" w:color="auto"/>
        <w:bottom w:val="none" w:sz="0" w:space="0" w:color="auto"/>
        <w:right w:val="none" w:sz="0" w:space="0" w:color="auto"/>
      </w:divBdr>
    </w:div>
    <w:div w:id="1349990279">
      <w:bodyDiv w:val="1"/>
      <w:marLeft w:val="0"/>
      <w:marRight w:val="0"/>
      <w:marTop w:val="0"/>
      <w:marBottom w:val="0"/>
      <w:divBdr>
        <w:top w:val="none" w:sz="0" w:space="0" w:color="auto"/>
        <w:left w:val="none" w:sz="0" w:space="0" w:color="auto"/>
        <w:bottom w:val="none" w:sz="0" w:space="0" w:color="auto"/>
        <w:right w:val="none" w:sz="0" w:space="0" w:color="auto"/>
      </w:divBdr>
    </w:div>
    <w:div w:id="1591623443">
      <w:bodyDiv w:val="1"/>
      <w:marLeft w:val="0"/>
      <w:marRight w:val="0"/>
      <w:marTop w:val="0"/>
      <w:marBottom w:val="0"/>
      <w:divBdr>
        <w:top w:val="none" w:sz="0" w:space="0" w:color="auto"/>
        <w:left w:val="none" w:sz="0" w:space="0" w:color="auto"/>
        <w:bottom w:val="none" w:sz="0" w:space="0" w:color="auto"/>
        <w:right w:val="none" w:sz="0" w:space="0" w:color="auto"/>
      </w:divBdr>
    </w:div>
    <w:div w:id="1702824462">
      <w:bodyDiv w:val="1"/>
      <w:marLeft w:val="0"/>
      <w:marRight w:val="0"/>
      <w:marTop w:val="0"/>
      <w:marBottom w:val="0"/>
      <w:divBdr>
        <w:top w:val="none" w:sz="0" w:space="0" w:color="auto"/>
        <w:left w:val="none" w:sz="0" w:space="0" w:color="auto"/>
        <w:bottom w:val="none" w:sz="0" w:space="0" w:color="auto"/>
        <w:right w:val="none" w:sz="0" w:space="0" w:color="auto"/>
      </w:divBdr>
    </w:div>
    <w:div w:id="1824925697">
      <w:bodyDiv w:val="1"/>
      <w:marLeft w:val="0"/>
      <w:marRight w:val="0"/>
      <w:marTop w:val="0"/>
      <w:marBottom w:val="0"/>
      <w:divBdr>
        <w:top w:val="none" w:sz="0" w:space="0" w:color="auto"/>
        <w:left w:val="none" w:sz="0" w:space="0" w:color="auto"/>
        <w:bottom w:val="none" w:sz="0" w:space="0" w:color="auto"/>
        <w:right w:val="none" w:sz="0" w:space="0" w:color="auto"/>
      </w:divBdr>
    </w:div>
    <w:div w:id="1826160641">
      <w:bodyDiv w:val="1"/>
      <w:marLeft w:val="0"/>
      <w:marRight w:val="0"/>
      <w:marTop w:val="0"/>
      <w:marBottom w:val="0"/>
      <w:divBdr>
        <w:top w:val="none" w:sz="0" w:space="0" w:color="auto"/>
        <w:left w:val="none" w:sz="0" w:space="0" w:color="auto"/>
        <w:bottom w:val="none" w:sz="0" w:space="0" w:color="auto"/>
        <w:right w:val="none" w:sz="0" w:space="0" w:color="auto"/>
      </w:divBdr>
    </w:div>
    <w:div w:id="1858544178">
      <w:bodyDiv w:val="1"/>
      <w:marLeft w:val="0"/>
      <w:marRight w:val="0"/>
      <w:marTop w:val="0"/>
      <w:marBottom w:val="0"/>
      <w:divBdr>
        <w:top w:val="none" w:sz="0" w:space="0" w:color="auto"/>
        <w:left w:val="none" w:sz="0" w:space="0" w:color="auto"/>
        <w:bottom w:val="none" w:sz="0" w:space="0" w:color="auto"/>
        <w:right w:val="none" w:sz="0" w:space="0" w:color="auto"/>
      </w:divBdr>
    </w:div>
    <w:div w:id="18615019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2831098">
      <w:bodyDiv w:val="1"/>
      <w:marLeft w:val="0"/>
      <w:marRight w:val="0"/>
      <w:marTop w:val="0"/>
      <w:marBottom w:val="0"/>
      <w:divBdr>
        <w:top w:val="none" w:sz="0" w:space="0" w:color="auto"/>
        <w:left w:val="none" w:sz="0" w:space="0" w:color="auto"/>
        <w:bottom w:val="none" w:sz="0" w:space="0" w:color="auto"/>
        <w:right w:val="none" w:sz="0" w:space="0" w:color="auto"/>
      </w:divBdr>
    </w:div>
    <w:div w:id="2023507756">
      <w:bodyDiv w:val="1"/>
      <w:marLeft w:val="0"/>
      <w:marRight w:val="0"/>
      <w:marTop w:val="0"/>
      <w:marBottom w:val="0"/>
      <w:divBdr>
        <w:top w:val="none" w:sz="0" w:space="0" w:color="auto"/>
        <w:left w:val="none" w:sz="0" w:space="0" w:color="auto"/>
        <w:bottom w:val="none" w:sz="0" w:space="0" w:color="auto"/>
        <w:right w:val="none" w:sz="0" w:space="0" w:color="auto"/>
      </w:divBdr>
    </w:div>
    <w:div w:id="2099787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rke\Downloads\Eec8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287C24D-77C1-4188-BCA1-51BF972A0484}">
  <ds:schemaRefs>
    <ds:schemaRef ds:uri="http://schemas.microsoft.com/sharepoint/v3/contenttype/forms"/>
  </ds:schemaRefs>
</ds:datastoreItem>
</file>

<file path=customXml/itemProps2.xml><?xml version="1.0" encoding="utf-8"?>
<ds:datastoreItem xmlns:ds="http://schemas.openxmlformats.org/officeDocument/2006/customXml" ds:itemID="{4CE15F07-3966-404E-8118-C07532E59B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63E98A-E856-44D2-B370-F21218D912D3}">
  <ds:schemaRefs>
    <ds:schemaRef ds:uri="http://schemas.openxmlformats.org/officeDocument/2006/bibliography"/>
  </ds:schemaRefs>
</ds:datastoreItem>
</file>

<file path=customXml/itemProps4.xml><?xml version="1.0" encoding="utf-8"?>
<ds:datastoreItem xmlns:ds="http://schemas.openxmlformats.org/officeDocument/2006/customXml" ds:itemID="{C69FFE94-26B8-4041-8A7B-96825C30E20A}">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Eec87G</Template>
  <TotalTime>5</TotalTime>
  <Pages>22</Pages>
  <Words>7423</Words>
  <Characters>42312</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ExCom report to MOP37</vt:lpstr>
    </vt:vector>
  </TitlesOfParts>
  <Company>UNMFS</Company>
  <LinksUpToDate>false</LinksUpToDate>
  <CharactersWithSpaces>49636</CharactersWithSpaces>
  <SharedDoc>false</SharedDoc>
  <HLinks>
    <vt:vector size="6" baseType="variant">
      <vt:variant>
        <vt:i4>5242953</vt:i4>
      </vt:variant>
      <vt:variant>
        <vt:i4>0</vt:i4>
      </vt:variant>
      <vt:variant>
        <vt:i4>0</vt:i4>
      </vt:variant>
      <vt:variant>
        <vt:i4>5</vt:i4>
      </vt:variant>
      <vt:variant>
        <vt:lpwstr>https://www.multilateralfund.org/meetings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ExCom report to MOP37</dc:title>
  <dc:subject/>
  <dc:creator>Natalie Barker</dc:creator>
  <cp:keywords/>
  <cp:lastModifiedBy>Angela Xue He Yan</cp:lastModifiedBy>
  <cp:revision>7</cp:revision>
  <cp:lastPrinted>2026-09-14T13:37:00Z</cp:lastPrinted>
  <dcterms:created xsi:type="dcterms:W3CDTF">2026-09-13T22:20:00Z</dcterms:created>
  <dcterms:modified xsi:type="dcterms:W3CDTF">2026-09-14T13:38:00Z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vision date">
    <vt:lpwstr>7/28/2025</vt:lpwstr>
  </property>
  <property fmtid="{D5CDD505-2E9C-101B-9397-08002B2CF9AE}" pid="3" name="ContentTypeId">
    <vt:lpwstr>0x010100C5F60F8E60516143877F7AC30EFBB2F3</vt:lpwstr>
  </property>
  <property fmtid="{D5CDD505-2E9C-101B-9397-08002B2CF9AE}" pid="4" name="MediaServiceImageTags">
    <vt:lpwstr/>
  </property>
  <property fmtid="{D5CDD505-2E9C-101B-9397-08002B2CF9AE}" pid="5" name="Document number">
    <vt:lpwstr>UNEP/OzL.Pro.37/8</vt:lpwstr>
  </property>
</Properties>
</file>