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3" w:type="pct"/>
        <w:jc w:val="right"/>
        <w:tblLayout w:type="fixed"/>
        <w:tblLook w:val="0000" w:firstRow="0" w:lastRow="0" w:firstColumn="0" w:lastColumn="0" w:noHBand="0" w:noVBand="0"/>
      </w:tblPr>
      <w:tblGrid>
        <w:gridCol w:w="1501"/>
        <w:gridCol w:w="2189"/>
        <w:gridCol w:w="1716"/>
        <w:gridCol w:w="742"/>
        <w:gridCol w:w="6"/>
        <w:gridCol w:w="3206"/>
        <w:gridCol w:w="6"/>
      </w:tblGrid>
      <w:tr w:rsidR="0013654E" w:rsidRPr="006B0C18" w14:paraId="2AEE10D9" w14:textId="77777777" w:rsidTr="00823146">
        <w:trPr>
          <w:gridAfter w:val="2"/>
          <w:wAfter w:w="3212" w:type="dxa"/>
          <w:cantSplit/>
          <w:trHeight w:val="900"/>
          <w:jc w:val="right"/>
        </w:trPr>
        <w:tc>
          <w:tcPr>
            <w:tcW w:w="1501" w:type="dxa"/>
          </w:tcPr>
          <w:p w14:paraId="74DB083B" w14:textId="77777777" w:rsidR="0013654E" w:rsidRPr="006B0C18" w:rsidRDefault="0013654E" w:rsidP="00F5369B">
            <w:pPr>
              <w:pStyle w:val="Normal-pool"/>
              <w:rPr>
                <w:rFonts w:ascii="Arial" w:hAnsi="Arial" w:cs="Arial"/>
                <w:b/>
                <w:sz w:val="27"/>
                <w:szCs w:val="27"/>
                <w:lang w:val="fr-FR"/>
              </w:rPr>
            </w:pPr>
            <w:r>
              <w:rPr>
                <w:rFonts w:ascii="Arial" w:hAnsi="Arial" w:cs="Arial"/>
                <w:b/>
                <w:sz w:val="27"/>
                <w:szCs w:val="27"/>
                <w:lang w:val="fr-FR"/>
              </w:rPr>
              <w:t xml:space="preserve">NATIONS </w:t>
            </w:r>
            <w:r>
              <w:rPr>
                <w:rFonts w:ascii="Arial" w:hAnsi="Arial" w:cs="Arial"/>
                <w:b/>
                <w:sz w:val="27"/>
                <w:szCs w:val="27"/>
                <w:lang w:val="fr-FR"/>
              </w:rPr>
              <w:br/>
              <w:t>UNIES</w:t>
            </w:r>
          </w:p>
        </w:tc>
        <w:tc>
          <w:tcPr>
            <w:tcW w:w="4653" w:type="dxa"/>
            <w:gridSpan w:val="4"/>
          </w:tcPr>
          <w:p w14:paraId="11D7BB71" w14:textId="2B64CB4F" w:rsidR="0013654E" w:rsidRPr="006B0C18" w:rsidRDefault="00592B98" w:rsidP="00302929">
            <w:pPr>
              <w:pStyle w:val="Normal-pool"/>
              <w:rPr>
                <w:noProof/>
                <w:lang w:val="fr-FR"/>
              </w:rPr>
            </w:pPr>
            <w:r>
              <w:rPr>
                <w:noProof/>
                <w:lang w:val="fr-FR"/>
              </w:rPr>
              <w:drawing>
                <wp:anchor distT="0" distB="0" distL="114300" distR="114300" simplePos="0" relativeHeight="251658240" behindDoc="0" locked="0" layoutInCell="1" allowOverlap="1" wp14:anchorId="3ADD03F3" wp14:editId="32E57308">
                  <wp:simplePos x="0" y="0"/>
                  <wp:positionH relativeFrom="column">
                    <wp:posOffset>-59690</wp:posOffset>
                  </wp:positionH>
                  <wp:positionV relativeFrom="paragraph">
                    <wp:posOffset>0</wp:posOffset>
                  </wp:positionV>
                  <wp:extent cx="1000125" cy="530370"/>
                  <wp:effectExtent l="0" t="0" r="0" b="3175"/>
                  <wp:wrapNone/>
                  <wp:docPr id="1252257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530370"/>
                          </a:xfrm>
                          <a:prstGeom prst="rect">
                            <a:avLst/>
                          </a:prstGeom>
                          <a:noFill/>
                        </pic:spPr>
                      </pic:pic>
                    </a:graphicData>
                  </a:graphic>
                  <wp14:sizeRelH relativeFrom="margin">
                    <wp14:pctWidth>0</wp14:pctWidth>
                  </wp14:sizeRelH>
                  <wp14:sizeRelV relativeFrom="margin">
                    <wp14:pctHeight>0</wp14:pctHeight>
                  </wp14:sizeRelV>
                </wp:anchor>
              </w:drawing>
            </w:r>
          </w:p>
        </w:tc>
      </w:tr>
      <w:tr w:rsidR="00192C8E" w:rsidRPr="006B0C18" w14:paraId="0524696D" w14:textId="77777777" w:rsidTr="00823146">
        <w:trPr>
          <w:cantSplit/>
          <w:trHeight w:val="57"/>
          <w:jc w:val="right"/>
        </w:trPr>
        <w:tc>
          <w:tcPr>
            <w:tcW w:w="1501" w:type="dxa"/>
            <w:tcBorders>
              <w:bottom w:val="single" w:sz="4" w:space="0" w:color="auto"/>
            </w:tcBorders>
          </w:tcPr>
          <w:p w14:paraId="0A093053" w14:textId="77777777" w:rsidR="00192C8E" w:rsidRPr="006B0C18" w:rsidRDefault="00192C8E" w:rsidP="00F5369B">
            <w:pPr>
              <w:pStyle w:val="Normal-pool"/>
              <w:rPr>
                <w:lang w:val="fr-FR"/>
              </w:rPr>
            </w:pPr>
          </w:p>
        </w:tc>
        <w:tc>
          <w:tcPr>
            <w:tcW w:w="4653" w:type="dxa"/>
            <w:gridSpan w:val="4"/>
            <w:tcBorders>
              <w:bottom w:val="single" w:sz="4" w:space="0" w:color="auto"/>
            </w:tcBorders>
          </w:tcPr>
          <w:p w14:paraId="1D8F8B50" w14:textId="5B50FB9A" w:rsidR="00192C8E" w:rsidRPr="006B0C18" w:rsidRDefault="00192C8E" w:rsidP="00F5369B">
            <w:pPr>
              <w:pStyle w:val="Normal-pool"/>
              <w:rPr>
                <w:lang w:val="fr-FR"/>
              </w:rPr>
            </w:pPr>
          </w:p>
        </w:tc>
        <w:tc>
          <w:tcPr>
            <w:tcW w:w="3212" w:type="dxa"/>
            <w:gridSpan w:val="2"/>
            <w:tcBorders>
              <w:bottom w:val="single" w:sz="4" w:space="0" w:color="auto"/>
            </w:tcBorders>
          </w:tcPr>
          <w:p w14:paraId="26E04784" w14:textId="19778A14" w:rsidR="00192C8E" w:rsidRPr="006B0C18" w:rsidRDefault="00192C8E" w:rsidP="00F5369B">
            <w:pPr>
              <w:pStyle w:val="Normal-pool"/>
              <w:rPr>
                <w:lang w:val="fr-FR"/>
              </w:rPr>
            </w:pPr>
            <w:r>
              <w:rPr>
                <w:b/>
                <w:sz w:val="28"/>
                <w:szCs w:val="28"/>
                <w:lang w:val="fr-FR"/>
              </w:rPr>
              <w:t>UNEP</w:t>
            </w:r>
            <w:r>
              <w:rPr>
                <w:lang w:val="fr-FR"/>
              </w:rPr>
              <w:t>/OzL.Pro.38/8</w:t>
            </w:r>
          </w:p>
        </w:tc>
      </w:tr>
      <w:tr w:rsidR="00192C8E" w:rsidRPr="001A6064" w14:paraId="22F9FE4D" w14:textId="77777777" w:rsidTr="00823146">
        <w:trPr>
          <w:gridAfter w:val="1"/>
          <w:wAfter w:w="6" w:type="dxa"/>
          <w:cantSplit/>
          <w:trHeight w:val="1882"/>
          <w:jc w:val="right"/>
        </w:trPr>
        <w:tc>
          <w:tcPr>
            <w:tcW w:w="3690" w:type="dxa"/>
            <w:gridSpan w:val="2"/>
            <w:tcBorders>
              <w:top w:val="single" w:sz="4" w:space="0" w:color="auto"/>
              <w:bottom w:val="single" w:sz="18" w:space="0" w:color="auto"/>
            </w:tcBorders>
          </w:tcPr>
          <w:p w14:paraId="28C2F421" w14:textId="77777777" w:rsidR="00820D62" w:rsidRPr="006B0C18" w:rsidRDefault="0035325F" w:rsidP="00C52A4C">
            <w:pPr>
              <w:pStyle w:val="Normal-pool"/>
              <w:spacing w:before="120"/>
              <w:rPr>
                <w:rFonts w:ascii="Arial" w:hAnsi="Arial" w:cs="Arial"/>
                <w:b/>
                <w:bCs/>
                <w:sz w:val="28"/>
                <w:szCs w:val="28"/>
                <w:lang w:val="fr-FR"/>
              </w:rPr>
            </w:pPr>
            <w:r>
              <w:rPr>
                <w:rFonts w:ascii="Arial" w:hAnsi="Arial" w:cs="Arial"/>
                <w:b/>
                <w:bCs/>
                <w:sz w:val="28"/>
                <w:szCs w:val="28"/>
                <w:lang w:val="fr-FR"/>
              </w:rPr>
              <w:t>Protocole de Montréal</w:t>
            </w:r>
          </w:p>
          <w:p w14:paraId="60ED1F3C" w14:textId="776FC4DB" w:rsidR="00192C8E" w:rsidRPr="006B0C18" w:rsidRDefault="0035325F" w:rsidP="00472EAA">
            <w:pPr>
              <w:pStyle w:val="Normal-pool"/>
              <w:rPr>
                <w:rFonts w:ascii="Arial" w:hAnsi="Arial" w:cs="Arial"/>
                <w:b/>
                <w:bCs/>
                <w:sz w:val="28"/>
                <w:szCs w:val="28"/>
                <w:lang w:val="fr-FR"/>
              </w:rPr>
            </w:pPr>
            <w:r>
              <w:rPr>
                <w:rFonts w:ascii="Arial" w:hAnsi="Arial" w:cs="Arial"/>
                <w:b/>
                <w:bCs/>
                <w:sz w:val="28"/>
                <w:szCs w:val="28"/>
                <w:lang w:val="fr-FR"/>
              </w:rPr>
              <w:t>relatif aux substances qui appauvrissent la couche d'ozone</w:t>
            </w:r>
          </w:p>
        </w:tc>
        <w:tc>
          <w:tcPr>
            <w:tcW w:w="2458" w:type="dxa"/>
            <w:gridSpan w:val="2"/>
            <w:tcBorders>
              <w:top w:val="single" w:sz="4" w:space="0" w:color="auto"/>
              <w:bottom w:val="single" w:sz="18" w:space="0" w:color="auto"/>
            </w:tcBorders>
          </w:tcPr>
          <w:p w14:paraId="03D43A2F" w14:textId="6B1D812B" w:rsidR="00192C8E" w:rsidRPr="006B0C18" w:rsidRDefault="00192C8E" w:rsidP="00F5369B">
            <w:pPr>
              <w:pStyle w:val="Normal-pool"/>
              <w:spacing w:before="1400" w:after="200"/>
              <w:rPr>
                <w:rFonts w:ascii="Arial" w:hAnsi="Arial" w:cs="Arial"/>
                <w:b/>
                <w:sz w:val="28"/>
                <w:szCs w:val="28"/>
                <w:lang w:val="fr-FR"/>
              </w:rPr>
            </w:pPr>
          </w:p>
        </w:tc>
        <w:tc>
          <w:tcPr>
            <w:tcW w:w="3212" w:type="dxa"/>
            <w:gridSpan w:val="2"/>
            <w:tcBorders>
              <w:top w:val="single" w:sz="4" w:space="0" w:color="auto"/>
              <w:bottom w:val="single" w:sz="18" w:space="0" w:color="auto"/>
            </w:tcBorders>
          </w:tcPr>
          <w:p w14:paraId="7FC8DA70" w14:textId="523ED398" w:rsidR="00192C8E" w:rsidRPr="006B0C18" w:rsidRDefault="00192C8E" w:rsidP="00F5369B">
            <w:pPr>
              <w:pStyle w:val="Normal-pool"/>
              <w:spacing w:before="120"/>
              <w:rPr>
                <w:lang w:val="fr-FR"/>
              </w:rPr>
            </w:pPr>
            <w:r>
              <w:rPr>
                <w:lang w:val="fr-FR"/>
              </w:rPr>
              <w:t xml:space="preserve">Distr. générale </w:t>
            </w:r>
            <w:r>
              <w:rPr>
                <w:lang w:val="fr-FR"/>
              </w:rPr>
              <w:br/>
              <w:t>8 septembre 2026</w:t>
            </w:r>
          </w:p>
          <w:p w14:paraId="2F2EC623" w14:textId="77777777" w:rsidR="00555391" w:rsidRDefault="00555391" w:rsidP="00555391">
            <w:pPr>
              <w:pStyle w:val="Normal-pool"/>
              <w:rPr>
                <w:lang w:val="fr-FR"/>
              </w:rPr>
            </w:pPr>
          </w:p>
          <w:p w14:paraId="711BF1B5" w14:textId="6B0D2B35" w:rsidR="0003400B" w:rsidRDefault="00555391" w:rsidP="00555391">
            <w:pPr>
              <w:pStyle w:val="Normal-pool"/>
              <w:rPr>
                <w:lang w:val="fr-FR"/>
              </w:rPr>
            </w:pPr>
            <w:r>
              <w:rPr>
                <w:lang w:val="fr-FR"/>
              </w:rPr>
              <w:t>Français</w:t>
            </w:r>
          </w:p>
          <w:p w14:paraId="5770F1D3" w14:textId="73BB3CE4" w:rsidR="00192C8E" w:rsidRPr="006B0C18" w:rsidRDefault="00192C8E" w:rsidP="00555391">
            <w:pPr>
              <w:pStyle w:val="Normal-pool"/>
              <w:rPr>
                <w:lang w:val="fr-FR"/>
              </w:rPr>
            </w:pPr>
            <w:r>
              <w:rPr>
                <w:lang w:val="fr-FR"/>
              </w:rPr>
              <w:t>Original : anglais</w:t>
            </w:r>
          </w:p>
        </w:tc>
      </w:tr>
      <w:tr w:rsidR="00192C8E" w:rsidRPr="001A6064" w14:paraId="2707E5B7" w14:textId="77777777" w:rsidTr="00823146">
        <w:trPr>
          <w:cantSplit/>
          <w:trHeight w:val="57"/>
          <w:jc w:val="right"/>
        </w:trPr>
        <w:tc>
          <w:tcPr>
            <w:tcW w:w="5406" w:type="dxa"/>
            <w:gridSpan w:val="3"/>
            <w:tcBorders>
              <w:top w:val="single" w:sz="18" w:space="0" w:color="auto"/>
            </w:tcBorders>
          </w:tcPr>
          <w:p w14:paraId="6B9D90DC" w14:textId="7D4EDF12" w:rsidR="00192C8E" w:rsidRPr="006B0C18" w:rsidRDefault="00192C8E" w:rsidP="00192C8E">
            <w:pPr>
              <w:pStyle w:val="AATitle"/>
              <w:ind w:right="0"/>
              <w:rPr>
                <w:lang w:val="fr-FR"/>
              </w:rPr>
            </w:pPr>
            <w:r>
              <w:rPr>
                <w:lang w:val="fr-FR"/>
              </w:rPr>
              <w:t xml:space="preserve">Trente-huitième réunion des Parties </w:t>
            </w:r>
            <w:r>
              <w:rPr>
                <w:lang w:val="fr-FR"/>
              </w:rPr>
              <w:br/>
              <w:t xml:space="preserve">du Protocole de Montréal relatif aux substances </w:t>
            </w:r>
            <w:r>
              <w:rPr>
                <w:lang w:val="fr-FR"/>
              </w:rPr>
              <w:br/>
              <w:t>qui appauvrissent la couche d'ozone</w:t>
            </w:r>
          </w:p>
          <w:p w14:paraId="16CB2D4D" w14:textId="77DDE8F8" w:rsidR="00192C8E" w:rsidRPr="006B0C18" w:rsidRDefault="000E1097" w:rsidP="00192C8E">
            <w:pPr>
              <w:pStyle w:val="AATitle"/>
              <w:ind w:right="0"/>
              <w:rPr>
                <w:b w:val="0"/>
                <w:lang w:val="fr-FR"/>
              </w:rPr>
            </w:pPr>
            <w:r>
              <w:rPr>
                <w:b w:val="0"/>
                <w:lang w:val="fr-FR"/>
              </w:rPr>
              <w:t>Kigali, 2</w:t>
            </w:r>
            <w:r>
              <w:rPr>
                <w:b w:val="0"/>
                <w:lang w:val="fr-FR"/>
              </w:rPr>
              <w:noBreakHyphen/>
              <w:t>6 novembre 2026</w:t>
            </w:r>
          </w:p>
          <w:p w14:paraId="0B95B3AD" w14:textId="2126CBB4" w:rsidR="00192C8E" w:rsidRPr="006B0C18" w:rsidRDefault="00192C8E" w:rsidP="0003400B">
            <w:pPr>
              <w:spacing w:after="120"/>
              <w:ind w:right="-195"/>
              <w:jc w:val="left"/>
              <w:rPr>
                <w:sz w:val="20"/>
                <w:szCs w:val="20"/>
                <w:lang w:val="fr-FR"/>
              </w:rPr>
            </w:pPr>
            <w:r>
              <w:rPr>
                <w:sz w:val="20"/>
                <w:szCs w:val="20"/>
                <w:lang w:val="fr-FR"/>
              </w:rPr>
              <w:t>Point 4 de l'ordre du jour provisoire du segment de haut niveau</w:t>
            </w:r>
            <w:r>
              <w:rPr>
                <w:rStyle w:val="FootnoteReference"/>
                <w:sz w:val="20"/>
                <w:szCs w:val="20"/>
                <w:lang w:val="fr-FR"/>
              </w:rPr>
              <w:footnoteReference w:customMarkFollows="1" w:id="2"/>
              <w:t>*</w:t>
            </w:r>
          </w:p>
          <w:p w14:paraId="2DE4817F" w14:textId="70240452" w:rsidR="00192C8E" w:rsidRPr="006B0C18" w:rsidRDefault="008C44AA" w:rsidP="005222DD">
            <w:pPr>
              <w:jc w:val="left"/>
              <w:rPr>
                <w:b/>
                <w:sz w:val="20"/>
                <w:szCs w:val="20"/>
                <w:lang w:val="fr-FR"/>
              </w:rPr>
            </w:pPr>
            <w:r>
              <w:rPr>
                <w:b/>
                <w:sz w:val="20"/>
                <w:szCs w:val="20"/>
                <w:lang w:val="fr-FR"/>
              </w:rPr>
              <w:t xml:space="preserve">Présentation du Président du </w:t>
            </w:r>
            <w:r>
              <w:rPr>
                <w:b/>
                <w:sz w:val="20"/>
                <w:szCs w:val="20"/>
                <w:lang w:val="fr-FR"/>
              </w:rPr>
              <w:br/>
              <w:t>Comité exécutif du Fonds multilatéral</w:t>
            </w:r>
            <w:r>
              <w:rPr>
                <w:b/>
                <w:sz w:val="20"/>
                <w:szCs w:val="20"/>
                <w:lang w:val="fr-FR"/>
              </w:rPr>
              <w:br/>
              <w:t xml:space="preserve">aux fins d'application du Protocole de Montréal </w:t>
            </w:r>
            <w:r>
              <w:rPr>
                <w:b/>
                <w:sz w:val="20"/>
                <w:szCs w:val="20"/>
                <w:lang w:val="fr-FR"/>
              </w:rPr>
              <w:br/>
              <w:t>sur les travaux du Comité exécutif</w:t>
            </w:r>
          </w:p>
        </w:tc>
        <w:tc>
          <w:tcPr>
            <w:tcW w:w="3960" w:type="dxa"/>
            <w:gridSpan w:val="4"/>
            <w:tcBorders>
              <w:top w:val="single" w:sz="18" w:space="0" w:color="auto"/>
            </w:tcBorders>
          </w:tcPr>
          <w:p w14:paraId="32489EFC" w14:textId="77777777" w:rsidR="00192C8E" w:rsidRPr="006B0C18" w:rsidRDefault="00192C8E" w:rsidP="0003400B">
            <w:pPr>
              <w:ind w:left="255"/>
              <w:rPr>
                <w:b/>
                <w:sz w:val="20"/>
                <w:szCs w:val="20"/>
                <w:lang w:val="fr-FR"/>
              </w:rPr>
            </w:pPr>
          </w:p>
        </w:tc>
      </w:tr>
    </w:tbl>
    <w:p w14:paraId="6F87B144" w14:textId="3FD01A0B" w:rsidR="00EC123B" w:rsidRPr="006B0C18" w:rsidRDefault="00EC123B" w:rsidP="00113A97">
      <w:pPr>
        <w:pStyle w:val="BBTitle"/>
        <w:tabs>
          <w:tab w:val="left" w:pos="624"/>
        </w:tabs>
        <w:ind w:right="0"/>
        <w:jc w:val="both"/>
        <w:rPr>
          <w:lang w:val="fr-FR"/>
        </w:rPr>
      </w:pPr>
      <w:r>
        <w:rPr>
          <w:lang w:val="fr-FR"/>
        </w:rPr>
        <w:t>Rapport du Comité exécutif du Fonds multilatéral pour la mise en œuvre du Protocole de Montréal à la trente-huitième réunion des Parties</w:t>
      </w:r>
    </w:p>
    <w:p w14:paraId="1A7853EE" w14:textId="21E73D8D" w:rsidR="0091657F" w:rsidRPr="006B0C18" w:rsidRDefault="003F5392" w:rsidP="007942C3">
      <w:pPr>
        <w:pStyle w:val="CH1"/>
        <w:spacing w:before="0" w:after="240"/>
        <w:ind w:left="1253" w:right="288" w:hanging="1253"/>
        <w:rPr>
          <w:lang w:val="fr-FR"/>
        </w:rPr>
      </w:pPr>
      <w:r>
        <w:rPr>
          <w:lang w:val="fr-FR"/>
        </w:rPr>
        <w:tab/>
      </w:r>
      <w:r>
        <w:rPr>
          <w:lang w:val="fr-FR"/>
        </w:rPr>
        <w:tab/>
        <w:t>Introduction</w:t>
      </w:r>
    </w:p>
    <w:p w14:paraId="5C9901DF" w14:textId="6C7927E5" w:rsidR="00193CCD" w:rsidRPr="006B0C18" w:rsidRDefault="00193CCD" w:rsidP="00E140E5">
      <w:pPr>
        <w:pStyle w:val="Heading3"/>
        <w:numPr>
          <w:ilvl w:val="2"/>
          <w:numId w:val="16"/>
        </w:numPr>
        <w:ind w:left="1276" w:firstLine="0"/>
        <w:rPr>
          <w:sz w:val="20"/>
          <w:szCs w:val="20"/>
          <w:lang w:val="fr-FR"/>
        </w:rPr>
      </w:pPr>
      <w:r>
        <w:rPr>
          <w:sz w:val="20"/>
          <w:szCs w:val="20"/>
          <w:lang w:val="fr-FR" w:eastAsia="fr"/>
        </w:rPr>
        <w:t>Le présent rapport se compose de deux sections et d'une annexe, à savoir :</w:t>
      </w:r>
    </w:p>
    <w:p w14:paraId="74E9B5DB" w14:textId="0019B79F" w:rsidR="00193CCD" w:rsidRPr="006B0C18" w:rsidRDefault="00193CCD" w:rsidP="008132B2">
      <w:pPr>
        <w:ind w:left="1248" w:firstLine="624"/>
        <w:rPr>
          <w:sz w:val="20"/>
          <w:szCs w:val="20"/>
          <w:lang w:val="fr-FR"/>
        </w:rPr>
      </w:pPr>
      <w:r>
        <w:rPr>
          <w:sz w:val="20"/>
          <w:szCs w:val="20"/>
          <w:lang w:val="fr-FR"/>
        </w:rPr>
        <w:t>I :</w:t>
      </w:r>
      <w:r>
        <w:rPr>
          <w:sz w:val="20"/>
          <w:szCs w:val="20"/>
          <w:lang w:val="fr-FR"/>
        </w:rPr>
        <w:tab/>
      </w:r>
      <w:r>
        <w:rPr>
          <w:sz w:val="20"/>
          <w:szCs w:val="20"/>
          <w:lang w:val="fr-FR"/>
        </w:rPr>
        <w:tab/>
        <w:t>Examen de la période de rapport depuis la trente-septième réunion des Parties</w:t>
      </w:r>
    </w:p>
    <w:p w14:paraId="44F27756" w14:textId="103F4926" w:rsidR="00193CCD" w:rsidRPr="006B0C18" w:rsidRDefault="00193CCD" w:rsidP="00410D8B">
      <w:pPr>
        <w:ind w:left="1248" w:firstLine="624"/>
        <w:rPr>
          <w:sz w:val="20"/>
          <w:szCs w:val="20"/>
          <w:lang w:val="fr-FR"/>
        </w:rPr>
      </w:pPr>
      <w:r>
        <w:rPr>
          <w:sz w:val="20"/>
          <w:szCs w:val="20"/>
          <w:lang w:val="fr-FR"/>
        </w:rPr>
        <w:t>II :</w:t>
      </w:r>
      <w:r>
        <w:rPr>
          <w:sz w:val="20"/>
          <w:szCs w:val="20"/>
          <w:lang w:val="fr-FR"/>
        </w:rPr>
        <w:tab/>
      </w:r>
      <w:r>
        <w:rPr>
          <w:sz w:val="20"/>
          <w:szCs w:val="20"/>
          <w:lang w:val="fr-FR"/>
        </w:rPr>
        <w:tab/>
        <w:t>Réalisations du Fonds multilatéral depuis sa création</w:t>
      </w:r>
    </w:p>
    <w:p w14:paraId="452F7DF2" w14:textId="3CE6E148" w:rsidR="00F05C70" w:rsidRPr="006B0C18" w:rsidRDefault="00193CCD" w:rsidP="001D4217">
      <w:pPr>
        <w:ind w:left="3120" w:hanging="1248"/>
        <w:rPr>
          <w:sz w:val="20"/>
          <w:szCs w:val="20"/>
          <w:lang w:val="fr-FR"/>
        </w:rPr>
      </w:pPr>
      <w:r>
        <w:rPr>
          <w:sz w:val="20"/>
          <w:szCs w:val="20"/>
          <w:lang w:val="fr-FR"/>
        </w:rPr>
        <w:t xml:space="preserve">Annexe : </w:t>
      </w:r>
      <w:r>
        <w:rPr>
          <w:sz w:val="20"/>
          <w:szCs w:val="20"/>
          <w:lang w:val="fr-FR"/>
        </w:rPr>
        <w:tab/>
        <w:t>Bulletin annuel du Fonds multilatéral présentant quelques projets couronnés de succès et les effets sur les politiques publiques en 2025</w:t>
      </w:r>
    </w:p>
    <w:p w14:paraId="56B70D3C" w14:textId="2FE06F22" w:rsidR="000567B4" w:rsidRPr="006B0C18" w:rsidRDefault="000567B4" w:rsidP="001769E3">
      <w:pPr>
        <w:pStyle w:val="CH1"/>
        <w:spacing w:after="240"/>
        <w:ind w:left="1253" w:right="0" w:hanging="1253"/>
        <w:jc w:val="both"/>
        <w:rPr>
          <w:bCs/>
          <w:lang w:val="fr-FR"/>
        </w:rPr>
      </w:pPr>
      <w:r>
        <w:rPr>
          <w:bCs/>
          <w:lang w:val="fr-FR"/>
        </w:rPr>
        <w:tab/>
        <w:t>I.</w:t>
      </w:r>
      <w:r>
        <w:rPr>
          <w:bCs/>
          <w:lang w:val="fr-FR"/>
        </w:rPr>
        <w:tab/>
        <w:t xml:space="preserve">Examen de la période de référence depuis la trente-septième réunion des Parties </w:t>
      </w:r>
    </w:p>
    <w:p w14:paraId="1E3738C7" w14:textId="32CFF7D4" w:rsidR="000E1097" w:rsidRPr="006B0C18" w:rsidRDefault="000E1097" w:rsidP="000E1097">
      <w:pPr>
        <w:pStyle w:val="Heading3"/>
        <w:numPr>
          <w:ilvl w:val="2"/>
          <w:numId w:val="16"/>
        </w:numPr>
        <w:ind w:left="1276" w:firstLine="0"/>
        <w:rPr>
          <w:sz w:val="20"/>
          <w:szCs w:val="20"/>
          <w:lang w:val="fr-FR" w:eastAsia="en-GB"/>
        </w:rPr>
      </w:pPr>
      <w:r>
        <w:rPr>
          <w:sz w:val="20"/>
          <w:szCs w:val="20"/>
          <w:lang w:val="fr-FR" w:eastAsia="fr"/>
        </w:rPr>
        <w:t>Au cours de la période considérée, le Comité exécutif a tenu ses 97</w:t>
      </w:r>
      <w:r>
        <w:rPr>
          <w:sz w:val="20"/>
          <w:szCs w:val="20"/>
          <w:vertAlign w:val="superscript"/>
          <w:lang w:val="fr-FR" w:eastAsia="fr"/>
        </w:rPr>
        <w:t>e</w:t>
      </w:r>
      <w:r>
        <w:rPr>
          <w:sz w:val="20"/>
          <w:szCs w:val="20"/>
          <w:lang w:val="fr-FR" w:eastAsia="fr"/>
        </w:rPr>
        <w:t xml:space="preserve"> et 98</w:t>
      </w:r>
      <w:r>
        <w:rPr>
          <w:sz w:val="20"/>
          <w:szCs w:val="20"/>
          <w:vertAlign w:val="superscript"/>
          <w:lang w:val="fr-FR" w:eastAsia="fr"/>
        </w:rPr>
        <w:t>e</w:t>
      </w:r>
      <w:r>
        <w:rPr>
          <w:sz w:val="20"/>
          <w:szCs w:val="20"/>
          <w:lang w:val="fr-FR" w:eastAsia="fr"/>
        </w:rPr>
        <w:t> réunions. La 97</w:t>
      </w:r>
      <w:r>
        <w:rPr>
          <w:sz w:val="20"/>
          <w:szCs w:val="20"/>
          <w:vertAlign w:val="superscript"/>
          <w:lang w:val="fr-FR" w:eastAsia="fr"/>
        </w:rPr>
        <w:t>e</w:t>
      </w:r>
      <w:r>
        <w:rPr>
          <w:sz w:val="20"/>
          <w:szCs w:val="20"/>
          <w:lang w:val="fr-FR" w:eastAsia="fr"/>
        </w:rPr>
        <w:t> réunion s'est tenue à Montréal, au Canada, du 1</w:t>
      </w:r>
      <w:r>
        <w:rPr>
          <w:sz w:val="20"/>
          <w:szCs w:val="20"/>
          <w:vertAlign w:val="superscript"/>
          <w:lang w:val="fr-FR" w:eastAsia="fr"/>
        </w:rPr>
        <w:t>er</w:t>
      </w:r>
      <w:r>
        <w:rPr>
          <w:sz w:val="20"/>
          <w:szCs w:val="20"/>
          <w:lang w:val="fr-FR" w:eastAsia="fr"/>
        </w:rPr>
        <w:t xml:space="preserve"> au 5 décembre 2025. Les travaux de la 97</w:t>
      </w:r>
      <w:r>
        <w:rPr>
          <w:sz w:val="20"/>
          <w:szCs w:val="20"/>
          <w:vertAlign w:val="superscript"/>
          <w:lang w:val="fr-FR" w:eastAsia="fr"/>
        </w:rPr>
        <w:t>e</w:t>
      </w:r>
      <w:r>
        <w:rPr>
          <w:sz w:val="20"/>
          <w:szCs w:val="20"/>
          <w:lang w:val="fr-FR" w:eastAsia="fr"/>
        </w:rPr>
        <w:t> réunion ont été menés par les membres du Comité exécutif pour 2025, conformément à la décision XXXVI/19 de la trente-sixième réunion des Parties. Le Comité était composé des Parties suivantes agissant en vertu de l'alinéa 1 de l’article 5 du Protocole (Parties visées à l’article 5) : Argentine, Bahreïn, Chine, Cuba, Kirghizistan, Lesotho (vice-président) et Togo ; et les parties suivantes qui n’opèrent pas en vertu de l'alinéa 1 de l’article 5 du Protocole (parties non visées à l’article 5) : Belgique, Canada, Italie (Présidente), Japon, Lituanie, Suède et États-Unis d'Amérique.</w:t>
      </w:r>
    </w:p>
    <w:p w14:paraId="4789FFB6" w14:textId="5A99178B" w:rsidR="000E1097" w:rsidRPr="006B0C18" w:rsidRDefault="000E1097" w:rsidP="000E1097">
      <w:pPr>
        <w:pStyle w:val="Heading3"/>
        <w:numPr>
          <w:ilvl w:val="2"/>
          <w:numId w:val="16"/>
        </w:numPr>
        <w:ind w:left="1276" w:firstLine="0"/>
        <w:rPr>
          <w:sz w:val="20"/>
          <w:szCs w:val="20"/>
          <w:lang w:val="fr-FR" w:eastAsia="en-GB"/>
        </w:rPr>
      </w:pPr>
      <w:r>
        <w:rPr>
          <w:sz w:val="20"/>
          <w:szCs w:val="20"/>
          <w:lang w:val="fr-FR" w:eastAsia="fr"/>
        </w:rPr>
        <w:t>La 98</w:t>
      </w:r>
      <w:r>
        <w:rPr>
          <w:sz w:val="20"/>
          <w:szCs w:val="20"/>
          <w:vertAlign w:val="superscript"/>
          <w:lang w:val="fr-FR" w:eastAsia="fr"/>
        </w:rPr>
        <w:t>e</w:t>
      </w:r>
      <w:r>
        <w:rPr>
          <w:sz w:val="20"/>
          <w:szCs w:val="20"/>
          <w:lang w:val="fr-FR" w:eastAsia="fr"/>
        </w:rPr>
        <w:t> réunion s'est tenue à Montréal du 22 au 26 juin 2026. Les travaux de la 98</w:t>
      </w:r>
      <w:r>
        <w:rPr>
          <w:sz w:val="20"/>
          <w:szCs w:val="20"/>
          <w:vertAlign w:val="superscript"/>
          <w:lang w:val="fr-FR" w:eastAsia="fr"/>
        </w:rPr>
        <w:t>e</w:t>
      </w:r>
      <w:r>
        <w:rPr>
          <w:sz w:val="20"/>
          <w:szCs w:val="20"/>
          <w:lang w:val="fr-FR" w:eastAsia="fr"/>
        </w:rPr>
        <w:t> réunion ont été menés par les membres du Comité exécutif pour 2026, conformément à la décision XXXVII/19 de la trente-septième réunion des Parties. Le Comité était composé des Parties visées à l’article 5 suivantes : Brésil, Cameroun, Cuba, Inde, Koweït, Lesotho (Président) et Mexique ; et les Parties non visées à l'article 5 suivantes : Australie (vice-présidente), Autriche, Belgique, France, Japon, Kazakhstan et États-Unis d'Amérique.</w:t>
      </w:r>
    </w:p>
    <w:p w14:paraId="3E708C41" w14:textId="4DC1CE35" w:rsidR="00203D08" w:rsidRPr="006B0C18" w:rsidRDefault="000E1097" w:rsidP="005D7E27">
      <w:pPr>
        <w:pStyle w:val="Heading3"/>
        <w:numPr>
          <w:ilvl w:val="2"/>
          <w:numId w:val="16"/>
        </w:numPr>
        <w:ind w:left="1276" w:firstLine="0"/>
        <w:rPr>
          <w:sz w:val="20"/>
          <w:szCs w:val="20"/>
          <w:lang w:val="fr-FR" w:eastAsia="en-GB"/>
        </w:rPr>
      </w:pPr>
      <w:r>
        <w:rPr>
          <w:sz w:val="20"/>
          <w:szCs w:val="20"/>
          <w:lang w:val="fr-FR" w:eastAsia="fr"/>
        </w:rPr>
        <w:lastRenderedPageBreak/>
        <w:t>Les rapports des 97</w:t>
      </w:r>
      <w:r>
        <w:rPr>
          <w:sz w:val="20"/>
          <w:szCs w:val="20"/>
          <w:vertAlign w:val="superscript"/>
          <w:lang w:val="fr-FR" w:eastAsia="fr"/>
        </w:rPr>
        <w:t>e</w:t>
      </w:r>
      <w:r>
        <w:rPr>
          <w:sz w:val="20"/>
          <w:szCs w:val="20"/>
          <w:lang w:val="fr-FR" w:eastAsia="fr"/>
        </w:rPr>
        <w:t xml:space="preserve"> et 98</w:t>
      </w:r>
      <w:r>
        <w:rPr>
          <w:sz w:val="20"/>
          <w:szCs w:val="20"/>
          <w:vertAlign w:val="superscript"/>
          <w:lang w:val="fr-FR" w:eastAsia="fr"/>
        </w:rPr>
        <w:t>e</w:t>
      </w:r>
      <w:r>
        <w:rPr>
          <w:sz w:val="20"/>
          <w:szCs w:val="20"/>
          <w:lang w:val="fr-FR" w:eastAsia="fr"/>
        </w:rPr>
        <w:t> réunions</w:t>
      </w:r>
      <w:r>
        <w:rPr>
          <w:sz w:val="20"/>
          <w:szCs w:val="20"/>
          <w:vertAlign w:val="superscript"/>
          <w:lang w:val="fr-FR" w:eastAsia="fr"/>
        </w:rPr>
        <w:footnoteReference w:id="3"/>
      </w:r>
      <w:r>
        <w:rPr>
          <w:sz w:val="20"/>
          <w:szCs w:val="20"/>
          <w:lang w:val="fr-FR" w:eastAsia="fr"/>
        </w:rPr>
        <w:t xml:space="preserve"> sont disponibles sur le site web du Fonds multilatéral (</w:t>
      </w:r>
      <w:hyperlink r:id="rId12" w:history="1">
        <w:r>
          <w:rPr>
            <w:sz w:val="20"/>
            <w:szCs w:val="20"/>
            <w:lang w:val="fr-FR" w:eastAsia="fr"/>
          </w:rPr>
          <w:t>https://www.multilateralfund.org/meetings)</w:t>
        </w:r>
      </w:hyperlink>
      <w:r>
        <w:rPr>
          <w:sz w:val="20"/>
          <w:szCs w:val="20"/>
          <w:lang w:val="fr-FR" w:eastAsia="fr"/>
        </w:rPr>
        <w:t>.</w:t>
      </w:r>
    </w:p>
    <w:p w14:paraId="519ADB22" w14:textId="77777777" w:rsidR="000567B4" w:rsidRPr="006B0C18" w:rsidRDefault="000567B4" w:rsidP="000567B4">
      <w:pPr>
        <w:pStyle w:val="Heading2"/>
        <w:numPr>
          <w:ilvl w:val="0"/>
          <w:numId w:val="0"/>
        </w:numPr>
        <w:ind w:firstLine="624"/>
        <w:rPr>
          <w:rFonts w:eastAsia="MS Mincho"/>
          <w:b/>
          <w:sz w:val="24"/>
          <w:szCs w:val="24"/>
          <w:lang w:val="fr-FR" w:eastAsia="ja-JP"/>
        </w:rPr>
      </w:pPr>
      <w:r>
        <w:rPr>
          <w:rFonts w:eastAsia="MS Mincho"/>
          <w:b/>
          <w:sz w:val="24"/>
          <w:szCs w:val="24"/>
          <w:lang w:val="fr-FR" w:eastAsia="ja-JP"/>
        </w:rPr>
        <w:t>A.</w:t>
      </w:r>
      <w:r>
        <w:rPr>
          <w:rFonts w:eastAsia="MS Mincho"/>
          <w:b/>
          <w:sz w:val="24"/>
          <w:szCs w:val="24"/>
          <w:lang w:val="fr-FR" w:eastAsia="ja-JP"/>
        </w:rPr>
        <w:tab/>
        <w:t>Questions d'orientation liées à l'amendement de Kigali</w:t>
      </w:r>
    </w:p>
    <w:p w14:paraId="70C05A41" w14:textId="4C3D9B94" w:rsidR="00C701FD" w:rsidRPr="006B0C18" w:rsidRDefault="000E1097" w:rsidP="008132B2">
      <w:pPr>
        <w:keepNext/>
        <w:spacing w:after="240"/>
        <w:ind w:firstLine="624"/>
        <w:jc w:val="left"/>
        <w:outlineLvl w:val="1"/>
        <w:rPr>
          <w:b/>
          <w:sz w:val="20"/>
          <w:szCs w:val="20"/>
          <w:lang w:val="fr-FR"/>
        </w:rPr>
      </w:pPr>
      <w:r>
        <w:rPr>
          <w:b/>
          <w:sz w:val="20"/>
          <w:szCs w:val="20"/>
          <w:lang w:val="fr-FR"/>
        </w:rPr>
        <w:t>1.</w:t>
      </w:r>
      <w:r>
        <w:rPr>
          <w:b/>
          <w:sz w:val="20"/>
          <w:szCs w:val="20"/>
          <w:lang w:val="fr-FR"/>
        </w:rPr>
        <w:tab/>
        <w:t>Approches stratégiques pour la mise en œuvre de l'amendement de Kigali</w:t>
      </w:r>
    </w:p>
    <w:p w14:paraId="7F5F977F" w14:textId="0F7435B3" w:rsidR="008132B2" w:rsidRPr="006B0C18" w:rsidRDefault="00AA5B54" w:rsidP="005D7E27">
      <w:pPr>
        <w:pStyle w:val="Heading3"/>
        <w:numPr>
          <w:ilvl w:val="2"/>
          <w:numId w:val="16"/>
        </w:numPr>
        <w:tabs>
          <w:tab w:val="num" w:pos="360"/>
        </w:tabs>
        <w:ind w:left="1276" w:firstLine="0"/>
        <w:rPr>
          <w:sz w:val="20"/>
          <w:szCs w:val="20"/>
          <w:lang w:val="fr-FR"/>
        </w:rPr>
      </w:pPr>
      <w:r>
        <w:rPr>
          <w:sz w:val="20"/>
          <w:szCs w:val="20"/>
          <w:lang w:val="fr-FR" w:eastAsia="fr"/>
        </w:rPr>
        <w:t>À sa 98</w:t>
      </w:r>
      <w:r>
        <w:rPr>
          <w:sz w:val="20"/>
          <w:szCs w:val="20"/>
          <w:vertAlign w:val="superscript"/>
          <w:lang w:val="fr-FR" w:eastAsia="fr"/>
        </w:rPr>
        <w:t>e</w:t>
      </w:r>
      <w:r>
        <w:rPr>
          <w:sz w:val="20"/>
          <w:szCs w:val="20"/>
          <w:lang w:val="fr-FR" w:eastAsia="fr"/>
        </w:rPr>
        <w:t> réunion, le Comité exécutif a examiné un document portant sur les approches stratégiques de la mise en œuvre de l’amendement de Kigali dans les pays visés à l’article 5, conformément aux éléments mentionnés dans la décision 96/57.</w:t>
      </w:r>
      <w:r>
        <w:rPr>
          <w:sz w:val="20"/>
          <w:szCs w:val="20"/>
          <w:vertAlign w:val="superscript"/>
          <w:lang w:val="fr-FR" w:eastAsia="fr"/>
        </w:rPr>
        <w:footnoteReference w:id="4"/>
      </w:r>
      <w:r>
        <w:rPr>
          <w:sz w:val="20"/>
          <w:szCs w:val="20"/>
          <w:lang w:val="fr-FR" w:eastAsia="fr"/>
        </w:rPr>
        <w:t xml:space="preserve"> Le Comité a ensuite demandé au Secrétariat du Fonds de préparer, pour examen à sa 100</w:t>
      </w:r>
      <w:r>
        <w:rPr>
          <w:sz w:val="20"/>
          <w:szCs w:val="20"/>
          <w:vertAlign w:val="superscript"/>
          <w:lang w:val="fr-FR" w:eastAsia="fr"/>
        </w:rPr>
        <w:t>e</w:t>
      </w:r>
      <w:r>
        <w:rPr>
          <w:sz w:val="20"/>
          <w:szCs w:val="20"/>
          <w:lang w:val="fr-FR" w:eastAsia="fr"/>
        </w:rPr>
        <w:t> réunion, des informations concernant les éléments suivants qui pourraient orienter l’élaboration des futurs plans de mise en œuvre de l’Amendement de Kigali relatif aux HFC (KIP), en s’appuyant sur les enseignements tirés de l’expérience de mise en œuvre antérieure dans le cadre du Fonds multilatéral, la priorité étant accordée aux activités de conformité :</w:t>
      </w:r>
    </w:p>
    <w:p w14:paraId="2BE88160" w14:textId="75A894CA" w:rsidR="008132B2" w:rsidRPr="006B0C18" w:rsidRDefault="008132B2" w:rsidP="00913FDA">
      <w:pPr>
        <w:pStyle w:val="Heading1"/>
        <w:tabs>
          <w:tab w:val="clear" w:pos="0"/>
        </w:tabs>
        <w:ind w:left="2160" w:hanging="720"/>
        <w:rPr>
          <w:sz w:val="20"/>
          <w:szCs w:val="20"/>
          <w:lang w:val="fr-FR"/>
        </w:rPr>
      </w:pPr>
      <w:r>
        <w:rPr>
          <w:sz w:val="20"/>
          <w:szCs w:val="20"/>
          <w:lang w:val="fr-FR" w:eastAsia="fr"/>
        </w:rPr>
        <w:t>Types d’activités visant à faciliter la transition dans le</w:t>
      </w:r>
      <w:r>
        <w:rPr>
          <w:sz w:val="20"/>
          <w:szCs w:val="20"/>
          <w:lang w:val="fr-FR"/>
        </w:rPr>
        <w:t xml:space="preserve"> secteur des services frigorifiques et hors production, en mettant l’accent sur le renforcement et l’exploitation des cadres institutionnels existants pour la formation et la certification des techniciens, y compris les liens avec les stratégies de gestion du cycle de vie des frigorigènes, et l’amélioration de l’efficacité énergétique, sur la base des enseignements tirés des projets pilotes menés dans le cadre des décisions 89/6 et 91/65 ;</w:t>
      </w:r>
    </w:p>
    <w:p w14:paraId="7E28453D" w14:textId="77777777" w:rsidR="00AA5B54" w:rsidRPr="006B0C18" w:rsidRDefault="00AA5B54" w:rsidP="00913FDA">
      <w:pPr>
        <w:ind w:left="2160" w:hanging="720"/>
        <w:rPr>
          <w:lang w:val="fr-FR"/>
        </w:rPr>
      </w:pPr>
    </w:p>
    <w:p w14:paraId="291A9F06" w14:textId="65B2390D" w:rsidR="008132B2" w:rsidRPr="006B0C18" w:rsidRDefault="006B0C18" w:rsidP="00913FDA">
      <w:pPr>
        <w:pStyle w:val="Heading1"/>
        <w:tabs>
          <w:tab w:val="clear" w:pos="0"/>
        </w:tabs>
        <w:ind w:left="2160" w:hanging="720"/>
        <w:rPr>
          <w:sz w:val="20"/>
          <w:szCs w:val="20"/>
          <w:lang w:val="fr-FR" w:eastAsia="en-GB"/>
        </w:rPr>
      </w:pPr>
      <w:r>
        <w:rPr>
          <w:sz w:val="20"/>
          <w:szCs w:val="20"/>
          <w:lang w:val="fr-FR" w:eastAsia="fr"/>
        </w:rPr>
        <w:t>Types d’activités visant à faciliter la transition du secteur manufacturier dans le domaine de la réfrigération, de la climatisation et des pompes à chaleur, notamment en ce qui concerne les petites et moyennes entreprises et en tenant compte du développement et de l’adoption d’infrastructures de sécurité ;</w:t>
      </w:r>
    </w:p>
    <w:p w14:paraId="56CDA7F7" w14:textId="50D6B169" w:rsidR="008132B2" w:rsidRPr="006B0C18" w:rsidRDefault="00C701FD" w:rsidP="00913FDA">
      <w:pPr>
        <w:pStyle w:val="Heading1"/>
        <w:tabs>
          <w:tab w:val="clear" w:pos="0"/>
        </w:tabs>
        <w:ind w:left="2160" w:hanging="720"/>
        <w:rPr>
          <w:sz w:val="20"/>
          <w:szCs w:val="20"/>
          <w:lang w:val="fr-FR" w:eastAsia="en-GB"/>
        </w:rPr>
      </w:pPr>
      <w:r>
        <w:rPr>
          <w:sz w:val="20"/>
          <w:szCs w:val="20"/>
          <w:lang w:val="fr-FR" w:eastAsia="fr"/>
        </w:rPr>
        <w:t>Éléments possibles à prendre en compte pour les prochaines étapes des KIP qui s’inscriraient dans une approche transversale ou par programme national, en tenant compte des stratégies de transition technologique ainsi que des plans d’action nationaux pour le refroidissement, le cas échéant ;</w:t>
      </w:r>
    </w:p>
    <w:p w14:paraId="7DC5A537" w14:textId="363FAEDC" w:rsidR="00C701FD" w:rsidRPr="006B0C18" w:rsidRDefault="00C701FD" w:rsidP="00913FDA">
      <w:pPr>
        <w:pStyle w:val="Heading1"/>
        <w:tabs>
          <w:tab w:val="clear" w:pos="0"/>
        </w:tabs>
        <w:ind w:left="2160" w:hanging="720"/>
        <w:rPr>
          <w:sz w:val="20"/>
          <w:szCs w:val="20"/>
          <w:lang w:val="fr-FR" w:eastAsia="en-GB"/>
        </w:rPr>
      </w:pPr>
      <w:r>
        <w:rPr>
          <w:sz w:val="20"/>
          <w:szCs w:val="20"/>
          <w:lang w:val="fr-FR" w:eastAsia="fr"/>
        </w:rPr>
        <w:t>Leçons tirées de l’utilisation des financements concessionnels par le Fonds multilatéral depuis sa création, afin d’éclairer le Comité dans son examen des activités potentielles ;</w:t>
      </w:r>
    </w:p>
    <w:p w14:paraId="226029F1" w14:textId="2EED853C" w:rsidR="00C701FD" w:rsidRPr="006B0C18" w:rsidRDefault="00C701FD" w:rsidP="00913FDA">
      <w:pPr>
        <w:pStyle w:val="Heading1"/>
        <w:tabs>
          <w:tab w:val="clear" w:pos="0"/>
        </w:tabs>
        <w:ind w:left="2160" w:hanging="720"/>
        <w:rPr>
          <w:sz w:val="20"/>
          <w:szCs w:val="20"/>
          <w:lang w:val="fr-FR" w:eastAsia="en-GB"/>
        </w:rPr>
      </w:pPr>
      <w:r>
        <w:rPr>
          <w:sz w:val="20"/>
          <w:szCs w:val="20"/>
          <w:lang w:val="fr-FR" w:eastAsia="fr"/>
        </w:rPr>
        <w:t>Mise à jour du recensement des activités pertinentes menées par d'autres institutions de financement.</w:t>
      </w:r>
    </w:p>
    <w:p w14:paraId="4A9317E9" w14:textId="4FA0AD92" w:rsidR="00C701FD" w:rsidRPr="006B0C18" w:rsidRDefault="008132B2" w:rsidP="008132B2">
      <w:pPr>
        <w:pStyle w:val="Heading3"/>
        <w:numPr>
          <w:ilvl w:val="2"/>
          <w:numId w:val="16"/>
        </w:numPr>
        <w:ind w:left="1276" w:firstLine="0"/>
        <w:rPr>
          <w:sz w:val="20"/>
          <w:szCs w:val="20"/>
          <w:lang w:val="fr-FR"/>
        </w:rPr>
      </w:pPr>
      <w:r>
        <w:rPr>
          <w:sz w:val="20"/>
          <w:szCs w:val="20"/>
          <w:lang w:val="fr-FR"/>
        </w:rPr>
        <w:t>Le Secrétariat du Fonds a également été prié de préparer, pour la 102</w:t>
      </w:r>
      <w:r>
        <w:rPr>
          <w:sz w:val="20"/>
          <w:szCs w:val="20"/>
          <w:vertAlign w:val="superscript"/>
          <w:lang w:val="fr-FR"/>
        </w:rPr>
        <w:t>e</w:t>
      </w:r>
      <w:r>
        <w:rPr>
          <w:sz w:val="20"/>
          <w:szCs w:val="20"/>
          <w:lang w:val="fr-FR"/>
        </w:rPr>
        <w:t> réunion, en tenant compte de la version actualisée du rapport sur les dispositifs d’incitation à l’usage final financés dans le cadre des plans de gestion de l’élimination progressive des HCFC (PGEH) et des KIP approuvés, qui sera présenté à la 102</w:t>
      </w:r>
      <w:r>
        <w:rPr>
          <w:sz w:val="20"/>
          <w:szCs w:val="20"/>
          <w:vertAlign w:val="superscript"/>
          <w:lang w:val="fr-FR"/>
        </w:rPr>
        <w:t>e</w:t>
      </w:r>
      <w:r>
        <w:rPr>
          <w:sz w:val="20"/>
          <w:szCs w:val="20"/>
          <w:lang w:val="fr-FR"/>
        </w:rPr>
        <w:t> réunion conformément à la décision 92/36, des informations sur les options de modalités financières et les dispositifs institutionnels de soutien aux utilisateurs finaux, visant à faciliter la transformation du marché et à soutenir la réduction progressive et durable des HFC dans le cadre des prochaines étapes des KIP (décision 98/61).</w:t>
      </w:r>
    </w:p>
    <w:p w14:paraId="474DA32A" w14:textId="1541BECD" w:rsidR="00C339F4" w:rsidRPr="006B0C18" w:rsidRDefault="0047057B" w:rsidP="0047057B">
      <w:pPr>
        <w:keepNext/>
        <w:spacing w:after="240"/>
        <w:ind w:firstLine="624"/>
        <w:outlineLvl w:val="0"/>
        <w:rPr>
          <w:b/>
          <w:sz w:val="20"/>
          <w:szCs w:val="20"/>
          <w:lang w:val="fr-FR"/>
        </w:rPr>
      </w:pPr>
      <w:r>
        <w:rPr>
          <w:b/>
          <w:sz w:val="20"/>
          <w:szCs w:val="20"/>
          <w:lang w:val="fr-FR"/>
        </w:rPr>
        <w:t>2.</w:t>
      </w:r>
      <w:r>
        <w:rPr>
          <w:b/>
          <w:sz w:val="20"/>
          <w:szCs w:val="20"/>
          <w:lang w:val="fr-FR"/>
        </w:rPr>
        <w:tab/>
        <w:t>Sous-secteur de l'installation et du montage sur site</w:t>
      </w:r>
    </w:p>
    <w:p w14:paraId="59CBD9C3" w14:textId="05337EB5" w:rsidR="00C339F4" w:rsidRPr="006B0C18" w:rsidRDefault="00C339F4" w:rsidP="005D7E27">
      <w:pPr>
        <w:pStyle w:val="Heading3"/>
        <w:numPr>
          <w:ilvl w:val="2"/>
          <w:numId w:val="16"/>
        </w:numPr>
        <w:ind w:left="1276" w:firstLine="0"/>
        <w:rPr>
          <w:sz w:val="20"/>
          <w:szCs w:val="20"/>
          <w:lang w:val="fr-FR"/>
        </w:rPr>
      </w:pPr>
      <w:r>
        <w:rPr>
          <w:sz w:val="20"/>
          <w:szCs w:val="20"/>
          <w:lang w:val="fr-FR"/>
        </w:rPr>
        <w:t>Conformément à la décision 95/89, le Comité exécutif a examiné à sa 98</w:t>
      </w:r>
      <w:r>
        <w:rPr>
          <w:sz w:val="20"/>
          <w:szCs w:val="20"/>
          <w:vertAlign w:val="superscript"/>
          <w:lang w:val="fr-FR"/>
        </w:rPr>
        <w:t>e</w:t>
      </w:r>
      <w:r>
        <w:rPr>
          <w:sz w:val="20"/>
          <w:szCs w:val="20"/>
          <w:lang w:val="fr-FR"/>
        </w:rPr>
        <w:t> réunion un document fournissant une mise à jour sur le sous-secteur de l’installation et du montage sur site.</w:t>
      </w:r>
      <w:r>
        <w:rPr>
          <w:sz w:val="20"/>
          <w:szCs w:val="20"/>
          <w:vertAlign w:val="superscript"/>
          <w:lang w:val="fr-FR"/>
        </w:rPr>
        <w:footnoteReference w:id="5"/>
      </w:r>
      <w:r>
        <w:rPr>
          <w:sz w:val="20"/>
          <w:szCs w:val="20"/>
          <w:lang w:val="fr-FR"/>
        </w:rPr>
        <w:t xml:space="preserve"> Suite à l’adoption de la décision 98/61 (voir section I.A.1 ci-dessus), le Comité exécutif a décidé de continuer à examiner au cas par cas les projets du sous-secteur de l’installation et de l’assemblage sur site dans </w:t>
      </w:r>
      <w:r>
        <w:rPr>
          <w:sz w:val="20"/>
          <w:szCs w:val="20"/>
          <w:lang w:val="fr-FR"/>
        </w:rPr>
        <w:lastRenderedPageBreak/>
        <w:t>le cadre des KIP, conformément à la décision 95/89 b), et de demander au Secrétariat du Fonds de continuer à recueillir des informations sur le sous-secteur de l’installation et de l’assemblage locaux, fournies par les pays visés à l’article 5 dans leurs KIP, et de fournir une mise à jour sur le secteur, dans le cadre des informations demandées au Secrétariat du Fonds à la 100</w:t>
      </w:r>
      <w:r>
        <w:rPr>
          <w:sz w:val="20"/>
          <w:szCs w:val="20"/>
          <w:vertAlign w:val="superscript"/>
          <w:lang w:val="fr-FR"/>
        </w:rPr>
        <w:t>e</w:t>
      </w:r>
      <w:r>
        <w:rPr>
          <w:sz w:val="20"/>
          <w:szCs w:val="20"/>
          <w:lang w:val="fr-FR"/>
        </w:rPr>
        <w:t> réunion en vertu de la décision 98/61 (décision 98/59).</w:t>
      </w:r>
    </w:p>
    <w:p w14:paraId="0F68DB75" w14:textId="14255E27" w:rsidR="0047057B" w:rsidRPr="006B0C18" w:rsidRDefault="0047057B" w:rsidP="00B91E0F">
      <w:pPr>
        <w:keepNext/>
        <w:spacing w:after="240"/>
        <w:ind w:left="1248" w:hanging="624"/>
        <w:outlineLvl w:val="1"/>
        <w:rPr>
          <w:b/>
          <w:sz w:val="20"/>
          <w:szCs w:val="20"/>
          <w:lang w:val="fr-FR"/>
        </w:rPr>
      </w:pPr>
      <w:r>
        <w:rPr>
          <w:b/>
          <w:sz w:val="20"/>
          <w:szCs w:val="20"/>
          <w:lang w:val="fr-FR"/>
        </w:rPr>
        <w:t>3.</w:t>
      </w:r>
      <w:r>
        <w:rPr>
          <w:b/>
          <w:sz w:val="20"/>
          <w:szCs w:val="20"/>
          <w:lang w:val="fr-FR"/>
        </w:rPr>
        <w:tab/>
        <w:t>Déduction du point de départ pour la consommation de HFC lorsque les plans de mise en œuvre de l’Amendement de Kigali relatif aux HFC incluent des engagements de réduction au-delà de l'objectif de 10 % prévu par l'amendement de Kigali</w:t>
      </w:r>
    </w:p>
    <w:p w14:paraId="44B7D745" w14:textId="14025F15" w:rsidR="0047057B" w:rsidRPr="006B0C18" w:rsidRDefault="00AA5B54" w:rsidP="0047057B">
      <w:pPr>
        <w:pStyle w:val="Heading3"/>
        <w:numPr>
          <w:ilvl w:val="2"/>
          <w:numId w:val="16"/>
        </w:numPr>
        <w:ind w:left="1276" w:firstLine="0"/>
        <w:rPr>
          <w:b/>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s’est penché sur la question de la déduction du point de départ pour la consommation de HFC lorsque les KIP incluaient des engagements de réduction au-delà de l'objectif de 10 % en vertu de l'amendement de Kigali. À la suite de discussions en séance plénière et au sein d'un groupe informel, le Comité exécutif a demandé au Secrétariat du Fonds de préparer, pour examen lors de la 99</w:t>
      </w:r>
      <w:r>
        <w:rPr>
          <w:sz w:val="20"/>
          <w:szCs w:val="20"/>
          <w:vertAlign w:val="superscript"/>
          <w:lang w:val="fr-FR"/>
        </w:rPr>
        <w:t>e</w:t>
      </w:r>
      <w:r>
        <w:rPr>
          <w:sz w:val="20"/>
          <w:szCs w:val="20"/>
          <w:lang w:val="fr-FR"/>
        </w:rPr>
        <w:t> réunion, un bref document sur l'application de déductions à partir du point de départ pour des réductions globales soutenues de la consommation de HFC dans les cas où un KIP comprenait un objectif de réduction de la consommation supérieur à 10 %, y compris les cas avec de fortes fluctuations de la consommation au cours des années de référence (décision 98/24).</w:t>
      </w:r>
    </w:p>
    <w:p w14:paraId="57BD10D6" w14:textId="5DE71748" w:rsidR="000E1097" w:rsidRPr="006B0C18" w:rsidRDefault="00C339F4" w:rsidP="008132B2">
      <w:pPr>
        <w:keepNext/>
        <w:spacing w:after="240"/>
        <w:ind w:left="1248" w:hanging="624"/>
        <w:outlineLvl w:val="1"/>
        <w:rPr>
          <w:b/>
          <w:sz w:val="20"/>
          <w:szCs w:val="20"/>
          <w:lang w:val="fr-FR"/>
        </w:rPr>
      </w:pPr>
      <w:r>
        <w:rPr>
          <w:b/>
          <w:sz w:val="20"/>
          <w:szCs w:val="20"/>
          <w:lang w:val="fr-FR"/>
        </w:rPr>
        <w:t>4.</w:t>
      </w:r>
      <w:r>
        <w:rPr>
          <w:b/>
          <w:sz w:val="20"/>
          <w:szCs w:val="20"/>
          <w:lang w:val="fr-FR"/>
        </w:rPr>
        <w:tab/>
        <w:t>Questions relatives aux projets soumis dans le cadre opérationnel relatif à l’efficacité énergétique (décisions 94/60 et 95/87)</w:t>
      </w:r>
    </w:p>
    <w:p w14:paraId="403812BE" w14:textId="2C544BF4" w:rsidR="000E1097" w:rsidRPr="006B0C18" w:rsidRDefault="00AA5B54" w:rsidP="0047057B">
      <w:pPr>
        <w:pStyle w:val="Heading3"/>
        <w:numPr>
          <w:ilvl w:val="2"/>
          <w:numId w:val="16"/>
        </w:numPr>
        <w:ind w:left="1276" w:firstLine="0"/>
        <w:rPr>
          <w:sz w:val="20"/>
          <w:szCs w:val="20"/>
          <w:lang w:val="fr-FR" w:eastAsia="en-GB"/>
        </w:rPr>
      </w:pPr>
      <w:r>
        <w:rPr>
          <w:bCs/>
          <w:sz w:val="20"/>
          <w:szCs w:val="20"/>
          <w:lang w:val="fr-FR"/>
        </w:rPr>
        <w:t>À ses 97</w:t>
      </w:r>
      <w:r>
        <w:rPr>
          <w:bCs/>
          <w:sz w:val="20"/>
          <w:szCs w:val="20"/>
          <w:vertAlign w:val="superscript"/>
          <w:lang w:val="fr-FR"/>
        </w:rPr>
        <w:t>e</w:t>
      </w:r>
      <w:r>
        <w:rPr>
          <w:bCs/>
          <w:sz w:val="20"/>
          <w:szCs w:val="20"/>
          <w:lang w:val="fr-FR"/>
        </w:rPr>
        <w:t xml:space="preserve"> et 98</w:t>
      </w:r>
      <w:r>
        <w:rPr>
          <w:bCs/>
          <w:sz w:val="20"/>
          <w:szCs w:val="20"/>
          <w:vertAlign w:val="superscript"/>
          <w:lang w:val="fr-FR"/>
        </w:rPr>
        <w:t>e</w:t>
      </w:r>
      <w:r>
        <w:rPr>
          <w:bCs/>
          <w:sz w:val="20"/>
          <w:szCs w:val="20"/>
          <w:lang w:val="fr-FR"/>
        </w:rPr>
        <w:t> réunions, le Comité exécutif a examiné un certain nombre de questions relatives aux projets soumis dans le cadre opérationnel sur l'efficacité énergétique.</w:t>
      </w:r>
      <w:r>
        <w:rPr>
          <w:rStyle w:val="FootnoteReference"/>
          <w:sz w:val="20"/>
          <w:szCs w:val="20"/>
          <w:lang w:val="fr-FR" w:eastAsia="fr"/>
        </w:rPr>
        <w:footnoteReference w:id="6"/>
      </w:r>
      <w:r>
        <w:rPr>
          <w:sz w:val="20"/>
          <w:szCs w:val="20"/>
          <w:lang w:val="fr-FR" w:eastAsia="fr"/>
        </w:rPr>
        <w:t xml:space="preserve"> Il a rappelé que, dans sa décision 94/60 b) ii), le Comité avait demandé au Secrétariat du Fonds de lui proposer périodiquement des mises à jour de la méthodologie convenue à la lumière de l’expérience acquise.</w:t>
      </w:r>
    </w:p>
    <w:p w14:paraId="4B6D180B" w14:textId="77777777" w:rsidR="000E1097" w:rsidRPr="006B0C18" w:rsidRDefault="000E1097" w:rsidP="000E1097">
      <w:pPr>
        <w:pStyle w:val="Heading2"/>
        <w:numPr>
          <w:ilvl w:val="0"/>
          <w:numId w:val="0"/>
        </w:numPr>
        <w:ind w:left="1248" w:hanging="624"/>
        <w:rPr>
          <w:b/>
          <w:bCs/>
          <w:sz w:val="20"/>
          <w:szCs w:val="20"/>
          <w:lang w:val="fr-FR"/>
        </w:rPr>
      </w:pPr>
      <w:r>
        <w:rPr>
          <w:b/>
          <w:bCs/>
          <w:sz w:val="20"/>
          <w:szCs w:val="20"/>
          <w:lang w:val="fr-FR"/>
        </w:rPr>
        <w:t>a)</w:t>
      </w:r>
      <w:r>
        <w:rPr>
          <w:b/>
          <w:bCs/>
          <w:sz w:val="20"/>
          <w:szCs w:val="20"/>
          <w:lang w:val="fr-FR"/>
        </w:rPr>
        <w:tab/>
        <w:t>Proportion des équipements fabriqués par une entreprise admissible à des mesures incitatives supplémentaires relatives aux composants</w:t>
      </w:r>
    </w:p>
    <w:p w14:paraId="3476C412" w14:textId="48792797" w:rsidR="000E1097" w:rsidRPr="006B0C18" w:rsidRDefault="006B0C18" w:rsidP="0047057B">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le Comité exécutif a décidé, pour les projets soumis dans le cadre opérationnel relatif à l’efficacité énergétique, d’approuver les conditions supplémentaires pour les entreprises dont moins de 50 % du volume de production remplit les conditions requises pour bénéficier de l’incitation relative aux composants supplémentaires, telles que spécifiées aux paragraphes 40 a) et b) du document UNEP/OzL.Pro/ExCom/97/26 (décision 97/32).</w:t>
      </w:r>
    </w:p>
    <w:p w14:paraId="4841D827" w14:textId="5906E93C" w:rsidR="00A376D6" w:rsidRPr="006B0C18" w:rsidRDefault="000E1097" w:rsidP="00A376D6">
      <w:pPr>
        <w:pStyle w:val="Heading2"/>
        <w:numPr>
          <w:ilvl w:val="0"/>
          <w:numId w:val="0"/>
        </w:numPr>
        <w:ind w:left="1248" w:hanging="528"/>
        <w:rPr>
          <w:b/>
          <w:bCs/>
          <w:sz w:val="20"/>
          <w:szCs w:val="20"/>
          <w:lang w:val="fr-FR"/>
        </w:rPr>
      </w:pPr>
      <w:r>
        <w:rPr>
          <w:b/>
          <w:bCs/>
          <w:sz w:val="20"/>
          <w:szCs w:val="20"/>
          <w:lang w:val="fr-FR"/>
        </w:rPr>
        <w:t xml:space="preserve">b) </w:t>
      </w:r>
      <w:r>
        <w:rPr>
          <w:b/>
          <w:bCs/>
          <w:sz w:val="20"/>
          <w:szCs w:val="20"/>
          <w:lang w:val="fr-FR"/>
        </w:rPr>
        <w:tab/>
        <w:t>Projets d'efficacité énergétique dans le cadre de la décision</w:t>
      </w:r>
      <w:bookmarkStart w:id="0" w:name="OLE_LINK1"/>
      <w:r>
        <w:rPr>
          <w:b/>
          <w:bCs/>
          <w:sz w:val="20"/>
          <w:szCs w:val="20"/>
          <w:lang w:val="fr-FR"/>
        </w:rPr>
        <w:t> 94/60</w:t>
      </w:r>
      <w:bookmarkEnd w:id="0"/>
      <w:r>
        <w:rPr>
          <w:b/>
          <w:bCs/>
          <w:sz w:val="20"/>
          <w:szCs w:val="20"/>
          <w:lang w:val="fr-FR"/>
        </w:rPr>
        <w:t xml:space="preserve"> pour les entreprises dont les projets de reconversion ont été soumis avant l'adoption de l'amendement de Kigali</w:t>
      </w:r>
    </w:p>
    <w:p w14:paraId="210E3759" w14:textId="08A03CA9" w:rsidR="00A376D6" w:rsidRPr="006B0C18" w:rsidRDefault="00AA5B54" w:rsidP="00A376D6">
      <w:pPr>
        <w:pStyle w:val="Heading3"/>
        <w:numPr>
          <w:ilvl w:val="2"/>
          <w:numId w:val="16"/>
        </w:numPr>
        <w:ind w:left="1276" w:firstLine="0"/>
        <w:rPr>
          <w:sz w:val="20"/>
          <w:szCs w:val="20"/>
          <w:lang w:val="fr-FR"/>
        </w:rPr>
      </w:pPr>
      <w:r>
        <w:rPr>
          <w:sz w:val="20"/>
          <w:szCs w:val="20"/>
          <w:lang w:val="fr-FR" w:eastAsia="fr"/>
        </w:rPr>
        <w:t>À sa 98</w:t>
      </w:r>
      <w:r>
        <w:rPr>
          <w:sz w:val="20"/>
          <w:szCs w:val="20"/>
          <w:vertAlign w:val="superscript"/>
          <w:lang w:val="fr-FR" w:eastAsia="fr"/>
        </w:rPr>
        <w:t>e</w:t>
      </w:r>
      <w:r>
        <w:rPr>
          <w:sz w:val="20"/>
          <w:szCs w:val="20"/>
          <w:lang w:val="fr-FR" w:eastAsia="fr"/>
        </w:rPr>
        <w:t> réunion, après avoir examiné la question des projets d’efficacité énergétique au titre de la décision 94/60 pour les entreprises dont les projets de reconversion ont été soumis avant l’adoption de l’amendement de Kigali, le Comité exécutif a demandé au Secrétariat du Fonds de préparer un bref document pour la 99</w:t>
      </w:r>
      <w:r>
        <w:rPr>
          <w:sz w:val="20"/>
          <w:szCs w:val="20"/>
          <w:vertAlign w:val="superscript"/>
          <w:lang w:val="fr-FR" w:eastAsia="fr"/>
        </w:rPr>
        <w:t>e</w:t>
      </w:r>
      <w:r>
        <w:rPr>
          <w:sz w:val="20"/>
          <w:szCs w:val="20"/>
          <w:lang w:val="fr-FR" w:eastAsia="fr"/>
        </w:rPr>
        <w:t> réunion et d’y fournir des informations sur les lignes de production de réfrigération et de climatisation qui ont mené à terme leur reconversion dans le cadre des projets d’élimination progressive des HCFC ou de réduction progressive des HFC approuvés au titre du Fonds multilatéral (décision 98/23).</w:t>
      </w:r>
    </w:p>
    <w:p w14:paraId="325AA409" w14:textId="77777777" w:rsidR="000E1097" w:rsidRPr="006B0C18" w:rsidRDefault="000E1097" w:rsidP="000E1097">
      <w:pPr>
        <w:pStyle w:val="Heading2"/>
        <w:numPr>
          <w:ilvl w:val="0"/>
          <w:numId w:val="0"/>
        </w:numPr>
        <w:ind w:left="1248" w:hanging="624"/>
        <w:rPr>
          <w:b/>
          <w:bCs/>
          <w:sz w:val="20"/>
          <w:szCs w:val="20"/>
          <w:lang w:val="fr-FR"/>
        </w:rPr>
      </w:pPr>
      <w:r>
        <w:rPr>
          <w:b/>
          <w:bCs/>
          <w:sz w:val="20"/>
          <w:szCs w:val="20"/>
          <w:lang w:val="fr-FR"/>
        </w:rPr>
        <w:t>c)</w:t>
      </w:r>
      <w:r>
        <w:rPr>
          <w:b/>
          <w:bCs/>
          <w:sz w:val="20"/>
          <w:szCs w:val="20"/>
          <w:lang w:val="fr-FR"/>
        </w:rPr>
        <w:tab/>
        <w:t>Volumes de production dont il convient de tenir compte lors de l'évaluation des surcoûts des composants dans le cadre de projets relevant de la décision 94/60</w:t>
      </w:r>
    </w:p>
    <w:p w14:paraId="5A53C622" w14:textId="3F215EAD" w:rsidR="000E1097" w:rsidRPr="006B0C18" w:rsidRDefault="00AA5B54" w:rsidP="00A376D6">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le Comité exécutif a décidé de prendre note du fait que, pour les projets soumis dans le cadre opérationnel relatif à l’efficacité énergétique, le Secrétariat du Fonds utiliserait soit la dernière année, soit la moyenne des trois années précédant la soumission du projet pour déterminer les volumes de production (décision 97/33).</w:t>
      </w:r>
    </w:p>
    <w:p w14:paraId="38CADE16" w14:textId="3D39E7F5" w:rsidR="00A376D6" w:rsidRPr="006B0C18" w:rsidRDefault="002619A8" w:rsidP="00A376D6">
      <w:pPr>
        <w:pStyle w:val="Heading2"/>
        <w:numPr>
          <w:ilvl w:val="0"/>
          <w:numId w:val="0"/>
        </w:numPr>
        <w:ind w:left="1248" w:hanging="624"/>
        <w:rPr>
          <w:b/>
          <w:bCs/>
          <w:sz w:val="20"/>
          <w:szCs w:val="20"/>
          <w:lang w:val="fr-FR"/>
        </w:rPr>
      </w:pPr>
      <w:r>
        <w:rPr>
          <w:b/>
          <w:bCs/>
          <w:sz w:val="20"/>
          <w:szCs w:val="20"/>
          <w:lang w:val="fr-FR"/>
        </w:rPr>
        <w:t xml:space="preserve">d) </w:t>
      </w:r>
      <w:r>
        <w:rPr>
          <w:b/>
          <w:bCs/>
          <w:sz w:val="20"/>
          <w:szCs w:val="20"/>
          <w:lang w:val="fr-FR"/>
        </w:rPr>
        <w:tab/>
        <w:t xml:space="preserve">Prise en charge des coûts d'investissement supplémentaires pour les fabricants qui utilisent des </w:t>
      </w:r>
      <w:r>
        <w:rPr>
          <w:b/>
          <w:bCs/>
          <w:sz w:val="20"/>
          <w:szCs w:val="20"/>
          <w:lang w:val="fr-FR"/>
        </w:rPr>
        <w:lastRenderedPageBreak/>
        <w:t>panoplies complètes de pièces détachées.</w:t>
      </w:r>
    </w:p>
    <w:p w14:paraId="59B6B3C7" w14:textId="1E58B771" w:rsidR="00A376D6" w:rsidRPr="006B0C18" w:rsidRDefault="00AA5B54" w:rsidP="00A376D6">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à la suite d'une discussion, le Comité exécutif a convenu de reporter à une réunion ultérieure l'examen de l'octroi de coûts d'investissement supplémentaires aux fabricants qui utilisaient des panoplies complètes de pièces détachées dans les projets soumis dans le cadre opérationnel sur l'efficacité énergétique.</w:t>
      </w:r>
    </w:p>
    <w:p w14:paraId="60978240" w14:textId="07197B8E" w:rsidR="00CA1454" w:rsidRPr="006B0C18" w:rsidRDefault="00755FD4" w:rsidP="00CA1454">
      <w:pPr>
        <w:keepNext/>
        <w:spacing w:after="240"/>
        <w:ind w:firstLine="624"/>
        <w:outlineLvl w:val="1"/>
        <w:rPr>
          <w:b/>
          <w:sz w:val="20"/>
          <w:szCs w:val="20"/>
          <w:lang w:val="fr-FR"/>
        </w:rPr>
      </w:pPr>
      <w:r>
        <w:rPr>
          <w:b/>
          <w:sz w:val="20"/>
          <w:szCs w:val="20"/>
          <w:lang w:val="fr-FR"/>
        </w:rPr>
        <w:t>5.</w:t>
      </w:r>
      <w:r>
        <w:rPr>
          <w:b/>
          <w:sz w:val="20"/>
          <w:szCs w:val="20"/>
          <w:lang w:val="fr-FR"/>
        </w:rPr>
        <w:tab/>
        <w:t>Évaluation du guichet de financement pour l'efficacité énergétique établi par la décision 91/65</w:t>
      </w:r>
    </w:p>
    <w:p w14:paraId="40D2586F" w14:textId="4253C670" w:rsidR="00CA1454" w:rsidRPr="006B0C18" w:rsidRDefault="00CA1454" w:rsidP="00CA1454">
      <w:pPr>
        <w:pStyle w:val="Heading3"/>
        <w:numPr>
          <w:ilvl w:val="2"/>
          <w:numId w:val="16"/>
        </w:numPr>
        <w:ind w:left="1276" w:firstLine="0"/>
        <w:rPr>
          <w:lang w:val="fr-FR"/>
        </w:rPr>
      </w:pPr>
      <w:r>
        <w:rPr>
          <w:rFonts w:eastAsia="SimSun"/>
          <w:sz w:val="20"/>
          <w:szCs w:val="20"/>
          <w:lang w:val="fr-FR"/>
        </w:rPr>
        <w:t>Lors de la 98</w:t>
      </w:r>
      <w:r>
        <w:rPr>
          <w:rFonts w:eastAsia="SimSun"/>
          <w:sz w:val="20"/>
          <w:szCs w:val="20"/>
          <w:vertAlign w:val="superscript"/>
          <w:lang w:val="fr-FR"/>
        </w:rPr>
        <w:t>e</w:t>
      </w:r>
      <w:r>
        <w:rPr>
          <w:rFonts w:eastAsia="SimSun"/>
          <w:sz w:val="20"/>
          <w:szCs w:val="20"/>
          <w:lang w:val="fr-FR"/>
        </w:rPr>
        <w:t> réunion, un membre du Comité exécutif a déclaré que les pays visés à l’article 5 souhaitaient évaluer le mécanisme de financement de l’efficacité énergétique établi par la décision 91/65. À la suite de discussions en séance plénière et en marge de la réunion, le Comité exécutif a décidé de reporter l'examen de la question à une réunion ultérieure.</w:t>
      </w:r>
    </w:p>
    <w:p w14:paraId="04DBEF42" w14:textId="02AA8409" w:rsidR="000E1097" w:rsidRPr="006B0C18" w:rsidRDefault="00755FD4" w:rsidP="00292FAA">
      <w:pPr>
        <w:keepNext/>
        <w:spacing w:after="240"/>
        <w:ind w:left="1248" w:hanging="624"/>
        <w:outlineLvl w:val="1"/>
        <w:rPr>
          <w:b/>
          <w:bCs/>
          <w:sz w:val="20"/>
          <w:szCs w:val="20"/>
          <w:highlight w:val="cyan"/>
          <w:u w:val="single"/>
          <w:lang w:val="fr-FR"/>
        </w:rPr>
      </w:pPr>
      <w:r>
        <w:rPr>
          <w:b/>
          <w:sz w:val="20"/>
          <w:szCs w:val="20"/>
          <w:lang w:val="fr-FR"/>
        </w:rPr>
        <w:t>6.</w:t>
      </w:r>
      <w:r>
        <w:rPr>
          <w:b/>
          <w:sz w:val="20"/>
          <w:szCs w:val="20"/>
          <w:lang w:val="fr-FR"/>
        </w:rPr>
        <w:tab/>
        <w:t>Mise en service de centres d'excellence pour le refroidissement durable et de centres d'essais pour l'efficacité énergétique</w:t>
      </w:r>
    </w:p>
    <w:p w14:paraId="2B6A05B2" w14:textId="77777777" w:rsidR="00292FAA" w:rsidRPr="006B0C18" w:rsidRDefault="00292FAA" w:rsidP="00292FAA">
      <w:pPr>
        <w:pStyle w:val="Heading2"/>
        <w:numPr>
          <w:ilvl w:val="0"/>
          <w:numId w:val="0"/>
        </w:numPr>
        <w:ind w:firstLine="624"/>
        <w:rPr>
          <w:b/>
          <w:bCs/>
          <w:sz w:val="20"/>
          <w:szCs w:val="20"/>
          <w:lang w:val="fr-FR"/>
        </w:rPr>
      </w:pPr>
      <w:r>
        <w:rPr>
          <w:b/>
          <w:bCs/>
          <w:sz w:val="20"/>
          <w:szCs w:val="20"/>
          <w:lang w:val="fr-FR"/>
        </w:rPr>
        <w:t>a)</w:t>
      </w:r>
      <w:r>
        <w:rPr>
          <w:b/>
          <w:bCs/>
          <w:sz w:val="20"/>
          <w:szCs w:val="20"/>
          <w:lang w:val="fr-FR"/>
        </w:rPr>
        <w:tab/>
        <w:t>Opérationnalisation de centres d'excellence pour le refroidissement durable</w:t>
      </w:r>
    </w:p>
    <w:p w14:paraId="50026278" w14:textId="3B37641A" w:rsidR="00950138" w:rsidRPr="006B0C18" w:rsidRDefault="00292FAA" w:rsidP="00950138">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conformément à la décision 95/87 e), le Comité exécutif a examiné un document préparé par le Secrétariat du Fonds sur l’opérationnalisation des centres d’excellence pour le refroidissement durable.</w:t>
      </w:r>
      <w:r>
        <w:rPr>
          <w:sz w:val="20"/>
          <w:szCs w:val="20"/>
          <w:vertAlign w:val="superscript"/>
          <w:lang w:val="fr-FR" w:eastAsia="fr"/>
        </w:rPr>
        <w:footnoteReference w:id="7"/>
      </w:r>
      <w:r>
        <w:rPr>
          <w:sz w:val="20"/>
          <w:szCs w:val="20"/>
          <w:lang w:val="fr-FR" w:eastAsia="fr"/>
        </w:rPr>
        <w:t xml:space="preserve"> À la suite des discussions au sein du groupe de contact, le Comité exécutif a demandé au Secrétariat du Fonds et au Programme d’assistance à la conformité (PAC) du PNUE, par l’intermédiaire de ses réseaux d’unités nationales de l’ozone et du projet de jumelage pour l’efficacité énergétique, de faciliter des consultations régionales ou sous-régionales, y compris avec les agences bilatérales et d’exécution intéressées, afin de recueillir des informations sur : les centres d’excellence existants qui fournissaient des services dans le secteur de la réfrigération, de la climatisation et des pompes à chaleur, y compris les services spécifiques qu’ils offraient, leur mode de fonctionnement et de financement, s’ils généraient des revenus et, le cas échéant, comment, et leur potentiel à servir de centres thématiques régionaux ; et l’intérêt des différentes sous-régions à accueillir un centre thématique régional, y compris les thèmes d’intérêt particuliers de la sous-région et la possibilité pour les gouvernements concernés ou pouvant l’être de fournir un soutien de contrepartie pour le fonctionnement à long terme des centres.</w:t>
      </w:r>
    </w:p>
    <w:p w14:paraId="60DF9296" w14:textId="398C16C9" w:rsidR="00292FAA" w:rsidRPr="006B0C18" w:rsidRDefault="00292FAA" w:rsidP="00950138">
      <w:pPr>
        <w:pStyle w:val="Heading3"/>
        <w:numPr>
          <w:ilvl w:val="2"/>
          <w:numId w:val="16"/>
        </w:numPr>
        <w:ind w:left="1276" w:firstLine="0"/>
        <w:rPr>
          <w:sz w:val="20"/>
          <w:szCs w:val="20"/>
          <w:lang w:val="fr-FR" w:eastAsia="en-GB"/>
        </w:rPr>
      </w:pPr>
      <w:r>
        <w:rPr>
          <w:sz w:val="20"/>
          <w:szCs w:val="20"/>
          <w:lang w:val="fr-FR" w:eastAsia="fr"/>
        </w:rPr>
        <w:t>Le Comité a demandé au Secrétariat du Fonds de préparer, pour la 99</w:t>
      </w:r>
      <w:r>
        <w:rPr>
          <w:sz w:val="20"/>
          <w:szCs w:val="20"/>
          <w:vertAlign w:val="superscript"/>
          <w:lang w:val="fr-FR" w:eastAsia="fr"/>
        </w:rPr>
        <w:t>e</w:t>
      </w:r>
      <w:r>
        <w:rPr>
          <w:sz w:val="20"/>
          <w:szCs w:val="20"/>
          <w:lang w:val="fr-FR" w:eastAsia="fr"/>
        </w:rPr>
        <w:t> réunion, en tenant compte des discussions de la 97</w:t>
      </w:r>
      <w:r>
        <w:rPr>
          <w:sz w:val="20"/>
          <w:szCs w:val="20"/>
          <w:vertAlign w:val="superscript"/>
          <w:lang w:val="fr-FR" w:eastAsia="fr"/>
        </w:rPr>
        <w:t>e</w:t>
      </w:r>
      <w:r>
        <w:rPr>
          <w:sz w:val="20"/>
          <w:szCs w:val="20"/>
          <w:lang w:val="fr-FR" w:eastAsia="fr"/>
        </w:rPr>
        <w:t> réunion, une mise à jour du document à l’étude, comprenant des informations spécifiques sur les centres régionaux pertinents existants et les pays intéressés à les accueillir ; tout résultat des consultations susmentionnées et les informations qui avaient été préparées par le Secrétariat de l’ozone conformément à la décision XXXVII/5 de la trente</w:t>
      </w:r>
      <w:r>
        <w:rPr>
          <w:sz w:val="20"/>
          <w:szCs w:val="20"/>
          <w:lang w:val="fr-FR" w:eastAsia="fr"/>
        </w:rPr>
        <w:noBreakHyphen/>
        <w:t>septième réunion des Parties sur les initiatives nationales et régionales visant à soutenir la mise en œuvre de l’Amendement de Kigali au Protocole de Montréal, si disponibles ; et les options pour obtenir un soutien à long terme après l’achèvement du projet (décision 97/87).</w:t>
      </w:r>
    </w:p>
    <w:p w14:paraId="7C0778A1" w14:textId="77777777" w:rsidR="00292FAA" w:rsidRPr="006B0C18" w:rsidRDefault="00292FAA" w:rsidP="00292FAA">
      <w:pPr>
        <w:pStyle w:val="Heading2"/>
        <w:numPr>
          <w:ilvl w:val="0"/>
          <w:numId w:val="0"/>
        </w:numPr>
        <w:ind w:left="1248" w:hanging="624"/>
        <w:rPr>
          <w:b/>
          <w:bCs/>
          <w:sz w:val="20"/>
          <w:szCs w:val="20"/>
          <w:lang w:val="fr-FR"/>
        </w:rPr>
      </w:pPr>
      <w:r>
        <w:rPr>
          <w:b/>
          <w:bCs/>
          <w:sz w:val="20"/>
          <w:szCs w:val="20"/>
          <w:lang w:val="fr-FR"/>
        </w:rPr>
        <w:t>b)</w:t>
      </w:r>
      <w:r>
        <w:rPr>
          <w:b/>
          <w:bCs/>
          <w:sz w:val="20"/>
          <w:szCs w:val="20"/>
          <w:lang w:val="fr-FR"/>
        </w:rPr>
        <w:tab/>
        <w:t>Mise en service des centres d'essais d'efficacité énergétique</w:t>
      </w:r>
    </w:p>
    <w:p w14:paraId="45ABA728" w14:textId="62C29193" w:rsidR="00292FAA" w:rsidRPr="006B0C18" w:rsidRDefault="006B0C18" w:rsidP="00950138">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là aussi en application de la décision 95/87 e), le Comité exécutif s'est penché sur un document portant sur la mise en œuvre des centres d’essais de l’efficacité énergétique.</w:t>
      </w:r>
      <w:r>
        <w:rPr>
          <w:sz w:val="20"/>
          <w:szCs w:val="20"/>
          <w:vertAlign w:val="superscript"/>
          <w:lang w:val="fr-FR" w:eastAsia="fr"/>
        </w:rPr>
        <w:footnoteReference w:id="8"/>
      </w:r>
      <w:r>
        <w:rPr>
          <w:sz w:val="20"/>
          <w:szCs w:val="20"/>
          <w:lang w:val="fr-FR" w:eastAsia="fr"/>
        </w:rPr>
        <w:t xml:space="preserve"> Suite à l’examen de la question par le groupe de contact chargé d’examiner la mise en œuvre des centres d’excellence pour le refroidissement durable, le Comité exécutif a décidé d’envisager d’accorder un financement visant à renforcer ou à moderniser les centres d’essais d’efficacité énergétique existants dans les pays manufacturiers, dans le cadre des propositions faites ou soumises en vertu de la décision 94/60, en tenant compte des informations fournies dans le document susmentionné sur la mise en œuvre des centres d’essais d’efficacité énergétique. Il a demandé au Secrétariat du Fonds de préparer, pour la 98</w:t>
      </w:r>
      <w:r>
        <w:rPr>
          <w:sz w:val="20"/>
          <w:szCs w:val="20"/>
          <w:vertAlign w:val="superscript"/>
          <w:lang w:val="fr-FR" w:eastAsia="fr"/>
        </w:rPr>
        <w:t>e</w:t>
      </w:r>
      <w:r>
        <w:rPr>
          <w:sz w:val="20"/>
          <w:szCs w:val="20"/>
          <w:lang w:val="fr-FR" w:eastAsia="fr"/>
        </w:rPr>
        <w:t xml:space="preserve"> réunion, un document fournissant des informations supplémentaires sur le but, l’objectif et la durabilité des nouveaux centres d’essais d’efficacité énergétique dans les pays non </w:t>
      </w:r>
      <w:r>
        <w:rPr>
          <w:sz w:val="20"/>
          <w:szCs w:val="20"/>
          <w:lang w:val="fr-FR" w:eastAsia="fr"/>
        </w:rPr>
        <w:lastRenderedPageBreak/>
        <w:t>manufacturiers, en identifiant éventuellement une ou plusieurs sous-régions dans lesquelles de tels centres seraient nécessaires pour aider les pays visés à l’article 5 à respecter les normes minimales de performance énergétique élaborées avec le soutien du Fonds multilatéral (décision 97/88).</w:t>
      </w:r>
    </w:p>
    <w:p w14:paraId="2B43DE93" w14:textId="7B7EEFFD" w:rsidR="00D96CD3" w:rsidRPr="006B0C18" w:rsidRDefault="00292FAA" w:rsidP="00950138">
      <w:pPr>
        <w:pStyle w:val="Heading3"/>
        <w:numPr>
          <w:ilvl w:val="2"/>
          <w:numId w:val="16"/>
        </w:numPr>
        <w:ind w:left="1276" w:firstLine="0"/>
        <w:rPr>
          <w:sz w:val="20"/>
          <w:szCs w:val="20"/>
          <w:lang w:val="fr-FR" w:eastAsia="en-GB"/>
        </w:rPr>
      </w:pPr>
      <w:r>
        <w:rPr>
          <w:sz w:val="20"/>
          <w:szCs w:val="20"/>
          <w:lang w:val="fr-FR" w:eastAsia="fr"/>
        </w:rPr>
        <w:t>À sa 98</w:t>
      </w:r>
      <w:r>
        <w:rPr>
          <w:sz w:val="20"/>
          <w:szCs w:val="20"/>
          <w:vertAlign w:val="superscript"/>
          <w:lang w:val="fr-FR" w:eastAsia="fr"/>
        </w:rPr>
        <w:t>e</w:t>
      </w:r>
      <w:r>
        <w:rPr>
          <w:sz w:val="20"/>
          <w:szCs w:val="20"/>
          <w:lang w:val="fr-FR" w:eastAsia="fr"/>
        </w:rPr>
        <w:t> réunion, le Comité exécutif a examiné les informations demandées concernant les nouveaux centres d'essais d'efficacité énergétique dans les pays non manufacturiers.</w:t>
      </w:r>
      <w:r>
        <w:rPr>
          <w:sz w:val="20"/>
          <w:szCs w:val="20"/>
          <w:vertAlign w:val="superscript"/>
          <w:lang w:val="fr-FR" w:eastAsia="fr"/>
        </w:rPr>
        <w:footnoteReference w:id="9"/>
      </w:r>
      <w:r>
        <w:rPr>
          <w:sz w:val="20"/>
          <w:szCs w:val="20"/>
          <w:lang w:val="fr-FR" w:eastAsia="fr"/>
        </w:rPr>
        <w:t xml:space="preserve"> Il a prié le Secrétariat du Fonds et le PAC du PNUE, par l’intermédiaire des réseaux d’unités nationales d’ozone et du projet de jumelage sur l’efficacité énergétique, y compris avec les agences bilatérales et d’exécution intéressées, de poursuivre les consultations sur les centres d’essais régionaux afin d’aider les pays visés à l’article 5 à respecter les normes minimales de performance énergétique élaborées avec le soutien du Fonds multilatéral, en tenant compte des informations contenues dans le document UNEP/OzL.Pro/ExCom/98/59, ainsi que des discussions tenues par le Comité exécutif à sa 98</w:t>
      </w:r>
      <w:r>
        <w:rPr>
          <w:sz w:val="20"/>
          <w:szCs w:val="20"/>
          <w:vertAlign w:val="superscript"/>
          <w:lang w:val="fr-FR" w:eastAsia="fr"/>
        </w:rPr>
        <w:t>e</w:t>
      </w:r>
      <w:r>
        <w:rPr>
          <w:sz w:val="20"/>
          <w:szCs w:val="20"/>
          <w:lang w:val="fr-FR" w:eastAsia="fr"/>
        </w:rPr>
        <w:t>˚ réunion. Le Secrétariat du Fonds a également été prié de préparer, en consultation avec les agences bilatérales et d’exécution, pour la 102</w:t>
      </w:r>
      <w:r>
        <w:rPr>
          <w:sz w:val="20"/>
          <w:szCs w:val="20"/>
          <w:vertAlign w:val="superscript"/>
          <w:lang w:val="fr-FR" w:eastAsia="fr"/>
        </w:rPr>
        <w:t>e</w:t>
      </w:r>
      <w:r>
        <w:rPr>
          <w:sz w:val="20"/>
          <w:szCs w:val="20"/>
          <w:lang w:val="fr-FR" w:eastAsia="fr"/>
        </w:rPr>
        <w:t> réunion, un rapport actualisé sur les centres régionaux d’essais d’efficacité énergétique, ainsi que des informations sur les approches pratiques pour surmonter les obstacles identifiés à ces centres, en tenant compte des conclusions des consultations susmentionnées et des discussions de la 98</w:t>
      </w:r>
      <w:r>
        <w:rPr>
          <w:sz w:val="20"/>
          <w:szCs w:val="20"/>
          <w:vertAlign w:val="superscript"/>
          <w:lang w:val="fr-FR" w:eastAsia="fr"/>
        </w:rPr>
        <w:t>e</w:t>
      </w:r>
      <w:r>
        <w:rPr>
          <w:sz w:val="20"/>
          <w:szCs w:val="20"/>
          <w:lang w:val="fr-FR" w:eastAsia="fr"/>
        </w:rPr>
        <w:t> réunion (décision 98/60).</w:t>
      </w:r>
    </w:p>
    <w:p w14:paraId="5BE13FEC" w14:textId="528016A4" w:rsidR="0036103C" w:rsidRPr="006B0C18" w:rsidRDefault="00C339F4" w:rsidP="0036103C">
      <w:pPr>
        <w:keepNext/>
        <w:spacing w:after="240" w:line="276" w:lineRule="auto"/>
        <w:ind w:left="1276" w:hanging="556"/>
        <w:rPr>
          <w:b/>
          <w:sz w:val="20"/>
          <w:szCs w:val="20"/>
          <w:lang w:val="fr-FR"/>
        </w:rPr>
      </w:pPr>
      <w:r>
        <w:rPr>
          <w:b/>
          <w:sz w:val="20"/>
          <w:szCs w:val="20"/>
          <w:lang w:val="fr-FR"/>
        </w:rPr>
        <w:t>7.</w:t>
      </w:r>
      <w:r>
        <w:rPr>
          <w:b/>
          <w:sz w:val="20"/>
          <w:szCs w:val="20"/>
          <w:lang w:val="fr-FR"/>
        </w:rPr>
        <w:tab/>
        <w:t>Question relative aux projets soumis dans le cadre du fonds de roulement pour l’efficacité énergétique (projets destinés aux utilisateurs finaux)  créé par la décision 95/87</w:t>
      </w:r>
    </w:p>
    <w:p w14:paraId="6BF4A694" w14:textId="5301CE6F" w:rsidR="0036103C" w:rsidRPr="006B0C18" w:rsidRDefault="0036103C" w:rsidP="008F1D8E">
      <w:pPr>
        <w:pStyle w:val="Heading3"/>
        <w:numPr>
          <w:ilvl w:val="2"/>
          <w:numId w:val="16"/>
        </w:numPr>
        <w:ind w:left="1276" w:firstLine="0"/>
        <w:rPr>
          <w:sz w:val="20"/>
          <w:szCs w:val="20"/>
          <w:lang w:val="fr-FR"/>
        </w:rPr>
      </w:pPr>
      <w:r>
        <w:rPr>
          <w:sz w:val="20"/>
          <w:szCs w:val="20"/>
          <w:lang w:val="fr-FR"/>
        </w:rPr>
        <w:t>À la 98</w:t>
      </w:r>
      <w:r>
        <w:rPr>
          <w:sz w:val="20"/>
          <w:szCs w:val="20"/>
          <w:vertAlign w:val="superscript"/>
          <w:lang w:val="fr-FR"/>
        </w:rPr>
        <w:t>e</w:t>
      </w:r>
      <w:r>
        <w:rPr>
          <w:sz w:val="20"/>
          <w:szCs w:val="20"/>
          <w:lang w:val="fr-FR"/>
        </w:rPr>
        <w:t> réunion, lors de l'examen des demandes de financement de projets présentés au titre du fonds de roulement pour l’efficacité énergétique destiné aux utilisateurs finaux, créé par la décision 95/87,</w:t>
      </w:r>
      <w:r>
        <w:rPr>
          <w:rStyle w:val="FootnoteReference"/>
          <w:sz w:val="20"/>
          <w:szCs w:val="20"/>
          <w:lang w:val="fr-FR"/>
        </w:rPr>
        <w:footnoteReference w:id="10"/>
      </w:r>
      <w:r>
        <w:rPr>
          <w:sz w:val="20"/>
          <w:szCs w:val="20"/>
          <w:lang w:val="fr-FR"/>
        </w:rPr>
        <w:t xml:space="preserve"> Le Comité exécutif a décidé que l’approche utilisée pour le financement associé aux coûts d’assistance technique et de soutien des agences dans le cadre de tels projets était exceptionnelle, notamment en ce qui concerne la question de savoir si les coûts d’assistance technique et de soutien des agences faisaient partie du financement restitué au Fonds multilatéral, et qu’elle ne constituerait pas un précédent pour les projets futurs. Le Comité a également demandé au Secrétariat de préparer, pour examen par le Comité exécutif à sa 99e réunion, un format de rapport d’exécution pour les projets approuvés (décision 98/54).</w:t>
      </w:r>
    </w:p>
    <w:p w14:paraId="50914856" w14:textId="36D3930C" w:rsidR="00292FAA" w:rsidRPr="006B0C18" w:rsidRDefault="0036103C" w:rsidP="00292FAA">
      <w:pPr>
        <w:spacing w:after="240"/>
        <w:ind w:left="1248" w:hanging="624"/>
        <w:outlineLvl w:val="0"/>
        <w:rPr>
          <w:b/>
          <w:sz w:val="20"/>
          <w:szCs w:val="20"/>
          <w:lang w:val="fr-FR"/>
        </w:rPr>
      </w:pPr>
      <w:r>
        <w:rPr>
          <w:b/>
          <w:sz w:val="20"/>
          <w:szCs w:val="20"/>
          <w:lang w:val="fr-FR"/>
        </w:rPr>
        <w:t>8.</w:t>
      </w:r>
      <w:r>
        <w:rPr>
          <w:b/>
          <w:sz w:val="20"/>
          <w:szCs w:val="20"/>
          <w:lang w:val="fr-FR"/>
        </w:rPr>
        <w:tab/>
        <w:t>Examen de la mise en place d'un guichet de financement conformément à la décision XXXV/11 de la trente-cinquième réunion des Parties sur la gestion du cycle de vie des frigorigènes</w:t>
      </w:r>
    </w:p>
    <w:p w14:paraId="7C499B16" w14:textId="4FC9BB04" w:rsidR="00292FAA" w:rsidRPr="006B0C18" w:rsidRDefault="00AA5B54" w:rsidP="008F1D8E">
      <w:pPr>
        <w:pStyle w:val="Heading3"/>
        <w:numPr>
          <w:ilvl w:val="2"/>
          <w:numId w:val="16"/>
        </w:numPr>
        <w:ind w:left="1276" w:firstLine="0"/>
        <w:rPr>
          <w:sz w:val="20"/>
          <w:szCs w:val="20"/>
          <w:lang w:val="fr-FR" w:eastAsia="en-GB"/>
        </w:rPr>
      </w:pPr>
      <w:r>
        <w:rPr>
          <w:sz w:val="20"/>
          <w:szCs w:val="20"/>
          <w:lang w:val="fr-FR" w:eastAsia="fr"/>
        </w:rPr>
        <w:t>À sa 97</w:t>
      </w:r>
      <w:r>
        <w:rPr>
          <w:sz w:val="20"/>
          <w:szCs w:val="20"/>
          <w:vertAlign w:val="superscript"/>
          <w:lang w:val="fr-FR" w:eastAsia="fr"/>
        </w:rPr>
        <w:t>e</w:t>
      </w:r>
      <w:r>
        <w:rPr>
          <w:sz w:val="20"/>
          <w:szCs w:val="20"/>
          <w:lang w:val="fr-FR" w:eastAsia="fr"/>
        </w:rPr>
        <w:t> réunion, le Comité exécutif s’est penché sur un rapport rendu conformément à la décision 93/104 sur la gestion du cycle de vie des frigorigènes en vue d’envisager la création d’une fenêtre de financement conformément à la décision XXXV/11.</w:t>
      </w:r>
      <w:r>
        <w:rPr>
          <w:sz w:val="20"/>
          <w:szCs w:val="20"/>
          <w:vertAlign w:val="superscript"/>
          <w:lang w:val="fr-FR"/>
        </w:rPr>
        <w:footnoteReference w:id="11"/>
      </w:r>
      <w:r>
        <w:rPr>
          <w:sz w:val="20"/>
          <w:szCs w:val="20"/>
          <w:lang w:val="fr-FR" w:eastAsia="fr"/>
        </w:rPr>
        <w:t xml:space="preserve"> À la suite de discussions au sein d'un groupe de contact, le Comité a décidé d'encourager les organismes bilatéraux et d'exécution à intensifier leurs efforts pour aider les pays visés à l'article 5 à mettre dès que possible la dernière main aux projets relatifs aux inventaires nationaux des stocks de substances contrôlées usagées ou non désirées et à un plan de collecte, de transport et d'élimination de ces substances, y compris la prise en compte du recyclage, de la récupération et de la destruction rentable, conformément à la décision 91/66, et à soumettre les rapports finaux ainsi qu'une copie des inventaires nationaux et des plans d'action nationaux qui en résultent. Le Secrétariat du Fonds a été prié de mettre à jour, pour la 99</w:t>
      </w:r>
      <w:r>
        <w:rPr>
          <w:sz w:val="20"/>
          <w:szCs w:val="20"/>
          <w:vertAlign w:val="superscript"/>
          <w:lang w:val="fr-FR" w:eastAsia="fr"/>
        </w:rPr>
        <w:t>e</w:t>
      </w:r>
      <w:r>
        <w:rPr>
          <w:sz w:val="20"/>
          <w:szCs w:val="20"/>
          <w:lang w:val="fr-FR" w:eastAsia="fr"/>
        </w:rPr>
        <w:t> réunion, les informations contenues dans le rapport à l’étude, à la lumière des projets d’inventaire achevés, des plans nationaux et d’autres informations pertinentes, notamment sur le mouvement des substances contrôlées destinées à la destruction ou à la récupération. Le Secrétariat du Fonds a également été prié de préparer, pour la 100</w:t>
      </w:r>
      <w:r>
        <w:rPr>
          <w:sz w:val="20"/>
          <w:szCs w:val="20"/>
          <w:vertAlign w:val="superscript"/>
          <w:lang w:val="fr-FR" w:eastAsia="fr"/>
        </w:rPr>
        <w:t>e</w:t>
      </w:r>
      <w:r>
        <w:rPr>
          <w:sz w:val="20"/>
          <w:szCs w:val="20"/>
          <w:lang w:val="fr-FR" w:eastAsia="fr"/>
        </w:rPr>
        <w:t> réunion, un document sur les modalités de financement, comprenant des éléments pour un projet de lignes directrices sur les coûts afin de mettre en œuvre les plans élaborés conformément à la décision 91/66, en vue que le Comité puisse envisager la création d’un guichet de financement conformément à la décision XXXV/11, en tenant compte des informations fournies dans le rapport actualisé et des observations formulées sur ce rapport par le Comité exécutif (décision 97/89).</w:t>
      </w:r>
    </w:p>
    <w:p w14:paraId="2ECF829F" w14:textId="1F8736C0" w:rsidR="00292FAA" w:rsidRPr="006B0C18" w:rsidRDefault="00AA5B54" w:rsidP="0096076D">
      <w:pPr>
        <w:pStyle w:val="Heading3"/>
        <w:numPr>
          <w:ilvl w:val="2"/>
          <w:numId w:val="16"/>
        </w:numPr>
        <w:ind w:left="1276" w:firstLine="0"/>
        <w:rPr>
          <w:sz w:val="20"/>
          <w:szCs w:val="20"/>
          <w:lang w:val="fr-FR" w:eastAsia="en-GB"/>
        </w:rPr>
      </w:pPr>
      <w:r>
        <w:rPr>
          <w:sz w:val="20"/>
          <w:szCs w:val="20"/>
          <w:lang w:val="fr-FR" w:eastAsia="fr"/>
        </w:rPr>
        <w:lastRenderedPageBreak/>
        <w:t>À sa 97</w:t>
      </w:r>
      <w:r>
        <w:rPr>
          <w:sz w:val="20"/>
          <w:szCs w:val="20"/>
          <w:vertAlign w:val="superscript"/>
          <w:lang w:val="fr-FR" w:eastAsia="fr"/>
        </w:rPr>
        <w:t>e</w:t>
      </w:r>
      <w:r>
        <w:rPr>
          <w:sz w:val="20"/>
          <w:szCs w:val="20"/>
          <w:lang w:val="fr-FR" w:eastAsia="fr"/>
        </w:rPr>
        <w:t> réunion, le Comité exécutif a également examiné l’opportunité de prolonger la période de financement, établie par la décision 91/66, pour l’établissement d’inventaires nationaux des banques de substances contrôlées usagées ou indésirables et d’un plan pour la collecte, le transport et l’élimination de ces substances.</w:t>
      </w:r>
      <w:r>
        <w:rPr>
          <w:sz w:val="20"/>
          <w:szCs w:val="20"/>
          <w:vertAlign w:val="superscript"/>
          <w:lang w:val="fr-FR" w:eastAsia="fr"/>
        </w:rPr>
        <w:footnoteReference w:id="12"/>
      </w:r>
      <w:r>
        <w:rPr>
          <w:sz w:val="20"/>
          <w:szCs w:val="20"/>
          <w:lang w:val="fr-FR" w:eastAsia="fr"/>
        </w:rPr>
        <w:t xml:space="preserve"> À la suite de discussions en séance plénière et de consultations informelles, le Comité exécutif a décidé de ne pas prolonger la période de financement (décision 97/31).</w:t>
      </w:r>
    </w:p>
    <w:p w14:paraId="3176E184" w14:textId="4DB13961" w:rsidR="00DF1A07" w:rsidRPr="006B0C18" w:rsidRDefault="00311533" w:rsidP="00DF1A07">
      <w:pPr>
        <w:spacing w:after="240"/>
        <w:ind w:left="1248" w:hanging="624"/>
        <w:outlineLvl w:val="0"/>
        <w:rPr>
          <w:b/>
          <w:sz w:val="20"/>
          <w:szCs w:val="20"/>
          <w:lang w:val="fr-FR"/>
        </w:rPr>
      </w:pPr>
      <w:r>
        <w:rPr>
          <w:b/>
          <w:sz w:val="20"/>
          <w:szCs w:val="20"/>
          <w:lang w:val="fr-FR"/>
        </w:rPr>
        <w:t>9.</w:t>
      </w:r>
      <w:r>
        <w:rPr>
          <w:b/>
          <w:sz w:val="20"/>
          <w:szCs w:val="20"/>
          <w:lang w:val="fr-FR"/>
        </w:rPr>
        <w:tab/>
        <w:t>Difficultés rencontrées lors de la mise en œuvre de projets de reconversion dans le secteur du froid, de la climatisation et des pompes à chaleur en raison de problèmes d'approvisionnement, et solutions possibles à ces difficultés</w:t>
      </w:r>
    </w:p>
    <w:p w14:paraId="0A611211" w14:textId="368796BA" w:rsidR="00E64332" w:rsidRPr="006B0C18" w:rsidRDefault="00DF1A07" w:rsidP="00B90A56">
      <w:pPr>
        <w:pStyle w:val="Heading3"/>
        <w:numPr>
          <w:ilvl w:val="2"/>
          <w:numId w:val="16"/>
        </w:numPr>
        <w:ind w:left="1276" w:firstLine="0"/>
        <w:rPr>
          <w:sz w:val="20"/>
          <w:szCs w:val="20"/>
          <w:lang w:val="fr-FR" w:eastAsia="en-GB"/>
        </w:rPr>
      </w:pPr>
      <w:r>
        <w:rPr>
          <w:sz w:val="20"/>
          <w:szCs w:val="20"/>
          <w:lang w:val="fr-FR" w:eastAsia="fr"/>
        </w:rPr>
        <w:t>Conformément à la décision 96/59, lors de sa 98</w:t>
      </w:r>
      <w:r>
        <w:rPr>
          <w:sz w:val="20"/>
          <w:szCs w:val="20"/>
          <w:vertAlign w:val="superscript"/>
          <w:lang w:val="fr-FR" w:eastAsia="fr"/>
        </w:rPr>
        <w:t>e</w:t>
      </w:r>
      <w:r>
        <w:rPr>
          <w:sz w:val="20"/>
          <w:szCs w:val="20"/>
          <w:lang w:val="fr-FR" w:eastAsia="fr"/>
        </w:rPr>
        <w:t> réunion, le Comité exécutif a examiné un document portant sur les difficultés rencontrées dans la mise en œuvre de projets de reconversion dans le secteur de la réfrigération, de la climatisation</w:t>
      </w:r>
      <w:r>
        <w:rPr>
          <w:sz w:val="20"/>
          <w:szCs w:val="20"/>
          <w:lang w:val="fr-FR"/>
        </w:rPr>
        <w:t xml:space="preserve"> et des pompes à chaleur en raison de problèmes liés à la chaîne d'approvisionnement et sur les moyens possibles de pallier ces difficultés.</w:t>
      </w:r>
      <w:r>
        <w:rPr>
          <w:rStyle w:val="FootnoteReference"/>
          <w:sz w:val="20"/>
          <w:szCs w:val="20"/>
          <w:lang w:val="fr-FR"/>
        </w:rPr>
        <w:footnoteReference w:id="13"/>
      </w:r>
      <w:r>
        <w:rPr>
          <w:sz w:val="20"/>
          <w:szCs w:val="20"/>
          <w:lang w:val="fr-FR"/>
        </w:rPr>
        <w:t xml:space="preserve"> Après discussion en plénière et, faute de temps au sein du groupe de contact auquel la question avait été renvoyée, le Comité exécutif a décidé de reporter l'examen de la question à sa 99</w:t>
      </w:r>
      <w:r>
        <w:rPr>
          <w:sz w:val="20"/>
          <w:szCs w:val="20"/>
          <w:vertAlign w:val="superscript"/>
          <w:lang w:val="fr-FR"/>
        </w:rPr>
        <w:t>e</w:t>
      </w:r>
      <w:r>
        <w:rPr>
          <w:sz w:val="20"/>
          <w:szCs w:val="20"/>
          <w:lang w:val="fr-FR"/>
        </w:rPr>
        <w:t> réunion.</w:t>
      </w:r>
    </w:p>
    <w:p w14:paraId="69D2C954" w14:textId="06F49C85" w:rsidR="00292FAA" w:rsidRPr="006B0C18" w:rsidRDefault="00311533" w:rsidP="00292FAA">
      <w:pPr>
        <w:spacing w:after="240"/>
        <w:ind w:left="1248" w:hanging="624"/>
        <w:outlineLvl w:val="0"/>
        <w:rPr>
          <w:b/>
          <w:sz w:val="20"/>
          <w:szCs w:val="20"/>
          <w:lang w:val="fr-FR"/>
        </w:rPr>
      </w:pPr>
      <w:r>
        <w:rPr>
          <w:b/>
          <w:sz w:val="20"/>
          <w:szCs w:val="20"/>
          <w:lang w:val="fr-FR"/>
        </w:rPr>
        <w:t>10.</w:t>
      </w:r>
      <w:r>
        <w:rPr>
          <w:b/>
          <w:sz w:val="20"/>
          <w:szCs w:val="20"/>
          <w:lang w:val="fr-FR"/>
        </w:rPr>
        <w:tab/>
        <w:t>Méthodologie utilisée pour calculer les impacts climatiques de la mise en œuvre des plans de mise en œuvre de l’Amendement de Kigali relatif aux HFC</w:t>
      </w:r>
    </w:p>
    <w:p w14:paraId="682FFAF5" w14:textId="0E604EAA" w:rsidR="00292FAA" w:rsidRPr="006B0C18" w:rsidRDefault="00292FAA" w:rsidP="00B90A5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examiné la méthodologie utilisée pour calculer les impacts climatiques de la mise en œuvre des KIP.</w:t>
      </w:r>
      <w:r>
        <w:rPr>
          <w:rStyle w:val="FootnoteReference"/>
          <w:sz w:val="20"/>
          <w:szCs w:val="20"/>
          <w:lang w:val="fr-FR"/>
        </w:rPr>
        <w:footnoteReference w:id="14"/>
      </w:r>
      <w:r>
        <w:rPr>
          <w:sz w:val="20"/>
          <w:szCs w:val="20"/>
          <w:lang w:val="fr-FR"/>
        </w:rPr>
        <w:t xml:space="preserve"> À la suite de discussions tenues en séance plénière et au sein d’un groupe de contact, le Comité exécutif est convenu de poursuivre, à sa 98</w:t>
      </w:r>
      <w:r>
        <w:rPr>
          <w:sz w:val="20"/>
          <w:szCs w:val="20"/>
          <w:vertAlign w:val="superscript"/>
          <w:lang w:val="fr-FR"/>
        </w:rPr>
        <w:t>e</w:t>
      </w:r>
      <w:r>
        <w:rPr>
          <w:sz w:val="20"/>
          <w:szCs w:val="20"/>
          <w:lang w:val="fr-FR"/>
        </w:rPr>
        <w:t> réunion, l’examen de la question de la méthodologie utilisée pour calculer l’impact climatique de la mise en œuvre des KIP, en utilisant les documents de travail annexés au rapport de la 97</w:t>
      </w:r>
      <w:r>
        <w:rPr>
          <w:sz w:val="20"/>
          <w:szCs w:val="20"/>
          <w:vertAlign w:val="superscript"/>
          <w:lang w:val="fr-FR"/>
        </w:rPr>
        <w:t>e</w:t>
      </w:r>
      <w:r>
        <w:rPr>
          <w:sz w:val="20"/>
          <w:szCs w:val="20"/>
          <w:lang w:val="fr-FR"/>
        </w:rPr>
        <w:t> réunion.</w:t>
      </w:r>
      <w:r>
        <w:rPr>
          <w:vertAlign w:val="superscript"/>
          <w:lang w:val="fr-FR"/>
        </w:rPr>
        <w:footnoteReference w:id="15"/>
      </w:r>
    </w:p>
    <w:p w14:paraId="1078B751" w14:textId="15689F9F" w:rsidR="00C339F4" w:rsidRPr="006B0C18" w:rsidRDefault="00292FAA" w:rsidP="00B90A56">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poursuivi l'examen de la question</w:t>
      </w:r>
      <w:r>
        <w:rPr>
          <w:vertAlign w:val="superscript"/>
          <w:lang w:val="fr-FR"/>
        </w:rPr>
        <w:footnoteReference w:id="16"/>
      </w:r>
      <w:r>
        <w:rPr>
          <w:sz w:val="20"/>
          <w:szCs w:val="20"/>
          <w:lang w:val="fr-FR"/>
        </w:rPr>
        <w:t xml:space="preserve"> et, après des discussions en plénière et au sein d'un groupe de contact, a décidé de poursuivre ses délibérations à la 99</w:t>
      </w:r>
      <w:r>
        <w:rPr>
          <w:sz w:val="20"/>
          <w:szCs w:val="20"/>
          <w:vertAlign w:val="superscript"/>
          <w:lang w:val="fr-FR"/>
        </w:rPr>
        <w:t>e</w:t>
      </w:r>
      <w:r>
        <w:rPr>
          <w:sz w:val="20"/>
          <w:szCs w:val="20"/>
          <w:lang w:val="fr-FR"/>
        </w:rPr>
        <w:t> réunion, sur la base du document de travail annexé au rapport de la 98</w:t>
      </w:r>
      <w:r>
        <w:rPr>
          <w:sz w:val="20"/>
          <w:szCs w:val="20"/>
          <w:vertAlign w:val="superscript"/>
          <w:lang w:val="fr-FR"/>
        </w:rPr>
        <w:t>e</w:t>
      </w:r>
      <w:r>
        <w:rPr>
          <w:sz w:val="20"/>
          <w:szCs w:val="20"/>
          <w:lang w:val="fr-FR"/>
        </w:rPr>
        <w:t> réunion</w:t>
      </w:r>
      <w:r>
        <w:rPr>
          <w:sz w:val="20"/>
          <w:szCs w:val="20"/>
          <w:vertAlign w:val="superscript"/>
          <w:lang w:val="fr-FR"/>
        </w:rPr>
        <w:footnoteReference w:id="17"/>
      </w:r>
      <w:r>
        <w:rPr>
          <w:sz w:val="20"/>
          <w:szCs w:val="20"/>
          <w:lang w:val="fr-FR"/>
        </w:rPr>
        <w:t xml:space="preserve"> (décision 98/21).</w:t>
      </w:r>
    </w:p>
    <w:p w14:paraId="021D56F7" w14:textId="2EBDB0E6" w:rsidR="00C339F4" w:rsidRPr="006B0C18" w:rsidRDefault="00C339F4" w:rsidP="009247A6">
      <w:pPr>
        <w:spacing w:after="240"/>
        <w:ind w:left="1248" w:hanging="624"/>
        <w:outlineLvl w:val="0"/>
        <w:rPr>
          <w:b/>
          <w:sz w:val="20"/>
          <w:szCs w:val="20"/>
          <w:lang w:val="fr-FR"/>
        </w:rPr>
      </w:pPr>
      <w:r>
        <w:rPr>
          <w:b/>
          <w:sz w:val="20"/>
          <w:szCs w:val="20"/>
          <w:lang w:val="fr-FR"/>
        </w:rPr>
        <w:t>11.</w:t>
      </w:r>
      <w:r>
        <w:rPr>
          <w:b/>
          <w:sz w:val="20"/>
          <w:szCs w:val="20"/>
          <w:lang w:val="fr-FR"/>
        </w:rPr>
        <w:tab/>
        <w:t>Financement suspendu en cas de non-remise du rapport de vérification avec les tranches du plan de mise en œuvre de l’Amendement de Kigali relatif aux HFC</w:t>
      </w:r>
    </w:p>
    <w:p w14:paraId="563B51DE" w14:textId="79A9EDCD" w:rsidR="00C339F4" w:rsidRPr="006B0C18" w:rsidRDefault="00C339F4" w:rsidP="00040235">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après avoir examiné la question du financement retenu en cas de non-présentation du rapport de vérification avec les tranches de KIP,</w:t>
      </w:r>
      <w:r>
        <w:rPr>
          <w:vertAlign w:val="superscript"/>
          <w:lang w:val="fr-FR"/>
        </w:rPr>
        <w:footnoteReference w:id="18"/>
      </w:r>
      <w:r>
        <w:rPr>
          <w:sz w:val="20"/>
          <w:szCs w:val="20"/>
          <w:lang w:val="fr-FR"/>
        </w:rPr>
        <w:t xml:space="preserve"> le Comité exécutif a décidé d’étendre l’application de la décision 72/19 relative à la non-soumission de rapports de vérification avec les demandes de tranches pour les PGEH aux demandes de tranches pour les KIP soumises à la première réunion de l’année (décision 98/22).</w:t>
      </w:r>
    </w:p>
    <w:p w14:paraId="517DAC29" w14:textId="27DC27F0" w:rsidR="001D4217" w:rsidRPr="006B0C18" w:rsidRDefault="001D4217" w:rsidP="002437C7">
      <w:pPr>
        <w:pStyle w:val="Heading1"/>
        <w:numPr>
          <w:ilvl w:val="0"/>
          <w:numId w:val="0"/>
        </w:numPr>
        <w:ind w:firstLine="624"/>
        <w:rPr>
          <w:b/>
          <w:bCs/>
          <w:sz w:val="24"/>
          <w:szCs w:val="24"/>
          <w:lang w:val="fr-FR"/>
        </w:rPr>
      </w:pPr>
      <w:r>
        <w:rPr>
          <w:b/>
          <w:bCs/>
          <w:sz w:val="24"/>
          <w:szCs w:val="24"/>
          <w:lang w:val="fr-FR"/>
        </w:rPr>
        <w:t>B.</w:t>
      </w:r>
      <w:r>
        <w:rPr>
          <w:b/>
          <w:bCs/>
          <w:sz w:val="24"/>
          <w:szCs w:val="24"/>
          <w:lang w:val="fr-FR"/>
        </w:rPr>
        <w:tab/>
        <w:t>Toutes autres questions d'orientation</w:t>
      </w:r>
    </w:p>
    <w:p w14:paraId="20D3294D" w14:textId="7D026706" w:rsidR="00755FD4" w:rsidRPr="006B0C18" w:rsidRDefault="004E1FE2" w:rsidP="00842030">
      <w:pPr>
        <w:keepNext/>
        <w:spacing w:after="240"/>
        <w:ind w:left="1248" w:hanging="624"/>
        <w:outlineLvl w:val="0"/>
        <w:rPr>
          <w:b/>
          <w:sz w:val="20"/>
          <w:szCs w:val="20"/>
          <w:lang w:val="fr-FR"/>
        </w:rPr>
      </w:pPr>
      <w:bookmarkStart w:id="1" w:name="_Hlk175912691"/>
      <w:r>
        <w:rPr>
          <w:b/>
          <w:sz w:val="20"/>
          <w:szCs w:val="20"/>
          <w:lang w:val="fr-FR"/>
        </w:rPr>
        <w:t>1.</w:t>
      </w:r>
      <w:r>
        <w:rPr>
          <w:b/>
          <w:sz w:val="20"/>
          <w:szCs w:val="20"/>
          <w:lang w:val="fr-FR"/>
        </w:rPr>
        <w:tab/>
        <w:t>Questions relatives aux projets pilotes visant à améliorer la surveillance atmosphérique des substances contrôlées par le Protocole de Montréal à l'échelle régionale</w:t>
      </w:r>
    </w:p>
    <w:p w14:paraId="4AC19401" w14:textId="691B5A86" w:rsidR="004E1FE2" w:rsidRPr="006B0C18" w:rsidRDefault="00B424D3" w:rsidP="00B90A56">
      <w:pPr>
        <w:pStyle w:val="Heading3"/>
        <w:numPr>
          <w:ilvl w:val="2"/>
          <w:numId w:val="16"/>
        </w:numPr>
        <w:ind w:left="1276" w:firstLine="0"/>
        <w:rPr>
          <w:sz w:val="20"/>
          <w:szCs w:val="20"/>
          <w:lang w:val="fr-FR" w:eastAsia="en-GB"/>
        </w:rPr>
      </w:pPr>
      <w:r>
        <w:rPr>
          <w:sz w:val="20"/>
          <w:szCs w:val="20"/>
          <w:lang w:val="fr-FR" w:eastAsia="fr"/>
        </w:rPr>
        <w:t>Conformément à la décision 96/56, à sa 98</w:t>
      </w:r>
      <w:r>
        <w:rPr>
          <w:sz w:val="20"/>
          <w:szCs w:val="20"/>
          <w:vertAlign w:val="superscript"/>
          <w:lang w:val="fr-FR" w:eastAsia="fr"/>
        </w:rPr>
        <w:t>e</w:t>
      </w:r>
      <w:r>
        <w:rPr>
          <w:sz w:val="20"/>
          <w:szCs w:val="20"/>
          <w:lang w:val="fr-FR" w:eastAsia="fr"/>
        </w:rPr>
        <w:t> réunion, le Comité exécutif a examiné un document portant sur des questions relatives aux projets pilotes visant à renforcer la surveillance atmosphérique des substances contrôlées par le Protocole de Montréal à l’échelle régionale.</w:t>
      </w:r>
      <w:r>
        <w:rPr>
          <w:rStyle w:val="FootnoteReference"/>
          <w:sz w:val="20"/>
          <w:szCs w:val="20"/>
          <w:lang w:val="fr-FR" w:eastAsia="fr"/>
        </w:rPr>
        <w:footnoteReference w:id="19"/>
      </w:r>
    </w:p>
    <w:p w14:paraId="54852134" w14:textId="7BAC0B98" w:rsidR="005C7D9B" w:rsidRPr="006B0C18" w:rsidRDefault="004E1FE2" w:rsidP="00B90A56">
      <w:pPr>
        <w:pStyle w:val="Heading3"/>
        <w:numPr>
          <w:ilvl w:val="2"/>
          <w:numId w:val="16"/>
        </w:numPr>
        <w:ind w:left="1276" w:firstLine="0"/>
        <w:rPr>
          <w:sz w:val="20"/>
          <w:szCs w:val="20"/>
          <w:lang w:val="fr-FR" w:eastAsia="en-GB"/>
        </w:rPr>
      </w:pPr>
      <w:r>
        <w:rPr>
          <w:sz w:val="20"/>
          <w:szCs w:val="20"/>
          <w:lang w:val="fr-FR" w:eastAsia="fr"/>
        </w:rPr>
        <w:lastRenderedPageBreak/>
        <w:t>À la suite de discussions tenues en plénière et au sein d'un groupe de contact, le Comité exécutif a approuvé des lignes directrices pour la préparation de projets pilotes visant à renforcer la surveillance atmosphérique régionale des substances contrôlées par le Protocole de Montréal ; des lignes directrices pour la mise en œuvre de ces projets pilotes ; et un modèle d'accord entre le Comité exécutif et le pays visé à l'article 5 concerné pour les projets pilotes visant à établir et à exploiter une station régionale de surveillance atmosphérique.</w:t>
      </w:r>
      <w:r>
        <w:rPr>
          <w:sz w:val="20"/>
          <w:szCs w:val="20"/>
          <w:vertAlign w:val="superscript"/>
          <w:lang w:val="fr-FR" w:eastAsia="fr"/>
        </w:rPr>
        <w:footnoteReference w:id="20"/>
      </w:r>
      <w:r>
        <w:rPr>
          <w:sz w:val="20"/>
          <w:szCs w:val="20"/>
          <w:lang w:val="fr-FR" w:eastAsia="fr"/>
        </w:rPr>
        <w:t xml:space="preserve"> Le Comité a ouvert un guichet de financement de 9 250 000 $US pour trois projets pilotes visant à améliorer la surveillance atmosphérique régionale des substances contrôlées par le Protocole de Montréal, y compris les activités de préparation, de mise en œuvre et de renforcement des capacités.</w:t>
      </w:r>
      <w:r>
        <w:rPr>
          <w:rStyle w:val="FootnoteReference"/>
          <w:sz w:val="20"/>
          <w:szCs w:val="20"/>
          <w:lang w:val="fr-FR" w:eastAsia="fr"/>
        </w:rPr>
        <w:footnoteReference w:id="21"/>
      </w:r>
      <w:r>
        <w:rPr>
          <w:sz w:val="20"/>
          <w:szCs w:val="20"/>
          <w:lang w:val="fr-FR" w:eastAsia="fr"/>
        </w:rPr>
        <w:t xml:space="preserve"> Il a demandé que les propositions de préparation de projets faites dans le cadre de ce guichet de financement soient soumises à la 102</w:t>
      </w:r>
      <w:r>
        <w:rPr>
          <w:sz w:val="20"/>
          <w:szCs w:val="20"/>
          <w:vertAlign w:val="superscript"/>
          <w:lang w:val="fr-FR" w:eastAsia="fr"/>
        </w:rPr>
        <w:t>e</w:t>
      </w:r>
      <w:r>
        <w:rPr>
          <w:sz w:val="20"/>
          <w:szCs w:val="20"/>
          <w:lang w:val="fr-FR" w:eastAsia="fr"/>
        </w:rPr>
        <w:t> réunion et a demandé au Secrétariat du Fonds de solliciter, lors de son examen des soumissions, l’avis scientifique du Comité consultatif du Fonds fiduciaire général pour le financement des activités de recherche et d’observations systématiques relatives à la Convention de Vienne pour la protection de la couche d’ozone. Le Comité exécutif a en outre décidé d'ajouter au guichet de financement susmentionné un montant de 1 800 000 $US pour la poursuite des activités de trois stations de surveillance atmosphérique qui seront établies avec le soutien du Fonds fiduciaire général, étant entendu que les propositions de projets visant à accéder à ce financement seront soumises au Comité exécutif.</w:t>
      </w:r>
    </w:p>
    <w:p w14:paraId="7E6D63C7" w14:textId="6FFBF3AA" w:rsidR="00755FD4" w:rsidRPr="006B0C18" w:rsidRDefault="005C7D9B" w:rsidP="00AE0731">
      <w:pPr>
        <w:pStyle w:val="Heading3"/>
        <w:numPr>
          <w:ilvl w:val="2"/>
          <w:numId w:val="16"/>
        </w:numPr>
        <w:ind w:left="1276" w:firstLine="0"/>
        <w:rPr>
          <w:sz w:val="20"/>
          <w:szCs w:val="20"/>
          <w:lang w:val="fr-FR" w:eastAsia="en-GB"/>
        </w:rPr>
      </w:pPr>
      <w:r>
        <w:rPr>
          <w:sz w:val="20"/>
          <w:szCs w:val="20"/>
          <w:lang w:val="fr-FR" w:eastAsia="fr"/>
        </w:rPr>
        <w:t>Le Comité exécutif a encouragé les pays visés à l’article 5 à faire appel à l’expertise de l’Organisation météorologique mondiale (OMM) en la choisissant comme agence principale ou coopérante pour la mise en œuvre de projets pilotes visant à renforcer la surveillance atmosphérique régionale des substances contrôlées par le Protocole de Montréal. Le Secrétariat du Fonds a été prié d’élaborer, en collaboration avec l’OMM, pour examen et approbation par le Comité à sa 99</w:t>
      </w:r>
      <w:r>
        <w:rPr>
          <w:sz w:val="20"/>
          <w:szCs w:val="20"/>
          <w:vertAlign w:val="superscript"/>
          <w:lang w:val="fr-FR" w:eastAsia="fr"/>
        </w:rPr>
        <w:t>e</w:t>
      </w:r>
      <w:r>
        <w:rPr>
          <w:sz w:val="20"/>
          <w:szCs w:val="20"/>
          <w:lang w:val="fr-FR" w:eastAsia="fr"/>
        </w:rPr>
        <w:t>  réunion, des projets d’accords d’agence avec le Comité exécutif et avec le Trésorier, conformément aux accords conclus entre le Comité et les agences d’exécution, et aux accords conclus entre les agences d’exécution et le Trésorier.</w:t>
      </w:r>
    </w:p>
    <w:p w14:paraId="4ED24C75" w14:textId="35F5CD3D" w:rsidR="00755FD4" w:rsidRPr="006B0C18" w:rsidRDefault="00755FD4" w:rsidP="00AE0731">
      <w:pPr>
        <w:pStyle w:val="Heading3"/>
        <w:numPr>
          <w:ilvl w:val="2"/>
          <w:numId w:val="16"/>
        </w:numPr>
        <w:ind w:left="1276" w:firstLine="0"/>
        <w:rPr>
          <w:sz w:val="20"/>
          <w:szCs w:val="20"/>
          <w:lang w:val="fr-FR" w:eastAsia="en-GB"/>
        </w:rPr>
      </w:pPr>
      <w:r>
        <w:rPr>
          <w:sz w:val="20"/>
          <w:szCs w:val="20"/>
          <w:lang w:val="fr-FR" w:eastAsia="fr"/>
        </w:rPr>
        <w:t>Le Comité a relevé que les organismes bilatéraux et d’exécution des projets pilotes visant à renforcer la surveillance atmosphérique des substances contrôlées par le Protocole de Montréal à l’échelle régionale solliciteraient l’avis du Comité consultatif sur la préparation et la mise en œuvre de ces projets pilotes et soumettraient des rapports sur leur mise en œuvre à la 107</w:t>
      </w:r>
      <w:r>
        <w:rPr>
          <w:sz w:val="20"/>
          <w:szCs w:val="20"/>
          <w:vertAlign w:val="superscript"/>
          <w:lang w:val="fr-FR" w:eastAsia="fr"/>
        </w:rPr>
        <w:t>e</w:t>
      </w:r>
      <w:r>
        <w:rPr>
          <w:sz w:val="20"/>
          <w:szCs w:val="20"/>
          <w:lang w:val="fr-FR" w:eastAsia="fr"/>
        </w:rPr>
        <w:t> réunion, et que le Secrétariat du Fonds communiquerait au Comité consultatif les informations pertinentes tirées de ces rapports. Le Comité exécutif a demandé au Secrétariat du Fonds de préparer, pour la 107</w:t>
      </w:r>
      <w:r>
        <w:rPr>
          <w:sz w:val="20"/>
          <w:szCs w:val="20"/>
          <w:vertAlign w:val="superscript"/>
          <w:lang w:val="fr-FR" w:eastAsia="fr"/>
        </w:rPr>
        <w:t>e</w:t>
      </w:r>
      <w:r>
        <w:rPr>
          <w:sz w:val="20"/>
          <w:szCs w:val="20"/>
          <w:lang w:val="fr-FR" w:eastAsia="fr"/>
        </w:rPr>
        <w:t> réunion, un document faisant état de l’état d’avancement de la mise en œuvre, des enseignements tirés et des recommandations, le cas échéant, concernant la mise en œuvre des propositions de préparation de projets, ainsi qu’un document présentant les options relatives à la durée et à la fourniture des coûts récurrents supplémentaires, en tenant compte des informations contenues dans les rapports susmentionnés sur la mise en œuvre des projets pilotes par les agences bilatérales et d’exécution, et d’autres informations pertinentes.</w:t>
      </w:r>
    </w:p>
    <w:p w14:paraId="33C82F5C" w14:textId="172E290F" w:rsidR="00755FD4" w:rsidRPr="006B0C18" w:rsidRDefault="00755FD4" w:rsidP="003208C3">
      <w:pPr>
        <w:pStyle w:val="Heading3"/>
        <w:numPr>
          <w:ilvl w:val="2"/>
          <w:numId w:val="16"/>
        </w:numPr>
        <w:ind w:left="1276" w:firstLine="0"/>
        <w:rPr>
          <w:sz w:val="20"/>
          <w:szCs w:val="20"/>
          <w:lang w:val="fr-FR" w:eastAsia="en-GB"/>
        </w:rPr>
      </w:pPr>
      <w:r>
        <w:rPr>
          <w:sz w:val="20"/>
          <w:szCs w:val="20"/>
          <w:lang w:val="fr-FR" w:eastAsia="fr"/>
        </w:rPr>
        <w:t>Les agences bilatérales et d’exécution ont été priées d’inclure dans leurs plans d’activités respectifs des demandes de financement, dans le cadre du guichet de financement de 9 250 000 $US, pour des projets pilotes visant à améliorer la surveillance atmosphérique régionale des substances contrôlées par le Protocole de Montréal, pour les pays visés à l’article 5 qui souhaitent entreprendre de tels projets (décision 98/62).</w:t>
      </w:r>
    </w:p>
    <w:p w14:paraId="37B4DC7E" w14:textId="432EF00A" w:rsidR="004E1FE2" w:rsidRPr="006B0C18" w:rsidRDefault="00FD4856" w:rsidP="00C252B7">
      <w:pPr>
        <w:keepNext/>
        <w:spacing w:after="240"/>
        <w:ind w:left="1248" w:hanging="624"/>
        <w:outlineLvl w:val="0"/>
        <w:rPr>
          <w:b/>
          <w:bCs/>
          <w:highlight w:val="yellow"/>
          <w:lang w:val="fr-FR"/>
        </w:rPr>
      </w:pPr>
      <w:r>
        <w:rPr>
          <w:b/>
          <w:sz w:val="20"/>
          <w:szCs w:val="20"/>
          <w:lang w:val="fr-FR"/>
        </w:rPr>
        <w:t>2.</w:t>
      </w:r>
      <w:r>
        <w:rPr>
          <w:b/>
          <w:sz w:val="20"/>
          <w:szCs w:val="20"/>
          <w:lang w:val="fr-FR"/>
        </w:rPr>
        <w:tab/>
        <w:t>Solutions de remplacement dans la fabrication de mousses de polyuréthane, axées sur les petites et moyennes entreprises, en particulier pour les applications de mousse pulvérisée et de mousse isolante</w:t>
      </w:r>
    </w:p>
    <w:p w14:paraId="307B8F7D" w14:textId="52B42A50" w:rsidR="004E1FE2" w:rsidRPr="006B0C18" w:rsidRDefault="004E1FE2" w:rsidP="003208C3">
      <w:pPr>
        <w:pStyle w:val="Heading3"/>
        <w:numPr>
          <w:ilvl w:val="2"/>
          <w:numId w:val="16"/>
        </w:numPr>
        <w:ind w:left="1276" w:firstLine="0"/>
        <w:rPr>
          <w:sz w:val="20"/>
          <w:szCs w:val="20"/>
          <w:lang w:val="fr-FR" w:eastAsia="en-GB"/>
        </w:rPr>
      </w:pPr>
      <w:r>
        <w:rPr>
          <w:sz w:val="20"/>
          <w:szCs w:val="20"/>
          <w:lang w:val="fr-FR" w:eastAsia="fr"/>
        </w:rPr>
        <w:t>À sa 98</w:t>
      </w:r>
      <w:r>
        <w:rPr>
          <w:sz w:val="20"/>
          <w:szCs w:val="20"/>
          <w:vertAlign w:val="superscript"/>
          <w:lang w:val="fr-FR" w:eastAsia="fr"/>
        </w:rPr>
        <w:t>e</w:t>
      </w:r>
      <w:r>
        <w:rPr>
          <w:sz w:val="20"/>
          <w:szCs w:val="20"/>
          <w:lang w:val="fr-FR" w:eastAsia="fr"/>
        </w:rPr>
        <w:t> réunion, conformément à la décision 96/53 c), le Comité exécutif a examiné un rapport mis à jour sur la question des solutions de remplacement dans la fabrication de mousses de polyuréthane, axé sur les petites et moyennes entreprises, en particulier pour les applications de mousse pulvérisée et de mousse isolante.</w:t>
      </w:r>
      <w:r>
        <w:rPr>
          <w:sz w:val="20"/>
          <w:szCs w:val="20"/>
          <w:vertAlign w:val="superscript"/>
          <w:lang w:val="fr-FR" w:eastAsia="fr"/>
        </w:rPr>
        <w:footnoteReference w:id="22"/>
      </w:r>
      <w:r>
        <w:rPr>
          <w:sz w:val="20"/>
          <w:szCs w:val="20"/>
          <w:lang w:val="fr-FR" w:eastAsia="fr"/>
        </w:rPr>
        <w:t xml:space="preserve"> À la suite d’une discussion en plénière, le Comité exécutif </w:t>
      </w:r>
      <w:r>
        <w:rPr>
          <w:sz w:val="20"/>
          <w:szCs w:val="20"/>
          <w:lang w:val="fr-FR" w:eastAsia="fr"/>
        </w:rPr>
        <w:lastRenderedPageBreak/>
        <w:t>a demandé au Secrétariat du Fonds de mettre à jour son rapport pour examen à la 100</w:t>
      </w:r>
      <w:r>
        <w:rPr>
          <w:sz w:val="20"/>
          <w:szCs w:val="20"/>
          <w:vertAlign w:val="superscript"/>
          <w:lang w:val="fr-FR" w:eastAsia="fr"/>
        </w:rPr>
        <w:t>e</w:t>
      </w:r>
      <w:r>
        <w:rPr>
          <w:sz w:val="20"/>
          <w:szCs w:val="20"/>
          <w:lang w:val="fr-FR" w:eastAsia="fr"/>
        </w:rPr>
        <w:t> réunion (décision 98/58).</w:t>
      </w:r>
    </w:p>
    <w:p w14:paraId="4CEBAA30" w14:textId="2C86C044" w:rsidR="00C252B7" w:rsidRPr="006B0C18" w:rsidRDefault="00C252B7" w:rsidP="006B0C18">
      <w:pPr>
        <w:keepNext/>
        <w:spacing w:after="240"/>
        <w:ind w:left="1276" w:hanging="652"/>
        <w:outlineLvl w:val="0"/>
        <w:rPr>
          <w:highlight w:val="yellow"/>
          <w:u w:val="single"/>
          <w:lang w:val="fr-FR"/>
        </w:rPr>
      </w:pPr>
      <w:r>
        <w:rPr>
          <w:b/>
          <w:bCs/>
          <w:sz w:val="20"/>
          <w:szCs w:val="20"/>
          <w:lang w:val="fr-FR"/>
        </w:rPr>
        <w:t>3.</w:t>
      </w:r>
      <w:r>
        <w:rPr>
          <w:b/>
          <w:bCs/>
          <w:sz w:val="20"/>
          <w:szCs w:val="20"/>
          <w:lang w:val="fr-FR"/>
        </w:rPr>
        <w:tab/>
        <w:t>Mise en œuvre de la décision XXXV/13 relative à l'importation et à l'exportation d'équipements frigorifiques interdits</w:t>
      </w:r>
    </w:p>
    <w:p w14:paraId="76E86806" w14:textId="627B7337" w:rsidR="00C252B7" w:rsidRPr="006B0C18" w:rsidRDefault="006B0C18" w:rsidP="00C252B7">
      <w:pPr>
        <w:pStyle w:val="Heading3"/>
        <w:numPr>
          <w:ilvl w:val="2"/>
          <w:numId w:val="16"/>
        </w:numPr>
        <w:ind w:left="1276" w:firstLine="0"/>
        <w:rPr>
          <w:b/>
          <w:bCs/>
          <w:sz w:val="20"/>
          <w:szCs w:val="20"/>
          <w:lang w:val="fr-FR"/>
        </w:rPr>
      </w:pPr>
      <w:r>
        <w:rPr>
          <w:sz w:val="20"/>
          <w:szCs w:val="20"/>
          <w:lang w:val="fr-FR" w:eastAsia="fr"/>
        </w:rPr>
        <w:t>À sa 98</w:t>
      </w:r>
      <w:r>
        <w:rPr>
          <w:sz w:val="20"/>
          <w:szCs w:val="20"/>
          <w:vertAlign w:val="superscript"/>
          <w:lang w:val="fr-FR" w:eastAsia="fr"/>
        </w:rPr>
        <w:t>e</w:t>
      </w:r>
      <w:r>
        <w:rPr>
          <w:sz w:val="20"/>
          <w:szCs w:val="20"/>
          <w:lang w:val="fr-FR" w:eastAsia="fr"/>
        </w:rPr>
        <w:t> réunion, le Comité exécutif, prenant en compte la décision XXXV/13 relative à l’importation et à l’exportation d’équipements frigorifiques interdits, a rappelé aux organismes bilatéraux et d’exécution, ainsi qu’aux pays visés à l’article 5 qui s’inquiétaient d’un éventuel non-respect des règles dû à l’importation d’équipements frigorifiques interdits, qu’ils pouvaient inclure dans les nouvelles étapes des activités des KIP ou des PGEH des mesures visant à renforcer les capacités de prévention de telles importations. Il a également demandé au Secrétariat du Fonds de discuter avec les agences bilatérales et d’exécution de la manière dont ces activités avaient été mises en œuvre jusqu’à présent et des défis à relever, en tenant compte du potentiel de coordination régionale (décision 98/63).</w:t>
      </w:r>
    </w:p>
    <w:p w14:paraId="51812488" w14:textId="0DDD03A9" w:rsidR="00292FAA" w:rsidRPr="006B0C18" w:rsidRDefault="00C252B7" w:rsidP="00292FAA">
      <w:pPr>
        <w:keepNext/>
        <w:spacing w:before="240" w:after="240"/>
        <w:ind w:left="1248" w:hanging="624"/>
        <w:outlineLvl w:val="0"/>
        <w:rPr>
          <w:b/>
          <w:bCs/>
          <w:sz w:val="20"/>
          <w:szCs w:val="20"/>
          <w:lang w:val="fr-FR"/>
        </w:rPr>
      </w:pPr>
      <w:r>
        <w:rPr>
          <w:b/>
          <w:bCs/>
          <w:sz w:val="20"/>
          <w:szCs w:val="20"/>
          <w:lang w:val="fr-FR"/>
        </w:rPr>
        <w:t>4.</w:t>
      </w:r>
      <w:r>
        <w:rPr>
          <w:b/>
          <w:bCs/>
          <w:sz w:val="20"/>
          <w:szCs w:val="20"/>
          <w:lang w:val="fr-FR"/>
        </w:rPr>
        <w:tab/>
        <w:t>Examen de la possibilité d'intégrer les rapports par le biais des rapports d'achèvement de projet et des rapports finaux de projet détaillés</w:t>
      </w:r>
    </w:p>
    <w:p w14:paraId="6263455A" w14:textId="25625A40" w:rsidR="00292FAA" w:rsidRPr="006B0C18" w:rsidRDefault="00292FAA" w:rsidP="007A3A4C">
      <w:pPr>
        <w:pStyle w:val="Heading3"/>
        <w:numPr>
          <w:ilvl w:val="2"/>
          <w:numId w:val="16"/>
        </w:numPr>
        <w:ind w:left="1276" w:firstLine="0"/>
        <w:rPr>
          <w:sz w:val="20"/>
          <w:szCs w:val="20"/>
          <w:lang w:val="fr-FR"/>
        </w:rPr>
      </w:pPr>
      <w:r>
        <w:rPr>
          <w:sz w:val="20"/>
          <w:szCs w:val="20"/>
          <w:lang w:val="fr-FR" w:eastAsia="fr"/>
        </w:rPr>
        <w:t>Lors de la 97</w:t>
      </w:r>
      <w:r>
        <w:rPr>
          <w:sz w:val="20"/>
          <w:szCs w:val="20"/>
          <w:vertAlign w:val="superscript"/>
          <w:lang w:val="fr-FR" w:eastAsia="fr"/>
        </w:rPr>
        <w:t>e</w:t>
      </w:r>
      <w:r>
        <w:rPr>
          <w:sz w:val="20"/>
          <w:szCs w:val="20"/>
          <w:lang w:val="fr-FR" w:eastAsia="fr"/>
        </w:rPr>
        <w:t> réunion, conformément à la décision 95/91 e), le Comité exécutif a examiné la possibilité d’intégrer les rapports par le biais de rapports d’achèvement de projet et de rapports finaux de projet détaillés.</w:t>
      </w:r>
      <w:r>
        <w:rPr>
          <w:sz w:val="20"/>
          <w:szCs w:val="20"/>
          <w:vertAlign w:val="superscript"/>
          <w:lang w:val="fr-FR"/>
        </w:rPr>
        <w:footnoteReference w:id="23"/>
      </w:r>
      <w:r>
        <w:rPr>
          <w:sz w:val="20"/>
          <w:szCs w:val="20"/>
          <w:lang w:val="fr-FR"/>
        </w:rPr>
        <w:t xml:space="preserve"> Le Comité exécutif a décidé de maintenir la pratique actuelle de rendu de rapport final par les agences bilatérales et d’exécution pour différents types de projets, à l’exception des projets de démonstration ou pilotes individuels, comme indiqué au tableau 1 du document UNEP/OzL.Pro/ExCom/97/88 (Exigences de rapport final par type de projet). Pour les projets de démonstration ou pilotes, pour lesquels un rapport final détaillé était requis, il a demandé au Secrétariat du Fonds, lors de l’élaboration du format des rapports finaux, de l’aligner sur le format universel des rapports d’achèvement de projet, le cas échéant, en notant qu’une soumission séparée d’un rapport d’achèvement de projet ne serait plus requise pour ce type de projet (décision 97/90).</w:t>
      </w:r>
    </w:p>
    <w:p w14:paraId="156886A2" w14:textId="46ECA68A" w:rsidR="00292FAA" w:rsidRPr="006B0C18" w:rsidRDefault="00FD4856" w:rsidP="00292FAA">
      <w:pPr>
        <w:keepNext/>
        <w:spacing w:before="240" w:after="240"/>
        <w:ind w:left="1248" w:hanging="624"/>
        <w:outlineLvl w:val="0"/>
        <w:rPr>
          <w:b/>
          <w:bCs/>
          <w:sz w:val="20"/>
          <w:szCs w:val="20"/>
          <w:lang w:val="fr-FR"/>
        </w:rPr>
      </w:pPr>
      <w:r>
        <w:rPr>
          <w:b/>
          <w:bCs/>
          <w:sz w:val="20"/>
          <w:szCs w:val="20"/>
          <w:lang w:val="fr-FR"/>
        </w:rPr>
        <w:t>5.</w:t>
      </w:r>
      <w:r>
        <w:rPr>
          <w:b/>
          <w:bCs/>
          <w:sz w:val="20"/>
          <w:szCs w:val="20"/>
          <w:lang w:val="fr-FR"/>
        </w:rPr>
        <w:tab/>
        <w:t>Rapport d'étape à mi-parcours sur la mise en œuvre du cadre de résultats</w:t>
      </w:r>
    </w:p>
    <w:p w14:paraId="6601AEC5" w14:textId="618E7336" w:rsidR="00292FAA" w:rsidRPr="006B0C18" w:rsidRDefault="00292FAA" w:rsidP="007A3A4C">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examiné, conformément à la décision 93/97 c), un rapport d’étape à mi-parcours sur la mise en œuvre du cadre de résultats et en a pris note.</w:t>
      </w:r>
      <w:r>
        <w:rPr>
          <w:rStyle w:val="FootnoteReference"/>
          <w:sz w:val="20"/>
          <w:szCs w:val="20"/>
          <w:lang w:val="fr-FR"/>
        </w:rPr>
        <w:footnoteReference w:id="24"/>
      </w:r>
    </w:p>
    <w:p w14:paraId="699AA510" w14:textId="2F2E557F" w:rsidR="00292FAA" w:rsidRPr="006B0C18" w:rsidRDefault="00FD4856" w:rsidP="00292FAA">
      <w:pPr>
        <w:keepNext/>
        <w:spacing w:before="240" w:after="240"/>
        <w:ind w:firstLine="624"/>
        <w:outlineLvl w:val="0"/>
        <w:rPr>
          <w:b/>
          <w:bCs/>
          <w:sz w:val="20"/>
          <w:szCs w:val="20"/>
          <w:lang w:val="fr-FR"/>
        </w:rPr>
      </w:pPr>
      <w:r>
        <w:rPr>
          <w:b/>
          <w:sz w:val="20"/>
          <w:szCs w:val="20"/>
          <w:lang w:val="fr-FR"/>
        </w:rPr>
        <w:t>6.</w:t>
      </w:r>
      <w:r>
        <w:rPr>
          <w:b/>
          <w:sz w:val="20"/>
          <w:szCs w:val="20"/>
          <w:lang w:val="fr-FR"/>
        </w:rPr>
        <w:tab/>
        <w:t>Sous-groupe sur le secteur de la production</w:t>
      </w:r>
    </w:p>
    <w:p w14:paraId="689616AD" w14:textId="30E6BB61" w:rsidR="00292FAA" w:rsidRPr="006B0C18" w:rsidRDefault="00292FAA" w:rsidP="007A3A4C">
      <w:pPr>
        <w:pStyle w:val="Heading3"/>
        <w:numPr>
          <w:ilvl w:val="2"/>
          <w:numId w:val="16"/>
        </w:numPr>
        <w:ind w:left="1276" w:firstLine="0"/>
        <w:rPr>
          <w:sz w:val="20"/>
          <w:szCs w:val="20"/>
          <w:lang w:val="fr-FR"/>
        </w:rPr>
      </w:pPr>
      <w:r>
        <w:rPr>
          <w:sz w:val="20"/>
          <w:szCs w:val="20"/>
          <w:lang w:val="fr-FR"/>
        </w:rPr>
        <w:t>Le sous-groupe sur le secteur de la production s'est réuni en marge de la 97</w:t>
      </w:r>
      <w:r>
        <w:rPr>
          <w:sz w:val="20"/>
          <w:szCs w:val="20"/>
          <w:vertAlign w:val="superscript"/>
          <w:lang w:val="fr-FR"/>
        </w:rPr>
        <w:t>e</w:t>
      </w:r>
      <w:r>
        <w:rPr>
          <w:sz w:val="20"/>
          <w:szCs w:val="20"/>
          <w:lang w:val="fr-FR"/>
        </w:rPr>
        <w:t> réunion et a rendu un rapport.</w:t>
      </w:r>
      <w:r>
        <w:rPr>
          <w:sz w:val="20"/>
          <w:szCs w:val="20"/>
          <w:vertAlign w:val="superscript"/>
          <w:lang w:val="fr-FR"/>
        </w:rPr>
        <w:footnoteReference w:id="25"/>
      </w:r>
      <w:r>
        <w:rPr>
          <w:sz w:val="20"/>
          <w:szCs w:val="20"/>
          <w:lang w:val="fr-FR"/>
        </w:rPr>
        <w:t xml:space="preserve"> Le Comité exécutif a pris note du rapport de vérification 2024 du secteur de la production de HCFC en Chine examiné par le Sous-groupe sur le secteur de la production. Le Comité a demandé à la Banque mondiale d’inclure plusieurs éléments dans la vérification de la production de HCFC de 2025, et de vérifier, à titre exceptionnel, plusieurs chaînes de production nouvellement créées et de rendre rapport à ce sujet lors des prochaines réunions. Le Comité exécutif, par l’intermédiaire du Sous-groupe, a prévu de poursuivre l’examen de la question des HCFC dans les résidus de déchets à point d’ébullition élevé lors de la 98</w:t>
      </w:r>
      <w:r>
        <w:rPr>
          <w:sz w:val="20"/>
          <w:szCs w:val="20"/>
          <w:vertAlign w:val="superscript"/>
          <w:lang w:val="fr-FR"/>
        </w:rPr>
        <w:t>e</w:t>
      </w:r>
      <w:r>
        <w:rPr>
          <w:sz w:val="20"/>
          <w:szCs w:val="20"/>
          <w:lang w:val="fr-FR"/>
        </w:rPr>
        <w:t> réunion (décision 97/91).</w:t>
      </w:r>
    </w:p>
    <w:p w14:paraId="60F0E128" w14:textId="462EE379" w:rsidR="00292FAA" w:rsidRPr="006B0C18" w:rsidRDefault="007A3A4C" w:rsidP="007A3A4C">
      <w:pPr>
        <w:pStyle w:val="Heading3"/>
        <w:numPr>
          <w:ilvl w:val="2"/>
          <w:numId w:val="16"/>
        </w:numPr>
        <w:ind w:left="1276" w:firstLine="0"/>
        <w:rPr>
          <w:sz w:val="20"/>
          <w:szCs w:val="20"/>
          <w:lang w:val="fr-FR"/>
        </w:rPr>
      </w:pPr>
      <w:r>
        <w:rPr>
          <w:sz w:val="20"/>
          <w:szCs w:val="20"/>
          <w:lang w:val="fr-FR"/>
        </w:rPr>
        <w:t>En raison de contraintes de temps, il n'y a toutefois pas eu de réunion du Sous-groupe sur le secteur de la production lors de la 98</w:t>
      </w:r>
      <w:r>
        <w:rPr>
          <w:sz w:val="20"/>
          <w:szCs w:val="20"/>
          <w:vertAlign w:val="superscript"/>
          <w:lang w:val="fr-FR"/>
        </w:rPr>
        <w:t>e</w:t>
      </w:r>
      <w:r>
        <w:rPr>
          <w:sz w:val="20"/>
          <w:szCs w:val="20"/>
          <w:lang w:val="fr-FR"/>
        </w:rPr>
        <w:t> réunion.</w:t>
      </w:r>
    </w:p>
    <w:p w14:paraId="159125D5" w14:textId="13FAB478" w:rsidR="001D4217" w:rsidRPr="006B0C18" w:rsidRDefault="001D4217" w:rsidP="00292FAA">
      <w:pPr>
        <w:keepNext/>
        <w:spacing w:after="240"/>
        <w:ind w:firstLine="624"/>
        <w:jc w:val="left"/>
        <w:outlineLvl w:val="1"/>
        <w:rPr>
          <w:b/>
          <w:bCs/>
          <w:sz w:val="24"/>
          <w:szCs w:val="24"/>
          <w:lang w:val="fr-FR"/>
        </w:rPr>
      </w:pPr>
      <w:r>
        <w:rPr>
          <w:b/>
          <w:bCs/>
          <w:sz w:val="20"/>
          <w:szCs w:val="20"/>
          <w:lang w:val="fr-FR"/>
        </w:rPr>
        <w:t>C.</w:t>
      </w:r>
      <w:r>
        <w:rPr>
          <w:b/>
          <w:bCs/>
          <w:sz w:val="20"/>
          <w:szCs w:val="20"/>
          <w:lang w:val="fr-FR"/>
        </w:rPr>
        <w:tab/>
      </w:r>
      <w:r>
        <w:rPr>
          <w:b/>
          <w:bCs/>
          <w:sz w:val="24"/>
          <w:szCs w:val="24"/>
          <w:lang w:val="fr-FR"/>
        </w:rPr>
        <w:t>Projets, mise en œuvre et suivi</w:t>
      </w:r>
    </w:p>
    <w:bookmarkEnd w:id="1"/>
    <w:p w14:paraId="7C651000" w14:textId="77777777" w:rsidR="001D4217" w:rsidRPr="006B0C18" w:rsidRDefault="001D4217" w:rsidP="005C77DF">
      <w:pPr>
        <w:keepNext/>
        <w:spacing w:after="240"/>
        <w:ind w:firstLine="624"/>
        <w:outlineLvl w:val="1"/>
        <w:rPr>
          <w:b/>
          <w:sz w:val="20"/>
          <w:szCs w:val="20"/>
          <w:lang w:val="fr-FR"/>
        </w:rPr>
      </w:pPr>
      <w:r>
        <w:rPr>
          <w:b/>
          <w:sz w:val="20"/>
          <w:szCs w:val="20"/>
          <w:lang w:val="fr-FR"/>
        </w:rPr>
        <w:t>1.</w:t>
      </w:r>
      <w:r>
        <w:rPr>
          <w:b/>
          <w:sz w:val="20"/>
          <w:szCs w:val="20"/>
          <w:lang w:val="fr-FR"/>
        </w:rPr>
        <w:tab/>
        <w:t>Approbations accordées au cours de la période de référence</w:t>
      </w:r>
    </w:p>
    <w:p w14:paraId="27989FB1" w14:textId="694BD972" w:rsidR="00511DA2" w:rsidRPr="006B0C18" w:rsidRDefault="00511DA2" w:rsidP="006434C6">
      <w:pPr>
        <w:pStyle w:val="Heading3"/>
        <w:numPr>
          <w:ilvl w:val="2"/>
          <w:numId w:val="16"/>
        </w:numPr>
        <w:ind w:left="1276" w:firstLine="0"/>
        <w:rPr>
          <w:sz w:val="20"/>
          <w:szCs w:val="20"/>
          <w:lang w:val="fr-FR"/>
        </w:rPr>
      </w:pPr>
      <w:r>
        <w:rPr>
          <w:sz w:val="20"/>
          <w:szCs w:val="20"/>
          <w:lang w:val="fr-FR"/>
        </w:rPr>
        <w:t xml:space="preserve">Au cours de la période considérée, le Comité exécutif a approuvé un total de 370 projets et </w:t>
      </w:r>
      <w:r>
        <w:rPr>
          <w:sz w:val="20"/>
          <w:szCs w:val="20"/>
          <w:lang w:val="fr-FR"/>
        </w:rPr>
        <w:lastRenderedPageBreak/>
        <w:t>activités supplémentaires, avec une réduction progressive prévue de 1 108 tonnes PAO de production et de consommation de HCFC et de 7 519 tonnes métriques (14 763 570 tonnes d’équivalent-dioxyde de carbone) de consommation de HFC, pour un montant de 211 449 160 $US, dont 20 645 848 $US de coûts d'appui d'agence, comme indiqué dans le tableau 1 ci-dessous.</w:t>
      </w:r>
    </w:p>
    <w:p w14:paraId="2533009A" w14:textId="77777777" w:rsidR="00511DA2" w:rsidRPr="006B0C18" w:rsidRDefault="00511DA2" w:rsidP="00511DA2">
      <w:pPr>
        <w:keepNext/>
        <w:ind w:left="624" w:firstLine="624"/>
        <w:rPr>
          <w:sz w:val="20"/>
          <w:szCs w:val="20"/>
          <w:lang w:val="fr-FR"/>
        </w:rPr>
      </w:pPr>
      <w:r>
        <w:rPr>
          <w:sz w:val="20"/>
          <w:szCs w:val="20"/>
          <w:lang w:val="fr-FR"/>
        </w:rPr>
        <w:t>Tableau 1</w:t>
      </w:r>
    </w:p>
    <w:p w14:paraId="30AAC95F" w14:textId="77777777" w:rsidR="00511DA2" w:rsidRPr="006B0C18" w:rsidRDefault="00511DA2" w:rsidP="00511DA2">
      <w:pPr>
        <w:keepNext/>
        <w:ind w:left="624" w:firstLine="624"/>
        <w:rPr>
          <w:b/>
          <w:bCs/>
          <w:sz w:val="20"/>
          <w:szCs w:val="20"/>
          <w:lang w:val="fr-FR"/>
        </w:rPr>
      </w:pPr>
      <w:r>
        <w:rPr>
          <w:b/>
          <w:bCs/>
          <w:sz w:val="20"/>
          <w:szCs w:val="20"/>
          <w:lang w:val="fr-FR"/>
        </w:rPr>
        <w:t>Fonds approuvés agence par agence au cours de la période visée</w:t>
      </w:r>
    </w:p>
    <w:tbl>
      <w:tblPr>
        <w:tblW w:w="4169"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2321"/>
        <w:gridCol w:w="2306"/>
        <w:gridCol w:w="1547"/>
      </w:tblGrid>
      <w:tr w:rsidR="006B0C18" w:rsidRPr="006B0C18" w14:paraId="27B4AFA2" w14:textId="77777777" w:rsidTr="006B0C18">
        <w:trPr>
          <w:trHeight w:val="179"/>
        </w:trPr>
        <w:tc>
          <w:tcPr>
            <w:tcW w:w="1040" w:type="pct"/>
            <w:noWrap/>
            <w:hideMark/>
          </w:tcPr>
          <w:p w14:paraId="22FC088C" w14:textId="77777777" w:rsidR="00511DA2" w:rsidRPr="006B0C18" w:rsidRDefault="00511DA2" w:rsidP="001A6064">
            <w:pPr>
              <w:keepNext/>
              <w:jc w:val="center"/>
              <w:rPr>
                <w:rFonts w:asciiTheme="majorBidi" w:hAnsiTheme="majorBidi" w:cstheme="majorBidi"/>
                <w:b/>
                <w:bCs/>
                <w:color w:val="000000"/>
                <w:sz w:val="20"/>
                <w:szCs w:val="20"/>
                <w:lang w:val="fr-FR"/>
              </w:rPr>
            </w:pPr>
            <w:r>
              <w:rPr>
                <w:rFonts w:asciiTheme="majorBidi" w:hAnsiTheme="majorBidi" w:cstheme="majorBidi"/>
                <w:b/>
                <w:bCs/>
                <w:color w:val="000000"/>
                <w:sz w:val="20"/>
                <w:szCs w:val="20"/>
                <w:lang w:val="fr-FR"/>
              </w:rPr>
              <w:t>Agence</w:t>
            </w:r>
          </w:p>
        </w:tc>
        <w:tc>
          <w:tcPr>
            <w:tcW w:w="1489" w:type="pct"/>
            <w:noWrap/>
            <w:hideMark/>
          </w:tcPr>
          <w:p w14:paraId="39E09DD4" w14:textId="6D9D9D3A" w:rsidR="00511DA2" w:rsidRPr="006B0C18" w:rsidRDefault="00511DA2" w:rsidP="001A6064">
            <w:pPr>
              <w:keepNext/>
              <w:jc w:val="center"/>
              <w:rPr>
                <w:rFonts w:asciiTheme="majorBidi" w:hAnsiTheme="majorBidi" w:cstheme="majorBidi"/>
                <w:b/>
                <w:bCs/>
                <w:color w:val="000000"/>
                <w:sz w:val="20"/>
                <w:szCs w:val="20"/>
                <w:lang w:val="fr-FR"/>
              </w:rPr>
            </w:pPr>
            <w:r>
              <w:rPr>
                <w:rFonts w:asciiTheme="majorBidi" w:hAnsiTheme="majorBidi" w:cstheme="majorBidi"/>
                <w:b/>
                <w:bCs/>
                <w:color w:val="000000"/>
                <w:sz w:val="20"/>
                <w:szCs w:val="20"/>
                <w:lang w:val="fr-FR" w:eastAsia="fr"/>
              </w:rPr>
              <w:t xml:space="preserve">Financement approuvé </w:t>
            </w:r>
            <w:r>
              <w:rPr>
                <w:rFonts w:asciiTheme="majorBidi" w:hAnsiTheme="majorBidi" w:cstheme="majorBidi"/>
                <w:b/>
                <w:bCs/>
                <w:color w:val="000000"/>
                <w:sz w:val="20"/>
                <w:szCs w:val="20"/>
                <w:lang w:val="fr-FR" w:eastAsia="fr"/>
              </w:rPr>
              <w:br/>
              <w:t>($US)</w:t>
            </w:r>
          </w:p>
        </w:tc>
        <w:tc>
          <w:tcPr>
            <w:tcW w:w="1479" w:type="pct"/>
            <w:noWrap/>
            <w:hideMark/>
          </w:tcPr>
          <w:p w14:paraId="7913A5FA" w14:textId="270B8B21" w:rsidR="00511DA2" w:rsidRPr="006B0C18" w:rsidRDefault="00511DA2" w:rsidP="001A6064">
            <w:pPr>
              <w:keepNext/>
              <w:jc w:val="center"/>
              <w:rPr>
                <w:rFonts w:asciiTheme="majorBidi" w:hAnsiTheme="majorBidi" w:cstheme="majorBidi"/>
                <w:b/>
                <w:bCs/>
                <w:color w:val="000000"/>
                <w:sz w:val="20"/>
                <w:szCs w:val="20"/>
                <w:lang w:val="fr-FR"/>
              </w:rPr>
            </w:pPr>
            <w:r>
              <w:rPr>
                <w:rFonts w:asciiTheme="majorBidi" w:hAnsiTheme="majorBidi" w:cstheme="majorBidi"/>
                <w:b/>
                <w:bCs/>
                <w:color w:val="000000"/>
                <w:sz w:val="20"/>
                <w:szCs w:val="20"/>
                <w:lang w:val="fr-FR" w:eastAsia="fr"/>
              </w:rPr>
              <w:t xml:space="preserve">Coûts d’appui d'agences </w:t>
            </w:r>
            <w:r>
              <w:rPr>
                <w:rFonts w:asciiTheme="majorBidi" w:hAnsiTheme="majorBidi" w:cstheme="majorBidi"/>
                <w:b/>
                <w:bCs/>
                <w:color w:val="000000"/>
                <w:sz w:val="20"/>
                <w:szCs w:val="20"/>
                <w:lang w:val="fr-FR" w:eastAsia="fr"/>
              </w:rPr>
              <w:br/>
              <w:t>($US)</w:t>
            </w:r>
          </w:p>
        </w:tc>
        <w:tc>
          <w:tcPr>
            <w:tcW w:w="992" w:type="pct"/>
            <w:hideMark/>
          </w:tcPr>
          <w:p w14:paraId="01D37178" w14:textId="4BB24785" w:rsidR="00511DA2" w:rsidRPr="006B0C18" w:rsidRDefault="00511DA2" w:rsidP="001A6064">
            <w:pPr>
              <w:keepNext/>
              <w:jc w:val="center"/>
              <w:rPr>
                <w:rFonts w:asciiTheme="majorBidi" w:hAnsiTheme="majorBidi" w:cstheme="majorBidi"/>
                <w:b/>
                <w:bCs/>
                <w:color w:val="000000"/>
                <w:sz w:val="20"/>
                <w:szCs w:val="20"/>
                <w:lang w:val="fr-FR"/>
              </w:rPr>
            </w:pPr>
            <w:r>
              <w:rPr>
                <w:rFonts w:asciiTheme="majorBidi" w:hAnsiTheme="majorBidi" w:cstheme="majorBidi"/>
                <w:b/>
                <w:bCs/>
                <w:color w:val="000000"/>
                <w:sz w:val="20"/>
                <w:szCs w:val="20"/>
                <w:lang w:val="fr-FR" w:eastAsia="fr"/>
              </w:rPr>
              <w:t xml:space="preserve">Total </w:t>
            </w:r>
            <w:r>
              <w:rPr>
                <w:rFonts w:asciiTheme="majorBidi" w:hAnsiTheme="majorBidi" w:cstheme="majorBidi"/>
                <w:b/>
                <w:bCs/>
                <w:color w:val="000000"/>
                <w:sz w:val="20"/>
                <w:szCs w:val="20"/>
                <w:lang w:val="fr-FR" w:eastAsia="fr"/>
              </w:rPr>
              <w:br/>
              <w:t>($US)</w:t>
            </w:r>
          </w:p>
        </w:tc>
      </w:tr>
      <w:tr w:rsidR="006B0C18" w:rsidRPr="006B0C18" w14:paraId="423C1573" w14:textId="77777777" w:rsidTr="006B0C18">
        <w:trPr>
          <w:trHeight w:val="238"/>
        </w:trPr>
        <w:tc>
          <w:tcPr>
            <w:tcW w:w="1040" w:type="pct"/>
            <w:noWrap/>
            <w:hideMark/>
          </w:tcPr>
          <w:p w14:paraId="59C2A5AE" w14:textId="4033081A" w:rsidR="005A1F01" w:rsidRPr="006B0C18" w:rsidRDefault="005A1F01" w:rsidP="005A1F01">
            <w:pPr>
              <w:keepNext/>
              <w:jc w:val="left"/>
              <w:rPr>
                <w:rFonts w:asciiTheme="majorBidi" w:hAnsiTheme="majorBidi" w:cstheme="majorBidi"/>
                <w:color w:val="000000"/>
                <w:sz w:val="20"/>
                <w:szCs w:val="20"/>
                <w:lang w:val="fr-FR"/>
              </w:rPr>
            </w:pPr>
            <w:r>
              <w:rPr>
                <w:sz w:val="20"/>
                <w:szCs w:val="20"/>
                <w:lang w:val="fr-FR"/>
              </w:rPr>
              <w:t>Bilatérales</w:t>
            </w:r>
          </w:p>
        </w:tc>
        <w:tc>
          <w:tcPr>
            <w:tcW w:w="1489" w:type="pct"/>
            <w:noWrap/>
            <w:hideMark/>
          </w:tcPr>
          <w:p w14:paraId="1B5AEE29" w14:textId="7B9FB4BF" w:rsidR="005A1F01" w:rsidRPr="006B0C18" w:rsidRDefault="005A1F01" w:rsidP="005A1F01">
            <w:pPr>
              <w:keepNext/>
              <w:jc w:val="right"/>
              <w:rPr>
                <w:rFonts w:asciiTheme="majorBidi" w:hAnsiTheme="majorBidi" w:cstheme="majorBidi"/>
                <w:i/>
                <w:iCs/>
                <w:color w:val="000000"/>
                <w:sz w:val="20"/>
                <w:szCs w:val="20"/>
                <w:lang w:val="fr-FR"/>
              </w:rPr>
            </w:pPr>
            <w:r>
              <w:rPr>
                <w:sz w:val="20"/>
                <w:szCs w:val="20"/>
                <w:lang w:val="fr-FR"/>
              </w:rPr>
              <w:t>3 442 546</w:t>
            </w:r>
          </w:p>
        </w:tc>
        <w:tc>
          <w:tcPr>
            <w:tcW w:w="1479" w:type="pct"/>
            <w:noWrap/>
            <w:hideMark/>
          </w:tcPr>
          <w:p w14:paraId="0A6F6E98" w14:textId="6955C9E3"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421 461</w:t>
            </w:r>
          </w:p>
        </w:tc>
        <w:tc>
          <w:tcPr>
            <w:tcW w:w="992" w:type="pct"/>
            <w:noWrap/>
            <w:hideMark/>
          </w:tcPr>
          <w:p w14:paraId="6FF26C92" w14:textId="724B8810"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3 864 007</w:t>
            </w:r>
          </w:p>
        </w:tc>
      </w:tr>
      <w:tr w:rsidR="006B0C18" w:rsidRPr="006B0C18" w14:paraId="0FB91860" w14:textId="77777777" w:rsidTr="006B0C18">
        <w:trPr>
          <w:trHeight w:val="170"/>
        </w:trPr>
        <w:tc>
          <w:tcPr>
            <w:tcW w:w="1040" w:type="pct"/>
            <w:noWrap/>
            <w:hideMark/>
          </w:tcPr>
          <w:p w14:paraId="160FB2B9" w14:textId="3103A6B0" w:rsidR="005A1F01" w:rsidRPr="006B0C18" w:rsidRDefault="005A1F01" w:rsidP="005A1F01">
            <w:pPr>
              <w:keepNext/>
              <w:jc w:val="left"/>
              <w:rPr>
                <w:rFonts w:asciiTheme="majorBidi" w:hAnsiTheme="majorBidi" w:cstheme="majorBidi"/>
                <w:color w:val="000000"/>
                <w:sz w:val="20"/>
                <w:szCs w:val="20"/>
                <w:lang w:val="fr-FR"/>
              </w:rPr>
            </w:pPr>
            <w:r>
              <w:rPr>
                <w:sz w:val="20"/>
                <w:szCs w:val="20"/>
                <w:lang w:val="fr-FR"/>
              </w:rPr>
              <w:t>PNUD</w:t>
            </w:r>
          </w:p>
        </w:tc>
        <w:tc>
          <w:tcPr>
            <w:tcW w:w="1489" w:type="pct"/>
            <w:noWrap/>
            <w:hideMark/>
          </w:tcPr>
          <w:p w14:paraId="734823CB" w14:textId="5009E8F5"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60 287 691</w:t>
            </w:r>
          </w:p>
        </w:tc>
        <w:tc>
          <w:tcPr>
            <w:tcW w:w="1479" w:type="pct"/>
            <w:noWrap/>
            <w:hideMark/>
          </w:tcPr>
          <w:p w14:paraId="3192129E" w14:textId="1AF6419B"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6 631 382</w:t>
            </w:r>
          </w:p>
        </w:tc>
        <w:tc>
          <w:tcPr>
            <w:tcW w:w="992" w:type="pct"/>
            <w:noWrap/>
            <w:hideMark/>
          </w:tcPr>
          <w:p w14:paraId="4BE0F237" w14:textId="4499943E"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66 919 073</w:t>
            </w:r>
          </w:p>
        </w:tc>
      </w:tr>
      <w:tr w:rsidR="006B0C18" w:rsidRPr="006B0C18" w14:paraId="77F18741" w14:textId="77777777" w:rsidTr="006B0C18">
        <w:trPr>
          <w:trHeight w:val="179"/>
        </w:trPr>
        <w:tc>
          <w:tcPr>
            <w:tcW w:w="1040" w:type="pct"/>
            <w:noWrap/>
            <w:hideMark/>
          </w:tcPr>
          <w:p w14:paraId="4AE8E009" w14:textId="67F4F6D5" w:rsidR="005A1F01" w:rsidRPr="006B0C18" w:rsidRDefault="005A1F01" w:rsidP="005A1F01">
            <w:pPr>
              <w:keepNext/>
              <w:jc w:val="left"/>
              <w:rPr>
                <w:rFonts w:asciiTheme="majorBidi" w:hAnsiTheme="majorBidi" w:cstheme="majorBidi"/>
                <w:color w:val="000000"/>
                <w:sz w:val="20"/>
                <w:szCs w:val="20"/>
                <w:lang w:val="fr-FR"/>
              </w:rPr>
            </w:pPr>
            <w:r>
              <w:rPr>
                <w:sz w:val="20"/>
                <w:szCs w:val="20"/>
                <w:lang w:val="fr-FR"/>
              </w:rPr>
              <w:t>PNUE</w:t>
            </w:r>
          </w:p>
        </w:tc>
        <w:tc>
          <w:tcPr>
            <w:tcW w:w="1489" w:type="pct"/>
            <w:noWrap/>
            <w:hideMark/>
          </w:tcPr>
          <w:p w14:paraId="62E785D8" w14:textId="25868A9E"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26 706 692</w:t>
            </w:r>
          </w:p>
        </w:tc>
        <w:tc>
          <w:tcPr>
            <w:tcW w:w="1479" w:type="pct"/>
            <w:noWrap/>
            <w:hideMark/>
          </w:tcPr>
          <w:p w14:paraId="6706A1BB" w14:textId="208B01A2"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2 235 778</w:t>
            </w:r>
          </w:p>
        </w:tc>
        <w:tc>
          <w:tcPr>
            <w:tcW w:w="992" w:type="pct"/>
            <w:noWrap/>
            <w:hideMark/>
          </w:tcPr>
          <w:p w14:paraId="04778337" w14:textId="61C134F6"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28 942 470</w:t>
            </w:r>
          </w:p>
        </w:tc>
      </w:tr>
      <w:tr w:rsidR="006B0C18" w:rsidRPr="006B0C18" w14:paraId="3CE7A739" w14:textId="77777777" w:rsidTr="006B0C18">
        <w:trPr>
          <w:trHeight w:val="188"/>
        </w:trPr>
        <w:tc>
          <w:tcPr>
            <w:tcW w:w="1040" w:type="pct"/>
            <w:noWrap/>
            <w:hideMark/>
          </w:tcPr>
          <w:p w14:paraId="07DEC440" w14:textId="0E61068C" w:rsidR="005A1F01" w:rsidRPr="006B0C18" w:rsidRDefault="005A1F01" w:rsidP="005A1F01">
            <w:pPr>
              <w:keepNext/>
              <w:jc w:val="left"/>
              <w:rPr>
                <w:rFonts w:asciiTheme="majorBidi" w:hAnsiTheme="majorBidi" w:cstheme="majorBidi"/>
                <w:color w:val="000000"/>
                <w:sz w:val="20"/>
                <w:szCs w:val="20"/>
                <w:lang w:val="fr-FR"/>
              </w:rPr>
            </w:pPr>
            <w:r>
              <w:rPr>
                <w:sz w:val="20"/>
                <w:szCs w:val="20"/>
                <w:lang w:val="fr-FR"/>
              </w:rPr>
              <w:t>ONUDI</w:t>
            </w:r>
          </w:p>
        </w:tc>
        <w:tc>
          <w:tcPr>
            <w:tcW w:w="1489" w:type="pct"/>
            <w:noWrap/>
            <w:hideMark/>
          </w:tcPr>
          <w:p w14:paraId="081B73A4" w14:textId="5ED93D7A"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62 191 267</w:t>
            </w:r>
          </w:p>
        </w:tc>
        <w:tc>
          <w:tcPr>
            <w:tcW w:w="1479" w:type="pct"/>
            <w:noWrap/>
            <w:hideMark/>
          </w:tcPr>
          <w:p w14:paraId="20300A62" w14:textId="753890D6"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6 737 824</w:t>
            </w:r>
          </w:p>
        </w:tc>
        <w:tc>
          <w:tcPr>
            <w:tcW w:w="992" w:type="pct"/>
            <w:noWrap/>
            <w:hideMark/>
          </w:tcPr>
          <w:p w14:paraId="6E0B2718" w14:textId="63D2B50F"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68 929 091</w:t>
            </w:r>
          </w:p>
        </w:tc>
      </w:tr>
      <w:tr w:rsidR="006B0C18" w:rsidRPr="006B0C18" w14:paraId="39378D53" w14:textId="77777777" w:rsidTr="006B0C18">
        <w:trPr>
          <w:trHeight w:val="98"/>
        </w:trPr>
        <w:tc>
          <w:tcPr>
            <w:tcW w:w="1040" w:type="pct"/>
            <w:noWrap/>
            <w:hideMark/>
          </w:tcPr>
          <w:p w14:paraId="1E0717F1" w14:textId="2CA24948" w:rsidR="005A1F01" w:rsidRPr="006B0C18" w:rsidRDefault="005A1F01" w:rsidP="005A1F01">
            <w:pPr>
              <w:keepNext/>
              <w:jc w:val="left"/>
              <w:rPr>
                <w:rFonts w:asciiTheme="majorBidi" w:hAnsiTheme="majorBidi" w:cstheme="majorBidi"/>
                <w:color w:val="000000"/>
                <w:sz w:val="20"/>
                <w:szCs w:val="20"/>
                <w:lang w:val="fr-FR"/>
              </w:rPr>
            </w:pPr>
            <w:r>
              <w:rPr>
                <w:sz w:val="20"/>
                <w:szCs w:val="20"/>
                <w:lang w:val="fr-FR"/>
              </w:rPr>
              <w:t>Banque mondiale</w:t>
            </w:r>
          </w:p>
        </w:tc>
        <w:tc>
          <w:tcPr>
            <w:tcW w:w="1489" w:type="pct"/>
            <w:noWrap/>
            <w:hideMark/>
          </w:tcPr>
          <w:p w14:paraId="112E310D" w14:textId="47A4AC4D"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38 175 116</w:t>
            </w:r>
          </w:p>
        </w:tc>
        <w:tc>
          <w:tcPr>
            <w:tcW w:w="1479" w:type="pct"/>
            <w:noWrap/>
            <w:hideMark/>
          </w:tcPr>
          <w:p w14:paraId="341C718D" w14:textId="3709F6DE"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4 619 403</w:t>
            </w:r>
          </w:p>
        </w:tc>
        <w:tc>
          <w:tcPr>
            <w:tcW w:w="992" w:type="pct"/>
            <w:noWrap/>
            <w:hideMark/>
          </w:tcPr>
          <w:p w14:paraId="423D000B" w14:textId="6D8B472D" w:rsidR="005A1F01" w:rsidRPr="006B0C18" w:rsidRDefault="005A1F01" w:rsidP="005A1F01">
            <w:pPr>
              <w:keepNext/>
              <w:jc w:val="right"/>
              <w:rPr>
                <w:rFonts w:asciiTheme="majorBidi" w:hAnsiTheme="majorBidi" w:cstheme="majorBidi"/>
                <w:color w:val="000000"/>
                <w:sz w:val="20"/>
                <w:szCs w:val="20"/>
                <w:lang w:val="fr-FR"/>
              </w:rPr>
            </w:pPr>
            <w:r>
              <w:rPr>
                <w:sz w:val="20"/>
                <w:szCs w:val="20"/>
                <w:lang w:val="fr-FR"/>
              </w:rPr>
              <w:t>42 794 519</w:t>
            </w:r>
          </w:p>
        </w:tc>
      </w:tr>
      <w:tr w:rsidR="006B0C18" w:rsidRPr="006B0C18" w14:paraId="38F98148" w14:textId="77777777" w:rsidTr="006B0C18">
        <w:trPr>
          <w:trHeight w:val="107"/>
        </w:trPr>
        <w:tc>
          <w:tcPr>
            <w:tcW w:w="1040" w:type="pct"/>
            <w:noWrap/>
            <w:hideMark/>
          </w:tcPr>
          <w:p w14:paraId="23356F23" w14:textId="6E6EE697" w:rsidR="005A1F01" w:rsidRPr="006B0C18" w:rsidRDefault="005A1F01" w:rsidP="005A1F01">
            <w:pPr>
              <w:keepNext/>
              <w:jc w:val="left"/>
              <w:rPr>
                <w:rFonts w:asciiTheme="majorBidi" w:hAnsiTheme="majorBidi" w:cstheme="majorBidi"/>
                <w:b/>
                <w:bCs/>
                <w:color w:val="000000"/>
                <w:sz w:val="20"/>
                <w:szCs w:val="20"/>
                <w:lang w:val="fr-FR"/>
              </w:rPr>
            </w:pPr>
            <w:r>
              <w:rPr>
                <w:b/>
                <w:bCs/>
                <w:sz w:val="20"/>
                <w:szCs w:val="20"/>
                <w:lang w:val="fr-FR"/>
              </w:rPr>
              <w:t>Total général</w:t>
            </w:r>
          </w:p>
        </w:tc>
        <w:tc>
          <w:tcPr>
            <w:tcW w:w="1489" w:type="pct"/>
            <w:noWrap/>
            <w:hideMark/>
          </w:tcPr>
          <w:p w14:paraId="53F55E37" w14:textId="4DB683ED" w:rsidR="005A1F01" w:rsidRPr="006B0C18" w:rsidRDefault="005A1F01" w:rsidP="005A1F01">
            <w:pPr>
              <w:keepNext/>
              <w:jc w:val="right"/>
              <w:rPr>
                <w:rFonts w:asciiTheme="majorBidi" w:hAnsiTheme="majorBidi" w:cstheme="majorBidi"/>
                <w:b/>
                <w:bCs/>
                <w:color w:val="000000"/>
                <w:sz w:val="20"/>
                <w:szCs w:val="20"/>
                <w:lang w:val="fr-FR"/>
              </w:rPr>
            </w:pPr>
            <w:r>
              <w:rPr>
                <w:b/>
                <w:bCs/>
                <w:sz w:val="20"/>
                <w:szCs w:val="20"/>
                <w:lang w:val="fr-FR"/>
              </w:rPr>
              <w:t>190 803 312</w:t>
            </w:r>
          </w:p>
        </w:tc>
        <w:tc>
          <w:tcPr>
            <w:tcW w:w="1479" w:type="pct"/>
            <w:noWrap/>
            <w:hideMark/>
          </w:tcPr>
          <w:p w14:paraId="072C4F48" w14:textId="28C8560B" w:rsidR="005A1F01" w:rsidRPr="006B0C18" w:rsidRDefault="005A1F01" w:rsidP="005A1F01">
            <w:pPr>
              <w:keepNext/>
              <w:jc w:val="right"/>
              <w:rPr>
                <w:rFonts w:asciiTheme="majorBidi" w:hAnsiTheme="majorBidi" w:cstheme="majorBidi"/>
                <w:b/>
                <w:bCs/>
                <w:color w:val="000000"/>
                <w:sz w:val="20"/>
                <w:szCs w:val="20"/>
                <w:lang w:val="fr-FR"/>
              </w:rPr>
            </w:pPr>
            <w:r>
              <w:rPr>
                <w:b/>
                <w:bCs/>
                <w:sz w:val="20"/>
                <w:szCs w:val="20"/>
                <w:lang w:val="fr-FR"/>
              </w:rPr>
              <w:t>20 645 848</w:t>
            </w:r>
          </w:p>
        </w:tc>
        <w:tc>
          <w:tcPr>
            <w:tcW w:w="992" w:type="pct"/>
            <w:noWrap/>
            <w:hideMark/>
          </w:tcPr>
          <w:p w14:paraId="49EA34D4" w14:textId="2AE125C3" w:rsidR="005A1F01" w:rsidRPr="006B0C18" w:rsidRDefault="005A1F01" w:rsidP="005A1F01">
            <w:pPr>
              <w:keepNext/>
              <w:jc w:val="right"/>
              <w:rPr>
                <w:rFonts w:asciiTheme="majorBidi" w:hAnsiTheme="majorBidi" w:cstheme="majorBidi"/>
                <w:b/>
                <w:bCs/>
                <w:color w:val="000000"/>
                <w:sz w:val="20"/>
                <w:szCs w:val="20"/>
                <w:lang w:val="fr-FR"/>
              </w:rPr>
            </w:pPr>
            <w:r>
              <w:rPr>
                <w:b/>
                <w:bCs/>
                <w:sz w:val="20"/>
                <w:szCs w:val="20"/>
                <w:lang w:val="fr-FR"/>
              </w:rPr>
              <w:t>211 449 160</w:t>
            </w:r>
          </w:p>
        </w:tc>
      </w:tr>
    </w:tbl>
    <w:p w14:paraId="56E17FF2" w14:textId="77777777" w:rsidR="00511DA2" w:rsidRPr="006B0C18" w:rsidRDefault="00511DA2" w:rsidP="00511DA2">
      <w:pPr>
        <w:rPr>
          <w:sz w:val="20"/>
          <w:szCs w:val="20"/>
          <w:lang w:val="fr-FR"/>
        </w:rPr>
      </w:pPr>
    </w:p>
    <w:p w14:paraId="23F64A1F" w14:textId="7BAD11AE" w:rsidR="00511DA2" w:rsidRPr="006B0C18" w:rsidRDefault="006B0C18" w:rsidP="006434C6">
      <w:pPr>
        <w:pStyle w:val="Heading3"/>
        <w:numPr>
          <w:ilvl w:val="2"/>
          <w:numId w:val="16"/>
        </w:numPr>
        <w:ind w:left="1276" w:firstLine="0"/>
        <w:rPr>
          <w:sz w:val="20"/>
          <w:szCs w:val="20"/>
          <w:lang w:val="fr-FR"/>
        </w:rPr>
      </w:pPr>
      <w:r>
        <w:rPr>
          <w:sz w:val="20"/>
          <w:szCs w:val="20"/>
          <w:lang w:val="fr-FR"/>
        </w:rPr>
        <w:t>À ses 97</w:t>
      </w:r>
      <w:r>
        <w:rPr>
          <w:sz w:val="20"/>
          <w:szCs w:val="20"/>
          <w:vertAlign w:val="superscript"/>
          <w:lang w:val="fr-FR"/>
        </w:rPr>
        <w:t>e</w:t>
      </w:r>
      <w:r>
        <w:rPr>
          <w:sz w:val="20"/>
          <w:szCs w:val="20"/>
          <w:lang w:val="fr-FR"/>
        </w:rPr>
        <w:t xml:space="preserve"> et 98</w:t>
      </w:r>
      <w:r>
        <w:rPr>
          <w:sz w:val="20"/>
          <w:szCs w:val="20"/>
          <w:vertAlign w:val="superscript"/>
          <w:lang w:val="fr-FR"/>
        </w:rPr>
        <w:t>e</w:t>
      </w:r>
      <w:r>
        <w:rPr>
          <w:sz w:val="20"/>
          <w:szCs w:val="20"/>
          <w:lang w:val="fr-FR"/>
        </w:rPr>
        <w:t> réunions, après avoir examiné les documents relatifs aux projets recommandés pour approbation globale</w:t>
      </w:r>
      <w:r>
        <w:rPr>
          <w:sz w:val="20"/>
          <w:szCs w:val="20"/>
          <w:vertAlign w:val="superscript"/>
          <w:lang w:val="fr-FR"/>
        </w:rPr>
        <w:footnoteReference w:id="26"/>
      </w:r>
      <w:r>
        <w:rPr>
          <w:sz w:val="20"/>
          <w:szCs w:val="20"/>
          <w:lang w:val="fr-FR"/>
        </w:rPr>
        <w:t xml:space="preserve"> et pour examen individuel,</w:t>
      </w:r>
      <w:r>
        <w:rPr>
          <w:sz w:val="20"/>
          <w:szCs w:val="20"/>
          <w:vertAlign w:val="superscript"/>
          <w:lang w:val="fr-FR"/>
        </w:rPr>
        <w:footnoteReference w:id="27"/>
      </w:r>
      <w:r>
        <w:rPr>
          <w:sz w:val="20"/>
          <w:szCs w:val="20"/>
          <w:lang w:val="fr-FR"/>
        </w:rPr>
        <w:t xml:space="preserve"> le Comité exécutif a approuvé les projets et activités résumés ci-dessous.</w:t>
      </w:r>
    </w:p>
    <w:p w14:paraId="3A864D9F" w14:textId="77777777" w:rsidR="00511DA2" w:rsidRPr="006B0C18" w:rsidRDefault="00511DA2" w:rsidP="00511DA2">
      <w:pPr>
        <w:spacing w:after="240"/>
        <w:ind w:left="720" w:hanging="96"/>
        <w:outlineLvl w:val="0"/>
        <w:rPr>
          <w:b/>
          <w:sz w:val="20"/>
          <w:szCs w:val="20"/>
          <w:lang w:val="fr-FR"/>
        </w:rPr>
      </w:pPr>
      <w:r>
        <w:rPr>
          <w:b/>
          <w:sz w:val="20"/>
          <w:szCs w:val="20"/>
          <w:lang w:val="fr-FR"/>
        </w:rPr>
        <w:t>a)</w:t>
      </w:r>
      <w:r>
        <w:rPr>
          <w:b/>
          <w:sz w:val="20"/>
          <w:szCs w:val="20"/>
          <w:lang w:val="fr-FR"/>
        </w:rPr>
        <w:tab/>
        <w:t>Projets d'investissements</w:t>
      </w:r>
    </w:p>
    <w:p w14:paraId="4D5C95BE" w14:textId="77777777" w:rsidR="00511DA2" w:rsidRPr="006B0C18" w:rsidRDefault="00511DA2" w:rsidP="00511DA2">
      <w:pPr>
        <w:pStyle w:val="Heading1"/>
        <w:numPr>
          <w:ilvl w:val="0"/>
          <w:numId w:val="0"/>
        </w:numPr>
        <w:ind w:left="528" w:firstLine="720"/>
        <w:rPr>
          <w:sz w:val="20"/>
          <w:szCs w:val="20"/>
          <w:u w:val="single"/>
          <w:lang w:val="fr-FR"/>
        </w:rPr>
      </w:pPr>
      <w:r>
        <w:rPr>
          <w:sz w:val="20"/>
          <w:szCs w:val="20"/>
          <w:u w:val="single"/>
          <w:lang w:val="fr-FR"/>
        </w:rPr>
        <w:t>Plans de gestion de l’élimination des HCFC</w:t>
      </w:r>
    </w:p>
    <w:p w14:paraId="73E970B6" w14:textId="2E2C21C2" w:rsidR="00511DA2" w:rsidRPr="006B0C18" w:rsidRDefault="00511DA2" w:rsidP="006434C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xml:space="preserve"> réunion, le Comité exécutif a approuvé des tranches de PGEH pour 19 pays, dont des tranches de six plans sectoriels dans le cadre de la phase II du PGEH pour un pays (décisions 97/35, 97/39, 97/45 à 97/50, 97/54 et 97/55) ; la première tranche de la phase II du PGEH pour deux pays (décisions 97/51 et 97/53) ; et la première tranche de la phase III des PGEH pour cinq pays (décisions 97/38, 97/40, 97/42, 97/43 et 97/52). </w:t>
      </w:r>
    </w:p>
    <w:p w14:paraId="5D95FC63" w14:textId="657CB492" w:rsidR="00511DA2" w:rsidRPr="006B0C18" w:rsidRDefault="006B0C18" w:rsidP="006434C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également approuvé des propositions de projets individuels portant sur des activités supplémentaires visant à introduire des alternatives aux HCFC à PRG faible ou nul et à maintenir l’efficacité énergétique dans le secteur de l’entretien des systèmes de réfrigération dans trois pays (décision 97/35).</w:t>
      </w:r>
    </w:p>
    <w:p w14:paraId="7A90FA51" w14:textId="5880A92E" w:rsidR="00BB63EB" w:rsidRPr="006B0C18" w:rsidRDefault="006B0C18" w:rsidP="006434C6">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approuvé des tranches de PGEH pour 17 pays (décisions 98/26, 98/32 et 98/34) ; la première tranche de la phase II du PGEH pour deux pays (décisions 98/36 et 98/37) ; la première tranche de la phase  III du PGEH pour six pays (décisions 98/30, 98/31, 98/33 et 98/38 à 98/40) ; et la première tranche de la phase IV du PGEH pour un pays (décision 98/35).</w:t>
      </w:r>
    </w:p>
    <w:p w14:paraId="4ECE6121" w14:textId="6B3CA96D" w:rsidR="002F17C7" w:rsidRPr="006B0C18" w:rsidRDefault="006B0C18" w:rsidP="006434C6">
      <w:pPr>
        <w:pStyle w:val="Heading3"/>
        <w:numPr>
          <w:ilvl w:val="2"/>
          <w:numId w:val="16"/>
        </w:numPr>
        <w:ind w:left="1276" w:firstLine="0"/>
        <w:rPr>
          <w:lang w:val="fr-FR"/>
        </w:rPr>
      </w:pPr>
      <w:r>
        <w:rPr>
          <w:sz w:val="20"/>
          <w:szCs w:val="20"/>
          <w:lang w:val="fr-FR"/>
        </w:rPr>
        <w:t>À sa 98</w:t>
      </w:r>
      <w:r>
        <w:rPr>
          <w:sz w:val="20"/>
          <w:szCs w:val="20"/>
          <w:vertAlign w:val="superscript"/>
          <w:lang w:val="fr-FR"/>
        </w:rPr>
        <w:t>e</w:t>
      </w:r>
      <w:r>
        <w:rPr>
          <w:sz w:val="20"/>
          <w:szCs w:val="20"/>
          <w:lang w:val="fr-FR"/>
        </w:rPr>
        <w:t> réunion, le Comité exécutif a également approuvé des propositions de projets individuels portant sur des activités supplémentaires visant à introduire des solutions de remplacement aux HCFC à PRG faible ou nul et à maintenir l’efficacité énergétique dans le secteur de l’entretien des systèmes de réfrigération dans cinq pays (décision 98/26).</w:t>
      </w:r>
    </w:p>
    <w:p w14:paraId="4CE2FE66" w14:textId="508C5039" w:rsidR="00511DA2" w:rsidRPr="006B0C18" w:rsidRDefault="006B0C18" w:rsidP="00511DA2">
      <w:pPr>
        <w:keepNext/>
        <w:keepLines/>
        <w:spacing w:after="240"/>
        <w:ind w:left="528" w:firstLine="720"/>
        <w:jc w:val="left"/>
        <w:rPr>
          <w:iCs/>
          <w:sz w:val="20"/>
          <w:szCs w:val="20"/>
          <w:u w:val="single"/>
          <w:lang w:val="fr-FR"/>
        </w:rPr>
      </w:pPr>
      <w:r>
        <w:rPr>
          <w:iCs/>
          <w:sz w:val="20"/>
          <w:szCs w:val="20"/>
          <w:u w:val="single"/>
          <w:lang w:val="fr-FR"/>
        </w:rPr>
        <w:t>Projets liés aux HFC</w:t>
      </w:r>
    </w:p>
    <w:p w14:paraId="3B467BA0" w14:textId="03672719" w:rsidR="00511DA2" w:rsidRPr="006B0C18" w:rsidRDefault="00511DA2" w:rsidP="006434C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approuvé, en principe, la première étape des KIP pour 11 pays, approuvant également la première tranche de financement au titre de chacun d'entre eux (décisions 97/56 à 97/61, 97/63, 97/65 et 97/67 à 97/69). Le Comité a approuvé des tranches de KIP pour deux pays (décision 97/35) et les deuxième et troisième tranches du projet de contrôle des émissions de HFC</w:t>
      </w:r>
      <w:r>
        <w:rPr>
          <w:sz w:val="20"/>
          <w:szCs w:val="20"/>
          <w:lang w:val="fr-FR"/>
        </w:rPr>
        <w:noBreakHyphen/>
        <w:t>23 générées lors de la production de HCFC</w:t>
      </w:r>
      <w:r>
        <w:rPr>
          <w:sz w:val="20"/>
          <w:szCs w:val="20"/>
          <w:lang w:val="fr-FR"/>
        </w:rPr>
        <w:noBreakHyphen/>
        <w:t>22 dans un pays (décision 97/41). Le Comité exécutif a reporté à sa 98</w:t>
      </w:r>
      <w:r>
        <w:rPr>
          <w:sz w:val="20"/>
          <w:szCs w:val="20"/>
          <w:vertAlign w:val="superscript"/>
          <w:lang w:val="fr-FR"/>
        </w:rPr>
        <w:t>e</w:t>
      </w:r>
      <w:r>
        <w:rPr>
          <w:sz w:val="20"/>
          <w:szCs w:val="20"/>
          <w:lang w:val="fr-FR"/>
        </w:rPr>
        <w:t xml:space="preserve"> réunion l’examen du KIP pour un pays (décision 97/64) et d’une </w:t>
      </w:r>
      <w:r>
        <w:rPr>
          <w:sz w:val="20"/>
          <w:szCs w:val="20"/>
          <w:lang w:val="fr-FR"/>
        </w:rPr>
        <w:lastRenderedPageBreak/>
        <w:t>tranche du KIP pour un autre pays (décision 97/62).</w:t>
      </w:r>
    </w:p>
    <w:p w14:paraId="1A018A89" w14:textId="65E3147B" w:rsidR="00511DA2" w:rsidRPr="006B0C18" w:rsidRDefault="00511DA2" w:rsidP="006434C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concernant les projets autonomes liés à l’efficacité énergétique dans le cadre de la réduction progressive des HFC, le Comité a approuvé des projets pilotes autres que d'investissement au titre de la décision 91/65 pour 12 pays (décisions 97/66, 97/70 à 97/72, 97/75 à 97/77 et 97/79 à 97/83) ; un projet d’investissement sur l’efficacité énergétique au titre de la décision 95/87 pour un pays (décision 97/73) ; et des projets d’investissement sur l’efficacité énergétique au titre de la décision 94/60 pour trois pays (décisions 97/74, 97/78 et 97/84).</w:t>
      </w:r>
    </w:p>
    <w:p w14:paraId="05AFECC6" w14:textId="7B671D0D" w:rsidR="00441C70" w:rsidRPr="006B0C18" w:rsidRDefault="00511DA2" w:rsidP="006434C6">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approuvé, en principe, la première phase d’un KIP pour sept pays, approuvant également la première tranche de financement au titre de chacun d’entre eux (décisions 98/42, 98/43, 98/45, 98/48 et 98/51 à 98/53). Le Comité a approuvé des tranches de KIP pour quatre pays (décisions 98/26, 98/44, 98/46 et 98/47) et une mise à jour de la première étape du KIP pour un pays, y compris la deuxième tranche (décision 98/49). Le Comité exécutif a reporté à une réunion ultérieure l’examen du KIP pour un pays (décision 98/50). Le Comité a également approuvé la quatrième et la cinquième tranche, respectivement, des projets de contrôle des émissions de HFC</w:t>
      </w:r>
      <w:r>
        <w:rPr>
          <w:sz w:val="20"/>
          <w:szCs w:val="20"/>
          <w:lang w:val="fr-FR"/>
        </w:rPr>
        <w:noBreakHyphen/>
        <w:t>23 générées lors de la production de HCFC</w:t>
      </w:r>
      <w:r>
        <w:rPr>
          <w:sz w:val="20"/>
          <w:szCs w:val="20"/>
          <w:lang w:val="fr-FR"/>
        </w:rPr>
        <w:noBreakHyphen/>
        <w:t>22 dans deux pays (décisions 98/26 et 98/41).</w:t>
      </w:r>
    </w:p>
    <w:p w14:paraId="65873FF4" w14:textId="59842B9B" w:rsidR="00FF2E2A" w:rsidRPr="006B0C18" w:rsidRDefault="006B0C18" w:rsidP="006434C6">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concernant les projets autonomes liés à l’efficacité énergétique dans le contexte de la réduction progressive des HFC, le Comité exécutif a approuvé un projet de fonds de roulement pour l’efficacité énergétique destiné aux utilisateurs finaux d’un pays, ainsi qu’un projet mondial de fonds de roulement pour l’efficacité énergétique destiné aux utilisateurs finaux et couvrant trois pays (décision 98/54) ; un projet pilote de démonstration dans un pays visant à maintenir ou améliorer l’efficacité énergétique des technologies et équipements de remplacement dans le contexte de la réduction progressive des HFC, conformément à la décision 91/65 ; et des projets d’investissement visant à améliorer l’efficacité énergétique dans le secteur manufacturier dans le contexte de la réduction progressive des HFC, conformément à la décision 94/60, pour deux pays (décisions 98/56 et 98/57). Le Comité a également décidé de ne pas approuver le projet du fonds de roulement pour l'efficacité énergétique destiné aux utilisateurs finaux pour un pays.</w:t>
      </w:r>
    </w:p>
    <w:p w14:paraId="69C582C3" w14:textId="77777777" w:rsidR="00511DA2" w:rsidRPr="006B0C18" w:rsidRDefault="00511DA2" w:rsidP="00511DA2">
      <w:pPr>
        <w:spacing w:after="240"/>
        <w:ind w:left="720" w:hanging="96"/>
        <w:outlineLvl w:val="0"/>
        <w:rPr>
          <w:b/>
          <w:sz w:val="20"/>
          <w:szCs w:val="20"/>
          <w:lang w:val="fr-FR"/>
        </w:rPr>
      </w:pPr>
      <w:r>
        <w:rPr>
          <w:b/>
          <w:sz w:val="20"/>
          <w:szCs w:val="20"/>
          <w:lang w:val="fr-FR"/>
        </w:rPr>
        <w:t>b)</w:t>
      </w:r>
      <w:r>
        <w:rPr>
          <w:b/>
          <w:sz w:val="20"/>
          <w:szCs w:val="20"/>
          <w:lang w:val="fr-FR"/>
        </w:rPr>
        <w:tab/>
        <w:t>Activités autres que d'investissement</w:t>
      </w:r>
    </w:p>
    <w:p w14:paraId="593666E7" w14:textId="56ED052B" w:rsidR="00511DA2" w:rsidRPr="006B0C18" w:rsidRDefault="00511DA2" w:rsidP="006434C6">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approuvé toutes les demandes de financement autres que d'investissement, à une exception près. Les demandes portaient sur le financement de la préparation des phases II et III des PGEH pour quatre pays ; de la préparation des KIP pour quatre pays ; de la vérification de la mise en œuvre de la phase I des KIP pour sept pays ; des activités de soutien à l'élimination progressive des HFC pour un pays ; de la préparation de projets pilotes visant à maintenir ou améliorer l’efficacité énergétique des technologies et équipements de remplacement dans le cadre de la réduction progressive des HFC, conformément aux décisions 91/65 et 95/87, pour deux pays ; du renouvellement de projets de renforcement des institutions pour cinq pays ; et de la création d’un inventaire national des banques de déchets de substances contrôlées et de l’élaboration d’un plan national de gestion de ces substances pour 28 pays. Les demandes ont été présentées dans les documents relatifs à la coopération bilatérale</w:t>
      </w:r>
      <w:r>
        <w:rPr>
          <w:sz w:val="20"/>
          <w:szCs w:val="20"/>
          <w:vertAlign w:val="superscript"/>
          <w:lang w:val="fr-FR"/>
        </w:rPr>
        <w:footnoteReference w:id="28"/>
      </w:r>
      <w:r>
        <w:rPr>
          <w:sz w:val="20"/>
          <w:szCs w:val="20"/>
          <w:lang w:val="fr-FR"/>
        </w:rPr>
        <w:t xml:space="preserve"> et les amendements au programme de travail 2025 du PNUD,</w:t>
      </w:r>
      <w:r>
        <w:rPr>
          <w:sz w:val="20"/>
          <w:szCs w:val="20"/>
          <w:vertAlign w:val="superscript"/>
          <w:lang w:val="fr-FR"/>
        </w:rPr>
        <w:footnoteReference w:id="29"/>
      </w:r>
      <w:r>
        <w:rPr>
          <w:sz w:val="20"/>
          <w:szCs w:val="20"/>
          <w:lang w:val="fr-FR"/>
        </w:rPr>
        <w:t xml:space="preserve"> du PNUE,</w:t>
      </w:r>
      <w:r>
        <w:rPr>
          <w:sz w:val="20"/>
          <w:szCs w:val="20"/>
          <w:vertAlign w:val="superscript"/>
          <w:lang w:val="fr-FR"/>
        </w:rPr>
        <w:footnoteReference w:id="30"/>
      </w:r>
      <w:r>
        <w:rPr>
          <w:sz w:val="20"/>
          <w:szCs w:val="20"/>
          <w:lang w:val="fr-FR"/>
        </w:rPr>
        <w:t xml:space="preserve"> de l'ONUDI</w:t>
      </w:r>
      <w:r>
        <w:rPr>
          <w:sz w:val="20"/>
          <w:szCs w:val="20"/>
          <w:vertAlign w:val="superscript"/>
          <w:lang w:val="fr-FR"/>
        </w:rPr>
        <w:footnoteReference w:id="31"/>
      </w:r>
      <w:r>
        <w:rPr>
          <w:sz w:val="20"/>
          <w:szCs w:val="20"/>
          <w:lang w:val="fr-FR"/>
        </w:rPr>
        <w:t xml:space="preserve"> et de la Banque mondiale</w:t>
      </w:r>
      <w:r>
        <w:rPr>
          <w:sz w:val="20"/>
          <w:szCs w:val="20"/>
          <w:vertAlign w:val="superscript"/>
          <w:lang w:val="fr-FR"/>
        </w:rPr>
        <w:footnoteReference w:id="32"/>
      </w:r>
      <w:r>
        <w:rPr>
          <w:sz w:val="20"/>
          <w:szCs w:val="20"/>
          <w:lang w:val="fr-FR"/>
        </w:rPr>
        <w:t xml:space="preserve"> (décisions 97/35 et 97/37). La demande qui n’a pas été approuvée concernait la préparation d’un projet pilote visant à maintenir et/ou améliorer l’efficacité énergétique dans le contexte de la réduction progressive des HFC, conformément à la décision 91/65, dans un pays (décision 97/36).</w:t>
      </w:r>
    </w:p>
    <w:p w14:paraId="0F9DA6BD" w14:textId="3071DA9D" w:rsidR="003A47B6" w:rsidRPr="006B0C18" w:rsidRDefault="00511DA2" w:rsidP="007E7B7C">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xml:space="preserve"> réunion, le Comité exécutif a approuvé toutes les demandes de financement non liées à l'investissement sauf cinq. Les demandes soumises portaient sur le financement de l'élaboration de KIP pour trois pays ; l'élaboration de projets d'investissement KIP pour un pays ; la vérification des PGEH pour huit pays, des KIP pour 34 pays, et des PGEH et des KIP pour huit pays ; l'élaboration de projets, conformément à la décision 91/65, visant à maintenir et/ou améliorer l'efficacité énergétique </w:t>
      </w:r>
      <w:r>
        <w:rPr>
          <w:sz w:val="20"/>
          <w:szCs w:val="20"/>
          <w:lang w:val="fr-FR"/>
        </w:rPr>
        <w:lastRenderedPageBreak/>
        <w:t>dans le cadre de la réduction progressive des HFC pour 13 pays et l'élaboration d'un projet régional ; l'élaboration, conformément à la décision 94/60, de projets visant à améliorer l'efficacité énergétique dans la fabrication des systèmes de réfrigération et de climatisation dans le cadre de la réduction progressive des HFC pour trois pays ; et le renouvellement de projets de renforcement institutionnel pour 23 pays. Les demandes ont été présentées dans les documents relatifs à la coopération bilatérale</w:t>
      </w:r>
      <w:r>
        <w:rPr>
          <w:sz w:val="20"/>
          <w:szCs w:val="20"/>
          <w:vertAlign w:val="superscript"/>
          <w:lang w:val="fr-FR"/>
        </w:rPr>
        <w:footnoteReference w:id="33"/>
      </w:r>
      <w:r>
        <w:rPr>
          <w:sz w:val="20"/>
          <w:szCs w:val="20"/>
          <w:lang w:val="fr-FR"/>
        </w:rPr>
        <w:t xml:space="preserve"> et les amendements au programme de travail 2026 du PNUD,</w:t>
      </w:r>
      <w:r>
        <w:rPr>
          <w:sz w:val="20"/>
          <w:szCs w:val="20"/>
          <w:vertAlign w:val="superscript"/>
          <w:lang w:val="fr-FR"/>
        </w:rPr>
        <w:footnoteReference w:id="34"/>
      </w:r>
      <w:r>
        <w:rPr>
          <w:sz w:val="20"/>
          <w:szCs w:val="20"/>
          <w:lang w:val="fr-FR"/>
        </w:rPr>
        <w:t xml:space="preserve"> du PNUE</w:t>
      </w:r>
      <w:r>
        <w:rPr>
          <w:sz w:val="20"/>
          <w:szCs w:val="20"/>
          <w:vertAlign w:val="superscript"/>
          <w:lang w:val="fr-FR"/>
        </w:rPr>
        <w:footnoteReference w:id="35"/>
      </w:r>
      <w:r>
        <w:rPr>
          <w:sz w:val="20"/>
          <w:szCs w:val="20"/>
          <w:lang w:val="fr-FR"/>
        </w:rPr>
        <w:t xml:space="preserve"> et l'ONUDI.</w:t>
      </w:r>
      <w:r>
        <w:rPr>
          <w:rStyle w:val="FootnoteReference"/>
          <w:sz w:val="20"/>
          <w:szCs w:val="20"/>
          <w:lang w:val="fr-FR"/>
        </w:rPr>
        <w:footnoteReference w:id="36"/>
      </w:r>
      <w:r>
        <w:rPr>
          <w:sz w:val="20"/>
          <w:szCs w:val="20"/>
          <w:lang w:val="fr-FR"/>
        </w:rPr>
        <w:t xml:space="preserve"> Les demandes qui n'ont pas été approuvées concernaient la préparation, en vertu de la décision 91/65, de projets pilotes visant à maintenir et/ou à améliorer l'efficacité énergétique des centres de données, dans deux pays (décision 98/27), et la préparation de projets visant à améliorer l'efficacité énergétique dans la fabrication des systèmes de réfrigération et de climatisation dans le contexte de la réduction progressive des HFC, en vertu de la décision 94/60, dans trois pays. L'examen de l'un de ces derniers projets a été reporté à une réunion ultérieure, lorsque des informations suffisantes sur les entreprises proposées et la portée du projet seraient disponibles (décision 98/28), et l'examen des deux autres projets de ce type a été reporté à la 99</w:t>
      </w:r>
      <w:r>
        <w:rPr>
          <w:sz w:val="20"/>
          <w:szCs w:val="20"/>
          <w:vertAlign w:val="superscript"/>
          <w:lang w:val="fr-FR"/>
        </w:rPr>
        <w:t>e</w:t>
      </w:r>
      <w:r>
        <w:rPr>
          <w:sz w:val="20"/>
          <w:szCs w:val="20"/>
          <w:lang w:val="fr-FR"/>
        </w:rPr>
        <w:t> réunion (décision 98/29).</w:t>
      </w:r>
    </w:p>
    <w:p w14:paraId="5829FD39" w14:textId="77777777" w:rsidR="00511DA2" w:rsidRPr="006B0C18" w:rsidRDefault="00511DA2" w:rsidP="00511DA2">
      <w:pPr>
        <w:spacing w:after="240"/>
        <w:ind w:left="720" w:hanging="96"/>
        <w:outlineLvl w:val="0"/>
        <w:rPr>
          <w:b/>
          <w:sz w:val="20"/>
          <w:szCs w:val="20"/>
          <w:lang w:val="fr-FR"/>
        </w:rPr>
      </w:pPr>
      <w:r>
        <w:rPr>
          <w:b/>
          <w:sz w:val="20"/>
          <w:szCs w:val="20"/>
          <w:lang w:val="fr-FR"/>
        </w:rPr>
        <w:t>c)</w:t>
      </w:r>
      <w:r>
        <w:rPr>
          <w:b/>
          <w:sz w:val="20"/>
          <w:szCs w:val="20"/>
          <w:lang w:val="fr-FR"/>
        </w:rPr>
        <w:tab/>
        <w:t xml:space="preserve">Budget du Programme d’assistance à la mise en conformité du PNUE pour 2025 </w:t>
      </w:r>
    </w:p>
    <w:p w14:paraId="5DE451F7" w14:textId="1A993654" w:rsidR="00511DA2" w:rsidRPr="006B0C18" w:rsidRDefault="00511DA2" w:rsidP="00295728">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pris note du rapport d’étape 2025 ainsi que du plan de travail et du budget 2026 du PAC du PNUE.</w:t>
      </w:r>
      <w:r>
        <w:rPr>
          <w:sz w:val="20"/>
          <w:szCs w:val="20"/>
          <w:vertAlign w:val="superscript"/>
          <w:lang w:val="fr-FR"/>
        </w:rPr>
        <w:footnoteReference w:id="37"/>
      </w:r>
      <w:r>
        <w:rPr>
          <w:sz w:val="20"/>
          <w:szCs w:val="20"/>
          <w:lang w:val="fr-FR"/>
        </w:rPr>
        <w:t xml:space="preserve"> Le Comité exécutif a approuvé les activités et le budget du PAC pour 2026, tels qu'ils figurent en annexe au rapport de cette réunion</w:t>
      </w:r>
      <w:r>
        <w:rPr>
          <w:sz w:val="20"/>
          <w:szCs w:val="20"/>
          <w:vertAlign w:val="superscript"/>
          <w:lang w:val="fr-FR"/>
        </w:rPr>
        <w:footnoteReference w:id="38"/>
      </w:r>
      <w:r>
        <w:rPr>
          <w:sz w:val="20"/>
          <w:szCs w:val="20"/>
          <w:lang w:val="fr-FR"/>
        </w:rPr>
        <w:t xml:space="preserve"> pour un montant de 11 276 967 $US, plus les frais d'appui d’agence de 8 % soit 902 157 $US. Le Comité exécutif a décidé que les ressources humaines et financières approuvées pour le PNUE par le biais du budget du PAC devraient continuer à être utilisées uniquement pour des activités approuvées par le Comité exécutif conformément au mandat du mécanisme financier contenu dans l’article 10 du Protocole de Montréal et conformément aux décisions 50/26 c) et 73/53 (décision 97/85).</w:t>
      </w:r>
    </w:p>
    <w:p w14:paraId="1B295DE7" w14:textId="77777777" w:rsidR="00511DA2" w:rsidRPr="006B0C18" w:rsidRDefault="00511DA2" w:rsidP="00511DA2">
      <w:pPr>
        <w:spacing w:after="240"/>
        <w:ind w:left="720" w:hanging="96"/>
        <w:outlineLvl w:val="0"/>
        <w:rPr>
          <w:b/>
          <w:sz w:val="20"/>
          <w:szCs w:val="20"/>
          <w:lang w:val="fr-FR"/>
        </w:rPr>
      </w:pPr>
      <w:r>
        <w:rPr>
          <w:b/>
          <w:sz w:val="20"/>
          <w:szCs w:val="20"/>
          <w:lang w:val="fr-FR"/>
        </w:rPr>
        <w:t>d)</w:t>
      </w:r>
      <w:r>
        <w:rPr>
          <w:b/>
          <w:sz w:val="20"/>
          <w:szCs w:val="20"/>
          <w:lang w:val="fr-FR"/>
        </w:rPr>
        <w:tab/>
        <w:t>Coûts unitaires de base pour le PNUD, l'ONUDI et la Banque mondiale</w:t>
      </w:r>
    </w:p>
    <w:p w14:paraId="1D043359" w14:textId="088352D8" w:rsidR="00511DA2" w:rsidRPr="006B0C18" w:rsidRDefault="00511DA2" w:rsidP="00295728">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approuvé, conformément aux demandes, les budgets des coûts unitaires de base pour 2026 du PNUD, de l'ONUDI et de la Banque mondiale</w:t>
      </w:r>
      <w:r>
        <w:rPr>
          <w:sz w:val="20"/>
          <w:szCs w:val="20"/>
          <w:vertAlign w:val="superscript"/>
          <w:lang w:val="fr-FR"/>
        </w:rPr>
        <w:footnoteReference w:id="39"/>
      </w:r>
      <w:r>
        <w:rPr>
          <w:sz w:val="20"/>
          <w:szCs w:val="20"/>
          <w:lang w:val="fr-FR"/>
        </w:rPr>
        <w:t xml:space="preserve"> (décision 97/86).</w:t>
      </w:r>
    </w:p>
    <w:p w14:paraId="1DDB1C40" w14:textId="259D926F" w:rsidR="00474B0F" w:rsidRPr="006B0C18" w:rsidRDefault="00474B0F" w:rsidP="00474B0F">
      <w:pPr>
        <w:keepNext/>
        <w:spacing w:after="240"/>
        <w:ind w:firstLine="624"/>
        <w:jc w:val="left"/>
        <w:outlineLvl w:val="1"/>
        <w:rPr>
          <w:b/>
          <w:sz w:val="20"/>
          <w:szCs w:val="20"/>
          <w:lang w:val="fr-FR"/>
        </w:rPr>
      </w:pPr>
      <w:r>
        <w:rPr>
          <w:b/>
          <w:sz w:val="20"/>
          <w:szCs w:val="20"/>
          <w:lang w:val="fr-FR"/>
        </w:rPr>
        <w:t>2.</w:t>
      </w:r>
      <w:r>
        <w:rPr>
          <w:b/>
          <w:sz w:val="20"/>
          <w:szCs w:val="20"/>
          <w:lang w:val="fr-FR"/>
        </w:rPr>
        <w:tab/>
        <w:t>Mise en œuvre et rapports</w:t>
      </w:r>
    </w:p>
    <w:p w14:paraId="79D77C31" w14:textId="48814B99" w:rsidR="00474B0F" w:rsidRPr="006B0C18" w:rsidRDefault="00474B0F" w:rsidP="00474B0F">
      <w:pPr>
        <w:pStyle w:val="Heading3"/>
        <w:numPr>
          <w:ilvl w:val="0"/>
          <w:numId w:val="0"/>
        </w:numPr>
        <w:ind w:firstLine="624"/>
        <w:jc w:val="left"/>
        <w:rPr>
          <w:b/>
          <w:bCs/>
          <w:sz w:val="20"/>
          <w:szCs w:val="20"/>
          <w:lang w:val="fr-FR"/>
        </w:rPr>
      </w:pPr>
      <w:r>
        <w:rPr>
          <w:b/>
          <w:sz w:val="20"/>
          <w:szCs w:val="20"/>
          <w:lang w:val="fr-FR"/>
        </w:rPr>
        <w:t>a)</w:t>
      </w:r>
      <w:r>
        <w:rPr>
          <w:b/>
          <w:sz w:val="20"/>
          <w:szCs w:val="20"/>
          <w:lang w:val="fr-FR"/>
        </w:rPr>
        <w:tab/>
        <w:t>Données relatives au programme de pays et perspectives de conformité</w:t>
      </w:r>
    </w:p>
    <w:p w14:paraId="6659EBFB" w14:textId="495F8642" w:rsidR="00572792" w:rsidRPr="006B0C18" w:rsidRDefault="00511DA2" w:rsidP="00295728">
      <w:pPr>
        <w:pStyle w:val="Heading3"/>
        <w:numPr>
          <w:ilvl w:val="2"/>
          <w:numId w:val="16"/>
        </w:numPr>
        <w:ind w:left="1276" w:firstLine="0"/>
        <w:rPr>
          <w:b/>
          <w:sz w:val="20"/>
          <w:szCs w:val="20"/>
          <w:lang w:val="fr-FR"/>
        </w:rPr>
      </w:pPr>
      <w:r>
        <w:rPr>
          <w:sz w:val="20"/>
          <w:szCs w:val="20"/>
          <w:lang w:val="fr-FR"/>
        </w:rPr>
        <w:t>À sa 97</w:t>
      </w:r>
      <w:r>
        <w:rPr>
          <w:sz w:val="20"/>
          <w:szCs w:val="20"/>
          <w:vertAlign w:val="superscript"/>
          <w:lang w:val="fr-FR"/>
        </w:rPr>
        <w:t>e</w:t>
      </w:r>
      <w:r>
        <w:rPr>
          <w:sz w:val="20"/>
          <w:szCs w:val="20"/>
          <w:lang w:val="fr-FR"/>
        </w:rPr>
        <w:t> réunion</w:t>
      </w:r>
      <w:r>
        <w:rPr>
          <w:sz w:val="20"/>
          <w:szCs w:val="20"/>
          <w:vertAlign w:val="superscript"/>
          <w:lang w:val="fr-FR"/>
        </w:rPr>
        <w:footnoteReference w:id="40"/>
      </w:r>
      <w:r>
        <w:rPr>
          <w:sz w:val="20"/>
          <w:szCs w:val="20"/>
          <w:vertAlign w:val="superscript"/>
          <w:lang w:val="fr-FR"/>
        </w:rPr>
        <w:t xml:space="preserve"> </w:t>
      </w:r>
      <w:r>
        <w:rPr>
          <w:sz w:val="20"/>
          <w:szCs w:val="20"/>
          <w:lang w:val="fr-FR"/>
        </w:rPr>
        <w:t>et à sa 98</w:t>
      </w:r>
      <w:r>
        <w:rPr>
          <w:sz w:val="20"/>
          <w:szCs w:val="20"/>
          <w:vertAlign w:val="superscript"/>
          <w:lang w:val="fr-FR"/>
        </w:rPr>
        <w:t>e </w:t>
      </w:r>
      <w:r>
        <w:rPr>
          <w:sz w:val="20"/>
          <w:szCs w:val="20"/>
          <w:lang w:val="fr-FR"/>
        </w:rPr>
        <w:t>réunion,</w:t>
      </w:r>
      <w:r>
        <w:rPr>
          <w:sz w:val="20"/>
          <w:szCs w:val="20"/>
          <w:vertAlign w:val="superscript"/>
          <w:lang w:val="fr-FR"/>
        </w:rPr>
        <w:footnoteReference w:id="41"/>
      </w:r>
      <w:r>
        <w:rPr>
          <w:sz w:val="20"/>
          <w:szCs w:val="20"/>
          <w:lang w:val="fr-FR"/>
        </w:rPr>
        <w:t xml:space="preserve"> le Comité exécutif a examiné des documents relatifs aux données des programmes de pays et aux perspectives de conformité. À sa 97</w:t>
      </w:r>
      <w:r>
        <w:rPr>
          <w:sz w:val="20"/>
          <w:szCs w:val="20"/>
          <w:vertAlign w:val="superscript"/>
          <w:lang w:val="fr-FR"/>
        </w:rPr>
        <w:t>e</w:t>
      </w:r>
      <w:r>
        <w:rPr>
          <w:sz w:val="20"/>
          <w:szCs w:val="20"/>
          <w:lang w:val="fr-FR"/>
        </w:rPr>
        <w:t> réunion, le Comité exécutif a fait observer que le nouveau système de notification en ligne des données des programmes de pays, officiellement lancé le 1</w:t>
      </w:r>
      <w:r>
        <w:rPr>
          <w:sz w:val="20"/>
          <w:szCs w:val="20"/>
          <w:vertAlign w:val="superscript"/>
          <w:lang w:val="fr-FR"/>
        </w:rPr>
        <w:t>er</w:t>
      </w:r>
      <w:r>
        <w:rPr>
          <w:sz w:val="20"/>
          <w:szCs w:val="20"/>
          <w:lang w:val="fr-FR"/>
        </w:rPr>
        <w:t xml:space="preserve"> janvier 2025, était utilisé au 1</w:t>
      </w:r>
      <w:r>
        <w:rPr>
          <w:sz w:val="20"/>
          <w:szCs w:val="20"/>
          <w:vertAlign w:val="superscript"/>
          <w:lang w:val="fr-FR"/>
        </w:rPr>
        <w:t>er</w:t>
      </w:r>
      <w:r>
        <w:rPr>
          <w:sz w:val="20"/>
          <w:szCs w:val="20"/>
          <w:lang w:val="fr-FR"/>
        </w:rPr>
        <w:t xml:space="preserve"> décembre 2025 par 126 pays, dont 124 avaient officiellement soumis leurs données de 2024. Le Comité a demandé au Secrétariat du Fonds d’envoyer une lettre à un pays pour l'exhorter à rendre son rapport de données de programme de pays en souffrance pour 2024 (décision 97/6). À sa 98</w:t>
      </w:r>
      <w:r>
        <w:rPr>
          <w:sz w:val="20"/>
          <w:szCs w:val="20"/>
          <w:vertAlign w:val="superscript"/>
          <w:lang w:val="fr-FR"/>
        </w:rPr>
        <w:t>e</w:t>
      </w:r>
      <w:r>
        <w:rPr>
          <w:sz w:val="20"/>
          <w:szCs w:val="20"/>
          <w:lang w:val="fr-FR"/>
        </w:rPr>
        <w:t> réunion, le Comité exécutif a relevé qu’au 7 mai 2026, le système de notification en ligne des données des programmes de pays était utilisé par 127 pays, dont 126 avaient officiellement soumis leurs données de 2024 et 96 leurs données de 2025. Vingt et un pays supplémentaires ont soumis leurs données de programme de pays pour 2025 après cette date (décision 98/3).</w:t>
      </w:r>
    </w:p>
    <w:p w14:paraId="576D04FD" w14:textId="77777777" w:rsidR="0040579D" w:rsidRPr="006B0C18" w:rsidRDefault="0040579D" w:rsidP="00572792">
      <w:pPr>
        <w:pStyle w:val="Heading3"/>
        <w:numPr>
          <w:ilvl w:val="0"/>
          <w:numId w:val="0"/>
        </w:numPr>
        <w:ind w:firstLine="624"/>
        <w:jc w:val="left"/>
        <w:rPr>
          <w:b/>
          <w:bCs/>
          <w:sz w:val="20"/>
          <w:szCs w:val="20"/>
          <w:lang w:val="fr-FR"/>
        </w:rPr>
      </w:pPr>
      <w:r>
        <w:rPr>
          <w:b/>
          <w:bCs/>
          <w:sz w:val="20"/>
          <w:szCs w:val="20"/>
          <w:lang w:val="fr-FR"/>
        </w:rPr>
        <w:lastRenderedPageBreak/>
        <w:t>b)</w:t>
      </w:r>
      <w:r>
        <w:rPr>
          <w:b/>
          <w:bCs/>
          <w:sz w:val="20"/>
          <w:szCs w:val="20"/>
          <w:lang w:val="fr-FR"/>
        </w:rPr>
        <w:tab/>
        <w:t xml:space="preserve">Retard dans la soumission des tranches </w:t>
      </w:r>
    </w:p>
    <w:p w14:paraId="36CC51DB" w14:textId="1CB8D7CF" w:rsidR="0040579D" w:rsidRPr="006B0C18" w:rsidRDefault="003E5C5A" w:rsidP="00295728">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examiné un rapport portant sur les retards de soumission des tranches</w:t>
      </w:r>
      <w:r>
        <w:rPr>
          <w:rStyle w:val="FootnoteReference"/>
          <w:sz w:val="20"/>
          <w:szCs w:val="20"/>
          <w:lang w:val="fr-FR"/>
        </w:rPr>
        <w:footnoteReference w:id="42"/>
      </w:r>
      <w:r>
        <w:rPr>
          <w:sz w:val="20"/>
          <w:szCs w:val="20"/>
          <w:lang w:val="fr-FR"/>
        </w:rPr>
        <w:t xml:space="preserve"> et a demandé au Secrétariat du Fonds d’envoyer des lettres aux gouvernements concernés concernant les décisions relatives aux retards de soumission des tranches annexées au rapport de cette réunion.</w:t>
      </w:r>
      <w:r>
        <w:rPr>
          <w:rStyle w:val="FootnoteReference"/>
          <w:sz w:val="20"/>
          <w:szCs w:val="20"/>
          <w:lang w:val="fr-FR"/>
        </w:rPr>
        <w:footnoteReference w:id="43"/>
      </w:r>
      <w:r>
        <w:rPr>
          <w:sz w:val="20"/>
          <w:szCs w:val="20"/>
          <w:lang w:val="fr-FR"/>
        </w:rPr>
        <w:t xml:space="preserve"> Il a néanmoins été relevé que les organismes d’exécution concernés avaient indiqué que la soumission tardive des tranches d’accords pluriannuels (APA) dues n’aurait aucune incidence sur le respect par les pays du Protocole de Montréal et qu’il n’y avait aucune indication, sauf dans un cas, que les pays concernés ne respectaient pas les mesures de contrôle du Protocole de Montréal (décision 98/19).</w:t>
      </w:r>
    </w:p>
    <w:p w14:paraId="1D21FE61" w14:textId="7D06D819" w:rsidR="00511DA2" w:rsidRPr="006B0C18" w:rsidRDefault="0040579D" w:rsidP="0040579D">
      <w:pPr>
        <w:pStyle w:val="Heading3"/>
        <w:numPr>
          <w:ilvl w:val="0"/>
          <w:numId w:val="0"/>
        </w:numPr>
        <w:ind w:firstLine="624"/>
        <w:jc w:val="left"/>
        <w:rPr>
          <w:b/>
          <w:sz w:val="20"/>
          <w:szCs w:val="20"/>
          <w:lang w:val="fr-FR"/>
        </w:rPr>
      </w:pPr>
      <w:r>
        <w:rPr>
          <w:b/>
          <w:sz w:val="20"/>
          <w:szCs w:val="20"/>
          <w:lang w:val="fr-FR"/>
        </w:rPr>
        <w:t>c)</w:t>
      </w:r>
      <w:r>
        <w:rPr>
          <w:b/>
          <w:sz w:val="20"/>
          <w:szCs w:val="20"/>
          <w:lang w:val="fr-FR"/>
        </w:rPr>
        <w:tab/>
        <w:t>Rapports d'étape</w:t>
      </w:r>
    </w:p>
    <w:p w14:paraId="3C289718" w14:textId="20DF3500" w:rsidR="00511DA2" w:rsidRPr="006B0C18" w:rsidRDefault="00511DA2" w:rsidP="00295728">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pris note du rapport d’étape consolidé du Fonds multilatéral au 31 décembre 2024.</w:t>
      </w:r>
      <w:r>
        <w:rPr>
          <w:sz w:val="20"/>
          <w:szCs w:val="20"/>
          <w:vertAlign w:val="superscript"/>
          <w:lang w:val="fr-FR"/>
        </w:rPr>
        <w:footnoteReference w:id="44"/>
      </w:r>
      <w:r>
        <w:rPr>
          <w:sz w:val="20"/>
          <w:szCs w:val="20"/>
          <w:lang w:val="fr-FR"/>
        </w:rPr>
        <w:t xml:space="preserve"> Il a également pris note des rapports d'étape, au 31 décembre 2024, des agences bilatérales</w:t>
      </w:r>
      <w:r>
        <w:rPr>
          <w:sz w:val="20"/>
          <w:szCs w:val="20"/>
          <w:vertAlign w:val="superscript"/>
          <w:lang w:val="fr-FR"/>
        </w:rPr>
        <w:footnoteReference w:id="45"/>
      </w:r>
      <w:r>
        <w:rPr>
          <w:sz w:val="20"/>
          <w:szCs w:val="20"/>
          <w:lang w:val="fr-FR"/>
        </w:rPr>
        <w:t xml:space="preserve"> (à savoir les gouvernements de l'Australie, de l'Autriche, de la France, de l'Allemagne, de l'Italie, du Japon, de l'Espagne et du Royaume-Uni de Grande-Bretagne et d'Irlande du Nord) ainsi que du PNUD,</w:t>
      </w:r>
      <w:r>
        <w:rPr>
          <w:sz w:val="20"/>
          <w:szCs w:val="20"/>
          <w:vertAlign w:val="superscript"/>
          <w:lang w:val="fr-FR"/>
        </w:rPr>
        <w:footnoteReference w:id="46"/>
      </w:r>
      <w:r>
        <w:rPr>
          <w:sz w:val="20"/>
          <w:szCs w:val="20"/>
          <w:lang w:val="fr-FR"/>
        </w:rPr>
        <w:t xml:space="preserve"> du PNUE,</w:t>
      </w:r>
      <w:r>
        <w:rPr>
          <w:sz w:val="20"/>
          <w:szCs w:val="20"/>
          <w:vertAlign w:val="superscript"/>
          <w:lang w:val="fr-FR"/>
        </w:rPr>
        <w:footnoteReference w:id="47"/>
      </w:r>
      <w:r>
        <w:rPr>
          <w:sz w:val="20"/>
          <w:szCs w:val="20"/>
          <w:lang w:val="fr-FR"/>
        </w:rPr>
        <w:t xml:space="preserve"> de l'ONUDI</w:t>
      </w:r>
      <w:r>
        <w:rPr>
          <w:sz w:val="20"/>
          <w:szCs w:val="20"/>
          <w:vertAlign w:val="superscript"/>
          <w:lang w:val="fr-FR"/>
        </w:rPr>
        <w:footnoteReference w:id="48"/>
      </w:r>
      <w:r>
        <w:rPr>
          <w:sz w:val="20"/>
          <w:szCs w:val="20"/>
          <w:lang w:val="fr-FR"/>
        </w:rPr>
        <w:t xml:space="preserve"> et de la Banque mondiale.</w:t>
      </w:r>
      <w:r>
        <w:rPr>
          <w:sz w:val="20"/>
          <w:szCs w:val="20"/>
          <w:vertAlign w:val="superscript"/>
          <w:lang w:val="fr-FR"/>
        </w:rPr>
        <w:footnoteReference w:id="49"/>
      </w:r>
      <w:r>
        <w:rPr>
          <w:sz w:val="20"/>
          <w:szCs w:val="20"/>
          <w:lang w:val="fr-FR"/>
        </w:rPr>
        <w:t xml:space="preserve"> Pour tous les rapports d'étape, le Comité a approuvé les recommandations relatives aux projets en cours comportant des questions spécifiques qui figuraient dans les annexes pertinentes au compte rendu de la réunion.</w:t>
      </w:r>
      <w:r>
        <w:rPr>
          <w:sz w:val="20"/>
          <w:szCs w:val="20"/>
          <w:vertAlign w:val="superscript"/>
          <w:lang w:val="fr-FR"/>
        </w:rPr>
        <w:footnoteReference w:id="50"/>
      </w:r>
      <w:r>
        <w:rPr>
          <w:sz w:val="20"/>
          <w:szCs w:val="20"/>
          <w:lang w:val="fr-FR"/>
        </w:rPr>
        <w:t xml:space="preserve"> Il a également décidé d'un certain nombre d'autres mesures, comme la prolongation des délais d'achèvement pour la création d'inventaires nationaux des banques de déchets de substances contrôlées et de l'élaboration des plans nationaux de gestion de ces substances pour 40 pays et de six autres projets, dont des tranches de PGEH pour quatre pays. Le Comité exécutif a également demandé au Secrétariat du Fonds d’envoyer une lettre à un pays et à l’agence d’exécution concernée, concernant l’éventuelle annulation du PGEH du pays (décisions 97/9 à 97/14).</w:t>
      </w:r>
    </w:p>
    <w:p w14:paraId="7C3954F9" w14:textId="29E56422" w:rsidR="00511DA2" w:rsidRPr="006B0C18" w:rsidRDefault="00511DA2" w:rsidP="00511DA2">
      <w:pPr>
        <w:pStyle w:val="Heading3"/>
        <w:numPr>
          <w:ilvl w:val="0"/>
          <w:numId w:val="0"/>
        </w:numPr>
        <w:ind w:firstLine="624"/>
        <w:jc w:val="left"/>
        <w:rPr>
          <w:b/>
          <w:sz w:val="20"/>
          <w:szCs w:val="20"/>
          <w:lang w:val="fr-FR"/>
        </w:rPr>
      </w:pPr>
      <w:r>
        <w:rPr>
          <w:b/>
          <w:sz w:val="20"/>
          <w:szCs w:val="20"/>
          <w:lang w:val="fr-FR"/>
        </w:rPr>
        <w:t>d)</w:t>
      </w:r>
      <w:r>
        <w:rPr>
          <w:b/>
          <w:sz w:val="20"/>
          <w:szCs w:val="20"/>
          <w:lang w:val="fr-FR"/>
        </w:rPr>
        <w:tab/>
        <w:t>Rapports d'étape et rapports sur les projets comportant des exigences de rapport spécifiques</w:t>
      </w:r>
    </w:p>
    <w:p w14:paraId="75804276" w14:textId="099E01CD" w:rsidR="000F0039" w:rsidRPr="006B0C18" w:rsidRDefault="00511DA2" w:rsidP="00295728">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w:t>
      </w:r>
      <w:r>
        <w:rPr>
          <w:sz w:val="20"/>
          <w:szCs w:val="20"/>
          <w:vertAlign w:val="superscript"/>
          <w:lang w:val="fr-FR"/>
        </w:rPr>
        <w:footnoteReference w:id="51"/>
      </w:r>
      <w:r>
        <w:rPr>
          <w:sz w:val="20"/>
          <w:szCs w:val="20"/>
          <w:vertAlign w:val="superscript"/>
          <w:lang w:val="fr-FR"/>
        </w:rPr>
        <w:t xml:space="preserve"> </w:t>
      </w:r>
      <w:r>
        <w:rPr>
          <w:sz w:val="20"/>
          <w:szCs w:val="20"/>
          <w:lang w:val="fr-FR"/>
        </w:rPr>
        <w:t>et à sa 98</w:t>
      </w:r>
      <w:r>
        <w:rPr>
          <w:sz w:val="20"/>
          <w:szCs w:val="20"/>
          <w:vertAlign w:val="superscript"/>
          <w:lang w:val="fr-FR"/>
        </w:rPr>
        <w:t>e</w:t>
      </w:r>
      <w:r>
        <w:rPr>
          <w:sz w:val="20"/>
          <w:szCs w:val="20"/>
          <w:lang w:val="fr-FR"/>
        </w:rPr>
        <w:t> réunion,</w:t>
      </w:r>
      <w:r>
        <w:rPr>
          <w:rStyle w:val="FootnoteReference"/>
          <w:sz w:val="20"/>
          <w:szCs w:val="20"/>
          <w:lang w:val="fr-FR"/>
        </w:rPr>
        <w:footnoteReference w:id="52"/>
      </w:r>
      <w:r>
        <w:rPr>
          <w:sz w:val="20"/>
          <w:szCs w:val="20"/>
          <w:lang w:val="fr-FR"/>
        </w:rPr>
        <w:t xml:space="preserve"> le Comité exécutif s’est penché sur des documents contenant des rapports d'étape sur des projets assortis d'exigences de rapport spécifiques.</w:t>
      </w:r>
    </w:p>
    <w:p w14:paraId="1E2D92C9" w14:textId="3D2C6C0C" w:rsidR="001335E3" w:rsidRPr="006B0C18" w:rsidRDefault="00511DA2" w:rsidP="00C57BCB">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s'est penché sur des projets ne présentant aucun problème en suspens concernant les politiques, ni les coûts ni d'autres difficultés et relatifs aux PGEH pour quatre pays ; des projets d’accords entre les gouvernements et le Comité exécutif pour la réduction de la consommation des HFC conformément à la phase I des KIP de 14 pays ; des activités supplémentaires visant à maintenir l’efficacité énergétique dans le secteur de la réfrigération, en vertu de la décision 89/6, pour un pays ; une demande de changement d'agence d’exécution pour la phase III du PGEH et la phase I du KIP pour un pays ; et une demande d’annulation de projets en cours dans un pays. Lors de la 98</w:t>
      </w:r>
      <w:r>
        <w:rPr>
          <w:sz w:val="20"/>
          <w:szCs w:val="20"/>
          <w:vertAlign w:val="superscript"/>
          <w:lang w:val="fr-FR"/>
        </w:rPr>
        <w:t>e</w:t>
      </w:r>
      <w:r>
        <w:rPr>
          <w:sz w:val="20"/>
          <w:szCs w:val="20"/>
          <w:lang w:val="fr-FR"/>
        </w:rPr>
        <w:t xml:space="preserve"> réunion, les rapports portaient sur des projets ayant connu des retards de mise en œuvre et pour lesquels des rapports d'étape spéciaux avaient été demandés ; les PGEH pour sept pays ; les projets d’accords entre les gouvernements et le Comité exécutif pour la réduction de la consommation de HFC conformément à la phase I des KIP pour 34 pays ; les activités supplémentaires pour maintenir l’efficacité énergétique dans le secteur du froid, en vertu de la décision 89/6, pour un pays ; un projet pilote pour maintenir et/ou améliorer l’efficacité énergétique des technologies et équipements de remplacement dans le contexte de la réduction progressive des HFC, en vertu de la décision 91/65, pour un pays ; la préparation d’un projet pour améliorer l’efficacité énergétique dans </w:t>
      </w:r>
      <w:r>
        <w:rPr>
          <w:sz w:val="20"/>
          <w:szCs w:val="20"/>
          <w:lang w:val="fr-FR"/>
        </w:rPr>
        <w:lastRenderedPageBreak/>
        <w:t>le contexte de la réduction progressive des HFC dans le secteur de la fabrication des systèmes de réfrigération et de climatisation, en vertu de la décision 94/60, pour un pays ; et l'élaboration d’un inventaire national des stocks de substances contrôlées usagées ou indésirables et d’un plan pour la collecte, le transport et l’élimination de ces substances, en vertu de la décision 91/66, pour un pays.</w:t>
      </w:r>
    </w:p>
    <w:p w14:paraId="3E7DCBD1" w14:textId="7D8B3D31" w:rsidR="00511DA2" w:rsidRPr="006B0C18" w:rsidRDefault="001335E3" w:rsidP="00C57BCB">
      <w:pPr>
        <w:pStyle w:val="Heading3"/>
        <w:numPr>
          <w:ilvl w:val="2"/>
          <w:numId w:val="16"/>
        </w:numPr>
        <w:ind w:left="1276" w:firstLine="0"/>
        <w:rPr>
          <w:sz w:val="20"/>
          <w:szCs w:val="20"/>
          <w:lang w:val="fr-FR"/>
        </w:rPr>
      </w:pPr>
      <w:r>
        <w:rPr>
          <w:sz w:val="20"/>
          <w:szCs w:val="20"/>
          <w:lang w:val="fr-FR"/>
        </w:rPr>
        <w:t>Le Comité a pris note des rapports et des informations fournis et a convenu d’un certain nombre de mesures, notamment, à la 97</w:t>
      </w:r>
      <w:r>
        <w:rPr>
          <w:sz w:val="20"/>
          <w:szCs w:val="20"/>
          <w:vertAlign w:val="superscript"/>
          <w:lang w:val="fr-FR"/>
        </w:rPr>
        <w:t>e</w:t>
      </w:r>
      <w:r>
        <w:rPr>
          <w:sz w:val="20"/>
          <w:szCs w:val="20"/>
          <w:lang w:val="fr-FR"/>
        </w:rPr>
        <w:t> réunion, l’approbation de 14 accords relatifs à la phase I des KIP qui avaient été approuvés aux 92</w:t>
      </w:r>
      <w:r>
        <w:rPr>
          <w:sz w:val="20"/>
          <w:szCs w:val="20"/>
          <w:vertAlign w:val="superscript"/>
          <w:lang w:val="fr-FR"/>
        </w:rPr>
        <w:t>e</w:t>
      </w:r>
      <w:r>
        <w:rPr>
          <w:sz w:val="20"/>
          <w:szCs w:val="20"/>
          <w:lang w:val="fr-FR"/>
        </w:rPr>
        <w:t>, 93</w:t>
      </w:r>
      <w:r>
        <w:rPr>
          <w:sz w:val="20"/>
          <w:szCs w:val="20"/>
          <w:vertAlign w:val="superscript"/>
          <w:lang w:val="fr-FR"/>
        </w:rPr>
        <w:t>e</w:t>
      </w:r>
      <w:r>
        <w:rPr>
          <w:sz w:val="20"/>
          <w:szCs w:val="20"/>
          <w:lang w:val="fr-FR"/>
        </w:rPr>
        <w:t>, 94</w:t>
      </w:r>
      <w:r>
        <w:rPr>
          <w:sz w:val="20"/>
          <w:szCs w:val="20"/>
          <w:vertAlign w:val="superscript"/>
          <w:lang w:val="fr-FR"/>
        </w:rPr>
        <w:t>e</w:t>
      </w:r>
      <w:r>
        <w:rPr>
          <w:sz w:val="20"/>
          <w:szCs w:val="20"/>
          <w:lang w:val="fr-FR"/>
        </w:rPr>
        <w:t xml:space="preserve"> et 95</w:t>
      </w:r>
      <w:r>
        <w:rPr>
          <w:sz w:val="20"/>
          <w:szCs w:val="20"/>
          <w:vertAlign w:val="superscript"/>
          <w:lang w:val="fr-FR"/>
        </w:rPr>
        <w:t>e</w:t>
      </w:r>
      <w:r>
        <w:rPr>
          <w:sz w:val="20"/>
          <w:szCs w:val="20"/>
          <w:lang w:val="fr-FR"/>
        </w:rPr>
        <w:t> réunions, le transfert de la mise en œuvre de toutes les activités de la phase III d’un PGEH et de la phase I d’un KIP pour un pays, d’une agence à une autre, ainsi que le transfert des financements correspondants, et l’annulation de tous les projets en cours dans un pays. Lors de la 98</w:t>
      </w:r>
      <w:r>
        <w:rPr>
          <w:sz w:val="20"/>
          <w:szCs w:val="20"/>
          <w:vertAlign w:val="superscript"/>
          <w:lang w:val="fr-FR"/>
        </w:rPr>
        <w:t>e</w:t>
      </w:r>
      <w:r>
        <w:rPr>
          <w:sz w:val="20"/>
          <w:szCs w:val="20"/>
          <w:lang w:val="fr-FR"/>
        </w:rPr>
        <w:t> réunion, ces mesures ont notamment consisté en l’annulation de tous les projets en cours dans un pays ; le renvoi au 31 décembre 2027 de la date d’achèvement des PGEH de deux pays ; le renvoi au 31 décembre 2026 d’un projet pilote visant à maintenir ou à améliorer l’efficacité énergétique des technologies et équipements de remplacement dans le cadre de la réduction progressive des HFC dans un pays ; et le renvoi au 30 juin 2027 du délai de création, dans un pays, d’un inventaire national des banques de déchets de substances contrôlées et de l’élaboration d’un plan national de gestion de ces substances ; et l’approbation de 34 accords pour la phase I des KIP approuvés entre les 92</w:t>
      </w:r>
      <w:r>
        <w:rPr>
          <w:sz w:val="20"/>
          <w:szCs w:val="20"/>
          <w:vertAlign w:val="superscript"/>
          <w:lang w:val="fr-FR"/>
        </w:rPr>
        <w:t>e</w:t>
      </w:r>
      <w:r>
        <w:rPr>
          <w:sz w:val="20"/>
          <w:szCs w:val="20"/>
          <w:lang w:val="fr-FR"/>
        </w:rPr>
        <w:t xml:space="preserve"> et 95</w:t>
      </w:r>
      <w:r>
        <w:rPr>
          <w:sz w:val="20"/>
          <w:szCs w:val="20"/>
          <w:vertAlign w:val="superscript"/>
          <w:lang w:val="fr-FR"/>
        </w:rPr>
        <w:t>e</w:t>
      </w:r>
      <w:r>
        <w:rPr>
          <w:sz w:val="20"/>
          <w:szCs w:val="20"/>
          <w:lang w:val="fr-FR"/>
        </w:rPr>
        <w:t> réunions.</w:t>
      </w:r>
      <w:r>
        <w:rPr>
          <w:rStyle w:val="FootnoteReference"/>
          <w:sz w:val="20"/>
          <w:szCs w:val="20"/>
          <w:lang w:val="fr-FR"/>
        </w:rPr>
        <w:footnoteReference w:id="53"/>
      </w:r>
      <w:r>
        <w:rPr>
          <w:sz w:val="20"/>
          <w:szCs w:val="20"/>
          <w:lang w:val="fr-FR"/>
        </w:rPr>
        <w:t xml:space="preserve"> Le Comité exécutif a également demandé d’autres mesures aux pays et aux organismes d’exécution (décisions 97/15 à 97/19 et 98/4 à 98/16).</w:t>
      </w:r>
    </w:p>
    <w:p w14:paraId="7B00F866" w14:textId="56DFE07D" w:rsidR="00511DA2" w:rsidRPr="006B0C18" w:rsidRDefault="00511DA2" w:rsidP="00C57BCB">
      <w:pPr>
        <w:pStyle w:val="Heading3"/>
        <w:numPr>
          <w:ilvl w:val="2"/>
          <w:numId w:val="16"/>
        </w:numPr>
        <w:ind w:left="1276" w:firstLine="0"/>
        <w:rPr>
          <w:sz w:val="20"/>
          <w:szCs w:val="20"/>
          <w:lang w:val="fr-FR"/>
        </w:rPr>
      </w:pPr>
      <w:r>
        <w:rPr>
          <w:sz w:val="20"/>
          <w:szCs w:val="20"/>
          <w:lang w:val="fr-FR"/>
        </w:rPr>
        <w:t>A la 97</w:t>
      </w:r>
      <w:r>
        <w:rPr>
          <w:sz w:val="20"/>
          <w:szCs w:val="20"/>
          <w:vertAlign w:val="superscript"/>
          <w:lang w:val="fr-FR"/>
        </w:rPr>
        <w:t>e</w:t>
      </w:r>
      <w:r>
        <w:rPr>
          <w:sz w:val="20"/>
          <w:szCs w:val="20"/>
          <w:lang w:val="fr-FR"/>
        </w:rPr>
        <w:t xml:space="preserve"> réunion, les PGEH pour la République islamique d'Iran, le Pakistan et le Qatar ont été examinés individuellement. Prenant acte des rapports (décisions 97/20 à 97/22), le Comité exécutif a approuvé, à titre exceptionnel, la prolongation de la durée de la phase II du PGEH pour la République islamique d’Iran (décision 97/20) et la réaffectation des soldes de financement d’une activité à d’autres activités de la phase III du PGEH pour le Pakistan (décision 97/21). </w:t>
      </w:r>
    </w:p>
    <w:p w14:paraId="4460B10B" w14:textId="476960AB" w:rsidR="00865043" w:rsidRPr="006B0C18" w:rsidRDefault="00511DA2" w:rsidP="00C57BCB">
      <w:pPr>
        <w:pStyle w:val="Heading3"/>
        <w:numPr>
          <w:ilvl w:val="2"/>
          <w:numId w:val="16"/>
        </w:numPr>
        <w:ind w:left="1276" w:firstLine="0"/>
        <w:rPr>
          <w:sz w:val="20"/>
          <w:szCs w:val="20"/>
          <w:lang w:val="fr-FR"/>
        </w:rPr>
      </w:pPr>
      <w:r>
        <w:rPr>
          <w:sz w:val="20"/>
          <w:szCs w:val="20"/>
          <w:lang w:val="fr-FR"/>
        </w:rPr>
        <w:t>Lors de la 98</w:t>
      </w:r>
      <w:r>
        <w:rPr>
          <w:sz w:val="20"/>
          <w:szCs w:val="20"/>
          <w:vertAlign w:val="superscript"/>
          <w:lang w:val="fr-FR"/>
        </w:rPr>
        <w:t>e</w:t>
      </w:r>
      <w:r>
        <w:rPr>
          <w:sz w:val="20"/>
          <w:szCs w:val="20"/>
          <w:lang w:val="fr-FR"/>
        </w:rPr>
        <w:t> réunion, aucun rapport n'a été présenté sur les projets comportant des exigences de rapport spécifiques et des questions en suspens nécessitant un examen individuel.</w:t>
      </w:r>
    </w:p>
    <w:p w14:paraId="30BDB929" w14:textId="77777777" w:rsidR="003E5C5A" w:rsidRPr="006B0C18" w:rsidRDefault="003E5C5A" w:rsidP="003E5C5A">
      <w:pPr>
        <w:pStyle w:val="Heading3"/>
        <w:numPr>
          <w:ilvl w:val="0"/>
          <w:numId w:val="0"/>
        </w:numPr>
        <w:ind w:firstLine="624"/>
        <w:jc w:val="left"/>
        <w:rPr>
          <w:b/>
          <w:sz w:val="20"/>
          <w:szCs w:val="20"/>
          <w:lang w:val="fr-FR"/>
        </w:rPr>
      </w:pPr>
      <w:r>
        <w:rPr>
          <w:b/>
          <w:sz w:val="20"/>
          <w:szCs w:val="20"/>
          <w:lang w:val="fr-FR"/>
        </w:rPr>
        <w:t>e)</w:t>
      </w:r>
      <w:r>
        <w:rPr>
          <w:b/>
          <w:sz w:val="20"/>
          <w:szCs w:val="20"/>
          <w:lang w:val="fr-FR"/>
        </w:rPr>
        <w:tab/>
        <w:t>Rapports consolidés d'achèvement de projet</w:t>
      </w:r>
    </w:p>
    <w:p w14:paraId="7618E65B" w14:textId="172A1905" w:rsidR="00865043" w:rsidRPr="006B0C18" w:rsidRDefault="006B0C18" w:rsidP="00C57BCB">
      <w:pPr>
        <w:pStyle w:val="Heading3"/>
        <w:numPr>
          <w:ilvl w:val="2"/>
          <w:numId w:val="16"/>
        </w:numPr>
        <w:ind w:left="1276" w:firstLine="0"/>
        <w:rPr>
          <w:b/>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examiné le rapport consolidé d’achèvement de projets (RAP) de 2026.</w:t>
      </w:r>
      <w:r>
        <w:rPr>
          <w:rStyle w:val="FootnoteReference"/>
          <w:sz w:val="20"/>
          <w:szCs w:val="20"/>
          <w:lang w:val="fr-FR"/>
        </w:rPr>
        <w:footnoteReference w:id="54"/>
      </w:r>
      <w:r>
        <w:rPr>
          <w:sz w:val="20"/>
          <w:szCs w:val="20"/>
          <w:lang w:val="fr-FR"/>
        </w:rPr>
        <w:t xml:space="preserve"> Il a demandé aux agences bilatérales et d’exécution de soumettre à la 99</w:t>
      </w:r>
      <w:r>
        <w:rPr>
          <w:sz w:val="20"/>
          <w:szCs w:val="20"/>
          <w:vertAlign w:val="superscript"/>
          <w:lang w:val="fr-FR"/>
        </w:rPr>
        <w:t>e</w:t>
      </w:r>
      <w:r>
        <w:rPr>
          <w:sz w:val="20"/>
          <w:szCs w:val="20"/>
          <w:lang w:val="fr-FR"/>
        </w:rPr>
        <w:t> réunion, pour examen par le Comité exécutif à sa 100</w:t>
      </w:r>
      <w:r>
        <w:rPr>
          <w:sz w:val="20"/>
          <w:szCs w:val="20"/>
          <w:vertAlign w:val="superscript"/>
          <w:lang w:val="fr-FR"/>
        </w:rPr>
        <w:t>e</w:t>
      </w:r>
      <w:r>
        <w:rPr>
          <w:sz w:val="20"/>
          <w:szCs w:val="20"/>
          <w:lang w:val="fr-FR"/>
        </w:rPr>
        <w:t xml:space="preserve"> réunion, les rapports de planification en suspens pour les accords de niveau intermédiaire et les projets individuels ou de fournir les raisons pour lesquelles elles n’ont pas été en mesure de le faire. Les agences d'exécution principales et coopérantes ont été priées de continuer à coordonner étroitement leur travail pour mettre la dernière main aux sections des RAP qui leur incombent, l'objectif étant de faciliter la soumission des rapports par l'agence d'exécution principale en temps utile ; Les </w:t>
      </w:r>
      <w:bookmarkStart w:id="2" w:name="_Hlk134511359"/>
      <w:r>
        <w:rPr>
          <w:sz w:val="20"/>
          <w:szCs w:val="20"/>
          <w:lang w:val="fr-FR"/>
        </w:rPr>
        <w:t xml:space="preserve">agences bilatérales et d’exécution ont été priées, lors de la saisie des données pour la soumission des RAP, de veiller à inclure des informations pertinentes et utiles et de rendre compte des enseignements tirés et des raisons des retards dans la mise en œuvre des projets afin qu’ils puissent être utilisés pour améliorer la conception et la mise en œuvre des projets futurs. </w:t>
      </w:r>
      <w:bookmarkEnd w:id="2"/>
      <w:r>
        <w:rPr>
          <w:sz w:val="20"/>
          <w:szCs w:val="20"/>
          <w:lang w:val="fr-FR"/>
        </w:rPr>
        <w:t>Tous ceux qui participent à la préparation et à la mise en œuvre des accords pluriannuels et des projets individuels, en particulier le Secrétariat du Fonds et les agences bilatérales et d’exécution, ont été invités à prendre en considération les enseignements tirés des rapports d'achèvement de projet, le cas échéant (décision 98/17).</w:t>
      </w:r>
    </w:p>
    <w:p w14:paraId="24EA6B95" w14:textId="3C4F5777" w:rsidR="00E41EC7" w:rsidRPr="006B0C18" w:rsidRDefault="009C038C" w:rsidP="00E41EC7">
      <w:pPr>
        <w:pStyle w:val="Heading2"/>
        <w:keepNext/>
        <w:widowControl/>
        <w:numPr>
          <w:ilvl w:val="0"/>
          <w:numId w:val="0"/>
        </w:numPr>
        <w:ind w:firstLine="624"/>
        <w:rPr>
          <w:b/>
          <w:bCs/>
          <w:sz w:val="24"/>
          <w:szCs w:val="24"/>
          <w:lang w:val="fr-FR"/>
        </w:rPr>
      </w:pPr>
      <w:r>
        <w:rPr>
          <w:b/>
          <w:bCs/>
          <w:sz w:val="24"/>
          <w:szCs w:val="24"/>
          <w:lang w:val="fr-FR"/>
        </w:rPr>
        <w:t>D.</w:t>
      </w:r>
      <w:r>
        <w:rPr>
          <w:b/>
          <w:bCs/>
          <w:sz w:val="24"/>
          <w:szCs w:val="24"/>
          <w:lang w:val="fr-FR"/>
        </w:rPr>
        <w:tab/>
        <w:t>Évaluation</w:t>
      </w:r>
    </w:p>
    <w:p w14:paraId="4E926E4A" w14:textId="1ADC7967" w:rsidR="00CA1473" w:rsidRPr="006B0C18" w:rsidRDefault="006B0C18" w:rsidP="00CA1473">
      <w:pPr>
        <w:pStyle w:val="Heading3"/>
        <w:numPr>
          <w:ilvl w:val="0"/>
          <w:numId w:val="0"/>
        </w:numPr>
        <w:ind w:firstLine="624"/>
        <w:jc w:val="left"/>
        <w:rPr>
          <w:b/>
          <w:bCs/>
          <w:sz w:val="20"/>
          <w:szCs w:val="20"/>
          <w:lang w:val="fr-FR"/>
        </w:rPr>
      </w:pPr>
      <w:r>
        <w:rPr>
          <w:b/>
          <w:bCs/>
          <w:sz w:val="20"/>
          <w:szCs w:val="20"/>
          <w:lang w:val="fr-FR"/>
        </w:rPr>
        <w:t>a)</w:t>
      </w:r>
      <w:r>
        <w:rPr>
          <w:b/>
          <w:lang w:val="fr-FR"/>
        </w:rPr>
        <w:tab/>
      </w:r>
      <w:r>
        <w:rPr>
          <w:b/>
          <w:sz w:val="20"/>
          <w:szCs w:val="20"/>
          <w:lang w:val="fr-FR"/>
        </w:rPr>
        <w:t>Efficacité des agences d'exécution</w:t>
      </w:r>
    </w:p>
    <w:p w14:paraId="629DDE2E" w14:textId="3A3F9095" w:rsidR="00CA1473" w:rsidRPr="006B0C18" w:rsidRDefault="00CA1473" w:rsidP="00C57BCB">
      <w:pPr>
        <w:pStyle w:val="Heading3"/>
        <w:numPr>
          <w:ilvl w:val="2"/>
          <w:numId w:val="16"/>
        </w:numPr>
        <w:ind w:left="1276" w:firstLine="0"/>
        <w:rPr>
          <w:bCs/>
          <w:sz w:val="20"/>
          <w:szCs w:val="20"/>
          <w:lang w:val="fr-FR"/>
        </w:rPr>
      </w:pPr>
      <w:r>
        <w:rPr>
          <w:bCs/>
          <w:sz w:val="20"/>
          <w:szCs w:val="20"/>
          <w:lang w:val="fr-FR"/>
        </w:rPr>
        <w:t>À sa 97</w:t>
      </w:r>
      <w:r>
        <w:rPr>
          <w:bCs/>
          <w:sz w:val="20"/>
          <w:szCs w:val="20"/>
          <w:vertAlign w:val="superscript"/>
          <w:lang w:val="fr-FR"/>
        </w:rPr>
        <w:t>e</w:t>
      </w:r>
      <w:r>
        <w:rPr>
          <w:bCs/>
          <w:sz w:val="20"/>
          <w:szCs w:val="20"/>
          <w:lang w:val="fr-FR"/>
        </w:rPr>
        <w:t> réunion, le Comité exécutif a pris note de l'évaluation de l'efficacité des agences d'exécution au regard de leurs plans d'activités pour 2024.</w:t>
      </w:r>
      <w:r>
        <w:rPr>
          <w:bCs/>
          <w:sz w:val="20"/>
          <w:szCs w:val="20"/>
          <w:vertAlign w:val="superscript"/>
          <w:lang w:val="fr-FR"/>
        </w:rPr>
        <w:footnoteReference w:id="55"/>
      </w:r>
      <w:r>
        <w:rPr>
          <w:bCs/>
          <w:sz w:val="20"/>
          <w:szCs w:val="20"/>
          <w:lang w:val="fr-FR"/>
        </w:rPr>
        <w:t xml:space="preserve"> Toutes les agences d’exécution ont fait l’objet d’une évaluation quantitative de leurs performances pour 2024 d’au moins 84 sur une échelle </w:t>
      </w:r>
      <w:r>
        <w:rPr>
          <w:bCs/>
          <w:sz w:val="20"/>
          <w:szCs w:val="20"/>
          <w:lang w:val="fr-FR"/>
        </w:rPr>
        <w:lastRenderedPageBreak/>
        <w:t xml:space="preserve">de 100 ; la performance du PNUD et du PNUE en 2024 s'est améliorée par rapport à 2023. </w:t>
      </w:r>
      <w:bookmarkStart w:id="3" w:name="_Hlk162872086"/>
      <w:r>
        <w:rPr>
          <w:bCs/>
          <w:sz w:val="20"/>
          <w:szCs w:val="20"/>
          <w:lang w:val="fr-FR"/>
        </w:rPr>
        <w:t>L’analyse des tendances a toutefois indiqué qu’en 2024, pour certains indicateurs, l’efficacité des organismes d’exécution avait stagné par rapport à 2023. Le Comité a noté avec satisfaction</w:t>
      </w:r>
      <w:bookmarkEnd w:id="3"/>
      <w:r>
        <w:rPr>
          <w:bCs/>
          <w:sz w:val="20"/>
          <w:szCs w:val="20"/>
          <w:lang w:val="fr-FR"/>
        </w:rPr>
        <w:t xml:space="preserve"> les efforts entrepris par les agences bilatérales et d'exécution pour avoir des discussions ouvertes et constructives avec les unités nationales respectives de l'Ozone au sujet des domaines dans lesquels leurs services étaient jugés insatisfaisants et que le résultat de leurs consultations avec les unités nationales de l'Ozone concernées ait été satisfaisant. Le Comité exécutif a encouragé les unités nationales de l’Ozone à soumettre chaque année et en temps opportun leurs évaluations qualitatives de l'efficacité des agences bilatérales et d’exécution dans l’assistance apportée à leurs gouvernements respectifs (décision 97/7).</w:t>
      </w:r>
    </w:p>
    <w:p w14:paraId="5D61679F" w14:textId="77777777" w:rsidR="00CA1473" w:rsidRPr="006B0C18" w:rsidRDefault="00CA1473" w:rsidP="00CA1473">
      <w:pPr>
        <w:pStyle w:val="Heading3"/>
        <w:numPr>
          <w:ilvl w:val="0"/>
          <w:numId w:val="0"/>
        </w:numPr>
        <w:ind w:left="1248" w:hanging="624"/>
        <w:jc w:val="left"/>
        <w:rPr>
          <w:b/>
          <w:sz w:val="20"/>
          <w:szCs w:val="20"/>
          <w:lang w:val="fr-FR"/>
        </w:rPr>
      </w:pPr>
      <w:r>
        <w:rPr>
          <w:b/>
          <w:sz w:val="20"/>
          <w:szCs w:val="20"/>
          <w:lang w:val="fr-FR"/>
        </w:rPr>
        <w:t>b)</w:t>
      </w:r>
      <w:r>
        <w:rPr>
          <w:b/>
          <w:sz w:val="20"/>
          <w:szCs w:val="20"/>
          <w:lang w:val="fr-FR"/>
        </w:rPr>
        <w:tab/>
        <w:t>Rapport annuel sur la mise en œuvre du programme de travail de suivi et d’évaluation pour 2025 et du programme de travail mis à jour pour 2026</w:t>
      </w:r>
    </w:p>
    <w:p w14:paraId="7CD12197" w14:textId="587AE93C" w:rsidR="00CA1473" w:rsidRPr="006B0C18" w:rsidRDefault="006B0C18" w:rsidP="00C57BCB">
      <w:pPr>
        <w:pStyle w:val="Heading3"/>
        <w:numPr>
          <w:ilvl w:val="2"/>
          <w:numId w:val="16"/>
        </w:numPr>
        <w:ind w:left="1276" w:firstLine="0"/>
        <w:rPr>
          <w:b/>
          <w:bCs/>
          <w:sz w:val="20"/>
          <w:szCs w:val="20"/>
          <w:lang w:val="fr-FR" w:bidi="hi-IN"/>
        </w:rPr>
      </w:pPr>
      <w:r>
        <w:rPr>
          <w:sz w:val="20"/>
          <w:szCs w:val="20"/>
          <w:lang w:val="fr-FR"/>
        </w:rPr>
        <w:t>À sa 97</w:t>
      </w:r>
      <w:r>
        <w:rPr>
          <w:sz w:val="20"/>
          <w:szCs w:val="20"/>
          <w:vertAlign w:val="superscript"/>
          <w:lang w:val="fr-FR"/>
        </w:rPr>
        <w:t>e</w:t>
      </w:r>
      <w:r>
        <w:rPr>
          <w:sz w:val="20"/>
          <w:szCs w:val="20"/>
          <w:lang w:val="fr-FR"/>
        </w:rPr>
        <w:t> réunion, le Comité exécutif a examiné le rapport annuel sur la mise en œuvre du programme de travail de suivi et d’évaluation pour 2025, y compris sur l’expérience pilote d’un cycle biennal pour le programme de travail et le budget, ainsi que le programme de travail d’évaluation pour 2026.</w:t>
      </w:r>
      <w:r>
        <w:rPr>
          <w:rStyle w:val="FootnoteReference"/>
          <w:sz w:val="20"/>
          <w:szCs w:val="20"/>
          <w:lang w:val="fr-FR"/>
        </w:rPr>
        <w:footnoteReference w:id="56"/>
      </w:r>
      <w:r>
        <w:rPr>
          <w:sz w:val="20"/>
          <w:szCs w:val="20"/>
          <w:lang w:val="fr-FR"/>
        </w:rPr>
        <w:t xml:space="preserve"> Le Comité exécutif a approuvé le programme de </w:t>
      </w:r>
      <w:r>
        <w:rPr>
          <w:color w:val="000000" w:themeColor="text1"/>
          <w:sz w:val="20"/>
          <w:szCs w:val="20"/>
          <w:lang w:val="fr-FR"/>
        </w:rPr>
        <w:t>travail d'évaluation pour 2026 joint au rapport de</w:t>
      </w:r>
      <w:r>
        <w:rPr>
          <w:sz w:val="20"/>
          <w:szCs w:val="20"/>
          <w:lang w:val="fr-FR"/>
        </w:rPr>
        <w:t xml:space="preserve"> la présente réunion</w:t>
      </w:r>
      <w:r>
        <w:rPr>
          <w:rStyle w:val="FootnoteReference"/>
          <w:sz w:val="20"/>
          <w:szCs w:val="20"/>
          <w:lang w:val="fr-FR"/>
        </w:rPr>
        <w:footnoteReference w:id="57"/>
      </w:r>
      <w:r>
        <w:rPr>
          <w:sz w:val="20"/>
          <w:szCs w:val="20"/>
          <w:lang w:val="fr-FR"/>
        </w:rPr>
        <w:t>, en faisant observer que le solde provisoire restant du budget 2025, s’élevant à 131 759 $US, serait reporté au budget d’évaluation correspondant pour 2026 (décision 97/8).</w:t>
      </w:r>
    </w:p>
    <w:p w14:paraId="101A40E1" w14:textId="4C1AAE71" w:rsidR="001D4217" w:rsidRPr="006B0C18" w:rsidRDefault="00182CF0" w:rsidP="00244D65">
      <w:pPr>
        <w:pStyle w:val="Heading2"/>
        <w:keepNext/>
        <w:widowControl/>
        <w:numPr>
          <w:ilvl w:val="0"/>
          <w:numId w:val="0"/>
        </w:numPr>
        <w:ind w:firstLine="624"/>
        <w:jc w:val="left"/>
        <w:rPr>
          <w:b/>
          <w:bCs/>
          <w:sz w:val="24"/>
          <w:szCs w:val="24"/>
          <w:lang w:val="fr-FR"/>
        </w:rPr>
      </w:pPr>
      <w:r>
        <w:rPr>
          <w:b/>
          <w:bCs/>
          <w:sz w:val="24"/>
          <w:szCs w:val="24"/>
          <w:lang w:val="fr-FR"/>
        </w:rPr>
        <w:t>E.</w:t>
      </w:r>
      <w:r>
        <w:rPr>
          <w:b/>
          <w:bCs/>
          <w:sz w:val="24"/>
          <w:szCs w:val="24"/>
          <w:lang w:val="fr-FR"/>
        </w:rPr>
        <w:tab/>
        <w:t>Planification des activités et questions financières</w:t>
      </w:r>
    </w:p>
    <w:p w14:paraId="5A37B5DA" w14:textId="77777777" w:rsidR="001D4217" w:rsidRPr="006B0C18" w:rsidRDefault="001D4217" w:rsidP="00CA1473">
      <w:pPr>
        <w:pStyle w:val="Heading3"/>
        <w:numPr>
          <w:ilvl w:val="0"/>
          <w:numId w:val="0"/>
        </w:numPr>
        <w:ind w:left="1248" w:hanging="624"/>
        <w:jc w:val="left"/>
        <w:rPr>
          <w:b/>
          <w:sz w:val="20"/>
          <w:szCs w:val="20"/>
          <w:lang w:val="fr-FR"/>
        </w:rPr>
      </w:pPr>
      <w:r>
        <w:rPr>
          <w:b/>
          <w:bCs/>
          <w:sz w:val="20"/>
          <w:szCs w:val="20"/>
          <w:lang w:val="fr-FR"/>
        </w:rPr>
        <w:t>1.</w:t>
      </w:r>
      <w:r>
        <w:rPr>
          <w:b/>
          <w:bCs/>
          <w:sz w:val="20"/>
          <w:szCs w:val="20"/>
          <w:lang w:val="fr-FR"/>
        </w:rPr>
        <w:tab/>
      </w:r>
      <w:r>
        <w:rPr>
          <w:b/>
          <w:lang w:val="fr-FR"/>
        </w:rPr>
        <w:t>Planification des</w:t>
      </w:r>
      <w:r>
        <w:rPr>
          <w:b/>
          <w:bCs/>
          <w:sz w:val="20"/>
          <w:szCs w:val="20"/>
          <w:lang w:val="fr-FR"/>
        </w:rPr>
        <w:t xml:space="preserve"> activités</w:t>
      </w:r>
    </w:p>
    <w:p w14:paraId="136F2C1F" w14:textId="35AC72B7" w:rsidR="00CA1473" w:rsidRPr="006B0C18" w:rsidRDefault="00CA1473" w:rsidP="00C57BCB">
      <w:pPr>
        <w:pStyle w:val="Heading3"/>
        <w:numPr>
          <w:ilvl w:val="2"/>
          <w:numId w:val="16"/>
        </w:numPr>
        <w:ind w:left="1276" w:firstLine="0"/>
        <w:rPr>
          <w:sz w:val="20"/>
          <w:szCs w:val="20"/>
          <w:lang w:val="fr-FR"/>
        </w:rPr>
      </w:pPr>
      <w:r>
        <w:rPr>
          <w:sz w:val="20"/>
          <w:szCs w:val="20"/>
          <w:lang w:val="fr-FR"/>
        </w:rPr>
        <w:t>À sa 97</w:t>
      </w:r>
      <w:r>
        <w:rPr>
          <w:sz w:val="20"/>
          <w:szCs w:val="20"/>
          <w:vertAlign w:val="superscript"/>
          <w:lang w:val="fr-FR"/>
        </w:rPr>
        <w:t>e</w:t>
      </w:r>
      <w:r>
        <w:rPr>
          <w:sz w:val="20"/>
          <w:szCs w:val="20"/>
          <w:lang w:val="fr-FR"/>
        </w:rPr>
        <w:t> réunion, le Comité exécutif a examiné une mise à jour sur l’état d’avancement de la mise en œuvre du plan d’activités consolidé du Fonds multilatéral pour la période 2025-2027,</w:t>
      </w:r>
      <w:r>
        <w:rPr>
          <w:sz w:val="20"/>
          <w:szCs w:val="20"/>
          <w:vertAlign w:val="superscript"/>
          <w:lang w:val="fr-FR"/>
        </w:rPr>
        <w:footnoteReference w:id="58"/>
      </w:r>
      <w:r>
        <w:rPr>
          <w:sz w:val="20"/>
          <w:szCs w:val="20"/>
          <w:lang w:val="fr-FR"/>
        </w:rPr>
        <w:t xml:space="preserve"> relevant la valeur totale des activités soumises à la 97</w:t>
      </w:r>
      <w:r>
        <w:rPr>
          <w:sz w:val="20"/>
          <w:szCs w:val="20"/>
          <w:vertAlign w:val="superscript"/>
          <w:lang w:val="fr-FR"/>
        </w:rPr>
        <w:t>e</w:t>
      </w:r>
      <w:r>
        <w:rPr>
          <w:sz w:val="20"/>
          <w:szCs w:val="20"/>
          <w:lang w:val="fr-FR"/>
        </w:rPr>
        <w:t> réunion (décision 97/23).</w:t>
      </w:r>
    </w:p>
    <w:p w14:paraId="2AFC51E4" w14:textId="7B710668" w:rsidR="00CA1473" w:rsidRPr="006B0C18" w:rsidRDefault="006B0C18" w:rsidP="00C57BCB">
      <w:pPr>
        <w:pStyle w:val="Heading3"/>
        <w:numPr>
          <w:ilvl w:val="2"/>
          <w:numId w:val="16"/>
        </w:numPr>
        <w:ind w:left="1276" w:firstLine="0"/>
        <w:rPr>
          <w:bCs/>
          <w:sz w:val="20"/>
          <w:szCs w:val="20"/>
          <w:lang w:val="fr-FR"/>
        </w:rPr>
      </w:pPr>
      <w:r>
        <w:rPr>
          <w:bCs/>
          <w:sz w:val="20"/>
          <w:szCs w:val="20"/>
          <w:lang w:val="fr-FR"/>
        </w:rPr>
        <w:t>À sa 97</w:t>
      </w:r>
      <w:r>
        <w:rPr>
          <w:bCs/>
          <w:sz w:val="20"/>
          <w:szCs w:val="20"/>
          <w:vertAlign w:val="superscript"/>
          <w:lang w:val="fr-FR"/>
        </w:rPr>
        <w:t>e</w:t>
      </w:r>
      <w:r>
        <w:rPr>
          <w:bCs/>
          <w:sz w:val="20"/>
          <w:szCs w:val="20"/>
          <w:lang w:val="fr-FR"/>
        </w:rPr>
        <w:t> réunion, le Comité exécutif a également examiné le plan d’activités consolidé du Fonds multilatéral pour la période 2026-2028.</w:t>
      </w:r>
      <w:r>
        <w:rPr>
          <w:bCs/>
          <w:sz w:val="20"/>
          <w:szCs w:val="20"/>
          <w:vertAlign w:val="superscript"/>
          <w:lang w:val="fr-FR"/>
        </w:rPr>
        <w:footnoteReference w:id="59"/>
      </w:r>
      <w:r>
        <w:rPr>
          <w:bCs/>
          <w:sz w:val="20"/>
          <w:szCs w:val="20"/>
          <w:lang w:val="fr-FR"/>
        </w:rPr>
        <w:t xml:space="preserve"> Après avoir apporté un certain nombre d'ajustements, il a approuvé le plan d'affaires consolidé pour 2026-2028, en précisant que cette approbation ne valait pas approbation des projets qui y étaient identifiés, ni de leur financement ou de leur tonnage. Le Comité a également demandé au Secrétariat du Fonds de préparer un bref document à examiner par le Comité exécutif lors de sa 99</w:t>
      </w:r>
      <w:r>
        <w:rPr>
          <w:bCs/>
          <w:sz w:val="20"/>
          <w:szCs w:val="20"/>
          <w:vertAlign w:val="superscript"/>
          <w:lang w:val="fr-FR"/>
        </w:rPr>
        <w:t>e</w:t>
      </w:r>
      <w:r>
        <w:rPr>
          <w:bCs/>
          <w:sz w:val="20"/>
          <w:szCs w:val="20"/>
          <w:lang w:val="fr-FR"/>
        </w:rPr>
        <w:t> réunion sur la mise à jour des lignes directrices relatives à la préparation des projets pour la phase I des KIP en vue de leur utilisation lors de la préparation de la phase II des KIP (décision 97/24). Le Comité exécutif a également examiné les</w:t>
      </w:r>
      <w:r>
        <w:rPr>
          <w:bCs/>
          <w:sz w:val="20"/>
          <w:szCs w:val="20"/>
          <w:lang w:val="fr-FR"/>
        </w:rPr>
        <w:br/>
        <w:t>Plans d’activités 2026-2028 des agences bilatérales</w:t>
      </w:r>
      <w:r>
        <w:rPr>
          <w:bCs/>
          <w:sz w:val="20"/>
          <w:szCs w:val="20"/>
          <w:vertAlign w:val="superscript"/>
          <w:lang w:val="fr-FR"/>
        </w:rPr>
        <w:footnoteReference w:id="60"/>
      </w:r>
      <w:r>
        <w:rPr>
          <w:bCs/>
          <w:sz w:val="20"/>
          <w:szCs w:val="20"/>
          <w:lang w:val="fr-FR"/>
        </w:rPr>
        <w:t xml:space="preserve"> (gouvernements de l'Australie, de la France, de l’Allemagne, de l’Italie et du Royaume-Uni de Grande-Bretagne et d’Irlande du Nord) ainsi que ceux  du PNUD,</w:t>
      </w:r>
      <w:r>
        <w:rPr>
          <w:bCs/>
          <w:sz w:val="20"/>
          <w:szCs w:val="20"/>
          <w:vertAlign w:val="superscript"/>
          <w:lang w:val="fr-FR"/>
        </w:rPr>
        <w:footnoteReference w:id="61"/>
      </w:r>
      <w:r>
        <w:rPr>
          <w:bCs/>
          <w:sz w:val="20"/>
          <w:szCs w:val="20"/>
          <w:lang w:val="fr-FR"/>
        </w:rPr>
        <w:t xml:space="preserve"> du PNUE,</w:t>
      </w:r>
      <w:r>
        <w:rPr>
          <w:bCs/>
          <w:sz w:val="20"/>
          <w:szCs w:val="20"/>
          <w:vertAlign w:val="superscript"/>
          <w:lang w:val="fr-FR"/>
        </w:rPr>
        <w:footnoteReference w:id="62"/>
      </w:r>
      <w:r>
        <w:rPr>
          <w:bCs/>
          <w:sz w:val="20"/>
          <w:szCs w:val="20"/>
          <w:lang w:val="fr-FR"/>
        </w:rPr>
        <w:t xml:space="preserve"> de l'ONUDI</w:t>
      </w:r>
      <w:r>
        <w:rPr>
          <w:bCs/>
          <w:sz w:val="20"/>
          <w:szCs w:val="20"/>
          <w:vertAlign w:val="superscript"/>
          <w:lang w:val="fr-FR"/>
        </w:rPr>
        <w:footnoteReference w:id="63"/>
      </w:r>
      <w:r>
        <w:rPr>
          <w:bCs/>
          <w:sz w:val="20"/>
          <w:szCs w:val="20"/>
          <w:lang w:val="fr-FR"/>
        </w:rPr>
        <w:t xml:space="preserve"> et de la Banque mondiale.</w:t>
      </w:r>
      <w:r>
        <w:rPr>
          <w:bCs/>
          <w:sz w:val="20"/>
          <w:szCs w:val="20"/>
          <w:vertAlign w:val="superscript"/>
          <w:lang w:val="fr-FR"/>
        </w:rPr>
        <w:footnoteReference w:id="64"/>
      </w:r>
      <w:r>
        <w:rPr>
          <w:bCs/>
          <w:sz w:val="20"/>
          <w:szCs w:val="20"/>
          <w:lang w:val="fr-FR"/>
        </w:rPr>
        <w:t xml:space="preserve"> Prenant acte de ces plans, le Comité exécutif a approuvé les indicateurs d'efficacité du PNUD, du PNUE, de l’ONUDI et de la Banque mondiale, tels qu'ils figurent dans les annexes y relatives au rapport de la présente réunion</w:t>
      </w:r>
      <w:r>
        <w:rPr>
          <w:bCs/>
          <w:sz w:val="20"/>
          <w:szCs w:val="20"/>
          <w:vertAlign w:val="superscript"/>
          <w:lang w:val="fr-FR"/>
        </w:rPr>
        <w:footnoteReference w:id="65"/>
      </w:r>
      <w:r>
        <w:rPr>
          <w:bCs/>
          <w:sz w:val="20"/>
          <w:szCs w:val="20"/>
          <w:lang w:val="fr-FR"/>
        </w:rPr>
        <w:t xml:space="preserve"> (décisions 97/25 à 97/29).</w:t>
      </w:r>
    </w:p>
    <w:p w14:paraId="6A714805" w14:textId="3CBB36CB" w:rsidR="0040579D" w:rsidRPr="006B0C18" w:rsidRDefault="00CA1473" w:rsidP="00C57BCB">
      <w:pPr>
        <w:pStyle w:val="Heading3"/>
        <w:numPr>
          <w:ilvl w:val="2"/>
          <w:numId w:val="16"/>
        </w:numPr>
        <w:ind w:left="1276" w:firstLine="0"/>
        <w:rPr>
          <w:sz w:val="20"/>
          <w:szCs w:val="20"/>
          <w:lang w:val="fr-FR"/>
        </w:rPr>
      </w:pPr>
      <w:r>
        <w:rPr>
          <w:sz w:val="20"/>
          <w:szCs w:val="20"/>
          <w:lang w:val="fr-FR"/>
        </w:rPr>
        <w:t>À sa 98</w:t>
      </w:r>
      <w:r>
        <w:rPr>
          <w:sz w:val="20"/>
          <w:szCs w:val="20"/>
          <w:vertAlign w:val="superscript"/>
          <w:lang w:val="fr-FR"/>
        </w:rPr>
        <w:t>e</w:t>
      </w:r>
      <w:r>
        <w:rPr>
          <w:sz w:val="20"/>
          <w:szCs w:val="20"/>
          <w:lang w:val="fr-FR"/>
        </w:rPr>
        <w:t> réunion, le Comité exécutif a examiné une mise à jour sur l'état d'avancement de la mise en œuvre du plan d'activités consolidé 2026-2028,</w:t>
      </w:r>
      <w:r>
        <w:rPr>
          <w:rStyle w:val="FootnoteReference"/>
          <w:sz w:val="20"/>
          <w:szCs w:val="20"/>
          <w:lang w:val="fr-FR"/>
        </w:rPr>
        <w:footnoteReference w:id="66"/>
      </w:r>
      <w:r>
        <w:rPr>
          <w:sz w:val="20"/>
          <w:szCs w:val="20"/>
          <w:lang w:val="fr-FR"/>
        </w:rPr>
        <w:t xml:space="preserve"> relevant la valeur totale des activités soumises à la 98</w:t>
      </w:r>
      <w:r>
        <w:rPr>
          <w:sz w:val="20"/>
          <w:szCs w:val="20"/>
          <w:vertAlign w:val="superscript"/>
          <w:lang w:val="fr-FR"/>
        </w:rPr>
        <w:t>e</w:t>
      </w:r>
      <w:r>
        <w:rPr>
          <w:sz w:val="20"/>
          <w:szCs w:val="20"/>
          <w:lang w:val="fr-FR"/>
        </w:rPr>
        <w:t> réunion (décision 98/18).</w:t>
      </w:r>
    </w:p>
    <w:p w14:paraId="6D745BA2" w14:textId="77777777" w:rsidR="00244D65" w:rsidRPr="006B0C18" w:rsidRDefault="00244D65" w:rsidP="00FF2809">
      <w:pPr>
        <w:pStyle w:val="Heading1"/>
        <w:keepNext/>
        <w:numPr>
          <w:ilvl w:val="0"/>
          <w:numId w:val="0"/>
        </w:numPr>
        <w:ind w:firstLine="624"/>
        <w:jc w:val="left"/>
        <w:rPr>
          <w:b/>
          <w:bCs/>
          <w:sz w:val="20"/>
          <w:szCs w:val="20"/>
          <w:lang w:val="fr-FR"/>
        </w:rPr>
      </w:pPr>
      <w:r>
        <w:rPr>
          <w:b/>
          <w:bCs/>
          <w:sz w:val="20"/>
          <w:szCs w:val="20"/>
          <w:lang w:val="fr-FR"/>
        </w:rPr>
        <w:lastRenderedPageBreak/>
        <w:t>2.</w:t>
      </w:r>
      <w:r>
        <w:rPr>
          <w:b/>
          <w:bCs/>
          <w:sz w:val="20"/>
          <w:szCs w:val="20"/>
          <w:lang w:val="fr-FR"/>
        </w:rPr>
        <w:tab/>
        <w:t>Questions financières</w:t>
      </w:r>
    </w:p>
    <w:p w14:paraId="23EC3B28" w14:textId="77777777" w:rsidR="00244D65" w:rsidRPr="006B0C18" w:rsidRDefault="00244D65" w:rsidP="00FF2809">
      <w:pPr>
        <w:pStyle w:val="Heading1"/>
        <w:keepNext/>
        <w:numPr>
          <w:ilvl w:val="0"/>
          <w:numId w:val="0"/>
        </w:numPr>
        <w:spacing w:before="240"/>
        <w:ind w:firstLine="624"/>
        <w:jc w:val="left"/>
        <w:rPr>
          <w:b/>
          <w:sz w:val="20"/>
          <w:szCs w:val="20"/>
          <w:lang w:val="fr-FR"/>
        </w:rPr>
      </w:pPr>
      <w:r>
        <w:rPr>
          <w:b/>
          <w:sz w:val="20"/>
          <w:szCs w:val="20"/>
          <w:lang w:val="fr-FR"/>
        </w:rPr>
        <w:t>a)</w:t>
      </w:r>
      <w:r>
        <w:rPr>
          <w:b/>
          <w:sz w:val="20"/>
          <w:szCs w:val="20"/>
          <w:lang w:val="fr-FR"/>
        </w:rPr>
        <w:tab/>
        <w:t>Situation du Fonds multilatéral</w:t>
      </w:r>
    </w:p>
    <w:p w14:paraId="3F09757F" w14:textId="134FB02A" w:rsidR="00CA1473" w:rsidRPr="006B0C18" w:rsidRDefault="00CA1473" w:rsidP="00C57BCB">
      <w:pPr>
        <w:pStyle w:val="Heading3"/>
        <w:numPr>
          <w:ilvl w:val="2"/>
          <w:numId w:val="16"/>
        </w:numPr>
        <w:ind w:left="1276" w:firstLine="0"/>
        <w:rPr>
          <w:bCs/>
          <w:sz w:val="20"/>
          <w:szCs w:val="20"/>
          <w:lang w:val="fr-FR"/>
        </w:rPr>
      </w:pPr>
      <w:r>
        <w:rPr>
          <w:bCs/>
          <w:sz w:val="20"/>
          <w:szCs w:val="20"/>
          <w:lang w:val="fr-FR"/>
        </w:rPr>
        <w:t>Au 19 juin 2026, le revenu total du Fonds multilatéral, y compris les paiements en espèces, les billets à ordre détenus, les contributions bilatérales, les intérêts perçus et les revenus divers, s'élevait à 5 297 824 839 $US, et le total des allocations, y compris les provisions, s'élevait à 4 599 972 341 $US. Le solde disponible s'élevait donc à 697 852 498 $US.</w:t>
      </w:r>
      <w:r>
        <w:rPr>
          <w:rStyle w:val="FootnoteReference"/>
          <w:bCs/>
          <w:sz w:val="20"/>
          <w:szCs w:val="20"/>
          <w:lang w:val="fr-FR"/>
        </w:rPr>
        <w:footnoteReference w:id="67"/>
      </w:r>
    </w:p>
    <w:p w14:paraId="5B9FF51E" w14:textId="77777777" w:rsidR="00244D65" w:rsidRPr="006B0C18" w:rsidRDefault="00244D65" w:rsidP="00FF2809">
      <w:pPr>
        <w:pStyle w:val="Heading1"/>
        <w:keepNext/>
        <w:numPr>
          <w:ilvl w:val="0"/>
          <w:numId w:val="0"/>
        </w:numPr>
        <w:spacing w:before="240"/>
        <w:ind w:firstLine="624"/>
        <w:jc w:val="left"/>
        <w:rPr>
          <w:b/>
          <w:sz w:val="20"/>
          <w:szCs w:val="20"/>
          <w:lang w:val="fr-FR"/>
        </w:rPr>
      </w:pPr>
      <w:r>
        <w:rPr>
          <w:b/>
          <w:sz w:val="20"/>
          <w:szCs w:val="20"/>
          <w:lang w:val="fr-FR"/>
        </w:rPr>
        <w:t>b)</w:t>
      </w:r>
      <w:r>
        <w:rPr>
          <w:b/>
          <w:sz w:val="20"/>
          <w:szCs w:val="20"/>
          <w:lang w:val="fr-FR"/>
        </w:rPr>
        <w:tab/>
        <w:t>Contributions et dépenses, soldes et ressources, comptes et budgets</w:t>
      </w:r>
    </w:p>
    <w:p w14:paraId="1A3EED28" w14:textId="438FA0F9" w:rsidR="000C3CE5" w:rsidRPr="001844B2" w:rsidRDefault="00CA1473" w:rsidP="00C57BCB">
      <w:pPr>
        <w:pStyle w:val="Heading3"/>
        <w:numPr>
          <w:ilvl w:val="2"/>
          <w:numId w:val="16"/>
        </w:numPr>
        <w:ind w:left="1276" w:firstLine="0"/>
        <w:rPr>
          <w:bCs/>
          <w:sz w:val="20"/>
          <w:szCs w:val="20"/>
          <w:lang w:val="fr-FR"/>
        </w:rPr>
      </w:pPr>
      <w:r>
        <w:rPr>
          <w:bCs/>
          <w:sz w:val="20"/>
          <w:szCs w:val="20"/>
          <w:lang w:val="fr-FR"/>
        </w:rPr>
        <w:t>À sa 97</w:t>
      </w:r>
      <w:r>
        <w:rPr>
          <w:bCs/>
          <w:sz w:val="20"/>
          <w:szCs w:val="20"/>
          <w:vertAlign w:val="superscript"/>
          <w:lang w:val="fr-FR"/>
        </w:rPr>
        <w:t>e</w:t>
      </w:r>
      <w:r>
        <w:rPr>
          <w:bCs/>
          <w:sz w:val="20"/>
          <w:szCs w:val="20"/>
          <w:lang w:val="fr-FR"/>
        </w:rPr>
        <w:t> réunion, le Comité exécutif a examiné le rapport du trésorier sur l'état des cotisations et des décaissements</w:t>
      </w:r>
      <w:r>
        <w:rPr>
          <w:bCs/>
          <w:sz w:val="20"/>
          <w:szCs w:val="20"/>
          <w:vertAlign w:val="superscript"/>
          <w:lang w:val="fr-FR"/>
        </w:rPr>
        <w:footnoteReference w:id="68"/>
      </w:r>
      <w:r>
        <w:rPr>
          <w:bCs/>
          <w:sz w:val="20"/>
          <w:szCs w:val="20"/>
          <w:lang w:val="fr-FR"/>
        </w:rPr>
        <w:t>, le rapport sur les soldes et la disponibilité des ressources</w:t>
      </w:r>
      <w:r>
        <w:rPr>
          <w:bCs/>
          <w:sz w:val="20"/>
          <w:szCs w:val="20"/>
          <w:vertAlign w:val="superscript"/>
          <w:lang w:val="fr-FR"/>
        </w:rPr>
        <w:footnoteReference w:id="69"/>
      </w:r>
      <w:r>
        <w:rPr>
          <w:bCs/>
          <w:sz w:val="20"/>
          <w:szCs w:val="20"/>
          <w:lang w:val="fr-FR"/>
        </w:rPr>
        <w:t>, les comptes définitifs 2024 du Fonds multilatéral</w:t>
      </w:r>
      <w:r>
        <w:rPr>
          <w:bCs/>
          <w:sz w:val="20"/>
          <w:szCs w:val="20"/>
          <w:vertAlign w:val="superscript"/>
          <w:lang w:val="fr-FR"/>
        </w:rPr>
        <w:footnoteReference w:id="70"/>
      </w:r>
      <w:r>
        <w:rPr>
          <w:bCs/>
          <w:sz w:val="20"/>
          <w:szCs w:val="20"/>
          <w:lang w:val="fr-FR"/>
        </w:rPr>
        <w:t xml:space="preserve"> et le rapprochement des comptes de 2024</w:t>
      </w:r>
      <w:r>
        <w:rPr>
          <w:bCs/>
          <w:sz w:val="20"/>
          <w:szCs w:val="20"/>
          <w:vertAlign w:val="superscript"/>
          <w:lang w:val="fr-FR"/>
        </w:rPr>
        <w:footnoteReference w:id="71"/>
      </w:r>
      <w:r>
        <w:rPr>
          <w:bCs/>
          <w:sz w:val="20"/>
          <w:szCs w:val="20"/>
          <w:lang w:val="fr-FR"/>
        </w:rPr>
        <w:t>, demandant des mesures connexes aux parties, aux organismes d’exécution, au trésorier et à la Cheffe du secrétariat (décisions 97/1 à 97/4). Il a également examiné les budgets révisés pour 2026 et 2027 ainsi que le budget proposé pour 2028 du Secrétariat du Fonds</w:t>
      </w:r>
      <w:r>
        <w:rPr>
          <w:bCs/>
          <w:sz w:val="20"/>
          <w:szCs w:val="20"/>
          <w:vertAlign w:val="superscript"/>
          <w:lang w:val="fr-FR"/>
        </w:rPr>
        <w:footnoteReference w:id="72"/>
      </w:r>
      <w:r>
        <w:rPr>
          <w:bCs/>
          <w:sz w:val="20"/>
          <w:szCs w:val="20"/>
          <w:lang w:val="fr-FR"/>
        </w:rPr>
        <w:t xml:space="preserve"> et a approuvé les budgets révisés pour 2026 et 2027 ainsi que le projet de budget 2028 du Secrétariat du Fonds annexé au rapport</w:t>
      </w:r>
      <w:r>
        <w:rPr>
          <w:rStyle w:val="FootnoteReference"/>
          <w:bCs/>
          <w:sz w:val="20"/>
          <w:szCs w:val="20"/>
          <w:lang w:val="fr-FR"/>
        </w:rPr>
        <w:footnoteReference w:id="73"/>
      </w:r>
      <w:r>
        <w:rPr>
          <w:bCs/>
          <w:sz w:val="20"/>
          <w:szCs w:val="20"/>
          <w:lang w:val="fr-FR"/>
        </w:rPr>
        <w:t xml:space="preserve"> de la 97</w:t>
      </w:r>
      <w:r>
        <w:rPr>
          <w:bCs/>
          <w:sz w:val="20"/>
          <w:szCs w:val="20"/>
          <w:vertAlign w:val="superscript"/>
          <w:lang w:val="fr-FR"/>
        </w:rPr>
        <w:t>e</w:t>
      </w:r>
      <w:r>
        <w:rPr>
          <w:bCs/>
          <w:sz w:val="20"/>
          <w:szCs w:val="20"/>
          <w:lang w:val="fr-FR"/>
        </w:rPr>
        <w:t> réunion (décision 97/5).</w:t>
      </w:r>
    </w:p>
    <w:p w14:paraId="181E03A5" w14:textId="11C36130" w:rsidR="00CA1473" w:rsidRPr="001844B2" w:rsidRDefault="00CA1473" w:rsidP="00C57BCB">
      <w:pPr>
        <w:pStyle w:val="Heading3"/>
        <w:numPr>
          <w:ilvl w:val="2"/>
          <w:numId w:val="16"/>
        </w:numPr>
        <w:ind w:left="1276" w:firstLine="0"/>
        <w:rPr>
          <w:bCs/>
          <w:sz w:val="20"/>
          <w:szCs w:val="20"/>
          <w:lang w:val="fr-FR"/>
        </w:rPr>
      </w:pPr>
      <w:r>
        <w:rPr>
          <w:bCs/>
          <w:sz w:val="20"/>
          <w:szCs w:val="20"/>
          <w:lang w:val="fr-FR"/>
        </w:rPr>
        <w:t>À sa 98</w:t>
      </w:r>
      <w:r>
        <w:rPr>
          <w:bCs/>
          <w:sz w:val="20"/>
          <w:szCs w:val="20"/>
          <w:vertAlign w:val="superscript"/>
          <w:lang w:val="fr-FR"/>
        </w:rPr>
        <w:t>e</w:t>
      </w:r>
      <w:r>
        <w:rPr>
          <w:bCs/>
          <w:sz w:val="20"/>
          <w:szCs w:val="20"/>
          <w:lang w:val="fr-FR"/>
        </w:rPr>
        <w:t> réunion, le Comité exécutif a examiné le rapport du trésorier sur l'état des cotisations et des décaissements</w:t>
      </w:r>
      <w:r>
        <w:rPr>
          <w:bCs/>
          <w:sz w:val="20"/>
          <w:szCs w:val="20"/>
          <w:vertAlign w:val="superscript"/>
          <w:lang w:val="fr-FR"/>
        </w:rPr>
        <w:footnoteReference w:id="74"/>
      </w:r>
      <w:r>
        <w:rPr>
          <w:bCs/>
          <w:sz w:val="20"/>
          <w:szCs w:val="20"/>
          <w:lang w:val="fr-FR"/>
        </w:rPr>
        <w:t xml:space="preserve"> et le rapport sur les soldes et la disponibilité des ressources</w:t>
      </w:r>
      <w:r>
        <w:rPr>
          <w:bCs/>
          <w:sz w:val="20"/>
          <w:szCs w:val="20"/>
          <w:vertAlign w:val="superscript"/>
          <w:lang w:val="fr-FR"/>
        </w:rPr>
        <w:footnoteReference w:id="75"/>
      </w:r>
      <w:r>
        <w:rPr>
          <w:bCs/>
          <w:sz w:val="20"/>
          <w:szCs w:val="20"/>
          <w:lang w:val="fr-FR"/>
        </w:rPr>
        <w:t xml:space="preserve"> et demandé des mesures connexes aux parties, aux organismes d’exécution, au trésorier et à la Cheffe du secrétariat (décisions 98/1 et 98/2).</w:t>
      </w:r>
    </w:p>
    <w:p w14:paraId="527E9593" w14:textId="315000AA" w:rsidR="00CA1473" w:rsidRPr="006B0C18" w:rsidRDefault="00CA1473" w:rsidP="00C57BCB">
      <w:pPr>
        <w:pStyle w:val="Heading3"/>
        <w:numPr>
          <w:ilvl w:val="2"/>
          <w:numId w:val="16"/>
        </w:numPr>
        <w:ind w:left="1276" w:firstLine="0"/>
        <w:rPr>
          <w:sz w:val="20"/>
          <w:szCs w:val="20"/>
          <w:lang w:val="fr-FR"/>
        </w:rPr>
      </w:pPr>
      <w:r>
        <w:rPr>
          <w:bCs/>
          <w:sz w:val="20"/>
          <w:szCs w:val="20"/>
          <w:lang w:val="fr-FR"/>
        </w:rPr>
        <w:t>À ses 97</w:t>
      </w:r>
      <w:r>
        <w:rPr>
          <w:bCs/>
          <w:sz w:val="20"/>
          <w:szCs w:val="20"/>
          <w:vertAlign w:val="superscript"/>
          <w:lang w:val="fr-FR"/>
        </w:rPr>
        <w:t>e</w:t>
      </w:r>
      <w:r>
        <w:rPr>
          <w:bCs/>
          <w:sz w:val="20"/>
          <w:szCs w:val="20"/>
          <w:lang w:val="fr-FR"/>
        </w:rPr>
        <w:t xml:space="preserve"> et 98</w:t>
      </w:r>
      <w:r>
        <w:rPr>
          <w:bCs/>
          <w:sz w:val="20"/>
          <w:szCs w:val="20"/>
          <w:vertAlign w:val="superscript"/>
          <w:lang w:val="fr-FR"/>
        </w:rPr>
        <w:t>e</w:t>
      </w:r>
      <w:r>
        <w:rPr>
          <w:bCs/>
          <w:sz w:val="20"/>
          <w:szCs w:val="20"/>
          <w:lang w:val="fr-FR"/>
        </w:rPr>
        <w:t> réunions, le Comité exécutif a demandé au Trésorier de compenser les coûts des projets bilatéraux approuvés lors de la réunion en question à l’aide des contributions bilatérales des gouvernements concernés (décisions 97/34 et 98/25).</w:t>
      </w:r>
    </w:p>
    <w:p w14:paraId="17F33C3F" w14:textId="7332910E" w:rsidR="001D4217" w:rsidRPr="006B0C18" w:rsidRDefault="00182CF0" w:rsidP="00A90811">
      <w:pPr>
        <w:pStyle w:val="Heading2"/>
        <w:keepNext/>
        <w:widowControl/>
        <w:numPr>
          <w:ilvl w:val="0"/>
          <w:numId w:val="0"/>
        </w:numPr>
        <w:ind w:firstLine="624"/>
        <w:jc w:val="left"/>
        <w:rPr>
          <w:b/>
          <w:bCs/>
          <w:sz w:val="24"/>
          <w:szCs w:val="24"/>
          <w:lang w:val="fr-FR"/>
        </w:rPr>
      </w:pPr>
      <w:r>
        <w:rPr>
          <w:b/>
          <w:bCs/>
          <w:sz w:val="24"/>
          <w:szCs w:val="24"/>
          <w:lang w:val="fr-FR"/>
        </w:rPr>
        <w:t>F.</w:t>
      </w:r>
      <w:r>
        <w:rPr>
          <w:b/>
          <w:bCs/>
          <w:sz w:val="24"/>
          <w:szCs w:val="24"/>
          <w:lang w:val="fr-FR"/>
        </w:rPr>
        <w:tab/>
        <w:t>Activités du Secrétariat du Fonds</w:t>
      </w:r>
    </w:p>
    <w:p w14:paraId="66F24E22" w14:textId="7B47C2DB" w:rsidR="00CA1473" w:rsidRPr="006B0C18" w:rsidRDefault="00CA1473" w:rsidP="00C57BCB">
      <w:pPr>
        <w:pStyle w:val="Heading3"/>
        <w:numPr>
          <w:ilvl w:val="2"/>
          <w:numId w:val="16"/>
        </w:numPr>
        <w:ind w:left="1276" w:firstLine="0"/>
        <w:rPr>
          <w:sz w:val="20"/>
          <w:szCs w:val="20"/>
          <w:lang w:val="fr-FR"/>
        </w:rPr>
      </w:pPr>
      <w:r>
        <w:rPr>
          <w:bCs/>
          <w:sz w:val="20"/>
          <w:szCs w:val="20"/>
          <w:lang w:val="fr-FR"/>
        </w:rPr>
        <w:t>À sa 97</w:t>
      </w:r>
      <w:r>
        <w:rPr>
          <w:bCs/>
          <w:sz w:val="20"/>
          <w:szCs w:val="20"/>
          <w:vertAlign w:val="superscript"/>
          <w:lang w:val="fr-FR"/>
        </w:rPr>
        <w:t>e </w:t>
      </w:r>
      <w:r>
        <w:rPr>
          <w:sz w:val="20"/>
          <w:szCs w:val="20"/>
          <w:lang w:val="fr-FR"/>
        </w:rPr>
        <w:t>réunion</w:t>
      </w:r>
      <w:r>
        <w:rPr>
          <w:sz w:val="20"/>
          <w:szCs w:val="20"/>
          <w:vertAlign w:val="superscript"/>
          <w:lang w:val="fr-FR"/>
        </w:rPr>
        <w:footnoteReference w:id="76"/>
      </w:r>
      <w:r>
        <w:rPr>
          <w:bCs/>
          <w:sz w:val="20"/>
          <w:szCs w:val="20"/>
          <w:lang w:val="fr-FR"/>
        </w:rPr>
        <w:t xml:space="preserve"> </w:t>
      </w:r>
      <w:r>
        <w:rPr>
          <w:sz w:val="20"/>
          <w:szCs w:val="20"/>
          <w:lang w:val="fr-FR"/>
        </w:rPr>
        <w:t>et à sa 98</w:t>
      </w:r>
      <w:r>
        <w:rPr>
          <w:sz w:val="20"/>
          <w:szCs w:val="20"/>
          <w:vertAlign w:val="superscript"/>
          <w:lang w:val="fr-FR"/>
        </w:rPr>
        <w:t>e </w:t>
      </w:r>
      <w:r>
        <w:rPr>
          <w:sz w:val="20"/>
          <w:szCs w:val="20"/>
          <w:lang w:val="fr-FR"/>
        </w:rPr>
        <w:t>réunion,</w:t>
      </w:r>
      <w:r>
        <w:rPr>
          <w:sz w:val="20"/>
          <w:szCs w:val="20"/>
          <w:vertAlign w:val="superscript"/>
          <w:lang w:val="fr-FR"/>
        </w:rPr>
        <w:footnoteReference w:id="77"/>
      </w:r>
      <w:r>
        <w:rPr>
          <w:sz w:val="20"/>
          <w:szCs w:val="20"/>
          <w:lang w:val="fr-FR"/>
        </w:rPr>
        <w:t xml:space="preserve">  le Comité exécutif a pris note avec satisfaction des rapports sur les activités menées par le Secrétariat du Fonds depuis la réunion précédente. Lors des deux réunions, le Comité a été informé des progrès accomplis dans le développement du système de gestion des connaissances.</w:t>
      </w:r>
    </w:p>
    <w:p w14:paraId="617BE92E" w14:textId="3BD818FC" w:rsidR="001D4217" w:rsidRPr="006B0C18" w:rsidRDefault="00A90811" w:rsidP="00A90811">
      <w:pPr>
        <w:pStyle w:val="CH1"/>
        <w:rPr>
          <w:b w:val="0"/>
          <w:lang w:val="fr-FR"/>
        </w:rPr>
      </w:pPr>
      <w:r>
        <w:rPr>
          <w:bCs/>
          <w:lang w:val="fr-FR"/>
        </w:rPr>
        <w:tab/>
        <w:t>II.</w:t>
      </w:r>
      <w:r>
        <w:rPr>
          <w:bCs/>
          <w:lang w:val="fr-FR"/>
        </w:rPr>
        <w:tab/>
        <w:t>Réalisations du Fonds multilatéral depuis sa création</w:t>
      </w:r>
      <w:r>
        <w:rPr>
          <w:rStyle w:val="FootnoteReference"/>
          <w:lang w:val="fr-FR"/>
        </w:rPr>
        <w:footnoteReference w:id="78"/>
      </w:r>
    </w:p>
    <w:p w14:paraId="568F634D" w14:textId="43DB9231" w:rsidR="00CA1473" w:rsidRPr="006B0C18" w:rsidRDefault="00CA1473" w:rsidP="00C57BCB">
      <w:pPr>
        <w:pStyle w:val="Heading3"/>
        <w:numPr>
          <w:ilvl w:val="2"/>
          <w:numId w:val="16"/>
        </w:numPr>
        <w:ind w:left="1276" w:firstLine="0"/>
        <w:rPr>
          <w:sz w:val="20"/>
          <w:szCs w:val="20"/>
          <w:lang w:val="fr-FR"/>
        </w:rPr>
      </w:pPr>
      <w:r>
        <w:rPr>
          <w:bCs/>
          <w:sz w:val="20"/>
          <w:szCs w:val="20"/>
          <w:lang w:val="fr-FR"/>
        </w:rPr>
        <w:t>À la 98</w:t>
      </w:r>
      <w:r>
        <w:rPr>
          <w:bCs/>
          <w:sz w:val="20"/>
          <w:szCs w:val="20"/>
          <w:vertAlign w:val="superscript"/>
          <w:lang w:val="fr-FR"/>
        </w:rPr>
        <w:t>e</w:t>
      </w:r>
      <w:r>
        <w:rPr>
          <w:bCs/>
          <w:sz w:val="20"/>
          <w:szCs w:val="20"/>
          <w:lang w:val="fr-FR"/>
        </w:rPr>
        <w:t xml:space="preserve"> réunion, le nombre de </w:t>
      </w:r>
      <w:r>
        <w:rPr>
          <w:sz w:val="20"/>
          <w:szCs w:val="20"/>
          <w:lang w:val="fr-FR"/>
        </w:rPr>
        <w:t>projets et activités (à l'exclusion des projets annulés et transférés) approuvés</w:t>
      </w:r>
      <w:r>
        <w:rPr>
          <w:bCs/>
          <w:sz w:val="20"/>
          <w:szCs w:val="20"/>
          <w:lang w:val="fr-FR"/>
        </w:rPr>
        <w:t xml:space="preserve"> depuis 1991 se montait à 10 584</w:t>
      </w:r>
      <w:r>
        <w:rPr>
          <w:sz w:val="20"/>
          <w:szCs w:val="20"/>
          <w:lang w:val="fr-FR"/>
        </w:rPr>
        <w:t>. La quantité totale de substances appauvrissant la couche d'ozone (SAO) dont l'élimination est prévue grâce à la mise en œuvre de ces projets s'élève à 489 875 tonnes PAO (potentiel d'appauvrissement de la couche d'ozone). Le tonnage PAO effectivement éliminé s’élevait toutefois à 510 094</w:t>
      </w:r>
      <w:r>
        <w:rPr>
          <w:bCs/>
          <w:sz w:val="20"/>
          <w:szCs w:val="20"/>
          <w:lang w:val="fr-FR"/>
        </w:rPr>
        <w:t xml:space="preserve"> tonnes PAO (</w:t>
      </w:r>
      <w:r>
        <w:rPr>
          <w:sz w:val="20"/>
          <w:szCs w:val="20"/>
          <w:lang w:val="fr-FR"/>
        </w:rPr>
        <w:t>en comptant la consommation et la production) ce qui démontre que l'élimination  réalisée grâce aux projets achevés jusqu'à présent a dépassé les prévisions. De plus, à la même date, l'élimination progressive de 19 702</w:t>
      </w:r>
      <w:r>
        <w:rPr>
          <w:bCs/>
          <w:sz w:val="20"/>
          <w:szCs w:val="20"/>
          <w:lang w:val="fr-FR"/>
        </w:rPr>
        <w:t xml:space="preserve"> </w:t>
      </w:r>
      <w:r>
        <w:rPr>
          <w:color w:val="000000"/>
          <w:sz w:val="20"/>
          <w:szCs w:val="20"/>
          <w:lang w:val="fr-FR" w:eastAsia="fr"/>
        </w:rPr>
        <w:t xml:space="preserve">  tonnes métriques</w:t>
      </w:r>
      <w:r>
        <w:rPr>
          <w:bCs/>
          <w:sz w:val="20"/>
          <w:szCs w:val="20"/>
          <w:lang w:val="fr-FR"/>
        </w:rPr>
        <w:t xml:space="preserve"> (37 778 524 tonnes d'équivalent-dioxyde de carbone) de consommation de HFC avait été approuvée, </w:t>
      </w:r>
      <w:r>
        <w:rPr>
          <w:bCs/>
          <w:sz w:val="20"/>
          <w:szCs w:val="20"/>
          <w:lang w:val="fr-FR"/>
        </w:rPr>
        <w:lastRenderedPageBreak/>
        <w:t>et 1 086 tonnes métriques (1 606 380 tonnes d'équivalent-</w:t>
      </w:r>
      <w:r>
        <w:rPr>
          <w:sz w:val="20"/>
          <w:szCs w:val="20"/>
          <w:lang w:val="fr-FR"/>
        </w:rPr>
        <w:t>dioxyde de carbone) avaient été concrètement éliminées. La répartition géographique et sectorielle de l’élimination dans tous les projets et activités approuvés et les sommes approuvées depuis la création du Fonds sont indiquées dans le tableau ci-dessous.</w:t>
      </w:r>
    </w:p>
    <w:p w14:paraId="2EB1D5B7" w14:textId="179EA58E" w:rsidR="00FF2809" w:rsidRPr="006B0C18" w:rsidRDefault="00FF2809" w:rsidP="00CA1473">
      <w:pPr>
        <w:pStyle w:val="Heading1"/>
        <w:keepNext/>
        <w:numPr>
          <w:ilvl w:val="0"/>
          <w:numId w:val="0"/>
        </w:numPr>
        <w:spacing w:after="0"/>
        <w:ind w:left="1276" w:hanging="28"/>
        <w:rPr>
          <w:color w:val="000000"/>
          <w:sz w:val="20"/>
          <w:szCs w:val="20"/>
          <w:lang w:val="fr-FR" w:eastAsia="en-CA"/>
        </w:rPr>
      </w:pPr>
      <w:r>
        <w:rPr>
          <w:sz w:val="20"/>
          <w:szCs w:val="20"/>
          <w:lang w:val="fr-FR"/>
        </w:rPr>
        <w:t>Tableau 2.</w:t>
      </w:r>
    </w:p>
    <w:p w14:paraId="7760964F" w14:textId="49C14A4F" w:rsidR="00FF2809" w:rsidRPr="006B0C18" w:rsidRDefault="00FF2809" w:rsidP="00CA1473">
      <w:pPr>
        <w:pStyle w:val="Heading1"/>
        <w:keepNext/>
        <w:numPr>
          <w:ilvl w:val="0"/>
          <w:numId w:val="0"/>
        </w:numPr>
        <w:spacing w:after="0"/>
        <w:ind w:left="1276" w:hanging="28"/>
        <w:rPr>
          <w:b/>
          <w:bCs/>
          <w:sz w:val="20"/>
          <w:szCs w:val="20"/>
          <w:lang w:val="fr-FR"/>
        </w:rPr>
      </w:pPr>
      <w:r>
        <w:rPr>
          <w:b/>
          <w:bCs/>
          <w:sz w:val="20"/>
          <w:szCs w:val="20"/>
          <w:lang w:val="fr-FR"/>
        </w:rPr>
        <w:t>Élimination progressive et fonds approuvés par région et secteur depuis la création du Fonds multilatéral</w:t>
      </w:r>
    </w:p>
    <w:tbl>
      <w:tblPr>
        <w:tblW w:w="11790" w:type="dxa"/>
        <w:tblInd w:w="-1265" w:type="dxa"/>
        <w:tblLayout w:type="fixed"/>
        <w:tblLook w:val="04A0" w:firstRow="1" w:lastRow="0" w:firstColumn="1" w:lastColumn="0" w:noHBand="0" w:noVBand="1"/>
      </w:tblPr>
      <w:tblGrid>
        <w:gridCol w:w="1890"/>
        <w:gridCol w:w="900"/>
        <w:gridCol w:w="1530"/>
        <w:gridCol w:w="1350"/>
        <w:gridCol w:w="1350"/>
        <w:gridCol w:w="1440"/>
        <w:gridCol w:w="1080"/>
        <w:gridCol w:w="990"/>
        <w:gridCol w:w="1260"/>
      </w:tblGrid>
      <w:tr w:rsidR="00FF2809" w:rsidRPr="006B0C18" w14:paraId="5B987318" w14:textId="77777777" w:rsidTr="00974B5B">
        <w:trPr>
          <w:trHeight w:val="769"/>
          <w:tblHeader/>
        </w:trPr>
        <w:tc>
          <w:tcPr>
            <w:tcW w:w="1890" w:type="dxa"/>
            <w:tcBorders>
              <w:top w:val="single" w:sz="4" w:space="0" w:color="auto"/>
              <w:left w:val="single" w:sz="4" w:space="0" w:color="auto"/>
              <w:bottom w:val="single" w:sz="4" w:space="0" w:color="auto"/>
              <w:right w:val="single" w:sz="4" w:space="0" w:color="auto"/>
            </w:tcBorders>
            <w:hideMark/>
          </w:tcPr>
          <w:p w14:paraId="4F7343D1" w14:textId="77777777" w:rsidR="00FF2809" w:rsidRPr="00974B5B" w:rsidRDefault="00FF2809" w:rsidP="005D7E27">
            <w:pPr>
              <w:jc w:val="center"/>
              <w:rPr>
                <w:b/>
                <w:bCs/>
                <w:color w:val="000000"/>
                <w:sz w:val="16"/>
                <w:szCs w:val="16"/>
                <w:lang w:val="fr-FR" w:eastAsia="en-CA"/>
              </w:rPr>
            </w:pPr>
            <w:r>
              <w:rPr>
                <w:b/>
                <w:bCs/>
                <w:color w:val="000000"/>
                <w:sz w:val="16"/>
                <w:szCs w:val="16"/>
                <w:lang w:val="fr-FR" w:eastAsia="fr"/>
              </w:rPr>
              <w:t>Description</w:t>
            </w:r>
          </w:p>
        </w:tc>
        <w:tc>
          <w:tcPr>
            <w:tcW w:w="900" w:type="dxa"/>
            <w:tcBorders>
              <w:top w:val="single" w:sz="4" w:space="0" w:color="auto"/>
              <w:left w:val="nil"/>
              <w:bottom w:val="single" w:sz="4" w:space="0" w:color="auto"/>
              <w:right w:val="single" w:sz="4" w:space="0" w:color="auto"/>
            </w:tcBorders>
            <w:hideMark/>
          </w:tcPr>
          <w:p w14:paraId="01B6520C" w14:textId="09D6C3E5" w:rsidR="00FF2809" w:rsidRPr="00974B5B" w:rsidRDefault="00FF2809" w:rsidP="007D019F">
            <w:pPr>
              <w:ind w:left="-104" w:right="-104"/>
              <w:jc w:val="center"/>
              <w:rPr>
                <w:b/>
                <w:bCs/>
                <w:color w:val="000000"/>
                <w:sz w:val="16"/>
                <w:szCs w:val="16"/>
                <w:lang w:val="fr-FR" w:eastAsia="en-CA"/>
              </w:rPr>
            </w:pPr>
            <w:r>
              <w:rPr>
                <w:b/>
                <w:bCs/>
                <w:color w:val="000000"/>
                <w:sz w:val="16"/>
                <w:szCs w:val="16"/>
                <w:lang w:val="fr-FR" w:eastAsia="fr"/>
              </w:rPr>
              <w:t>Nombre de projets*</w:t>
            </w:r>
          </w:p>
        </w:tc>
        <w:tc>
          <w:tcPr>
            <w:tcW w:w="1530" w:type="dxa"/>
            <w:tcBorders>
              <w:top w:val="single" w:sz="4" w:space="0" w:color="auto"/>
              <w:left w:val="nil"/>
              <w:bottom w:val="single" w:sz="4" w:space="0" w:color="auto"/>
              <w:right w:val="single" w:sz="4" w:space="0" w:color="auto"/>
            </w:tcBorders>
            <w:hideMark/>
          </w:tcPr>
          <w:p w14:paraId="6951E550" w14:textId="77777777" w:rsidR="00974B5B" w:rsidRDefault="00FF2809" w:rsidP="00E54886">
            <w:pPr>
              <w:ind w:left="-178" w:right="-167"/>
              <w:jc w:val="center"/>
              <w:rPr>
                <w:b/>
                <w:bCs/>
                <w:color w:val="000000"/>
                <w:sz w:val="16"/>
                <w:szCs w:val="16"/>
                <w:lang w:val="fr-FR" w:eastAsia="fr"/>
              </w:rPr>
            </w:pPr>
            <w:r>
              <w:rPr>
                <w:b/>
                <w:bCs/>
                <w:color w:val="000000"/>
                <w:sz w:val="16"/>
                <w:szCs w:val="16"/>
                <w:lang w:val="fr-FR" w:eastAsia="fr"/>
              </w:rPr>
              <w:t xml:space="preserve">Consommation : </w:t>
            </w:r>
          </w:p>
          <w:p w14:paraId="3E2850D9" w14:textId="77777777" w:rsidR="00974B5B" w:rsidRDefault="00FF2809" w:rsidP="00E54886">
            <w:pPr>
              <w:ind w:left="-178" w:right="-167"/>
              <w:jc w:val="center"/>
              <w:rPr>
                <w:b/>
                <w:bCs/>
                <w:color w:val="000000"/>
                <w:sz w:val="16"/>
                <w:szCs w:val="16"/>
                <w:lang w:val="fr-FR" w:eastAsia="fr"/>
              </w:rPr>
            </w:pPr>
            <w:r>
              <w:rPr>
                <w:b/>
                <w:bCs/>
                <w:color w:val="000000"/>
                <w:sz w:val="16"/>
                <w:szCs w:val="16"/>
                <w:lang w:val="fr-FR" w:eastAsia="fr"/>
              </w:rPr>
              <w:t xml:space="preserve">tonnes PAO </w:t>
            </w:r>
          </w:p>
          <w:p w14:paraId="7487C964" w14:textId="60F1FA9D" w:rsidR="00974B5B" w:rsidRDefault="00FF2809" w:rsidP="00E54886">
            <w:pPr>
              <w:ind w:left="-178" w:right="-167"/>
              <w:jc w:val="center"/>
              <w:rPr>
                <w:b/>
                <w:bCs/>
                <w:color w:val="000000"/>
                <w:sz w:val="16"/>
                <w:szCs w:val="16"/>
                <w:lang w:val="fr-FR" w:eastAsia="fr"/>
              </w:rPr>
            </w:pPr>
            <w:r>
              <w:rPr>
                <w:b/>
                <w:bCs/>
                <w:color w:val="000000"/>
                <w:sz w:val="16"/>
                <w:szCs w:val="16"/>
                <w:lang w:val="fr-FR" w:eastAsia="fr"/>
              </w:rPr>
              <w:t xml:space="preserve">approuvées pour </w:t>
            </w:r>
          </w:p>
          <w:p w14:paraId="4A7657C5" w14:textId="240525CC" w:rsidR="00FF2809" w:rsidRPr="00974B5B" w:rsidRDefault="00FF2809" w:rsidP="00E54886">
            <w:pPr>
              <w:ind w:left="-178" w:right="-167"/>
              <w:jc w:val="center"/>
              <w:rPr>
                <w:b/>
                <w:bCs/>
                <w:color w:val="000000"/>
                <w:sz w:val="16"/>
                <w:szCs w:val="16"/>
                <w:lang w:val="fr-FR" w:eastAsia="en-CA"/>
              </w:rPr>
            </w:pPr>
            <w:r>
              <w:rPr>
                <w:b/>
                <w:bCs/>
                <w:color w:val="000000"/>
                <w:sz w:val="16"/>
                <w:szCs w:val="16"/>
                <w:lang w:val="fr-FR" w:eastAsia="fr"/>
              </w:rPr>
              <w:t>les projets liés aux SAO*</w:t>
            </w:r>
          </w:p>
        </w:tc>
        <w:tc>
          <w:tcPr>
            <w:tcW w:w="1350" w:type="dxa"/>
            <w:tcBorders>
              <w:top w:val="single" w:sz="4" w:space="0" w:color="auto"/>
              <w:left w:val="nil"/>
              <w:bottom w:val="single" w:sz="4" w:space="0" w:color="auto"/>
              <w:right w:val="single" w:sz="4" w:space="0" w:color="auto"/>
            </w:tcBorders>
            <w:hideMark/>
          </w:tcPr>
          <w:p w14:paraId="4D237947" w14:textId="77777777" w:rsidR="00974B5B" w:rsidRDefault="00FF2809" w:rsidP="005D7E27">
            <w:pPr>
              <w:ind w:left="-188" w:right="-192"/>
              <w:jc w:val="center"/>
              <w:rPr>
                <w:b/>
                <w:bCs/>
                <w:color w:val="000000"/>
                <w:sz w:val="16"/>
                <w:szCs w:val="16"/>
                <w:lang w:val="fr-FR" w:eastAsia="fr"/>
              </w:rPr>
            </w:pPr>
            <w:r>
              <w:rPr>
                <w:b/>
                <w:bCs/>
                <w:color w:val="000000"/>
                <w:sz w:val="16"/>
                <w:szCs w:val="16"/>
                <w:lang w:val="fr-FR" w:eastAsia="fr"/>
              </w:rPr>
              <w:t xml:space="preserve">Consommation : </w:t>
            </w:r>
          </w:p>
          <w:p w14:paraId="74195303" w14:textId="77777777" w:rsidR="00974B5B" w:rsidRDefault="00FF2809" w:rsidP="005D7E27">
            <w:pPr>
              <w:ind w:left="-188" w:right="-192"/>
              <w:jc w:val="center"/>
              <w:rPr>
                <w:b/>
                <w:bCs/>
                <w:color w:val="000000"/>
                <w:sz w:val="16"/>
                <w:szCs w:val="16"/>
                <w:lang w:val="fr-FR" w:eastAsia="fr"/>
              </w:rPr>
            </w:pPr>
            <w:r>
              <w:rPr>
                <w:b/>
                <w:bCs/>
                <w:color w:val="000000"/>
                <w:sz w:val="16"/>
                <w:szCs w:val="16"/>
                <w:lang w:val="fr-FR" w:eastAsia="fr"/>
              </w:rPr>
              <w:t xml:space="preserve">Les tonnes PAO </w:t>
            </w:r>
          </w:p>
          <w:p w14:paraId="32EE7B2C" w14:textId="77777777" w:rsidR="00974B5B" w:rsidRDefault="00FF2809" w:rsidP="005D7E27">
            <w:pPr>
              <w:ind w:left="-188" w:right="-192"/>
              <w:jc w:val="center"/>
              <w:rPr>
                <w:b/>
                <w:bCs/>
                <w:color w:val="000000"/>
                <w:sz w:val="16"/>
                <w:szCs w:val="16"/>
                <w:lang w:val="fr-FR" w:eastAsia="fr"/>
              </w:rPr>
            </w:pPr>
            <w:r>
              <w:rPr>
                <w:b/>
                <w:bCs/>
                <w:color w:val="000000"/>
                <w:sz w:val="16"/>
                <w:szCs w:val="16"/>
                <w:lang w:val="fr-FR" w:eastAsia="fr"/>
              </w:rPr>
              <w:t xml:space="preserve">éliminées pour </w:t>
            </w:r>
          </w:p>
          <w:p w14:paraId="25E23DE8" w14:textId="77777777" w:rsidR="00974B5B" w:rsidRDefault="00FF2809" w:rsidP="005D7E27">
            <w:pPr>
              <w:ind w:left="-188" w:right="-192"/>
              <w:jc w:val="center"/>
              <w:rPr>
                <w:b/>
                <w:bCs/>
                <w:color w:val="000000"/>
                <w:sz w:val="16"/>
                <w:szCs w:val="16"/>
                <w:lang w:val="fr-FR" w:eastAsia="fr"/>
              </w:rPr>
            </w:pPr>
            <w:r>
              <w:rPr>
                <w:b/>
                <w:bCs/>
                <w:color w:val="000000"/>
                <w:sz w:val="16"/>
                <w:szCs w:val="16"/>
                <w:lang w:val="fr-FR" w:eastAsia="fr"/>
              </w:rPr>
              <w:t xml:space="preserve">les projets liés </w:t>
            </w:r>
          </w:p>
          <w:p w14:paraId="3912105D" w14:textId="01F818F6" w:rsidR="00FF2809" w:rsidRPr="00974B5B" w:rsidRDefault="00FF2809" w:rsidP="005D7E27">
            <w:pPr>
              <w:ind w:left="-188" w:right="-192"/>
              <w:jc w:val="center"/>
              <w:rPr>
                <w:b/>
                <w:bCs/>
                <w:color w:val="000000"/>
                <w:sz w:val="16"/>
                <w:szCs w:val="16"/>
                <w:lang w:val="fr-FR" w:eastAsia="en-CA"/>
              </w:rPr>
            </w:pPr>
            <w:r>
              <w:rPr>
                <w:b/>
                <w:bCs/>
                <w:color w:val="000000"/>
                <w:sz w:val="16"/>
                <w:szCs w:val="16"/>
                <w:lang w:val="fr-FR" w:eastAsia="fr"/>
              </w:rPr>
              <w:t>aux SAO*</w:t>
            </w:r>
          </w:p>
        </w:tc>
        <w:tc>
          <w:tcPr>
            <w:tcW w:w="1350" w:type="dxa"/>
            <w:tcBorders>
              <w:top w:val="single" w:sz="4" w:space="0" w:color="auto"/>
              <w:left w:val="nil"/>
              <w:bottom w:val="single" w:sz="4" w:space="0" w:color="auto"/>
              <w:right w:val="single" w:sz="4" w:space="0" w:color="auto"/>
            </w:tcBorders>
            <w:hideMark/>
          </w:tcPr>
          <w:p w14:paraId="43D61CA2" w14:textId="77777777" w:rsidR="00974B5B" w:rsidRDefault="00FF2809" w:rsidP="005D7E27">
            <w:pPr>
              <w:ind w:left="-190" w:right="-189"/>
              <w:jc w:val="center"/>
              <w:rPr>
                <w:b/>
                <w:bCs/>
                <w:color w:val="000000"/>
                <w:sz w:val="16"/>
                <w:szCs w:val="16"/>
                <w:lang w:val="fr-FR" w:eastAsia="fr"/>
              </w:rPr>
            </w:pPr>
            <w:r>
              <w:rPr>
                <w:b/>
                <w:bCs/>
                <w:color w:val="000000"/>
                <w:sz w:val="16"/>
                <w:szCs w:val="16"/>
                <w:lang w:val="fr-FR" w:eastAsia="fr"/>
              </w:rPr>
              <w:t xml:space="preserve">Consommation : tonnes métriques approuvées pour </w:t>
            </w:r>
          </w:p>
          <w:p w14:paraId="327427C3" w14:textId="77777777" w:rsidR="00974B5B" w:rsidRDefault="00FF2809" w:rsidP="005D7E27">
            <w:pPr>
              <w:ind w:left="-190" w:right="-189"/>
              <w:jc w:val="center"/>
              <w:rPr>
                <w:b/>
                <w:bCs/>
                <w:color w:val="000000"/>
                <w:sz w:val="16"/>
                <w:szCs w:val="16"/>
                <w:lang w:val="fr-FR" w:eastAsia="fr"/>
              </w:rPr>
            </w:pPr>
            <w:r>
              <w:rPr>
                <w:b/>
                <w:bCs/>
                <w:color w:val="000000"/>
                <w:sz w:val="16"/>
                <w:szCs w:val="16"/>
                <w:lang w:val="fr-FR" w:eastAsia="fr"/>
              </w:rPr>
              <w:t>les projets liés</w:t>
            </w:r>
          </w:p>
          <w:p w14:paraId="050A8A91" w14:textId="0815413B" w:rsidR="00FF2809" w:rsidRPr="00974B5B" w:rsidRDefault="00FF2809" w:rsidP="005D7E27">
            <w:pPr>
              <w:ind w:left="-190" w:right="-189"/>
              <w:jc w:val="center"/>
              <w:rPr>
                <w:b/>
                <w:bCs/>
                <w:color w:val="000000"/>
                <w:sz w:val="16"/>
                <w:szCs w:val="16"/>
                <w:lang w:val="fr-FR" w:eastAsia="en-CA"/>
              </w:rPr>
            </w:pPr>
            <w:r>
              <w:rPr>
                <w:b/>
                <w:bCs/>
                <w:color w:val="000000"/>
                <w:sz w:val="16"/>
                <w:szCs w:val="16"/>
                <w:lang w:val="fr-FR" w:eastAsia="fr"/>
              </w:rPr>
              <w:t xml:space="preserve"> aux HFC**</w:t>
            </w:r>
          </w:p>
        </w:tc>
        <w:tc>
          <w:tcPr>
            <w:tcW w:w="1440" w:type="dxa"/>
            <w:tcBorders>
              <w:top w:val="single" w:sz="4" w:space="0" w:color="auto"/>
              <w:left w:val="nil"/>
              <w:bottom w:val="single" w:sz="4" w:space="0" w:color="auto"/>
              <w:right w:val="single" w:sz="4" w:space="0" w:color="auto"/>
            </w:tcBorders>
            <w:hideMark/>
          </w:tcPr>
          <w:p w14:paraId="00729ACC" w14:textId="66ADC8AB" w:rsidR="00FF2809" w:rsidRPr="00974B5B" w:rsidRDefault="00FF2809" w:rsidP="005D7E27">
            <w:pPr>
              <w:ind w:left="-148" w:right="-90"/>
              <w:jc w:val="center"/>
              <w:rPr>
                <w:b/>
                <w:bCs/>
                <w:color w:val="000000"/>
                <w:sz w:val="16"/>
                <w:szCs w:val="16"/>
                <w:lang w:val="fr-FR" w:eastAsia="en-CA"/>
              </w:rPr>
            </w:pPr>
            <w:r>
              <w:rPr>
                <w:b/>
                <w:bCs/>
                <w:color w:val="000000"/>
                <w:sz w:val="16"/>
                <w:szCs w:val="16"/>
                <w:lang w:val="fr-FR" w:eastAsia="fr"/>
              </w:rPr>
              <w:t>Consommation: tonnes métriques éliminées pour les projets liés aux HFC**</w:t>
            </w:r>
          </w:p>
        </w:tc>
        <w:tc>
          <w:tcPr>
            <w:tcW w:w="1080" w:type="dxa"/>
            <w:tcBorders>
              <w:top w:val="single" w:sz="4" w:space="0" w:color="auto"/>
              <w:left w:val="nil"/>
              <w:bottom w:val="single" w:sz="4" w:space="0" w:color="auto"/>
              <w:right w:val="single" w:sz="4" w:space="0" w:color="auto"/>
            </w:tcBorders>
            <w:hideMark/>
          </w:tcPr>
          <w:p w14:paraId="47A9277A" w14:textId="77777777" w:rsidR="00FF2809" w:rsidRPr="00974B5B" w:rsidRDefault="00FF2809" w:rsidP="005D7E27">
            <w:pPr>
              <w:ind w:left="-156" w:right="-103"/>
              <w:jc w:val="center"/>
              <w:rPr>
                <w:b/>
                <w:bCs/>
                <w:color w:val="000000"/>
                <w:sz w:val="16"/>
                <w:szCs w:val="16"/>
                <w:lang w:val="fr-FR" w:eastAsia="en-CA"/>
              </w:rPr>
            </w:pPr>
            <w:r>
              <w:rPr>
                <w:b/>
                <w:bCs/>
                <w:color w:val="000000"/>
                <w:sz w:val="16"/>
                <w:szCs w:val="16"/>
                <w:lang w:val="fr-FR" w:eastAsia="fr"/>
              </w:rPr>
              <w:t>Production: tonnes PAO approuvées*</w:t>
            </w:r>
          </w:p>
        </w:tc>
        <w:tc>
          <w:tcPr>
            <w:tcW w:w="990" w:type="dxa"/>
            <w:tcBorders>
              <w:top w:val="single" w:sz="4" w:space="0" w:color="auto"/>
              <w:left w:val="nil"/>
              <w:bottom w:val="single" w:sz="4" w:space="0" w:color="auto"/>
              <w:right w:val="single" w:sz="4" w:space="0" w:color="auto"/>
            </w:tcBorders>
            <w:hideMark/>
          </w:tcPr>
          <w:p w14:paraId="3F5C42F8" w14:textId="77777777" w:rsidR="00FF2809" w:rsidRPr="00974B5B" w:rsidRDefault="00FF2809" w:rsidP="005D7E27">
            <w:pPr>
              <w:ind w:left="-105" w:right="-106"/>
              <w:jc w:val="center"/>
              <w:rPr>
                <w:b/>
                <w:bCs/>
                <w:color w:val="000000"/>
                <w:sz w:val="16"/>
                <w:szCs w:val="16"/>
                <w:lang w:val="fr-FR" w:eastAsia="en-CA"/>
              </w:rPr>
            </w:pPr>
            <w:r>
              <w:rPr>
                <w:b/>
                <w:bCs/>
                <w:color w:val="000000"/>
                <w:sz w:val="16"/>
                <w:szCs w:val="16"/>
                <w:lang w:val="fr-FR" w:eastAsia="fr"/>
              </w:rPr>
              <w:t>Production: tonnes PAO éliminées*</w:t>
            </w:r>
          </w:p>
        </w:tc>
        <w:tc>
          <w:tcPr>
            <w:tcW w:w="1260" w:type="dxa"/>
            <w:tcBorders>
              <w:top w:val="single" w:sz="4" w:space="0" w:color="auto"/>
              <w:left w:val="nil"/>
              <w:bottom w:val="single" w:sz="4" w:space="0" w:color="auto"/>
              <w:right w:val="single" w:sz="4" w:space="0" w:color="auto"/>
            </w:tcBorders>
            <w:hideMark/>
          </w:tcPr>
          <w:p w14:paraId="51820C9E" w14:textId="77777777" w:rsidR="00FF2809" w:rsidRPr="00974B5B" w:rsidRDefault="00FF2809" w:rsidP="005D7E27">
            <w:pPr>
              <w:jc w:val="center"/>
              <w:rPr>
                <w:b/>
                <w:bCs/>
                <w:color w:val="000000"/>
                <w:sz w:val="16"/>
                <w:szCs w:val="16"/>
                <w:lang w:val="fr-FR" w:eastAsia="en-CA"/>
              </w:rPr>
            </w:pPr>
            <w:r>
              <w:rPr>
                <w:b/>
                <w:bCs/>
                <w:color w:val="000000"/>
                <w:sz w:val="16"/>
                <w:szCs w:val="16"/>
                <w:lang w:val="fr-FR" w:eastAsia="fr"/>
              </w:rPr>
              <w:t>Fonds approuvés*</w:t>
            </w:r>
          </w:p>
          <w:p w14:paraId="052AF227" w14:textId="77777777" w:rsidR="00FF2809" w:rsidRPr="00974B5B" w:rsidRDefault="00FF2809" w:rsidP="005D7E27">
            <w:pPr>
              <w:jc w:val="center"/>
              <w:rPr>
                <w:b/>
                <w:bCs/>
                <w:color w:val="000000"/>
                <w:sz w:val="16"/>
                <w:szCs w:val="16"/>
                <w:lang w:val="fr-FR" w:eastAsia="en-CA"/>
              </w:rPr>
            </w:pPr>
            <w:r>
              <w:rPr>
                <w:b/>
                <w:bCs/>
                <w:color w:val="000000"/>
                <w:sz w:val="16"/>
                <w:szCs w:val="16"/>
                <w:lang w:val="fr-FR" w:eastAsia="fr"/>
              </w:rPr>
              <w:t>($US)</w:t>
            </w:r>
          </w:p>
        </w:tc>
      </w:tr>
      <w:tr w:rsidR="00FF2809" w:rsidRPr="006B0C18" w14:paraId="2924AC25" w14:textId="77777777" w:rsidTr="00974B5B">
        <w:trPr>
          <w:trHeight w:val="44"/>
        </w:trPr>
        <w:tc>
          <w:tcPr>
            <w:tcW w:w="11790" w:type="dxa"/>
            <w:gridSpan w:val="9"/>
            <w:tcBorders>
              <w:top w:val="nil"/>
              <w:left w:val="single" w:sz="4" w:space="0" w:color="auto"/>
              <w:bottom w:val="single" w:sz="4" w:space="0" w:color="auto"/>
              <w:right w:val="single" w:sz="4" w:space="0" w:color="auto"/>
            </w:tcBorders>
            <w:hideMark/>
          </w:tcPr>
          <w:p w14:paraId="02845104" w14:textId="77777777" w:rsidR="00FF2809" w:rsidRPr="006B0C18" w:rsidRDefault="00FF2809" w:rsidP="005D7E27">
            <w:pPr>
              <w:jc w:val="left"/>
              <w:rPr>
                <w:b/>
                <w:bCs/>
                <w:color w:val="000000"/>
                <w:sz w:val="17"/>
                <w:szCs w:val="17"/>
                <w:lang w:val="fr-FR" w:eastAsia="en-CA"/>
              </w:rPr>
            </w:pPr>
            <w:r>
              <w:rPr>
                <w:b/>
                <w:bCs/>
                <w:color w:val="000000"/>
                <w:sz w:val="17"/>
                <w:szCs w:val="17"/>
                <w:lang w:val="fr-FR" w:eastAsia="fr"/>
              </w:rPr>
              <w:t>Région </w:t>
            </w:r>
          </w:p>
        </w:tc>
      </w:tr>
      <w:tr w:rsidR="00FD547F" w:rsidRPr="006B0C18" w14:paraId="31A0E9A1" w14:textId="77777777" w:rsidTr="00974B5B">
        <w:trPr>
          <w:trHeight w:val="65"/>
        </w:trPr>
        <w:tc>
          <w:tcPr>
            <w:tcW w:w="1890" w:type="dxa"/>
            <w:tcBorders>
              <w:top w:val="nil"/>
              <w:left w:val="single" w:sz="4" w:space="0" w:color="auto"/>
              <w:bottom w:val="single" w:sz="4" w:space="0" w:color="auto"/>
              <w:right w:val="single" w:sz="4" w:space="0" w:color="auto"/>
            </w:tcBorders>
            <w:noWrap/>
            <w:hideMark/>
          </w:tcPr>
          <w:p w14:paraId="7EECC8ED" w14:textId="0ADC4B20" w:rsidR="00FD547F" w:rsidRPr="006B0C18" w:rsidRDefault="00FD547F" w:rsidP="00FD547F">
            <w:pPr>
              <w:jc w:val="left"/>
              <w:rPr>
                <w:color w:val="000000"/>
                <w:sz w:val="17"/>
                <w:szCs w:val="17"/>
                <w:lang w:val="fr-FR" w:eastAsia="en-CA"/>
              </w:rPr>
            </w:pPr>
            <w:r>
              <w:rPr>
                <w:sz w:val="17"/>
                <w:szCs w:val="17"/>
                <w:lang w:val="fr-FR"/>
              </w:rPr>
              <w:t>Afrique</w:t>
            </w:r>
          </w:p>
        </w:tc>
        <w:tc>
          <w:tcPr>
            <w:tcW w:w="900" w:type="dxa"/>
            <w:tcBorders>
              <w:top w:val="nil"/>
              <w:left w:val="nil"/>
              <w:bottom w:val="single" w:sz="4" w:space="0" w:color="auto"/>
              <w:right w:val="single" w:sz="4" w:space="0" w:color="auto"/>
            </w:tcBorders>
            <w:noWrap/>
          </w:tcPr>
          <w:p w14:paraId="5CE539DC" w14:textId="26CA1212" w:rsidR="00FD547F" w:rsidRPr="006B0C18" w:rsidRDefault="00FD547F" w:rsidP="00FD547F">
            <w:pPr>
              <w:jc w:val="right"/>
              <w:rPr>
                <w:i/>
                <w:iCs/>
                <w:color w:val="000000"/>
                <w:sz w:val="17"/>
                <w:szCs w:val="17"/>
                <w:lang w:val="fr-FR" w:eastAsia="en-CA"/>
              </w:rPr>
            </w:pPr>
            <w:r>
              <w:rPr>
                <w:sz w:val="17"/>
                <w:szCs w:val="17"/>
                <w:lang w:val="fr-FR"/>
              </w:rPr>
              <w:t>2 873</w:t>
            </w:r>
          </w:p>
        </w:tc>
        <w:tc>
          <w:tcPr>
            <w:tcW w:w="1530" w:type="dxa"/>
            <w:tcBorders>
              <w:top w:val="nil"/>
              <w:left w:val="nil"/>
              <w:bottom w:val="single" w:sz="4" w:space="0" w:color="auto"/>
              <w:right w:val="single" w:sz="4" w:space="0" w:color="auto"/>
            </w:tcBorders>
            <w:noWrap/>
          </w:tcPr>
          <w:p w14:paraId="60E9A03C" w14:textId="4CFA8142" w:rsidR="00FD547F" w:rsidRPr="006B0C18" w:rsidRDefault="00FD547F" w:rsidP="00FD547F">
            <w:pPr>
              <w:jc w:val="right"/>
              <w:rPr>
                <w:color w:val="000000"/>
                <w:sz w:val="17"/>
                <w:szCs w:val="17"/>
                <w:lang w:val="fr-FR" w:eastAsia="en-CA"/>
              </w:rPr>
            </w:pPr>
            <w:r>
              <w:rPr>
                <w:sz w:val="17"/>
                <w:szCs w:val="17"/>
                <w:lang w:val="fr-FR"/>
              </w:rPr>
              <w:t>23 474</w:t>
            </w:r>
          </w:p>
        </w:tc>
        <w:tc>
          <w:tcPr>
            <w:tcW w:w="1350" w:type="dxa"/>
            <w:tcBorders>
              <w:top w:val="nil"/>
              <w:left w:val="nil"/>
              <w:bottom w:val="single" w:sz="4" w:space="0" w:color="auto"/>
              <w:right w:val="single" w:sz="4" w:space="0" w:color="auto"/>
            </w:tcBorders>
            <w:noWrap/>
          </w:tcPr>
          <w:p w14:paraId="7DB50C8A" w14:textId="764EB43B" w:rsidR="00FD547F" w:rsidRPr="006B0C18" w:rsidRDefault="00FD547F" w:rsidP="00FD547F">
            <w:pPr>
              <w:jc w:val="right"/>
              <w:rPr>
                <w:color w:val="000000"/>
                <w:sz w:val="17"/>
                <w:szCs w:val="17"/>
                <w:lang w:val="fr-FR" w:eastAsia="en-CA"/>
              </w:rPr>
            </w:pPr>
            <w:r>
              <w:rPr>
                <w:sz w:val="17"/>
                <w:szCs w:val="17"/>
                <w:lang w:val="fr-FR"/>
              </w:rPr>
              <w:t>23 152</w:t>
            </w:r>
          </w:p>
        </w:tc>
        <w:tc>
          <w:tcPr>
            <w:tcW w:w="1350" w:type="dxa"/>
            <w:tcBorders>
              <w:top w:val="nil"/>
              <w:left w:val="nil"/>
              <w:bottom w:val="single" w:sz="4" w:space="0" w:color="auto"/>
              <w:right w:val="single" w:sz="4" w:space="0" w:color="auto"/>
            </w:tcBorders>
            <w:noWrap/>
          </w:tcPr>
          <w:p w14:paraId="25AEF5CF" w14:textId="76805E11" w:rsidR="00FD547F" w:rsidRPr="006B0C18" w:rsidRDefault="00FD547F" w:rsidP="00FD547F">
            <w:pPr>
              <w:jc w:val="right"/>
              <w:rPr>
                <w:color w:val="000000"/>
                <w:sz w:val="17"/>
                <w:szCs w:val="17"/>
                <w:lang w:val="fr-FR" w:eastAsia="en-CA"/>
              </w:rPr>
            </w:pPr>
            <w:r>
              <w:rPr>
                <w:sz w:val="17"/>
                <w:szCs w:val="17"/>
                <w:lang w:val="fr-FR"/>
              </w:rPr>
              <w:t>5 588</w:t>
            </w:r>
          </w:p>
        </w:tc>
        <w:tc>
          <w:tcPr>
            <w:tcW w:w="1440" w:type="dxa"/>
            <w:tcBorders>
              <w:top w:val="nil"/>
              <w:left w:val="nil"/>
              <w:bottom w:val="single" w:sz="4" w:space="0" w:color="auto"/>
              <w:right w:val="single" w:sz="4" w:space="0" w:color="auto"/>
            </w:tcBorders>
            <w:noWrap/>
          </w:tcPr>
          <w:p w14:paraId="4418BA6D" w14:textId="31799C65" w:rsidR="00FD547F" w:rsidRPr="006B0C18" w:rsidRDefault="00FD547F" w:rsidP="00FD547F">
            <w:pPr>
              <w:jc w:val="right"/>
              <w:rPr>
                <w:color w:val="000000"/>
                <w:sz w:val="17"/>
                <w:szCs w:val="17"/>
                <w:lang w:val="fr-FR" w:eastAsia="en-CA"/>
              </w:rPr>
            </w:pPr>
            <w:r>
              <w:rPr>
                <w:sz w:val="17"/>
                <w:szCs w:val="17"/>
                <w:lang w:val="fr-FR"/>
              </w:rPr>
              <w:t>29</w:t>
            </w:r>
          </w:p>
        </w:tc>
        <w:tc>
          <w:tcPr>
            <w:tcW w:w="1080" w:type="dxa"/>
            <w:tcBorders>
              <w:top w:val="nil"/>
              <w:left w:val="nil"/>
              <w:bottom w:val="single" w:sz="4" w:space="0" w:color="auto"/>
              <w:right w:val="single" w:sz="4" w:space="0" w:color="auto"/>
            </w:tcBorders>
            <w:noWrap/>
          </w:tcPr>
          <w:p w14:paraId="03B4B23B" w14:textId="213E50DD" w:rsidR="00FD547F" w:rsidRPr="006B0C18" w:rsidRDefault="00FD547F" w:rsidP="00FD547F">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4626319D" w14:textId="15B48647" w:rsidR="00FD547F" w:rsidRPr="006B0C18" w:rsidRDefault="00FD547F" w:rsidP="00FD547F">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424A2602" w14:textId="375A6064" w:rsidR="00FD547F" w:rsidRPr="006B0C18" w:rsidRDefault="00FD547F" w:rsidP="00FD547F">
            <w:pPr>
              <w:jc w:val="right"/>
              <w:rPr>
                <w:color w:val="000000"/>
                <w:sz w:val="17"/>
                <w:szCs w:val="17"/>
                <w:lang w:val="fr-FR" w:eastAsia="en-CA"/>
              </w:rPr>
            </w:pPr>
            <w:r>
              <w:rPr>
                <w:sz w:val="17"/>
                <w:szCs w:val="17"/>
                <w:lang w:val="fr-FR"/>
              </w:rPr>
              <w:t>504 259 764</w:t>
            </w:r>
          </w:p>
        </w:tc>
      </w:tr>
      <w:tr w:rsidR="00FD547F" w:rsidRPr="006B0C18" w14:paraId="019C7A6B" w14:textId="77777777" w:rsidTr="00974B5B">
        <w:trPr>
          <w:trHeight w:val="124"/>
        </w:trPr>
        <w:tc>
          <w:tcPr>
            <w:tcW w:w="1890" w:type="dxa"/>
            <w:tcBorders>
              <w:top w:val="nil"/>
              <w:left w:val="single" w:sz="4" w:space="0" w:color="auto"/>
              <w:bottom w:val="single" w:sz="4" w:space="0" w:color="auto"/>
              <w:right w:val="single" w:sz="4" w:space="0" w:color="auto"/>
            </w:tcBorders>
            <w:noWrap/>
            <w:hideMark/>
          </w:tcPr>
          <w:p w14:paraId="052F833C" w14:textId="6467A5B0" w:rsidR="00FD547F" w:rsidRPr="006B0C18" w:rsidRDefault="00FD547F" w:rsidP="00FD547F">
            <w:pPr>
              <w:ind w:right="-110"/>
              <w:jc w:val="left"/>
              <w:rPr>
                <w:color w:val="000000"/>
                <w:sz w:val="17"/>
                <w:szCs w:val="17"/>
                <w:lang w:val="fr-FR" w:eastAsia="en-CA"/>
              </w:rPr>
            </w:pPr>
            <w:r>
              <w:rPr>
                <w:sz w:val="17"/>
                <w:szCs w:val="17"/>
                <w:lang w:val="fr-FR"/>
              </w:rPr>
              <w:t>Asie et Pacifique</w:t>
            </w:r>
          </w:p>
        </w:tc>
        <w:tc>
          <w:tcPr>
            <w:tcW w:w="900" w:type="dxa"/>
            <w:tcBorders>
              <w:top w:val="nil"/>
              <w:left w:val="nil"/>
              <w:bottom w:val="single" w:sz="4" w:space="0" w:color="auto"/>
              <w:right w:val="single" w:sz="4" w:space="0" w:color="auto"/>
            </w:tcBorders>
            <w:noWrap/>
          </w:tcPr>
          <w:p w14:paraId="0ACA3BB0" w14:textId="43C0BB8C" w:rsidR="00FD547F" w:rsidRPr="006B0C18" w:rsidRDefault="00FD547F" w:rsidP="00FD547F">
            <w:pPr>
              <w:jc w:val="right"/>
              <w:rPr>
                <w:color w:val="000000"/>
                <w:sz w:val="17"/>
                <w:szCs w:val="17"/>
                <w:lang w:val="fr-FR" w:eastAsia="en-CA"/>
              </w:rPr>
            </w:pPr>
            <w:r>
              <w:rPr>
                <w:sz w:val="17"/>
                <w:szCs w:val="17"/>
                <w:lang w:val="fr-FR"/>
              </w:rPr>
              <w:t>4 024</w:t>
            </w:r>
          </w:p>
        </w:tc>
        <w:tc>
          <w:tcPr>
            <w:tcW w:w="1530" w:type="dxa"/>
            <w:tcBorders>
              <w:top w:val="nil"/>
              <w:left w:val="nil"/>
              <w:bottom w:val="single" w:sz="4" w:space="0" w:color="auto"/>
              <w:right w:val="single" w:sz="4" w:space="0" w:color="auto"/>
            </w:tcBorders>
            <w:noWrap/>
          </w:tcPr>
          <w:p w14:paraId="0B608CD5" w14:textId="7BE70BBB" w:rsidR="00FD547F" w:rsidRPr="006B0C18" w:rsidRDefault="00FD547F" w:rsidP="00FD547F">
            <w:pPr>
              <w:jc w:val="right"/>
              <w:rPr>
                <w:color w:val="000000"/>
                <w:sz w:val="17"/>
                <w:szCs w:val="17"/>
                <w:lang w:val="fr-FR" w:eastAsia="en-CA"/>
              </w:rPr>
            </w:pPr>
            <w:r>
              <w:rPr>
                <w:sz w:val="17"/>
                <w:szCs w:val="17"/>
                <w:lang w:val="fr-FR"/>
              </w:rPr>
              <w:t>216 944</w:t>
            </w:r>
          </w:p>
        </w:tc>
        <w:tc>
          <w:tcPr>
            <w:tcW w:w="1350" w:type="dxa"/>
            <w:tcBorders>
              <w:top w:val="nil"/>
              <w:left w:val="nil"/>
              <w:bottom w:val="single" w:sz="4" w:space="0" w:color="auto"/>
              <w:right w:val="single" w:sz="4" w:space="0" w:color="auto"/>
            </w:tcBorders>
            <w:noWrap/>
          </w:tcPr>
          <w:p w14:paraId="12077C35" w14:textId="222A0D08" w:rsidR="00FD547F" w:rsidRPr="006B0C18" w:rsidRDefault="00FD547F" w:rsidP="00FD547F">
            <w:pPr>
              <w:jc w:val="right"/>
              <w:rPr>
                <w:color w:val="000000"/>
                <w:sz w:val="17"/>
                <w:szCs w:val="17"/>
                <w:lang w:val="fr-FR" w:eastAsia="en-CA"/>
              </w:rPr>
            </w:pPr>
            <w:r>
              <w:rPr>
                <w:sz w:val="17"/>
                <w:szCs w:val="17"/>
                <w:lang w:val="fr-FR"/>
              </w:rPr>
              <w:t>238 113</w:t>
            </w:r>
          </w:p>
        </w:tc>
        <w:tc>
          <w:tcPr>
            <w:tcW w:w="1350" w:type="dxa"/>
            <w:tcBorders>
              <w:top w:val="nil"/>
              <w:left w:val="nil"/>
              <w:bottom w:val="single" w:sz="4" w:space="0" w:color="auto"/>
              <w:right w:val="single" w:sz="4" w:space="0" w:color="auto"/>
            </w:tcBorders>
            <w:noWrap/>
          </w:tcPr>
          <w:p w14:paraId="4434B2E7" w14:textId="120B9737" w:rsidR="00FD547F" w:rsidRPr="006B0C18" w:rsidRDefault="00FD547F" w:rsidP="00FD547F">
            <w:pPr>
              <w:jc w:val="right"/>
              <w:rPr>
                <w:color w:val="000000"/>
                <w:sz w:val="17"/>
                <w:szCs w:val="17"/>
                <w:lang w:val="fr-FR" w:eastAsia="en-CA"/>
              </w:rPr>
            </w:pPr>
            <w:r>
              <w:rPr>
                <w:sz w:val="17"/>
                <w:szCs w:val="17"/>
                <w:lang w:val="fr-FR"/>
              </w:rPr>
              <w:t>4 840</w:t>
            </w:r>
          </w:p>
        </w:tc>
        <w:tc>
          <w:tcPr>
            <w:tcW w:w="1440" w:type="dxa"/>
            <w:tcBorders>
              <w:top w:val="nil"/>
              <w:left w:val="nil"/>
              <w:bottom w:val="single" w:sz="4" w:space="0" w:color="auto"/>
              <w:right w:val="single" w:sz="4" w:space="0" w:color="auto"/>
            </w:tcBorders>
            <w:noWrap/>
          </w:tcPr>
          <w:p w14:paraId="34C023DB" w14:textId="70E08CFE" w:rsidR="00FD547F" w:rsidRPr="006B0C18" w:rsidRDefault="00FD547F" w:rsidP="00FD547F">
            <w:pPr>
              <w:jc w:val="right"/>
              <w:rPr>
                <w:color w:val="000000"/>
                <w:sz w:val="17"/>
                <w:szCs w:val="17"/>
                <w:lang w:val="fr-FR" w:eastAsia="en-CA"/>
              </w:rPr>
            </w:pPr>
            <w:r>
              <w:rPr>
                <w:sz w:val="17"/>
                <w:szCs w:val="17"/>
                <w:lang w:val="fr-FR"/>
              </w:rPr>
              <w:t>602</w:t>
            </w:r>
          </w:p>
        </w:tc>
        <w:tc>
          <w:tcPr>
            <w:tcW w:w="1080" w:type="dxa"/>
            <w:tcBorders>
              <w:top w:val="nil"/>
              <w:left w:val="nil"/>
              <w:bottom w:val="single" w:sz="4" w:space="0" w:color="auto"/>
              <w:right w:val="single" w:sz="4" w:space="0" w:color="auto"/>
            </w:tcBorders>
            <w:noWrap/>
          </w:tcPr>
          <w:p w14:paraId="4A2C5D87" w14:textId="6909E048" w:rsidR="00FD547F" w:rsidRPr="006B0C18" w:rsidRDefault="00FD547F" w:rsidP="00FD547F">
            <w:pPr>
              <w:jc w:val="right"/>
              <w:rPr>
                <w:color w:val="000000"/>
                <w:sz w:val="17"/>
                <w:szCs w:val="17"/>
                <w:lang w:val="fr-FR" w:eastAsia="en-CA"/>
              </w:rPr>
            </w:pPr>
            <w:r>
              <w:rPr>
                <w:sz w:val="17"/>
                <w:szCs w:val="17"/>
                <w:lang w:val="fr-FR"/>
              </w:rPr>
              <w:t>179 607</w:t>
            </w:r>
          </w:p>
        </w:tc>
        <w:tc>
          <w:tcPr>
            <w:tcW w:w="990" w:type="dxa"/>
            <w:tcBorders>
              <w:top w:val="nil"/>
              <w:left w:val="nil"/>
              <w:bottom w:val="single" w:sz="4" w:space="0" w:color="auto"/>
              <w:right w:val="single" w:sz="4" w:space="0" w:color="auto"/>
            </w:tcBorders>
            <w:noWrap/>
          </w:tcPr>
          <w:p w14:paraId="230CDD23" w14:textId="58C8978C" w:rsidR="00FD547F" w:rsidRPr="006B0C18" w:rsidRDefault="00FD547F" w:rsidP="00FD547F">
            <w:pPr>
              <w:jc w:val="right"/>
              <w:rPr>
                <w:color w:val="000000"/>
                <w:sz w:val="17"/>
                <w:szCs w:val="17"/>
                <w:lang w:val="fr-FR" w:eastAsia="en-CA"/>
              </w:rPr>
            </w:pPr>
            <w:r>
              <w:rPr>
                <w:sz w:val="17"/>
                <w:szCs w:val="17"/>
                <w:lang w:val="fr-FR"/>
              </w:rPr>
              <w:t>179 635</w:t>
            </w:r>
          </w:p>
        </w:tc>
        <w:tc>
          <w:tcPr>
            <w:tcW w:w="1260" w:type="dxa"/>
            <w:tcBorders>
              <w:top w:val="nil"/>
              <w:left w:val="nil"/>
              <w:bottom w:val="single" w:sz="4" w:space="0" w:color="auto"/>
              <w:right w:val="single" w:sz="4" w:space="0" w:color="auto"/>
            </w:tcBorders>
            <w:noWrap/>
          </w:tcPr>
          <w:p w14:paraId="3F8C3A11" w14:textId="750253BE" w:rsidR="00FD547F" w:rsidRPr="006B0C18" w:rsidRDefault="00FD547F" w:rsidP="00FD547F">
            <w:pPr>
              <w:jc w:val="right"/>
              <w:rPr>
                <w:color w:val="000000"/>
                <w:sz w:val="17"/>
                <w:szCs w:val="17"/>
                <w:lang w:val="fr-FR" w:eastAsia="en-CA"/>
              </w:rPr>
            </w:pPr>
            <w:r>
              <w:rPr>
                <w:sz w:val="17"/>
                <w:szCs w:val="17"/>
                <w:lang w:val="fr-FR"/>
              </w:rPr>
              <w:t>2 712 704 357</w:t>
            </w:r>
          </w:p>
        </w:tc>
      </w:tr>
      <w:tr w:rsidR="00FD547F" w:rsidRPr="006B0C18" w14:paraId="030523C2" w14:textId="77777777" w:rsidTr="00974B5B">
        <w:trPr>
          <w:trHeight w:val="56"/>
        </w:trPr>
        <w:tc>
          <w:tcPr>
            <w:tcW w:w="1890" w:type="dxa"/>
            <w:tcBorders>
              <w:top w:val="nil"/>
              <w:left w:val="single" w:sz="4" w:space="0" w:color="auto"/>
              <w:bottom w:val="single" w:sz="4" w:space="0" w:color="auto"/>
              <w:right w:val="single" w:sz="4" w:space="0" w:color="auto"/>
            </w:tcBorders>
            <w:noWrap/>
            <w:hideMark/>
          </w:tcPr>
          <w:p w14:paraId="6B10FEFC" w14:textId="24EE9A8B" w:rsidR="00FD547F" w:rsidRPr="006B0C18" w:rsidRDefault="00FD547F" w:rsidP="00FD547F">
            <w:pPr>
              <w:jc w:val="left"/>
              <w:rPr>
                <w:color w:val="000000"/>
                <w:sz w:val="17"/>
                <w:szCs w:val="17"/>
                <w:lang w:val="fr-FR" w:eastAsia="en-CA"/>
              </w:rPr>
            </w:pPr>
            <w:r>
              <w:rPr>
                <w:sz w:val="17"/>
                <w:szCs w:val="17"/>
                <w:lang w:val="fr-FR"/>
              </w:rPr>
              <w:t>Europe</w:t>
            </w:r>
          </w:p>
        </w:tc>
        <w:tc>
          <w:tcPr>
            <w:tcW w:w="900" w:type="dxa"/>
            <w:tcBorders>
              <w:top w:val="nil"/>
              <w:left w:val="nil"/>
              <w:bottom w:val="single" w:sz="4" w:space="0" w:color="auto"/>
              <w:right w:val="single" w:sz="4" w:space="0" w:color="auto"/>
            </w:tcBorders>
            <w:noWrap/>
          </w:tcPr>
          <w:p w14:paraId="0612F885" w14:textId="7F280378" w:rsidR="00FD547F" w:rsidRPr="006B0C18" w:rsidRDefault="00FD547F" w:rsidP="00FD547F">
            <w:pPr>
              <w:jc w:val="right"/>
              <w:rPr>
                <w:color w:val="000000"/>
                <w:sz w:val="17"/>
                <w:szCs w:val="17"/>
                <w:lang w:val="fr-FR" w:eastAsia="en-CA"/>
              </w:rPr>
            </w:pPr>
            <w:r>
              <w:rPr>
                <w:sz w:val="17"/>
                <w:szCs w:val="17"/>
                <w:lang w:val="fr-FR"/>
              </w:rPr>
              <w:t>709</w:t>
            </w:r>
          </w:p>
        </w:tc>
        <w:tc>
          <w:tcPr>
            <w:tcW w:w="1530" w:type="dxa"/>
            <w:tcBorders>
              <w:top w:val="nil"/>
              <w:left w:val="nil"/>
              <w:bottom w:val="single" w:sz="4" w:space="0" w:color="auto"/>
              <w:right w:val="single" w:sz="4" w:space="0" w:color="auto"/>
            </w:tcBorders>
            <w:noWrap/>
          </w:tcPr>
          <w:p w14:paraId="20D4C5C8" w14:textId="2A61841A" w:rsidR="00FD547F" w:rsidRPr="006B0C18" w:rsidRDefault="00FD547F" w:rsidP="00FD547F">
            <w:pPr>
              <w:jc w:val="right"/>
              <w:rPr>
                <w:color w:val="000000"/>
                <w:sz w:val="17"/>
                <w:szCs w:val="17"/>
                <w:lang w:val="fr-FR" w:eastAsia="en-CA"/>
              </w:rPr>
            </w:pPr>
            <w:r>
              <w:rPr>
                <w:sz w:val="17"/>
                <w:szCs w:val="17"/>
                <w:lang w:val="fr-FR"/>
              </w:rPr>
              <w:t>9 175</w:t>
            </w:r>
          </w:p>
        </w:tc>
        <w:tc>
          <w:tcPr>
            <w:tcW w:w="1350" w:type="dxa"/>
            <w:tcBorders>
              <w:top w:val="nil"/>
              <w:left w:val="nil"/>
              <w:bottom w:val="single" w:sz="4" w:space="0" w:color="auto"/>
              <w:right w:val="single" w:sz="4" w:space="0" w:color="auto"/>
            </w:tcBorders>
            <w:noWrap/>
          </w:tcPr>
          <w:p w14:paraId="1DB45DBA" w14:textId="2B83809A" w:rsidR="00FD547F" w:rsidRPr="006B0C18" w:rsidRDefault="00FD547F" w:rsidP="00FD547F">
            <w:pPr>
              <w:jc w:val="right"/>
              <w:rPr>
                <w:color w:val="000000"/>
                <w:sz w:val="17"/>
                <w:szCs w:val="17"/>
                <w:lang w:val="fr-FR" w:eastAsia="en-CA"/>
              </w:rPr>
            </w:pPr>
            <w:r>
              <w:rPr>
                <w:sz w:val="17"/>
                <w:szCs w:val="17"/>
                <w:lang w:val="fr-FR"/>
              </w:rPr>
              <w:t>9 296</w:t>
            </w:r>
          </w:p>
        </w:tc>
        <w:tc>
          <w:tcPr>
            <w:tcW w:w="1350" w:type="dxa"/>
            <w:tcBorders>
              <w:top w:val="nil"/>
              <w:left w:val="nil"/>
              <w:bottom w:val="single" w:sz="4" w:space="0" w:color="auto"/>
              <w:right w:val="single" w:sz="4" w:space="0" w:color="auto"/>
            </w:tcBorders>
            <w:noWrap/>
          </w:tcPr>
          <w:p w14:paraId="2B7C7AC5" w14:textId="08E3EF33" w:rsidR="00FD547F" w:rsidRPr="006B0C18" w:rsidRDefault="00FD547F" w:rsidP="00FD547F">
            <w:pPr>
              <w:jc w:val="right"/>
              <w:rPr>
                <w:color w:val="000000"/>
                <w:sz w:val="17"/>
                <w:szCs w:val="17"/>
                <w:lang w:val="fr-FR" w:eastAsia="en-CA"/>
              </w:rPr>
            </w:pPr>
            <w:r>
              <w:rPr>
                <w:sz w:val="17"/>
                <w:szCs w:val="17"/>
                <w:lang w:val="fr-FR"/>
              </w:rPr>
              <w:t>747</w:t>
            </w:r>
          </w:p>
        </w:tc>
        <w:tc>
          <w:tcPr>
            <w:tcW w:w="1440" w:type="dxa"/>
            <w:tcBorders>
              <w:top w:val="nil"/>
              <w:left w:val="nil"/>
              <w:bottom w:val="single" w:sz="4" w:space="0" w:color="auto"/>
              <w:right w:val="single" w:sz="4" w:space="0" w:color="auto"/>
            </w:tcBorders>
            <w:noWrap/>
          </w:tcPr>
          <w:p w14:paraId="617E9502" w14:textId="0AB98DBA" w:rsidR="00FD547F" w:rsidRPr="006B0C18" w:rsidRDefault="00FD547F" w:rsidP="00FD547F">
            <w:pPr>
              <w:jc w:val="right"/>
              <w:rPr>
                <w:color w:val="000000"/>
                <w:sz w:val="17"/>
                <w:szCs w:val="17"/>
                <w:lang w:val="fr-FR" w:eastAsia="en-CA"/>
              </w:rPr>
            </w:pPr>
            <w:r>
              <w:rPr>
                <w:sz w:val="17"/>
                <w:szCs w:val="17"/>
                <w:lang w:val="fr-FR"/>
              </w:rPr>
              <w:t>13</w:t>
            </w:r>
          </w:p>
        </w:tc>
        <w:tc>
          <w:tcPr>
            <w:tcW w:w="1080" w:type="dxa"/>
            <w:tcBorders>
              <w:top w:val="nil"/>
              <w:left w:val="nil"/>
              <w:bottom w:val="single" w:sz="4" w:space="0" w:color="auto"/>
              <w:right w:val="single" w:sz="4" w:space="0" w:color="auto"/>
            </w:tcBorders>
            <w:noWrap/>
          </w:tcPr>
          <w:p w14:paraId="50274578" w14:textId="1BDC6939" w:rsidR="00FD547F" w:rsidRPr="006B0C18" w:rsidRDefault="00FD547F" w:rsidP="00FD547F">
            <w:pPr>
              <w:jc w:val="right"/>
              <w:rPr>
                <w:color w:val="000000"/>
                <w:sz w:val="17"/>
                <w:szCs w:val="17"/>
                <w:lang w:val="fr-FR" w:eastAsia="en-CA"/>
              </w:rPr>
            </w:pPr>
            <w:r>
              <w:rPr>
                <w:sz w:val="17"/>
                <w:szCs w:val="17"/>
                <w:lang w:val="fr-FR"/>
              </w:rPr>
              <w:t>175</w:t>
            </w:r>
          </w:p>
        </w:tc>
        <w:tc>
          <w:tcPr>
            <w:tcW w:w="990" w:type="dxa"/>
            <w:tcBorders>
              <w:top w:val="nil"/>
              <w:left w:val="nil"/>
              <w:bottom w:val="single" w:sz="4" w:space="0" w:color="auto"/>
              <w:right w:val="single" w:sz="4" w:space="0" w:color="auto"/>
            </w:tcBorders>
            <w:noWrap/>
          </w:tcPr>
          <w:p w14:paraId="0DA0DAF9" w14:textId="09B55233" w:rsidR="00FD547F" w:rsidRPr="006B0C18" w:rsidRDefault="00FD547F" w:rsidP="00FD547F">
            <w:pPr>
              <w:jc w:val="right"/>
              <w:rPr>
                <w:color w:val="000000"/>
                <w:sz w:val="17"/>
                <w:szCs w:val="17"/>
                <w:lang w:val="fr-FR" w:eastAsia="en-CA"/>
              </w:rPr>
            </w:pPr>
            <w:r>
              <w:rPr>
                <w:sz w:val="17"/>
                <w:szCs w:val="17"/>
                <w:lang w:val="fr-FR"/>
              </w:rPr>
              <w:t>175</w:t>
            </w:r>
          </w:p>
        </w:tc>
        <w:tc>
          <w:tcPr>
            <w:tcW w:w="1260" w:type="dxa"/>
            <w:tcBorders>
              <w:top w:val="nil"/>
              <w:left w:val="nil"/>
              <w:bottom w:val="single" w:sz="4" w:space="0" w:color="auto"/>
              <w:right w:val="single" w:sz="4" w:space="0" w:color="auto"/>
            </w:tcBorders>
            <w:noWrap/>
          </w:tcPr>
          <w:p w14:paraId="6EFD35C8" w14:textId="1FB365B2" w:rsidR="00FD547F" w:rsidRPr="006B0C18" w:rsidRDefault="00FD547F" w:rsidP="00FD547F">
            <w:pPr>
              <w:jc w:val="right"/>
              <w:rPr>
                <w:color w:val="000000"/>
                <w:sz w:val="17"/>
                <w:szCs w:val="17"/>
                <w:lang w:val="fr-FR" w:eastAsia="en-CA"/>
              </w:rPr>
            </w:pPr>
            <w:r>
              <w:rPr>
                <w:sz w:val="17"/>
                <w:szCs w:val="17"/>
                <w:lang w:val="fr-FR"/>
              </w:rPr>
              <w:t>139 066 985</w:t>
            </w:r>
          </w:p>
        </w:tc>
      </w:tr>
      <w:tr w:rsidR="00FD547F" w:rsidRPr="006B0C18" w14:paraId="4F6565EE" w14:textId="77777777" w:rsidTr="00974B5B">
        <w:trPr>
          <w:trHeight w:val="273"/>
        </w:trPr>
        <w:tc>
          <w:tcPr>
            <w:tcW w:w="1890" w:type="dxa"/>
            <w:tcBorders>
              <w:top w:val="nil"/>
              <w:left w:val="single" w:sz="4" w:space="0" w:color="auto"/>
              <w:bottom w:val="single" w:sz="4" w:space="0" w:color="auto"/>
              <w:right w:val="single" w:sz="4" w:space="0" w:color="auto"/>
            </w:tcBorders>
            <w:noWrap/>
            <w:hideMark/>
          </w:tcPr>
          <w:p w14:paraId="1D6A22F2" w14:textId="77777777" w:rsidR="00774699" w:rsidRPr="006B0C18" w:rsidRDefault="00FD547F" w:rsidP="00FD547F">
            <w:pPr>
              <w:ind w:right="-248"/>
              <w:jc w:val="left"/>
              <w:rPr>
                <w:sz w:val="17"/>
                <w:szCs w:val="17"/>
                <w:lang w:val="fr-FR"/>
              </w:rPr>
            </w:pPr>
            <w:r>
              <w:rPr>
                <w:sz w:val="17"/>
                <w:szCs w:val="17"/>
                <w:lang w:val="fr-FR"/>
              </w:rPr>
              <w:t>Amérique latine et</w:t>
            </w:r>
          </w:p>
          <w:p w14:paraId="773984BE" w14:textId="0BCB6746" w:rsidR="00FD547F" w:rsidRPr="006B0C18" w:rsidRDefault="00FD547F" w:rsidP="00FD547F">
            <w:pPr>
              <w:ind w:right="-248"/>
              <w:jc w:val="left"/>
              <w:rPr>
                <w:color w:val="000000"/>
                <w:sz w:val="17"/>
                <w:szCs w:val="17"/>
                <w:lang w:val="fr-FR" w:eastAsia="en-CA"/>
              </w:rPr>
            </w:pPr>
            <w:r>
              <w:rPr>
                <w:sz w:val="17"/>
                <w:szCs w:val="17"/>
                <w:lang w:val="fr-FR"/>
              </w:rPr>
              <w:t>Caraïbes</w:t>
            </w:r>
          </w:p>
        </w:tc>
        <w:tc>
          <w:tcPr>
            <w:tcW w:w="900" w:type="dxa"/>
            <w:tcBorders>
              <w:top w:val="nil"/>
              <w:left w:val="nil"/>
              <w:bottom w:val="single" w:sz="4" w:space="0" w:color="auto"/>
              <w:right w:val="single" w:sz="4" w:space="0" w:color="auto"/>
            </w:tcBorders>
            <w:noWrap/>
          </w:tcPr>
          <w:p w14:paraId="74A660DD" w14:textId="541D7227" w:rsidR="00FD547F" w:rsidRPr="006B0C18" w:rsidRDefault="00FD547F" w:rsidP="00FD547F">
            <w:pPr>
              <w:jc w:val="right"/>
              <w:rPr>
                <w:color w:val="000000"/>
                <w:sz w:val="17"/>
                <w:szCs w:val="17"/>
                <w:lang w:val="fr-FR" w:eastAsia="en-CA"/>
              </w:rPr>
            </w:pPr>
            <w:r>
              <w:rPr>
                <w:sz w:val="17"/>
                <w:szCs w:val="17"/>
                <w:lang w:val="fr-FR"/>
              </w:rPr>
              <w:t>2 619</w:t>
            </w:r>
          </w:p>
        </w:tc>
        <w:tc>
          <w:tcPr>
            <w:tcW w:w="1530" w:type="dxa"/>
            <w:tcBorders>
              <w:top w:val="nil"/>
              <w:left w:val="nil"/>
              <w:bottom w:val="single" w:sz="4" w:space="0" w:color="auto"/>
              <w:right w:val="single" w:sz="4" w:space="0" w:color="auto"/>
            </w:tcBorders>
            <w:noWrap/>
          </w:tcPr>
          <w:p w14:paraId="2DDEE829" w14:textId="0FA2F259" w:rsidR="00FD547F" w:rsidRPr="006B0C18" w:rsidRDefault="00FD547F" w:rsidP="00FD547F">
            <w:pPr>
              <w:jc w:val="right"/>
              <w:rPr>
                <w:color w:val="000000"/>
                <w:sz w:val="17"/>
                <w:szCs w:val="17"/>
                <w:lang w:val="fr-FR" w:eastAsia="en-CA"/>
              </w:rPr>
            </w:pPr>
            <w:r>
              <w:rPr>
                <w:sz w:val="17"/>
                <w:szCs w:val="17"/>
                <w:lang w:val="fr-FR"/>
              </w:rPr>
              <w:t>40 725</w:t>
            </w:r>
          </w:p>
        </w:tc>
        <w:tc>
          <w:tcPr>
            <w:tcW w:w="1350" w:type="dxa"/>
            <w:tcBorders>
              <w:top w:val="nil"/>
              <w:left w:val="nil"/>
              <w:bottom w:val="single" w:sz="4" w:space="0" w:color="auto"/>
              <w:right w:val="single" w:sz="4" w:space="0" w:color="auto"/>
            </w:tcBorders>
            <w:noWrap/>
          </w:tcPr>
          <w:p w14:paraId="5B7D39B2" w14:textId="729C9D5A" w:rsidR="00FD547F" w:rsidRPr="006B0C18" w:rsidRDefault="00FD547F" w:rsidP="00FD547F">
            <w:pPr>
              <w:jc w:val="right"/>
              <w:rPr>
                <w:color w:val="000000"/>
                <w:sz w:val="17"/>
                <w:szCs w:val="17"/>
                <w:lang w:val="fr-FR" w:eastAsia="en-CA"/>
              </w:rPr>
            </w:pPr>
            <w:r>
              <w:rPr>
                <w:sz w:val="17"/>
                <w:szCs w:val="17"/>
                <w:lang w:val="fr-FR"/>
              </w:rPr>
              <w:t>39 948</w:t>
            </w:r>
          </w:p>
        </w:tc>
        <w:tc>
          <w:tcPr>
            <w:tcW w:w="1350" w:type="dxa"/>
            <w:tcBorders>
              <w:top w:val="nil"/>
              <w:left w:val="nil"/>
              <w:bottom w:val="single" w:sz="4" w:space="0" w:color="auto"/>
              <w:right w:val="single" w:sz="4" w:space="0" w:color="auto"/>
            </w:tcBorders>
            <w:noWrap/>
          </w:tcPr>
          <w:p w14:paraId="6E1B4278" w14:textId="1F92B746" w:rsidR="00FD547F" w:rsidRPr="006B0C18" w:rsidRDefault="00FD547F" w:rsidP="00FD547F">
            <w:pPr>
              <w:jc w:val="right"/>
              <w:rPr>
                <w:color w:val="000000"/>
                <w:sz w:val="17"/>
                <w:szCs w:val="17"/>
                <w:lang w:val="fr-FR" w:eastAsia="en-CA"/>
              </w:rPr>
            </w:pPr>
            <w:r>
              <w:rPr>
                <w:sz w:val="17"/>
                <w:szCs w:val="17"/>
                <w:lang w:val="fr-FR"/>
              </w:rPr>
              <w:t>8 527</w:t>
            </w:r>
          </w:p>
        </w:tc>
        <w:tc>
          <w:tcPr>
            <w:tcW w:w="1440" w:type="dxa"/>
            <w:tcBorders>
              <w:top w:val="nil"/>
              <w:left w:val="nil"/>
              <w:bottom w:val="single" w:sz="4" w:space="0" w:color="auto"/>
              <w:right w:val="single" w:sz="4" w:space="0" w:color="auto"/>
            </w:tcBorders>
            <w:noWrap/>
          </w:tcPr>
          <w:p w14:paraId="26D1E982" w14:textId="0961A570" w:rsidR="00FD547F" w:rsidRPr="006B0C18" w:rsidRDefault="00FD547F" w:rsidP="00FD547F">
            <w:pPr>
              <w:jc w:val="right"/>
              <w:rPr>
                <w:color w:val="000000"/>
                <w:sz w:val="17"/>
                <w:szCs w:val="17"/>
                <w:lang w:val="fr-FR" w:eastAsia="en-CA"/>
              </w:rPr>
            </w:pPr>
            <w:r>
              <w:rPr>
                <w:sz w:val="17"/>
                <w:szCs w:val="17"/>
                <w:lang w:val="fr-FR"/>
              </w:rPr>
              <w:t>442</w:t>
            </w:r>
          </w:p>
        </w:tc>
        <w:tc>
          <w:tcPr>
            <w:tcW w:w="1080" w:type="dxa"/>
            <w:tcBorders>
              <w:top w:val="nil"/>
              <w:left w:val="nil"/>
              <w:bottom w:val="single" w:sz="4" w:space="0" w:color="auto"/>
              <w:right w:val="single" w:sz="4" w:space="0" w:color="auto"/>
            </w:tcBorders>
            <w:noWrap/>
          </w:tcPr>
          <w:p w14:paraId="5DF7FA10" w14:textId="653C6F76" w:rsidR="00FD547F" w:rsidRPr="006B0C18" w:rsidRDefault="00FD547F" w:rsidP="00FD547F">
            <w:pPr>
              <w:jc w:val="right"/>
              <w:rPr>
                <w:color w:val="000000"/>
                <w:sz w:val="17"/>
                <w:szCs w:val="17"/>
                <w:lang w:val="fr-FR" w:eastAsia="en-CA"/>
              </w:rPr>
            </w:pPr>
            <w:r>
              <w:rPr>
                <w:sz w:val="17"/>
                <w:szCs w:val="17"/>
                <w:lang w:val="fr-FR"/>
              </w:rPr>
              <w:t>19 775</w:t>
            </w:r>
          </w:p>
        </w:tc>
        <w:tc>
          <w:tcPr>
            <w:tcW w:w="990" w:type="dxa"/>
            <w:tcBorders>
              <w:top w:val="nil"/>
              <w:left w:val="nil"/>
              <w:bottom w:val="single" w:sz="4" w:space="0" w:color="auto"/>
              <w:right w:val="single" w:sz="4" w:space="0" w:color="auto"/>
            </w:tcBorders>
            <w:noWrap/>
          </w:tcPr>
          <w:p w14:paraId="0D412FDA" w14:textId="6C61EE8F" w:rsidR="00FD547F" w:rsidRPr="006B0C18" w:rsidRDefault="00FD547F" w:rsidP="00FD547F">
            <w:pPr>
              <w:jc w:val="right"/>
              <w:rPr>
                <w:color w:val="000000"/>
                <w:sz w:val="17"/>
                <w:szCs w:val="17"/>
                <w:lang w:val="fr-FR" w:eastAsia="en-CA"/>
              </w:rPr>
            </w:pPr>
            <w:r>
              <w:rPr>
                <w:sz w:val="17"/>
                <w:szCs w:val="17"/>
                <w:lang w:val="fr-FR"/>
              </w:rPr>
              <w:t>19 775</w:t>
            </w:r>
          </w:p>
        </w:tc>
        <w:tc>
          <w:tcPr>
            <w:tcW w:w="1260" w:type="dxa"/>
            <w:tcBorders>
              <w:top w:val="nil"/>
              <w:left w:val="nil"/>
              <w:bottom w:val="single" w:sz="4" w:space="0" w:color="auto"/>
              <w:right w:val="single" w:sz="4" w:space="0" w:color="auto"/>
            </w:tcBorders>
            <w:noWrap/>
          </w:tcPr>
          <w:p w14:paraId="18D57139" w14:textId="0965EAA6" w:rsidR="00FD547F" w:rsidRPr="006B0C18" w:rsidRDefault="00FD547F" w:rsidP="00FD547F">
            <w:pPr>
              <w:jc w:val="right"/>
              <w:rPr>
                <w:color w:val="000000"/>
                <w:sz w:val="17"/>
                <w:szCs w:val="17"/>
                <w:lang w:val="fr-FR" w:eastAsia="en-CA"/>
              </w:rPr>
            </w:pPr>
            <w:r>
              <w:rPr>
                <w:sz w:val="17"/>
                <w:szCs w:val="17"/>
                <w:lang w:val="fr-FR"/>
              </w:rPr>
              <w:t>749 951 110</w:t>
            </w:r>
          </w:p>
        </w:tc>
      </w:tr>
      <w:tr w:rsidR="00FD547F" w:rsidRPr="006B0C18" w14:paraId="6D0EB9E1" w14:textId="77777777" w:rsidTr="00974B5B">
        <w:trPr>
          <w:trHeight w:val="122"/>
        </w:trPr>
        <w:tc>
          <w:tcPr>
            <w:tcW w:w="1890" w:type="dxa"/>
            <w:tcBorders>
              <w:top w:val="nil"/>
              <w:left w:val="single" w:sz="4" w:space="0" w:color="auto"/>
              <w:bottom w:val="single" w:sz="4" w:space="0" w:color="auto"/>
              <w:right w:val="single" w:sz="4" w:space="0" w:color="auto"/>
            </w:tcBorders>
            <w:noWrap/>
            <w:hideMark/>
          </w:tcPr>
          <w:p w14:paraId="00044D95" w14:textId="3E3F244A" w:rsidR="00FD547F" w:rsidRPr="006B0C18" w:rsidRDefault="00FD547F" w:rsidP="00FD547F">
            <w:pPr>
              <w:jc w:val="left"/>
              <w:rPr>
                <w:color w:val="000000"/>
                <w:sz w:val="17"/>
                <w:szCs w:val="17"/>
                <w:lang w:val="fr-FR" w:eastAsia="en-CA"/>
              </w:rPr>
            </w:pPr>
            <w:r>
              <w:rPr>
                <w:sz w:val="17"/>
                <w:szCs w:val="17"/>
                <w:lang w:val="fr-FR"/>
              </w:rPr>
              <w:t>Échelle mondiale</w:t>
            </w:r>
          </w:p>
        </w:tc>
        <w:tc>
          <w:tcPr>
            <w:tcW w:w="900" w:type="dxa"/>
            <w:tcBorders>
              <w:top w:val="nil"/>
              <w:left w:val="nil"/>
              <w:bottom w:val="single" w:sz="4" w:space="0" w:color="auto"/>
              <w:right w:val="single" w:sz="4" w:space="0" w:color="auto"/>
            </w:tcBorders>
            <w:noWrap/>
          </w:tcPr>
          <w:p w14:paraId="4020F2BE" w14:textId="5806F15F" w:rsidR="00FD547F" w:rsidRPr="006B0C18" w:rsidRDefault="00FD547F" w:rsidP="00FD547F">
            <w:pPr>
              <w:jc w:val="right"/>
              <w:rPr>
                <w:color w:val="000000"/>
                <w:sz w:val="17"/>
                <w:szCs w:val="17"/>
                <w:lang w:val="fr-FR" w:eastAsia="en-CA"/>
              </w:rPr>
            </w:pPr>
            <w:r>
              <w:rPr>
                <w:sz w:val="17"/>
                <w:szCs w:val="17"/>
                <w:lang w:val="fr-FR"/>
              </w:rPr>
              <w:t>359</w:t>
            </w:r>
          </w:p>
        </w:tc>
        <w:tc>
          <w:tcPr>
            <w:tcW w:w="1530" w:type="dxa"/>
            <w:tcBorders>
              <w:top w:val="nil"/>
              <w:left w:val="nil"/>
              <w:bottom w:val="single" w:sz="4" w:space="0" w:color="auto"/>
              <w:right w:val="single" w:sz="4" w:space="0" w:color="auto"/>
            </w:tcBorders>
            <w:noWrap/>
          </w:tcPr>
          <w:p w14:paraId="4B0D43E8" w14:textId="07980E39" w:rsidR="00FD547F" w:rsidRPr="006B0C18" w:rsidRDefault="00FD547F" w:rsidP="00FD547F">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56F2FDA9" w14:textId="4256D0A7" w:rsidR="00FD547F" w:rsidRPr="006B0C18" w:rsidRDefault="00FD547F" w:rsidP="00FD547F">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42FA2931" w14:textId="178F784D" w:rsidR="00FD547F" w:rsidRPr="006B0C18" w:rsidRDefault="00FD547F" w:rsidP="00FD547F">
            <w:pPr>
              <w:jc w:val="right"/>
              <w:rPr>
                <w:color w:val="000000"/>
                <w:sz w:val="17"/>
                <w:szCs w:val="17"/>
                <w:lang w:val="fr-FR" w:eastAsia="en-CA"/>
              </w:rPr>
            </w:pPr>
          </w:p>
        </w:tc>
        <w:tc>
          <w:tcPr>
            <w:tcW w:w="1440" w:type="dxa"/>
            <w:tcBorders>
              <w:top w:val="nil"/>
              <w:left w:val="nil"/>
              <w:bottom w:val="single" w:sz="4" w:space="0" w:color="auto"/>
              <w:right w:val="single" w:sz="4" w:space="0" w:color="auto"/>
            </w:tcBorders>
            <w:noWrap/>
          </w:tcPr>
          <w:p w14:paraId="120B0CC1" w14:textId="7606EF72" w:rsidR="00FD547F" w:rsidRPr="006B0C18" w:rsidRDefault="00FD547F" w:rsidP="00FD547F">
            <w:pPr>
              <w:jc w:val="right"/>
              <w:rPr>
                <w:color w:val="000000"/>
                <w:sz w:val="17"/>
                <w:szCs w:val="17"/>
                <w:lang w:val="fr-FR" w:eastAsia="en-CA"/>
              </w:rPr>
            </w:pPr>
          </w:p>
        </w:tc>
        <w:tc>
          <w:tcPr>
            <w:tcW w:w="1080" w:type="dxa"/>
            <w:tcBorders>
              <w:top w:val="nil"/>
              <w:left w:val="nil"/>
              <w:bottom w:val="single" w:sz="4" w:space="0" w:color="auto"/>
              <w:right w:val="single" w:sz="4" w:space="0" w:color="auto"/>
            </w:tcBorders>
            <w:noWrap/>
          </w:tcPr>
          <w:p w14:paraId="4CF4F452" w14:textId="0606934E" w:rsidR="00FD547F" w:rsidRPr="006B0C18" w:rsidRDefault="00FD547F" w:rsidP="00FD547F">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6C4DCE12" w14:textId="55F44482" w:rsidR="00FD547F" w:rsidRPr="006B0C18" w:rsidRDefault="00FD547F" w:rsidP="00FD547F">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7FE77209" w14:textId="5512B8B0" w:rsidR="00FD547F" w:rsidRPr="006B0C18" w:rsidRDefault="00FD547F" w:rsidP="00FD547F">
            <w:pPr>
              <w:jc w:val="right"/>
              <w:rPr>
                <w:color w:val="000000"/>
                <w:sz w:val="17"/>
                <w:szCs w:val="17"/>
                <w:lang w:val="fr-FR" w:eastAsia="en-CA"/>
              </w:rPr>
            </w:pPr>
            <w:r>
              <w:rPr>
                <w:sz w:val="17"/>
                <w:szCs w:val="17"/>
                <w:lang w:val="fr-FR"/>
              </w:rPr>
              <w:t>383 736 678</w:t>
            </w:r>
          </w:p>
        </w:tc>
      </w:tr>
      <w:tr w:rsidR="00CA1473" w:rsidRPr="006B0C18" w14:paraId="6DD149D1" w14:textId="77777777" w:rsidTr="00974B5B">
        <w:trPr>
          <w:trHeight w:val="55"/>
        </w:trPr>
        <w:tc>
          <w:tcPr>
            <w:tcW w:w="11790" w:type="dxa"/>
            <w:gridSpan w:val="9"/>
            <w:tcBorders>
              <w:top w:val="nil"/>
              <w:left w:val="single" w:sz="4" w:space="0" w:color="auto"/>
              <w:bottom w:val="single" w:sz="4" w:space="0" w:color="auto"/>
              <w:right w:val="single" w:sz="4" w:space="0" w:color="auto"/>
            </w:tcBorders>
            <w:noWrap/>
          </w:tcPr>
          <w:p w14:paraId="68FDDB41" w14:textId="4E8F0196" w:rsidR="00CA1473" w:rsidRPr="006B0C18" w:rsidRDefault="006B0C18" w:rsidP="00CA1473">
            <w:pPr>
              <w:jc w:val="left"/>
              <w:rPr>
                <w:b/>
                <w:bCs/>
                <w:color w:val="000000"/>
                <w:sz w:val="17"/>
                <w:szCs w:val="17"/>
                <w:lang w:val="fr-FR" w:eastAsia="en-CA"/>
              </w:rPr>
            </w:pPr>
            <w:r>
              <w:rPr>
                <w:b/>
                <w:bCs/>
                <w:color w:val="000000"/>
                <w:sz w:val="17"/>
                <w:szCs w:val="17"/>
                <w:lang w:val="fr-FR" w:eastAsia="fr"/>
              </w:rPr>
              <w:t>Secteur</w:t>
            </w:r>
          </w:p>
        </w:tc>
      </w:tr>
      <w:tr w:rsidR="00344718" w:rsidRPr="006B0C18" w14:paraId="273212E9"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1109C4C6" w14:textId="1B41D013" w:rsidR="00344718" w:rsidRPr="006B0C18" w:rsidRDefault="00344718" w:rsidP="00344718">
            <w:pPr>
              <w:jc w:val="left"/>
              <w:rPr>
                <w:color w:val="000000"/>
                <w:sz w:val="17"/>
                <w:szCs w:val="17"/>
                <w:lang w:val="fr-FR" w:eastAsia="en-CA"/>
              </w:rPr>
            </w:pPr>
            <w:r>
              <w:rPr>
                <w:sz w:val="17"/>
                <w:szCs w:val="17"/>
                <w:lang w:val="fr-FR"/>
              </w:rPr>
              <w:t>Programmes d'agence</w:t>
            </w:r>
          </w:p>
        </w:tc>
        <w:tc>
          <w:tcPr>
            <w:tcW w:w="900" w:type="dxa"/>
            <w:tcBorders>
              <w:top w:val="nil"/>
              <w:left w:val="nil"/>
              <w:bottom w:val="single" w:sz="4" w:space="0" w:color="auto"/>
              <w:right w:val="single" w:sz="4" w:space="0" w:color="auto"/>
            </w:tcBorders>
            <w:noWrap/>
          </w:tcPr>
          <w:p w14:paraId="3ECE9E7F" w14:textId="16AF5DAD" w:rsidR="00344718" w:rsidRPr="006B0C18" w:rsidRDefault="00344718" w:rsidP="00344718">
            <w:pPr>
              <w:jc w:val="right"/>
              <w:rPr>
                <w:color w:val="000000"/>
                <w:sz w:val="17"/>
                <w:szCs w:val="17"/>
                <w:lang w:val="fr-FR" w:eastAsia="en-CA"/>
              </w:rPr>
            </w:pPr>
            <w:r>
              <w:rPr>
                <w:sz w:val="17"/>
                <w:szCs w:val="17"/>
                <w:lang w:val="fr-FR"/>
              </w:rPr>
              <w:t>269</w:t>
            </w:r>
          </w:p>
        </w:tc>
        <w:tc>
          <w:tcPr>
            <w:tcW w:w="1530" w:type="dxa"/>
            <w:tcBorders>
              <w:top w:val="nil"/>
              <w:left w:val="nil"/>
              <w:bottom w:val="single" w:sz="4" w:space="0" w:color="auto"/>
              <w:right w:val="single" w:sz="4" w:space="0" w:color="auto"/>
            </w:tcBorders>
            <w:noWrap/>
          </w:tcPr>
          <w:p w14:paraId="17A33B51" w14:textId="60A9753C"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6C274959" w14:textId="60037242"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3A35BAA4" w14:textId="7F434AA7"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3A460137" w14:textId="5393F276"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2AA97A71" w14:textId="6DC97434"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42CB0443" w14:textId="647BD8D6"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016F558F" w14:textId="7E3A83F2" w:rsidR="00344718" w:rsidRPr="006B0C18" w:rsidRDefault="00344718" w:rsidP="00344718">
            <w:pPr>
              <w:jc w:val="right"/>
              <w:rPr>
                <w:color w:val="000000"/>
                <w:sz w:val="17"/>
                <w:szCs w:val="17"/>
                <w:lang w:val="fr-FR" w:eastAsia="en-CA"/>
              </w:rPr>
            </w:pPr>
            <w:r>
              <w:rPr>
                <w:sz w:val="17"/>
                <w:szCs w:val="17"/>
                <w:lang w:val="fr-FR"/>
              </w:rPr>
              <w:t>373 407 302</w:t>
            </w:r>
          </w:p>
        </w:tc>
      </w:tr>
      <w:tr w:rsidR="00344718" w:rsidRPr="006B0C18" w14:paraId="7587DE52"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470C44D2" w14:textId="3BEE15AF" w:rsidR="00344718" w:rsidRPr="006B0C18" w:rsidRDefault="00344718" w:rsidP="00344718">
            <w:pPr>
              <w:jc w:val="left"/>
              <w:rPr>
                <w:color w:val="000000"/>
                <w:sz w:val="17"/>
                <w:szCs w:val="17"/>
                <w:lang w:val="fr-FR" w:eastAsia="en-CA"/>
              </w:rPr>
            </w:pPr>
            <w:r>
              <w:rPr>
                <w:sz w:val="17"/>
                <w:szCs w:val="17"/>
                <w:lang w:val="fr-FR"/>
              </w:rPr>
              <w:t>Mécanisme de financement alternatif</w:t>
            </w:r>
          </w:p>
        </w:tc>
        <w:tc>
          <w:tcPr>
            <w:tcW w:w="900" w:type="dxa"/>
            <w:tcBorders>
              <w:top w:val="nil"/>
              <w:left w:val="nil"/>
              <w:bottom w:val="single" w:sz="4" w:space="0" w:color="auto"/>
              <w:right w:val="single" w:sz="4" w:space="0" w:color="auto"/>
            </w:tcBorders>
            <w:noWrap/>
          </w:tcPr>
          <w:p w14:paraId="3CB8F8E7" w14:textId="592F6EC7" w:rsidR="00344718" w:rsidRPr="006B0C18" w:rsidRDefault="00344718" w:rsidP="00344718">
            <w:pPr>
              <w:jc w:val="right"/>
              <w:rPr>
                <w:color w:val="000000"/>
                <w:sz w:val="17"/>
                <w:szCs w:val="17"/>
                <w:lang w:val="fr-FR" w:eastAsia="en-CA"/>
              </w:rPr>
            </w:pPr>
            <w:r>
              <w:rPr>
                <w:sz w:val="17"/>
                <w:szCs w:val="17"/>
                <w:lang w:val="fr-FR"/>
              </w:rPr>
              <w:t>9</w:t>
            </w:r>
          </w:p>
        </w:tc>
        <w:tc>
          <w:tcPr>
            <w:tcW w:w="1530" w:type="dxa"/>
            <w:tcBorders>
              <w:top w:val="nil"/>
              <w:left w:val="nil"/>
              <w:bottom w:val="single" w:sz="4" w:space="0" w:color="auto"/>
              <w:right w:val="single" w:sz="4" w:space="0" w:color="auto"/>
            </w:tcBorders>
            <w:noWrap/>
          </w:tcPr>
          <w:p w14:paraId="1F319887" w14:textId="0BB9ACDA"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4CB52804" w14:textId="6D28D187"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5CCD0B66" w14:textId="51FB19EF"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413B421D" w14:textId="291EC343"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19642841" w14:textId="1C35A839"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326917A9" w14:textId="5183661A"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04BD8444" w14:textId="38F0D3A7" w:rsidR="00344718" w:rsidRPr="006B0C18" w:rsidRDefault="00344718" w:rsidP="00344718">
            <w:pPr>
              <w:jc w:val="right"/>
              <w:rPr>
                <w:color w:val="000000"/>
                <w:sz w:val="17"/>
                <w:szCs w:val="17"/>
                <w:lang w:val="fr-FR" w:eastAsia="en-CA"/>
              </w:rPr>
            </w:pPr>
            <w:r>
              <w:rPr>
                <w:sz w:val="17"/>
                <w:szCs w:val="17"/>
                <w:lang w:val="fr-FR"/>
              </w:rPr>
              <w:t>44 217 750</w:t>
            </w:r>
          </w:p>
        </w:tc>
      </w:tr>
      <w:tr w:rsidR="00344718" w:rsidRPr="006B0C18" w14:paraId="0DC8E384"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151B12FF" w14:textId="402EDF1B" w:rsidR="00344718" w:rsidRPr="006B0C18" w:rsidRDefault="00344718" w:rsidP="00344718">
            <w:pPr>
              <w:ind w:right="-112"/>
              <w:jc w:val="left"/>
              <w:rPr>
                <w:color w:val="000000"/>
                <w:sz w:val="17"/>
                <w:szCs w:val="17"/>
                <w:lang w:val="fr-FR" w:eastAsia="en-CA"/>
              </w:rPr>
            </w:pPr>
            <w:r>
              <w:rPr>
                <w:sz w:val="17"/>
                <w:szCs w:val="17"/>
                <w:lang w:val="fr-FR"/>
              </w:rPr>
              <w:t>CFC pris isolément</w:t>
            </w:r>
          </w:p>
        </w:tc>
        <w:tc>
          <w:tcPr>
            <w:tcW w:w="900" w:type="dxa"/>
            <w:tcBorders>
              <w:top w:val="nil"/>
              <w:left w:val="nil"/>
              <w:bottom w:val="single" w:sz="4" w:space="0" w:color="auto"/>
              <w:right w:val="single" w:sz="4" w:space="0" w:color="auto"/>
            </w:tcBorders>
            <w:noWrap/>
          </w:tcPr>
          <w:p w14:paraId="4AB47157" w14:textId="064CC8E7" w:rsidR="00344718" w:rsidRPr="006B0C18" w:rsidRDefault="00344718" w:rsidP="00344718">
            <w:pPr>
              <w:jc w:val="right"/>
              <w:rPr>
                <w:color w:val="000000"/>
                <w:sz w:val="17"/>
                <w:szCs w:val="17"/>
                <w:lang w:val="fr-FR"/>
              </w:rPr>
            </w:pPr>
            <w:r>
              <w:rPr>
                <w:sz w:val="17"/>
                <w:szCs w:val="17"/>
                <w:lang w:val="fr-FR"/>
              </w:rPr>
              <w:t>3 622</w:t>
            </w:r>
          </w:p>
        </w:tc>
        <w:tc>
          <w:tcPr>
            <w:tcW w:w="1530" w:type="dxa"/>
            <w:tcBorders>
              <w:top w:val="nil"/>
              <w:left w:val="nil"/>
              <w:bottom w:val="single" w:sz="4" w:space="0" w:color="auto"/>
              <w:right w:val="single" w:sz="4" w:space="0" w:color="auto"/>
            </w:tcBorders>
            <w:noWrap/>
          </w:tcPr>
          <w:p w14:paraId="076CF2FF" w14:textId="4AC3E743" w:rsidR="00344718" w:rsidRPr="006B0C18" w:rsidRDefault="00344718" w:rsidP="00344718">
            <w:pPr>
              <w:jc w:val="right"/>
              <w:rPr>
                <w:color w:val="000000"/>
                <w:sz w:val="17"/>
                <w:szCs w:val="17"/>
                <w:lang w:val="fr-FR"/>
              </w:rPr>
            </w:pPr>
            <w:r>
              <w:rPr>
                <w:sz w:val="17"/>
                <w:szCs w:val="17"/>
                <w:lang w:val="fr-FR"/>
              </w:rPr>
              <w:t>125 760</w:t>
            </w:r>
          </w:p>
        </w:tc>
        <w:tc>
          <w:tcPr>
            <w:tcW w:w="1350" w:type="dxa"/>
            <w:tcBorders>
              <w:top w:val="nil"/>
              <w:left w:val="nil"/>
              <w:bottom w:val="single" w:sz="4" w:space="0" w:color="auto"/>
              <w:right w:val="single" w:sz="4" w:space="0" w:color="auto"/>
            </w:tcBorders>
            <w:noWrap/>
          </w:tcPr>
          <w:p w14:paraId="79B2D2B0" w14:textId="588BC8A9" w:rsidR="00344718" w:rsidRPr="006B0C18" w:rsidRDefault="00344718" w:rsidP="00344718">
            <w:pPr>
              <w:jc w:val="right"/>
              <w:rPr>
                <w:color w:val="000000"/>
                <w:sz w:val="17"/>
                <w:szCs w:val="17"/>
                <w:lang w:val="fr-FR"/>
              </w:rPr>
            </w:pPr>
            <w:r>
              <w:rPr>
                <w:sz w:val="17"/>
                <w:szCs w:val="17"/>
                <w:lang w:val="fr-FR"/>
              </w:rPr>
              <w:t>125 864</w:t>
            </w:r>
          </w:p>
        </w:tc>
        <w:tc>
          <w:tcPr>
            <w:tcW w:w="1350" w:type="dxa"/>
            <w:tcBorders>
              <w:top w:val="nil"/>
              <w:left w:val="nil"/>
              <w:bottom w:val="single" w:sz="4" w:space="0" w:color="auto"/>
              <w:right w:val="single" w:sz="4" w:space="0" w:color="auto"/>
            </w:tcBorders>
            <w:noWrap/>
          </w:tcPr>
          <w:p w14:paraId="5C4990AA" w14:textId="059DD4A3"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0D3FA4CD" w14:textId="12F33182"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5DA1F42F" w14:textId="16BEF5DC"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29219341" w14:textId="36EAC427"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081AF8D6" w14:textId="6773CDBA" w:rsidR="00344718" w:rsidRPr="006B0C18" w:rsidRDefault="00344718" w:rsidP="00344718">
            <w:pPr>
              <w:jc w:val="right"/>
              <w:rPr>
                <w:color w:val="000000"/>
                <w:sz w:val="17"/>
                <w:szCs w:val="17"/>
                <w:lang w:val="fr-FR"/>
              </w:rPr>
            </w:pPr>
            <w:r>
              <w:rPr>
                <w:sz w:val="17"/>
                <w:szCs w:val="17"/>
                <w:lang w:val="fr-FR"/>
              </w:rPr>
              <w:t>1 013 861 023</w:t>
            </w:r>
          </w:p>
        </w:tc>
      </w:tr>
      <w:tr w:rsidR="00344718" w:rsidRPr="006B0C18" w14:paraId="15786F29" w14:textId="77777777" w:rsidTr="00974B5B">
        <w:trPr>
          <w:trHeight w:val="107"/>
        </w:trPr>
        <w:tc>
          <w:tcPr>
            <w:tcW w:w="1890" w:type="dxa"/>
            <w:tcBorders>
              <w:top w:val="nil"/>
              <w:left w:val="single" w:sz="4" w:space="0" w:color="auto"/>
              <w:bottom w:val="single" w:sz="4" w:space="0" w:color="auto"/>
              <w:right w:val="single" w:sz="4" w:space="0" w:color="auto"/>
            </w:tcBorders>
            <w:noWrap/>
          </w:tcPr>
          <w:p w14:paraId="7868E3C6" w14:textId="62EA284C" w:rsidR="00344718" w:rsidRPr="006B0C18" w:rsidRDefault="00344718" w:rsidP="00344718">
            <w:pPr>
              <w:jc w:val="left"/>
              <w:rPr>
                <w:color w:val="000000"/>
                <w:sz w:val="17"/>
                <w:szCs w:val="17"/>
                <w:lang w:val="fr-FR" w:eastAsia="en-CA"/>
              </w:rPr>
            </w:pPr>
            <w:r>
              <w:rPr>
                <w:sz w:val="17"/>
                <w:szCs w:val="17"/>
                <w:lang w:val="fr-FR"/>
              </w:rPr>
              <w:t>Plans d'élimination progressive des CFC</w:t>
            </w:r>
          </w:p>
        </w:tc>
        <w:tc>
          <w:tcPr>
            <w:tcW w:w="900" w:type="dxa"/>
            <w:tcBorders>
              <w:top w:val="nil"/>
              <w:left w:val="nil"/>
              <w:bottom w:val="single" w:sz="4" w:space="0" w:color="auto"/>
              <w:right w:val="single" w:sz="4" w:space="0" w:color="auto"/>
            </w:tcBorders>
            <w:noWrap/>
          </w:tcPr>
          <w:p w14:paraId="6AF72A06" w14:textId="350399DF" w:rsidR="00344718" w:rsidRPr="006B0C18" w:rsidRDefault="00344718" w:rsidP="00344718">
            <w:pPr>
              <w:jc w:val="right"/>
              <w:rPr>
                <w:color w:val="000000"/>
                <w:sz w:val="17"/>
                <w:szCs w:val="17"/>
                <w:lang w:val="fr-FR" w:eastAsia="en-CA"/>
              </w:rPr>
            </w:pPr>
            <w:r>
              <w:rPr>
                <w:sz w:val="17"/>
                <w:szCs w:val="17"/>
                <w:lang w:val="fr-FR"/>
              </w:rPr>
              <w:t>429</w:t>
            </w:r>
          </w:p>
        </w:tc>
        <w:tc>
          <w:tcPr>
            <w:tcW w:w="1530" w:type="dxa"/>
            <w:tcBorders>
              <w:top w:val="nil"/>
              <w:left w:val="nil"/>
              <w:bottom w:val="single" w:sz="4" w:space="0" w:color="auto"/>
              <w:right w:val="single" w:sz="4" w:space="0" w:color="auto"/>
            </w:tcBorders>
            <w:noWrap/>
          </w:tcPr>
          <w:p w14:paraId="27141534" w14:textId="6632C7F1" w:rsidR="00344718" w:rsidRPr="006B0C18" w:rsidRDefault="00344718" w:rsidP="00344718">
            <w:pPr>
              <w:jc w:val="right"/>
              <w:rPr>
                <w:color w:val="000000"/>
                <w:sz w:val="17"/>
                <w:szCs w:val="17"/>
                <w:lang w:val="fr-FR" w:eastAsia="en-CA"/>
              </w:rPr>
            </w:pPr>
            <w:r>
              <w:rPr>
                <w:sz w:val="17"/>
                <w:szCs w:val="17"/>
                <w:lang w:val="fr-FR"/>
              </w:rPr>
              <w:t>45 806</w:t>
            </w:r>
          </w:p>
        </w:tc>
        <w:tc>
          <w:tcPr>
            <w:tcW w:w="1350" w:type="dxa"/>
            <w:tcBorders>
              <w:top w:val="nil"/>
              <w:left w:val="nil"/>
              <w:bottom w:val="single" w:sz="4" w:space="0" w:color="auto"/>
              <w:right w:val="single" w:sz="4" w:space="0" w:color="auto"/>
            </w:tcBorders>
            <w:noWrap/>
          </w:tcPr>
          <w:p w14:paraId="487E2A75" w14:textId="452D50C7" w:rsidR="00344718" w:rsidRPr="006B0C18" w:rsidRDefault="00344718" w:rsidP="00344718">
            <w:pPr>
              <w:jc w:val="right"/>
              <w:rPr>
                <w:color w:val="000000"/>
                <w:sz w:val="17"/>
                <w:szCs w:val="17"/>
                <w:lang w:val="fr-FR" w:eastAsia="en-CA"/>
              </w:rPr>
            </w:pPr>
            <w:r>
              <w:rPr>
                <w:sz w:val="17"/>
                <w:szCs w:val="17"/>
                <w:lang w:val="fr-FR"/>
              </w:rPr>
              <w:t>46 177</w:t>
            </w:r>
          </w:p>
        </w:tc>
        <w:tc>
          <w:tcPr>
            <w:tcW w:w="1350" w:type="dxa"/>
            <w:tcBorders>
              <w:top w:val="nil"/>
              <w:left w:val="nil"/>
              <w:bottom w:val="single" w:sz="4" w:space="0" w:color="auto"/>
              <w:right w:val="single" w:sz="4" w:space="0" w:color="auto"/>
            </w:tcBorders>
            <w:noWrap/>
          </w:tcPr>
          <w:p w14:paraId="2B2F97AF" w14:textId="7680AF2B"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5BDACB7F" w14:textId="41CCEC66"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73BDA671" w14:textId="6D95CE8F"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4DA73F0D" w14:textId="2722250F"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242AB542" w14:textId="63F47382" w:rsidR="00344718" w:rsidRPr="006B0C18" w:rsidRDefault="00344718" w:rsidP="00344718">
            <w:pPr>
              <w:jc w:val="right"/>
              <w:rPr>
                <w:color w:val="000000"/>
                <w:sz w:val="17"/>
                <w:szCs w:val="17"/>
                <w:lang w:val="fr-FR" w:eastAsia="en-CA"/>
              </w:rPr>
            </w:pPr>
            <w:r>
              <w:rPr>
                <w:sz w:val="17"/>
                <w:szCs w:val="17"/>
                <w:lang w:val="fr-FR"/>
              </w:rPr>
              <w:t>237 206 230</w:t>
            </w:r>
          </w:p>
        </w:tc>
      </w:tr>
      <w:tr w:rsidR="00344718" w:rsidRPr="006B0C18" w14:paraId="3D9C0747"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484D24A0" w14:textId="30791BF5" w:rsidR="00344718" w:rsidRPr="006B0C18" w:rsidRDefault="00344718" w:rsidP="00344718">
            <w:pPr>
              <w:ind w:right="-112"/>
              <w:jc w:val="left"/>
              <w:rPr>
                <w:color w:val="000000"/>
                <w:sz w:val="17"/>
                <w:szCs w:val="17"/>
                <w:lang w:val="fr-FR" w:eastAsia="en-CA"/>
              </w:rPr>
            </w:pPr>
            <w:r>
              <w:rPr>
                <w:sz w:val="17"/>
                <w:szCs w:val="17"/>
                <w:lang w:val="fr-FR"/>
              </w:rPr>
              <w:t>plans d'élimination progressive de la production de CFC</w:t>
            </w:r>
          </w:p>
        </w:tc>
        <w:tc>
          <w:tcPr>
            <w:tcW w:w="900" w:type="dxa"/>
            <w:tcBorders>
              <w:top w:val="nil"/>
              <w:left w:val="nil"/>
              <w:bottom w:val="single" w:sz="4" w:space="0" w:color="auto"/>
              <w:right w:val="single" w:sz="4" w:space="0" w:color="auto"/>
            </w:tcBorders>
            <w:noWrap/>
          </w:tcPr>
          <w:p w14:paraId="5282F8D2" w14:textId="06860438" w:rsidR="00344718" w:rsidRPr="006B0C18" w:rsidRDefault="00344718" w:rsidP="00344718">
            <w:pPr>
              <w:jc w:val="right"/>
              <w:rPr>
                <w:color w:val="000000"/>
                <w:sz w:val="17"/>
                <w:szCs w:val="17"/>
                <w:lang w:val="fr-FR" w:eastAsia="en-CA"/>
              </w:rPr>
            </w:pPr>
            <w:r>
              <w:rPr>
                <w:sz w:val="17"/>
                <w:szCs w:val="17"/>
                <w:lang w:val="fr-FR"/>
              </w:rPr>
              <w:t>42</w:t>
            </w:r>
          </w:p>
        </w:tc>
        <w:tc>
          <w:tcPr>
            <w:tcW w:w="1530" w:type="dxa"/>
            <w:tcBorders>
              <w:top w:val="nil"/>
              <w:left w:val="nil"/>
              <w:bottom w:val="single" w:sz="4" w:space="0" w:color="auto"/>
              <w:right w:val="single" w:sz="4" w:space="0" w:color="auto"/>
            </w:tcBorders>
            <w:noWrap/>
          </w:tcPr>
          <w:p w14:paraId="0590834F" w14:textId="5E5C8167"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140A1A36" w14:textId="1DDD3AF1"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629C390C" w14:textId="4B2ADFF4"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1E455A60" w14:textId="46DE7A84"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65A8E69F" w14:textId="600F02DA" w:rsidR="00344718" w:rsidRPr="006B0C18" w:rsidRDefault="00344718" w:rsidP="00344718">
            <w:pPr>
              <w:jc w:val="right"/>
              <w:rPr>
                <w:color w:val="000000"/>
                <w:sz w:val="17"/>
                <w:szCs w:val="17"/>
                <w:lang w:val="fr-FR" w:eastAsia="en-CA"/>
              </w:rPr>
            </w:pPr>
            <w:r>
              <w:rPr>
                <w:sz w:val="17"/>
                <w:szCs w:val="17"/>
                <w:lang w:val="fr-FR"/>
              </w:rPr>
              <w:t>88 772</w:t>
            </w:r>
          </w:p>
        </w:tc>
        <w:tc>
          <w:tcPr>
            <w:tcW w:w="990" w:type="dxa"/>
            <w:tcBorders>
              <w:top w:val="nil"/>
              <w:left w:val="nil"/>
              <w:bottom w:val="single" w:sz="4" w:space="0" w:color="auto"/>
              <w:right w:val="single" w:sz="4" w:space="0" w:color="auto"/>
            </w:tcBorders>
            <w:noWrap/>
          </w:tcPr>
          <w:p w14:paraId="1BA4421F" w14:textId="3AED4A6D" w:rsidR="00344718" w:rsidRPr="006B0C18" w:rsidRDefault="00344718" w:rsidP="00344718">
            <w:pPr>
              <w:jc w:val="right"/>
              <w:rPr>
                <w:color w:val="000000"/>
                <w:sz w:val="17"/>
                <w:szCs w:val="17"/>
                <w:lang w:val="fr-FR" w:eastAsia="en-CA"/>
              </w:rPr>
            </w:pPr>
            <w:r>
              <w:rPr>
                <w:sz w:val="17"/>
                <w:szCs w:val="17"/>
                <w:lang w:val="fr-FR"/>
              </w:rPr>
              <w:t>88 772</w:t>
            </w:r>
          </w:p>
        </w:tc>
        <w:tc>
          <w:tcPr>
            <w:tcW w:w="1260" w:type="dxa"/>
            <w:tcBorders>
              <w:top w:val="nil"/>
              <w:left w:val="nil"/>
              <w:bottom w:val="single" w:sz="4" w:space="0" w:color="auto"/>
              <w:right w:val="single" w:sz="4" w:space="0" w:color="auto"/>
            </w:tcBorders>
            <w:noWrap/>
          </w:tcPr>
          <w:p w14:paraId="0789695F" w14:textId="3C4CFA49" w:rsidR="00344718" w:rsidRPr="006B0C18" w:rsidRDefault="00344718" w:rsidP="00344718">
            <w:pPr>
              <w:jc w:val="right"/>
              <w:rPr>
                <w:color w:val="000000"/>
                <w:sz w:val="17"/>
                <w:szCs w:val="17"/>
                <w:lang w:val="fr-FR" w:eastAsia="en-CA"/>
              </w:rPr>
            </w:pPr>
            <w:r>
              <w:rPr>
                <w:sz w:val="17"/>
                <w:szCs w:val="17"/>
                <w:lang w:val="fr-FR"/>
              </w:rPr>
              <w:t>316 914 190</w:t>
            </w:r>
          </w:p>
        </w:tc>
      </w:tr>
      <w:tr w:rsidR="00344718" w:rsidRPr="006B0C18" w14:paraId="15176D7C"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25CFF740" w14:textId="702A8F52" w:rsidR="00344718" w:rsidRPr="006B0C18" w:rsidRDefault="00344718" w:rsidP="00344718">
            <w:pPr>
              <w:jc w:val="left"/>
              <w:rPr>
                <w:color w:val="000000"/>
                <w:sz w:val="17"/>
                <w:szCs w:val="17"/>
                <w:lang w:val="fr-FR" w:eastAsia="en-CA"/>
              </w:rPr>
            </w:pPr>
            <w:r>
              <w:rPr>
                <w:sz w:val="17"/>
                <w:szCs w:val="17"/>
                <w:lang w:val="fr-FR"/>
              </w:rPr>
              <w:t>Élimination définitive</w:t>
            </w:r>
          </w:p>
        </w:tc>
        <w:tc>
          <w:tcPr>
            <w:tcW w:w="900" w:type="dxa"/>
            <w:tcBorders>
              <w:top w:val="nil"/>
              <w:left w:val="nil"/>
              <w:bottom w:val="single" w:sz="4" w:space="0" w:color="auto"/>
              <w:right w:val="single" w:sz="4" w:space="0" w:color="auto"/>
            </w:tcBorders>
            <w:noWrap/>
          </w:tcPr>
          <w:p w14:paraId="364D1E87" w14:textId="2BC91D99" w:rsidR="00344718" w:rsidRPr="006B0C18" w:rsidRDefault="00344718" w:rsidP="00344718">
            <w:pPr>
              <w:jc w:val="right"/>
              <w:rPr>
                <w:color w:val="000000"/>
                <w:sz w:val="17"/>
                <w:szCs w:val="17"/>
                <w:lang w:val="fr-FR" w:eastAsia="en-CA"/>
              </w:rPr>
            </w:pPr>
            <w:r>
              <w:rPr>
                <w:sz w:val="17"/>
                <w:szCs w:val="17"/>
                <w:lang w:val="fr-FR"/>
              </w:rPr>
              <w:t>34</w:t>
            </w:r>
          </w:p>
        </w:tc>
        <w:tc>
          <w:tcPr>
            <w:tcW w:w="1530" w:type="dxa"/>
            <w:tcBorders>
              <w:top w:val="nil"/>
              <w:left w:val="nil"/>
              <w:bottom w:val="single" w:sz="4" w:space="0" w:color="auto"/>
              <w:right w:val="single" w:sz="4" w:space="0" w:color="auto"/>
            </w:tcBorders>
            <w:noWrap/>
          </w:tcPr>
          <w:p w14:paraId="4798F76F" w14:textId="5D814422"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525947B9" w14:textId="431FA61E"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46215B59" w14:textId="3034979A"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08BA48B1" w14:textId="6CA8CC74"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6D835C3B" w14:textId="22B8725B"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63762A88" w14:textId="1907DC69"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474AA136" w14:textId="5D9F6955" w:rsidR="00344718" w:rsidRPr="006B0C18" w:rsidRDefault="00344718" w:rsidP="00344718">
            <w:pPr>
              <w:jc w:val="right"/>
              <w:rPr>
                <w:color w:val="000000"/>
                <w:sz w:val="17"/>
                <w:szCs w:val="17"/>
                <w:lang w:val="fr-FR" w:eastAsia="en-CA"/>
              </w:rPr>
            </w:pPr>
            <w:r>
              <w:rPr>
                <w:sz w:val="17"/>
                <w:szCs w:val="17"/>
                <w:lang w:val="fr-FR"/>
              </w:rPr>
              <w:t>9 749 989</w:t>
            </w:r>
          </w:p>
        </w:tc>
      </w:tr>
      <w:tr w:rsidR="00344718" w:rsidRPr="006B0C18" w14:paraId="0298D9FD"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3ECFF1DB" w14:textId="66F61AFC" w:rsidR="00344718" w:rsidRPr="006B0C18" w:rsidRDefault="00344718" w:rsidP="00344718">
            <w:pPr>
              <w:ind w:right="-254"/>
              <w:jc w:val="left"/>
              <w:rPr>
                <w:color w:val="000000"/>
                <w:sz w:val="17"/>
                <w:szCs w:val="17"/>
                <w:lang w:val="fr-FR" w:eastAsia="en-CA"/>
              </w:rPr>
            </w:pPr>
            <w:r>
              <w:rPr>
                <w:sz w:val="17"/>
                <w:szCs w:val="17"/>
                <w:lang w:val="fr-FR"/>
              </w:rPr>
              <w:t>Contrôle des émissions</w:t>
            </w:r>
          </w:p>
        </w:tc>
        <w:tc>
          <w:tcPr>
            <w:tcW w:w="900" w:type="dxa"/>
            <w:tcBorders>
              <w:top w:val="nil"/>
              <w:left w:val="nil"/>
              <w:bottom w:val="single" w:sz="4" w:space="0" w:color="auto"/>
              <w:right w:val="single" w:sz="4" w:space="0" w:color="auto"/>
            </w:tcBorders>
            <w:noWrap/>
          </w:tcPr>
          <w:p w14:paraId="4A7E4728" w14:textId="498E91B4" w:rsidR="00344718" w:rsidRPr="006B0C18" w:rsidRDefault="00344718" w:rsidP="00344718">
            <w:pPr>
              <w:jc w:val="right"/>
              <w:rPr>
                <w:color w:val="000000"/>
                <w:sz w:val="17"/>
                <w:szCs w:val="17"/>
                <w:lang w:val="fr-FR" w:eastAsia="en-CA"/>
              </w:rPr>
            </w:pPr>
            <w:r>
              <w:rPr>
                <w:sz w:val="17"/>
                <w:szCs w:val="17"/>
                <w:lang w:val="fr-FR"/>
              </w:rPr>
              <w:t>8</w:t>
            </w:r>
          </w:p>
        </w:tc>
        <w:tc>
          <w:tcPr>
            <w:tcW w:w="1530" w:type="dxa"/>
            <w:tcBorders>
              <w:top w:val="nil"/>
              <w:left w:val="nil"/>
              <w:bottom w:val="single" w:sz="4" w:space="0" w:color="auto"/>
              <w:right w:val="single" w:sz="4" w:space="0" w:color="auto"/>
            </w:tcBorders>
            <w:noWrap/>
          </w:tcPr>
          <w:p w14:paraId="697CB93F" w14:textId="7D7892CF"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70DB9F6B" w14:textId="15A50909"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347FBD8A" w14:textId="77585F3B"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23971FBE" w14:textId="144A46C8"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77A96FDF" w14:textId="008A3350"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3A35B287" w14:textId="50DF3092"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390EA9E7" w14:textId="1D5726D6" w:rsidR="00344718" w:rsidRPr="006B0C18" w:rsidRDefault="00344718" w:rsidP="00344718">
            <w:pPr>
              <w:jc w:val="right"/>
              <w:rPr>
                <w:color w:val="000000"/>
                <w:sz w:val="17"/>
                <w:szCs w:val="17"/>
                <w:lang w:val="fr-FR" w:eastAsia="en-CA"/>
              </w:rPr>
            </w:pPr>
            <w:r>
              <w:rPr>
                <w:sz w:val="17"/>
                <w:szCs w:val="17"/>
                <w:lang w:val="fr-FR"/>
              </w:rPr>
              <w:t>3 615 582</w:t>
            </w:r>
          </w:p>
        </w:tc>
      </w:tr>
      <w:tr w:rsidR="00344718" w:rsidRPr="006B0C18" w14:paraId="441A994A"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2E895BB0" w14:textId="72BF8684" w:rsidR="00344718" w:rsidRPr="006B0C18" w:rsidRDefault="00344718" w:rsidP="00344718">
            <w:pPr>
              <w:ind w:right="-112"/>
              <w:jc w:val="left"/>
              <w:rPr>
                <w:color w:val="000000"/>
                <w:sz w:val="17"/>
                <w:szCs w:val="17"/>
                <w:lang w:val="fr-FR" w:eastAsia="en-CA"/>
              </w:rPr>
            </w:pPr>
            <w:r>
              <w:rPr>
                <w:sz w:val="17"/>
                <w:szCs w:val="17"/>
                <w:lang w:val="fr-FR"/>
              </w:rPr>
              <w:t>Efficacité énergétique</w:t>
            </w:r>
          </w:p>
        </w:tc>
        <w:tc>
          <w:tcPr>
            <w:tcW w:w="900" w:type="dxa"/>
            <w:tcBorders>
              <w:top w:val="nil"/>
              <w:left w:val="nil"/>
              <w:bottom w:val="single" w:sz="4" w:space="0" w:color="auto"/>
              <w:right w:val="single" w:sz="4" w:space="0" w:color="auto"/>
            </w:tcBorders>
            <w:noWrap/>
          </w:tcPr>
          <w:p w14:paraId="668F3717" w14:textId="5BA9CAA6" w:rsidR="00344718" w:rsidRPr="006B0C18" w:rsidRDefault="00344718" w:rsidP="00344718">
            <w:pPr>
              <w:jc w:val="right"/>
              <w:rPr>
                <w:color w:val="000000"/>
                <w:sz w:val="17"/>
                <w:szCs w:val="17"/>
                <w:lang w:val="fr-FR"/>
              </w:rPr>
            </w:pPr>
            <w:r>
              <w:rPr>
                <w:sz w:val="17"/>
                <w:szCs w:val="17"/>
                <w:lang w:val="fr-FR"/>
              </w:rPr>
              <w:t>91</w:t>
            </w:r>
          </w:p>
        </w:tc>
        <w:tc>
          <w:tcPr>
            <w:tcW w:w="1530" w:type="dxa"/>
            <w:tcBorders>
              <w:top w:val="nil"/>
              <w:left w:val="nil"/>
              <w:bottom w:val="single" w:sz="4" w:space="0" w:color="auto"/>
              <w:right w:val="single" w:sz="4" w:space="0" w:color="auto"/>
            </w:tcBorders>
            <w:noWrap/>
          </w:tcPr>
          <w:p w14:paraId="1F416A7D" w14:textId="1BD03852"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2B9EFDED" w14:textId="1E0D587D"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0D802FA3" w14:textId="01087DD1"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09B03F15" w14:textId="3DCF7C90"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4970CB51" w14:textId="5BEA7EA6"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0734AF3B" w14:textId="4E097F8B"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0B3324E2" w14:textId="5D6EDE25" w:rsidR="00344718" w:rsidRPr="006B0C18" w:rsidRDefault="00344718" w:rsidP="00344718">
            <w:pPr>
              <w:jc w:val="right"/>
              <w:rPr>
                <w:color w:val="000000"/>
                <w:sz w:val="17"/>
                <w:szCs w:val="17"/>
                <w:lang w:val="fr-FR"/>
              </w:rPr>
            </w:pPr>
            <w:r>
              <w:rPr>
                <w:sz w:val="17"/>
                <w:szCs w:val="17"/>
                <w:lang w:val="fr-FR"/>
              </w:rPr>
              <w:t>47 296 338</w:t>
            </w:r>
          </w:p>
        </w:tc>
      </w:tr>
      <w:tr w:rsidR="00344718" w:rsidRPr="006B0C18" w14:paraId="15B7AB89"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4B7785A6" w14:textId="4A3C2240" w:rsidR="00344718" w:rsidRPr="006B0C18" w:rsidRDefault="00344718" w:rsidP="00344718">
            <w:pPr>
              <w:ind w:right="-112"/>
              <w:jc w:val="left"/>
              <w:rPr>
                <w:color w:val="000000"/>
                <w:sz w:val="17"/>
                <w:szCs w:val="17"/>
                <w:lang w:val="fr-FR" w:eastAsia="en-CA"/>
              </w:rPr>
            </w:pPr>
            <w:r>
              <w:rPr>
                <w:sz w:val="17"/>
                <w:szCs w:val="17"/>
                <w:lang w:val="fr-FR"/>
              </w:rPr>
              <w:t>Soutien au gouvernement</w:t>
            </w:r>
          </w:p>
        </w:tc>
        <w:tc>
          <w:tcPr>
            <w:tcW w:w="900" w:type="dxa"/>
            <w:tcBorders>
              <w:top w:val="nil"/>
              <w:left w:val="nil"/>
              <w:bottom w:val="single" w:sz="4" w:space="0" w:color="auto"/>
              <w:right w:val="single" w:sz="4" w:space="0" w:color="auto"/>
            </w:tcBorders>
            <w:noWrap/>
          </w:tcPr>
          <w:p w14:paraId="434EFC02" w14:textId="089622B4" w:rsidR="00344718" w:rsidRPr="006B0C18" w:rsidRDefault="00344718" w:rsidP="00344718">
            <w:pPr>
              <w:jc w:val="right"/>
              <w:rPr>
                <w:color w:val="000000"/>
                <w:sz w:val="17"/>
                <w:szCs w:val="17"/>
                <w:lang w:val="fr-FR"/>
              </w:rPr>
            </w:pPr>
            <w:r>
              <w:rPr>
                <w:sz w:val="17"/>
                <w:szCs w:val="17"/>
                <w:lang w:val="fr-FR"/>
              </w:rPr>
              <w:t>1 561</w:t>
            </w:r>
          </w:p>
        </w:tc>
        <w:tc>
          <w:tcPr>
            <w:tcW w:w="1530" w:type="dxa"/>
            <w:tcBorders>
              <w:top w:val="nil"/>
              <w:left w:val="nil"/>
              <w:bottom w:val="single" w:sz="4" w:space="0" w:color="auto"/>
              <w:right w:val="single" w:sz="4" w:space="0" w:color="auto"/>
            </w:tcBorders>
            <w:noWrap/>
          </w:tcPr>
          <w:p w14:paraId="4826B63D" w14:textId="02BE14F5" w:rsidR="00344718" w:rsidRPr="006B0C18" w:rsidRDefault="00344718" w:rsidP="00344718">
            <w:pPr>
              <w:jc w:val="right"/>
              <w:rPr>
                <w:color w:val="000000"/>
                <w:sz w:val="17"/>
                <w:szCs w:val="17"/>
                <w:lang w:val="fr-FR"/>
              </w:rPr>
            </w:pPr>
            <w:r>
              <w:rPr>
                <w:sz w:val="17"/>
                <w:szCs w:val="17"/>
                <w:lang w:val="fr-FR"/>
              </w:rPr>
              <w:t>693</w:t>
            </w:r>
          </w:p>
        </w:tc>
        <w:tc>
          <w:tcPr>
            <w:tcW w:w="1350" w:type="dxa"/>
            <w:tcBorders>
              <w:top w:val="nil"/>
              <w:left w:val="nil"/>
              <w:bottom w:val="single" w:sz="4" w:space="0" w:color="auto"/>
              <w:right w:val="single" w:sz="4" w:space="0" w:color="auto"/>
            </w:tcBorders>
            <w:noWrap/>
          </w:tcPr>
          <w:p w14:paraId="102A1004" w14:textId="5136B782" w:rsidR="00344718" w:rsidRPr="006B0C18" w:rsidRDefault="00344718" w:rsidP="00344718">
            <w:pPr>
              <w:jc w:val="right"/>
              <w:rPr>
                <w:color w:val="000000"/>
                <w:sz w:val="17"/>
                <w:szCs w:val="17"/>
                <w:lang w:val="fr-FR"/>
              </w:rPr>
            </w:pPr>
            <w:r>
              <w:rPr>
                <w:sz w:val="17"/>
                <w:szCs w:val="17"/>
                <w:lang w:val="fr-FR"/>
              </w:rPr>
              <w:t>694</w:t>
            </w:r>
          </w:p>
        </w:tc>
        <w:tc>
          <w:tcPr>
            <w:tcW w:w="1350" w:type="dxa"/>
            <w:tcBorders>
              <w:top w:val="nil"/>
              <w:left w:val="nil"/>
              <w:bottom w:val="single" w:sz="4" w:space="0" w:color="auto"/>
              <w:right w:val="single" w:sz="4" w:space="0" w:color="auto"/>
            </w:tcBorders>
            <w:noWrap/>
          </w:tcPr>
          <w:p w14:paraId="38B5125D" w14:textId="3B2AD6C6"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158E5A5F" w14:textId="757E493C"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112DA729" w14:textId="08CC84CD"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1F728FA9" w14:textId="290F65A5"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08FE0FFA" w14:textId="4EBB351F" w:rsidR="00344718" w:rsidRPr="006B0C18" w:rsidRDefault="00344718" w:rsidP="00344718">
            <w:pPr>
              <w:jc w:val="right"/>
              <w:rPr>
                <w:color w:val="000000"/>
                <w:sz w:val="17"/>
                <w:szCs w:val="17"/>
                <w:lang w:val="fr-FR"/>
              </w:rPr>
            </w:pPr>
            <w:r>
              <w:rPr>
                <w:sz w:val="17"/>
                <w:szCs w:val="17"/>
                <w:lang w:val="fr-FR"/>
              </w:rPr>
              <w:t>223 489 653</w:t>
            </w:r>
          </w:p>
        </w:tc>
      </w:tr>
      <w:tr w:rsidR="00344718" w:rsidRPr="006B0C18" w14:paraId="607E022C"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423C65B6" w14:textId="513A3AF4" w:rsidR="00344718" w:rsidRPr="006B0C18" w:rsidRDefault="00344718" w:rsidP="00344718">
            <w:pPr>
              <w:jc w:val="left"/>
              <w:rPr>
                <w:color w:val="000000"/>
                <w:sz w:val="17"/>
                <w:szCs w:val="17"/>
                <w:lang w:val="fr-FR" w:eastAsia="en-CA"/>
              </w:rPr>
            </w:pPr>
            <w:r>
              <w:rPr>
                <w:sz w:val="17"/>
                <w:szCs w:val="17"/>
                <w:lang w:val="fr-FR"/>
              </w:rPr>
              <w:t>HCFC pris isolément</w:t>
            </w:r>
          </w:p>
        </w:tc>
        <w:tc>
          <w:tcPr>
            <w:tcW w:w="900" w:type="dxa"/>
            <w:tcBorders>
              <w:top w:val="nil"/>
              <w:left w:val="nil"/>
              <w:bottom w:val="single" w:sz="4" w:space="0" w:color="auto"/>
              <w:right w:val="single" w:sz="4" w:space="0" w:color="auto"/>
            </w:tcBorders>
            <w:noWrap/>
          </w:tcPr>
          <w:p w14:paraId="2216C0C6" w14:textId="1A60C2C2" w:rsidR="00344718" w:rsidRPr="006B0C18" w:rsidRDefault="00344718" w:rsidP="00344718">
            <w:pPr>
              <w:jc w:val="right"/>
              <w:rPr>
                <w:color w:val="000000"/>
                <w:sz w:val="17"/>
                <w:szCs w:val="17"/>
                <w:lang w:val="fr-FR"/>
              </w:rPr>
            </w:pPr>
            <w:r>
              <w:rPr>
                <w:sz w:val="17"/>
                <w:szCs w:val="17"/>
                <w:lang w:val="fr-FR"/>
              </w:rPr>
              <w:t>915</w:t>
            </w:r>
          </w:p>
        </w:tc>
        <w:tc>
          <w:tcPr>
            <w:tcW w:w="1530" w:type="dxa"/>
            <w:tcBorders>
              <w:top w:val="nil"/>
              <w:left w:val="nil"/>
              <w:bottom w:val="single" w:sz="4" w:space="0" w:color="auto"/>
              <w:right w:val="single" w:sz="4" w:space="0" w:color="auto"/>
            </w:tcBorders>
            <w:noWrap/>
          </w:tcPr>
          <w:p w14:paraId="5DEE349C" w14:textId="0D1C5922" w:rsidR="00344718" w:rsidRPr="006B0C18" w:rsidRDefault="00344718" w:rsidP="00344718">
            <w:pPr>
              <w:jc w:val="right"/>
              <w:rPr>
                <w:color w:val="000000"/>
                <w:sz w:val="17"/>
                <w:szCs w:val="17"/>
                <w:lang w:val="fr-FR"/>
              </w:rPr>
            </w:pPr>
            <w:r>
              <w:rPr>
                <w:sz w:val="17"/>
                <w:szCs w:val="17"/>
                <w:lang w:val="fr-FR"/>
              </w:rPr>
              <w:t>72</w:t>
            </w:r>
          </w:p>
        </w:tc>
        <w:tc>
          <w:tcPr>
            <w:tcW w:w="1350" w:type="dxa"/>
            <w:tcBorders>
              <w:top w:val="nil"/>
              <w:left w:val="nil"/>
              <w:bottom w:val="single" w:sz="4" w:space="0" w:color="auto"/>
              <w:right w:val="single" w:sz="4" w:space="0" w:color="auto"/>
            </w:tcBorders>
            <w:noWrap/>
          </w:tcPr>
          <w:p w14:paraId="166525DB" w14:textId="139419DD" w:rsidR="00344718" w:rsidRPr="006B0C18" w:rsidRDefault="00344718" w:rsidP="00344718">
            <w:pPr>
              <w:jc w:val="right"/>
              <w:rPr>
                <w:color w:val="000000"/>
                <w:sz w:val="17"/>
                <w:szCs w:val="17"/>
                <w:lang w:val="fr-FR"/>
              </w:rPr>
            </w:pPr>
            <w:r>
              <w:rPr>
                <w:sz w:val="17"/>
                <w:szCs w:val="17"/>
                <w:lang w:val="fr-FR"/>
              </w:rPr>
              <w:t>72</w:t>
            </w:r>
          </w:p>
        </w:tc>
        <w:tc>
          <w:tcPr>
            <w:tcW w:w="1350" w:type="dxa"/>
            <w:tcBorders>
              <w:top w:val="nil"/>
              <w:left w:val="nil"/>
              <w:bottom w:val="single" w:sz="4" w:space="0" w:color="auto"/>
              <w:right w:val="single" w:sz="4" w:space="0" w:color="auto"/>
            </w:tcBorders>
            <w:noWrap/>
          </w:tcPr>
          <w:p w14:paraId="416A0C97" w14:textId="33B0E2B7"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1C71C204" w14:textId="23F65F7F"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532CE007" w14:textId="3DBA5CE2"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7B9B5ECE" w14:textId="318A2A76"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1291051E" w14:textId="1C8BBAF9" w:rsidR="00344718" w:rsidRPr="006B0C18" w:rsidRDefault="00344718" w:rsidP="00344718">
            <w:pPr>
              <w:jc w:val="right"/>
              <w:rPr>
                <w:color w:val="000000"/>
                <w:sz w:val="17"/>
                <w:szCs w:val="17"/>
                <w:lang w:val="fr-FR"/>
              </w:rPr>
            </w:pPr>
            <w:r>
              <w:rPr>
                <w:sz w:val="17"/>
                <w:szCs w:val="17"/>
                <w:lang w:val="fr-FR"/>
              </w:rPr>
              <w:t>80 618 214</w:t>
            </w:r>
          </w:p>
        </w:tc>
      </w:tr>
      <w:tr w:rsidR="00344718" w:rsidRPr="006B0C18" w14:paraId="48364E7A"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5C1508E9" w14:textId="5580C986" w:rsidR="00344718" w:rsidRPr="006B0C18" w:rsidRDefault="00344718" w:rsidP="00344718">
            <w:pPr>
              <w:jc w:val="left"/>
              <w:rPr>
                <w:color w:val="000000"/>
                <w:sz w:val="17"/>
                <w:szCs w:val="17"/>
                <w:lang w:val="fr-FR" w:eastAsia="en-CA"/>
              </w:rPr>
            </w:pPr>
            <w:r>
              <w:rPr>
                <w:sz w:val="17"/>
                <w:szCs w:val="17"/>
                <w:lang w:val="fr-FR"/>
              </w:rPr>
              <w:t>PGEH (phase I)</w:t>
            </w:r>
          </w:p>
        </w:tc>
        <w:tc>
          <w:tcPr>
            <w:tcW w:w="900" w:type="dxa"/>
            <w:tcBorders>
              <w:top w:val="nil"/>
              <w:left w:val="nil"/>
              <w:bottom w:val="single" w:sz="4" w:space="0" w:color="auto"/>
              <w:right w:val="single" w:sz="4" w:space="0" w:color="auto"/>
            </w:tcBorders>
            <w:noWrap/>
          </w:tcPr>
          <w:p w14:paraId="2E03C656" w14:textId="448678F3" w:rsidR="00344718" w:rsidRPr="006B0C18" w:rsidRDefault="00344718" w:rsidP="00344718">
            <w:pPr>
              <w:jc w:val="right"/>
              <w:rPr>
                <w:color w:val="000000"/>
                <w:sz w:val="17"/>
                <w:szCs w:val="17"/>
                <w:lang w:val="fr-FR"/>
              </w:rPr>
            </w:pPr>
            <w:r>
              <w:rPr>
                <w:sz w:val="17"/>
                <w:szCs w:val="17"/>
                <w:lang w:val="fr-FR"/>
              </w:rPr>
              <w:t>912</w:t>
            </w:r>
          </w:p>
        </w:tc>
        <w:tc>
          <w:tcPr>
            <w:tcW w:w="1530" w:type="dxa"/>
            <w:tcBorders>
              <w:top w:val="nil"/>
              <w:left w:val="nil"/>
              <w:bottom w:val="single" w:sz="4" w:space="0" w:color="auto"/>
              <w:right w:val="single" w:sz="4" w:space="0" w:color="auto"/>
            </w:tcBorders>
            <w:noWrap/>
          </w:tcPr>
          <w:p w14:paraId="61DC9619" w14:textId="75DACE8D" w:rsidR="00344718" w:rsidRPr="006B0C18" w:rsidRDefault="00344718" w:rsidP="00344718">
            <w:pPr>
              <w:jc w:val="right"/>
              <w:rPr>
                <w:color w:val="000000"/>
                <w:sz w:val="17"/>
                <w:szCs w:val="17"/>
                <w:lang w:val="fr-FR"/>
              </w:rPr>
            </w:pPr>
            <w:r>
              <w:rPr>
                <w:sz w:val="17"/>
                <w:szCs w:val="17"/>
                <w:lang w:val="fr-FR"/>
              </w:rPr>
              <w:t>6 129</w:t>
            </w:r>
          </w:p>
        </w:tc>
        <w:tc>
          <w:tcPr>
            <w:tcW w:w="1350" w:type="dxa"/>
            <w:tcBorders>
              <w:top w:val="nil"/>
              <w:left w:val="nil"/>
              <w:bottom w:val="single" w:sz="4" w:space="0" w:color="auto"/>
              <w:right w:val="single" w:sz="4" w:space="0" w:color="auto"/>
            </w:tcBorders>
            <w:noWrap/>
          </w:tcPr>
          <w:p w14:paraId="66773A83" w14:textId="6632F3FA" w:rsidR="00344718" w:rsidRPr="006B0C18" w:rsidRDefault="00344718" w:rsidP="00344718">
            <w:pPr>
              <w:jc w:val="right"/>
              <w:rPr>
                <w:color w:val="000000"/>
                <w:sz w:val="17"/>
                <w:szCs w:val="17"/>
                <w:lang w:val="fr-FR"/>
              </w:rPr>
            </w:pPr>
            <w:r>
              <w:rPr>
                <w:sz w:val="17"/>
                <w:szCs w:val="17"/>
                <w:lang w:val="fr-FR"/>
              </w:rPr>
              <w:t>6 768</w:t>
            </w:r>
          </w:p>
        </w:tc>
        <w:tc>
          <w:tcPr>
            <w:tcW w:w="1350" w:type="dxa"/>
            <w:tcBorders>
              <w:top w:val="nil"/>
              <w:left w:val="nil"/>
              <w:bottom w:val="single" w:sz="4" w:space="0" w:color="auto"/>
              <w:right w:val="single" w:sz="4" w:space="0" w:color="auto"/>
            </w:tcBorders>
            <w:noWrap/>
          </w:tcPr>
          <w:p w14:paraId="070C8FFB" w14:textId="4BC6A84B"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07FC423D" w14:textId="1F33235C"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7385DE85" w14:textId="07E0394C"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71B695A4" w14:textId="4002C6EA"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0497A234" w14:textId="4595E296" w:rsidR="00344718" w:rsidRPr="006B0C18" w:rsidRDefault="00344718" w:rsidP="00344718">
            <w:pPr>
              <w:jc w:val="right"/>
              <w:rPr>
                <w:color w:val="000000"/>
                <w:sz w:val="17"/>
                <w:szCs w:val="17"/>
                <w:lang w:val="fr-FR"/>
              </w:rPr>
            </w:pPr>
            <w:r>
              <w:rPr>
                <w:sz w:val="17"/>
                <w:szCs w:val="17"/>
                <w:lang w:val="fr-FR"/>
              </w:rPr>
              <w:t>569 568 986</w:t>
            </w:r>
          </w:p>
        </w:tc>
      </w:tr>
      <w:tr w:rsidR="00344718" w:rsidRPr="006B0C18" w14:paraId="0424DE96"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666D70E4" w14:textId="48F323DB" w:rsidR="00344718" w:rsidRPr="006B0C18" w:rsidRDefault="00344718" w:rsidP="00344718">
            <w:pPr>
              <w:jc w:val="left"/>
              <w:rPr>
                <w:color w:val="000000"/>
                <w:sz w:val="17"/>
                <w:szCs w:val="17"/>
                <w:lang w:val="fr-FR" w:eastAsia="en-CA"/>
              </w:rPr>
            </w:pPr>
            <w:r>
              <w:rPr>
                <w:sz w:val="17"/>
                <w:szCs w:val="17"/>
                <w:lang w:val="fr-FR"/>
              </w:rPr>
              <w:t>PGEH (phase II)</w:t>
            </w:r>
          </w:p>
        </w:tc>
        <w:tc>
          <w:tcPr>
            <w:tcW w:w="900" w:type="dxa"/>
            <w:tcBorders>
              <w:top w:val="nil"/>
              <w:left w:val="nil"/>
              <w:bottom w:val="single" w:sz="4" w:space="0" w:color="auto"/>
              <w:right w:val="single" w:sz="4" w:space="0" w:color="auto"/>
            </w:tcBorders>
            <w:noWrap/>
          </w:tcPr>
          <w:p w14:paraId="0F90BB1D" w14:textId="203CCA0B" w:rsidR="00344718" w:rsidRPr="006B0C18" w:rsidRDefault="00344718" w:rsidP="00344718">
            <w:pPr>
              <w:jc w:val="right"/>
              <w:rPr>
                <w:color w:val="000000"/>
                <w:sz w:val="17"/>
                <w:szCs w:val="17"/>
                <w:lang w:val="fr-FR"/>
              </w:rPr>
            </w:pPr>
            <w:r>
              <w:rPr>
                <w:sz w:val="17"/>
                <w:szCs w:val="17"/>
                <w:lang w:val="fr-FR"/>
              </w:rPr>
              <w:t>716</w:t>
            </w:r>
          </w:p>
        </w:tc>
        <w:tc>
          <w:tcPr>
            <w:tcW w:w="1530" w:type="dxa"/>
            <w:tcBorders>
              <w:top w:val="nil"/>
              <w:left w:val="nil"/>
              <w:bottom w:val="single" w:sz="4" w:space="0" w:color="auto"/>
              <w:right w:val="single" w:sz="4" w:space="0" w:color="auto"/>
            </w:tcBorders>
            <w:noWrap/>
          </w:tcPr>
          <w:p w14:paraId="3E670AAC" w14:textId="571FBA32" w:rsidR="00344718" w:rsidRPr="006B0C18" w:rsidRDefault="00344718" w:rsidP="00344718">
            <w:pPr>
              <w:jc w:val="right"/>
              <w:rPr>
                <w:color w:val="000000"/>
                <w:sz w:val="17"/>
                <w:szCs w:val="17"/>
                <w:lang w:val="fr-FR"/>
              </w:rPr>
            </w:pPr>
            <w:r>
              <w:rPr>
                <w:sz w:val="17"/>
                <w:szCs w:val="17"/>
                <w:lang w:val="fr-FR"/>
              </w:rPr>
              <w:t>13 930</w:t>
            </w:r>
          </w:p>
        </w:tc>
        <w:tc>
          <w:tcPr>
            <w:tcW w:w="1350" w:type="dxa"/>
            <w:tcBorders>
              <w:top w:val="nil"/>
              <w:left w:val="nil"/>
              <w:bottom w:val="single" w:sz="4" w:space="0" w:color="auto"/>
              <w:right w:val="single" w:sz="4" w:space="0" w:color="auto"/>
            </w:tcBorders>
            <w:noWrap/>
          </w:tcPr>
          <w:p w14:paraId="121138BC" w14:textId="773704D3" w:rsidR="00344718" w:rsidRPr="006B0C18" w:rsidRDefault="00344718" w:rsidP="00344718">
            <w:pPr>
              <w:jc w:val="right"/>
              <w:rPr>
                <w:color w:val="000000"/>
                <w:sz w:val="17"/>
                <w:szCs w:val="17"/>
                <w:lang w:val="fr-FR"/>
              </w:rPr>
            </w:pPr>
            <w:r>
              <w:rPr>
                <w:sz w:val="17"/>
                <w:szCs w:val="17"/>
                <w:lang w:val="fr-FR"/>
              </w:rPr>
              <w:t>8 528</w:t>
            </w:r>
          </w:p>
        </w:tc>
        <w:tc>
          <w:tcPr>
            <w:tcW w:w="1350" w:type="dxa"/>
            <w:tcBorders>
              <w:top w:val="nil"/>
              <w:left w:val="nil"/>
              <w:bottom w:val="single" w:sz="4" w:space="0" w:color="auto"/>
              <w:right w:val="single" w:sz="4" w:space="0" w:color="auto"/>
            </w:tcBorders>
            <w:noWrap/>
          </w:tcPr>
          <w:p w14:paraId="39BA4C61" w14:textId="14C10BBD"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3B10F50A" w14:textId="4CEC1984"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14954545" w14:textId="189BBE36"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3D8F2A3B" w14:textId="29DCEE9E"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3853DBD2" w14:textId="1BBAE470" w:rsidR="00344718" w:rsidRPr="006B0C18" w:rsidRDefault="00344718" w:rsidP="00344718">
            <w:pPr>
              <w:jc w:val="right"/>
              <w:rPr>
                <w:color w:val="000000"/>
                <w:sz w:val="17"/>
                <w:szCs w:val="17"/>
                <w:lang w:val="fr-FR"/>
              </w:rPr>
            </w:pPr>
            <w:r>
              <w:rPr>
                <w:sz w:val="17"/>
                <w:szCs w:val="17"/>
                <w:lang w:val="fr-FR"/>
              </w:rPr>
              <w:t>507 758 650</w:t>
            </w:r>
          </w:p>
        </w:tc>
      </w:tr>
      <w:tr w:rsidR="00344718" w:rsidRPr="006B0C18" w14:paraId="7BCBD5D0"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157BC50F" w14:textId="1CA5EAED" w:rsidR="00344718" w:rsidRPr="006B0C18" w:rsidRDefault="00344718" w:rsidP="00344718">
            <w:pPr>
              <w:jc w:val="left"/>
              <w:rPr>
                <w:color w:val="000000"/>
                <w:sz w:val="17"/>
                <w:szCs w:val="17"/>
                <w:lang w:val="fr-FR" w:eastAsia="en-CA"/>
              </w:rPr>
            </w:pPr>
            <w:r>
              <w:rPr>
                <w:sz w:val="17"/>
                <w:szCs w:val="17"/>
                <w:lang w:val="fr-FR"/>
              </w:rPr>
              <w:t>PGEH (phase III)</w:t>
            </w:r>
          </w:p>
        </w:tc>
        <w:tc>
          <w:tcPr>
            <w:tcW w:w="900" w:type="dxa"/>
            <w:tcBorders>
              <w:top w:val="nil"/>
              <w:left w:val="nil"/>
              <w:bottom w:val="single" w:sz="4" w:space="0" w:color="auto"/>
              <w:right w:val="single" w:sz="4" w:space="0" w:color="auto"/>
            </w:tcBorders>
            <w:noWrap/>
          </w:tcPr>
          <w:p w14:paraId="48439C80" w14:textId="351380F6" w:rsidR="00344718" w:rsidRPr="006B0C18" w:rsidRDefault="00344718" w:rsidP="00344718">
            <w:pPr>
              <w:jc w:val="right"/>
              <w:rPr>
                <w:color w:val="000000"/>
                <w:sz w:val="17"/>
                <w:szCs w:val="17"/>
                <w:lang w:val="fr-FR"/>
              </w:rPr>
            </w:pPr>
            <w:r>
              <w:rPr>
                <w:sz w:val="17"/>
                <w:szCs w:val="17"/>
                <w:lang w:val="fr-FR"/>
              </w:rPr>
              <w:t>107</w:t>
            </w:r>
          </w:p>
        </w:tc>
        <w:tc>
          <w:tcPr>
            <w:tcW w:w="1530" w:type="dxa"/>
            <w:tcBorders>
              <w:top w:val="nil"/>
              <w:left w:val="nil"/>
              <w:bottom w:val="single" w:sz="4" w:space="0" w:color="auto"/>
              <w:right w:val="single" w:sz="4" w:space="0" w:color="auto"/>
            </w:tcBorders>
            <w:noWrap/>
          </w:tcPr>
          <w:p w14:paraId="64D7C259" w14:textId="484722D3" w:rsidR="00344718" w:rsidRPr="006B0C18" w:rsidRDefault="00344718" w:rsidP="00344718">
            <w:pPr>
              <w:jc w:val="right"/>
              <w:rPr>
                <w:color w:val="000000"/>
                <w:sz w:val="17"/>
                <w:szCs w:val="17"/>
                <w:lang w:val="fr-FR"/>
              </w:rPr>
            </w:pPr>
            <w:r>
              <w:rPr>
                <w:sz w:val="17"/>
                <w:szCs w:val="17"/>
                <w:lang w:val="fr-FR"/>
              </w:rPr>
              <w:t>1 178</w:t>
            </w:r>
          </w:p>
        </w:tc>
        <w:tc>
          <w:tcPr>
            <w:tcW w:w="1350" w:type="dxa"/>
            <w:tcBorders>
              <w:top w:val="nil"/>
              <w:left w:val="nil"/>
              <w:bottom w:val="single" w:sz="4" w:space="0" w:color="auto"/>
              <w:right w:val="single" w:sz="4" w:space="0" w:color="auto"/>
            </w:tcBorders>
            <w:noWrap/>
          </w:tcPr>
          <w:p w14:paraId="4447C718" w14:textId="6C0FE11A" w:rsidR="00344718" w:rsidRPr="006B0C18" w:rsidRDefault="00344718" w:rsidP="00344718">
            <w:pPr>
              <w:jc w:val="right"/>
              <w:rPr>
                <w:color w:val="000000"/>
                <w:sz w:val="17"/>
                <w:szCs w:val="17"/>
                <w:lang w:val="fr-FR"/>
              </w:rPr>
            </w:pPr>
            <w:r>
              <w:rPr>
                <w:sz w:val="17"/>
                <w:szCs w:val="17"/>
                <w:lang w:val="fr-FR"/>
              </w:rPr>
              <w:t>63</w:t>
            </w:r>
          </w:p>
        </w:tc>
        <w:tc>
          <w:tcPr>
            <w:tcW w:w="1350" w:type="dxa"/>
            <w:tcBorders>
              <w:top w:val="nil"/>
              <w:left w:val="nil"/>
              <w:bottom w:val="single" w:sz="4" w:space="0" w:color="auto"/>
              <w:right w:val="single" w:sz="4" w:space="0" w:color="auto"/>
            </w:tcBorders>
            <w:noWrap/>
          </w:tcPr>
          <w:p w14:paraId="10ADB9BD" w14:textId="383B843A"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73BB4F37" w14:textId="5E4C808E"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73DADCB9" w14:textId="37ECBF79"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2E52AD34" w14:textId="107A506A"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34CB7171" w14:textId="3F6BA29D" w:rsidR="00344718" w:rsidRPr="006B0C18" w:rsidRDefault="00344718" w:rsidP="00344718">
            <w:pPr>
              <w:jc w:val="right"/>
              <w:rPr>
                <w:color w:val="000000"/>
                <w:sz w:val="17"/>
                <w:szCs w:val="17"/>
                <w:lang w:val="fr-FR"/>
              </w:rPr>
            </w:pPr>
            <w:r>
              <w:rPr>
                <w:sz w:val="17"/>
                <w:szCs w:val="17"/>
                <w:lang w:val="fr-FR"/>
              </w:rPr>
              <w:t>95 969 151</w:t>
            </w:r>
          </w:p>
        </w:tc>
      </w:tr>
      <w:tr w:rsidR="00344718" w:rsidRPr="006B0C18" w14:paraId="3B513D1D"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5D264D9D" w14:textId="2916E1F5" w:rsidR="00344718" w:rsidRPr="006B0C18" w:rsidRDefault="00344718" w:rsidP="00344718">
            <w:pPr>
              <w:jc w:val="left"/>
              <w:rPr>
                <w:color w:val="000000"/>
                <w:sz w:val="17"/>
                <w:szCs w:val="17"/>
                <w:lang w:val="fr-FR" w:eastAsia="en-CA"/>
              </w:rPr>
            </w:pPr>
            <w:r>
              <w:rPr>
                <w:sz w:val="17"/>
                <w:szCs w:val="17"/>
                <w:lang w:val="fr-FR"/>
              </w:rPr>
              <w:t>PGEH (phase IV)</w:t>
            </w:r>
          </w:p>
        </w:tc>
        <w:tc>
          <w:tcPr>
            <w:tcW w:w="900" w:type="dxa"/>
            <w:tcBorders>
              <w:top w:val="nil"/>
              <w:left w:val="nil"/>
              <w:bottom w:val="single" w:sz="4" w:space="0" w:color="auto"/>
              <w:right w:val="single" w:sz="4" w:space="0" w:color="auto"/>
            </w:tcBorders>
            <w:noWrap/>
          </w:tcPr>
          <w:p w14:paraId="217C7500" w14:textId="7B884EA6" w:rsidR="00344718" w:rsidRPr="006B0C18" w:rsidRDefault="00344718" w:rsidP="00344718">
            <w:pPr>
              <w:jc w:val="right"/>
              <w:rPr>
                <w:color w:val="000000"/>
                <w:sz w:val="17"/>
                <w:szCs w:val="17"/>
                <w:lang w:val="fr-FR"/>
              </w:rPr>
            </w:pPr>
            <w:r>
              <w:rPr>
                <w:sz w:val="17"/>
                <w:szCs w:val="17"/>
                <w:lang w:val="fr-FR"/>
              </w:rPr>
              <w:t>3</w:t>
            </w:r>
          </w:p>
        </w:tc>
        <w:tc>
          <w:tcPr>
            <w:tcW w:w="1530" w:type="dxa"/>
            <w:tcBorders>
              <w:top w:val="nil"/>
              <w:left w:val="nil"/>
              <w:bottom w:val="single" w:sz="4" w:space="0" w:color="auto"/>
              <w:right w:val="single" w:sz="4" w:space="0" w:color="auto"/>
            </w:tcBorders>
            <w:noWrap/>
          </w:tcPr>
          <w:p w14:paraId="3EA1493B" w14:textId="373E4066" w:rsidR="00344718" w:rsidRPr="006B0C18" w:rsidRDefault="00344718" w:rsidP="00344718">
            <w:pPr>
              <w:jc w:val="right"/>
              <w:rPr>
                <w:color w:val="000000"/>
                <w:sz w:val="17"/>
                <w:szCs w:val="17"/>
                <w:lang w:val="fr-FR"/>
              </w:rPr>
            </w:pPr>
            <w:r>
              <w:rPr>
                <w:sz w:val="17"/>
                <w:szCs w:val="17"/>
                <w:lang w:val="fr-FR"/>
              </w:rPr>
              <w:t>50</w:t>
            </w:r>
          </w:p>
        </w:tc>
        <w:tc>
          <w:tcPr>
            <w:tcW w:w="1350" w:type="dxa"/>
            <w:tcBorders>
              <w:top w:val="nil"/>
              <w:left w:val="nil"/>
              <w:bottom w:val="single" w:sz="4" w:space="0" w:color="auto"/>
              <w:right w:val="single" w:sz="4" w:space="0" w:color="auto"/>
            </w:tcBorders>
            <w:noWrap/>
          </w:tcPr>
          <w:p w14:paraId="4C833A2B" w14:textId="6A3959E6"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615B6660" w14:textId="353ACC62"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0A735A27" w14:textId="2BBFA0CC"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06564584" w14:textId="718879BD"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36B58709" w14:textId="1BB33A61"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6D0A32F1" w14:textId="45D35250" w:rsidR="00344718" w:rsidRPr="006B0C18" w:rsidRDefault="00344718" w:rsidP="00344718">
            <w:pPr>
              <w:jc w:val="right"/>
              <w:rPr>
                <w:color w:val="000000"/>
                <w:sz w:val="17"/>
                <w:szCs w:val="17"/>
                <w:lang w:val="fr-FR"/>
              </w:rPr>
            </w:pPr>
            <w:r>
              <w:rPr>
                <w:sz w:val="17"/>
                <w:szCs w:val="17"/>
                <w:lang w:val="fr-FR"/>
              </w:rPr>
              <w:t>4 135 490</w:t>
            </w:r>
          </w:p>
        </w:tc>
      </w:tr>
      <w:tr w:rsidR="00344718" w:rsidRPr="006B0C18" w14:paraId="4F141957"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36A25B3A" w14:textId="23728B3E" w:rsidR="00344718" w:rsidRPr="006B0C18" w:rsidRDefault="00344718" w:rsidP="00344718">
            <w:pPr>
              <w:jc w:val="left"/>
              <w:rPr>
                <w:color w:val="000000"/>
                <w:sz w:val="17"/>
                <w:szCs w:val="17"/>
                <w:lang w:val="fr-FR" w:eastAsia="en-CA"/>
              </w:rPr>
            </w:pPr>
            <w:r>
              <w:rPr>
                <w:sz w:val="17"/>
                <w:szCs w:val="17"/>
                <w:lang w:val="fr-FR"/>
              </w:rPr>
              <w:t>plan de gestion de l'élimination progressive de la production de HCFC (PGEPH) (phase I)</w:t>
            </w:r>
          </w:p>
        </w:tc>
        <w:tc>
          <w:tcPr>
            <w:tcW w:w="900" w:type="dxa"/>
            <w:tcBorders>
              <w:top w:val="nil"/>
              <w:left w:val="nil"/>
              <w:bottom w:val="single" w:sz="4" w:space="0" w:color="auto"/>
              <w:right w:val="single" w:sz="4" w:space="0" w:color="auto"/>
            </w:tcBorders>
            <w:noWrap/>
          </w:tcPr>
          <w:p w14:paraId="0D9283CF" w14:textId="24975050" w:rsidR="00344718" w:rsidRPr="006B0C18" w:rsidRDefault="00344718" w:rsidP="00344718">
            <w:pPr>
              <w:jc w:val="right"/>
              <w:rPr>
                <w:color w:val="000000"/>
                <w:sz w:val="17"/>
                <w:szCs w:val="17"/>
                <w:lang w:val="fr-FR"/>
              </w:rPr>
            </w:pPr>
            <w:r>
              <w:rPr>
                <w:sz w:val="17"/>
                <w:szCs w:val="17"/>
                <w:lang w:val="fr-FR"/>
              </w:rPr>
              <w:t>4</w:t>
            </w:r>
          </w:p>
        </w:tc>
        <w:tc>
          <w:tcPr>
            <w:tcW w:w="1530" w:type="dxa"/>
            <w:tcBorders>
              <w:top w:val="nil"/>
              <w:left w:val="nil"/>
              <w:bottom w:val="single" w:sz="4" w:space="0" w:color="auto"/>
              <w:right w:val="single" w:sz="4" w:space="0" w:color="auto"/>
            </w:tcBorders>
            <w:noWrap/>
          </w:tcPr>
          <w:p w14:paraId="48D75778" w14:textId="5BF0C6E8"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08436413" w14:textId="3F0B94D0"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1C62D956" w14:textId="3A58C3EF"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17388712" w14:textId="7A616F87"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6EA2744F" w14:textId="070087BB"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6954F26F" w14:textId="3A63C3D0" w:rsidR="00344718" w:rsidRPr="006B0C18" w:rsidRDefault="00344718" w:rsidP="00344718">
            <w:pPr>
              <w:jc w:val="right"/>
              <w:rPr>
                <w:color w:val="000000"/>
                <w:sz w:val="17"/>
                <w:szCs w:val="17"/>
                <w:lang w:val="fr-FR"/>
              </w:rPr>
            </w:pPr>
            <w:r>
              <w:rPr>
                <w:sz w:val="17"/>
                <w:szCs w:val="17"/>
                <w:lang w:val="fr-FR"/>
              </w:rPr>
              <w:t>3 970</w:t>
            </w:r>
          </w:p>
        </w:tc>
        <w:tc>
          <w:tcPr>
            <w:tcW w:w="1260" w:type="dxa"/>
            <w:tcBorders>
              <w:top w:val="nil"/>
              <w:left w:val="nil"/>
              <w:bottom w:val="single" w:sz="4" w:space="0" w:color="auto"/>
              <w:right w:val="single" w:sz="4" w:space="0" w:color="auto"/>
            </w:tcBorders>
            <w:noWrap/>
          </w:tcPr>
          <w:p w14:paraId="7AE5705A" w14:textId="205BC2DA" w:rsidR="00344718" w:rsidRPr="006B0C18" w:rsidRDefault="00344718" w:rsidP="00344718">
            <w:pPr>
              <w:jc w:val="right"/>
              <w:rPr>
                <w:color w:val="000000"/>
                <w:sz w:val="17"/>
                <w:szCs w:val="17"/>
                <w:lang w:val="fr-FR"/>
              </w:rPr>
            </w:pPr>
            <w:r>
              <w:rPr>
                <w:sz w:val="17"/>
                <w:szCs w:val="17"/>
                <w:lang w:val="fr-FR"/>
              </w:rPr>
              <w:t>96 366 654</w:t>
            </w:r>
          </w:p>
        </w:tc>
      </w:tr>
      <w:tr w:rsidR="00344718" w:rsidRPr="006B0C18" w14:paraId="43BC4B69"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511D0721" w14:textId="3C36FC6A" w:rsidR="00344718" w:rsidRPr="006B0C18" w:rsidRDefault="00344718" w:rsidP="00344718">
            <w:pPr>
              <w:jc w:val="left"/>
              <w:rPr>
                <w:color w:val="000000"/>
                <w:sz w:val="17"/>
                <w:szCs w:val="17"/>
                <w:lang w:val="fr-FR" w:eastAsia="en-CA"/>
              </w:rPr>
            </w:pPr>
            <w:r>
              <w:rPr>
                <w:sz w:val="17"/>
                <w:szCs w:val="17"/>
                <w:lang w:val="fr-FR"/>
              </w:rPr>
              <w:t>PGEPH (phase II)</w:t>
            </w:r>
          </w:p>
        </w:tc>
        <w:tc>
          <w:tcPr>
            <w:tcW w:w="900" w:type="dxa"/>
            <w:tcBorders>
              <w:top w:val="nil"/>
              <w:left w:val="nil"/>
              <w:bottom w:val="single" w:sz="4" w:space="0" w:color="auto"/>
              <w:right w:val="single" w:sz="4" w:space="0" w:color="auto"/>
            </w:tcBorders>
            <w:noWrap/>
          </w:tcPr>
          <w:p w14:paraId="61A765BC" w14:textId="1FBA9808" w:rsidR="00344718" w:rsidRPr="006B0C18" w:rsidRDefault="00344718" w:rsidP="00344718">
            <w:pPr>
              <w:jc w:val="right"/>
              <w:rPr>
                <w:color w:val="000000"/>
                <w:sz w:val="17"/>
                <w:szCs w:val="17"/>
                <w:lang w:val="fr-FR"/>
              </w:rPr>
            </w:pPr>
            <w:r>
              <w:rPr>
                <w:sz w:val="17"/>
                <w:szCs w:val="17"/>
                <w:lang w:val="fr-FR"/>
              </w:rPr>
              <w:t>3</w:t>
            </w:r>
          </w:p>
        </w:tc>
        <w:tc>
          <w:tcPr>
            <w:tcW w:w="1530" w:type="dxa"/>
            <w:tcBorders>
              <w:top w:val="nil"/>
              <w:left w:val="nil"/>
              <w:bottom w:val="single" w:sz="4" w:space="0" w:color="auto"/>
              <w:right w:val="single" w:sz="4" w:space="0" w:color="auto"/>
            </w:tcBorders>
            <w:noWrap/>
          </w:tcPr>
          <w:p w14:paraId="6DF6DAF3" w14:textId="54672C78"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323A8D92" w14:textId="1521CEF7"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0B55E618" w14:textId="4D0D8543" w:rsidR="00344718" w:rsidRPr="006B0C18" w:rsidRDefault="00344718" w:rsidP="00344718">
            <w:pPr>
              <w:jc w:val="right"/>
              <w:rPr>
                <w:color w:val="000000"/>
                <w:sz w:val="17"/>
                <w:szCs w:val="17"/>
                <w:lang w:val="fr-FR"/>
              </w:rPr>
            </w:pPr>
            <w:r>
              <w:rPr>
                <w:sz w:val="17"/>
                <w:szCs w:val="17"/>
                <w:lang w:val="fr-FR"/>
              </w:rPr>
              <w:t>0</w:t>
            </w:r>
          </w:p>
        </w:tc>
        <w:tc>
          <w:tcPr>
            <w:tcW w:w="1440" w:type="dxa"/>
            <w:tcBorders>
              <w:top w:val="nil"/>
              <w:left w:val="nil"/>
              <w:bottom w:val="single" w:sz="4" w:space="0" w:color="auto"/>
              <w:right w:val="single" w:sz="4" w:space="0" w:color="auto"/>
            </w:tcBorders>
            <w:noWrap/>
          </w:tcPr>
          <w:p w14:paraId="7968E834" w14:textId="1ABE49A3" w:rsidR="00344718" w:rsidRPr="006B0C18" w:rsidRDefault="00344718" w:rsidP="00344718">
            <w:pPr>
              <w:jc w:val="right"/>
              <w:rPr>
                <w:color w:val="000000"/>
                <w:sz w:val="17"/>
                <w:szCs w:val="17"/>
                <w:lang w:val="fr-FR"/>
              </w:rPr>
            </w:pPr>
            <w:r>
              <w:rPr>
                <w:sz w:val="17"/>
                <w:szCs w:val="17"/>
                <w:lang w:val="fr-FR"/>
              </w:rPr>
              <w:t>0</w:t>
            </w:r>
          </w:p>
        </w:tc>
        <w:tc>
          <w:tcPr>
            <w:tcW w:w="1080" w:type="dxa"/>
            <w:tcBorders>
              <w:top w:val="nil"/>
              <w:left w:val="nil"/>
              <w:bottom w:val="single" w:sz="4" w:space="0" w:color="auto"/>
              <w:right w:val="single" w:sz="4" w:space="0" w:color="auto"/>
            </w:tcBorders>
            <w:noWrap/>
          </w:tcPr>
          <w:p w14:paraId="48A109A7" w14:textId="111BB414" w:rsidR="00344718" w:rsidRPr="006B0C18" w:rsidRDefault="00344718" w:rsidP="00344718">
            <w:pPr>
              <w:jc w:val="right"/>
              <w:rPr>
                <w:color w:val="000000"/>
                <w:sz w:val="17"/>
                <w:szCs w:val="17"/>
                <w:lang w:val="fr-FR"/>
              </w:rPr>
            </w:pPr>
            <w:r>
              <w:rPr>
                <w:sz w:val="17"/>
                <w:szCs w:val="17"/>
                <w:lang w:val="fr-FR"/>
              </w:rPr>
              <w:t>10 637</w:t>
            </w:r>
          </w:p>
        </w:tc>
        <w:tc>
          <w:tcPr>
            <w:tcW w:w="990" w:type="dxa"/>
            <w:tcBorders>
              <w:top w:val="nil"/>
              <w:left w:val="nil"/>
              <w:bottom w:val="single" w:sz="4" w:space="0" w:color="auto"/>
              <w:right w:val="single" w:sz="4" w:space="0" w:color="auto"/>
            </w:tcBorders>
            <w:noWrap/>
          </w:tcPr>
          <w:p w14:paraId="64FC21C2" w14:textId="6ED83024" w:rsidR="00344718" w:rsidRPr="006B0C18" w:rsidRDefault="00344718" w:rsidP="00344718">
            <w:pPr>
              <w:jc w:val="right"/>
              <w:rPr>
                <w:color w:val="000000"/>
                <w:sz w:val="17"/>
                <w:szCs w:val="17"/>
                <w:lang w:val="fr-FR"/>
              </w:rPr>
            </w:pPr>
            <w:r>
              <w:rPr>
                <w:sz w:val="17"/>
                <w:szCs w:val="17"/>
                <w:lang w:val="fr-FR"/>
              </w:rPr>
              <w:t>7 135</w:t>
            </w:r>
          </w:p>
        </w:tc>
        <w:tc>
          <w:tcPr>
            <w:tcW w:w="1260" w:type="dxa"/>
            <w:tcBorders>
              <w:top w:val="nil"/>
              <w:left w:val="nil"/>
              <w:bottom w:val="single" w:sz="4" w:space="0" w:color="auto"/>
              <w:right w:val="single" w:sz="4" w:space="0" w:color="auto"/>
            </w:tcBorders>
            <w:noWrap/>
          </w:tcPr>
          <w:p w14:paraId="37A8045E" w14:textId="76BBBCDA" w:rsidR="00344718" w:rsidRPr="006B0C18" w:rsidRDefault="00344718" w:rsidP="00344718">
            <w:pPr>
              <w:jc w:val="right"/>
              <w:rPr>
                <w:color w:val="000000"/>
                <w:sz w:val="17"/>
                <w:szCs w:val="17"/>
                <w:lang w:val="fr-FR"/>
              </w:rPr>
            </w:pPr>
            <w:r>
              <w:rPr>
                <w:sz w:val="17"/>
                <w:szCs w:val="17"/>
                <w:lang w:val="fr-FR"/>
              </w:rPr>
              <w:t>70 749 213</w:t>
            </w:r>
          </w:p>
        </w:tc>
      </w:tr>
      <w:tr w:rsidR="00344718" w:rsidRPr="006B0C18" w14:paraId="04811955"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29A5DD01" w14:textId="7A0BE535" w:rsidR="00344718" w:rsidRPr="006B0C18" w:rsidRDefault="00344718" w:rsidP="00344718">
            <w:pPr>
              <w:ind w:right="-112"/>
              <w:jc w:val="left"/>
              <w:rPr>
                <w:color w:val="000000"/>
                <w:sz w:val="17"/>
                <w:szCs w:val="17"/>
                <w:lang w:val="fr-FR" w:eastAsia="en-CA"/>
              </w:rPr>
            </w:pPr>
            <w:r>
              <w:rPr>
                <w:sz w:val="17"/>
                <w:szCs w:val="17"/>
                <w:lang w:val="fr-FR"/>
              </w:rPr>
              <w:t>HFC considéré isolément</w:t>
            </w:r>
          </w:p>
        </w:tc>
        <w:tc>
          <w:tcPr>
            <w:tcW w:w="900" w:type="dxa"/>
            <w:tcBorders>
              <w:top w:val="nil"/>
              <w:left w:val="nil"/>
              <w:bottom w:val="single" w:sz="4" w:space="0" w:color="auto"/>
              <w:right w:val="single" w:sz="4" w:space="0" w:color="auto"/>
            </w:tcBorders>
            <w:noWrap/>
          </w:tcPr>
          <w:p w14:paraId="5B1C2B61" w14:textId="56D531FE" w:rsidR="00344718" w:rsidRPr="006B0C18" w:rsidRDefault="00344718" w:rsidP="00344718">
            <w:pPr>
              <w:jc w:val="right"/>
              <w:rPr>
                <w:color w:val="000000"/>
                <w:sz w:val="17"/>
                <w:szCs w:val="17"/>
                <w:lang w:val="fr-FR"/>
              </w:rPr>
            </w:pPr>
            <w:r>
              <w:rPr>
                <w:sz w:val="17"/>
                <w:szCs w:val="17"/>
                <w:lang w:val="fr-FR"/>
              </w:rPr>
              <w:t>683</w:t>
            </w:r>
          </w:p>
        </w:tc>
        <w:tc>
          <w:tcPr>
            <w:tcW w:w="1530" w:type="dxa"/>
            <w:tcBorders>
              <w:top w:val="nil"/>
              <w:left w:val="nil"/>
              <w:bottom w:val="single" w:sz="4" w:space="0" w:color="auto"/>
              <w:right w:val="single" w:sz="4" w:space="0" w:color="auto"/>
            </w:tcBorders>
            <w:noWrap/>
          </w:tcPr>
          <w:p w14:paraId="62B91508" w14:textId="4BEBCDAA"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7168CA37" w14:textId="303DDE48" w:rsidR="00344718" w:rsidRPr="006B0C18" w:rsidRDefault="00344718" w:rsidP="00344718">
            <w:pPr>
              <w:jc w:val="right"/>
              <w:rPr>
                <w:color w:val="000000"/>
                <w:sz w:val="17"/>
                <w:szCs w:val="17"/>
                <w:lang w:val="fr-FR"/>
              </w:rPr>
            </w:pPr>
            <w:r>
              <w:rPr>
                <w:sz w:val="17"/>
                <w:szCs w:val="17"/>
                <w:lang w:val="fr-FR"/>
              </w:rPr>
              <w:t>0</w:t>
            </w:r>
          </w:p>
        </w:tc>
        <w:tc>
          <w:tcPr>
            <w:tcW w:w="1350" w:type="dxa"/>
            <w:tcBorders>
              <w:top w:val="nil"/>
              <w:left w:val="nil"/>
              <w:bottom w:val="single" w:sz="4" w:space="0" w:color="auto"/>
              <w:right w:val="single" w:sz="4" w:space="0" w:color="auto"/>
            </w:tcBorders>
            <w:noWrap/>
          </w:tcPr>
          <w:p w14:paraId="5C2298EA" w14:textId="50853CBB" w:rsidR="00344718" w:rsidRPr="006B0C18" w:rsidRDefault="00344718" w:rsidP="00344718">
            <w:pPr>
              <w:jc w:val="right"/>
              <w:rPr>
                <w:color w:val="000000"/>
                <w:sz w:val="17"/>
                <w:szCs w:val="17"/>
                <w:lang w:val="fr-FR"/>
              </w:rPr>
            </w:pPr>
            <w:r>
              <w:rPr>
                <w:sz w:val="17"/>
                <w:szCs w:val="17"/>
                <w:lang w:val="fr-FR"/>
              </w:rPr>
              <w:t>2 467</w:t>
            </w:r>
          </w:p>
        </w:tc>
        <w:tc>
          <w:tcPr>
            <w:tcW w:w="1440" w:type="dxa"/>
            <w:tcBorders>
              <w:top w:val="nil"/>
              <w:left w:val="nil"/>
              <w:bottom w:val="single" w:sz="4" w:space="0" w:color="auto"/>
              <w:right w:val="single" w:sz="4" w:space="0" w:color="auto"/>
            </w:tcBorders>
            <w:noWrap/>
          </w:tcPr>
          <w:p w14:paraId="36512971" w14:textId="2277C434" w:rsidR="00344718" w:rsidRPr="006B0C18" w:rsidRDefault="00344718" w:rsidP="00344718">
            <w:pPr>
              <w:jc w:val="right"/>
              <w:rPr>
                <w:color w:val="000000"/>
                <w:sz w:val="17"/>
                <w:szCs w:val="17"/>
                <w:lang w:val="fr-FR"/>
              </w:rPr>
            </w:pPr>
            <w:r>
              <w:rPr>
                <w:sz w:val="17"/>
                <w:szCs w:val="17"/>
                <w:lang w:val="fr-FR"/>
              </w:rPr>
              <w:t>978</w:t>
            </w:r>
          </w:p>
        </w:tc>
        <w:tc>
          <w:tcPr>
            <w:tcW w:w="1080" w:type="dxa"/>
            <w:tcBorders>
              <w:top w:val="nil"/>
              <w:left w:val="nil"/>
              <w:bottom w:val="single" w:sz="4" w:space="0" w:color="auto"/>
              <w:right w:val="single" w:sz="4" w:space="0" w:color="auto"/>
            </w:tcBorders>
            <w:noWrap/>
          </w:tcPr>
          <w:p w14:paraId="62AFA51F" w14:textId="67AEB270" w:rsidR="00344718" w:rsidRPr="006B0C18" w:rsidRDefault="00344718" w:rsidP="00344718">
            <w:pPr>
              <w:jc w:val="right"/>
              <w:rPr>
                <w:color w:val="000000"/>
                <w:sz w:val="17"/>
                <w:szCs w:val="17"/>
                <w:lang w:val="fr-FR"/>
              </w:rPr>
            </w:pPr>
            <w:r>
              <w:rPr>
                <w:sz w:val="17"/>
                <w:szCs w:val="17"/>
                <w:lang w:val="fr-FR"/>
              </w:rPr>
              <w:t>0</w:t>
            </w:r>
          </w:p>
        </w:tc>
        <w:tc>
          <w:tcPr>
            <w:tcW w:w="990" w:type="dxa"/>
            <w:tcBorders>
              <w:top w:val="nil"/>
              <w:left w:val="nil"/>
              <w:bottom w:val="single" w:sz="4" w:space="0" w:color="auto"/>
              <w:right w:val="single" w:sz="4" w:space="0" w:color="auto"/>
            </w:tcBorders>
            <w:noWrap/>
          </w:tcPr>
          <w:p w14:paraId="075E84A3" w14:textId="340071B1" w:rsidR="00344718" w:rsidRPr="006B0C18" w:rsidRDefault="00344718" w:rsidP="00344718">
            <w:pPr>
              <w:jc w:val="right"/>
              <w:rPr>
                <w:color w:val="000000"/>
                <w:sz w:val="17"/>
                <w:szCs w:val="17"/>
                <w:lang w:val="fr-FR"/>
              </w:rPr>
            </w:pPr>
            <w:r>
              <w:rPr>
                <w:sz w:val="17"/>
                <w:szCs w:val="17"/>
                <w:lang w:val="fr-FR"/>
              </w:rPr>
              <w:t>0</w:t>
            </w:r>
          </w:p>
        </w:tc>
        <w:tc>
          <w:tcPr>
            <w:tcW w:w="1260" w:type="dxa"/>
            <w:tcBorders>
              <w:top w:val="nil"/>
              <w:left w:val="nil"/>
              <w:bottom w:val="single" w:sz="4" w:space="0" w:color="auto"/>
              <w:right w:val="single" w:sz="4" w:space="0" w:color="auto"/>
            </w:tcBorders>
            <w:noWrap/>
          </w:tcPr>
          <w:p w14:paraId="501303AE" w14:textId="10166893" w:rsidR="00344718" w:rsidRPr="006B0C18" w:rsidRDefault="00344718" w:rsidP="00344718">
            <w:pPr>
              <w:jc w:val="right"/>
              <w:rPr>
                <w:color w:val="000000"/>
                <w:sz w:val="17"/>
                <w:szCs w:val="17"/>
                <w:lang w:val="fr-FR"/>
              </w:rPr>
            </w:pPr>
            <w:r>
              <w:rPr>
                <w:sz w:val="17"/>
                <w:szCs w:val="17"/>
                <w:lang w:val="fr-FR"/>
              </w:rPr>
              <w:t>84 281 200</w:t>
            </w:r>
          </w:p>
        </w:tc>
      </w:tr>
      <w:tr w:rsidR="00344718" w:rsidRPr="006B0C18" w14:paraId="21727E93"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3CEF74EF" w14:textId="534B6DD1" w:rsidR="00344718" w:rsidRPr="006B0C18" w:rsidRDefault="00344718" w:rsidP="00344718">
            <w:pPr>
              <w:jc w:val="left"/>
              <w:rPr>
                <w:color w:val="000000"/>
                <w:sz w:val="17"/>
                <w:szCs w:val="17"/>
                <w:lang w:val="fr-FR" w:eastAsia="en-CA"/>
              </w:rPr>
            </w:pPr>
            <w:r>
              <w:rPr>
                <w:sz w:val="17"/>
                <w:szCs w:val="17"/>
                <w:lang w:val="fr-FR"/>
              </w:rPr>
              <w:t>KIP (phase I)</w:t>
            </w:r>
          </w:p>
        </w:tc>
        <w:tc>
          <w:tcPr>
            <w:tcW w:w="900" w:type="dxa"/>
            <w:tcBorders>
              <w:top w:val="nil"/>
              <w:left w:val="nil"/>
              <w:bottom w:val="single" w:sz="4" w:space="0" w:color="auto"/>
              <w:right w:val="single" w:sz="4" w:space="0" w:color="auto"/>
            </w:tcBorders>
            <w:noWrap/>
          </w:tcPr>
          <w:p w14:paraId="4965CD3E" w14:textId="611896CF" w:rsidR="00344718" w:rsidRPr="006B0C18" w:rsidRDefault="00344718" w:rsidP="00344718">
            <w:pPr>
              <w:jc w:val="right"/>
              <w:rPr>
                <w:color w:val="000000"/>
                <w:sz w:val="17"/>
                <w:szCs w:val="17"/>
                <w:lang w:val="fr-FR" w:eastAsia="en-CA"/>
              </w:rPr>
            </w:pPr>
            <w:r>
              <w:rPr>
                <w:sz w:val="17"/>
                <w:szCs w:val="17"/>
                <w:lang w:val="fr-FR"/>
              </w:rPr>
              <w:t>254</w:t>
            </w:r>
          </w:p>
        </w:tc>
        <w:tc>
          <w:tcPr>
            <w:tcW w:w="1530" w:type="dxa"/>
            <w:tcBorders>
              <w:top w:val="nil"/>
              <w:left w:val="nil"/>
              <w:bottom w:val="single" w:sz="4" w:space="0" w:color="auto"/>
              <w:right w:val="single" w:sz="4" w:space="0" w:color="auto"/>
            </w:tcBorders>
            <w:noWrap/>
          </w:tcPr>
          <w:p w14:paraId="617F9AE3" w14:textId="075E60F0"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7765EEB9" w14:textId="4AB99394"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1C841D81" w14:textId="4C5F7E0A" w:rsidR="00344718" w:rsidRPr="006B0C18" w:rsidRDefault="00344718" w:rsidP="00344718">
            <w:pPr>
              <w:jc w:val="right"/>
              <w:rPr>
                <w:color w:val="000000"/>
                <w:sz w:val="17"/>
                <w:szCs w:val="17"/>
                <w:lang w:val="fr-FR" w:eastAsia="en-CA"/>
              </w:rPr>
            </w:pPr>
            <w:r>
              <w:rPr>
                <w:sz w:val="17"/>
                <w:szCs w:val="17"/>
                <w:lang w:val="fr-FR"/>
              </w:rPr>
              <w:t>17 235</w:t>
            </w:r>
          </w:p>
        </w:tc>
        <w:tc>
          <w:tcPr>
            <w:tcW w:w="1440" w:type="dxa"/>
            <w:tcBorders>
              <w:top w:val="nil"/>
              <w:left w:val="nil"/>
              <w:bottom w:val="single" w:sz="4" w:space="0" w:color="auto"/>
              <w:right w:val="single" w:sz="4" w:space="0" w:color="auto"/>
            </w:tcBorders>
            <w:noWrap/>
          </w:tcPr>
          <w:p w14:paraId="136C9FBA" w14:textId="06732758" w:rsidR="00344718" w:rsidRPr="006B0C18" w:rsidRDefault="00344718" w:rsidP="00344718">
            <w:pPr>
              <w:jc w:val="right"/>
              <w:rPr>
                <w:color w:val="000000"/>
                <w:sz w:val="17"/>
                <w:szCs w:val="17"/>
                <w:lang w:val="fr-FR" w:eastAsia="en-CA"/>
              </w:rPr>
            </w:pPr>
            <w:r>
              <w:rPr>
                <w:sz w:val="17"/>
                <w:szCs w:val="17"/>
                <w:lang w:val="fr-FR"/>
              </w:rPr>
              <w:t>109</w:t>
            </w:r>
          </w:p>
        </w:tc>
        <w:tc>
          <w:tcPr>
            <w:tcW w:w="1080" w:type="dxa"/>
            <w:tcBorders>
              <w:top w:val="nil"/>
              <w:left w:val="nil"/>
              <w:bottom w:val="single" w:sz="4" w:space="0" w:color="auto"/>
              <w:right w:val="single" w:sz="4" w:space="0" w:color="auto"/>
            </w:tcBorders>
            <w:noWrap/>
          </w:tcPr>
          <w:p w14:paraId="49386F72" w14:textId="0AB9090E" w:rsidR="00344718" w:rsidRPr="006B0C18" w:rsidRDefault="00344718" w:rsidP="00344718">
            <w:pPr>
              <w:jc w:val="right"/>
              <w:rPr>
                <w:color w:val="000000"/>
                <w:sz w:val="17"/>
                <w:szCs w:val="17"/>
                <w:lang w:val="fr-FR" w:eastAsia="en-CA"/>
              </w:rPr>
            </w:pPr>
            <w:r>
              <w:rPr>
                <w:sz w:val="17"/>
                <w:szCs w:val="17"/>
                <w:lang w:val="fr-FR"/>
              </w:rPr>
              <w:t>0</w:t>
            </w:r>
          </w:p>
        </w:tc>
        <w:tc>
          <w:tcPr>
            <w:tcW w:w="990" w:type="dxa"/>
            <w:tcBorders>
              <w:top w:val="nil"/>
              <w:left w:val="nil"/>
              <w:bottom w:val="single" w:sz="4" w:space="0" w:color="auto"/>
              <w:right w:val="single" w:sz="4" w:space="0" w:color="auto"/>
            </w:tcBorders>
            <w:noWrap/>
          </w:tcPr>
          <w:p w14:paraId="15185031" w14:textId="779D0665" w:rsidR="00344718" w:rsidRPr="006B0C18" w:rsidRDefault="00344718" w:rsidP="00344718">
            <w:pPr>
              <w:jc w:val="right"/>
              <w:rPr>
                <w:color w:val="000000"/>
                <w:sz w:val="17"/>
                <w:szCs w:val="17"/>
                <w:lang w:val="fr-FR" w:eastAsia="en-CA"/>
              </w:rPr>
            </w:pPr>
            <w:r>
              <w:rPr>
                <w:sz w:val="17"/>
                <w:szCs w:val="17"/>
                <w:lang w:val="fr-FR"/>
              </w:rPr>
              <w:t>0</w:t>
            </w:r>
          </w:p>
        </w:tc>
        <w:tc>
          <w:tcPr>
            <w:tcW w:w="1260" w:type="dxa"/>
            <w:tcBorders>
              <w:top w:val="nil"/>
              <w:left w:val="nil"/>
              <w:bottom w:val="single" w:sz="4" w:space="0" w:color="auto"/>
              <w:right w:val="single" w:sz="4" w:space="0" w:color="auto"/>
            </w:tcBorders>
            <w:noWrap/>
          </w:tcPr>
          <w:p w14:paraId="60C9313B" w14:textId="5E0B4641" w:rsidR="00344718" w:rsidRPr="006B0C18" w:rsidRDefault="00344718" w:rsidP="00344718">
            <w:pPr>
              <w:jc w:val="right"/>
              <w:rPr>
                <w:color w:val="000000"/>
                <w:sz w:val="17"/>
                <w:szCs w:val="17"/>
                <w:lang w:val="fr-FR" w:eastAsia="en-CA"/>
              </w:rPr>
            </w:pPr>
            <w:r>
              <w:rPr>
                <w:sz w:val="17"/>
                <w:szCs w:val="17"/>
                <w:lang w:val="fr-FR"/>
              </w:rPr>
              <w:t>84 646 076</w:t>
            </w:r>
          </w:p>
        </w:tc>
      </w:tr>
      <w:tr w:rsidR="00344718" w:rsidRPr="006B0C18" w14:paraId="62D5CB71"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406E9496" w14:textId="74CFFC44" w:rsidR="00344718" w:rsidRPr="006B0C18" w:rsidRDefault="00344718" w:rsidP="00344718">
            <w:pPr>
              <w:jc w:val="left"/>
              <w:rPr>
                <w:color w:val="000000"/>
                <w:sz w:val="17"/>
                <w:szCs w:val="17"/>
                <w:lang w:val="fr-FR" w:eastAsia="en-CA"/>
              </w:rPr>
            </w:pPr>
            <w:r>
              <w:rPr>
                <w:sz w:val="17"/>
                <w:szCs w:val="17"/>
                <w:lang w:val="fr-FR"/>
              </w:rPr>
              <w:t>Autres SAO considérées isolément</w:t>
            </w:r>
          </w:p>
        </w:tc>
        <w:tc>
          <w:tcPr>
            <w:tcW w:w="900" w:type="dxa"/>
            <w:tcBorders>
              <w:top w:val="nil"/>
              <w:left w:val="nil"/>
              <w:bottom w:val="single" w:sz="4" w:space="0" w:color="auto"/>
              <w:right w:val="single" w:sz="4" w:space="0" w:color="auto"/>
            </w:tcBorders>
            <w:noWrap/>
          </w:tcPr>
          <w:p w14:paraId="6D470765" w14:textId="303F4513" w:rsidR="00344718" w:rsidRPr="006B0C18" w:rsidRDefault="00344718" w:rsidP="00344718">
            <w:pPr>
              <w:jc w:val="right"/>
              <w:rPr>
                <w:color w:val="000000"/>
                <w:sz w:val="17"/>
                <w:szCs w:val="17"/>
                <w:lang w:val="fr-FR" w:eastAsia="en-CA"/>
              </w:rPr>
            </w:pPr>
            <w:r>
              <w:rPr>
                <w:sz w:val="17"/>
                <w:szCs w:val="17"/>
                <w:lang w:val="fr-FR"/>
              </w:rPr>
              <w:t>589</w:t>
            </w:r>
          </w:p>
        </w:tc>
        <w:tc>
          <w:tcPr>
            <w:tcW w:w="1530" w:type="dxa"/>
            <w:tcBorders>
              <w:top w:val="nil"/>
              <w:left w:val="nil"/>
              <w:bottom w:val="single" w:sz="4" w:space="0" w:color="auto"/>
              <w:right w:val="single" w:sz="4" w:space="0" w:color="auto"/>
            </w:tcBorders>
            <w:noWrap/>
          </w:tcPr>
          <w:p w14:paraId="58F3A3C7" w14:textId="0649A52D" w:rsidR="00344718" w:rsidRPr="006B0C18" w:rsidRDefault="00344718" w:rsidP="00344718">
            <w:pPr>
              <w:jc w:val="right"/>
              <w:rPr>
                <w:color w:val="000000"/>
                <w:sz w:val="17"/>
                <w:szCs w:val="17"/>
                <w:lang w:val="fr-FR" w:eastAsia="en-CA"/>
              </w:rPr>
            </w:pPr>
            <w:r>
              <w:rPr>
                <w:sz w:val="17"/>
                <w:szCs w:val="17"/>
                <w:lang w:val="fr-FR"/>
              </w:rPr>
              <w:t>20 060</w:t>
            </w:r>
          </w:p>
        </w:tc>
        <w:tc>
          <w:tcPr>
            <w:tcW w:w="1350" w:type="dxa"/>
            <w:tcBorders>
              <w:top w:val="nil"/>
              <w:left w:val="nil"/>
              <w:bottom w:val="single" w:sz="4" w:space="0" w:color="auto"/>
              <w:right w:val="single" w:sz="4" w:space="0" w:color="auto"/>
            </w:tcBorders>
            <w:noWrap/>
          </w:tcPr>
          <w:p w14:paraId="15DEED53" w14:textId="52525676" w:rsidR="00344718" w:rsidRPr="006B0C18" w:rsidRDefault="00344718" w:rsidP="00344718">
            <w:pPr>
              <w:jc w:val="right"/>
              <w:rPr>
                <w:color w:val="000000"/>
                <w:sz w:val="17"/>
                <w:szCs w:val="17"/>
                <w:lang w:val="fr-FR" w:eastAsia="en-CA"/>
              </w:rPr>
            </w:pPr>
            <w:r>
              <w:rPr>
                <w:sz w:val="17"/>
                <w:szCs w:val="17"/>
                <w:lang w:val="fr-FR"/>
              </w:rPr>
              <w:t>20 843</w:t>
            </w:r>
          </w:p>
        </w:tc>
        <w:tc>
          <w:tcPr>
            <w:tcW w:w="1350" w:type="dxa"/>
            <w:tcBorders>
              <w:top w:val="nil"/>
              <w:left w:val="nil"/>
              <w:bottom w:val="single" w:sz="4" w:space="0" w:color="auto"/>
              <w:right w:val="single" w:sz="4" w:space="0" w:color="auto"/>
            </w:tcBorders>
            <w:noWrap/>
          </w:tcPr>
          <w:p w14:paraId="24434F70" w14:textId="3BCBBFAA"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454B3DB3" w14:textId="1284AB96"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728AD6D6" w14:textId="06B75045" w:rsidR="00344718" w:rsidRPr="006B0C18" w:rsidRDefault="00344718" w:rsidP="00344718">
            <w:pPr>
              <w:jc w:val="right"/>
              <w:rPr>
                <w:color w:val="000000"/>
                <w:sz w:val="17"/>
                <w:szCs w:val="17"/>
                <w:lang w:val="fr-FR" w:eastAsia="en-CA"/>
              </w:rPr>
            </w:pPr>
            <w:r>
              <w:rPr>
                <w:sz w:val="17"/>
                <w:szCs w:val="17"/>
                <w:lang w:val="fr-FR"/>
              </w:rPr>
              <w:t>1 200</w:t>
            </w:r>
          </w:p>
        </w:tc>
        <w:tc>
          <w:tcPr>
            <w:tcW w:w="990" w:type="dxa"/>
            <w:tcBorders>
              <w:top w:val="nil"/>
              <w:left w:val="nil"/>
              <w:bottom w:val="single" w:sz="4" w:space="0" w:color="auto"/>
              <w:right w:val="single" w:sz="4" w:space="0" w:color="auto"/>
            </w:tcBorders>
            <w:noWrap/>
          </w:tcPr>
          <w:p w14:paraId="5360D5A3" w14:textId="418F1213" w:rsidR="00344718" w:rsidRPr="006B0C18" w:rsidRDefault="00344718" w:rsidP="00344718">
            <w:pPr>
              <w:jc w:val="right"/>
              <w:rPr>
                <w:color w:val="000000"/>
                <w:sz w:val="17"/>
                <w:szCs w:val="17"/>
                <w:lang w:val="fr-FR" w:eastAsia="en-CA"/>
              </w:rPr>
            </w:pPr>
            <w:r>
              <w:rPr>
                <w:sz w:val="17"/>
                <w:szCs w:val="17"/>
                <w:lang w:val="fr-FR"/>
              </w:rPr>
              <w:t>1 200</w:t>
            </w:r>
          </w:p>
        </w:tc>
        <w:tc>
          <w:tcPr>
            <w:tcW w:w="1260" w:type="dxa"/>
            <w:tcBorders>
              <w:top w:val="nil"/>
              <w:left w:val="nil"/>
              <w:bottom w:val="single" w:sz="4" w:space="0" w:color="auto"/>
              <w:right w:val="single" w:sz="4" w:space="0" w:color="auto"/>
            </w:tcBorders>
            <w:noWrap/>
          </w:tcPr>
          <w:p w14:paraId="44F0BED5" w14:textId="28B546C9" w:rsidR="00344718" w:rsidRPr="006B0C18" w:rsidRDefault="00344718" w:rsidP="00344718">
            <w:pPr>
              <w:jc w:val="right"/>
              <w:rPr>
                <w:color w:val="000000"/>
                <w:sz w:val="17"/>
                <w:szCs w:val="17"/>
                <w:lang w:val="fr-FR" w:eastAsia="en-CA"/>
              </w:rPr>
            </w:pPr>
            <w:r>
              <w:rPr>
                <w:sz w:val="17"/>
                <w:szCs w:val="17"/>
                <w:lang w:val="fr-FR"/>
              </w:rPr>
              <w:t>125 994 826</w:t>
            </w:r>
          </w:p>
        </w:tc>
      </w:tr>
      <w:tr w:rsidR="00344718" w:rsidRPr="006B0C18" w14:paraId="0DE05DA4"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3EEA94A1" w14:textId="762C55F6" w:rsidR="00344718" w:rsidRPr="006B0C18" w:rsidRDefault="00344718" w:rsidP="00344718">
            <w:pPr>
              <w:jc w:val="left"/>
              <w:rPr>
                <w:color w:val="000000"/>
                <w:sz w:val="17"/>
                <w:szCs w:val="17"/>
                <w:lang w:val="fr-FR" w:eastAsia="en-CA"/>
              </w:rPr>
            </w:pPr>
            <w:r>
              <w:rPr>
                <w:sz w:val="17"/>
                <w:szCs w:val="17"/>
                <w:lang w:val="fr-FR"/>
              </w:rPr>
              <w:t>Autres SAO considérées isolément - production</w:t>
            </w:r>
          </w:p>
        </w:tc>
        <w:tc>
          <w:tcPr>
            <w:tcW w:w="900" w:type="dxa"/>
            <w:tcBorders>
              <w:top w:val="nil"/>
              <w:left w:val="nil"/>
              <w:bottom w:val="single" w:sz="4" w:space="0" w:color="auto"/>
              <w:right w:val="single" w:sz="4" w:space="0" w:color="auto"/>
            </w:tcBorders>
            <w:noWrap/>
          </w:tcPr>
          <w:p w14:paraId="4854B184" w14:textId="5A96F167" w:rsidR="00344718" w:rsidRPr="006B0C18" w:rsidRDefault="00344718" w:rsidP="00344718">
            <w:pPr>
              <w:jc w:val="right"/>
              <w:rPr>
                <w:color w:val="000000"/>
                <w:sz w:val="17"/>
                <w:szCs w:val="17"/>
                <w:lang w:val="fr-FR" w:eastAsia="en-CA"/>
              </w:rPr>
            </w:pPr>
            <w:r>
              <w:rPr>
                <w:sz w:val="17"/>
                <w:szCs w:val="17"/>
                <w:lang w:val="fr-FR"/>
              </w:rPr>
              <w:t>1</w:t>
            </w:r>
          </w:p>
        </w:tc>
        <w:tc>
          <w:tcPr>
            <w:tcW w:w="1530" w:type="dxa"/>
            <w:tcBorders>
              <w:top w:val="nil"/>
              <w:left w:val="nil"/>
              <w:bottom w:val="single" w:sz="4" w:space="0" w:color="auto"/>
              <w:right w:val="single" w:sz="4" w:space="0" w:color="auto"/>
            </w:tcBorders>
            <w:noWrap/>
          </w:tcPr>
          <w:p w14:paraId="742AE44D" w14:textId="6BB7D67B"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2C854586" w14:textId="06AC1344"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0FC900B9" w14:textId="126BBE72"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2D2D60EC" w14:textId="4A75CB5E"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40EBFB8D" w14:textId="2407B895" w:rsidR="00344718" w:rsidRPr="006B0C18" w:rsidRDefault="00344718" w:rsidP="00344718">
            <w:pPr>
              <w:jc w:val="right"/>
              <w:rPr>
                <w:color w:val="000000"/>
                <w:sz w:val="17"/>
                <w:szCs w:val="17"/>
                <w:lang w:val="fr-FR" w:eastAsia="en-CA"/>
              </w:rPr>
            </w:pPr>
            <w:r>
              <w:rPr>
                <w:sz w:val="17"/>
                <w:szCs w:val="17"/>
                <w:lang w:val="fr-FR"/>
              </w:rPr>
              <w:t>321</w:t>
            </w:r>
          </w:p>
        </w:tc>
        <w:tc>
          <w:tcPr>
            <w:tcW w:w="990" w:type="dxa"/>
            <w:tcBorders>
              <w:top w:val="nil"/>
              <w:left w:val="nil"/>
              <w:bottom w:val="single" w:sz="4" w:space="0" w:color="auto"/>
              <w:right w:val="single" w:sz="4" w:space="0" w:color="auto"/>
            </w:tcBorders>
            <w:noWrap/>
          </w:tcPr>
          <w:p w14:paraId="381E2471" w14:textId="5740E107" w:rsidR="00344718" w:rsidRPr="006B0C18" w:rsidRDefault="00344718" w:rsidP="00344718">
            <w:pPr>
              <w:jc w:val="right"/>
              <w:rPr>
                <w:color w:val="000000"/>
                <w:sz w:val="17"/>
                <w:szCs w:val="17"/>
                <w:lang w:val="fr-FR" w:eastAsia="en-CA"/>
              </w:rPr>
            </w:pPr>
            <w:r>
              <w:rPr>
                <w:sz w:val="17"/>
                <w:szCs w:val="17"/>
                <w:lang w:val="fr-FR"/>
              </w:rPr>
              <w:t>321</w:t>
            </w:r>
          </w:p>
        </w:tc>
        <w:tc>
          <w:tcPr>
            <w:tcW w:w="1260" w:type="dxa"/>
            <w:tcBorders>
              <w:top w:val="nil"/>
              <w:left w:val="nil"/>
              <w:bottom w:val="single" w:sz="4" w:space="0" w:color="auto"/>
              <w:right w:val="single" w:sz="4" w:space="0" w:color="auto"/>
            </w:tcBorders>
            <w:noWrap/>
          </w:tcPr>
          <w:p w14:paraId="7768E32E" w14:textId="6F05AC85" w:rsidR="00344718" w:rsidRPr="006B0C18" w:rsidRDefault="00344718" w:rsidP="00344718">
            <w:pPr>
              <w:jc w:val="right"/>
              <w:rPr>
                <w:color w:val="000000"/>
                <w:sz w:val="17"/>
                <w:szCs w:val="17"/>
                <w:lang w:val="fr-FR" w:eastAsia="en-CA"/>
              </w:rPr>
            </w:pPr>
            <w:r>
              <w:rPr>
                <w:sz w:val="17"/>
                <w:szCs w:val="17"/>
                <w:lang w:val="fr-FR"/>
              </w:rPr>
              <w:t>1 037 302</w:t>
            </w:r>
          </w:p>
        </w:tc>
      </w:tr>
      <w:tr w:rsidR="00344718" w:rsidRPr="006B0C18" w14:paraId="3C63ADC7"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73750EDA" w14:textId="4AA3BDA6" w:rsidR="00344718" w:rsidRPr="006B0C18" w:rsidRDefault="00344718" w:rsidP="00344718">
            <w:pPr>
              <w:jc w:val="left"/>
              <w:rPr>
                <w:color w:val="000000"/>
                <w:sz w:val="17"/>
                <w:szCs w:val="17"/>
                <w:lang w:val="fr-FR" w:eastAsia="en-CA"/>
              </w:rPr>
            </w:pPr>
            <w:r>
              <w:rPr>
                <w:sz w:val="17"/>
                <w:szCs w:val="17"/>
                <w:lang w:val="fr-FR"/>
              </w:rPr>
              <w:t>Autre plan d'élimination progressive de la production de SAO</w:t>
            </w:r>
          </w:p>
        </w:tc>
        <w:tc>
          <w:tcPr>
            <w:tcW w:w="900" w:type="dxa"/>
            <w:tcBorders>
              <w:top w:val="nil"/>
              <w:left w:val="nil"/>
              <w:bottom w:val="single" w:sz="4" w:space="0" w:color="auto"/>
              <w:right w:val="single" w:sz="4" w:space="0" w:color="auto"/>
            </w:tcBorders>
            <w:noWrap/>
          </w:tcPr>
          <w:p w14:paraId="6CC7BCD3" w14:textId="088DA57C" w:rsidR="00344718" w:rsidRPr="006B0C18" w:rsidRDefault="00344718" w:rsidP="00344718">
            <w:pPr>
              <w:jc w:val="right"/>
              <w:rPr>
                <w:color w:val="000000"/>
                <w:sz w:val="17"/>
                <w:szCs w:val="17"/>
                <w:lang w:val="fr-FR" w:eastAsia="en-CA"/>
              </w:rPr>
            </w:pPr>
            <w:r>
              <w:rPr>
                <w:sz w:val="17"/>
                <w:szCs w:val="17"/>
                <w:lang w:val="fr-FR"/>
              </w:rPr>
              <w:t>27</w:t>
            </w:r>
          </w:p>
        </w:tc>
        <w:tc>
          <w:tcPr>
            <w:tcW w:w="1530" w:type="dxa"/>
            <w:tcBorders>
              <w:top w:val="nil"/>
              <w:left w:val="nil"/>
              <w:bottom w:val="single" w:sz="4" w:space="0" w:color="auto"/>
              <w:right w:val="single" w:sz="4" w:space="0" w:color="auto"/>
            </w:tcBorders>
            <w:noWrap/>
          </w:tcPr>
          <w:p w14:paraId="45A3DFC4" w14:textId="3D123541"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3ACC3872" w14:textId="7E91C2B8" w:rsidR="00344718" w:rsidRPr="006B0C18" w:rsidRDefault="00344718" w:rsidP="00344718">
            <w:pPr>
              <w:jc w:val="right"/>
              <w:rPr>
                <w:color w:val="000000"/>
                <w:sz w:val="17"/>
                <w:szCs w:val="17"/>
                <w:lang w:val="fr-FR" w:eastAsia="en-CA"/>
              </w:rPr>
            </w:pPr>
            <w:r>
              <w:rPr>
                <w:sz w:val="17"/>
                <w:szCs w:val="17"/>
                <w:lang w:val="fr-FR"/>
              </w:rPr>
              <w:t>0</w:t>
            </w:r>
          </w:p>
        </w:tc>
        <w:tc>
          <w:tcPr>
            <w:tcW w:w="1350" w:type="dxa"/>
            <w:tcBorders>
              <w:top w:val="nil"/>
              <w:left w:val="nil"/>
              <w:bottom w:val="single" w:sz="4" w:space="0" w:color="auto"/>
              <w:right w:val="single" w:sz="4" w:space="0" w:color="auto"/>
            </w:tcBorders>
            <w:noWrap/>
          </w:tcPr>
          <w:p w14:paraId="479E49E0" w14:textId="38E81151"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1E84F5C3" w14:textId="39ED2FA9"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6DD4F614" w14:textId="5B4A3B10" w:rsidR="00344718" w:rsidRPr="006B0C18" w:rsidRDefault="00344718" w:rsidP="00344718">
            <w:pPr>
              <w:jc w:val="right"/>
              <w:rPr>
                <w:color w:val="000000"/>
                <w:sz w:val="17"/>
                <w:szCs w:val="17"/>
                <w:lang w:val="fr-FR" w:eastAsia="en-CA"/>
              </w:rPr>
            </w:pPr>
            <w:r>
              <w:rPr>
                <w:sz w:val="17"/>
                <w:szCs w:val="17"/>
                <w:lang w:val="fr-FR"/>
              </w:rPr>
              <w:t>65 454</w:t>
            </w:r>
          </w:p>
        </w:tc>
        <w:tc>
          <w:tcPr>
            <w:tcW w:w="990" w:type="dxa"/>
            <w:tcBorders>
              <w:top w:val="nil"/>
              <w:left w:val="nil"/>
              <w:bottom w:val="single" w:sz="4" w:space="0" w:color="auto"/>
              <w:right w:val="single" w:sz="4" w:space="0" w:color="auto"/>
            </w:tcBorders>
            <w:noWrap/>
          </w:tcPr>
          <w:p w14:paraId="1DF15EF8" w14:textId="49C8B864" w:rsidR="00344718" w:rsidRPr="006B0C18" w:rsidRDefault="00344718" w:rsidP="00344718">
            <w:pPr>
              <w:jc w:val="right"/>
              <w:rPr>
                <w:color w:val="000000"/>
                <w:sz w:val="17"/>
                <w:szCs w:val="17"/>
                <w:lang w:val="fr-FR" w:eastAsia="en-CA"/>
              </w:rPr>
            </w:pPr>
            <w:r>
              <w:rPr>
                <w:sz w:val="17"/>
                <w:szCs w:val="17"/>
                <w:lang w:val="fr-FR"/>
              </w:rPr>
              <w:t>65 014</w:t>
            </w:r>
          </w:p>
        </w:tc>
        <w:tc>
          <w:tcPr>
            <w:tcW w:w="1260" w:type="dxa"/>
            <w:tcBorders>
              <w:top w:val="nil"/>
              <w:left w:val="nil"/>
              <w:bottom w:val="single" w:sz="4" w:space="0" w:color="auto"/>
              <w:right w:val="single" w:sz="4" w:space="0" w:color="auto"/>
            </w:tcBorders>
            <w:noWrap/>
          </w:tcPr>
          <w:p w14:paraId="4FD513C1" w14:textId="3456BD87" w:rsidR="00344718" w:rsidRPr="006B0C18" w:rsidRDefault="00344718" w:rsidP="00344718">
            <w:pPr>
              <w:jc w:val="right"/>
              <w:rPr>
                <w:color w:val="000000"/>
                <w:sz w:val="17"/>
                <w:szCs w:val="17"/>
                <w:lang w:val="fr-FR" w:eastAsia="en-CA"/>
              </w:rPr>
            </w:pPr>
            <w:r>
              <w:rPr>
                <w:sz w:val="17"/>
                <w:szCs w:val="17"/>
                <w:lang w:val="fr-FR"/>
              </w:rPr>
              <w:t>60 749 881</w:t>
            </w:r>
          </w:p>
        </w:tc>
      </w:tr>
      <w:tr w:rsidR="00344718" w:rsidRPr="006B0C18" w14:paraId="0AC5A9FC"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570E7CE4" w14:textId="3EEC67B5" w:rsidR="00344718" w:rsidRPr="006B0C18" w:rsidRDefault="00344718" w:rsidP="00344718">
            <w:pPr>
              <w:jc w:val="left"/>
              <w:rPr>
                <w:color w:val="000000"/>
                <w:sz w:val="17"/>
                <w:szCs w:val="17"/>
                <w:lang w:val="fr-FR" w:eastAsia="en-CA"/>
              </w:rPr>
            </w:pPr>
            <w:r>
              <w:rPr>
                <w:sz w:val="17"/>
                <w:szCs w:val="17"/>
                <w:lang w:val="fr-FR"/>
              </w:rPr>
              <w:t>Autre plan sectoriel lié aux SAO</w:t>
            </w:r>
          </w:p>
        </w:tc>
        <w:tc>
          <w:tcPr>
            <w:tcW w:w="900" w:type="dxa"/>
            <w:tcBorders>
              <w:top w:val="nil"/>
              <w:left w:val="nil"/>
              <w:bottom w:val="single" w:sz="4" w:space="0" w:color="auto"/>
              <w:right w:val="single" w:sz="4" w:space="0" w:color="auto"/>
            </w:tcBorders>
            <w:noWrap/>
          </w:tcPr>
          <w:p w14:paraId="61DA093F" w14:textId="03F0D73A" w:rsidR="00344718" w:rsidRPr="006B0C18" w:rsidRDefault="00344718" w:rsidP="00344718">
            <w:pPr>
              <w:jc w:val="right"/>
              <w:rPr>
                <w:color w:val="000000"/>
                <w:sz w:val="17"/>
                <w:szCs w:val="17"/>
                <w:lang w:val="fr-FR" w:eastAsia="en-CA"/>
              </w:rPr>
            </w:pPr>
            <w:r>
              <w:rPr>
                <w:sz w:val="17"/>
                <w:szCs w:val="17"/>
                <w:lang w:val="fr-FR"/>
              </w:rPr>
              <w:t>305</w:t>
            </w:r>
          </w:p>
        </w:tc>
        <w:tc>
          <w:tcPr>
            <w:tcW w:w="1530" w:type="dxa"/>
            <w:tcBorders>
              <w:top w:val="nil"/>
              <w:left w:val="nil"/>
              <w:bottom w:val="single" w:sz="4" w:space="0" w:color="auto"/>
              <w:right w:val="single" w:sz="4" w:space="0" w:color="auto"/>
            </w:tcBorders>
            <w:noWrap/>
          </w:tcPr>
          <w:p w14:paraId="04A1AE9A" w14:textId="497D7428" w:rsidR="00344718" w:rsidRPr="006B0C18" w:rsidRDefault="00344718" w:rsidP="00344718">
            <w:pPr>
              <w:jc w:val="right"/>
              <w:rPr>
                <w:color w:val="000000"/>
                <w:sz w:val="17"/>
                <w:szCs w:val="17"/>
                <w:lang w:val="fr-FR" w:eastAsia="en-CA"/>
              </w:rPr>
            </w:pPr>
            <w:r>
              <w:rPr>
                <w:sz w:val="17"/>
                <w:szCs w:val="17"/>
                <w:lang w:val="fr-FR"/>
              </w:rPr>
              <w:t>76 640</w:t>
            </w:r>
          </w:p>
        </w:tc>
        <w:tc>
          <w:tcPr>
            <w:tcW w:w="1350" w:type="dxa"/>
            <w:tcBorders>
              <w:top w:val="nil"/>
              <w:left w:val="nil"/>
              <w:bottom w:val="single" w:sz="4" w:space="0" w:color="auto"/>
              <w:right w:val="single" w:sz="4" w:space="0" w:color="auto"/>
            </w:tcBorders>
            <w:noWrap/>
          </w:tcPr>
          <w:p w14:paraId="49B3EEF6" w14:textId="6CDE0330" w:rsidR="00344718" w:rsidRPr="006B0C18" w:rsidRDefault="00344718" w:rsidP="00344718">
            <w:pPr>
              <w:jc w:val="right"/>
              <w:rPr>
                <w:color w:val="000000"/>
                <w:sz w:val="17"/>
                <w:szCs w:val="17"/>
                <w:lang w:val="fr-FR" w:eastAsia="en-CA"/>
              </w:rPr>
            </w:pPr>
            <w:r>
              <w:rPr>
                <w:sz w:val="17"/>
                <w:szCs w:val="17"/>
                <w:lang w:val="fr-FR"/>
              </w:rPr>
              <w:t>101 499</w:t>
            </w:r>
          </w:p>
        </w:tc>
        <w:tc>
          <w:tcPr>
            <w:tcW w:w="1350" w:type="dxa"/>
            <w:tcBorders>
              <w:top w:val="nil"/>
              <w:left w:val="nil"/>
              <w:bottom w:val="single" w:sz="4" w:space="0" w:color="auto"/>
              <w:right w:val="single" w:sz="4" w:space="0" w:color="auto"/>
            </w:tcBorders>
            <w:noWrap/>
          </w:tcPr>
          <w:p w14:paraId="16E322DE" w14:textId="1C2D2E6B" w:rsidR="00344718" w:rsidRPr="006B0C18" w:rsidRDefault="00344718" w:rsidP="00344718">
            <w:pPr>
              <w:jc w:val="right"/>
              <w:rPr>
                <w:color w:val="000000"/>
                <w:sz w:val="17"/>
                <w:szCs w:val="17"/>
                <w:lang w:val="fr-FR" w:eastAsia="en-CA"/>
              </w:rPr>
            </w:pPr>
            <w:r>
              <w:rPr>
                <w:sz w:val="17"/>
                <w:szCs w:val="17"/>
                <w:lang w:val="fr-FR"/>
              </w:rPr>
              <w:t>0</w:t>
            </w:r>
          </w:p>
        </w:tc>
        <w:tc>
          <w:tcPr>
            <w:tcW w:w="1440" w:type="dxa"/>
            <w:tcBorders>
              <w:top w:val="nil"/>
              <w:left w:val="nil"/>
              <w:bottom w:val="single" w:sz="4" w:space="0" w:color="auto"/>
              <w:right w:val="single" w:sz="4" w:space="0" w:color="auto"/>
            </w:tcBorders>
            <w:noWrap/>
          </w:tcPr>
          <w:p w14:paraId="22BD6DC6" w14:textId="0C5A7A98" w:rsidR="00344718" w:rsidRPr="006B0C18" w:rsidRDefault="00344718" w:rsidP="00344718">
            <w:pPr>
              <w:jc w:val="right"/>
              <w:rPr>
                <w:color w:val="000000"/>
                <w:sz w:val="17"/>
                <w:szCs w:val="17"/>
                <w:lang w:val="fr-FR" w:eastAsia="en-CA"/>
              </w:rPr>
            </w:pPr>
            <w:r>
              <w:rPr>
                <w:sz w:val="17"/>
                <w:szCs w:val="17"/>
                <w:lang w:val="fr-FR"/>
              </w:rPr>
              <w:t>0</w:t>
            </w:r>
          </w:p>
        </w:tc>
        <w:tc>
          <w:tcPr>
            <w:tcW w:w="1080" w:type="dxa"/>
            <w:tcBorders>
              <w:top w:val="nil"/>
              <w:left w:val="nil"/>
              <w:bottom w:val="single" w:sz="4" w:space="0" w:color="auto"/>
              <w:right w:val="single" w:sz="4" w:space="0" w:color="auto"/>
            </w:tcBorders>
            <w:noWrap/>
          </w:tcPr>
          <w:p w14:paraId="58291793" w14:textId="061DC3C8" w:rsidR="00344718" w:rsidRPr="006B0C18" w:rsidRDefault="00344718" w:rsidP="00344718">
            <w:pPr>
              <w:jc w:val="right"/>
              <w:rPr>
                <w:color w:val="000000"/>
                <w:sz w:val="17"/>
                <w:szCs w:val="17"/>
                <w:lang w:val="fr-FR" w:eastAsia="en-CA"/>
              </w:rPr>
            </w:pPr>
            <w:r>
              <w:rPr>
                <w:sz w:val="17"/>
                <w:szCs w:val="17"/>
                <w:lang w:val="fr-FR"/>
              </w:rPr>
              <w:t>33 173</w:t>
            </w:r>
          </w:p>
        </w:tc>
        <w:tc>
          <w:tcPr>
            <w:tcW w:w="990" w:type="dxa"/>
            <w:tcBorders>
              <w:top w:val="nil"/>
              <w:left w:val="nil"/>
              <w:bottom w:val="single" w:sz="4" w:space="0" w:color="auto"/>
              <w:right w:val="single" w:sz="4" w:space="0" w:color="auto"/>
            </w:tcBorders>
            <w:noWrap/>
          </w:tcPr>
          <w:p w14:paraId="3B7A49A7" w14:textId="3EEC89BA" w:rsidR="00344718" w:rsidRPr="006B0C18" w:rsidRDefault="00344718" w:rsidP="00344718">
            <w:pPr>
              <w:jc w:val="right"/>
              <w:rPr>
                <w:color w:val="000000"/>
                <w:sz w:val="17"/>
                <w:szCs w:val="17"/>
                <w:lang w:val="fr-FR" w:eastAsia="en-CA"/>
              </w:rPr>
            </w:pPr>
            <w:r>
              <w:rPr>
                <w:sz w:val="17"/>
                <w:szCs w:val="17"/>
                <w:lang w:val="fr-FR"/>
              </w:rPr>
              <w:t>33 173</w:t>
            </w:r>
          </w:p>
        </w:tc>
        <w:tc>
          <w:tcPr>
            <w:tcW w:w="1260" w:type="dxa"/>
            <w:tcBorders>
              <w:top w:val="nil"/>
              <w:left w:val="nil"/>
              <w:bottom w:val="single" w:sz="4" w:space="0" w:color="auto"/>
              <w:right w:val="single" w:sz="4" w:space="0" w:color="auto"/>
            </w:tcBorders>
            <w:noWrap/>
          </w:tcPr>
          <w:p w14:paraId="5D68710B" w14:textId="136C75A5" w:rsidR="00344718" w:rsidRPr="006B0C18" w:rsidRDefault="00344718" w:rsidP="00344718">
            <w:pPr>
              <w:jc w:val="right"/>
              <w:rPr>
                <w:color w:val="000000"/>
                <w:sz w:val="17"/>
                <w:szCs w:val="17"/>
                <w:lang w:val="fr-FR" w:eastAsia="en-CA"/>
              </w:rPr>
            </w:pPr>
            <w:r>
              <w:rPr>
                <w:sz w:val="17"/>
                <w:szCs w:val="17"/>
                <w:lang w:val="fr-FR"/>
              </w:rPr>
              <w:t>438 085 194</w:t>
            </w:r>
          </w:p>
        </w:tc>
      </w:tr>
      <w:tr w:rsidR="00344718" w:rsidRPr="006B0C18" w14:paraId="2FED8B6B" w14:textId="77777777" w:rsidTr="00974B5B">
        <w:trPr>
          <w:trHeight w:val="44"/>
        </w:trPr>
        <w:tc>
          <w:tcPr>
            <w:tcW w:w="1890" w:type="dxa"/>
            <w:tcBorders>
              <w:top w:val="nil"/>
              <w:left w:val="single" w:sz="4" w:space="0" w:color="auto"/>
              <w:bottom w:val="single" w:sz="4" w:space="0" w:color="auto"/>
              <w:right w:val="single" w:sz="4" w:space="0" w:color="auto"/>
            </w:tcBorders>
            <w:noWrap/>
          </w:tcPr>
          <w:p w14:paraId="5C16ED1B" w14:textId="2EF97BE5" w:rsidR="00344718" w:rsidRPr="006B0C18" w:rsidRDefault="00344718" w:rsidP="00344718">
            <w:pPr>
              <w:jc w:val="left"/>
              <w:rPr>
                <w:b/>
                <w:bCs/>
                <w:color w:val="000000"/>
                <w:sz w:val="17"/>
                <w:szCs w:val="17"/>
                <w:lang w:val="fr-FR" w:eastAsia="en-CA"/>
              </w:rPr>
            </w:pPr>
            <w:r>
              <w:rPr>
                <w:b/>
                <w:bCs/>
                <w:sz w:val="17"/>
                <w:szCs w:val="17"/>
                <w:lang w:val="fr-FR"/>
              </w:rPr>
              <w:t>Total général</w:t>
            </w:r>
          </w:p>
        </w:tc>
        <w:tc>
          <w:tcPr>
            <w:tcW w:w="900" w:type="dxa"/>
            <w:tcBorders>
              <w:top w:val="nil"/>
              <w:left w:val="nil"/>
              <w:bottom w:val="single" w:sz="4" w:space="0" w:color="auto"/>
              <w:right w:val="single" w:sz="4" w:space="0" w:color="auto"/>
            </w:tcBorders>
            <w:noWrap/>
          </w:tcPr>
          <w:p w14:paraId="7693065D" w14:textId="267FED1C" w:rsidR="00344718" w:rsidRPr="006B0C18" w:rsidRDefault="00344718" w:rsidP="00344718">
            <w:pPr>
              <w:jc w:val="right"/>
              <w:rPr>
                <w:b/>
                <w:bCs/>
                <w:color w:val="000000"/>
                <w:sz w:val="17"/>
                <w:szCs w:val="17"/>
                <w:lang w:val="fr-FR" w:eastAsia="en-CA"/>
              </w:rPr>
            </w:pPr>
            <w:r>
              <w:rPr>
                <w:b/>
                <w:bCs/>
                <w:sz w:val="17"/>
                <w:szCs w:val="17"/>
                <w:lang w:val="fr-FR"/>
              </w:rPr>
              <w:t>10 584</w:t>
            </w:r>
          </w:p>
        </w:tc>
        <w:tc>
          <w:tcPr>
            <w:tcW w:w="1530" w:type="dxa"/>
            <w:tcBorders>
              <w:top w:val="nil"/>
              <w:left w:val="nil"/>
              <w:bottom w:val="single" w:sz="4" w:space="0" w:color="auto"/>
              <w:right w:val="single" w:sz="4" w:space="0" w:color="auto"/>
            </w:tcBorders>
            <w:noWrap/>
          </w:tcPr>
          <w:p w14:paraId="01680AA9" w14:textId="14B813EE" w:rsidR="00344718" w:rsidRPr="006B0C18" w:rsidRDefault="00344718" w:rsidP="00344718">
            <w:pPr>
              <w:jc w:val="right"/>
              <w:rPr>
                <w:b/>
                <w:bCs/>
                <w:color w:val="000000"/>
                <w:sz w:val="17"/>
                <w:szCs w:val="17"/>
                <w:lang w:val="fr-FR" w:eastAsia="en-CA"/>
              </w:rPr>
            </w:pPr>
            <w:r>
              <w:rPr>
                <w:b/>
                <w:bCs/>
                <w:sz w:val="17"/>
                <w:szCs w:val="17"/>
                <w:lang w:val="fr-FR"/>
              </w:rPr>
              <w:t>290 318</w:t>
            </w:r>
          </w:p>
        </w:tc>
        <w:tc>
          <w:tcPr>
            <w:tcW w:w="1350" w:type="dxa"/>
            <w:tcBorders>
              <w:top w:val="nil"/>
              <w:left w:val="nil"/>
              <w:bottom w:val="single" w:sz="4" w:space="0" w:color="auto"/>
              <w:right w:val="single" w:sz="4" w:space="0" w:color="auto"/>
            </w:tcBorders>
            <w:noWrap/>
          </w:tcPr>
          <w:p w14:paraId="0F6DA607" w14:textId="74E1533F" w:rsidR="00344718" w:rsidRPr="006B0C18" w:rsidRDefault="00344718" w:rsidP="00344718">
            <w:pPr>
              <w:jc w:val="right"/>
              <w:rPr>
                <w:b/>
                <w:bCs/>
                <w:color w:val="000000"/>
                <w:sz w:val="17"/>
                <w:szCs w:val="17"/>
                <w:lang w:val="fr-FR" w:eastAsia="en-CA"/>
              </w:rPr>
            </w:pPr>
            <w:r>
              <w:rPr>
                <w:b/>
                <w:bCs/>
                <w:sz w:val="17"/>
                <w:szCs w:val="17"/>
                <w:lang w:val="fr-FR"/>
              </w:rPr>
              <w:t>310 509</w:t>
            </w:r>
          </w:p>
        </w:tc>
        <w:tc>
          <w:tcPr>
            <w:tcW w:w="1350" w:type="dxa"/>
            <w:tcBorders>
              <w:top w:val="nil"/>
              <w:left w:val="nil"/>
              <w:bottom w:val="single" w:sz="4" w:space="0" w:color="auto"/>
              <w:right w:val="single" w:sz="4" w:space="0" w:color="auto"/>
            </w:tcBorders>
            <w:noWrap/>
          </w:tcPr>
          <w:p w14:paraId="7C870999" w14:textId="0343842A" w:rsidR="00344718" w:rsidRPr="006B0C18" w:rsidRDefault="00344718" w:rsidP="00344718">
            <w:pPr>
              <w:jc w:val="right"/>
              <w:rPr>
                <w:b/>
                <w:bCs/>
                <w:color w:val="000000"/>
                <w:sz w:val="17"/>
                <w:szCs w:val="17"/>
                <w:lang w:val="fr-FR" w:eastAsia="en-CA"/>
              </w:rPr>
            </w:pPr>
            <w:r>
              <w:rPr>
                <w:b/>
                <w:bCs/>
                <w:sz w:val="17"/>
                <w:szCs w:val="17"/>
                <w:lang w:val="fr-FR"/>
              </w:rPr>
              <w:t>19 702</w:t>
            </w:r>
          </w:p>
        </w:tc>
        <w:tc>
          <w:tcPr>
            <w:tcW w:w="1440" w:type="dxa"/>
            <w:tcBorders>
              <w:top w:val="nil"/>
              <w:left w:val="nil"/>
              <w:bottom w:val="single" w:sz="4" w:space="0" w:color="auto"/>
              <w:right w:val="single" w:sz="4" w:space="0" w:color="auto"/>
            </w:tcBorders>
            <w:noWrap/>
          </w:tcPr>
          <w:p w14:paraId="63881A9E" w14:textId="5031DE81" w:rsidR="00344718" w:rsidRPr="006B0C18" w:rsidRDefault="00344718" w:rsidP="00344718">
            <w:pPr>
              <w:jc w:val="right"/>
              <w:rPr>
                <w:b/>
                <w:bCs/>
                <w:color w:val="000000"/>
                <w:sz w:val="17"/>
                <w:szCs w:val="17"/>
                <w:lang w:val="fr-FR" w:eastAsia="en-CA"/>
              </w:rPr>
            </w:pPr>
            <w:r>
              <w:rPr>
                <w:b/>
                <w:bCs/>
                <w:sz w:val="17"/>
                <w:szCs w:val="17"/>
                <w:lang w:val="fr-FR"/>
              </w:rPr>
              <w:t>1 086</w:t>
            </w:r>
          </w:p>
        </w:tc>
        <w:tc>
          <w:tcPr>
            <w:tcW w:w="1080" w:type="dxa"/>
            <w:tcBorders>
              <w:top w:val="nil"/>
              <w:left w:val="nil"/>
              <w:bottom w:val="single" w:sz="4" w:space="0" w:color="auto"/>
              <w:right w:val="single" w:sz="4" w:space="0" w:color="auto"/>
            </w:tcBorders>
            <w:noWrap/>
          </w:tcPr>
          <w:p w14:paraId="77721482" w14:textId="2431CAE4" w:rsidR="00344718" w:rsidRPr="006B0C18" w:rsidRDefault="00344718" w:rsidP="00344718">
            <w:pPr>
              <w:jc w:val="right"/>
              <w:rPr>
                <w:b/>
                <w:bCs/>
                <w:color w:val="000000"/>
                <w:sz w:val="17"/>
                <w:szCs w:val="17"/>
                <w:lang w:val="fr-FR" w:eastAsia="en-CA"/>
              </w:rPr>
            </w:pPr>
            <w:r>
              <w:rPr>
                <w:b/>
                <w:bCs/>
                <w:sz w:val="17"/>
                <w:szCs w:val="17"/>
                <w:lang w:val="fr-FR"/>
              </w:rPr>
              <w:t>199 557</w:t>
            </w:r>
          </w:p>
        </w:tc>
        <w:tc>
          <w:tcPr>
            <w:tcW w:w="990" w:type="dxa"/>
            <w:tcBorders>
              <w:top w:val="nil"/>
              <w:left w:val="nil"/>
              <w:bottom w:val="single" w:sz="4" w:space="0" w:color="auto"/>
              <w:right w:val="single" w:sz="4" w:space="0" w:color="auto"/>
            </w:tcBorders>
            <w:noWrap/>
          </w:tcPr>
          <w:p w14:paraId="6E89BBC1" w14:textId="25415702" w:rsidR="00344718" w:rsidRPr="006B0C18" w:rsidRDefault="00344718" w:rsidP="00344718">
            <w:pPr>
              <w:jc w:val="right"/>
              <w:rPr>
                <w:b/>
                <w:bCs/>
                <w:color w:val="000000"/>
                <w:sz w:val="17"/>
                <w:szCs w:val="17"/>
                <w:lang w:val="fr-FR" w:eastAsia="en-CA"/>
              </w:rPr>
            </w:pPr>
            <w:r>
              <w:rPr>
                <w:b/>
                <w:bCs/>
                <w:sz w:val="17"/>
                <w:szCs w:val="17"/>
                <w:lang w:val="fr-FR"/>
              </w:rPr>
              <w:t>199 585</w:t>
            </w:r>
          </w:p>
        </w:tc>
        <w:tc>
          <w:tcPr>
            <w:tcW w:w="1260" w:type="dxa"/>
            <w:tcBorders>
              <w:top w:val="nil"/>
              <w:left w:val="nil"/>
              <w:bottom w:val="single" w:sz="4" w:space="0" w:color="auto"/>
              <w:right w:val="single" w:sz="4" w:space="0" w:color="auto"/>
            </w:tcBorders>
            <w:noWrap/>
          </w:tcPr>
          <w:p w14:paraId="34F4D71F" w14:textId="56B3BAD2" w:rsidR="00344718" w:rsidRPr="006B0C18" w:rsidRDefault="00344718" w:rsidP="00344718">
            <w:pPr>
              <w:jc w:val="right"/>
              <w:rPr>
                <w:b/>
                <w:bCs/>
                <w:color w:val="000000"/>
                <w:sz w:val="17"/>
                <w:szCs w:val="17"/>
                <w:lang w:val="fr-FR" w:eastAsia="en-CA"/>
              </w:rPr>
            </w:pPr>
            <w:r>
              <w:rPr>
                <w:b/>
                <w:bCs/>
                <w:sz w:val="17"/>
                <w:szCs w:val="17"/>
                <w:lang w:val="fr-FR"/>
              </w:rPr>
              <w:t>4 489 718 894</w:t>
            </w:r>
          </w:p>
        </w:tc>
      </w:tr>
    </w:tbl>
    <w:p w14:paraId="15B48C53" w14:textId="5C809508" w:rsidR="00FF2809" w:rsidRPr="006B0C18" w:rsidRDefault="00FF2809" w:rsidP="00974B5B">
      <w:pPr>
        <w:ind w:left="-990" w:right="-1170" w:hanging="270"/>
        <w:rPr>
          <w:sz w:val="17"/>
          <w:szCs w:val="17"/>
          <w:lang w:val="fr-FR"/>
        </w:rPr>
      </w:pPr>
      <w:r>
        <w:rPr>
          <w:sz w:val="17"/>
          <w:szCs w:val="17"/>
          <w:lang w:val="fr-FR"/>
        </w:rPr>
        <w:t>* Ne comprend pas les projets annulés et transférés, mais comprend les coûts d’appui d'agence, s’il y a lieu.</w:t>
      </w:r>
    </w:p>
    <w:p w14:paraId="4A780E04" w14:textId="4483F089" w:rsidR="00FF2809" w:rsidRPr="006B0C18" w:rsidRDefault="00FF2809" w:rsidP="00974B5B">
      <w:pPr>
        <w:ind w:left="-990" w:right="-1170" w:hanging="270"/>
        <w:rPr>
          <w:sz w:val="17"/>
          <w:szCs w:val="17"/>
          <w:lang w:val="fr-FR"/>
        </w:rPr>
      </w:pPr>
      <w:r>
        <w:rPr>
          <w:sz w:val="17"/>
          <w:szCs w:val="17"/>
          <w:lang w:val="fr-FR"/>
        </w:rPr>
        <w:t>** 37 778 524 tonnes d’équivalent-dioxyde de carbone approuvées pour une réduction progressive et 1 606 380 tonnes d’équivalent-dioxyde de carbone progressivement éliminées.</w:t>
      </w:r>
    </w:p>
    <w:p w14:paraId="7ABE7C54" w14:textId="77777777" w:rsidR="00FF2809" w:rsidRPr="006B0C18" w:rsidRDefault="00FF2809" w:rsidP="00FF2809">
      <w:pPr>
        <w:ind w:left="1276"/>
        <w:rPr>
          <w:sz w:val="20"/>
          <w:szCs w:val="20"/>
          <w:lang w:val="fr-FR"/>
        </w:rPr>
      </w:pPr>
    </w:p>
    <w:p w14:paraId="69FC4171" w14:textId="2B9D8B66" w:rsidR="00CA1473" w:rsidRPr="006B0C18" w:rsidRDefault="00CA1473" w:rsidP="003D2367">
      <w:pPr>
        <w:pStyle w:val="Heading3"/>
        <w:numPr>
          <w:ilvl w:val="2"/>
          <w:numId w:val="16"/>
        </w:numPr>
        <w:ind w:left="1276" w:firstLine="0"/>
        <w:rPr>
          <w:sz w:val="20"/>
          <w:szCs w:val="20"/>
          <w:lang w:val="fr-FR"/>
        </w:rPr>
      </w:pPr>
      <w:r>
        <w:rPr>
          <w:sz w:val="20"/>
          <w:szCs w:val="20"/>
          <w:lang w:val="fr-FR"/>
        </w:rPr>
        <w:t xml:space="preserve">Le financement total approuvé par le Comité exécutif depuis 1991 pour parvenir à l’élimination progressive des SAO et à la réduction progressive des HFC s'élève à 4 489 718 894 $US, dont 470 639 717 $US de frais d'appui d'agence (à l’exclusion des projets annulés et transférés). Le </w:t>
      </w:r>
      <w:r>
        <w:rPr>
          <w:sz w:val="20"/>
          <w:szCs w:val="20"/>
          <w:lang w:val="fr-FR"/>
        </w:rPr>
        <w:lastRenderedPageBreak/>
        <w:t>tableau 3 ci-dessous présente les montants alloués et déboursés par les agences bilatérales et chacune des agences d’exécution pour le total des fonds approuvés pour le projet.</w:t>
      </w:r>
    </w:p>
    <w:p w14:paraId="412A28C0" w14:textId="7719EAC0" w:rsidR="00FF2809" w:rsidRPr="006B0C18" w:rsidRDefault="003D2367" w:rsidP="00FF2809">
      <w:pPr>
        <w:keepNext/>
        <w:ind w:left="709" w:firstLine="539"/>
        <w:rPr>
          <w:sz w:val="20"/>
          <w:szCs w:val="20"/>
          <w:lang w:val="fr-FR"/>
        </w:rPr>
      </w:pPr>
      <w:r>
        <w:rPr>
          <w:sz w:val="20"/>
          <w:szCs w:val="20"/>
          <w:lang w:val="fr-FR"/>
        </w:rPr>
        <w:t>Tableau 3.</w:t>
      </w:r>
    </w:p>
    <w:p w14:paraId="096A2EF0" w14:textId="77777777" w:rsidR="00FF2809" w:rsidRPr="006B0C18" w:rsidRDefault="00FF2809" w:rsidP="00FF2809">
      <w:pPr>
        <w:keepNext/>
        <w:ind w:left="709" w:firstLine="539"/>
        <w:rPr>
          <w:b/>
          <w:bCs/>
          <w:sz w:val="20"/>
          <w:szCs w:val="20"/>
          <w:lang w:val="fr-FR"/>
        </w:rPr>
      </w:pPr>
      <w:r>
        <w:rPr>
          <w:b/>
          <w:bCs/>
          <w:sz w:val="20"/>
          <w:szCs w:val="20"/>
          <w:lang w:val="fr-FR"/>
        </w:rPr>
        <w:t>Fonds approuvés et décaissés par l'agence depuis la création du Fonds multilatéral</w:t>
      </w:r>
    </w:p>
    <w:tbl>
      <w:tblPr>
        <w:tblW w:w="4321" w:type="pct"/>
        <w:tblInd w:w="1271" w:type="dxa"/>
        <w:tblLayout w:type="fixed"/>
        <w:tblLook w:val="04A0" w:firstRow="1" w:lastRow="0" w:firstColumn="1" w:lastColumn="0" w:noHBand="0" w:noVBand="1"/>
      </w:tblPr>
      <w:tblGrid>
        <w:gridCol w:w="1620"/>
        <w:gridCol w:w="1926"/>
        <w:gridCol w:w="2267"/>
        <w:gridCol w:w="2267"/>
      </w:tblGrid>
      <w:tr w:rsidR="009A0A67" w:rsidRPr="006B0C18" w14:paraId="007D1CB5" w14:textId="77777777" w:rsidTr="00A55F03">
        <w:trPr>
          <w:trHeight w:val="292"/>
        </w:trPr>
        <w:tc>
          <w:tcPr>
            <w:tcW w:w="1002" w:type="pct"/>
            <w:tcBorders>
              <w:top w:val="single" w:sz="4" w:space="0" w:color="auto"/>
              <w:left w:val="single" w:sz="4" w:space="0" w:color="auto"/>
              <w:bottom w:val="single" w:sz="4" w:space="0" w:color="auto"/>
              <w:right w:val="single" w:sz="4" w:space="0" w:color="auto"/>
            </w:tcBorders>
            <w:noWrap/>
            <w:hideMark/>
          </w:tcPr>
          <w:p w14:paraId="499750DA" w14:textId="77777777" w:rsidR="00FF2809" w:rsidRPr="006B0C18" w:rsidRDefault="00FF2809" w:rsidP="005D7E27">
            <w:pPr>
              <w:keepNext/>
              <w:jc w:val="left"/>
              <w:rPr>
                <w:b/>
                <w:bCs/>
                <w:color w:val="000000"/>
                <w:sz w:val="20"/>
                <w:szCs w:val="20"/>
                <w:lang w:val="fr-FR" w:eastAsia="zh-CN"/>
              </w:rPr>
            </w:pPr>
            <w:r>
              <w:rPr>
                <w:b/>
                <w:bCs/>
                <w:color w:val="000000"/>
                <w:sz w:val="20"/>
                <w:szCs w:val="20"/>
                <w:lang w:val="fr-FR" w:eastAsia="zh-CN"/>
              </w:rPr>
              <w:t>Agence</w:t>
            </w:r>
          </w:p>
        </w:tc>
        <w:tc>
          <w:tcPr>
            <w:tcW w:w="1192" w:type="pct"/>
            <w:tcBorders>
              <w:top w:val="single" w:sz="4" w:space="0" w:color="auto"/>
              <w:left w:val="nil"/>
              <w:bottom w:val="single" w:sz="4" w:space="0" w:color="auto"/>
              <w:right w:val="single" w:sz="4" w:space="0" w:color="auto"/>
            </w:tcBorders>
            <w:noWrap/>
            <w:hideMark/>
          </w:tcPr>
          <w:p w14:paraId="5520B317" w14:textId="77777777" w:rsidR="00AE6018" w:rsidRPr="006B0C18" w:rsidRDefault="00FF2809" w:rsidP="005D7E27">
            <w:pPr>
              <w:keepNext/>
              <w:jc w:val="center"/>
              <w:rPr>
                <w:b/>
                <w:bCs/>
                <w:color w:val="000000"/>
                <w:sz w:val="20"/>
                <w:szCs w:val="20"/>
                <w:lang w:val="fr-FR" w:eastAsia="zh-CN"/>
              </w:rPr>
            </w:pPr>
            <w:r>
              <w:rPr>
                <w:b/>
                <w:bCs/>
                <w:color w:val="000000"/>
                <w:sz w:val="20"/>
                <w:szCs w:val="20"/>
                <w:lang w:val="fr-FR" w:eastAsia="zh-CN"/>
              </w:rPr>
              <w:t xml:space="preserve">Fonds approuvés* </w:t>
            </w:r>
          </w:p>
          <w:p w14:paraId="4D05A6B8" w14:textId="55E0E3B3" w:rsidR="00FF2809" w:rsidRPr="006B0C18" w:rsidRDefault="00FF2809" w:rsidP="005D7E27">
            <w:pPr>
              <w:keepNext/>
              <w:jc w:val="center"/>
              <w:rPr>
                <w:b/>
                <w:bCs/>
                <w:color w:val="000000"/>
                <w:sz w:val="20"/>
                <w:szCs w:val="20"/>
                <w:lang w:val="fr-FR" w:eastAsia="zh-CN"/>
              </w:rPr>
            </w:pPr>
            <w:r>
              <w:rPr>
                <w:b/>
                <w:bCs/>
                <w:color w:val="000000"/>
                <w:sz w:val="20"/>
                <w:szCs w:val="20"/>
                <w:lang w:val="fr-FR" w:eastAsia="zh-CN"/>
              </w:rPr>
              <w:t>($US)</w:t>
            </w:r>
          </w:p>
        </w:tc>
        <w:tc>
          <w:tcPr>
            <w:tcW w:w="1403" w:type="pct"/>
            <w:tcBorders>
              <w:top w:val="single" w:sz="4" w:space="0" w:color="auto"/>
              <w:left w:val="nil"/>
              <w:bottom w:val="single" w:sz="4" w:space="0" w:color="auto"/>
              <w:right w:val="single" w:sz="4" w:space="0" w:color="auto"/>
            </w:tcBorders>
            <w:hideMark/>
          </w:tcPr>
          <w:p w14:paraId="6CD9AD6B" w14:textId="4983870D" w:rsidR="00FF2809" w:rsidRPr="006B0C18" w:rsidRDefault="00FF2809" w:rsidP="005D7E27">
            <w:pPr>
              <w:keepNext/>
              <w:jc w:val="center"/>
              <w:rPr>
                <w:b/>
                <w:bCs/>
                <w:color w:val="000000"/>
                <w:sz w:val="20"/>
                <w:szCs w:val="20"/>
                <w:lang w:val="fr-FR" w:eastAsia="zh-CN"/>
              </w:rPr>
            </w:pPr>
            <w:r>
              <w:rPr>
                <w:b/>
                <w:bCs/>
                <w:color w:val="000000"/>
                <w:sz w:val="20"/>
                <w:szCs w:val="20"/>
                <w:lang w:val="fr-FR" w:eastAsia="zh-CN"/>
              </w:rPr>
              <w:t>Coûts d’appui d'agence* ($US)</w:t>
            </w:r>
          </w:p>
        </w:tc>
        <w:tc>
          <w:tcPr>
            <w:tcW w:w="1403" w:type="pct"/>
            <w:tcBorders>
              <w:top w:val="single" w:sz="4" w:space="0" w:color="auto"/>
              <w:left w:val="nil"/>
              <w:bottom w:val="single" w:sz="4" w:space="0" w:color="auto"/>
              <w:right w:val="single" w:sz="4" w:space="0" w:color="auto"/>
            </w:tcBorders>
            <w:noWrap/>
            <w:hideMark/>
          </w:tcPr>
          <w:p w14:paraId="75DED422" w14:textId="2F8C2C09" w:rsidR="00FF2809" w:rsidRPr="006B0C18" w:rsidRDefault="00FF2809" w:rsidP="005D7E27">
            <w:pPr>
              <w:keepNext/>
              <w:jc w:val="center"/>
              <w:rPr>
                <w:b/>
                <w:bCs/>
                <w:color w:val="000000"/>
                <w:sz w:val="20"/>
                <w:szCs w:val="20"/>
                <w:lang w:val="fr-FR" w:eastAsia="zh-CN"/>
              </w:rPr>
            </w:pPr>
            <w:r>
              <w:rPr>
                <w:b/>
                <w:bCs/>
                <w:color w:val="000000"/>
                <w:sz w:val="20"/>
                <w:szCs w:val="20"/>
                <w:lang w:val="fr-FR" w:eastAsia="zh-CN"/>
              </w:rPr>
              <w:t>Sommes décaissées** ($US)</w:t>
            </w:r>
          </w:p>
        </w:tc>
      </w:tr>
      <w:tr w:rsidR="004F4AEB" w:rsidRPr="006B0C18" w14:paraId="282E52EC" w14:textId="77777777" w:rsidTr="005D7E27">
        <w:trPr>
          <w:trHeight w:val="80"/>
        </w:trPr>
        <w:tc>
          <w:tcPr>
            <w:tcW w:w="1002" w:type="pct"/>
            <w:tcBorders>
              <w:top w:val="nil"/>
              <w:left w:val="single" w:sz="4" w:space="0" w:color="auto"/>
              <w:bottom w:val="single" w:sz="4" w:space="0" w:color="auto"/>
              <w:right w:val="single" w:sz="4" w:space="0" w:color="auto"/>
            </w:tcBorders>
            <w:noWrap/>
            <w:vAlign w:val="bottom"/>
            <w:hideMark/>
          </w:tcPr>
          <w:p w14:paraId="5AC30513" w14:textId="62E57620" w:rsidR="004F4AEB" w:rsidRPr="006B0C18" w:rsidRDefault="004F4AEB" w:rsidP="004F4AEB">
            <w:pPr>
              <w:keepNext/>
              <w:jc w:val="left"/>
              <w:rPr>
                <w:color w:val="000000"/>
                <w:sz w:val="20"/>
                <w:szCs w:val="20"/>
                <w:lang w:val="fr-FR" w:eastAsia="zh-CN"/>
              </w:rPr>
            </w:pPr>
            <w:r>
              <w:rPr>
                <w:color w:val="000000"/>
                <w:sz w:val="20"/>
                <w:szCs w:val="20"/>
                <w:lang w:val="fr-FR"/>
              </w:rPr>
              <w:t>Bilatérales</w:t>
            </w:r>
          </w:p>
        </w:tc>
        <w:tc>
          <w:tcPr>
            <w:tcW w:w="1192" w:type="pct"/>
            <w:tcBorders>
              <w:top w:val="nil"/>
              <w:left w:val="nil"/>
              <w:bottom w:val="single" w:sz="4" w:space="0" w:color="auto"/>
              <w:right w:val="single" w:sz="4" w:space="0" w:color="auto"/>
            </w:tcBorders>
            <w:noWrap/>
            <w:vAlign w:val="bottom"/>
            <w:hideMark/>
          </w:tcPr>
          <w:p w14:paraId="06A68206" w14:textId="28BA4D7B" w:rsidR="004F4AEB" w:rsidRPr="006B0C18" w:rsidRDefault="004F4AEB" w:rsidP="004F4AEB">
            <w:pPr>
              <w:keepNext/>
              <w:jc w:val="right"/>
              <w:rPr>
                <w:i/>
                <w:iCs/>
                <w:color w:val="000000"/>
                <w:sz w:val="20"/>
                <w:szCs w:val="20"/>
                <w:lang w:val="fr-FR" w:eastAsia="zh-CN"/>
              </w:rPr>
            </w:pPr>
            <w:r>
              <w:rPr>
                <w:color w:val="000000"/>
                <w:sz w:val="20"/>
                <w:szCs w:val="20"/>
                <w:lang w:val="fr-FR" w:eastAsia="zh-CN"/>
              </w:rPr>
              <w:t>186 007 889</w:t>
            </w:r>
          </w:p>
        </w:tc>
        <w:tc>
          <w:tcPr>
            <w:tcW w:w="1403" w:type="pct"/>
            <w:tcBorders>
              <w:top w:val="nil"/>
              <w:left w:val="nil"/>
              <w:bottom w:val="single" w:sz="4" w:space="0" w:color="auto"/>
              <w:right w:val="single" w:sz="4" w:space="0" w:color="auto"/>
            </w:tcBorders>
            <w:noWrap/>
            <w:vAlign w:val="bottom"/>
            <w:hideMark/>
          </w:tcPr>
          <w:p w14:paraId="3CD6D022" w14:textId="0E8A8EAE" w:rsidR="004F4AEB" w:rsidRPr="006B0C18" w:rsidRDefault="004F4AEB" w:rsidP="004F4AEB">
            <w:pPr>
              <w:keepNext/>
              <w:jc w:val="right"/>
              <w:rPr>
                <w:i/>
                <w:iCs/>
                <w:color w:val="000000"/>
                <w:sz w:val="20"/>
                <w:szCs w:val="20"/>
                <w:lang w:val="fr-FR" w:eastAsia="zh-CN"/>
              </w:rPr>
            </w:pPr>
            <w:r>
              <w:rPr>
                <w:color w:val="000000"/>
                <w:sz w:val="20"/>
                <w:szCs w:val="20"/>
                <w:lang w:val="fr-FR" w:eastAsia="zh-CN"/>
              </w:rPr>
              <w:t>18 364 340</w:t>
            </w:r>
          </w:p>
        </w:tc>
        <w:tc>
          <w:tcPr>
            <w:tcW w:w="1403" w:type="pct"/>
            <w:tcBorders>
              <w:top w:val="nil"/>
              <w:left w:val="nil"/>
              <w:bottom w:val="single" w:sz="4" w:space="0" w:color="auto"/>
              <w:right w:val="single" w:sz="4" w:space="0" w:color="auto"/>
            </w:tcBorders>
            <w:noWrap/>
            <w:vAlign w:val="bottom"/>
          </w:tcPr>
          <w:p w14:paraId="17FB8BC9" w14:textId="611B3F4A" w:rsidR="004F4AEB" w:rsidRPr="006B0C18" w:rsidRDefault="004F4AEB" w:rsidP="004F4AEB">
            <w:pPr>
              <w:keepNext/>
              <w:jc w:val="right"/>
              <w:rPr>
                <w:sz w:val="20"/>
                <w:szCs w:val="20"/>
                <w:lang w:val="fr-FR"/>
              </w:rPr>
            </w:pPr>
            <w:r>
              <w:rPr>
                <w:color w:val="000000"/>
                <w:sz w:val="20"/>
                <w:szCs w:val="20"/>
                <w:lang w:val="fr-FR" w:eastAsia="zh-CN"/>
              </w:rPr>
              <w:t>178 092 744</w:t>
            </w:r>
          </w:p>
        </w:tc>
      </w:tr>
      <w:tr w:rsidR="004F4AEB" w:rsidRPr="006B0C18" w14:paraId="16FFA2CE" w14:textId="77777777" w:rsidTr="005D7E27">
        <w:trPr>
          <w:trHeight w:val="107"/>
        </w:trPr>
        <w:tc>
          <w:tcPr>
            <w:tcW w:w="1002" w:type="pct"/>
            <w:tcBorders>
              <w:top w:val="nil"/>
              <w:left w:val="single" w:sz="4" w:space="0" w:color="auto"/>
              <w:bottom w:val="single" w:sz="4" w:space="0" w:color="auto"/>
              <w:right w:val="single" w:sz="4" w:space="0" w:color="auto"/>
            </w:tcBorders>
            <w:noWrap/>
            <w:vAlign w:val="bottom"/>
            <w:hideMark/>
          </w:tcPr>
          <w:p w14:paraId="142FE45B" w14:textId="5F9B5845" w:rsidR="004F4AEB" w:rsidRPr="006B0C18" w:rsidRDefault="004F4AEB" w:rsidP="004F4AEB">
            <w:pPr>
              <w:keepNext/>
              <w:jc w:val="left"/>
              <w:rPr>
                <w:color w:val="000000"/>
                <w:sz w:val="20"/>
                <w:szCs w:val="20"/>
                <w:lang w:val="fr-FR" w:eastAsia="zh-CN"/>
              </w:rPr>
            </w:pPr>
            <w:r>
              <w:rPr>
                <w:color w:val="000000"/>
                <w:sz w:val="20"/>
                <w:szCs w:val="20"/>
                <w:lang w:val="fr-FR"/>
              </w:rPr>
              <w:t>PNUD</w:t>
            </w:r>
          </w:p>
        </w:tc>
        <w:tc>
          <w:tcPr>
            <w:tcW w:w="1192" w:type="pct"/>
            <w:tcBorders>
              <w:top w:val="nil"/>
              <w:left w:val="nil"/>
              <w:bottom w:val="single" w:sz="4" w:space="0" w:color="auto"/>
              <w:right w:val="single" w:sz="4" w:space="0" w:color="auto"/>
            </w:tcBorders>
            <w:noWrap/>
            <w:vAlign w:val="bottom"/>
            <w:hideMark/>
          </w:tcPr>
          <w:p w14:paraId="0C582884" w14:textId="50CDEE5C" w:rsidR="004F4AEB" w:rsidRPr="006B0C18" w:rsidRDefault="004F4AEB" w:rsidP="004F4AEB">
            <w:pPr>
              <w:keepNext/>
              <w:jc w:val="right"/>
              <w:rPr>
                <w:i/>
                <w:iCs/>
                <w:color w:val="000000"/>
                <w:sz w:val="20"/>
                <w:szCs w:val="20"/>
                <w:lang w:val="fr-FR" w:eastAsia="zh-CN"/>
              </w:rPr>
            </w:pPr>
            <w:r>
              <w:rPr>
                <w:color w:val="000000"/>
                <w:sz w:val="20"/>
                <w:szCs w:val="20"/>
                <w:lang w:val="fr-FR"/>
              </w:rPr>
              <w:t>1 029 007 660</w:t>
            </w:r>
          </w:p>
        </w:tc>
        <w:tc>
          <w:tcPr>
            <w:tcW w:w="1403" w:type="pct"/>
            <w:tcBorders>
              <w:top w:val="nil"/>
              <w:left w:val="nil"/>
              <w:bottom w:val="single" w:sz="4" w:space="0" w:color="auto"/>
              <w:right w:val="single" w:sz="4" w:space="0" w:color="auto"/>
            </w:tcBorders>
            <w:noWrap/>
            <w:vAlign w:val="bottom"/>
            <w:hideMark/>
          </w:tcPr>
          <w:p w14:paraId="2D16FEEF" w14:textId="76FC92BF" w:rsidR="004F4AEB" w:rsidRPr="006B0C18" w:rsidRDefault="004F4AEB" w:rsidP="004F4AEB">
            <w:pPr>
              <w:keepNext/>
              <w:jc w:val="right"/>
              <w:rPr>
                <w:i/>
                <w:iCs/>
                <w:color w:val="000000"/>
                <w:sz w:val="20"/>
                <w:szCs w:val="20"/>
                <w:lang w:val="fr-FR" w:eastAsia="zh-CN"/>
              </w:rPr>
            </w:pPr>
            <w:r>
              <w:rPr>
                <w:color w:val="000000"/>
                <w:sz w:val="20"/>
                <w:szCs w:val="20"/>
                <w:lang w:val="fr-FR"/>
              </w:rPr>
              <w:t>140 421 986</w:t>
            </w:r>
          </w:p>
        </w:tc>
        <w:tc>
          <w:tcPr>
            <w:tcW w:w="1403" w:type="pct"/>
            <w:tcBorders>
              <w:top w:val="nil"/>
              <w:left w:val="nil"/>
              <w:bottom w:val="single" w:sz="4" w:space="0" w:color="auto"/>
              <w:right w:val="single" w:sz="4" w:space="0" w:color="auto"/>
            </w:tcBorders>
            <w:noWrap/>
            <w:vAlign w:val="bottom"/>
          </w:tcPr>
          <w:p w14:paraId="663EEC64" w14:textId="781A616E" w:rsidR="004F4AEB" w:rsidRPr="006B0C18" w:rsidRDefault="004F4AEB" w:rsidP="004F4AEB">
            <w:pPr>
              <w:keepNext/>
              <w:jc w:val="right"/>
              <w:rPr>
                <w:sz w:val="20"/>
                <w:szCs w:val="20"/>
                <w:lang w:val="fr-FR"/>
              </w:rPr>
            </w:pPr>
            <w:r>
              <w:rPr>
                <w:color w:val="000000"/>
                <w:sz w:val="20"/>
                <w:szCs w:val="20"/>
                <w:lang w:val="fr-FR"/>
              </w:rPr>
              <w:t>1 006 760 239</w:t>
            </w:r>
          </w:p>
        </w:tc>
      </w:tr>
      <w:tr w:rsidR="004F4AEB" w:rsidRPr="006B0C18" w14:paraId="6435E00B"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68157095" w14:textId="76B01E2D" w:rsidR="004F4AEB" w:rsidRPr="006B0C18" w:rsidRDefault="004F4AEB" w:rsidP="004F4AEB">
            <w:pPr>
              <w:jc w:val="left"/>
              <w:rPr>
                <w:color w:val="000000"/>
                <w:sz w:val="20"/>
                <w:szCs w:val="20"/>
                <w:lang w:val="fr-FR" w:eastAsia="zh-CN"/>
              </w:rPr>
            </w:pPr>
            <w:r>
              <w:rPr>
                <w:color w:val="000000"/>
                <w:sz w:val="20"/>
                <w:szCs w:val="20"/>
                <w:lang w:val="fr-FR"/>
              </w:rPr>
              <w:t>PNUE</w:t>
            </w:r>
          </w:p>
        </w:tc>
        <w:tc>
          <w:tcPr>
            <w:tcW w:w="1192" w:type="pct"/>
            <w:tcBorders>
              <w:top w:val="nil"/>
              <w:left w:val="nil"/>
              <w:bottom w:val="single" w:sz="4" w:space="0" w:color="auto"/>
              <w:right w:val="single" w:sz="4" w:space="0" w:color="auto"/>
            </w:tcBorders>
            <w:noWrap/>
            <w:vAlign w:val="bottom"/>
            <w:hideMark/>
          </w:tcPr>
          <w:p w14:paraId="198CE35E" w14:textId="77D5A835" w:rsidR="004F4AEB" w:rsidRPr="006B0C18" w:rsidRDefault="004F4AEB" w:rsidP="004F4AEB">
            <w:pPr>
              <w:jc w:val="right"/>
              <w:rPr>
                <w:i/>
                <w:iCs/>
                <w:color w:val="000000"/>
                <w:sz w:val="20"/>
                <w:szCs w:val="20"/>
                <w:lang w:val="fr-FR" w:eastAsia="zh-CN"/>
              </w:rPr>
            </w:pPr>
            <w:r>
              <w:rPr>
                <w:color w:val="000000"/>
                <w:sz w:val="20"/>
                <w:szCs w:val="20"/>
                <w:lang w:val="fr-FR"/>
              </w:rPr>
              <w:t>489 196 550</w:t>
            </w:r>
          </w:p>
        </w:tc>
        <w:tc>
          <w:tcPr>
            <w:tcW w:w="1403" w:type="pct"/>
            <w:tcBorders>
              <w:top w:val="nil"/>
              <w:left w:val="nil"/>
              <w:bottom w:val="single" w:sz="4" w:space="0" w:color="auto"/>
              <w:right w:val="single" w:sz="4" w:space="0" w:color="auto"/>
            </w:tcBorders>
            <w:noWrap/>
            <w:vAlign w:val="bottom"/>
            <w:hideMark/>
          </w:tcPr>
          <w:p w14:paraId="4CFB3B74" w14:textId="355D9C76" w:rsidR="004F4AEB" w:rsidRPr="006B0C18" w:rsidRDefault="004F4AEB" w:rsidP="004F4AEB">
            <w:pPr>
              <w:jc w:val="right"/>
              <w:rPr>
                <w:i/>
                <w:iCs/>
                <w:color w:val="000000"/>
                <w:sz w:val="20"/>
                <w:szCs w:val="20"/>
                <w:lang w:val="fr-FR" w:eastAsia="zh-CN"/>
              </w:rPr>
            </w:pPr>
            <w:r>
              <w:rPr>
                <w:color w:val="000000"/>
                <w:sz w:val="20"/>
                <w:szCs w:val="20"/>
                <w:lang w:val="fr-FR"/>
              </w:rPr>
              <w:t>40 043 894</w:t>
            </w:r>
          </w:p>
        </w:tc>
        <w:tc>
          <w:tcPr>
            <w:tcW w:w="1403" w:type="pct"/>
            <w:tcBorders>
              <w:top w:val="nil"/>
              <w:left w:val="nil"/>
              <w:bottom w:val="single" w:sz="4" w:space="0" w:color="auto"/>
              <w:right w:val="single" w:sz="4" w:space="0" w:color="auto"/>
            </w:tcBorders>
            <w:noWrap/>
            <w:vAlign w:val="bottom"/>
          </w:tcPr>
          <w:p w14:paraId="5D24B4B8" w14:textId="6331FFE6" w:rsidR="004F4AEB" w:rsidRPr="006B0C18" w:rsidRDefault="004F4AEB" w:rsidP="004F4AEB">
            <w:pPr>
              <w:keepNext/>
              <w:jc w:val="right"/>
              <w:rPr>
                <w:sz w:val="20"/>
                <w:szCs w:val="20"/>
                <w:lang w:val="fr-FR"/>
              </w:rPr>
            </w:pPr>
            <w:r>
              <w:rPr>
                <w:color w:val="000000"/>
                <w:sz w:val="20"/>
                <w:szCs w:val="20"/>
                <w:lang w:val="fr-FR"/>
              </w:rPr>
              <w:t>420 903 713</w:t>
            </w:r>
          </w:p>
        </w:tc>
      </w:tr>
      <w:tr w:rsidR="004F4AEB" w:rsidRPr="006B0C18" w14:paraId="6BB6B722" w14:textId="77777777" w:rsidTr="005D7E27">
        <w:trPr>
          <w:trHeight w:val="170"/>
        </w:trPr>
        <w:tc>
          <w:tcPr>
            <w:tcW w:w="1002" w:type="pct"/>
            <w:tcBorders>
              <w:top w:val="nil"/>
              <w:left w:val="single" w:sz="4" w:space="0" w:color="auto"/>
              <w:bottom w:val="single" w:sz="4" w:space="0" w:color="auto"/>
              <w:right w:val="single" w:sz="4" w:space="0" w:color="auto"/>
            </w:tcBorders>
            <w:noWrap/>
            <w:vAlign w:val="bottom"/>
            <w:hideMark/>
          </w:tcPr>
          <w:p w14:paraId="01E0E0BD" w14:textId="11CD4AB7" w:rsidR="004F4AEB" w:rsidRPr="006B0C18" w:rsidRDefault="004F4AEB" w:rsidP="004F4AEB">
            <w:pPr>
              <w:jc w:val="left"/>
              <w:rPr>
                <w:color w:val="000000"/>
                <w:sz w:val="20"/>
                <w:szCs w:val="20"/>
                <w:lang w:val="fr-FR" w:eastAsia="zh-CN"/>
              </w:rPr>
            </w:pPr>
            <w:r>
              <w:rPr>
                <w:color w:val="000000"/>
                <w:sz w:val="20"/>
                <w:szCs w:val="20"/>
                <w:lang w:val="fr-FR"/>
              </w:rPr>
              <w:t>ONUDI</w:t>
            </w:r>
          </w:p>
        </w:tc>
        <w:tc>
          <w:tcPr>
            <w:tcW w:w="1192" w:type="pct"/>
            <w:tcBorders>
              <w:top w:val="nil"/>
              <w:left w:val="nil"/>
              <w:bottom w:val="single" w:sz="4" w:space="0" w:color="auto"/>
              <w:right w:val="single" w:sz="4" w:space="0" w:color="auto"/>
            </w:tcBorders>
            <w:noWrap/>
            <w:vAlign w:val="bottom"/>
            <w:hideMark/>
          </w:tcPr>
          <w:p w14:paraId="2B1A64DD" w14:textId="2D948127" w:rsidR="004F4AEB" w:rsidRPr="006B0C18" w:rsidRDefault="004F4AEB" w:rsidP="004F4AEB">
            <w:pPr>
              <w:jc w:val="right"/>
              <w:rPr>
                <w:i/>
                <w:iCs/>
                <w:color w:val="000000"/>
                <w:sz w:val="20"/>
                <w:szCs w:val="20"/>
                <w:lang w:val="fr-FR" w:eastAsia="zh-CN"/>
              </w:rPr>
            </w:pPr>
            <w:r>
              <w:rPr>
                <w:color w:val="000000"/>
                <w:sz w:val="20"/>
                <w:szCs w:val="20"/>
                <w:lang w:val="fr-FR"/>
              </w:rPr>
              <w:t>1 047 809 243</w:t>
            </w:r>
          </w:p>
        </w:tc>
        <w:tc>
          <w:tcPr>
            <w:tcW w:w="1403" w:type="pct"/>
            <w:tcBorders>
              <w:top w:val="nil"/>
              <w:left w:val="nil"/>
              <w:bottom w:val="single" w:sz="4" w:space="0" w:color="auto"/>
              <w:right w:val="single" w:sz="4" w:space="0" w:color="auto"/>
            </w:tcBorders>
            <w:noWrap/>
            <w:vAlign w:val="bottom"/>
            <w:hideMark/>
          </w:tcPr>
          <w:p w14:paraId="2E9C4097" w14:textId="5EAAA47B" w:rsidR="004F4AEB" w:rsidRPr="006B0C18" w:rsidRDefault="004F4AEB" w:rsidP="004F4AEB">
            <w:pPr>
              <w:jc w:val="right"/>
              <w:rPr>
                <w:i/>
                <w:iCs/>
                <w:color w:val="000000"/>
                <w:sz w:val="20"/>
                <w:szCs w:val="20"/>
                <w:lang w:val="fr-FR" w:eastAsia="zh-CN"/>
              </w:rPr>
            </w:pPr>
            <w:r>
              <w:rPr>
                <w:color w:val="000000"/>
                <w:sz w:val="20"/>
                <w:szCs w:val="20"/>
                <w:lang w:val="fr-FR"/>
              </w:rPr>
              <w:t>136 339 199</w:t>
            </w:r>
          </w:p>
        </w:tc>
        <w:tc>
          <w:tcPr>
            <w:tcW w:w="1403" w:type="pct"/>
            <w:tcBorders>
              <w:top w:val="nil"/>
              <w:left w:val="nil"/>
              <w:bottom w:val="single" w:sz="4" w:space="0" w:color="auto"/>
              <w:right w:val="single" w:sz="4" w:space="0" w:color="auto"/>
            </w:tcBorders>
            <w:noWrap/>
            <w:vAlign w:val="bottom"/>
          </w:tcPr>
          <w:p w14:paraId="3B66A437" w14:textId="47A6D68C" w:rsidR="004F4AEB" w:rsidRPr="006B0C18" w:rsidRDefault="004F4AEB" w:rsidP="004F4AEB">
            <w:pPr>
              <w:keepNext/>
              <w:jc w:val="right"/>
              <w:rPr>
                <w:sz w:val="20"/>
                <w:szCs w:val="20"/>
                <w:lang w:val="fr-FR"/>
              </w:rPr>
            </w:pPr>
            <w:r>
              <w:rPr>
                <w:color w:val="000000"/>
                <w:sz w:val="20"/>
                <w:szCs w:val="20"/>
                <w:lang w:val="fr-FR"/>
              </w:rPr>
              <w:t>980 153 720</w:t>
            </w:r>
          </w:p>
        </w:tc>
      </w:tr>
      <w:tr w:rsidR="004F4AEB" w:rsidRPr="006B0C18" w14:paraId="0E01057F" w14:textId="77777777" w:rsidTr="005D7E27">
        <w:trPr>
          <w:trHeight w:val="116"/>
        </w:trPr>
        <w:tc>
          <w:tcPr>
            <w:tcW w:w="1002" w:type="pct"/>
            <w:tcBorders>
              <w:top w:val="nil"/>
              <w:left w:val="single" w:sz="4" w:space="0" w:color="auto"/>
              <w:bottom w:val="single" w:sz="4" w:space="0" w:color="auto"/>
              <w:right w:val="single" w:sz="4" w:space="0" w:color="auto"/>
            </w:tcBorders>
            <w:noWrap/>
            <w:vAlign w:val="bottom"/>
            <w:hideMark/>
          </w:tcPr>
          <w:p w14:paraId="5B9C756E" w14:textId="134795D1" w:rsidR="004F4AEB" w:rsidRPr="006B0C18" w:rsidRDefault="004F4AEB" w:rsidP="004F4AEB">
            <w:pPr>
              <w:jc w:val="left"/>
              <w:rPr>
                <w:color w:val="000000"/>
                <w:sz w:val="20"/>
                <w:szCs w:val="20"/>
                <w:lang w:val="fr-FR" w:eastAsia="zh-CN"/>
              </w:rPr>
            </w:pPr>
            <w:r>
              <w:rPr>
                <w:color w:val="000000"/>
                <w:sz w:val="20"/>
                <w:szCs w:val="20"/>
                <w:lang w:val="fr-FR"/>
              </w:rPr>
              <w:t>Banque mondiale</w:t>
            </w:r>
          </w:p>
        </w:tc>
        <w:tc>
          <w:tcPr>
            <w:tcW w:w="1192" w:type="pct"/>
            <w:tcBorders>
              <w:top w:val="nil"/>
              <w:left w:val="nil"/>
              <w:bottom w:val="single" w:sz="4" w:space="0" w:color="auto"/>
              <w:right w:val="single" w:sz="4" w:space="0" w:color="auto"/>
            </w:tcBorders>
            <w:noWrap/>
            <w:vAlign w:val="bottom"/>
            <w:hideMark/>
          </w:tcPr>
          <w:p w14:paraId="1C51F453" w14:textId="2974B5F2" w:rsidR="004F4AEB" w:rsidRPr="006B0C18" w:rsidRDefault="004F4AEB" w:rsidP="004F4AEB">
            <w:pPr>
              <w:jc w:val="right"/>
              <w:rPr>
                <w:i/>
                <w:iCs/>
                <w:color w:val="000000"/>
                <w:sz w:val="20"/>
                <w:szCs w:val="20"/>
                <w:lang w:val="fr-FR" w:eastAsia="zh-CN"/>
              </w:rPr>
            </w:pPr>
            <w:r>
              <w:rPr>
                <w:color w:val="000000"/>
                <w:sz w:val="20"/>
                <w:szCs w:val="20"/>
                <w:lang w:val="fr-FR"/>
              </w:rPr>
              <w:t>1 267 057 836</w:t>
            </w:r>
          </w:p>
        </w:tc>
        <w:tc>
          <w:tcPr>
            <w:tcW w:w="1403" w:type="pct"/>
            <w:tcBorders>
              <w:top w:val="nil"/>
              <w:left w:val="nil"/>
              <w:bottom w:val="single" w:sz="4" w:space="0" w:color="auto"/>
              <w:right w:val="single" w:sz="4" w:space="0" w:color="auto"/>
            </w:tcBorders>
            <w:noWrap/>
            <w:vAlign w:val="bottom"/>
            <w:hideMark/>
          </w:tcPr>
          <w:p w14:paraId="0F16D532" w14:textId="05BDD8DE" w:rsidR="004F4AEB" w:rsidRPr="006B0C18" w:rsidRDefault="004F4AEB" w:rsidP="004F4AEB">
            <w:pPr>
              <w:jc w:val="right"/>
              <w:rPr>
                <w:i/>
                <w:iCs/>
                <w:color w:val="000000"/>
                <w:sz w:val="20"/>
                <w:szCs w:val="20"/>
                <w:lang w:val="fr-FR" w:eastAsia="zh-CN"/>
              </w:rPr>
            </w:pPr>
            <w:r>
              <w:rPr>
                <w:color w:val="000000"/>
                <w:sz w:val="20"/>
                <w:szCs w:val="20"/>
                <w:lang w:val="fr-FR"/>
              </w:rPr>
              <w:t>135 470 297</w:t>
            </w:r>
          </w:p>
        </w:tc>
        <w:tc>
          <w:tcPr>
            <w:tcW w:w="1403" w:type="pct"/>
            <w:tcBorders>
              <w:top w:val="nil"/>
              <w:left w:val="nil"/>
              <w:bottom w:val="single" w:sz="4" w:space="0" w:color="auto"/>
              <w:right w:val="single" w:sz="4" w:space="0" w:color="auto"/>
            </w:tcBorders>
            <w:noWrap/>
            <w:vAlign w:val="bottom"/>
          </w:tcPr>
          <w:p w14:paraId="79FD85C0" w14:textId="22FB2C31" w:rsidR="004F4AEB" w:rsidRPr="006B0C18" w:rsidRDefault="004F4AEB" w:rsidP="004F4AEB">
            <w:pPr>
              <w:keepNext/>
              <w:jc w:val="right"/>
              <w:rPr>
                <w:sz w:val="20"/>
                <w:szCs w:val="20"/>
                <w:lang w:val="fr-FR"/>
              </w:rPr>
            </w:pPr>
            <w:r>
              <w:rPr>
                <w:color w:val="000000"/>
                <w:sz w:val="20"/>
                <w:szCs w:val="20"/>
                <w:lang w:val="fr-FR"/>
              </w:rPr>
              <w:t>1 315 537 916</w:t>
            </w:r>
          </w:p>
        </w:tc>
      </w:tr>
      <w:tr w:rsidR="004F4AEB" w:rsidRPr="006B0C18" w14:paraId="57402E6E"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583C9E98" w14:textId="2881A023" w:rsidR="004F4AEB" w:rsidRPr="006B0C18" w:rsidRDefault="004F4AEB" w:rsidP="004F4AEB">
            <w:pPr>
              <w:jc w:val="left"/>
              <w:rPr>
                <w:b/>
                <w:bCs/>
                <w:color w:val="000000"/>
                <w:sz w:val="20"/>
                <w:szCs w:val="20"/>
                <w:lang w:val="fr-FR" w:eastAsia="zh-CN"/>
              </w:rPr>
            </w:pPr>
            <w:r>
              <w:rPr>
                <w:b/>
                <w:bCs/>
                <w:color w:val="000000"/>
                <w:sz w:val="20"/>
                <w:szCs w:val="20"/>
                <w:lang w:val="fr-FR"/>
              </w:rPr>
              <w:t>Total</w:t>
            </w:r>
          </w:p>
        </w:tc>
        <w:tc>
          <w:tcPr>
            <w:tcW w:w="1192" w:type="pct"/>
            <w:tcBorders>
              <w:top w:val="nil"/>
              <w:left w:val="nil"/>
              <w:bottom w:val="single" w:sz="4" w:space="0" w:color="auto"/>
              <w:right w:val="single" w:sz="4" w:space="0" w:color="auto"/>
            </w:tcBorders>
            <w:noWrap/>
            <w:vAlign w:val="bottom"/>
            <w:hideMark/>
          </w:tcPr>
          <w:p w14:paraId="289D15AC" w14:textId="7C2F2AAD" w:rsidR="004F4AEB" w:rsidRPr="006B0C18" w:rsidRDefault="004F4AEB" w:rsidP="004F4AEB">
            <w:pPr>
              <w:jc w:val="right"/>
              <w:rPr>
                <w:b/>
                <w:bCs/>
                <w:i/>
                <w:iCs/>
                <w:color w:val="000000"/>
                <w:sz w:val="20"/>
                <w:szCs w:val="20"/>
                <w:lang w:val="fr-FR" w:eastAsia="zh-CN"/>
              </w:rPr>
            </w:pPr>
            <w:r>
              <w:rPr>
                <w:b/>
                <w:bCs/>
                <w:color w:val="000000"/>
                <w:sz w:val="20"/>
                <w:szCs w:val="20"/>
                <w:lang w:val="fr-FR"/>
              </w:rPr>
              <w:t>4 019 079 178</w:t>
            </w:r>
          </w:p>
        </w:tc>
        <w:tc>
          <w:tcPr>
            <w:tcW w:w="1403" w:type="pct"/>
            <w:tcBorders>
              <w:top w:val="nil"/>
              <w:left w:val="nil"/>
              <w:bottom w:val="single" w:sz="4" w:space="0" w:color="auto"/>
              <w:right w:val="single" w:sz="4" w:space="0" w:color="auto"/>
            </w:tcBorders>
            <w:noWrap/>
            <w:vAlign w:val="bottom"/>
            <w:hideMark/>
          </w:tcPr>
          <w:p w14:paraId="2D5522E7" w14:textId="66992C6B" w:rsidR="004F4AEB" w:rsidRPr="006B0C18" w:rsidRDefault="004F4AEB" w:rsidP="004F4AEB">
            <w:pPr>
              <w:jc w:val="right"/>
              <w:rPr>
                <w:b/>
                <w:bCs/>
                <w:i/>
                <w:iCs/>
                <w:color w:val="000000"/>
                <w:sz w:val="20"/>
                <w:szCs w:val="20"/>
                <w:lang w:val="fr-FR" w:eastAsia="zh-CN"/>
              </w:rPr>
            </w:pPr>
            <w:r>
              <w:rPr>
                <w:b/>
                <w:bCs/>
                <w:color w:val="000000"/>
                <w:sz w:val="20"/>
                <w:szCs w:val="20"/>
                <w:lang w:val="fr-FR"/>
              </w:rPr>
              <w:t>470 639 717</w:t>
            </w:r>
          </w:p>
        </w:tc>
        <w:tc>
          <w:tcPr>
            <w:tcW w:w="1403" w:type="pct"/>
            <w:tcBorders>
              <w:top w:val="nil"/>
              <w:left w:val="nil"/>
              <w:bottom w:val="single" w:sz="4" w:space="0" w:color="auto"/>
              <w:right w:val="single" w:sz="4" w:space="0" w:color="auto"/>
            </w:tcBorders>
            <w:noWrap/>
            <w:vAlign w:val="bottom"/>
          </w:tcPr>
          <w:p w14:paraId="3628D355" w14:textId="393BF7E6" w:rsidR="004F4AEB" w:rsidRPr="006B0C18" w:rsidRDefault="004F4AEB" w:rsidP="004F4AEB">
            <w:pPr>
              <w:keepNext/>
              <w:jc w:val="right"/>
              <w:rPr>
                <w:b/>
                <w:bCs/>
                <w:sz w:val="20"/>
                <w:szCs w:val="20"/>
                <w:lang w:val="fr-FR"/>
              </w:rPr>
            </w:pPr>
            <w:r>
              <w:rPr>
                <w:b/>
                <w:bCs/>
                <w:color w:val="000000"/>
                <w:sz w:val="20"/>
                <w:szCs w:val="20"/>
                <w:lang w:val="fr-FR"/>
              </w:rPr>
              <w:t>3 901 448 332</w:t>
            </w:r>
          </w:p>
        </w:tc>
      </w:tr>
    </w:tbl>
    <w:p w14:paraId="544227E6" w14:textId="2D2B64B0" w:rsidR="00FF2809" w:rsidRPr="006B0C18" w:rsidRDefault="00FF2809" w:rsidP="009A0A67">
      <w:pPr>
        <w:pStyle w:val="CM28"/>
        <w:spacing w:after="0"/>
        <w:ind w:left="1276"/>
        <w:rPr>
          <w:sz w:val="20"/>
          <w:szCs w:val="20"/>
          <w:lang w:val="fr-FR"/>
        </w:rPr>
      </w:pPr>
      <w:r>
        <w:rPr>
          <w:sz w:val="20"/>
          <w:szCs w:val="20"/>
          <w:lang w:val="fr-FR"/>
        </w:rPr>
        <w:t>* Au 4 septembre 2026 (hors projets annulés et transférés).</w:t>
      </w:r>
    </w:p>
    <w:p w14:paraId="090178A7" w14:textId="53198506" w:rsidR="00FF2809" w:rsidRPr="006B0C18" w:rsidRDefault="00FF2809" w:rsidP="009A0A67">
      <w:pPr>
        <w:pStyle w:val="CM28"/>
        <w:spacing w:after="240"/>
        <w:ind w:left="1276"/>
        <w:rPr>
          <w:sz w:val="20"/>
          <w:szCs w:val="20"/>
          <w:lang w:val="fr-FR"/>
        </w:rPr>
      </w:pPr>
      <w:r>
        <w:rPr>
          <w:sz w:val="20"/>
          <w:szCs w:val="20"/>
          <w:lang w:val="fr-FR"/>
        </w:rPr>
        <w:t>** Au 31 décembre 2024 (hors projets annulés et transférés).</w:t>
      </w:r>
    </w:p>
    <w:p w14:paraId="3259E2D6" w14:textId="0D7BA3FF" w:rsidR="001659A2" w:rsidRPr="006B0C18" w:rsidRDefault="001659A2" w:rsidP="00136C74">
      <w:pPr>
        <w:pStyle w:val="CH1"/>
        <w:rPr>
          <w:lang w:val="fr-FR"/>
        </w:rPr>
      </w:pPr>
    </w:p>
    <w:p w14:paraId="29F02027" w14:textId="77777777" w:rsidR="00A0256D" w:rsidRDefault="001659A2">
      <w:pPr>
        <w:jc w:val="left"/>
        <w:rPr>
          <w:lang w:val="fr-FR"/>
        </w:rPr>
        <w:sectPr w:rsidR="00A0256D" w:rsidSect="0043727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pPr>
      <w:r>
        <w:rPr>
          <w:lang w:val="fr-FR"/>
        </w:rPr>
        <w:br w:type="page"/>
      </w:r>
    </w:p>
    <w:p w14:paraId="4E134618" w14:textId="3D6007AE" w:rsidR="00136C74" w:rsidRPr="006B0C18" w:rsidRDefault="00136C74" w:rsidP="00136C74">
      <w:pPr>
        <w:pStyle w:val="CH1"/>
        <w:rPr>
          <w:lang w:val="fr-FR"/>
        </w:rPr>
      </w:pPr>
      <w:r>
        <w:rPr>
          <w:lang w:val="fr-FR"/>
        </w:rPr>
        <w:lastRenderedPageBreak/>
        <w:t>Annexe</w:t>
      </w:r>
    </w:p>
    <w:p w14:paraId="6717C818" w14:textId="0925FD15" w:rsidR="00616680" w:rsidRPr="006B0C18" w:rsidRDefault="00616680" w:rsidP="005D5C51">
      <w:pPr>
        <w:pStyle w:val="Heading3"/>
        <w:numPr>
          <w:ilvl w:val="2"/>
          <w:numId w:val="19"/>
        </w:numPr>
        <w:ind w:left="1276" w:firstLine="0"/>
        <w:rPr>
          <w:sz w:val="20"/>
          <w:szCs w:val="20"/>
          <w:lang w:val="fr-FR"/>
        </w:rPr>
      </w:pPr>
      <w:r>
        <w:rPr>
          <w:sz w:val="20"/>
          <w:szCs w:val="20"/>
          <w:lang w:val="fr-FR"/>
        </w:rPr>
        <w:t>L’annexe au présent rapport contient le bulletin annuel du Fonds multilatéral présentant quelques projets réussis et des résultats politiques en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217" w:rsidRPr="001A6064" w14:paraId="52C5B77B" w14:textId="77777777">
        <w:tc>
          <w:tcPr>
            <w:tcW w:w="1871" w:type="dxa"/>
          </w:tcPr>
          <w:p w14:paraId="14C704FD" w14:textId="77777777" w:rsidR="001D4217" w:rsidRPr="006B0C18" w:rsidRDefault="001D4217">
            <w:pPr>
              <w:rPr>
                <w:lang w:val="fr-FR"/>
              </w:rPr>
            </w:pPr>
          </w:p>
        </w:tc>
        <w:tc>
          <w:tcPr>
            <w:tcW w:w="1872" w:type="dxa"/>
          </w:tcPr>
          <w:p w14:paraId="321719B4" w14:textId="77777777" w:rsidR="001D4217" w:rsidRPr="006B0C18" w:rsidRDefault="001D4217">
            <w:pPr>
              <w:rPr>
                <w:lang w:val="fr-FR"/>
              </w:rPr>
            </w:pPr>
          </w:p>
        </w:tc>
        <w:tc>
          <w:tcPr>
            <w:tcW w:w="1872" w:type="dxa"/>
            <w:tcBorders>
              <w:bottom w:val="single" w:sz="4" w:space="0" w:color="auto"/>
            </w:tcBorders>
          </w:tcPr>
          <w:p w14:paraId="3B41E648" w14:textId="77777777" w:rsidR="001D4217" w:rsidRPr="006B0C18" w:rsidRDefault="001D4217">
            <w:pPr>
              <w:rPr>
                <w:lang w:val="fr-FR"/>
              </w:rPr>
            </w:pPr>
          </w:p>
        </w:tc>
        <w:tc>
          <w:tcPr>
            <w:tcW w:w="1872" w:type="dxa"/>
          </w:tcPr>
          <w:p w14:paraId="6A2C3477" w14:textId="77777777" w:rsidR="001D4217" w:rsidRPr="006B0C18" w:rsidRDefault="001D4217">
            <w:pPr>
              <w:rPr>
                <w:lang w:val="fr-FR"/>
              </w:rPr>
            </w:pPr>
          </w:p>
        </w:tc>
        <w:tc>
          <w:tcPr>
            <w:tcW w:w="1873" w:type="dxa"/>
          </w:tcPr>
          <w:p w14:paraId="3CE5B10B" w14:textId="77777777" w:rsidR="001D4217" w:rsidRPr="006B0C18" w:rsidRDefault="001D4217">
            <w:pPr>
              <w:rPr>
                <w:lang w:val="fr-FR"/>
              </w:rPr>
            </w:pPr>
          </w:p>
        </w:tc>
      </w:tr>
    </w:tbl>
    <w:p w14:paraId="19119C29" w14:textId="77777777" w:rsidR="00193CCD" w:rsidRPr="006B0C18" w:rsidRDefault="00193CCD" w:rsidP="00193CCD">
      <w:pPr>
        <w:rPr>
          <w:lang w:val="fr-FR"/>
        </w:rPr>
      </w:pPr>
    </w:p>
    <w:sectPr w:rsidR="00193CCD" w:rsidRPr="006B0C18" w:rsidSect="00437274">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99F02" w14:textId="77777777" w:rsidR="00A420E0" w:rsidRDefault="00A420E0" w:rsidP="004A504B">
      <w:r>
        <w:separator/>
      </w:r>
    </w:p>
  </w:endnote>
  <w:endnote w:type="continuationSeparator" w:id="0">
    <w:p w14:paraId="19B69F4D" w14:textId="77777777" w:rsidR="00A420E0" w:rsidRDefault="00A420E0" w:rsidP="004A504B">
      <w:r>
        <w:continuationSeparator/>
      </w:r>
    </w:p>
  </w:endnote>
  <w:endnote w:type="continuationNotice" w:id="1">
    <w:p w14:paraId="332731C6" w14:textId="77777777" w:rsidR="00A420E0" w:rsidRDefault="00A420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ED4D5" w14:textId="6C6F653B" w:rsidR="00486D8C" w:rsidRPr="00802AD7" w:rsidRDefault="00486D8C">
    <w:pPr>
      <w:jc w:val="center"/>
      <w:rPr>
        <w:sz w:val="20"/>
        <w:szCs w:val="20"/>
      </w:rPr>
    </w:pPr>
    <w:r w:rsidRPr="00802AD7">
      <w:rPr>
        <w:sz w:val="20"/>
        <w:szCs w:val="20"/>
      </w:rPr>
      <w:fldChar w:fldCharType="begin"/>
    </w:r>
    <w:r w:rsidRPr="00802AD7">
      <w:rPr>
        <w:sz w:val="20"/>
        <w:szCs w:val="20"/>
      </w:rPr>
      <w:instrText xml:space="preserve"> PAGE </w:instrText>
    </w:r>
    <w:r w:rsidRPr="00802AD7">
      <w:rPr>
        <w:sz w:val="20"/>
        <w:szCs w:val="20"/>
      </w:rPr>
      <w:fldChar w:fldCharType="separate"/>
    </w:r>
    <w:r w:rsidR="003D0925">
      <w:rPr>
        <w:noProof/>
        <w:sz w:val="20"/>
        <w:szCs w:val="20"/>
      </w:rPr>
      <w:t>22</w:t>
    </w:r>
    <w:r w:rsidRPr="00802AD7">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4EA35" w14:textId="5FFCEE38" w:rsidR="00486D8C" w:rsidRPr="00802AD7" w:rsidRDefault="00486D8C">
    <w:pPr>
      <w:jc w:val="center"/>
      <w:rPr>
        <w:sz w:val="20"/>
        <w:szCs w:val="20"/>
      </w:rPr>
    </w:pPr>
    <w:r w:rsidRPr="00802AD7">
      <w:rPr>
        <w:sz w:val="20"/>
        <w:szCs w:val="20"/>
      </w:rPr>
      <w:fldChar w:fldCharType="begin"/>
    </w:r>
    <w:r w:rsidRPr="00802AD7">
      <w:rPr>
        <w:sz w:val="20"/>
        <w:szCs w:val="20"/>
      </w:rPr>
      <w:instrText xml:space="preserve"> PAGE </w:instrText>
    </w:r>
    <w:r w:rsidRPr="00802AD7">
      <w:rPr>
        <w:sz w:val="20"/>
        <w:szCs w:val="20"/>
      </w:rPr>
      <w:fldChar w:fldCharType="separate"/>
    </w:r>
    <w:r w:rsidR="003D0925">
      <w:rPr>
        <w:noProof/>
        <w:sz w:val="20"/>
        <w:szCs w:val="20"/>
      </w:rPr>
      <w:t>31</w:t>
    </w:r>
    <w:r w:rsidRPr="00802AD7">
      <w:rPr>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7704"/>
      <w:docPartObj>
        <w:docPartGallery w:val="Page Numbers (Bottom of Page)"/>
        <w:docPartUnique/>
      </w:docPartObj>
    </w:sdtPr>
    <w:sdtEndPr>
      <w:rPr>
        <w:noProof/>
        <w:sz w:val="20"/>
        <w:szCs w:val="20"/>
      </w:rPr>
    </w:sdtEndPr>
    <w:sdtContent>
      <w:p w14:paraId="16AB6FB6" w14:textId="769296E7" w:rsidR="00531A5D" w:rsidRPr="00531A5D" w:rsidRDefault="00531A5D">
        <w:pPr>
          <w:pStyle w:val="Footer"/>
          <w:jc w:val="center"/>
          <w:rPr>
            <w:sz w:val="20"/>
            <w:szCs w:val="20"/>
          </w:rPr>
        </w:pPr>
        <w:r w:rsidRPr="00531A5D">
          <w:rPr>
            <w:sz w:val="20"/>
            <w:szCs w:val="20"/>
          </w:rPr>
          <w:fldChar w:fldCharType="begin"/>
        </w:r>
        <w:r w:rsidRPr="00531A5D">
          <w:rPr>
            <w:sz w:val="20"/>
            <w:szCs w:val="20"/>
          </w:rPr>
          <w:instrText xml:space="preserve"> PAGE   \* MERGEFORMAT </w:instrText>
        </w:r>
        <w:r w:rsidRPr="00531A5D">
          <w:rPr>
            <w:sz w:val="20"/>
            <w:szCs w:val="20"/>
          </w:rPr>
          <w:fldChar w:fldCharType="separate"/>
        </w:r>
        <w:r w:rsidRPr="00531A5D">
          <w:rPr>
            <w:noProof/>
            <w:sz w:val="20"/>
            <w:szCs w:val="20"/>
          </w:rPr>
          <w:t>2</w:t>
        </w:r>
        <w:r w:rsidRPr="00531A5D">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D8BD" w14:textId="77777777" w:rsidR="00A420E0" w:rsidRDefault="00A420E0" w:rsidP="000C6051">
      <w:pPr>
        <w:ind w:firstLine="624"/>
      </w:pPr>
      <w:r>
        <w:separator/>
      </w:r>
    </w:p>
  </w:footnote>
  <w:footnote w:type="continuationSeparator" w:id="0">
    <w:p w14:paraId="4A0C12D3" w14:textId="77777777" w:rsidR="00A420E0" w:rsidRDefault="00A420E0" w:rsidP="004A504B">
      <w:r>
        <w:continuationSeparator/>
      </w:r>
    </w:p>
  </w:footnote>
  <w:footnote w:type="continuationNotice" w:id="1">
    <w:p w14:paraId="11E66A67" w14:textId="77777777" w:rsidR="00A420E0" w:rsidRDefault="00A420E0"/>
  </w:footnote>
  <w:footnote w:id="2">
    <w:p w14:paraId="30879450" w14:textId="1A72F96D" w:rsidR="00486D8C" w:rsidRPr="006638DC" w:rsidRDefault="00486D8C" w:rsidP="003C4D34">
      <w:pPr>
        <w:pStyle w:val="FootnoteText"/>
        <w:ind w:left="1276"/>
        <w:rPr>
          <w:sz w:val="18"/>
          <w:szCs w:val="18"/>
        </w:rPr>
      </w:pPr>
      <w:r w:rsidRPr="006638DC">
        <w:rPr>
          <w:rStyle w:val="FootnoteReference"/>
          <w:sz w:val="18"/>
          <w:szCs w:val="18"/>
        </w:rPr>
        <w:t>*</w:t>
      </w:r>
      <w:r w:rsidRPr="006638DC">
        <w:rPr>
          <w:sz w:val="18"/>
          <w:szCs w:val="18"/>
        </w:rPr>
        <w:t> UNEP/OzL.Pro.38/1</w:t>
      </w:r>
    </w:p>
  </w:footnote>
  <w:footnote w:id="3">
    <w:p w14:paraId="3B627E05" w14:textId="485CDF5B" w:rsidR="000E1097" w:rsidRPr="00F70A60" w:rsidRDefault="000E1097" w:rsidP="00E43D6E">
      <w:pPr>
        <w:pStyle w:val="FootnoteText"/>
        <w:ind w:left="1276"/>
        <w:rPr>
          <w:sz w:val="18"/>
          <w:szCs w:val="18"/>
        </w:rPr>
      </w:pPr>
      <w:r w:rsidRPr="00E43D6E">
        <w:rPr>
          <w:rStyle w:val="FootnoteReference"/>
          <w:sz w:val="18"/>
          <w:szCs w:val="18"/>
        </w:rPr>
        <w:footnoteRef/>
      </w:r>
      <w:r w:rsidRPr="00E43D6E">
        <w:rPr>
          <w:sz w:val="18"/>
          <w:szCs w:val="18"/>
        </w:rPr>
        <w:t> UNEP/OzL.Pro/ExCom/97/91 et UNEP/OzL.Pro/ExCom/98/64.</w:t>
      </w:r>
    </w:p>
  </w:footnote>
  <w:footnote w:id="4">
    <w:p w14:paraId="513A62F7" w14:textId="2895ECDA" w:rsidR="00C701FD" w:rsidRPr="00A348BD" w:rsidRDefault="00C701FD" w:rsidP="00F70A60">
      <w:pPr>
        <w:pStyle w:val="FootnoteText"/>
        <w:ind w:left="1276"/>
        <w:rPr>
          <w:sz w:val="18"/>
          <w:szCs w:val="18"/>
        </w:rPr>
      </w:pPr>
      <w:r w:rsidRPr="001650E5">
        <w:rPr>
          <w:sz w:val="18"/>
          <w:szCs w:val="18"/>
          <w:vertAlign w:val="superscript"/>
        </w:rPr>
        <w:footnoteRef/>
      </w:r>
      <w:r w:rsidRPr="00A348BD">
        <w:rPr>
          <w:sz w:val="18"/>
          <w:szCs w:val="18"/>
        </w:rPr>
        <w:t> UNEP/OzL.Pro/ExCom/98/60.</w:t>
      </w:r>
    </w:p>
  </w:footnote>
  <w:footnote w:id="5">
    <w:p w14:paraId="5C13E601" w14:textId="14617122" w:rsidR="0047057B" w:rsidRPr="0047057B" w:rsidRDefault="0047057B" w:rsidP="0047057B">
      <w:pPr>
        <w:pStyle w:val="FootnoteText"/>
        <w:ind w:left="1276"/>
        <w:rPr>
          <w:lang w:val="en-GB"/>
        </w:rPr>
      </w:pPr>
      <w:r w:rsidRPr="001650E5">
        <w:rPr>
          <w:sz w:val="18"/>
          <w:szCs w:val="18"/>
          <w:vertAlign w:val="superscript"/>
        </w:rPr>
        <w:footnoteRef/>
      </w:r>
      <w:r w:rsidRPr="0047057B">
        <w:rPr>
          <w:sz w:val="18"/>
          <w:szCs w:val="18"/>
        </w:rPr>
        <w:t> UNEP/OzL.Pro/ExCom/98/58.</w:t>
      </w:r>
    </w:p>
  </w:footnote>
  <w:footnote w:id="6">
    <w:p w14:paraId="4233CEDA" w14:textId="414F176C" w:rsidR="000E1097" w:rsidRPr="00AA5B54" w:rsidRDefault="000E1097" w:rsidP="00E43D6E">
      <w:pPr>
        <w:pStyle w:val="FootnoteText"/>
        <w:ind w:left="1276"/>
        <w:rPr>
          <w:sz w:val="18"/>
          <w:szCs w:val="18"/>
          <w:lang w:val="fr-CH"/>
        </w:rPr>
      </w:pPr>
      <w:r w:rsidRPr="00F70A60">
        <w:rPr>
          <w:rStyle w:val="FootnoteReference"/>
          <w:sz w:val="18"/>
          <w:szCs w:val="18"/>
        </w:rPr>
        <w:footnoteRef/>
      </w:r>
      <w:r w:rsidR="002619A8" w:rsidRPr="00AA5B54">
        <w:rPr>
          <w:sz w:val="18"/>
          <w:szCs w:val="18"/>
          <w:lang w:val="fr-CH"/>
        </w:rPr>
        <w:t> UNEP/OzL.Pro/ExCom/97/26, paragraphes 39 à 45, et UNEP/OzL.Pro/ExCom/98/10, paragraphes 19 et 20.</w:t>
      </w:r>
    </w:p>
  </w:footnote>
  <w:footnote w:id="7">
    <w:p w14:paraId="45B8524D" w14:textId="77777777" w:rsidR="00292FAA" w:rsidRPr="00AA5B54" w:rsidRDefault="00292FAA" w:rsidP="00E43D6E">
      <w:pPr>
        <w:pStyle w:val="FootnoteText"/>
        <w:ind w:left="1276"/>
        <w:rPr>
          <w:sz w:val="18"/>
          <w:szCs w:val="18"/>
          <w:lang w:val="fr-CH"/>
        </w:rPr>
      </w:pPr>
      <w:r w:rsidRPr="00E43D6E">
        <w:rPr>
          <w:rStyle w:val="FootnoteReference"/>
          <w:sz w:val="18"/>
          <w:szCs w:val="18"/>
        </w:rPr>
        <w:footnoteRef/>
      </w:r>
      <w:r w:rsidRPr="00B26335">
        <w:rPr>
          <w:sz w:val="18"/>
          <w:szCs w:val="18"/>
          <w:lang w:val="fr"/>
        </w:rPr>
        <w:t>  UNEP/OzL.Pro/ExCom/97/85.</w:t>
      </w:r>
    </w:p>
  </w:footnote>
  <w:footnote w:id="8">
    <w:p w14:paraId="4B3A3980" w14:textId="4E52F6B5" w:rsidR="00292FAA" w:rsidRPr="00AA5B54" w:rsidRDefault="00292FAA" w:rsidP="002619A8">
      <w:pPr>
        <w:pStyle w:val="FootnoteText"/>
        <w:ind w:left="1276"/>
        <w:rPr>
          <w:sz w:val="18"/>
          <w:szCs w:val="18"/>
          <w:lang w:val="fr-CH"/>
        </w:rPr>
      </w:pPr>
      <w:r w:rsidRPr="002619A8">
        <w:rPr>
          <w:sz w:val="18"/>
          <w:szCs w:val="18"/>
          <w:vertAlign w:val="superscript"/>
        </w:rPr>
        <w:footnoteRef/>
      </w:r>
      <w:r w:rsidRPr="00B26335">
        <w:rPr>
          <w:sz w:val="18"/>
          <w:szCs w:val="18"/>
          <w:lang w:val="fr"/>
        </w:rPr>
        <w:t>  UNEP/OzL.Pro/ExCom/97/86</w:t>
      </w:r>
      <w:r w:rsidR="006B0C18">
        <w:rPr>
          <w:sz w:val="18"/>
          <w:szCs w:val="18"/>
          <w:lang w:val="fr"/>
        </w:rPr>
        <w:t>.</w:t>
      </w:r>
    </w:p>
  </w:footnote>
  <w:footnote w:id="9">
    <w:p w14:paraId="09A774AD" w14:textId="4FB1CB61" w:rsidR="00D96CD3" w:rsidRPr="00AA5B54" w:rsidRDefault="00D96CD3" w:rsidP="002619A8">
      <w:pPr>
        <w:pStyle w:val="FootnoteText"/>
        <w:ind w:left="1276"/>
        <w:rPr>
          <w:sz w:val="18"/>
          <w:szCs w:val="18"/>
          <w:lang w:val="fr-CH"/>
        </w:rPr>
      </w:pPr>
      <w:r w:rsidRPr="002619A8">
        <w:rPr>
          <w:sz w:val="18"/>
          <w:szCs w:val="18"/>
          <w:vertAlign w:val="superscript"/>
        </w:rPr>
        <w:footnoteRef/>
      </w:r>
      <w:r w:rsidRPr="00B26335">
        <w:rPr>
          <w:sz w:val="18"/>
          <w:szCs w:val="18"/>
          <w:lang w:val="fr"/>
        </w:rPr>
        <w:t> UNEP/OzL.Pro/ExCom/98/59.</w:t>
      </w:r>
    </w:p>
  </w:footnote>
  <w:footnote w:id="10">
    <w:p w14:paraId="0E8572D8" w14:textId="1E896D23" w:rsidR="008F1D8E" w:rsidRPr="00AA5B54" w:rsidRDefault="008F1D8E" w:rsidP="008F1D8E">
      <w:pPr>
        <w:pStyle w:val="FootnoteText"/>
        <w:ind w:left="1276"/>
        <w:rPr>
          <w:sz w:val="18"/>
          <w:szCs w:val="18"/>
          <w:lang w:val="fr-CH"/>
        </w:rPr>
      </w:pPr>
      <w:r w:rsidRPr="008F1D8E">
        <w:rPr>
          <w:rStyle w:val="FootnoteReference"/>
          <w:sz w:val="18"/>
          <w:szCs w:val="18"/>
        </w:rPr>
        <w:footnoteRef/>
      </w:r>
      <w:r w:rsidRPr="00B26335">
        <w:rPr>
          <w:sz w:val="18"/>
          <w:szCs w:val="18"/>
          <w:lang w:val="fr"/>
        </w:rPr>
        <w:t> UNEP/OzL.Pro/ExCom/98/55.</w:t>
      </w:r>
    </w:p>
  </w:footnote>
  <w:footnote w:id="11">
    <w:p w14:paraId="1B1E785A" w14:textId="16F1637A" w:rsidR="00292FAA" w:rsidRPr="00AA5B54" w:rsidRDefault="00292FAA" w:rsidP="00BE460D">
      <w:pPr>
        <w:pStyle w:val="FootnoteText"/>
        <w:ind w:left="1276"/>
        <w:rPr>
          <w:sz w:val="18"/>
          <w:szCs w:val="18"/>
          <w:lang w:val="fr-CH"/>
        </w:rPr>
      </w:pPr>
      <w:r w:rsidRPr="00BE460D">
        <w:rPr>
          <w:sz w:val="18"/>
          <w:szCs w:val="18"/>
          <w:vertAlign w:val="superscript"/>
        </w:rPr>
        <w:footnoteRef/>
      </w:r>
      <w:r w:rsidRPr="00B26335">
        <w:rPr>
          <w:sz w:val="18"/>
          <w:szCs w:val="18"/>
          <w:lang w:val="fr"/>
        </w:rPr>
        <w:t> UNEP/OzL.Pro/ExCom/97/87.</w:t>
      </w:r>
    </w:p>
  </w:footnote>
  <w:footnote w:id="12">
    <w:p w14:paraId="7AFBE05F" w14:textId="4C48E64B" w:rsidR="00292FAA" w:rsidRPr="00AA5B54" w:rsidRDefault="00292FAA" w:rsidP="00BE460D">
      <w:pPr>
        <w:pStyle w:val="FootnoteText"/>
        <w:ind w:left="1276"/>
        <w:rPr>
          <w:sz w:val="18"/>
          <w:szCs w:val="18"/>
          <w:lang w:val="fr-CH"/>
        </w:rPr>
      </w:pPr>
      <w:r w:rsidRPr="00BE460D">
        <w:rPr>
          <w:sz w:val="18"/>
          <w:szCs w:val="18"/>
          <w:vertAlign w:val="superscript"/>
        </w:rPr>
        <w:footnoteRef/>
      </w:r>
      <w:r w:rsidRPr="00B26335">
        <w:rPr>
          <w:sz w:val="18"/>
          <w:szCs w:val="18"/>
          <w:lang w:val="fr"/>
        </w:rPr>
        <w:t>UNEP/OzL.Pro/ExCom/97/26, alinéas 34 à 38.</w:t>
      </w:r>
    </w:p>
  </w:footnote>
  <w:footnote w:id="13">
    <w:p w14:paraId="20F44037" w14:textId="290BFF2B" w:rsidR="00BE460D" w:rsidRPr="00AA5B54" w:rsidRDefault="00BE460D" w:rsidP="00BE460D">
      <w:pPr>
        <w:pStyle w:val="FootnoteText"/>
        <w:ind w:left="1276"/>
        <w:rPr>
          <w:sz w:val="18"/>
          <w:szCs w:val="18"/>
          <w:lang w:val="fr-CH"/>
        </w:rPr>
      </w:pPr>
      <w:r w:rsidRPr="00BE460D">
        <w:rPr>
          <w:rStyle w:val="FootnoteReference"/>
          <w:sz w:val="18"/>
          <w:szCs w:val="18"/>
        </w:rPr>
        <w:footnoteRef/>
      </w:r>
      <w:r w:rsidRPr="00B26335">
        <w:rPr>
          <w:sz w:val="18"/>
          <w:szCs w:val="18"/>
          <w:lang w:val="fr"/>
        </w:rPr>
        <w:t>UNEP/OzL.Pro/ExCom/98/57.</w:t>
      </w:r>
    </w:p>
  </w:footnote>
  <w:footnote w:id="14">
    <w:p w14:paraId="2BDB87E3" w14:textId="77777777" w:rsidR="00292FAA" w:rsidRPr="00AA5B54" w:rsidRDefault="00292FAA" w:rsidP="00842030">
      <w:pPr>
        <w:pStyle w:val="FootnoteText"/>
        <w:ind w:left="624" w:firstLine="624"/>
        <w:rPr>
          <w:sz w:val="18"/>
          <w:szCs w:val="18"/>
          <w:lang w:val="fr-CH"/>
        </w:rPr>
      </w:pPr>
      <w:r w:rsidRPr="00842030">
        <w:rPr>
          <w:sz w:val="18"/>
          <w:szCs w:val="18"/>
          <w:vertAlign w:val="superscript"/>
        </w:rPr>
        <w:footnoteRef/>
      </w:r>
      <w:r w:rsidRPr="00AA5B54">
        <w:rPr>
          <w:sz w:val="18"/>
          <w:szCs w:val="18"/>
          <w:lang w:val="fr-CH"/>
        </w:rPr>
        <w:t> UNEP/OzL.Pro/ExCom/97/26, alinéas 14 à 33.</w:t>
      </w:r>
    </w:p>
  </w:footnote>
  <w:footnote w:id="15">
    <w:p w14:paraId="1FF8CE2F" w14:textId="50375C30" w:rsidR="00292FAA" w:rsidRPr="005971D2" w:rsidRDefault="00292FAA" w:rsidP="00F00F9E">
      <w:pPr>
        <w:pStyle w:val="FootnoteText"/>
        <w:ind w:left="624" w:firstLine="624"/>
        <w:rPr>
          <w:sz w:val="18"/>
          <w:szCs w:val="18"/>
          <w:lang w:val="fr-CH"/>
        </w:rPr>
      </w:pPr>
      <w:r w:rsidRPr="00842030">
        <w:rPr>
          <w:sz w:val="18"/>
          <w:szCs w:val="18"/>
          <w:vertAlign w:val="superscript"/>
        </w:rPr>
        <w:footnoteRef/>
      </w:r>
      <w:r w:rsidRPr="005971D2">
        <w:rPr>
          <w:sz w:val="18"/>
          <w:szCs w:val="18"/>
          <w:lang w:val="fr-CH"/>
        </w:rPr>
        <w:t> UNEP/OzL.Pro/ExCom/97/91, Annexe XX</w:t>
      </w:r>
      <w:r w:rsidR="00F81090" w:rsidRPr="005971D2">
        <w:rPr>
          <w:sz w:val="18"/>
          <w:szCs w:val="18"/>
          <w:lang w:val="fr-CH"/>
        </w:rPr>
        <w:t>V</w:t>
      </w:r>
      <w:r w:rsidRPr="005971D2">
        <w:rPr>
          <w:sz w:val="18"/>
          <w:szCs w:val="18"/>
          <w:lang w:val="fr-CH"/>
        </w:rPr>
        <w:t>III.</w:t>
      </w:r>
    </w:p>
  </w:footnote>
  <w:footnote w:id="16">
    <w:p w14:paraId="49E8E9A5" w14:textId="14BA1D24" w:rsidR="00F00F9E" w:rsidRPr="00F41595" w:rsidRDefault="00F00F9E" w:rsidP="00F00F9E">
      <w:pPr>
        <w:pStyle w:val="FootnoteText"/>
        <w:ind w:left="624" w:firstLine="624"/>
        <w:rPr>
          <w:sz w:val="18"/>
          <w:szCs w:val="18"/>
          <w:lang w:val="pt-BR"/>
        </w:rPr>
      </w:pPr>
      <w:r w:rsidRPr="00842030">
        <w:rPr>
          <w:sz w:val="18"/>
          <w:szCs w:val="18"/>
          <w:vertAlign w:val="superscript"/>
        </w:rPr>
        <w:footnoteRef/>
      </w:r>
      <w:r w:rsidR="00842030" w:rsidRPr="00F41595">
        <w:rPr>
          <w:sz w:val="18"/>
          <w:szCs w:val="18"/>
          <w:lang w:val="pt-BR"/>
        </w:rPr>
        <w:t> UNEP/OzL.Pro/ExCom/98/10/Add.1.</w:t>
      </w:r>
    </w:p>
  </w:footnote>
  <w:footnote w:id="17">
    <w:p w14:paraId="64D69DB6" w14:textId="2315F183" w:rsidR="00F00F9E" w:rsidRPr="00B26335" w:rsidRDefault="00F00F9E" w:rsidP="00F00F9E">
      <w:pPr>
        <w:pStyle w:val="FootnoteText"/>
        <w:ind w:left="624" w:firstLine="624"/>
        <w:rPr>
          <w:sz w:val="18"/>
          <w:szCs w:val="18"/>
        </w:rPr>
      </w:pPr>
      <w:r w:rsidRPr="00842030">
        <w:rPr>
          <w:sz w:val="18"/>
          <w:szCs w:val="18"/>
          <w:vertAlign w:val="superscript"/>
        </w:rPr>
        <w:footnoteRef/>
      </w:r>
      <w:r w:rsidRPr="00B26335">
        <w:rPr>
          <w:sz w:val="18"/>
          <w:szCs w:val="18"/>
        </w:rPr>
        <w:t> UNEP/OzL.Pro/ExCom/98/63, annexe XXXIX.</w:t>
      </w:r>
    </w:p>
  </w:footnote>
  <w:footnote w:id="18">
    <w:p w14:paraId="4AECD788" w14:textId="77777777" w:rsidR="00C339F4" w:rsidRPr="00AA5B54" w:rsidRDefault="00C339F4" w:rsidP="00842030">
      <w:pPr>
        <w:pStyle w:val="FootnoteText"/>
        <w:ind w:left="624" w:firstLine="624"/>
        <w:rPr>
          <w:sz w:val="18"/>
          <w:szCs w:val="18"/>
          <w:lang w:val="fr-CH"/>
        </w:rPr>
      </w:pPr>
      <w:r w:rsidRPr="00842030">
        <w:rPr>
          <w:sz w:val="18"/>
          <w:szCs w:val="18"/>
          <w:vertAlign w:val="superscript"/>
        </w:rPr>
        <w:footnoteRef/>
      </w:r>
      <w:r w:rsidRPr="00AA5B54">
        <w:rPr>
          <w:sz w:val="18"/>
          <w:szCs w:val="18"/>
          <w:lang w:val="fr-CH"/>
        </w:rPr>
        <w:t> UNEP/OzL.Pro/ExCom/98/10, paragraphes 13 à 17.</w:t>
      </w:r>
    </w:p>
  </w:footnote>
  <w:footnote w:id="19">
    <w:p w14:paraId="223A18C6" w14:textId="7DCB91B6" w:rsidR="004E1FE2" w:rsidRPr="00AA5B54" w:rsidRDefault="004E1FE2" w:rsidP="004F503A">
      <w:pPr>
        <w:pStyle w:val="FootnoteText"/>
        <w:ind w:left="624" w:firstLine="624"/>
        <w:rPr>
          <w:sz w:val="18"/>
          <w:szCs w:val="18"/>
          <w:lang w:val="fr-CH"/>
        </w:rPr>
      </w:pPr>
      <w:r w:rsidRPr="004F503A">
        <w:rPr>
          <w:sz w:val="18"/>
          <w:szCs w:val="18"/>
          <w:vertAlign w:val="superscript"/>
        </w:rPr>
        <w:footnoteRef/>
      </w:r>
      <w:r w:rsidR="004F503A" w:rsidRPr="00AA5B54">
        <w:rPr>
          <w:sz w:val="18"/>
          <w:szCs w:val="18"/>
          <w:lang w:val="fr-CH"/>
        </w:rPr>
        <w:t> UNEP/OzL.Pro/ExCom/98/61.</w:t>
      </w:r>
    </w:p>
  </w:footnote>
  <w:footnote w:id="20">
    <w:p w14:paraId="48D82455" w14:textId="468147EF" w:rsidR="004E1FE2" w:rsidRPr="00AA5B54" w:rsidRDefault="004E1FE2" w:rsidP="004F503A">
      <w:pPr>
        <w:pStyle w:val="FootnoteText"/>
        <w:ind w:left="624" w:firstLine="624"/>
        <w:rPr>
          <w:sz w:val="18"/>
          <w:szCs w:val="18"/>
          <w:lang w:val="fr-CH"/>
        </w:rPr>
      </w:pPr>
      <w:r w:rsidRPr="003208C3">
        <w:rPr>
          <w:sz w:val="18"/>
          <w:szCs w:val="18"/>
          <w:vertAlign w:val="superscript"/>
        </w:rPr>
        <w:footnoteRef/>
      </w:r>
      <w:r w:rsidR="004F503A" w:rsidRPr="00AA5B54">
        <w:rPr>
          <w:sz w:val="18"/>
          <w:szCs w:val="18"/>
          <w:lang w:val="fr-CH"/>
        </w:rPr>
        <w:t> </w:t>
      </w:r>
      <w:r w:rsidRPr="003208C3">
        <w:rPr>
          <w:sz w:val="18"/>
          <w:szCs w:val="18"/>
        </w:rPr>
        <w:fldChar w:fldCharType="begin"/>
      </w:r>
      <w:r w:rsidRPr="00AA5B54">
        <w:rPr>
          <w:sz w:val="18"/>
          <w:szCs w:val="18"/>
          <w:lang w:val="fr-CH"/>
        </w:rPr>
        <w:instrText>DOCPROPERTY "Document number"  \* MERGEFORMAT</w:instrText>
      </w:r>
      <w:r w:rsidRPr="003208C3">
        <w:rPr>
          <w:sz w:val="18"/>
          <w:szCs w:val="18"/>
        </w:rPr>
        <w:fldChar w:fldCharType="separate"/>
      </w:r>
      <w:r w:rsidRPr="00AA5B54">
        <w:rPr>
          <w:sz w:val="18"/>
          <w:szCs w:val="18"/>
          <w:lang w:val="fr-CH"/>
        </w:rPr>
        <w:t>UNEP/OzL.Pro/ExCom/98/64</w:t>
      </w:r>
      <w:r w:rsidRPr="003208C3">
        <w:rPr>
          <w:sz w:val="18"/>
          <w:szCs w:val="18"/>
        </w:rPr>
        <w:fldChar w:fldCharType="end"/>
      </w:r>
      <w:r w:rsidRPr="00AA5B54">
        <w:rPr>
          <w:sz w:val="18"/>
          <w:szCs w:val="18"/>
          <w:lang w:val="fr-CH"/>
        </w:rPr>
        <w:t>, annexes LXX, LXXI et LXXII.</w:t>
      </w:r>
    </w:p>
  </w:footnote>
  <w:footnote w:id="21">
    <w:p w14:paraId="30E683C7" w14:textId="7A8031FD" w:rsidR="004F503A" w:rsidRPr="00AA5B54" w:rsidRDefault="004F503A" w:rsidP="004F503A">
      <w:pPr>
        <w:pStyle w:val="FootnoteText"/>
        <w:ind w:left="624" w:firstLine="624"/>
        <w:rPr>
          <w:sz w:val="18"/>
          <w:szCs w:val="18"/>
          <w:lang w:val="fr-CH"/>
        </w:rPr>
      </w:pPr>
      <w:r w:rsidRPr="003208C3">
        <w:rPr>
          <w:sz w:val="18"/>
          <w:szCs w:val="18"/>
          <w:vertAlign w:val="superscript"/>
        </w:rPr>
        <w:footnoteRef/>
      </w:r>
      <w:r w:rsidRPr="00AA5B54">
        <w:rPr>
          <w:sz w:val="18"/>
          <w:szCs w:val="18"/>
          <w:lang w:val="fr-CH"/>
        </w:rPr>
        <w:t> Comme indiqué dans le tableau 1 du document UNEP/OzL.Pro/ExCom/98/61.</w:t>
      </w:r>
    </w:p>
  </w:footnote>
  <w:footnote w:id="22">
    <w:p w14:paraId="0F3C6D5A" w14:textId="77777777" w:rsidR="004E1FE2" w:rsidRPr="00AA5B54" w:rsidRDefault="004E1FE2" w:rsidP="004E1FE2">
      <w:pPr>
        <w:pStyle w:val="FootnoteText"/>
        <w:ind w:left="624" w:firstLine="624"/>
        <w:rPr>
          <w:sz w:val="18"/>
          <w:szCs w:val="18"/>
          <w:lang w:val="fr-CH"/>
        </w:rPr>
      </w:pPr>
      <w:r w:rsidRPr="00FD4856">
        <w:rPr>
          <w:sz w:val="18"/>
          <w:szCs w:val="18"/>
          <w:vertAlign w:val="superscript"/>
        </w:rPr>
        <w:footnoteRef/>
      </w:r>
      <w:r w:rsidRPr="00AA5B54">
        <w:rPr>
          <w:sz w:val="18"/>
          <w:szCs w:val="18"/>
          <w:lang w:val="fr-CH"/>
        </w:rPr>
        <w:t> UNEP/OzL.Pro/ExCom/98/56.</w:t>
      </w:r>
    </w:p>
  </w:footnote>
  <w:footnote w:id="23">
    <w:p w14:paraId="13EA1984" w14:textId="3D1394B2" w:rsidR="00292FAA" w:rsidRPr="00AA5B54" w:rsidRDefault="00292FAA" w:rsidP="00F00F9E">
      <w:pPr>
        <w:pStyle w:val="FootnoteText"/>
        <w:ind w:left="624" w:firstLine="624"/>
        <w:rPr>
          <w:sz w:val="18"/>
          <w:szCs w:val="18"/>
          <w:vertAlign w:val="superscript"/>
          <w:lang w:val="fr-CH"/>
        </w:rPr>
      </w:pPr>
      <w:r w:rsidRPr="00FD4856">
        <w:rPr>
          <w:sz w:val="18"/>
          <w:szCs w:val="18"/>
          <w:vertAlign w:val="superscript"/>
        </w:rPr>
        <w:footnoteRef/>
      </w:r>
      <w:r w:rsidR="00FD4856" w:rsidRPr="00AA5B54">
        <w:rPr>
          <w:sz w:val="18"/>
          <w:szCs w:val="18"/>
          <w:lang w:val="fr-CH"/>
        </w:rPr>
        <w:t> UNEP/OzL.Pro/ExCom/97/88.</w:t>
      </w:r>
    </w:p>
  </w:footnote>
  <w:footnote w:id="24">
    <w:p w14:paraId="16E1A017" w14:textId="333C3D64" w:rsidR="00292FAA" w:rsidRPr="00AA5B54" w:rsidRDefault="00292FAA" w:rsidP="00F00F9E">
      <w:pPr>
        <w:pStyle w:val="FootnoteText"/>
        <w:ind w:left="624" w:firstLine="624"/>
        <w:rPr>
          <w:sz w:val="18"/>
          <w:szCs w:val="18"/>
          <w:lang w:val="fr-CH"/>
        </w:rPr>
      </w:pPr>
      <w:r w:rsidRPr="00FD4856">
        <w:rPr>
          <w:sz w:val="18"/>
          <w:szCs w:val="18"/>
          <w:vertAlign w:val="superscript"/>
        </w:rPr>
        <w:footnoteRef/>
      </w:r>
      <w:r w:rsidR="00FD4856" w:rsidRPr="00AA5B54">
        <w:rPr>
          <w:sz w:val="18"/>
          <w:szCs w:val="18"/>
          <w:lang w:val="fr-CH"/>
        </w:rPr>
        <w:t> UNEP/OzL.Pro/ExCom/97/89.</w:t>
      </w:r>
    </w:p>
  </w:footnote>
  <w:footnote w:id="25">
    <w:p w14:paraId="68C7629A" w14:textId="3AD673DA" w:rsidR="00292FAA" w:rsidRPr="00AA5B54" w:rsidRDefault="00292FAA" w:rsidP="00FD4856">
      <w:pPr>
        <w:pStyle w:val="FootnoteText"/>
        <w:ind w:left="624" w:firstLine="624"/>
        <w:rPr>
          <w:sz w:val="18"/>
          <w:szCs w:val="18"/>
          <w:lang w:val="fr-CH"/>
        </w:rPr>
      </w:pPr>
      <w:r w:rsidRPr="00FD4856">
        <w:rPr>
          <w:sz w:val="18"/>
          <w:szCs w:val="18"/>
          <w:vertAlign w:val="superscript"/>
        </w:rPr>
        <w:footnoteRef/>
      </w:r>
      <w:r w:rsidRPr="00FD4856">
        <w:rPr>
          <w:sz w:val="18"/>
          <w:szCs w:val="18"/>
          <w:lang w:val="fr"/>
        </w:rPr>
        <w:t> UNEP/OzL.Pro/ExCom/97/90.</w:t>
      </w:r>
    </w:p>
  </w:footnote>
  <w:footnote w:id="26">
    <w:p w14:paraId="45329B4C" w14:textId="50E387EC" w:rsidR="00511DA2" w:rsidRPr="00AA5B54" w:rsidRDefault="00511DA2" w:rsidP="00D95837">
      <w:pPr>
        <w:pStyle w:val="FootnoteText"/>
        <w:ind w:left="624" w:firstLine="624"/>
        <w:rPr>
          <w:sz w:val="18"/>
          <w:szCs w:val="18"/>
          <w:lang w:val="fr-CH"/>
        </w:rPr>
      </w:pPr>
      <w:r w:rsidRPr="00D95837">
        <w:rPr>
          <w:sz w:val="18"/>
          <w:szCs w:val="18"/>
          <w:vertAlign w:val="superscript"/>
        </w:rPr>
        <w:footnoteRef/>
      </w:r>
      <w:r w:rsidRPr="00AA5B54">
        <w:rPr>
          <w:sz w:val="18"/>
          <w:szCs w:val="18"/>
          <w:lang w:val="fr-CH"/>
        </w:rPr>
        <w:t> UNEP/OzL.Pro/ExCom/97/28 et UNEP/OzL.Pro/ExCom/98/12.</w:t>
      </w:r>
    </w:p>
  </w:footnote>
  <w:footnote w:id="27">
    <w:p w14:paraId="417C94C4" w14:textId="419F47C5" w:rsidR="00511DA2" w:rsidRPr="00AA5B54" w:rsidRDefault="00511DA2" w:rsidP="00D95837">
      <w:pPr>
        <w:pStyle w:val="FootnoteText"/>
        <w:ind w:left="624" w:firstLine="624"/>
        <w:rPr>
          <w:sz w:val="18"/>
          <w:szCs w:val="18"/>
          <w:lang w:val="fr-CH"/>
        </w:rPr>
      </w:pPr>
      <w:r w:rsidRPr="00D95837">
        <w:rPr>
          <w:sz w:val="18"/>
          <w:szCs w:val="18"/>
          <w:vertAlign w:val="superscript"/>
        </w:rPr>
        <w:footnoteRef/>
      </w:r>
      <w:r w:rsidRPr="00AA5B54">
        <w:rPr>
          <w:sz w:val="18"/>
          <w:szCs w:val="18"/>
          <w:lang w:val="fr-CH"/>
        </w:rPr>
        <w:t> UNEP/OzL.Pro/ExCom/97/29 et UNEP/OzL.Pro/ExCom/98/13.</w:t>
      </w:r>
    </w:p>
  </w:footnote>
  <w:footnote w:id="28">
    <w:p w14:paraId="6363FB18" w14:textId="77777777" w:rsidR="00511DA2" w:rsidRPr="00AA5B54" w:rsidRDefault="00511DA2" w:rsidP="004A5387">
      <w:pPr>
        <w:pStyle w:val="FootnoteText"/>
        <w:ind w:left="624" w:firstLine="624"/>
        <w:rPr>
          <w:sz w:val="18"/>
          <w:szCs w:val="18"/>
          <w:lang w:val="fr-CH"/>
        </w:rPr>
      </w:pPr>
      <w:r w:rsidRPr="004A5387">
        <w:rPr>
          <w:sz w:val="18"/>
          <w:szCs w:val="18"/>
          <w:vertAlign w:val="superscript"/>
        </w:rPr>
        <w:footnoteRef/>
      </w:r>
      <w:r w:rsidRPr="00AA5B54">
        <w:rPr>
          <w:sz w:val="18"/>
          <w:szCs w:val="18"/>
          <w:lang w:val="fr-CH"/>
        </w:rPr>
        <w:t xml:space="preserve">  UNEP/OzL.Pro/ExCom/97/27. </w:t>
      </w:r>
    </w:p>
  </w:footnote>
  <w:footnote w:id="29">
    <w:p w14:paraId="0DA4A409" w14:textId="3DD282BE" w:rsidR="00511DA2" w:rsidRPr="00AA5B54" w:rsidRDefault="00511DA2" w:rsidP="004A5387">
      <w:pPr>
        <w:pStyle w:val="FootnoteText"/>
        <w:ind w:left="624" w:firstLine="624"/>
        <w:rPr>
          <w:sz w:val="18"/>
          <w:szCs w:val="18"/>
          <w:lang w:val="fr-CH"/>
        </w:rPr>
      </w:pPr>
      <w:r w:rsidRPr="004A5387">
        <w:rPr>
          <w:rStyle w:val="FootnoteReference"/>
          <w:sz w:val="18"/>
          <w:szCs w:val="18"/>
        </w:rPr>
        <w:footnoteRef/>
      </w:r>
      <w:r w:rsidRPr="004A5387">
        <w:rPr>
          <w:sz w:val="18"/>
          <w:szCs w:val="18"/>
          <w:lang w:val="fr"/>
        </w:rPr>
        <w:t>  UNEP/OzL.Pro/ExCom/97/30</w:t>
      </w:r>
      <w:r w:rsidR="006B0C18">
        <w:rPr>
          <w:sz w:val="18"/>
          <w:szCs w:val="18"/>
          <w:lang w:val="fr"/>
        </w:rPr>
        <w:t>.</w:t>
      </w:r>
    </w:p>
  </w:footnote>
  <w:footnote w:id="30">
    <w:p w14:paraId="0035985C" w14:textId="4FEE9926" w:rsidR="00511DA2" w:rsidRPr="00AA5B54" w:rsidRDefault="00511DA2" w:rsidP="004A5387">
      <w:pPr>
        <w:pStyle w:val="FootnoteText"/>
        <w:ind w:left="624" w:firstLine="624"/>
        <w:rPr>
          <w:sz w:val="18"/>
          <w:szCs w:val="18"/>
          <w:lang w:val="fr-CH"/>
        </w:rPr>
      </w:pPr>
      <w:r w:rsidRPr="004A5387">
        <w:rPr>
          <w:rStyle w:val="FootnoteReference"/>
          <w:sz w:val="18"/>
          <w:szCs w:val="18"/>
        </w:rPr>
        <w:footnoteRef/>
      </w:r>
      <w:r w:rsidRPr="004A5387">
        <w:rPr>
          <w:sz w:val="18"/>
          <w:szCs w:val="18"/>
          <w:lang w:val="fr"/>
        </w:rPr>
        <w:t>  UNEP/OzL.Pro/ExCom/97/31</w:t>
      </w:r>
      <w:r w:rsidR="006B0C18">
        <w:rPr>
          <w:sz w:val="18"/>
          <w:szCs w:val="18"/>
          <w:lang w:val="fr"/>
        </w:rPr>
        <w:t>.</w:t>
      </w:r>
    </w:p>
  </w:footnote>
  <w:footnote w:id="31">
    <w:p w14:paraId="23229F8C" w14:textId="0F7636C0" w:rsidR="00511DA2" w:rsidRPr="00AA5B54" w:rsidRDefault="00511DA2" w:rsidP="004A5387">
      <w:pPr>
        <w:pStyle w:val="FootnoteText"/>
        <w:ind w:left="624" w:firstLine="624"/>
        <w:rPr>
          <w:sz w:val="18"/>
          <w:szCs w:val="18"/>
          <w:lang w:val="fr-CH"/>
        </w:rPr>
      </w:pPr>
      <w:r w:rsidRPr="004A5387">
        <w:rPr>
          <w:sz w:val="18"/>
          <w:szCs w:val="18"/>
          <w:vertAlign w:val="superscript"/>
          <w:lang w:val="fr"/>
        </w:rPr>
        <w:footnoteRef/>
      </w:r>
      <w:r w:rsidRPr="004A5387">
        <w:rPr>
          <w:sz w:val="18"/>
          <w:szCs w:val="18"/>
          <w:lang w:val="fr"/>
        </w:rPr>
        <w:t>  UNEP/OzL.Pro/ExCom/97/32</w:t>
      </w:r>
      <w:r w:rsidR="006B0C18">
        <w:rPr>
          <w:sz w:val="18"/>
          <w:szCs w:val="18"/>
          <w:lang w:val="fr"/>
        </w:rPr>
        <w:t>.</w:t>
      </w:r>
    </w:p>
  </w:footnote>
  <w:footnote w:id="32">
    <w:p w14:paraId="024F7217" w14:textId="451F2576" w:rsidR="00511DA2" w:rsidRPr="00AA5B54" w:rsidRDefault="00511DA2" w:rsidP="004A5387">
      <w:pPr>
        <w:pStyle w:val="FootnoteText"/>
        <w:ind w:left="624" w:firstLine="624"/>
        <w:rPr>
          <w:lang w:val="fr-CH"/>
        </w:rPr>
      </w:pPr>
      <w:r w:rsidRPr="004A5387">
        <w:rPr>
          <w:rStyle w:val="FootnoteReference"/>
          <w:sz w:val="18"/>
          <w:szCs w:val="18"/>
        </w:rPr>
        <w:footnoteRef/>
      </w:r>
      <w:r w:rsidRPr="00F41595">
        <w:rPr>
          <w:sz w:val="18"/>
          <w:szCs w:val="18"/>
          <w:lang w:val="fr"/>
        </w:rPr>
        <w:t>  UNEP/OzL.Pro/ExCom/97/33</w:t>
      </w:r>
      <w:r w:rsidR="006B0C18">
        <w:rPr>
          <w:sz w:val="18"/>
          <w:szCs w:val="18"/>
          <w:lang w:val="fr"/>
        </w:rPr>
        <w:t>.</w:t>
      </w:r>
    </w:p>
  </w:footnote>
  <w:footnote w:id="33">
    <w:p w14:paraId="681D362D" w14:textId="2F767F2D" w:rsidR="008A0F0C" w:rsidRPr="00AA5B54" w:rsidRDefault="008A0F0C" w:rsidP="00847B2C">
      <w:pPr>
        <w:pStyle w:val="FootnoteText"/>
        <w:ind w:left="624" w:firstLine="624"/>
        <w:rPr>
          <w:sz w:val="18"/>
          <w:szCs w:val="18"/>
          <w:lang w:val="fr-CH"/>
        </w:rPr>
      </w:pPr>
      <w:r w:rsidRPr="00847B2C">
        <w:rPr>
          <w:rStyle w:val="FootnoteReference"/>
          <w:sz w:val="18"/>
          <w:szCs w:val="18"/>
        </w:rPr>
        <w:footnoteRef/>
      </w:r>
      <w:r w:rsidRPr="00847B2C">
        <w:rPr>
          <w:sz w:val="18"/>
          <w:szCs w:val="18"/>
          <w:lang w:val="fr"/>
        </w:rPr>
        <w:t> UNEP/OzL.Pro/ExCom/98/11.</w:t>
      </w:r>
    </w:p>
  </w:footnote>
  <w:footnote w:id="34">
    <w:p w14:paraId="43B454D5" w14:textId="5BDB00BB" w:rsidR="008A0F0C" w:rsidRPr="00AA5B54" w:rsidRDefault="008A0F0C" w:rsidP="00847B2C">
      <w:pPr>
        <w:pStyle w:val="FootnoteText"/>
        <w:ind w:left="624" w:firstLine="624"/>
        <w:rPr>
          <w:sz w:val="18"/>
          <w:szCs w:val="18"/>
          <w:lang w:val="fr-CH"/>
        </w:rPr>
      </w:pPr>
      <w:r w:rsidRPr="00847B2C">
        <w:rPr>
          <w:rStyle w:val="FootnoteReference"/>
          <w:sz w:val="18"/>
          <w:szCs w:val="18"/>
        </w:rPr>
        <w:footnoteRef/>
      </w:r>
      <w:r w:rsidRPr="00847B2C">
        <w:rPr>
          <w:sz w:val="18"/>
          <w:szCs w:val="18"/>
          <w:lang w:val="fr"/>
        </w:rPr>
        <w:t> UNEP/OzL.Pro/ExCom/98/14.</w:t>
      </w:r>
    </w:p>
  </w:footnote>
  <w:footnote w:id="35">
    <w:p w14:paraId="78274C36" w14:textId="437767CA" w:rsidR="008A0F0C" w:rsidRPr="00AA5B54" w:rsidRDefault="008A0F0C" w:rsidP="00847B2C">
      <w:pPr>
        <w:pStyle w:val="FootnoteText"/>
        <w:ind w:left="624" w:firstLine="624"/>
        <w:rPr>
          <w:sz w:val="18"/>
          <w:szCs w:val="18"/>
          <w:lang w:val="fr-CH"/>
        </w:rPr>
      </w:pPr>
      <w:r w:rsidRPr="00847B2C">
        <w:rPr>
          <w:rStyle w:val="FootnoteReference"/>
          <w:sz w:val="18"/>
          <w:szCs w:val="18"/>
        </w:rPr>
        <w:footnoteRef/>
      </w:r>
      <w:r w:rsidRPr="00847B2C">
        <w:rPr>
          <w:sz w:val="18"/>
          <w:szCs w:val="18"/>
          <w:lang w:val="fr"/>
        </w:rPr>
        <w:t> UNEP/OzL.Pro/ExCom/98/15.</w:t>
      </w:r>
    </w:p>
  </w:footnote>
  <w:footnote w:id="36">
    <w:p w14:paraId="4F54D151" w14:textId="609FF827" w:rsidR="0031371B" w:rsidRPr="00AA5B54" w:rsidRDefault="0031371B" w:rsidP="0031371B">
      <w:pPr>
        <w:pStyle w:val="FootnoteText"/>
        <w:ind w:left="624" w:firstLine="624"/>
        <w:rPr>
          <w:lang w:val="fr-CH"/>
        </w:rPr>
      </w:pPr>
      <w:r w:rsidRPr="0031371B">
        <w:rPr>
          <w:sz w:val="18"/>
          <w:szCs w:val="18"/>
          <w:vertAlign w:val="superscript"/>
          <w:lang w:val="fr"/>
        </w:rPr>
        <w:footnoteRef/>
      </w:r>
      <w:r w:rsidRPr="00847B2C">
        <w:rPr>
          <w:sz w:val="18"/>
          <w:szCs w:val="18"/>
          <w:lang w:val="fr"/>
        </w:rPr>
        <w:t> UNEP/OzL.Pro/ExCom/98/16.</w:t>
      </w:r>
    </w:p>
  </w:footnote>
  <w:footnote w:id="37">
    <w:p w14:paraId="3CD88F02" w14:textId="70AE7328" w:rsidR="00511DA2" w:rsidRPr="00AA5B54" w:rsidRDefault="00511DA2" w:rsidP="00847B2C">
      <w:pPr>
        <w:pStyle w:val="FootnoteText"/>
        <w:ind w:left="624" w:firstLine="624"/>
        <w:rPr>
          <w:sz w:val="18"/>
          <w:szCs w:val="18"/>
          <w:lang w:val="fr-CH"/>
        </w:rPr>
      </w:pPr>
      <w:r w:rsidRPr="00847B2C">
        <w:rPr>
          <w:rStyle w:val="FootnoteReference"/>
          <w:sz w:val="18"/>
          <w:szCs w:val="18"/>
        </w:rPr>
        <w:footnoteRef/>
      </w:r>
      <w:r w:rsidRPr="00AA5B54">
        <w:rPr>
          <w:sz w:val="18"/>
          <w:szCs w:val="18"/>
          <w:lang w:val="fr-CH"/>
        </w:rPr>
        <w:t> UNEP/OzL.Pro/ExCom/97/83 et Add.1</w:t>
      </w:r>
      <w:r w:rsidR="006B0C18">
        <w:rPr>
          <w:sz w:val="18"/>
          <w:szCs w:val="18"/>
          <w:lang w:val="fr-CH"/>
        </w:rPr>
        <w:t>.</w:t>
      </w:r>
    </w:p>
  </w:footnote>
  <w:footnote w:id="38">
    <w:p w14:paraId="5AF31179" w14:textId="77777777"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UNEP/OzL.Pro/ExCom/97/91, Annexe LIX.</w:t>
      </w:r>
    </w:p>
  </w:footnote>
  <w:footnote w:id="39">
    <w:p w14:paraId="39F24652" w14:textId="098D3D06"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UNEP/OzL.Pro/ExCom/97/84.</w:t>
      </w:r>
    </w:p>
  </w:footnote>
  <w:footnote w:id="40">
    <w:p w14:paraId="792ADCDD" w14:textId="0A6AC4FB"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AA5B54">
        <w:rPr>
          <w:sz w:val="18"/>
          <w:szCs w:val="18"/>
          <w:lang w:val="en-GB"/>
        </w:rPr>
        <w:t> UNEP/OzL.Pro/ExCom/97/8.</w:t>
      </w:r>
    </w:p>
  </w:footnote>
  <w:footnote w:id="41">
    <w:p w14:paraId="1DFA4AE7" w14:textId="77777777" w:rsidR="006B0C18" w:rsidRPr="00A45288" w:rsidRDefault="006B0C18" w:rsidP="006B0C18">
      <w:pPr>
        <w:pStyle w:val="FootnoteText"/>
        <w:ind w:left="624" w:firstLine="624"/>
        <w:rPr>
          <w:lang w:val="en-GB"/>
        </w:rPr>
      </w:pPr>
      <w:r w:rsidRPr="00847B2C">
        <w:rPr>
          <w:rStyle w:val="FootnoteReference"/>
          <w:sz w:val="18"/>
          <w:szCs w:val="18"/>
        </w:rPr>
        <w:footnoteRef/>
      </w:r>
      <w:r w:rsidRPr="00847B2C">
        <w:rPr>
          <w:sz w:val="18"/>
          <w:szCs w:val="18"/>
        </w:rPr>
        <w:t> UNEP/OzL.Pro/ExCom/98/5.</w:t>
      </w:r>
    </w:p>
  </w:footnote>
  <w:footnote w:id="42">
    <w:p w14:paraId="0E9BDD04" w14:textId="2DACE333" w:rsidR="003E5C5A" w:rsidRPr="00847B2C" w:rsidRDefault="003E5C5A"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UNEP/OzL.Pro/ExCom/98/9.</w:t>
      </w:r>
    </w:p>
  </w:footnote>
  <w:footnote w:id="43">
    <w:p w14:paraId="0E2F98F3" w14:textId="7B01A65D" w:rsidR="003E5C5A" w:rsidRPr="00847B2C" w:rsidRDefault="003E5C5A"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UNEP/OzL.Pro/ExCom/98/64, annexe XXXVIII.</w:t>
      </w:r>
    </w:p>
  </w:footnote>
  <w:footnote w:id="44">
    <w:p w14:paraId="3B64D1D1" w14:textId="715DD2B2"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UNEP/OzL.Pro/ExCom/97/11.</w:t>
      </w:r>
    </w:p>
  </w:footnote>
  <w:footnote w:id="45">
    <w:p w14:paraId="25D21745" w14:textId="3768F5F8"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UNEP/OzL.Pro/ExCom/97/12.</w:t>
      </w:r>
    </w:p>
  </w:footnote>
  <w:footnote w:id="46">
    <w:p w14:paraId="07D36B77" w14:textId="50B0F5F2"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UNEP/OzL.Pro/ExCom/97/13.</w:t>
      </w:r>
    </w:p>
  </w:footnote>
  <w:footnote w:id="47">
    <w:p w14:paraId="54CE6CF3" w14:textId="2FD8305D"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UNEP/OzL.Pro/ExCom/97/14.</w:t>
      </w:r>
    </w:p>
  </w:footnote>
  <w:footnote w:id="48">
    <w:p w14:paraId="0E369360" w14:textId="13C42566"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UNEP/OzL.Pro/ExCom/97/15.</w:t>
      </w:r>
    </w:p>
  </w:footnote>
  <w:footnote w:id="49">
    <w:p w14:paraId="5EC08F55" w14:textId="66DB63B6" w:rsidR="00511DA2" w:rsidRPr="00847B2C" w:rsidRDefault="00511DA2" w:rsidP="00847B2C">
      <w:pPr>
        <w:pStyle w:val="FootnoteText"/>
        <w:ind w:left="624" w:firstLine="624"/>
        <w:rPr>
          <w:sz w:val="18"/>
          <w:szCs w:val="18"/>
          <w:lang w:val="en-GB"/>
        </w:rPr>
      </w:pPr>
      <w:r w:rsidRPr="00847B2C">
        <w:rPr>
          <w:rStyle w:val="FootnoteReference"/>
          <w:sz w:val="18"/>
          <w:szCs w:val="18"/>
        </w:rPr>
        <w:footnoteRef/>
      </w:r>
      <w:r w:rsidRPr="00847B2C">
        <w:rPr>
          <w:sz w:val="18"/>
          <w:szCs w:val="18"/>
        </w:rPr>
        <w:t> UNEP/OzL.Pro/ExCom/97/16.</w:t>
      </w:r>
    </w:p>
  </w:footnote>
  <w:footnote w:id="50">
    <w:p w14:paraId="1C479855" w14:textId="77777777" w:rsidR="00511DA2" w:rsidRPr="00AA5B54" w:rsidRDefault="00511DA2" w:rsidP="00847B2C">
      <w:pPr>
        <w:pStyle w:val="FootnoteText"/>
        <w:ind w:left="624" w:firstLine="624"/>
        <w:rPr>
          <w:sz w:val="18"/>
          <w:szCs w:val="18"/>
          <w:lang w:val="fr-CH"/>
        </w:rPr>
      </w:pPr>
      <w:r w:rsidRPr="00847B2C">
        <w:rPr>
          <w:rStyle w:val="FootnoteReference"/>
          <w:sz w:val="18"/>
          <w:szCs w:val="18"/>
        </w:rPr>
        <w:footnoteRef/>
      </w:r>
      <w:r w:rsidRPr="00AA5B54">
        <w:rPr>
          <w:sz w:val="18"/>
          <w:szCs w:val="18"/>
          <w:lang w:val="fr-CH"/>
        </w:rPr>
        <w:t> UNEP/OzL.Pro/ExCom/97/91, annexes IV à VIII.</w:t>
      </w:r>
    </w:p>
  </w:footnote>
  <w:footnote w:id="51">
    <w:p w14:paraId="2EB1D166" w14:textId="77777777" w:rsidR="006B0C18" w:rsidRPr="00AA5B54" w:rsidRDefault="006B0C18" w:rsidP="006B0C18">
      <w:pPr>
        <w:pStyle w:val="FootnoteText"/>
        <w:ind w:left="624" w:firstLine="624"/>
        <w:rPr>
          <w:sz w:val="18"/>
          <w:szCs w:val="18"/>
          <w:lang w:val="fr-CH"/>
        </w:rPr>
      </w:pPr>
      <w:r w:rsidRPr="00847B2C">
        <w:rPr>
          <w:rStyle w:val="FootnoteReference"/>
          <w:sz w:val="18"/>
          <w:szCs w:val="18"/>
        </w:rPr>
        <w:footnoteRef/>
      </w:r>
      <w:r w:rsidRPr="00847B2C">
        <w:rPr>
          <w:sz w:val="18"/>
          <w:szCs w:val="18"/>
          <w:lang w:val="fr"/>
        </w:rPr>
        <w:t> UNEP/OzL.Pro/ExCom/97/17 et UNEP/OzL.Pro/ExCom/97/18.</w:t>
      </w:r>
    </w:p>
  </w:footnote>
  <w:footnote w:id="52">
    <w:p w14:paraId="32972F06" w14:textId="30C5F0BB" w:rsidR="00511DA2" w:rsidRPr="00AA5B54" w:rsidRDefault="00511DA2" w:rsidP="00847B2C">
      <w:pPr>
        <w:pStyle w:val="FootnoteText"/>
        <w:ind w:left="624" w:firstLine="624"/>
        <w:rPr>
          <w:sz w:val="18"/>
          <w:szCs w:val="18"/>
          <w:lang w:val="fr-CH"/>
        </w:rPr>
      </w:pPr>
      <w:r w:rsidRPr="00847B2C">
        <w:rPr>
          <w:rStyle w:val="FootnoteReference"/>
          <w:sz w:val="18"/>
          <w:szCs w:val="18"/>
        </w:rPr>
        <w:footnoteRef/>
      </w:r>
      <w:r w:rsidRPr="00847B2C">
        <w:rPr>
          <w:sz w:val="18"/>
          <w:szCs w:val="18"/>
          <w:lang w:val="fr"/>
        </w:rPr>
        <w:t> UNEP/OzL.Pro/ExCom/98/6.</w:t>
      </w:r>
    </w:p>
  </w:footnote>
  <w:footnote w:id="53">
    <w:p w14:paraId="611EB459" w14:textId="33EAF94A" w:rsidR="001335E3" w:rsidRPr="00AA5B54" w:rsidRDefault="001335E3" w:rsidP="00C57BCB">
      <w:pPr>
        <w:pStyle w:val="FootnoteText"/>
        <w:ind w:left="624" w:firstLine="624"/>
        <w:rPr>
          <w:sz w:val="18"/>
          <w:szCs w:val="18"/>
          <w:lang w:val="fr-CH"/>
        </w:rPr>
      </w:pPr>
      <w:r w:rsidRPr="00C57BCB">
        <w:rPr>
          <w:vertAlign w:val="superscript"/>
        </w:rPr>
        <w:footnoteRef/>
      </w:r>
      <w:r w:rsidR="000F6645" w:rsidRPr="00AA5B54">
        <w:rPr>
          <w:sz w:val="18"/>
          <w:szCs w:val="18"/>
          <w:lang w:val="fr-CH"/>
        </w:rPr>
        <w:t> UNEP/OzL.Pro/ExCom/98/64, annexes IV à XXXVII.</w:t>
      </w:r>
    </w:p>
  </w:footnote>
  <w:footnote w:id="54">
    <w:p w14:paraId="768178CF" w14:textId="77777777" w:rsidR="006B0C18" w:rsidRPr="00AA5B54" w:rsidRDefault="006B0C18" w:rsidP="00C57BCB">
      <w:pPr>
        <w:pStyle w:val="FootnoteText"/>
        <w:ind w:left="624" w:firstLine="624"/>
        <w:rPr>
          <w:sz w:val="18"/>
          <w:szCs w:val="18"/>
          <w:lang w:val="fr-CH"/>
        </w:rPr>
      </w:pPr>
      <w:r w:rsidRPr="00C57BCB">
        <w:rPr>
          <w:sz w:val="18"/>
          <w:szCs w:val="18"/>
          <w:vertAlign w:val="superscript"/>
        </w:rPr>
        <w:footnoteRef/>
      </w:r>
      <w:r w:rsidRPr="00AA5B54">
        <w:rPr>
          <w:sz w:val="18"/>
          <w:szCs w:val="18"/>
          <w:lang w:val="fr-CH"/>
        </w:rPr>
        <w:t> UNEP/OzL.Pro/ExCom/98/7.</w:t>
      </w:r>
    </w:p>
  </w:footnote>
  <w:footnote w:id="55">
    <w:p w14:paraId="7E028E18" w14:textId="168E774E" w:rsidR="00CA1473" w:rsidRPr="00AA5B54" w:rsidRDefault="00CA1473" w:rsidP="006B0C18">
      <w:pPr>
        <w:pStyle w:val="FootnoteText"/>
        <w:ind w:left="624" w:firstLine="650"/>
        <w:rPr>
          <w:lang w:val="fr-CH"/>
        </w:rPr>
      </w:pPr>
      <w:r w:rsidRPr="00C57BCB">
        <w:rPr>
          <w:sz w:val="18"/>
          <w:szCs w:val="18"/>
          <w:vertAlign w:val="superscript"/>
        </w:rPr>
        <w:footnoteRef/>
      </w:r>
      <w:r w:rsidRPr="00AA5B54">
        <w:rPr>
          <w:sz w:val="18"/>
          <w:szCs w:val="18"/>
          <w:lang w:val="fr-CH"/>
        </w:rPr>
        <w:t> UNEP/OzL.Pro/ExCom/97/9.</w:t>
      </w:r>
    </w:p>
  </w:footnote>
  <w:footnote w:id="56">
    <w:p w14:paraId="6C476D10" w14:textId="1A144457" w:rsidR="006B0C18" w:rsidRPr="006B0C18" w:rsidRDefault="006B0C18" w:rsidP="00DC525E">
      <w:pPr>
        <w:pStyle w:val="FootnoteText"/>
        <w:ind w:left="1276"/>
        <w:rPr>
          <w:sz w:val="18"/>
          <w:szCs w:val="18"/>
          <w:lang w:val="fr-CH"/>
        </w:rPr>
      </w:pPr>
      <w:r w:rsidRPr="00DC525E">
        <w:rPr>
          <w:sz w:val="18"/>
          <w:szCs w:val="18"/>
          <w:vertAlign w:val="superscript"/>
          <w:lang w:val="fr"/>
        </w:rPr>
        <w:footnoteRef/>
      </w:r>
      <w:r w:rsidRPr="006B0C18">
        <w:rPr>
          <w:sz w:val="18"/>
          <w:szCs w:val="18"/>
          <w:lang w:val="fr-CH"/>
        </w:rPr>
        <w:t xml:space="preserve"> UNEP/OzL.Pro/ExCom/97/10.</w:t>
      </w:r>
    </w:p>
  </w:footnote>
  <w:footnote w:id="57">
    <w:p w14:paraId="7D73450B" w14:textId="72839990" w:rsidR="006B0C18" w:rsidRPr="006B0C18" w:rsidRDefault="006B0C18" w:rsidP="006B0C18">
      <w:pPr>
        <w:pStyle w:val="FootnoteText"/>
        <w:ind w:left="1276"/>
        <w:rPr>
          <w:sz w:val="18"/>
          <w:szCs w:val="18"/>
          <w:lang w:val="fr-CH"/>
        </w:rPr>
      </w:pPr>
      <w:r w:rsidRPr="00DC525E">
        <w:rPr>
          <w:sz w:val="18"/>
          <w:szCs w:val="18"/>
          <w:vertAlign w:val="superscript"/>
          <w:lang w:val="fr"/>
        </w:rPr>
        <w:footnoteRef/>
      </w:r>
      <w:r w:rsidRPr="006B0C18">
        <w:rPr>
          <w:sz w:val="18"/>
          <w:szCs w:val="18"/>
          <w:lang w:val="fr-CH"/>
        </w:rPr>
        <w:t xml:space="preserve"> UNEP/OzL.Pro/ExCom/97/91, Annexe III.</w:t>
      </w:r>
    </w:p>
  </w:footnote>
  <w:footnote w:id="58">
    <w:p w14:paraId="6C11E66C" w14:textId="7E5280E7"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UNEP/OzL.Pro/ExCom/97/19.</w:t>
      </w:r>
    </w:p>
  </w:footnote>
  <w:footnote w:id="59">
    <w:p w14:paraId="05C1A397" w14:textId="3E282384"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UNEP/OzL.Pro/ExCom/97/20.</w:t>
      </w:r>
    </w:p>
  </w:footnote>
  <w:footnote w:id="60">
    <w:p w14:paraId="60A0D602" w14:textId="77777777" w:rsidR="006B0C18" w:rsidRPr="00F81090" w:rsidRDefault="006B0C18" w:rsidP="006B0C18">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UNEP/OzL.Pro/ExCom/97/21.</w:t>
      </w:r>
    </w:p>
  </w:footnote>
  <w:footnote w:id="61">
    <w:p w14:paraId="4D7F0546" w14:textId="24E753B3"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UNEP/OzL.Pro/ExCom/97/22.</w:t>
      </w:r>
    </w:p>
  </w:footnote>
  <w:footnote w:id="62">
    <w:p w14:paraId="1CFA2CC4" w14:textId="5982BE36"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UNEP/OzL.Pro/ExCom/97/23.</w:t>
      </w:r>
    </w:p>
  </w:footnote>
  <w:footnote w:id="63">
    <w:p w14:paraId="449428FB" w14:textId="07C802B3"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UNEP/OzL.Pro/ExCom/97/24.</w:t>
      </w:r>
    </w:p>
  </w:footnote>
  <w:footnote w:id="64">
    <w:p w14:paraId="02F4ED7E" w14:textId="1F1C41C7" w:rsidR="00CA1473" w:rsidRPr="00F81090" w:rsidRDefault="00CA1473" w:rsidP="00DC525E">
      <w:pPr>
        <w:pStyle w:val="FootnoteText"/>
        <w:ind w:left="1276"/>
        <w:rPr>
          <w:sz w:val="18"/>
          <w:szCs w:val="18"/>
          <w:lang w:val="fr-CH"/>
        </w:rPr>
      </w:pPr>
      <w:r w:rsidRPr="00DC525E">
        <w:rPr>
          <w:sz w:val="18"/>
          <w:szCs w:val="18"/>
          <w:vertAlign w:val="superscript"/>
          <w:lang w:val="fr"/>
        </w:rPr>
        <w:footnoteRef/>
      </w:r>
      <w:r w:rsidRPr="00F81090">
        <w:rPr>
          <w:sz w:val="18"/>
          <w:szCs w:val="18"/>
          <w:lang w:val="fr-CH"/>
        </w:rPr>
        <w:t> UNEP/OzL.Pro/ExCom/97/25.</w:t>
      </w:r>
    </w:p>
  </w:footnote>
  <w:footnote w:id="65">
    <w:p w14:paraId="0947B91E" w14:textId="65363EFE" w:rsidR="00CA1473" w:rsidRPr="006B0C18" w:rsidRDefault="00CA1473" w:rsidP="00DC525E">
      <w:pPr>
        <w:pStyle w:val="FootnoteText"/>
        <w:ind w:left="1276"/>
        <w:rPr>
          <w:sz w:val="18"/>
          <w:szCs w:val="18"/>
          <w:lang w:val="fr-CH"/>
        </w:rPr>
      </w:pPr>
      <w:r w:rsidRPr="00DC525E">
        <w:rPr>
          <w:sz w:val="18"/>
          <w:szCs w:val="18"/>
          <w:vertAlign w:val="superscript"/>
          <w:lang w:val="fr"/>
        </w:rPr>
        <w:footnoteRef/>
      </w:r>
      <w:r w:rsidRPr="006B0C18">
        <w:rPr>
          <w:sz w:val="18"/>
          <w:szCs w:val="18"/>
          <w:lang w:val="fr-CH"/>
        </w:rPr>
        <w:t xml:space="preserve"> UNEP/OzL.Pro/ExCom/97/91, annexes XXIV, XXV, XXVI et XXVII. </w:t>
      </w:r>
    </w:p>
  </w:footnote>
  <w:footnote w:id="66">
    <w:p w14:paraId="585CA041" w14:textId="329C7864" w:rsidR="0040579D" w:rsidRPr="00F41595" w:rsidRDefault="0040579D" w:rsidP="00DC525E">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xml:space="preserve"> UNEP/OzL.Pro/ExCom/98/8.</w:t>
      </w:r>
    </w:p>
  </w:footnote>
  <w:footnote w:id="67">
    <w:p w14:paraId="68ED593C" w14:textId="0EEB964E" w:rsidR="00CA1473" w:rsidRPr="00F41595" w:rsidRDefault="00CA1473" w:rsidP="00DC525E">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UNEP/OzL.Pro/ExCom/98/64, annexe I.</w:t>
      </w:r>
    </w:p>
  </w:footnote>
  <w:footnote w:id="68">
    <w:p w14:paraId="3900A41D" w14:textId="77777777" w:rsidR="006B0C18" w:rsidRPr="00F41595" w:rsidRDefault="006B0C18" w:rsidP="006B0C18">
      <w:pPr>
        <w:pStyle w:val="FootnoteText"/>
        <w:ind w:left="1276"/>
        <w:rPr>
          <w:sz w:val="18"/>
          <w:szCs w:val="18"/>
          <w:lang w:val="pt-BR"/>
        </w:rPr>
      </w:pPr>
      <w:r w:rsidRPr="00B5115B">
        <w:rPr>
          <w:sz w:val="18"/>
          <w:szCs w:val="18"/>
          <w:vertAlign w:val="superscript"/>
          <w:lang w:val="fr"/>
        </w:rPr>
        <w:footnoteRef/>
      </w:r>
      <w:r w:rsidRPr="00F41595">
        <w:rPr>
          <w:sz w:val="18"/>
          <w:szCs w:val="18"/>
          <w:vertAlign w:val="superscript"/>
          <w:lang w:val="pt-BR"/>
        </w:rPr>
        <w:t> </w:t>
      </w:r>
      <w:r w:rsidRPr="00F41595">
        <w:rPr>
          <w:sz w:val="18"/>
          <w:szCs w:val="18"/>
          <w:lang w:val="pt-BR"/>
        </w:rPr>
        <w:t>UNEP/OzL.Pro/ExCom/97/3.</w:t>
      </w:r>
    </w:p>
  </w:footnote>
  <w:footnote w:id="69">
    <w:p w14:paraId="34841AE4" w14:textId="77777777" w:rsidR="006B0C18" w:rsidRPr="00F41595" w:rsidRDefault="006B0C18" w:rsidP="006B0C18">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UNEP/OzL.Pro/ExCom/97/4.</w:t>
      </w:r>
    </w:p>
  </w:footnote>
  <w:footnote w:id="70">
    <w:p w14:paraId="658E281F" w14:textId="77777777" w:rsidR="00CA1473" w:rsidRPr="00F41595" w:rsidRDefault="00CA1473" w:rsidP="00DC525E">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UNEP/OzL.Pro/ExCom/97/5.</w:t>
      </w:r>
    </w:p>
  </w:footnote>
  <w:footnote w:id="71">
    <w:p w14:paraId="29DF2309" w14:textId="77777777" w:rsidR="006B0C18" w:rsidRPr="00F41595" w:rsidRDefault="006B0C18" w:rsidP="006B0C18">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UNEP/OzL.Pro/ExCom/97/6.</w:t>
      </w:r>
    </w:p>
  </w:footnote>
  <w:footnote w:id="72">
    <w:p w14:paraId="20AE35AA" w14:textId="77777777" w:rsidR="006B0C18" w:rsidRPr="00F41595" w:rsidRDefault="006B0C18" w:rsidP="006B0C18">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UNEP/OzL.Pro/ExCom/97/7.</w:t>
      </w:r>
    </w:p>
  </w:footnote>
  <w:footnote w:id="73">
    <w:p w14:paraId="33822F30" w14:textId="77777777" w:rsidR="006B0C18" w:rsidRPr="00F41595" w:rsidRDefault="006B0C18" w:rsidP="006B0C18">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xml:space="preserve"> UNEP/OzL.Pro/ExCom/97/91, annexe II.</w:t>
      </w:r>
    </w:p>
  </w:footnote>
  <w:footnote w:id="74">
    <w:p w14:paraId="7A624B12" w14:textId="50C5E103" w:rsidR="00DC525E" w:rsidRPr="00F41595" w:rsidRDefault="00DC525E" w:rsidP="00DC525E">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UNEP/OzL.Pro/ExCom/98/3.</w:t>
      </w:r>
    </w:p>
  </w:footnote>
  <w:footnote w:id="75">
    <w:p w14:paraId="2B23D302" w14:textId="1E0E0C89" w:rsidR="00DC525E" w:rsidRPr="00F41595" w:rsidRDefault="00DC525E" w:rsidP="00DC525E">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UNEP/OzL.Pro/ExCom/98/4.</w:t>
      </w:r>
    </w:p>
  </w:footnote>
  <w:footnote w:id="76">
    <w:p w14:paraId="5024BA2F" w14:textId="6C448F5B" w:rsidR="006B0C18" w:rsidRPr="00F41595" w:rsidRDefault="006B0C18" w:rsidP="006B0C18">
      <w:pPr>
        <w:pStyle w:val="FootnoteText"/>
        <w:ind w:left="1276"/>
        <w:rPr>
          <w:lang w:val="pt-BR"/>
        </w:rPr>
      </w:pPr>
      <w:r w:rsidRPr="00DC525E">
        <w:rPr>
          <w:sz w:val="18"/>
          <w:szCs w:val="18"/>
          <w:vertAlign w:val="superscript"/>
          <w:lang w:val="fr"/>
        </w:rPr>
        <w:footnoteRef/>
      </w:r>
      <w:r w:rsidRPr="00F41595">
        <w:rPr>
          <w:sz w:val="18"/>
          <w:szCs w:val="18"/>
          <w:lang w:val="pt-BR"/>
        </w:rPr>
        <w:t> UNEP/OzL.Pro/ExCom/9</w:t>
      </w:r>
      <w:r w:rsidR="00F81090">
        <w:rPr>
          <w:sz w:val="18"/>
          <w:szCs w:val="18"/>
          <w:lang w:val="pt-BR"/>
        </w:rPr>
        <w:t>7</w:t>
      </w:r>
      <w:r w:rsidRPr="00F41595">
        <w:rPr>
          <w:sz w:val="18"/>
          <w:szCs w:val="18"/>
          <w:lang w:val="pt-BR"/>
        </w:rPr>
        <w:t>/2.</w:t>
      </w:r>
    </w:p>
  </w:footnote>
  <w:footnote w:id="77">
    <w:p w14:paraId="38108C8F" w14:textId="3571FBB6" w:rsidR="006B0C18" w:rsidRPr="00F41595" w:rsidRDefault="006B0C18" w:rsidP="006B0C18">
      <w:pPr>
        <w:pStyle w:val="FootnoteText"/>
        <w:ind w:left="1276"/>
        <w:rPr>
          <w:sz w:val="18"/>
          <w:szCs w:val="18"/>
          <w:lang w:val="pt-BR"/>
        </w:rPr>
      </w:pPr>
      <w:r w:rsidRPr="00DC525E">
        <w:rPr>
          <w:sz w:val="18"/>
          <w:szCs w:val="18"/>
          <w:vertAlign w:val="superscript"/>
          <w:lang w:val="fr"/>
        </w:rPr>
        <w:footnoteRef/>
      </w:r>
      <w:r w:rsidRPr="00F41595">
        <w:rPr>
          <w:sz w:val="18"/>
          <w:szCs w:val="18"/>
          <w:lang w:val="pt-BR"/>
        </w:rPr>
        <w:t> UNEP/OzL.Pro/ExCom/9</w:t>
      </w:r>
      <w:r w:rsidR="00F81090">
        <w:rPr>
          <w:sz w:val="18"/>
          <w:szCs w:val="18"/>
          <w:lang w:val="pt-BR"/>
        </w:rPr>
        <w:t>8</w:t>
      </w:r>
      <w:r w:rsidRPr="00F41595">
        <w:rPr>
          <w:sz w:val="18"/>
          <w:szCs w:val="18"/>
          <w:lang w:val="pt-BR"/>
        </w:rPr>
        <w:t>/2.</w:t>
      </w:r>
    </w:p>
  </w:footnote>
  <w:footnote w:id="78">
    <w:p w14:paraId="098E4359" w14:textId="77777777" w:rsidR="001D4217" w:rsidRPr="00AA5B54" w:rsidRDefault="001D4217" w:rsidP="006B0C18">
      <w:pPr>
        <w:pStyle w:val="FootnoteText"/>
        <w:ind w:left="1276"/>
        <w:jc w:val="left"/>
        <w:rPr>
          <w:sz w:val="18"/>
          <w:szCs w:val="18"/>
          <w:lang w:val="fr-CH"/>
        </w:rPr>
      </w:pPr>
      <w:r w:rsidRPr="000422D9">
        <w:rPr>
          <w:rStyle w:val="FootnoteReference"/>
          <w:sz w:val="18"/>
          <w:szCs w:val="18"/>
        </w:rPr>
        <w:footnoteRef/>
      </w:r>
      <w:r w:rsidRPr="00461D9A">
        <w:rPr>
          <w:sz w:val="18"/>
          <w:szCs w:val="18"/>
          <w:lang w:val="fr"/>
        </w:rPr>
        <w:t> Concerne uniquement les projets approuvés et financés par des contributions régulières.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9BAC" w14:textId="4696DAB6" w:rsidR="00486D8C" w:rsidRPr="00802AD7" w:rsidRDefault="00EF12E2" w:rsidP="00A0256D">
    <w:pPr>
      <w:jc w:val="left"/>
      <w:rPr>
        <w:sz w:val="20"/>
        <w:szCs w:val="20"/>
      </w:rPr>
    </w:pPr>
    <w:r w:rsidRPr="00792C6A">
      <w:rPr>
        <w:sz w:val="20"/>
        <w:szCs w:val="20"/>
      </w:rPr>
      <w:t>UNEP/OzL.Pro.38/8</w:t>
    </w:r>
  </w:p>
  <w:p w14:paraId="4318F877" w14:textId="7F179407" w:rsidR="00486D8C" w:rsidRPr="00802AD7" w:rsidRDefault="00486D8C">
    <w:pPr>
      <w:rPr>
        <w:sz w:val="20"/>
        <w:szCs w:val="20"/>
      </w:rPr>
    </w:pPr>
  </w:p>
  <w:p w14:paraId="3000C50C" w14:textId="77777777" w:rsidR="00486D8C" w:rsidRPr="00802AD7" w:rsidRDefault="00486D8C">
    <w:pP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9F8F5" w14:textId="5FC559FF" w:rsidR="00486D8C" w:rsidRPr="00802AD7" w:rsidRDefault="00100557">
    <w:pPr>
      <w:jc w:val="right"/>
      <w:rPr>
        <w:sz w:val="20"/>
        <w:szCs w:val="20"/>
      </w:rPr>
    </w:pPr>
    <w:r w:rsidRPr="00792C6A">
      <w:rPr>
        <w:sz w:val="20"/>
        <w:szCs w:val="20"/>
      </w:rPr>
      <w:t>UNEP/OzL.Pro.38/8</w:t>
    </w:r>
  </w:p>
  <w:p w14:paraId="7480B979" w14:textId="77777777" w:rsidR="00486D8C" w:rsidRPr="00802AD7" w:rsidRDefault="00486D8C">
    <w:pPr>
      <w:rPr>
        <w:sz w:val="20"/>
        <w:szCs w:val="20"/>
      </w:rPr>
    </w:pPr>
  </w:p>
  <w:p w14:paraId="09585B6F" w14:textId="77777777" w:rsidR="00486D8C" w:rsidRPr="00802AD7" w:rsidRDefault="00486D8C">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A598" w14:textId="77777777" w:rsidR="00A0256D" w:rsidRPr="00802AD7" w:rsidRDefault="00A0256D" w:rsidP="00A0256D">
    <w:pPr>
      <w:jc w:val="right"/>
      <w:rPr>
        <w:sz w:val="20"/>
        <w:szCs w:val="20"/>
      </w:rPr>
    </w:pPr>
    <w:r w:rsidRPr="00792C6A">
      <w:rPr>
        <w:sz w:val="20"/>
        <w:szCs w:val="20"/>
      </w:rPr>
      <w:t>UNEP/OzL.Pro.38/8</w:t>
    </w:r>
  </w:p>
  <w:p w14:paraId="1E6E708D" w14:textId="77777777" w:rsidR="00A0256D" w:rsidRDefault="00A0256D">
    <w:pPr>
      <w:pStyle w:val="Header"/>
    </w:pPr>
  </w:p>
  <w:p w14:paraId="6EA2341C" w14:textId="77777777" w:rsidR="00A0256D" w:rsidRDefault="00A02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7548BB0C"/>
    <w:styleLink w:val="ArticleSection1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F8189B"/>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295F3E"/>
    <w:multiLevelType w:val="hybridMultilevel"/>
    <w:tmpl w:val="BBE0274E"/>
    <w:lvl w:ilvl="0" w:tplc="87E6F8D6">
      <w:start w:val="1"/>
      <w:numFmt w:val="lowerRoman"/>
      <w:pStyle w:val="Letteredlist"/>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973175464">
    <w:abstractNumId w:val="2"/>
  </w:num>
  <w:num w:numId="2" w16cid:durableId="1365055640">
    <w:abstractNumId w:val="7"/>
  </w:num>
  <w:num w:numId="3" w16cid:durableId="191653987">
    <w:abstractNumId w:val="10"/>
  </w:num>
  <w:num w:numId="4" w16cid:durableId="1397359684">
    <w:abstractNumId w:val="11"/>
  </w:num>
  <w:num w:numId="5" w16cid:durableId="486364156">
    <w:abstractNumId w:val="16"/>
  </w:num>
  <w:num w:numId="6" w16cid:durableId="1367749973">
    <w:abstractNumId w:val="8"/>
  </w:num>
  <w:num w:numId="7" w16cid:durableId="1255241588">
    <w:abstractNumId w:val="12"/>
  </w:num>
  <w:num w:numId="8" w16cid:durableId="1588690312">
    <w:abstractNumId w:val="5"/>
  </w:num>
  <w:num w:numId="9" w16cid:durableId="191766924">
    <w:abstractNumId w:val="14"/>
  </w:num>
  <w:num w:numId="10" w16cid:durableId="295913101">
    <w:abstractNumId w:val="3"/>
  </w:num>
  <w:num w:numId="11" w16cid:durableId="1821455066">
    <w:abstractNumId w:val="2"/>
    <w:lvlOverride w:ilvl="0">
      <w:lvl w:ilvl="0">
        <w:start w:val="1"/>
        <w:numFmt w:val="lowerLetter"/>
        <w:pStyle w:val="Heading1"/>
        <w:lvlText w:val="%1)"/>
        <w:lvlJc w:val="left"/>
        <w:pPr>
          <w:ind w:left="1800" w:hanging="360"/>
        </w:pPr>
      </w:lvl>
    </w:lvlOverride>
    <w:lvlOverride w:ilvl="1">
      <w:lvl w:ilvl="1">
        <w:start w:val="1"/>
        <w:numFmt w:val="lowerLetter"/>
        <w:pStyle w:val="Heading2"/>
        <w:lvlText w:val="%2."/>
        <w:lvlJc w:val="left"/>
        <w:pPr>
          <w:ind w:left="2520" w:hanging="360"/>
        </w:pPr>
      </w:lvl>
    </w:lvlOverride>
    <w:lvlOverride w:ilvl="2">
      <w:lvl w:ilvl="2" w:tentative="1">
        <w:start w:val="1"/>
        <w:numFmt w:val="lowerRoman"/>
        <w:pStyle w:val="Heading3"/>
        <w:lvlText w:val="%3."/>
        <w:lvlJc w:val="right"/>
        <w:pPr>
          <w:ind w:left="3240" w:hanging="180"/>
        </w:pPr>
      </w:lvl>
    </w:lvlOverride>
    <w:lvlOverride w:ilvl="3">
      <w:lvl w:ilvl="3" w:tentative="1">
        <w:start w:val="1"/>
        <w:numFmt w:val="decimal"/>
        <w:pStyle w:val="Heading4"/>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pStyle w:val="Heading6"/>
        <w:lvlText w:val="%6."/>
        <w:lvlJc w:val="right"/>
        <w:pPr>
          <w:ind w:left="5400" w:hanging="180"/>
        </w:pPr>
      </w:lvl>
    </w:lvlOverride>
    <w:lvlOverride w:ilvl="6">
      <w:lvl w:ilvl="6" w:tentative="1">
        <w:start w:val="1"/>
        <w:numFmt w:val="decimal"/>
        <w:pStyle w:val="Heading7"/>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pStyle w:val="Heading9"/>
        <w:lvlText w:val="%9."/>
        <w:lvlJc w:val="right"/>
        <w:pPr>
          <w:ind w:left="7560" w:hanging="180"/>
        </w:pPr>
      </w:lvl>
    </w:lvlOverride>
  </w:num>
  <w:num w:numId="12" w16cid:durableId="257326075">
    <w:abstractNumId w:val="4"/>
  </w:num>
  <w:num w:numId="13" w16cid:durableId="556742216">
    <w:abstractNumId w:val="15"/>
  </w:num>
  <w:num w:numId="14" w16cid:durableId="1787504013">
    <w:abstractNumId w:val="1"/>
  </w:num>
  <w:num w:numId="15" w16cid:durableId="691304417">
    <w:abstractNumId w:val="0"/>
  </w:num>
  <w:num w:numId="16" w16cid:durableId="1828861126">
    <w:abstractNumId w:val="17"/>
  </w:num>
  <w:num w:numId="17" w16cid:durableId="2096129971">
    <w:abstractNumId w:val="13"/>
  </w:num>
  <w:num w:numId="18" w16cid:durableId="616718617">
    <w:abstractNumId w:val="9"/>
  </w:num>
  <w:num w:numId="19" w16cid:durableId="1611086210">
    <w:abstractNumId w:val="6"/>
  </w:num>
  <w:num w:numId="20" w16cid:durableId="2124154800">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4096" w:nlCheck="1" w:checkStyle="0"/>
  <w:activeWritingStyle w:appName="MSWord" w:lang="pt-BR" w:vendorID="64" w:dllVersion="4096"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24"/>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6CA"/>
    <w:rsid w:val="00000FED"/>
    <w:rsid w:val="0000434E"/>
    <w:rsid w:val="00005577"/>
    <w:rsid w:val="0000561C"/>
    <w:rsid w:val="00006DBD"/>
    <w:rsid w:val="00007772"/>
    <w:rsid w:val="000078B3"/>
    <w:rsid w:val="00011DE2"/>
    <w:rsid w:val="000128E2"/>
    <w:rsid w:val="00012E78"/>
    <w:rsid w:val="000147B5"/>
    <w:rsid w:val="00015C15"/>
    <w:rsid w:val="000167B1"/>
    <w:rsid w:val="00016A27"/>
    <w:rsid w:val="000211A9"/>
    <w:rsid w:val="0002228F"/>
    <w:rsid w:val="00023448"/>
    <w:rsid w:val="00024F5B"/>
    <w:rsid w:val="00024FDC"/>
    <w:rsid w:val="0002538B"/>
    <w:rsid w:val="000256E3"/>
    <w:rsid w:val="00026079"/>
    <w:rsid w:val="00027004"/>
    <w:rsid w:val="00030261"/>
    <w:rsid w:val="00030B76"/>
    <w:rsid w:val="00030F3D"/>
    <w:rsid w:val="00031260"/>
    <w:rsid w:val="00031DAA"/>
    <w:rsid w:val="00032058"/>
    <w:rsid w:val="0003206B"/>
    <w:rsid w:val="0003303E"/>
    <w:rsid w:val="00033200"/>
    <w:rsid w:val="0003400B"/>
    <w:rsid w:val="0003681A"/>
    <w:rsid w:val="000372B7"/>
    <w:rsid w:val="00040235"/>
    <w:rsid w:val="000417EA"/>
    <w:rsid w:val="000422D9"/>
    <w:rsid w:val="00042C33"/>
    <w:rsid w:val="00043665"/>
    <w:rsid w:val="00044F88"/>
    <w:rsid w:val="00050F6E"/>
    <w:rsid w:val="00051061"/>
    <w:rsid w:val="0005159D"/>
    <w:rsid w:val="00053C51"/>
    <w:rsid w:val="000567B4"/>
    <w:rsid w:val="000568AD"/>
    <w:rsid w:val="00057C87"/>
    <w:rsid w:val="000600AC"/>
    <w:rsid w:val="000607BB"/>
    <w:rsid w:val="000609B1"/>
    <w:rsid w:val="0006113D"/>
    <w:rsid w:val="000615C7"/>
    <w:rsid w:val="00061EC2"/>
    <w:rsid w:val="000621FB"/>
    <w:rsid w:val="000628B4"/>
    <w:rsid w:val="000632EB"/>
    <w:rsid w:val="00063937"/>
    <w:rsid w:val="00063C01"/>
    <w:rsid w:val="00064D5D"/>
    <w:rsid w:val="00065579"/>
    <w:rsid w:val="00065707"/>
    <w:rsid w:val="000661B5"/>
    <w:rsid w:val="0006685E"/>
    <w:rsid w:val="00066CE8"/>
    <w:rsid w:val="00067439"/>
    <w:rsid w:val="000731D4"/>
    <w:rsid w:val="00074941"/>
    <w:rsid w:val="00075BF9"/>
    <w:rsid w:val="00077124"/>
    <w:rsid w:val="0008048D"/>
    <w:rsid w:val="00080C9B"/>
    <w:rsid w:val="00080ED0"/>
    <w:rsid w:val="00081DE2"/>
    <w:rsid w:val="0008315E"/>
    <w:rsid w:val="00084271"/>
    <w:rsid w:val="00085B8F"/>
    <w:rsid w:val="00086BE7"/>
    <w:rsid w:val="00087980"/>
    <w:rsid w:val="00087AEF"/>
    <w:rsid w:val="00090481"/>
    <w:rsid w:val="000904BE"/>
    <w:rsid w:val="00091AE9"/>
    <w:rsid w:val="00091CC2"/>
    <w:rsid w:val="0009298F"/>
    <w:rsid w:val="00093D4C"/>
    <w:rsid w:val="0009427C"/>
    <w:rsid w:val="00094557"/>
    <w:rsid w:val="00094977"/>
    <w:rsid w:val="00094B4A"/>
    <w:rsid w:val="000952E8"/>
    <w:rsid w:val="000958D2"/>
    <w:rsid w:val="00095E2E"/>
    <w:rsid w:val="00096ED5"/>
    <w:rsid w:val="00097BDA"/>
    <w:rsid w:val="000A03A5"/>
    <w:rsid w:val="000A134D"/>
    <w:rsid w:val="000A1893"/>
    <w:rsid w:val="000A1A88"/>
    <w:rsid w:val="000A2C31"/>
    <w:rsid w:val="000A30DE"/>
    <w:rsid w:val="000A3103"/>
    <w:rsid w:val="000A3826"/>
    <w:rsid w:val="000A3860"/>
    <w:rsid w:val="000A3978"/>
    <w:rsid w:val="000A4A4D"/>
    <w:rsid w:val="000A6988"/>
    <w:rsid w:val="000A6C26"/>
    <w:rsid w:val="000A6E65"/>
    <w:rsid w:val="000A79FC"/>
    <w:rsid w:val="000B0C31"/>
    <w:rsid w:val="000B3268"/>
    <w:rsid w:val="000B3F0F"/>
    <w:rsid w:val="000B42D3"/>
    <w:rsid w:val="000B4971"/>
    <w:rsid w:val="000B74FD"/>
    <w:rsid w:val="000C03E1"/>
    <w:rsid w:val="000C3CE5"/>
    <w:rsid w:val="000C473B"/>
    <w:rsid w:val="000C4CCE"/>
    <w:rsid w:val="000C5462"/>
    <w:rsid w:val="000C57A0"/>
    <w:rsid w:val="000C6051"/>
    <w:rsid w:val="000C6A81"/>
    <w:rsid w:val="000C7855"/>
    <w:rsid w:val="000C7982"/>
    <w:rsid w:val="000D07AB"/>
    <w:rsid w:val="000D1CD3"/>
    <w:rsid w:val="000D3F5D"/>
    <w:rsid w:val="000D52A4"/>
    <w:rsid w:val="000D6353"/>
    <w:rsid w:val="000D6AB7"/>
    <w:rsid w:val="000D7C4D"/>
    <w:rsid w:val="000D7F0B"/>
    <w:rsid w:val="000E07BC"/>
    <w:rsid w:val="000E1097"/>
    <w:rsid w:val="000E1DF9"/>
    <w:rsid w:val="000E3178"/>
    <w:rsid w:val="000E3CA7"/>
    <w:rsid w:val="000E4BFE"/>
    <w:rsid w:val="000E4C87"/>
    <w:rsid w:val="000E6AEC"/>
    <w:rsid w:val="000F0039"/>
    <w:rsid w:val="000F01CB"/>
    <w:rsid w:val="000F1CD4"/>
    <w:rsid w:val="000F271D"/>
    <w:rsid w:val="000F2D30"/>
    <w:rsid w:val="000F2D5D"/>
    <w:rsid w:val="000F3D41"/>
    <w:rsid w:val="000F4103"/>
    <w:rsid w:val="000F4905"/>
    <w:rsid w:val="000F4A5F"/>
    <w:rsid w:val="000F551D"/>
    <w:rsid w:val="000F56F1"/>
    <w:rsid w:val="000F5E80"/>
    <w:rsid w:val="000F6645"/>
    <w:rsid w:val="000F70A7"/>
    <w:rsid w:val="000F757C"/>
    <w:rsid w:val="001003AA"/>
    <w:rsid w:val="00100557"/>
    <w:rsid w:val="00101A4F"/>
    <w:rsid w:val="001030FC"/>
    <w:rsid w:val="00104AD4"/>
    <w:rsid w:val="00106A7B"/>
    <w:rsid w:val="0011248C"/>
    <w:rsid w:val="00113A97"/>
    <w:rsid w:val="00113CCA"/>
    <w:rsid w:val="00114F5A"/>
    <w:rsid w:val="001156A1"/>
    <w:rsid w:val="00115991"/>
    <w:rsid w:val="001175FE"/>
    <w:rsid w:val="00117C10"/>
    <w:rsid w:val="00122F25"/>
    <w:rsid w:val="0012423F"/>
    <w:rsid w:val="0012495D"/>
    <w:rsid w:val="00124A00"/>
    <w:rsid w:val="00124F3F"/>
    <w:rsid w:val="00126441"/>
    <w:rsid w:val="00126533"/>
    <w:rsid w:val="00126A9D"/>
    <w:rsid w:val="00126DFE"/>
    <w:rsid w:val="00127D20"/>
    <w:rsid w:val="00131537"/>
    <w:rsid w:val="001334DE"/>
    <w:rsid w:val="001335E3"/>
    <w:rsid w:val="001357FA"/>
    <w:rsid w:val="00135980"/>
    <w:rsid w:val="00135E60"/>
    <w:rsid w:val="001360D6"/>
    <w:rsid w:val="001361D6"/>
    <w:rsid w:val="0013654E"/>
    <w:rsid w:val="00136C74"/>
    <w:rsid w:val="001417A5"/>
    <w:rsid w:val="00141F6B"/>
    <w:rsid w:val="00142211"/>
    <w:rsid w:val="001425A5"/>
    <w:rsid w:val="001426BE"/>
    <w:rsid w:val="00143732"/>
    <w:rsid w:val="001444A1"/>
    <w:rsid w:val="0014549A"/>
    <w:rsid w:val="0014645A"/>
    <w:rsid w:val="00147026"/>
    <w:rsid w:val="00153E55"/>
    <w:rsid w:val="00154FB3"/>
    <w:rsid w:val="00156270"/>
    <w:rsid w:val="00164719"/>
    <w:rsid w:val="001648A7"/>
    <w:rsid w:val="00164984"/>
    <w:rsid w:val="001650E5"/>
    <w:rsid w:val="001659A2"/>
    <w:rsid w:val="00165D0E"/>
    <w:rsid w:val="00166AEB"/>
    <w:rsid w:val="00166FC4"/>
    <w:rsid w:val="001677AC"/>
    <w:rsid w:val="001718F3"/>
    <w:rsid w:val="001737A4"/>
    <w:rsid w:val="0017463D"/>
    <w:rsid w:val="001769E3"/>
    <w:rsid w:val="001804EA"/>
    <w:rsid w:val="001813E1"/>
    <w:rsid w:val="00181432"/>
    <w:rsid w:val="00181D4D"/>
    <w:rsid w:val="00182655"/>
    <w:rsid w:val="001827ED"/>
    <w:rsid w:val="00182981"/>
    <w:rsid w:val="00182CF0"/>
    <w:rsid w:val="001844B2"/>
    <w:rsid w:val="001847B1"/>
    <w:rsid w:val="00184D22"/>
    <w:rsid w:val="00185E83"/>
    <w:rsid w:val="0019004B"/>
    <w:rsid w:val="00190A61"/>
    <w:rsid w:val="00192522"/>
    <w:rsid w:val="00192C8E"/>
    <w:rsid w:val="00193CCD"/>
    <w:rsid w:val="00193CE7"/>
    <w:rsid w:val="00195152"/>
    <w:rsid w:val="001952BD"/>
    <w:rsid w:val="00197EE4"/>
    <w:rsid w:val="001A18F7"/>
    <w:rsid w:val="001A2215"/>
    <w:rsid w:val="001A3207"/>
    <w:rsid w:val="001A3342"/>
    <w:rsid w:val="001A3A70"/>
    <w:rsid w:val="001A3E3D"/>
    <w:rsid w:val="001A48F0"/>
    <w:rsid w:val="001A551D"/>
    <w:rsid w:val="001A564F"/>
    <w:rsid w:val="001A58AF"/>
    <w:rsid w:val="001A6064"/>
    <w:rsid w:val="001A678A"/>
    <w:rsid w:val="001A7049"/>
    <w:rsid w:val="001A7491"/>
    <w:rsid w:val="001B0DD0"/>
    <w:rsid w:val="001B0E40"/>
    <w:rsid w:val="001B0F93"/>
    <w:rsid w:val="001B1E40"/>
    <w:rsid w:val="001B1EE2"/>
    <w:rsid w:val="001B2063"/>
    <w:rsid w:val="001B339C"/>
    <w:rsid w:val="001B39ED"/>
    <w:rsid w:val="001B435A"/>
    <w:rsid w:val="001B65DE"/>
    <w:rsid w:val="001B7000"/>
    <w:rsid w:val="001B7B48"/>
    <w:rsid w:val="001C04A5"/>
    <w:rsid w:val="001C0F5C"/>
    <w:rsid w:val="001C1AE1"/>
    <w:rsid w:val="001C34ED"/>
    <w:rsid w:val="001C38D1"/>
    <w:rsid w:val="001C50D4"/>
    <w:rsid w:val="001C5ADE"/>
    <w:rsid w:val="001C6BD9"/>
    <w:rsid w:val="001C764E"/>
    <w:rsid w:val="001D0CC3"/>
    <w:rsid w:val="001D150C"/>
    <w:rsid w:val="001D19B0"/>
    <w:rsid w:val="001D359F"/>
    <w:rsid w:val="001D3AF1"/>
    <w:rsid w:val="001D4217"/>
    <w:rsid w:val="001D42A2"/>
    <w:rsid w:val="001D4A22"/>
    <w:rsid w:val="001D560A"/>
    <w:rsid w:val="001D5FD2"/>
    <w:rsid w:val="001E0A68"/>
    <w:rsid w:val="001E1052"/>
    <w:rsid w:val="001E2078"/>
    <w:rsid w:val="001E21B1"/>
    <w:rsid w:val="001E2F93"/>
    <w:rsid w:val="001E4554"/>
    <w:rsid w:val="001E4DD4"/>
    <w:rsid w:val="001E5E93"/>
    <w:rsid w:val="001E61E5"/>
    <w:rsid w:val="001E6DAE"/>
    <w:rsid w:val="001F1159"/>
    <w:rsid w:val="001F2159"/>
    <w:rsid w:val="001F5851"/>
    <w:rsid w:val="001F74DC"/>
    <w:rsid w:val="002004FF"/>
    <w:rsid w:val="00200502"/>
    <w:rsid w:val="002007D3"/>
    <w:rsid w:val="00202BB7"/>
    <w:rsid w:val="00203D08"/>
    <w:rsid w:val="00204139"/>
    <w:rsid w:val="00204CDE"/>
    <w:rsid w:val="00205BAF"/>
    <w:rsid w:val="00206A95"/>
    <w:rsid w:val="0020711E"/>
    <w:rsid w:val="002073E7"/>
    <w:rsid w:val="00210AD7"/>
    <w:rsid w:val="00210B8B"/>
    <w:rsid w:val="002123E7"/>
    <w:rsid w:val="00214863"/>
    <w:rsid w:val="002156B4"/>
    <w:rsid w:val="00215993"/>
    <w:rsid w:val="002206FF"/>
    <w:rsid w:val="00220C49"/>
    <w:rsid w:val="00223D5E"/>
    <w:rsid w:val="00224FCD"/>
    <w:rsid w:val="00225948"/>
    <w:rsid w:val="00230503"/>
    <w:rsid w:val="0023064F"/>
    <w:rsid w:val="002306E4"/>
    <w:rsid w:val="00231207"/>
    <w:rsid w:val="0023193A"/>
    <w:rsid w:val="00231AD6"/>
    <w:rsid w:val="002327EA"/>
    <w:rsid w:val="00232E07"/>
    <w:rsid w:val="00233A88"/>
    <w:rsid w:val="00233AB4"/>
    <w:rsid w:val="002358CB"/>
    <w:rsid w:val="00235951"/>
    <w:rsid w:val="00235DF4"/>
    <w:rsid w:val="0024063F"/>
    <w:rsid w:val="002407EF"/>
    <w:rsid w:val="00241853"/>
    <w:rsid w:val="00242324"/>
    <w:rsid w:val="002437C7"/>
    <w:rsid w:val="00244D65"/>
    <w:rsid w:val="002454E8"/>
    <w:rsid w:val="002460B6"/>
    <w:rsid w:val="00246B9D"/>
    <w:rsid w:val="00247F06"/>
    <w:rsid w:val="0025010F"/>
    <w:rsid w:val="00250A4D"/>
    <w:rsid w:val="002527E9"/>
    <w:rsid w:val="002528C5"/>
    <w:rsid w:val="00253222"/>
    <w:rsid w:val="002533C3"/>
    <w:rsid w:val="00254AB0"/>
    <w:rsid w:val="0025745A"/>
    <w:rsid w:val="00257A67"/>
    <w:rsid w:val="00257C89"/>
    <w:rsid w:val="002619A8"/>
    <w:rsid w:val="00262847"/>
    <w:rsid w:val="00262F56"/>
    <w:rsid w:val="002633B0"/>
    <w:rsid w:val="002645CB"/>
    <w:rsid w:val="0026570C"/>
    <w:rsid w:val="002668F1"/>
    <w:rsid w:val="00266998"/>
    <w:rsid w:val="002675AB"/>
    <w:rsid w:val="00275570"/>
    <w:rsid w:val="00275D91"/>
    <w:rsid w:val="00276A0A"/>
    <w:rsid w:val="00276A75"/>
    <w:rsid w:val="002772FB"/>
    <w:rsid w:val="00277367"/>
    <w:rsid w:val="00277594"/>
    <w:rsid w:val="0028091B"/>
    <w:rsid w:val="00281BB2"/>
    <w:rsid w:val="002826ED"/>
    <w:rsid w:val="002827D0"/>
    <w:rsid w:val="00282FE8"/>
    <w:rsid w:val="0028434A"/>
    <w:rsid w:val="00284748"/>
    <w:rsid w:val="00284D9A"/>
    <w:rsid w:val="002854CA"/>
    <w:rsid w:val="00286009"/>
    <w:rsid w:val="00286444"/>
    <w:rsid w:val="0028691F"/>
    <w:rsid w:val="002875FC"/>
    <w:rsid w:val="00287DCA"/>
    <w:rsid w:val="002913FC"/>
    <w:rsid w:val="00292311"/>
    <w:rsid w:val="00292889"/>
    <w:rsid w:val="00292FAA"/>
    <w:rsid w:val="002948E6"/>
    <w:rsid w:val="00295126"/>
    <w:rsid w:val="00295728"/>
    <w:rsid w:val="00295E44"/>
    <w:rsid w:val="00297433"/>
    <w:rsid w:val="00297847"/>
    <w:rsid w:val="002A007C"/>
    <w:rsid w:val="002A018C"/>
    <w:rsid w:val="002A1DFF"/>
    <w:rsid w:val="002A2842"/>
    <w:rsid w:val="002A387A"/>
    <w:rsid w:val="002A391C"/>
    <w:rsid w:val="002A4C08"/>
    <w:rsid w:val="002B09C7"/>
    <w:rsid w:val="002B11D4"/>
    <w:rsid w:val="002B254E"/>
    <w:rsid w:val="002B667C"/>
    <w:rsid w:val="002B72E9"/>
    <w:rsid w:val="002B7E51"/>
    <w:rsid w:val="002C0957"/>
    <w:rsid w:val="002C1682"/>
    <w:rsid w:val="002C2295"/>
    <w:rsid w:val="002C22A6"/>
    <w:rsid w:val="002C3AA0"/>
    <w:rsid w:val="002C3B2F"/>
    <w:rsid w:val="002C4066"/>
    <w:rsid w:val="002C4D1F"/>
    <w:rsid w:val="002C59E2"/>
    <w:rsid w:val="002C74D4"/>
    <w:rsid w:val="002C7998"/>
    <w:rsid w:val="002D05A1"/>
    <w:rsid w:val="002D110B"/>
    <w:rsid w:val="002D2291"/>
    <w:rsid w:val="002D3D50"/>
    <w:rsid w:val="002D5DCD"/>
    <w:rsid w:val="002D6E84"/>
    <w:rsid w:val="002D728B"/>
    <w:rsid w:val="002D750A"/>
    <w:rsid w:val="002D75D8"/>
    <w:rsid w:val="002D7C91"/>
    <w:rsid w:val="002E0656"/>
    <w:rsid w:val="002E10C4"/>
    <w:rsid w:val="002E1AD9"/>
    <w:rsid w:val="002E1D13"/>
    <w:rsid w:val="002E22CA"/>
    <w:rsid w:val="002E27EE"/>
    <w:rsid w:val="002E4012"/>
    <w:rsid w:val="002E6086"/>
    <w:rsid w:val="002E64F0"/>
    <w:rsid w:val="002F0AB5"/>
    <w:rsid w:val="002F17C7"/>
    <w:rsid w:val="002F1E53"/>
    <w:rsid w:val="002F20E9"/>
    <w:rsid w:val="002F2CAA"/>
    <w:rsid w:val="002F2ED3"/>
    <w:rsid w:val="002F2F3B"/>
    <w:rsid w:val="002F3142"/>
    <w:rsid w:val="002F4ADB"/>
    <w:rsid w:val="002F77CB"/>
    <w:rsid w:val="002F7980"/>
    <w:rsid w:val="002F7CD0"/>
    <w:rsid w:val="002F7DA5"/>
    <w:rsid w:val="002F7F3C"/>
    <w:rsid w:val="00300400"/>
    <w:rsid w:val="0030052C"/>
    <w:rsid w:val="003010BB"/>
    <w:rsid w:val="0030118F"/>
    <w:rsid w:val="00301547"/>
    <w:rsid w:val="00301F02"/>
    <w:rsid w:val="00302630"/>
    <w:rsid w:val="00302929"/>
    <w:rsid w:val="003036DE"/>
    <w:rsid w:val="00303DEF"/>
    <w:rsid w:val="00304097"/>
    <w:rsid w:val="00304A1D"/>
    <w:rsid w:val="00305462"/>
    <w:rsid w:val="0030580C"/>
    <w:rsid w:val="00307FC5"/>
    <w:rsid w:val="003102B4"/>
    <w:rsid w:val="00310E08"/>
    <w:rsid w:val="00311533"/>
    <w:rsid w:val="003135F8"/>
    <w:rsid w:val="0031371B"/>
    <w:rsid w:val="003147E5"/>
    <w:rsid w:val="0031551D"/>
    <w:rsid w:val="00317403"/>
    <w:rsid w:val="00317AE9"/>
    <w:rsid w:val="003208C3"/>
    <w:rsid w:val="00320C55"/>
    <w:rsid w:val="00320CA7"/>
    <w:rsid w:val="00321A02"/>
    <w:rsid w:val="00321FD4"/>
    <w:rsid w:val="00322444"/>
    <w:rsid w:val="003238A4"/>
    <w:rsid w:val="00323ED0"/>
    <w:rsid w:val="00323F96"/>
    <w:rsid w:val="00324979"/>
    <w:rsid w:val="00326081"/>
    <w:rsid w:val="00326B01"/>
    <w:rsid w:val="003272AD"/>
    <w:rsid w:val="003306E1"/>
    <w:rsid w:val="00331C7A"/>
    <w:rsid w:val="00331F49"/>
    <w:rsid w:val="003320E4"/>
    <w:rsid w:val="00333FC0"/>
    <w:rsid w:val="00334BC4"/>
    <w:rsid w:val="003351E5"/>
    <w:rsid w:val="0033525D"/>
    <w:rsid w:val="00335498"/>
    <w:rsid w:val="0033693C"/>
    <w:rsid w:val="0033745E"/>
    <w:rsid w:val="0034054A"/>
    <w:rsid w:val="00340A49"/>
    <w:rsid w:val="003414F3"/>
    <w:rsid w:val="003431B1"/>
    <w:rsid w:val="003437BA"/>
    <w:rsid w:val="00344718"/>
    <w:rsid w:val="00344BAC"/>
    <w:rsid w:val="00345043"/>
    <w:rsid w:val="003503D5"/>
    <w:rsid w:val="00350442"/>
    <w:rsid w:val="00350B36"/>
    <w:rsid w:val="00351639"/>
    <w:rsid w:val="003517F6"/>
    <w:rsid w:val="003527C3"/>
    <w:rsid w:val="0035325F"/>
    <w:rsid w:val="00355761"/>
    <w:rsid w:val="003558C4"/>
    <w:rsid w:val="0035613E"/>
    <w:rsid w:val="0035658D"/>
    <w:rsid w:val="00356DA6"/>
    <w:rsid w:val="00357C9B"/>
    <w:rsid w:val="00357D02"/>
    <w:rsid w:val="00360314"/>
    <w:rsid w:val="0036103C"/>
    <w:rsid w:val="0036130A"/>
    <w:rsid w:val="00361A26"/>
    <w:rsid w:val="00362601"/>
    <w:rsid w:val="00363EE9"/>
    <w:rsid w:val="003642D7"/>
    <w:rsid w:val="0036507D"/>
    <w:rsid w:val="003666E6"/>
    <w:rsid w:val="00367061"/>
    <w:rsid w:val="00367CDE"/>
    <w:rsid w:val="00370D86"/>
    <w:rsid w:val="00371F02"/>
    <w:rsid w:val="00372043"/>
    <w:rsid w:val="0037291D"/>
    <w:rsid w:val="00372F67"/>
    <w:rsid w:val="00373438"/>
    <w:rsid w:val="00373F98"/>
    <w:rsid w:val="00374706"/>
    <w:rsid w:val="003747C9"/>
    <w:rsid w:val="00376128"/>
    <w:rsid w:val="003768A4"/>
    <w:rsid w:val="00376F73"/>
    <w:rsid w:val="003772EA"/>
    <w:rsid w:val="0037742E"/>
    <w:rsid w:val="003779C7"/>
    <w:rsid w:val="00377D56"/>
    <w:rsid w:val="00377E25"/>
    <w:rsid w:val="00380306"/>
    <w:rsid w:val="00380D12"/>
    <w:rsid w:val="00380D1E"/>
    <w:rsid w:val="003810D5"/>
    <w:rsid w:val="003815BE"/>
    <w:rsid w:val="00381811"/>
    <w:rsid w:val="00382360"/>
    <w:rsid w:val="0038245A"/>
    <w:rsid w:val="00382C24"/>
    <w:rsid w:val="00383D85"/>
    <w:rsid w:val="003840E6"/>
    <w:rsid w:val="00385CFC"/>
    <w:rsid w:val="00386168"/>
    <w:rsid w:val="00386A5D"/>
    <w:rsid w:val="00386E04"/>
    <w:rsid w:val="003879CC"/>
    <w:rsid w:val="00387A5C"/>
    <w:rsid w:val="00390475"/>
    <w:rsid w:val="0039337A"/>
    <w:rsid w:val="0039343A"/>
    <w:rsid w:val="00393ACA"/>
    <w:rsid w:val="003949E3"/>
    <w:rsid w:val="0039626A"/>
    <w:rsid w:val="0039710E"/>
    <w:rsid w:val="0039742D"/>
    <w:rsid w:val="00397626"/>
    <w:rsid w:val="003A0C33"/>
    <w:rsid w:val="003A1B46"/>
    <w:rsid w:val="003A20C1"/>
    <w:rsid w:val="003A20F6"/>
    <w:rsid w:val="003A3189"/>
    <w:rsid w:val="003A3CA7"/>
    <w:rsid w:val="003A47B6"/>
    <w:rsid w:val="003A4876"/>
    <w:rsid w:val="003B0F4C"/>
    <w:rsid w:val="003B33BD"/>
    <w:rsid w:val="003B569D"/>
    <w:rsid w:val="003B57FE"/>
    <w:rsid w:val="003B620B"/>
    <w:rsid w:val="003B7CC8"/>
    <w:rsid w:val="003B7FBC"/>
    <w:rsid w:val="003C05D1"/>
    <w:rsid w:val="003C0E9B"/>
    <w:rsid w:val="003C3C0E"/>
    <w:rsid w:val="003C443F"/>
    <w:rsid w:val="003C46BF"/>
    <w:rsid w:val="003C4D34"/>
    <w:rsid w:val="003C5293"/>
    <w:rsid w:val="003C6FE7"/>
    <w:rsid w:val="003C724E"/>
    <w:rsid w:val="003C7501"/>
    <w:rsid w:val="003C77CD"/>
    <w:rsid w:val="003D0925"/>
    <w:rsid w:val="003D1473"/>
    <w:rsid w:val="003D2367"/>
    <w:rsid w:val="003D393E"/>
    <w:rsid w:val="003D42A6"/>
    <w:rsid w:val="003D42EB"/>
    <w:rsid w:val="003D4F21"/>
    <w:rsid w:val="003D4FAC"/>
    <w:rsid w:val="003D50B2"/>
    <w:rsid w:val="003D6D41"/>
    <w:rsid w:val="003E0733"/>
    <w:rsid w:val="003E0826"/>
    <w:rsid w:val="003E12AD"/>
    <w:rsid w:val="003E1713"/>
    <w:rsid w:val="003E3729"/>
    <w:rsid w:val="003E3F1A"/>
    <w:rsid w:val="003E4612"/>
    <w:rsid w:val="003E4E36"/>
    <w:rsid w:val="003E58D5"/>
    <w:rsid w:val="003E5C5A"/>
    <w:rsid w:val="003E60FB"/>
    <w:rsid w:val="003E6198"/>
    <w:rsid w:val="003E7906"/>
    <w:rsid w:val="003F0342"/>
    <w:rsid w:val="003F1986"/>
    <w:rsid w:val="003F1AFD"/>
    <w:rsid w:val="003F2191"/>
    <w:rsid w:val="003F3C50"/>
    <w:rsid w:val="003F4510"/>
    <w:rsid w:val="003F4B86"/>
    <w:rsid w:val="003F4FBE"/>
    <w:rsid w:val="003F5392"/>
    <w:rsid w:val="003F5493"/>
    <w:rsid w:val="003F68E0"/>
    <w:rsid w:val="003F6E33"/>
    <w:rsid w:val="00401159"/>
    <w:rsid w:val="0040122E"/>
    <w:rsid w:val="0040199F"/>
    <w:rsid w:val="00402D5F"/>
    <w:rsid w:val="00402E67"/>
    <w:rsid w:val="0040322A"/>
    <w:rsid w:val="0040385F"/>
    <w:rsid w:val="0040430F"/>
    <w:rsid w:val="00404980"/>
    <w:rsid w:val="0040579D"/>
    <w:rsid w:val="00405846"/>
    <w:rsid w:val="00405E39"/>
    <w:rsid w:val="00406A6A"/>
    <w:rsid w:val="00406B22"/>
    <w:rsid w:val="00406FE3"/>
    <w:rsid w:val="00407963"/>
    <w:rsid w:val="00410A49"/>
    <w:rsid w:val="00410D6D"/>
    <w:rsid w:val="00410D8B"/>
    <w:rsid w:val="00412FB2"/>
    <w:rsid w:val="004132C6"/>
    <w:rsid w:val="00413720"/>
    <w:rsid w:val="00416761"/>
    <w:rsid w:val="00416BAB"/>
    <w:rsid w:val="0042072C"/>
    <w:rsid w:val="00422088"/>
    <w:rsid w:val="00422198"/>
    <w:rsid w:val="00422F90"/>
    <w:rsid w:val="00424055"/>
    <w:rsid w:val="004256B5"/>
    <w:rsid w:val="0042640D"/>
    <w:rsid w:val="00426875"/>
    <w:rsid w:val="00430793"/>
    <w:rsid w:val="004311EC"/>
    <w:rsid w:val="00431D9E"/>
    <w:rsid w:val="00432354"/>
    <w:rsid w:val="004328A7"/>
    <w:rsid w:val="00434C74"/>
    <w:rsid w:val="004368F2"/>
    <w:rsid w:val="00436BCE"/>
    <w:rsid w:val="004370E3"/>
    <w:rsid w:val="00437274"/>
    <w:rsid w:val="00440684"/>
    <w:rsid w:val="00440819"/>
    <w:rsid w:val="00441ABC"/>
    <w:rsid w:val="00441C70"/>
    <w:rsid w:val="00441D00"/>
    <w:rsid w:val="004423BB"/>
    <w:rsid w:val="004428F0"/>
    <w:rsid w:val="00442FF2"/>
    <w:rsid w:val="00443334"/>
    <w:rsid w:val="00443B81"/>
    <w:rsid w:val="00446440"/>
    <w:rsid w:val="0044658C"/>
    <w:rsid w:val="00450319"/>
    <w:rsid w:val="004515EA"/>
    <w:rsid w:val="00452637"/>
    <w:rsid w:val="00452C2B"/>
    <w:rsid w:val="00453EBA"/>
    <w:rsid w:val="004549FE"/>
    <w:rsid w:val="00455179"/>
    <w:rsid w:val="00456370"/>
    <w:rsid w:val="00456EB4"/>
    <w:rsid w:val="004576C7"/>
    <w:rsid w:val="00457CCB"/>
    <w:rsid w:val="0046045F"/>
    <w:rsid w:val="004607A3"/>
    <w:rsid w:val="004607A9"/>
    <w:rsid w:val="00461C09"/>
    <w:rsid w:val="00462BA8"/>
    <w:rsid w:val="00465340"/>
    <w:rsid w:val="004662C5"/>
    <w:rsid w:val="0046637D"/>
    <w:rsid w:val="004663E2"/>
    <w:rsid w:val="004673AC"/>
    <w:rsid w:val="00467700"/>
    <w:rsid w:val="0047049E"/>
    <w:rsid w:val="0047057B"/>
    <w:rsid w:val="004718F3"/>
    <w:rsid w:val="00471EA5"/>
    <w:rsid w:val="00472EAA"/>
    <w:rsid w:val="00473B4D"/>
    <w:rsid w:val="00474B0F"/>
    <w:rsid w:val="00475040"/>
    <w:rsid w:val="00475314"/>
    <w:rsid w:val="0048014E"/>
    <w:rsid w:val="004801D8"/>
    <w:rsid w:val="0048320B"/>
    <w:rsid w:val="00483A6C"/>
    <w:rsid w:val="004845F6"/>
    <w:rsid w:val="00486D8C"/>
    <w:rsid w:val="0048718D"/>
    <w:rsid w:val="00490E1C"/>
    <w:rsid w:val="004911DC"/>
    <w:rsid w:val="00491500"/>
    <w:rsid w:val="00493D40"/>
    <w:rsid w:val="00493EAA"/>
    <w:rsid w:val="00495A2E"/>
    <w:rsid w:val="004967B6"/>
    <w:rsid w:val="00497B74"/>
    <w:rsid w:val="00497CEB"/>
    <w:rsid w:val="004A041B"/>
    <w:rsid w:val="004A07E2"/>
    <w:rsid w:val="004A2550"/>
    <w:rsid w:val="004A25B9"/>
    <w:rsid w:val="004A27AC"/>
    <w:rsid w:val="004A3AF1"/>
    <w:rsid w:val="004A504B"/>
    <w:rsid w:val="004A5206"/>
    <w:rsid w:val="004A5387"/>
    <w:rsid w:val="004A605C"/>
    <w:rsid w:val="004A6150"/>
    <w:rsid w:val="004A657A"/>
    <w:rsid w:val="004A6911"/>
    <w:rsid w:val="004A7832"/>
    <w:rsid w:val="004A7BA7"/>
    <w:rsid w:val="004B1288"/>
    <w:rsid w:val="004B1E15"/>
    <w:rsid w:val="004B3407"/>
    <w:rsid w:val="004B4124"/>
    <w:rsid w:val="004B54E0"/>
    <w:rsid w:val="004B6C7B"/>
    <w:rsid w:val="004B6DC7"/>
    <w:rsid w:val="004B7384"/>
    <w:rsid w:val="004B7944"/>
    <w:rsid w:val="004B7EE8"/>
    <w:rsid w:val="004C057D"/>
    <w:rsid w:val="004C32E6"/>
    <w:rsid w:val="004C34D7"/>
    <w:rsid w:val="004C4269"/>
    <w:rsid w:val="004C4E2D"/>
    <w:rsid w:val="004C50B5"/>
    <w:rsid w:val="004C6203"/>
    <w:rsid w:val="004D085F"/>
    <w:rsid w:val="004D1623"/>
    <w:rsid w:val="004D2C72"/>
    <w:rsid w:val="004D2FC4"/>
    <w:rsid w:val="004D32B6"/>
    <w:rsid w:val="004D34CA"/>
    <w:rsid w:val="004D384A"/>
    <w:rsid w:val="004D5032"/>
    <w:rsid w:val="004D6236"/>
    <w:rsid w:val="004D6AAE"/>
    <w:rsid w:val="004D6F32"/>
    <w:rsid w:val="004D7023"/>
    <w:rsid w:val="004D7F90"/>
    <w:rsid w:val="004E02F4"/>
    <w:rsid w:val="004E1FE2"/>
    <w:rsid w:val="004E2142"/>
    <w:rsid w:val="004E21B8"/>
    <w:rsid w:val="004E29E5"/>
    <w:rsid w:val="004E2F88"/>
    <w:rsid w:val="004E42C6"/>
    <w:rsid w:val="004E4DBB"/>
    <w:rsid w:val="004E4E41"/>
    <w:rsid w:val="004E5002"/>
    <w:rsid w:val="004E7D62"/>
    <w:rsid w:val="004E7F9C"/>
    <w:rsid w:val="004F00A8"/>
    <w:rsid w:val="004F02B5"/>
    <w:rsid w:val="004F1462"/>
    <w:rsid w:val="004F3493"/>
    <w:rsid w:val="004F41D0"/>
    <w:rsid w:val="004F42A0"/>
    <w:rsid w:val="004F4A73"/>
    <w:rsid w:val="004F4AEB"/>
    <w:rsid w:val="004F503A"/>
    <w:rsid w:val="004F5143"/>
    <w:rsid w:val="004F5448"/>
    <w:rsid w:val="004F5F13"/>
    <w:rsid w:val="004F5F65"/>
    <w:rsid w:val="004F6E4E"/>
    <w:rsid w:val="005007BD"/>
    <w:rsid w:val="005017FB"/>
    <w:rsid w:val="00501920"/>
    <w:rsid w:val="00501B99"/>
    <w:rsid w:val="00501DE8"/>
    <w:rsid w:val="00502108"/>
    <w:rsid w:val="0050255C"/>
    <w:rsid w:val="00502FDB"/>
    <w:rsid w:val="005042E1"/>
    <w:rsid w:val="005053C3"/>
    <w:rsid w:val="00507C01"/>
    <w:rsid w:val="00510223"/>
    <w:rsid w:val="00510CE7"/>
    <w:rsid w:val="00511DA2"/>
    <w:rsid w:val="00512B09"/>
    <w:rsid w:val="00512D99"/>
    <w:rsid w:val="0051326D"/>
    <w:rsid w:val="00514676"/>
    <w:rsid w:val="005146A0"/>
    <w:rsid w:val="00514B94"/>
    <w:rsid w:val="00514E7F"/>
    <w:rsid w:val="005154E3"/>
    <w:rsid w:val="00517B92"/>
    <w:rsid w:val="00520ADB"/>
    <w:rsid w:val="00520E8D"/>
    <w:rsid w:val="00520FDB"/>
    <w:rsid w:val="00521112"/>
    <w:rsid w:val="0052119A"/>
    <w:rsid w:val="005211DE"/>
    <w:rsid w:val="005220ED"/>
    <w:rsid w:val="005222DD"/>
    <w:rsid w:val="00522DED"/>
    <w:rsid w:val="005232CE"/>
    <w:rsid w:val="00523A67"/>
    <w:rsid w:val="00523A82"/>
    <w:rsid w:val="00523B32"/>
    <w:rsid w:val="00523E0B"/>
    <w:rsid w:val="00524312"/>
    <w:rsid w:val="0052514A"/>
    <w:rsid w:val="00525182"/>
    <w:rsid w:val="005265CF"/>
    <w:rsid w:val="0052797C"/>
    <w:rsid w:val="00530671"/>
    <w:rsid w:val="00531A5D"/>
    <w:rsid w:val="005328DA"/>
    <w:rsid w:val="005332C6"/>
    <w:rsid w:val="005334A8"/>
    <w:rsid w:val="005335AA"/>
    <w:rsid w:val="00533796"/>
    <w:rsid w:val="0053424E"/>
    <w:rsid w:val="00535135"/>
    <w:rsid w:val="005372A6"/>
    <w:rsid w:val="00537343"/>
    <w:rsid w:val="00537AE1"/>
    <w:rsid w:val="00537B81"/>
    <w:rsid w:val="005411C8"/>
    <w:rsid w:val="00543742"/>
    <w:rsid w:val="00543D94"/>
    <w:rsid w:val="005447A9"/>
    <w:rsid w:val="005454A2"/>
    <w:rsid w:val="00546224"/>
    <w:rsid w:val="005462AF"/>
    <w:rsid w:val="00546362"/>
    <w:rsid w:val="00546ECE"/>
    <w:rsid w:val="00550393"/>
    <w:rsid w:val="005517C1"/>
    <w:rsid w:val="0055225E"/>
    <w:rsid w:val="005529CC"/>
    <w:rsid w:val="00552FA1"/>
    <w:rsid w:val="005547EC"/>
    <w:rsid w:val="00555391"/>
    <w:rsid w:val="005559D3"/>
    <w:rsid w:val="00555D75"/>
    <w:rsid w:val="005566F3"/>
    <w:rsid w:val="00556EC6"/>
    <w:rsid w:val="0056015E"/>
    <w:rsid w:val="00560DF0"/>
    <w:rsid w:val="00562E85"/>
    <w:rsid w:val="00562ED1"/>
    <w:rsid w:val="00563D55"/>
    <w:rsid w:val="00564161"/>
    <w:rsid w:val="00564D56"/>
    <w:rsid w:val="0056614F"/>
    <w:rsid w:val="00566A32"/>
    <w:rsid w:val="0056759C"/>
    <w:rsid w:val="00567B6C"/>
    <w:rsid w:val="00572792"/>
    <w:rsid w:val="00572F2A"/>
    <w:rsid w:val="0057382F"/>
    <w:rsid w:val="005738A7"/>
    <w:rsid w:val="00573977"/>
    <w:rsid w:val="00573D4E"/>
    <w:rsid w:val="0057400C"/>
    <w:rsid w:val="00574C88"/>
    <w:rsid w:val="00574CB8"/>
    <w:rsid w:val="00575EFA"/>
    <w:rsid w:val="005765A3"/>
    <w:rsid w:val="00576ADD"/>
    <w:rsid w:val="00583533"/>
    <w:rsid w:val="00583A7B"/>
    <w:rsid w:val="00583E9B"/>
    <w:rsid w:val="00583EF8"/>
    <w:rsid w:val="00584B40"/>
    <w:rsid w:val="00586048"/>
    <w:rsid w:val="005861E1"/>
    <w:rsid w:val="00587028"/>
    <w:rsid w:val="00587171"/>
    <w:rsid w:val="005874E2"/>
    <w:rsid w:val="005877AA"/>
    <w:rsid w:val="00590B3B"/>
    <w:rsid w:val="00591008"/>
    <w:rsid w:val="00592B98"/>
    <w:rsid w:val="00592D1F"/>
    <w:rsid w:val="00593025"/>
    <w:rsid w:val="0059513E"/>
    <w:rsid w:val="005963D0"/>
    <w:rsid w:val="005971D2"/>
    <w:rsid w:val="00597602"/>
    <w:rsid w:val="005A03A4"/>
    <w:rsid w:val="005A1447"/>
    <w:rsid w:val="005A1593"/>
    <w:rsid w:val="005A1795"/>
    <w:rsid w:val="005A1F01"/>
    <w:rsid w:val="005A230F"/>
    <w:rsid w:val="005A25F7"/>
    <w:rsid w:val="005A39DE"/>
    <w:rsid w:val="005A48CD"/>
    <w:rsid w:val="005A6AA4"/>
    <w:rsid w:val="005A6D9F"/>
    <w:rsid w:val="005A71AC"/>
    <w:rsid w:val="005B1299"/>
    <w:rsid w:val="005B158F"/>
    <w:rsid w:val="005B1B41"/>
    <w:rsid w:val="005B2F62"/>
    <w:rsid w:val="005B4664"/>
    <w:rsid w:val="005B48FF"/>
    <w:rsid w:val="005B4AAA"/>
    <w:rsid w:val="005B72B5"/>
    <w:rsid w:val="005B7860"/>
    <w:rsid w:val="005B7948"/>
    <w:rsid w:val="005C0D78"/>
    <w:rsid w:val="005C0FD0"/>
    <w:rsid w:val="005C2900"/>
    <w:rsid w:val="005C3B42"/>
    <w:rsid w:val="005C46FC"/>
    <w:rsid w:val="005C5267"/>
    <w:rsid w:val="005C5699"/>
    <w:rsid w:val="005C5E40"/>
    <w:rsid w:val="005C65A9"/>
    <w:rsid w:val="005C66BD"/>
    <w:rsid w:val="005C6C74"/>
    <w:rsid w:val="005C6EEF"/>
    <w:rsid w:val="005C7375"/>
    <w:rsid w:val="005C7485"/>
    <w:rsid w:val="005C77DF"/>
    <w:rsid w:val="005C78B4"/>
    <w:rsid w:val="005C7D9B"/>
    <w:rsid w:val="005D09D0"/>
    <w:rsid w:val="005D1544"/>
    <w:rsid w:val="005D2977"/>
    <w:rsid w:val="005D363C"/>
    <w:rsid w:val="005D363F"/>
    <w:rsid w:val="005D37DA"/>
    <w:rsid w:val="005D3A8A"/>
    <w:rsid w:val="005D5C51"/>
    <w:rsid w:val="005D656D"/>
    <w:rsid w:val="005D7361"/>
    <w:rsid w:val="005D7E27"/>
    <w:rsid w:val="005E1480"/>
    <w:rsid w:val="005E2AAC"/>
    <w:rsid w:val="005E2DE2"/>
    <w:rsid w:val="005E2E04"/>
    <w:rsid w:val="005E3283"/>
    <w:rsid w:val="005E358B"/>
    <w:rsid w:val="005E41F8"/>
    <w:rsid w:val="005E52AB"/>
    <w:rsid w:val="005E5C0A"/>
    <w:rsid w:val="005E6047"/>
    <w:rsid w:val="005E777F"/>
    <w:rsid w:val="005E7BC8"/>
    <w:rsid w:val="005F12D1"/>
    <w:rsid w:val="005F1D31"/>
    <w:rsid w:val="005F31C4"/>
    <w:rsid w:val="005F5A11"/>
    <w:rsid w:val="005F5F74"/>
    <w:rsid w:val="005F6230"/>
    <w:rsid w:val="005F6BF1"/>
    <w:rsid w:val="005F746C"/>
    <w:rsid w:val="005F7628"/>
    <w:rsid w:val="00600A8F"/>
    <w:rsid w:val="00600B65"/>
    <w:rsid w:val="00600C00"/>
    <w:rsid w:val="00600FC2"/>
    <w:rsid w:val="0060119F"/>
    <w:rsid w:val="00601365"/>
    <w:rsid w:val="006022EC"/>
    <w:rsid w:val="00602934"/>
    <w:rsid w:val="00602ECE"/>
    <w:rsid w:val="00603C5D"/>
    <w:rsid w:val="00604C15"/>
    <w:rsid w:val="00604D68"/>
    <w:rsid w:val="0061101C"/>
    <w:rsid w:val="00613D3E"/>
    <w:rsid w:val="006146CF"/>
    <w:rsid w:val="006158D5"/>
    <w:rsid w:val="00616680"/>
    <w:rsid w:val="00620019"/>
    <w:rsid w:val="00620529"/>
    <w:rsid w:val="00621C41"/>
    <w:rsid w:val="0062204F"/>
    <w:rsid w:val="0062210D"/>
    <w:rsid w:val="00623EB6"/>
    <w:rsid w:val="00624FC7"/>
    <w:rsid w:val="00625A03"/>
    <w:rsid w:val="00625D83"/>
    <w:rsid w:val="00626266"/>
    <w:rsid w:val="006308E0"/>
    <w:rsid w:val="0063311C"/>
    <w:rsid w:val="00633EC0"/>
    <w:rsid w:val="00637439"/>
    <w:rsid w:val="00637F94"/>
    <w:rsid w:val="00640383"/>
    <w:rsid w:val="006406C1"/>
    <w:rsid w:val="00640E96"/>
    <w:rsid w:val="006412FE"/>
    <w:rsid w:val="00641CF3"/>
    <w:rsid w:val="00642B0E"/>
    <w:rsid w:val="006434C6"/>
    <w:rsid w:val="00643A2A"/>
    <w:rsid w:val="00643C38"/>
    <w:rsid w:val="0064531A"/>
    <w:rsid w:val="0064648D"/>
    <w:rsid w:val="00646CB4"/>
    <w:rsid w:val="00647E8A"/>
    <w:rsid w:val="0065298E"/>
    <w:rsid w:val="00653107"/>
    <w:rsid w:val="006534A3"/>
    <w:rsid w:val="006551E2"/>
    <w:rsid w:val="00655680"/>
    <w:rsid w:val="00655A9E"/>
    <w:rsid w:val="00656D69"/>
    <w:rsid w:val="00657616"/>
    <w:rsid w:val="00660E2F"/>
    <w:rsid w:val="0066200C"/>
    <w:rsid w:val="006623E7"/>
    <w:rsid w:val="00662B80"/>
    <w:rsid w:val="006634D1"/>
    <w:rsid w:val="006638DC"/>
    <w:rsid w:val="0066602A"/>
    <w:rsid w:val="006666A7"/>
    <w:rsid w:val="0066684F"/>
    <w:rsid w:val="00667A65"/>
    <w:rsid w:val="00667F1F"/>
    <w:rsid w:val="00670F6C"/>
    <w:rsid w:val="00671483"/>
    <w:rsid w:val="006719D3"/>
    <w:rsid w:val="00672449"/>
    <w:rsid w:val="006724C4"/>
    <w:rsid w:val="00674A44"/>
    <w:rsid w:val="00675B58"/>
    <w:rsid w:val="006762BA"/>
    <w:rsid w:val="006766C2"/>
    <w:rsid w:val="0067744E"/>
    <w:rsid w:val="00677919"/>
    <w:rsid w:val="00677BFE"/>
    <w:rsid w:val="00677E09"/>
    <w:rsid w:val="006811E7"/>
    <w:rsid w:val="00681A31"/>
    <w:rsid w:val="00683093"/>
    <w:rsid w:val="00683151"/>
    <w:rsid w:val="006832F6"/>
    <w:rsid w:val="00683440"/>
    <w:rsid w:val="006852C7"/>
    <w:rsid w:val="006852CE"/>
    <w:rsid w:val="006865CD"/>
    <w:rsid w:val="006870F3"/>
    <w:rsid w:val="006900FA"/>
    <w:rsid w:val="006916F7"/>
    <w:rsid w:val="0069257E"/>
    <w:rsid w:val="00692D14"/>
    <w:rsid w:val="006944BF"/>
    <w:rsid w:val="00694E9C"/>
    <w:rsid w:val="0069598D"/>
    <w:rsid w:val="00697065"/>
    <w:rsid w:val="0069731F"/>
    <w:rsid w:val="006A1934"/>
    <w:rsid w:val="006A215C"/>
    <w:rsid w:val="006A4FEB"/>
    <w:rsid w:val="006A5B9A"/>
    <w:rsid w:val="006A5C9B"/>
    <w:rsid w:val="006A6736"/>
    <w:rsid w:val="006A67B4"/>
    <w:rsid w:val="006A69DB"/>
    <w:rsid w:val="006A74A1"/>
    <w:rsid w:val="006A76B4"/>
    <w:rsid w:val="006B0547"/>
    <w:rsid w:val="006B0C18"/>
    <w:rsid w:val="006B2359"/>
    <w:rsid w:val="006B2761"/>
    <w:rsid w:val="006B4CAA"/>
    <w:rsid w:val="006B623A"/>
    <w:rsid w:val="006B65C7"/>
    <w:rsid w:val="006B6835"/>
    <w:rsid w:val="006B7677"/>
    <w:rsid w:val="006B7FEE"/>
    <w:rsid w:val="006C1727"/>
    <w:rsid w:val="006C1A1E"/>
    <w:rsid w:val="006C2CC0"/>
    <w:rsid w:val="006C32FD"/>
    <w:rsid w:val="006C332D"/>
    <w:rsid w:val="006C39CE"/>
    <w:rsid w:val="006C3F71"/>
    <w:rsid w:val="006C5B1A"/>
    <w:rsid w:val="006C7BAE"/>
    <w:rsid w:val="006D0D7F"/>
    <w:rsid w:val="006D0FCC"/>
    <w:rsid w:val="006D10A6"/>
    <w:rsid w:val="006D21F5"/>
    <w:rsid w:val="006D4B03"/>
    <w:rsid w:val="006D5315"/>
    <w:rsid w:val="006D549E"/>
    <w:rsid w:val="006D5EB4"/>
    <w:rsid w:val="006D6F89"/>
    <w:rsid w:val="006D759C"/>
    <w:rsid w:val="006E126D"/>
    <w:rsid w:val="006E1FC3"/>
    <w:rsid w:val="006E2A16"/>
    <w:rsid w:val="006E325B"/>
    <w:rsid w:val="006E3846"/>
    <w:rsid w:val="006E3E0B"/>
    <w:rsid w:val="006E4EDE"/>
    <w:rsid w:val="006E4F5A"/>
    <w:rsid w:val="006E63E2"/>
    <w:rsid w:val="006F2D70"/>
    <w:rsid w:val="006F5F8D"/>
    <w:rsid w:val="006F62D0"/>
    <w:rsid w:val="006F6B84"/>
    <w:rsid w:val="006F6EDD"/>
    <w:rsid w:val="007000D4"/>
    <w:rsid w:val="00702B8D"/>
    <w:rsid w:val="00702C13"/>
    <w:rsid w:val="00703221"/>
    <w:rsid w:val="00703C3A"/>
    <w:rsid w:val="00704A20"/>
    <w:rsid w:val="00704CE9"/>
    <w:rsid w:val="007050CC"/>
    <w:rsid w:val="0070616B"/>
    <w:rsid w:val="00706295"/>
    <w:rsid w:val="00706969"/>
    <w:rsid w:val="00706FDA"/>
    <w:rsid w:val="007076D8"/>
    <w:rsid w:val="0071003F"/>
    <w:rsid w:val="007103BE"/>
    <w:rsid w:val="00710AFA"/>
    <w:rsid w:val="00710E65"/>
    <w:rsid w:val="007110B6"/>
    <w:rsid w:val="007118EA"/>
    <w:rsid w:val="00711F9A"/>
    <w:rsid w:val="00712F68"/>
    <w:rsid w:val="00713810"/>
    <w:rsid w:val="00713882"/>
    <w:rsid w:val="007154F3"/>
    <w:rsid w:val="007159C9"/>
    <w:rsid w:val="00715C7B"/>
    <w:rsid w:val="00716466"/>
    <w:rsid w:val="007179E9"/>
    <w:rsid w:val="00720C6F"/>
    <w:rsid w:val="00720E5E"/>
    <w:rsid w:val="0072281F"/>
    <w:rsid w:val="007237F5"/>
    <w:rsid w:val="00726027"/>
    <w:rsid w:val="007260BB"/>
    <w:rsid w:val="00726611"/>
    <w:rsid w:val="007303A5"/>
    <w:rsid w:val="00730B3E"/>
    <w:rsid w:val="00731305"/>
    <w:rsid w:val="00731B07"/>
    <w:rsid w:val="00732651"/>
    <w:rsid w:val="0073420B"/>
    <w:rsid w:val="0073441A"/>
    <w:rsid w:val="00734BC4"/>
    <w:rsid w:val="00735E4B"/>
    <w:rsid w:val="0073671F"/>
    <w:rsid w:val="00737595"/>
    <w:rsid w:val="00742397"/>
    <w:rsid w:val="007438D3"/>
    <w:rsid w:val="00743C00"/>
    <w:rsid w:val="00744CFB"/>
    <w:rsid w:val="0074736C"/>
    <w:rsid w:val="0074760E"/>
    <w:rsid w:val="00747D6E"/>
    <w:rsid w:val="00751035"/>
    <w:rsid w:val="0075179F"/>
    <w:rsid w:val="00751B14"/>
    <w:rsid w:val="00753D47"/>
    <w:rsid w:val="00754774"/>
    <w:rsid w:val="00754A5B"/>
    <w:rsid w:val="00754ABA"/>
    <w:rsid w:val="00755644"/>
    <w:rsid w:val="00755FD4"/>
    <w:rsid w:val="007562B4"/>
    <w:rsid w:val="00756BBB"/>
    <w:rsid w:val="00756D1D"/>
    <w:rsid w:val="00756E0F"/>
    <w:rsid w:val="00756E27"/>
    <w:rsid w:val="007579D3"/>
    <w:rsid w:val="007609FC"/>
    <w:rsid w:val="007638D0"/>
    <w:rsid w:val="0076453D"/>
    <w:rsid w:val="00764574"/>
    <w:rsid w:val="007645D9"/>
    <w:rsid w:val="007647F1"/>
    <w:rsid w:val="00764D26"/>
    <w:rsid w:val="00764E70"/>
    <w:rsid w:val="0076656B"/>
    <w:rsid w:val="00767A64"/>
    <w:rsid w:val="0077058E"/>
    <w:rsid w:val="0077158B"/>
    <w:rsid w:val="007737E6"/>
    <w:rsid w:val="007738E3"/>
    <w:rsid w:val="0077428A"/>
    <w:rsid w:val="00774699"/>
    <w:rsid w:val="00776B32"/>
    <w:rsid w:val="007770D6"/>
    <w:rsid w:val="0077741A"/>
    <w:rsid w:val="007778FC"/>
    <w:rsid w:val="00777C05"/>
    <w:rsid w:val="00780D3A"/>
    <w:rsid w:val="00781179"/>
    <w:rsid w:val="00781655"/>
    <w:rsid w:val="00781A31"/>
    <w:rsid w:val="00781D74"/>
    <w:rsid w:val="00783A32"/>
    <w:rsid w:val="00783F24"/>
    <w:rsid w:val="0078453B"/>
    <w:rsid w:val="00786912"/>
    <w:rsid w:val="00787640"/>
    <w:rsid w:val="00787F03"/>
    <w:rsid w:val="007903A8"/>
    <w:rsid w:val="007915AB"/>
    <w:rsid w:val="00792C6A"/>
    <w:rsid w:val="00792D82"/>
    <w:rsid w:val="007942C3"/>
    <w:rsid w:val="00794881"/>
    <w:rsid w:val="007958DD"/>
    <w:rsid w:val="00796869"/>
    <w:rsid w:val="0079715A"/>
    <w:rsid w:val="00797F9B"/>
    <w:rsid w:val="007A0073"/>
    <w:rsid w:val="007A0A70"/>
    <w:rsid w:val="007A1546"/>
    <w:rsid w:val="007A1652"/>
    <w:rsid w:val="007A228C"/>
    <w:rsid w:val="007A27F5"/>
    <w:rsid w:val="007A368E"/>
    <w:rsid w:val="007A3A4C"/>
    <w:rsid w:val="007A440D"/>
    <w:rsid w:val="007A4825"/>
    <w:rsid w:val="007A5868"/>
    <w:rsid w:val="007A66DE"/>
    <w:rsid w:val="007A7A5E"/>
    <w:rsid w:val="007B04BC"/>
    <w:rsid w:val="007B04CE"/>
    <w:rsid w:val="007B0BF0"/>
    <w:rsid w:val="007B0EBE"/>
    <w:rsid w:val="007B1D5D"/>
    <w:rsid w:val="007B219D"/>
    <w:rsid w:val="007B2D9B"/>
    <w:rsid w:val="007B4A97"/>
    <w:rsid w:val="007B5055"/>
    <w:rsid w:val="007B66BF"/>
    <w:rsid w:val="007B6871"/>
    <w:rsid w:val="007B7759"/>
    <w:rsid w:val="007B7A2F"/>
    <w:rsid w:val="007C09A3"/>
    <w:rsid w:val="007C118B"/>
    <w:rsid w:val="007C1484"/>
    <w:rsid w:val="007C1AF3"/>
    <w:rsid w:val="007C2458"/>
    <w:rsid w:val="007C282F"/>
    <w:rsid w:val="007C3052"/>
    <w:rsid w:val="007C32AF"/>
    <w:rsid w:val="007C3D33"/>
    <w:rsid w:val="007C5AB4"/>
    <w:rsid w:val="007C689D"/>
    <w:rsid w:val="007C79A9"/>
    <w:rsid w:val="007C7D1B"/>
    <w:rsid w:val="007D019F"/>
    <w:rsid w:val="007D07DD"/>
    <w:rsid w:val="007D294A"/>
    <w:rsid w:val="007D295F"/>
    <w:rsid w:val="007D2970"/>
    <w:rsid w:val="007D2CFD"/>
    <w:rsid w:val="007D3B5E"/>
    <w:rsid w:val="007D41B2"/>
    <w:rsid w:val="007D47D2"/>
    <w:rsid w:val="007D5A75"/>
    <w:rsid w:val="007D6EC0"/>
    <w:rsid w:val="007D7E1D"/>
    <w:rsid w:val="007E1470"/>
    <w:rsid w:val="007E17C3"/>
    <w:rsid w:val="007E1894"/>
    <w:rsid w:val="007E1A26"/>
    <w:rsid w:val="007E23A3"/>
    <w:rsid w:val="007E240A"/>
    <w:rsid w:val="007E56BF"/>
    <w:rsid w:val="007E7421"/>
    <w:rsid w:val="007E7B7C"/>
    <w:rsid w:val="007E7DED"/>
    <w:rsid w:val="007F0180"/>
    <w:rsid w:val="007F36B1"/>
    <w:rsid w:val="007F38AA"/>
    <w:rsid w:val="007F4CED"/>
    <w:rsid w:val="007F4EA1"/>
    <w:rsid w:val="008008F1"/>
    <w:rsid w:val="0080105A"/>
    <w:rsid w:val="00801D83"/>
    <w:rsid w:val="00802250"/>
    <w:rsid w:val="00802AD7"/>
    <w:rsid w:val="00802E90"/>
    <w:rsid w:val="00803313"/>
    <w:rsid w:val="00803CD4"/>
    <w:rsid w:val="00804582"/>
    <w:rsid w:val="008054C6"/>
    <w:rsid w:val="0080584A"/>
    <w:rsid w:val="00805E47"/>
    <w:rsid w:val="00805EC2"/>
    <w:rsid w:val="00807DAE"/>
    <w:rsid w:val="008128AE"/>
    <w:rsid w:val="008132B2"/>
    <w:rsid w:val="00813CBF"/>
    <w:rsid w:val="00813E48"/>
    <w:rsid w:val="00815930"/>
    <w:rsid w:val="00815DA3"/>
    <w:rsid w:val="00820D62"/>
    <w:rsid w:val="00820E22"/>
    <w:rsid w:val="0082122C"/>
    <w:rsid w:val="008212BC"/>
    <w:rsid w:val="00823146"/>
    <w:rsid w:val="00823DA3"/>
    <w:rsid w:val="00824F59"/>
    <w:rsid w:val="00825EEC"/>
    <w:rsid w:val="00826071"/>
    <w:rsid w:val="0082617D"/>
    <w:rsid w:val="0083162D"/>
    <w:rsid w:val="00831979"/>
    <w:rsid w:val="00831D83"/>
    <w:rsid w:val="00832032"/>
    <w:rsid w:val="00833A11"/>
    <w:rsid w:val="00834520"/>
    <w:rsid w:val="00841925"/>
    <w:rsid w:val="00842030"/>
    <w:rsid w:val="00843731"/>
    <w:rsid w:val="00844641"/>
    <w:rsid w:val="0084540C"/>
    <w:rsid w:val="00845B13"/>
    <w:rsid w:val="0084736C"/>
    <w:rsid w:val="00847B2C"/>
    <w:rsid w:val="00850230"/>
    <w:rsid w:val="008502CA"/>
    <w:rsid w:val="00850C0B"/>
    <w:rsid w:val="008510E3"/>
    <w:rsid w:val="00851352"/>
    <w:rsid w:val="00851ABE"/>
    <w:rsid w:val="00851B5D"/>
    <w:rsid w:val="00852972"/>
    <w:rsid w:val="00852B16"/>
    <w:rsid w:val="00852E4C"/>
    <w:rsid w:val="00854AC2"/>
    <w:rsid w:val="00855D3F"/>
    <w:rsid w:val="00855E93"/>
    <w:rsid w:val="00856468"/>
    <w:rsid w:val="00856BBF"/>
    <w:rsid w:val="00857077"/>
    <w:rsid w:val="00857F41"/>
    <w:rsid w:val="00860C35"/>
    <w:rsid w:val="0086209F"/>
    <w:rsid w:val="00863230"/>
    <w:rsid w:val="008643AD"/>
    <w:rsid w:val="00865043"/>
    <w:rsid w:val="00865785"/>
    <w:rsid w:val="00865BD0"/>
    <w:rsid w:val="00865FF4"/>
    <w:rsid w:val="00867CBE"/>
    <w:rsid w:val="008717D8"/>
    <w:rsid w:val="00871F23"/>
    <w:rsid w:val="0087215C"/>
    <w:rsid w:val="008759F2"/>
    <w:rsid w:val="00875D25"/>
    <w:rsid w:val="008774B2"/>
    <w:rsid w:val="008779AB"/>
    <w:rsid w:val="00877E30"/>
    <w:rsid w:val="00877FE7"/>
    <w:rsid w:val="00880E35"/>
    <w:rsid w:val="0088176B"/>
    <w:rsid w:val="0088278F"/>
    <w:rsid w:val="00882CC0"/>
    <w:rsid w:val="008835D0"/>
    <w:rsid w:val="008839C5"/>
    <w:rsid w:val="0088406A"/>
    <w:rsid w:val="00884C7B"/>
    <w:rsid w:val="00886789"/>
    <w:rsid w:val="008875FE"/>
    <w:rsid w:val="0088797F"/>
    <w:rsid w:val="00887DD6"/>
    <w:rsid w:val="00887F8E"/>
    <w:rsid w:val="00891067"/>
    <w:rsid w:val="0089386B"/>
    <w:rsid w:val="00894360"/>
    <w:rsid w:val="00895CD7"/>
    <w:rsid w:val="00895D25"/>
    <w:rsid w:val="00895E9C"/>
    <w:rsid w:val="00896234"/>
    <w:rsid w:val="00897E43"/>
    <w:rsid w:val="008A0F0C"/>
    <w:rsid w:val="008A1C26"/>
    <w:rsid w:val="008A2347"/>
    <w:rsid w:val="008A2FDC"/>
    <w:rsid w:val="008A34B7"/>
    <w:rsid w:val="008A4335"/>
    <w:rsid w:val="008A4E5F"/>
    <w:rsid w:val="008A5038"/>
    <w:rsid w:val="008A6D64"/>
    <w:rsid w:val="008A731D"/>
    <w:rsid w:val="008B1818"/>
    <w:rsid w:val="008B1956"/>
    <w:rsid w:val="008B2CE3"/>
    <w:rsid w:val="008B33A9"/>
    <w:rsid w:val="008B49B6"/>
    <w:rsid w:val="008B53BB"/>
    <w:rsid w:val="008C1351"/>
    <w:rsid w:val="008C21EE"/>
    <w:rsid w:val="008C259A"/>
    <w:rsid w:val="008C32AE"/>
    <w:rsid w:val="008C3305"/>
    <w:rsid w:val="008C43E0"/>
    <w:rsid w:val="008C44AA"/>
    <w:rsid w:val="008C5601"/>
    <w:rsid w:val="008C5738"/>
    <w:rsid w:val="008C5A27"/>
    <w:rsid w:val="008C5C5C"/>
    <w:rsid w:val="008C5DEA"/>
    <w:rsid w:val="008C6861"/>
    <w:rsid w:val="008C7EAD"/>
    <w:rsid w:val="008D03E8"/>
    <w:rsid w:val="008D07FE"/>
    <w:rsid w:val="008D0CFE"/>
    <w:rsid w:val="008D16F5"/>
    <w:rsid w:val="008D290E"/>
    <w:rsid w:val="008D45F0"/>
    <w:rsid w:val="008D6152"/>
    <w:rsid w:val="008D7055"/>
    <w:rsid w:val="008D759E"/>
    <w:rsid w:val="008E0B50"/>
    <w:rsid w:val="008E1B14"/>
    <w:rsid w:val="008E243E"/>
    <w:rsid w:val="008E2A9A"/>
    <w:rsid w:val="008E2ED7"/>
    <w:rsid w:val="008E3472"/>
    <w:rsid w:val="008E4F1C"/>
    <w:rsid w:val="008E57F7"/>
    <w:rsid w:val="008E5AE8"/>
    <w:rsid w:val="008E6A8B"/>
    <w:rsid w:val="008E7768"/>
    <w:rsid w:val="008E7B49"/>
    <w:rsid w:val="008E7BA9"/>
    <w:rsid w:val="008E7EFF"/>
    <w:rsid w:val="008F0F81"/>
    <w:rsid w:val="008F1D8E"/>
    <w:rsid w:val="008F27BF"/>
    <w:rsid w:val="008F55B6"/>
    <w:rsid w:val="008F5728"/>
    <w:rsid w:val="008F7592"/>
    <w:rsid w:val="008F76BE"/>
    <w:rsid w:val="00900176"/>
    <w:rsid w:val="009010F6"/>
    <w:rsid w:val="009011D1"/>
    <w:rsid w:val="00902E5A"/>
    <w:rsid w:val="00903877"/>
    <w:rsid w:val="0090555D"/>
    <w:rsid w:val="00905651"/>
    <w:rsid w:val="00905912"/>
    <w:rsid w:val="00907E3D"/>
    <w:rsid w:val="00907F44"/>
    <w:rsid w:val="009118FF"/>
    <w:rsid w:val="00912CDE"/>
    <w:rsid w:val="00913FDA"/>
    <w:rsid w:val="0091406A"/>
    <w:rsid w:val="009142EC"/>
    <w:rsid w:val="009150DF"/>
    <w:rsid w:val="009154C3"/>
    <w:rsid w:val="00915541"/>
    <w:rsid w:val="009156C0"/>
    <w:rsid w:val="0091586E"/>
    <w:rsid w:val="0091657F"/>
    <w:rsid w:val="009171F3"/>
    <w:rsid w:val="00917A8F"/>
    <w:rsid w:val="00917D16"/>
    <w:rsid w:val="00921DC6"/>
    <w:rsid w:val="00923540"/>
    <w:rsid w:val="009247A6"/>
    <w:rsid w:val="00924FEB"/>
    <w:rsid w:val="0092538A"/>
    <w:rsid w:val="009261CB"/>
    <w:rsid w:val="00926767"/>
    <w:rsid w:val="00926B45"/>
    <w:rsid w:val="009306E0"/>
    <w:rsid w:val="00933DC9"/>
    <w:rsid w:val="00934215"/>
    <w:rsid w:val="0093540B"/>
    <w:rsid w:val="00935DED"/>
    <w:rsid w:val="009361AC"/>
    <w:rsid w:val="009361D5"/>
    <w:rsid w:val="009404D4"/>
    <w:rsid w:val="0094090B"/>
    <w:rsid w:val="00940B58"/>
    <w:rsid w:val="00941D59"/>
    <w:rsid w:val="009428A4"/>
    <w:rsid w:val="0094314A"/>
    <w:rsid w:val="00944143"/>
    <w:rsid w:val="009449FB"/>
    <w:rsid w:val="00945B8B"/>
    <w:rsid w:val="00945F6E"/>
    <w:rsid w:val="00946F7F"/>
    <w:rsid w:val="00950138"/>
    <w:rsid w:val="00950A52"/>
    <w:rsid w:val="00952D1F"/>
    <w:rsid w:val="00954AED"/>
    <w:rsid w:val="00954F71"/>
    <w:rsid w:val="00955178"/>
    <w:rsid w:val="00955F82"/>
    <w:rsid w:val="00956020"/>
    <w:rsid w:val="00956071"/>
    <w:rsid w:val="009568C9"/>
    <w:rsid w:val="0096076D"/>
    <w:rsid w:val="0096106F"/>
    <w:rsid w:val="009612C9"/>
    <w:rsid w:val="00961A31"/>
    <w:rsid w:val="00962912"/>
    <w:rsid w:val="009630B5"/>
    <w:rsid w:val="009634EA"/>
    <w:rsid w:val="0096384E"/>
    <w:rsid w:val="00963A72"/>
    <w:rsid w:val="009649D4"/>
    <w:rsid w:val="00964A62"/>
    <w:rsid w:val="009659F4"/>
    <w:rsid w:val="00970927"/>
    <w:rsid w:val="00970D60"/>
    <w:rsid w:val="009715B5"/>
    <w:rsid w:val="009733CF"/>
    <w:rsid w:val="0097348B"/>
    <w:rsid w:val="00973972"/>
    <w:rsid w:val="00973D1A"/>
    <w:rsid w:val="00974B5B"/>
    <w:rsid w:val="009752F5"/>
    <w:rsid w:val="0097551C"/>
    <w:rsid w:val="0097609B"/>
    <w:rsid w:val="0097674D"/>
    <w:rsid w:val="0098082A"/>
    <w:rsid w:val="00980D02"/>
    <w:rsid w:val="009814B1"/>
    <w:rsid w:val="0098227F"/>
    <w:rsid w:val="0098319C"/>
    <w:rsid w:val="00984630"/>
    <w:rsid w:val="0098528D"/>
    <w:rsid w:val="00985B28"/>
    <w:rsid w:val="00985E1C"/>
    <w:rsid w:val="00990036"/>
    <w:rsid w:val="009919DD"/>
    <w:rsid w:val="009929F7"/>
    <w:rsid w:val="0099390E"/>
    <w:rsid w:val="00993B05"/>
    <w:rsid w:val="009960E5"/>
    <w:rsid w:val="0099613D"/>
    <w:rsid w:val="00996A7B"/>
    <w:rsid w:val="009973CB"/>
    <w:rsid w:val="009974D0"/>
    <w:rsid w:val="009975E3"/>
    <w:rsid w:val="009A0A67"/>
    <w:rsid w:val="009A0EB9"/>
    <w:rsid w:val="009A293C"/>
    <w:rsid w:val="009A29BF"/>
    <w:rsid w:val="009A3B28"/>
    <w:rsid w:val="009A3D76"/>
    <w:rsid w:val="009A7ADC"/>
    <w:rsid w:val="009B0142"/>
    <w:rsid w:val="009B0D30"/>
    <w:rsid w:val="009B1925"/>
    <w:rsid w:val="009B262E"/>
    <w:rsid w:val="009B2C92"/>
    <w:rsid w:val="009B3A1A"/>
    <w:rsid w:val="009B6114"/>
    <w:rsid w:val="009B6D42"/>
    <w:rsid w:val="009B7D4E"/>
    <w:rsid w:val="009C00A2"/>
    <w:rsid w:val="009C038C"/>
    <w:rsid w:val="009C19B7"/>
    <w:rsid w:val="009C2193"/>
    <w:rsid w:val="009C309C"/>
    <w:rsid w:val="009C354F"/>
    <w:rsid w:val="009C3BFD"/>
    <w:rsid w:val="009C3CC2"/>
    <w:rsid w:val="009C3D7C"/>
    <w:rsid w:val="009C4631"/>
    <w:rsid w:val="009C5ABB"/>
    <w:rsid w:val="009C5C72"/>
    <w:rsid w:val="009C6E9D"/>
    <w:rsid w:val="009C71C5"/>
    <w:rsid w:val="009C7578"/>
    <w:rsid w:val="009C7875"/>
    <w:rsid w:val="009C7D4A"/>
    <w:rsid w:val="009D0BD8"/>
    <w:rsid w:val="009D0E5B"/>
    <w:rsid w:val="009D19F7"/>
    <w:rsid w:val="009D2BDA"/>
    <w:rsid w:val="009D6192"/>
    <w:rsid w:val="009D7C51"/>
    <w:rsid w:val="009E0132"/>
    <w:rsid w:val="009E196C"/>
    <w:rsid w:val="009E27E1"/>
    <w:rsid w:val="009E2F91"/>
    <w:rsid w:val="009E3C89"/>
    <w:rsid w:val="009E47B7"/>
    <w:rsid w:val="009E5FBA"/>
    <w:rsid w:val="009E64D8"/>
    <w:rsid w:val="009E789E"/>
    <w:rsid w:val="009E7CC2"/>
    <w:rsid w:val="009F01BB"/>
    <w:rsid w:val="009F0BCA"/>
    <w:rsid w:val="009F0D04"/>
    <w:rsid w:val="009F175E"/>
    <w:rsid w:val="009F1BE5"/>
    <w:rsid w:val="009F36BF"/>
    <w:rsid w:val="009F4E02"/>
    <w:rsid w:val="009F5260"/>
    <w:rsid w:val="009F6CEA"/>
    <w:rsid w:val="009F6F6F"/>
    <w:rsid w:val="00A000CB"/>
    <w:rsid w:val="00A014E5"/>
    <w:rsid w:val="00A0256D"/>
    <w:rsid w:val="00A02715"/>
    <w:rsid w:val="00A04779"/>
    <w:rsid w:val="00A048D7"/>
    <w:rsid w:val="00A05025"/>
    <w:rsid w:val="00A05291"/>
    <w:rsid w:val="00A05E13"/>
    <w:rsid w:val="00A06569"/>
    <w:rsid w:val="00A06D46"/>
    <w:rsid w:val="00A07B38"/>
    <w:rsid w:val="00A10902"/>
    <w:rsid w:val="00A110F7"/>
    <w:rsid w:val="00A111B6"/>
    <w:rsid w:val="00A113C8"/>
    <w:rsid w:val="00A129BE"/>
    <w:rsid w:val="00A1383F"/>
    <w:rsid w:val="00A13B66"/>
    <w:rsid w:val="00A13FC3"/>
    <w:rsid w:val="00A14039"/>
    <w:rsid w:val="00A1468D"/>
    <w:rsid w:val="00A15648"/>
    <w:rsid w:val="00A174A1"/>
    <w:rsid w:val="00A17670"/>
    <w:rsid w:val="00A21399"/>
    <w:rsid w:val="00A22385"/>
    <w:rsid w:val="00A23B04"/>
    <w:rsid w:val="00A2475E"/>
    <w:rsid w:val="00A2533B"/>
    <w:rsid w:val="00A2663B"/>
    <w:rsid w:val="00A26D27"/>
    <w:rsid w:val="00A31A37"/>
    <w:rsid w:val="00A31ACD"/>
    <w:rsid w:val="00A325B9"/>
    <w:rsid w:val="00A331D3"/>
    <w:rsid w:val="00A3478A"/>
    <w:rsid w:val="00A348BD"/>
    <w:rsid w:val="00A35A48"/>
    <w:rsid w:val="00A369EC"/>
    <w:rsid w:val="00A37306"/>
    <w:rsid w:val="00A376D6"/>
    <w:rsid w:val="00A376EE"/>
    <w:rsid w:val="00A37714"/>
    <w:rsid w:val="00A40672"/>
    <w:rsid w:val="00A41513"/>
    <w:rsid w:val="00A420E0"/>
    <w:rsid w:val="00A42A99"/>
    <w:rsid w:val="00A4314A"/>
    <w:rsid w:val="00A43654"/>
    <w:rsid w:val="00A448C8"/>
    <w:rsid w:val="00A449C6"/>
    <w:rsid w:val="00A451CE"/>
    <w:rsid w:val="00A45730"/>
    <w:rsid w:val="00A50175"/>
    <w:rsid w:val="00A5151A"/>
    <w:rsid w:val="00A51B94"/>
    <w:rsid w:val="00A53139"/>
    <w:rsid w:val="00A54719"/>
    <w:rsid w:val="00A559FA"/>
    <w:rsid w:val="00A55B66"/>
    <w:rsid w:val="00A55F03"/>
    <w:rsid w:val="00A56590"/>
    <w:rsid w:val="00A56599"/>
    <w:rsid w:val="00A5676B"/>
    <w:rsid w:val="00A569BD"/>
    <w:rsid w:val="00A57927"/>
    <w:rsid w:val="00A5793D"/>
    <w:rsid w:val="00A57E0A"/>
    <w:rsid w:val="00A6200A"/>
    <w:rsid w:val="00A6287D"/>
    <w:rsid w:val="00A63F91"/>
    <w:rsid w:val="00A647D4"/>
    <w:rsid w:val="00A6577B"/>
    <w:rsid w:val="00A65BA0"/>
    <w:rsid w:val="00A65C4B"/>
    <w:rsid w:val="00A6631F"/>
    <w:rsid w:val="00A7178E"/>
    <w:rsid w:val="00A722DA"/>
    <w:rsid w:val="00A725C9"/>
    <w:rsid w:val="00A73756"/>
    <w:rsid w:val="00A74D1B"/>
    <w:rsid w:val="00A74EF6"/>
    <w:rsid w:val="00A75DF1"/>
    <w:rsid w:val="00A76163"/>
    <w:rsid w:val="00A77042"/>
    <w:rsid w:val="00A7710B"/>
    <w:rsid w:val="00A77437"/>
    <w:rsid w:val="00A82278"/>
    <w:rsid w:val="00A82281"/>
    <w:rsid w:val="00A823AE"/>
    <w:rsid w:val="00A823F6"/>
    <w:rsid w:val="00A826D0"/>
    <w:rsid w:val="00A83EA7"/>
    <w:rsid w:val="00A84FB8"/>
    <w:rsid w:val="00A865E7"/>
    <w:rsid w:val="00A8719E"/>
    <w:rsid w:val="00A87B2F"/>
    <w:rsid w:val="00A901A0"/>
    <w:rsid w:val="00A90811"/>
    <w:rsid w:val="00A910A2"/>
    <w:rsid w:val="00A911C8"/>
    <w:rsid w:val="00A925E4"/>
    <w:rsid w:val="00A92632"/>
    <w:rsid w:val="00A92F84"/>
    <w:rsid w:val="00A93A9A"/>
    <w:rsid w:val="00A94D91"/>
    <w:rsid w:val="00A94E19"/>
    <w:rsid w:val="00A94FE0"/>
    <w:rsid w:val="00A959E4"/>
    <w:rsid w:val="00A95D00"/>
    <w:rsid w:val="00A964CF"/>
    <w:rsid w:val="00A96F90"/>
    <w:rsid w:val="00A97864"/>
    <w:rsid w:val="00A9797F"/>
    <w:rsid w:val="00AA0517"/>
    <w:rsid w:val="00AA0A89"/>
    <w:rsid w:val="00AA0B1C"/>
    <w:rsid w:val="00AA1C42"/>
    <w:rsid w:val="00AA5B54"/>
    <w:rsid w:val="00AA6429"/>
    <w:rsid w:val="00AA70EC"/>
    <w:rsid w:val="00AA7EDA"/>
    <w:rsid w:val="00AB1E2C"/>
    <w:rsid w:val="00AB3BE3"/>
    <w:rsid w:val="00AB4540"/>
    <w:rsid w:val="00AB79E5"/>
    <w:rsid w:val="00AC0168"/>
    <w:rsid w:val="00AC01AA"/>
    <w:rsid w:val="00AC17F3"/>
    <w:rsid w:val="00AC1E76"/>
    <w:rsid w:val="00AC25FC"/>
    <w:rsid w:val="00AC4E6D"/>
    <w:rsid w:val="00AC4F72"/>
    <w:rsid w:val="00AC5F3F"/>
    <w:rsid w:val="00AC6BF0"/>
    <w:rsid w:val="00AC7121"/>
    <w:rsid w:val="00AC7366"/>
    <w:rsid w:val="00AC76E8"/>
    <w:rsid w:val="00AD04D9"/>
    <w:rsid w:val="00AD0FB0"/>
    <w:rsid w:val="00AD17EC"/>
    <w:rsid w:val="00AD2299"/>
    <w:rsid w:val="00AD230E"/>
    <w:rsid w:val="00AD3CA4"/>
    <w:rsid w:val="00AD4EC5"/>
    <w:rsid w:val="00AD4F7B"/>
    <w:rsid w:val="00AD6594"/>
    <w:rsid w:val="00AD69A4"/>
    <w:rsid w:val="00AE0150"/>
    <w:rsid w:val="00AE0731"/>
    <w:rsid w:val="00AE1DBE"/>
    <w:rsid w:val="00AE20EC"/>
    <w:rsid w:val="00AE2847"/>
    <w:rsid w:val="00AE2B4A"/>
    <w:rsid w:val="00AE3156"/>
    <w:rsid w:val="00AE3B97"/>
    <w:rsid w:val="00AE3FFA"/>
    <w:rsid w:val="00AE4468"/>
    <w:rsid w:val="00AE5159"/>
    <w:rsid w:val="00AE6018"/>
    <w:rsid w:val="00AE6337"/>
    <w:rsid w:val="00AF0E2B"/>
    <w:rsid w:val="00AF2016"/>
    <w:rsid w:val="00AF21F9"/>
    <w:rsid w:val="00AF3A3A"/>
    <w:rsid w:val="00AF4B24"/>
    <w:rsid w:val="00AF4C03"/>
    <w:rsid w:val="00AF5640"/>
    <w:rsid w:val="00AF586E"/>
    <w:rsid w:val="00AF598A"/>
    <w:rsid w:val="00AF6016"/>
    <w:rsid w:val="00AF6D90"/>
    <w:rsid w:val="00AF741A"/>
    <w:rsid w:val="00AF751C"/>
    <w:rsid w:val="00B000F9"/>
    <w:rsid w:val="00B00DEF"/>
    <w:rsid w:val="00B00F39"/>
    <w:rsid w:val="00B01481"/>
    <w:rsid w:val="00B01ADB"/>
    <w:rsid w:val="00B01FAB"/>
    <w:rsid w:val="00B02AF8"/>
    <w:rsid w:val="00B02DD3"/>
    <w:rsid w:val="00B03A36"/>
    <w:rsid w:val="00B03C27"/>
    <w:rsid w:val="00B03CED"/>
    <w:rsid w:val="00B04161"/>
    <w:rsid w:val="00B04B7B"/>
    <w:rsid w:val="00B04E6F"/>
    <w:rsid w:val="00B0512D"/>
    <w:rsid w:val="00B056F9"/>
    <w:rsid w:val="00B10021"/>
    <w:rsid w:val="00B11E3D"/>
    <w:rsid w:val="00B1278E"/>
    <w:rsid w:val="00B14A47"/>
    <w:rsid w:val="00B1692A"/>
    <w:rsid w:val="00B16BF4"/>
    <w:rsid w:val="00B1770D"/>
    <w:rsid w:val="00B17E82"/>
    <w:rsid w:val="00B2013A"/>
    <w:rsid w:val="00B212E9"/>
    <w:rsid w:val="00B2280D"/>
    <w:rsid w:val="00B23C28"/>
    <w:rsid w:val="00B24955"/>
    <w:rsid w:val="00B24BB0"/>
    <w:rsid w:val="00B26335"/>
    <w:rsid w:val="00B271CD"/>
    <w:rsid w:val="00B303BD"/>
    <w:rsid w:val="00B31582"/>
    <w:rsid w:val="00B31E8D"/>
    <w:rsid w:val="00B32B39"/>
    <w:rsid w:val="00B339B9"/>
    <w:rsid w:val="00B342BA"/>
    <w:rsid w:val="00B34727"/>
    <w:rsid w:val="00B34DDD"/>
    <w:rsid w:val="00B34F95"/>
    <w:rsid w:val="00B358D5"/>
    <w:rsid w:val="00B35964"/>
    <w:rsid w:val="00B369CC"/>
    <w:rsid w:val="00B37018"/>
    <w:rsid w:val="00B37E23"/>
    <w:rsid w:val="00B41C83"/>
    <w:rsid w:val="00B41D66"/>
    <w:rsid w:val="00B422F6"/>
    <w:rsid w:val="00B424D3"/>
    <w:rsid w:val="00B4287E"/>
    <w:rsid w:val="00B42EF5"/>
    <w:rsid w:val="00B44F2F"/>
    <w:rsid w:val="00B4575A"/>
    <w:rsid w:val="00B47762"/>
    <w:rsid w:val="00B50A3C"/>
    <w:rsid w:val="00B5115B"/>
    <w:rsid w:val="00B51A14"/>
    <w:rsid w:val="00B528F3"/>
    <w:rsid w:val="00B55F68"/>
    <w:rsid w:val="00B57458"/>
    <w:rsid w:val="00B575BA"/>
    <w:rsid w:val="00B57FC3"/>
    <w:rsid w:val="00B60823"/>
    <w:rsid w:val="00B61E09"/>
    <w:rsid w:val="00B625AD"/>
    <w:rsid w:val="00B627A8"/>
    <w:rsid w:val="00B63679"/>
    <w:rsid w:val="00B63951"/>
    <w:rsid w:val="00B65036"/>
    <w:rsid w:val="00B6671F"/>
    <w:rsid w:val="00B67411"/>
    <w:rsid w:val="00B67E84"/>
    <w:rsid w:val="00B71234"/>
    <w:rsid w:val="00B71608"/>
    <w:rsid w:val="00B72600"/>
    <w:rsid w:val="00B74966"/>
    <w:rsid w:val="00B76429"/>
    <w:rsid w:val="00B764BC"/>
    <w:rsid w:val="00B779EA"/>
    <w:rsid w:val="00B802ED"/>
    <w:rsid w:val="00B80654"/>
    <w:rsid w:val="00B80B0C"/>
    <w:rsid w:val="00B8606D"/>
    <w:rsid w:val="00B8678F"/>
    <w:rsid w:val="00B90A56"/>
    <w:rsid w:val="00B91138"/>
    <w:rsid w:val="00B91B13"/>
    <w:rsid w:val="00B91E0F"/>
    <w:rsid w:val="00B9227E"/>
    <w:rsid w:val="00B92984"/>
    <w:rsid w:val="00B92BDA"/>
    <w:rsid w:val="00B939D6"/>
    <w:rsid w:val="00B9485B"/>
    <w:rsid w:val="00B95145"/>
    <w:rsid w:val="00B956D4"/>
    <w:rsid w:val="00B96020"/>
    <w:rsid w:val="00B97446"/>
    <w:rsid w:val="00B97BD8"/>
    <w:rsid w:val="00B97E04"/>
    <w:rsid w:val="00BA014F"/>
    <w:rsid w:val="00BA0964"/>
    <w:rsid w:val="00BA13B9"/>
    <w:rsid w:val="00BA14FC"/>
    <w:rsid w:val="00BA3899"/>
    <w:rsid w:val="00BA3F34"/>
    <w:rsid w:val="00BA41F7"/>
    <w:rsid w:val="00BA5624"/>
    <w:rsid w:val="00BA5785"/>
    <w:rsid w:val="00BA6B1D"/>
    <w:rsid w:val="00BA7432"/>
    <w:rsid w:val="00BA78BD"/>
    <w:rsid w:val="00BA7B1E"/>
    <w:rsid w:val="00BB1446"/>
    <w:rsid w:val="00BB2764"/>
    <w:rsid w:val="00BB60C5"/>
    <w:rsid w:val="00BB63EB"/>
    <w:rsid w:val="00BB6464"/>
    <w:rsid w:val="00BC0C87"/>
    <w:rsid w:val="00BC0F9C"/>
    <w:rsid w:val="00BC1215"/>
    <w:rsid w:val="00BC19CE"/>
    <w:rsid w:val="00BC1A3E"/>
    <w:rsid w:val="00BC1AA0"/>
    <w:rsid w:val="00BC2495"/>
    <w:rsid w:val="00BC3472"/>
    <w:rsid w:val="00BC4495"/>
    <w:rsid w:val="00BC48D1"/>
    <w:rsid w:val="00BC5D4D"/>
    <w:rsid w:val="00BC6444"/>
    <w:rsid w:val="00BC6E4D"/>
    <w:rsid w:val="00BC7117"/>
    <w:rsid w:val="00BC7EB9"/>
    <w:rsid w:val="00BD0DDA"/>
    <w:rsid w:val="00BD11BA"/>
    <w:rsid w:val="00BD2643"/>
    <w:rsid w:val="00BD50B9"/>
    <w:rsid w:val="00BD53D1"/>
    <w:rsid w:val="00BD56B1"/>
    <w:rsid w:val="00BD6558"/>
    <w:rsid w:val="00BE0AF7"/>
    <w:rsid w:val="00BE0F11"/>
    <w:rsid w:val="00BE108B"/>
    <w:rsid w:val="00BE14A1"/>
    <w:rsid w:val="00BE35AE"/>
    <w:rsid w:val="00BE460D"/>
    <w:rsid w:val="00BE6815"/>
    <w:rsid w:val="00BE709A"/>
    <w:rsid w:val="00BF0EB0"/>
    <w:rsid w:val="00BF1C06"/>
    <w:rsid w:val="00BF2AF9"/>
    <w:rsid w:val="00BF2F76"/>
    <w:rsid w:val="00BF3022"/>
    <w:rsid w:val="00BF3214"/>
    <w:rsid w:val="00BF4124"/>
    <w:rsid w:val="00BF4192"/>
    <w:rsid w:val="00BF5573"/>
    <w:rsid w:val="00BF571B"/>
    <w:rsid w:val="00BF597A"/>
    <w:rsid w:val="00BF6DAC"/>
    <w:rsid w:val="00BF71C9"/>
    <w:rsid w:val="00C00D4D"/>
    <w:rsid w:val="00C019B4"/>
    <w:rsid w:val="00C023B5"/>
    <w:rsid w:val="00C02997"/>
    <w:rsid w:val="00C059CC"/>
    <w:rsid w:val="00C1331F"/>
    <w:rsid w:val="00C15867"/>
    <w:rsid w:val="00C163E6"/>
    <w:rsid w:val="00C16CB0"/>
    <w:rsid w:val="00C16CCA"/>
    <w:rsid w:val="00C179F5"/>
    <w:rsid w:val="00C17D1A"/>
    <w:rsid w:val="00C20931"/>
    <w:rsid w:val="00C209F5"/>
    <w:rsid w:val="00C20DBD"/>
    <w:rsid w:val="00C21007"/>
    <w:rsid w:val="00C21EA0"/>
    <w:rsid w:val="00C22146"/>
    <w:rsid w:val="00C2296D"/>
    <w:rsid w:val="00C22F4F"/>
    <w:rsid w:val="00C23155"/>
    <w:rsid w:val="00C235E5"/>
    <w:rsid w:val="00C24385"/>
    <w:rsid w:val="00C252B7"/>
    <w:rsid w:val="00C2533D"/>
    <w:rsid w:val="00C260DA"/>
    <w:rsid w:val="00C30806"/>
    <w:rsid w:val="00C30A7B"/>
    <w:rsid w:val="00C31192"/>
    <w:rsid w:val="00C31E53"/>
    <w:rsid w:val="00C32236"/>
    <w:rsid w:val="00C339F4"/>
    <w:rsid w:val="00C33E6D"/>
    <w:rsid w:val="00C36069"/>
    <w:rsid w:val="00C3646E"/>
    <w:rsid w:val="00C36CA8"/>
    <w:rsid w:val="00C37BEC"/>
    <w:rsid w:val="00C40C41"/>
    <w:rsid w:val="00C4254D"/>
    <w:rsid w:val="00C428FE"/>
    <w:rsid w:val="00C43CCD"/>
    <w:rsid w:val="00C4419D"/>
    <w:rsid w:val="00C445BD"/>
    <w:rsid w:val="00C452F2"/>
    <w:rsid w:val="00C45885"/>
    <w:rsid w:val="00C46483"/>
    <w:rsid w:val="00C50F22"/>
    <w:rsid w:val="00C51235"/>
    <w:rsid w:val="00C52A4C"/>
    <w:rsid w:val="00C54CF5"/>
    <w:rsid w:val="00C54DC6"/>
    <w:rsid w:val="00C5684C"/>
    <w:rsid w:val="00C57971"/>
    <w:rsid w:val="00C57BCB"/>
    <w:rsid w:val="00C6076D"/>
    <w:rsid w:val="00C607C1"/>
    <w:rsid w:val="00C61714"/>
    <w:rsid w:val="00C61A0B"/>
    <w:rsid w:val="00C6380B"/>
    <w:rsid w:val="00C65541"/>
    <w:rsid w:val="00C65BD7"/>
    <w:rsid w:val="00C67B45"/>
    <w:rsid w:val="00C701FD"/>
    <w:rsid w:val="00C708D8"/>
    <w:rsid w:val="00C71FA9"/>
    <w:rsid w:val="00C727F3"/>
    <w:rsid w:val="00C73385"/>
    <w:rsid w:val="00C7494F"/>
    <w:rsid w:val="00C74F1D"/>
    <w:rsid w:val="00C75991"/>
    <w:rsid w:val="00C76BA4"/>
    <w:rsid w:val="00C779A3"/>
    <w:rsid w:val="00C80473"/>
    <w:rsid w:val="00C83016"/>
    <w:rsid w:val="00C83A48"/>
    <w:rsid w:val="00C83D4C"/>
    <w:rsid w:val="00C84A16"/>
    <w:rsid w:val="00C85865"/>
    <w:rsid w:val="00C85E85"/>
    <w:rsid w:val="00C86333"/>
    <w:rsid w:val="00C86E1A"/>
    <w:rsid w:val="00C86F76"/>
    <w:rsid w:val="00C874DC"/>
    <w:rsid w:val="00C878E2"/>
    <w:rsid w:val="00C87E67"/>
    <w:rsid w:val="00C902F8"/>
    <w:rsid w:val="00C906FD"/>
    <w:rsid w:val="00C9193E"/>
    <w:rsid w:val="00C9328E"/>
    <w:rsid w:val="00C956C7"/>
    <w:rsid w:val="00C95E4D"/>
    <w:rsid w:val="00C96848"/>
    <w:rsid w:val="00C96A94"/>
    <w:rsid w:val="00C97D6B"/>
    <w:rsid w:val="00CA1454"/>
    <w:rsid w:val="00CA1473"/>
    <w:rsid w:val="00CA1D41"/>
    <w:rsid w:val="00CA1F45"/>
    <w:rsid w:val="00CA2033"/>
    <w:rsid w:val="00CA2082"/>
    <w:rsid w:val="00CA2EAE"/>
    <w:rsid w:val="00CA4A26"/>
    <w:rsid w:val="00CA4AC1"/>
    <w:rsid w:val="00CA4C5D"/>
    <w:rsid w:val="00CA51E4"/>
    <w:rsid w:val="00CA551F"/>
    <w:rsid w:val="00CA5638"/>
    <w:rsid w:val="00CA5A55"/>
    <w:rsid w:val="00CA779D"/>
    <w:rsid w:val="00CB0316"/>
    <w:rsid w:val="00CB0B11"/>
    <w:rsid w:val="00CB1712"/>
    <w:rsid w:val="00CB2395"/>
    <w:rsid w:val="00CB248A"/>
    <w:rsid w:val="00CB2F1F"/>
    <w:rsid w:val="00CB40B4"/>
    <w:rsid w:val="00CB426A"/>
    <w:rsid w:val="00CB50C6"/>
    <w:rsid w:val="00CB5354"/>
    <w:rsid w:val="00CB5A76"/>
    <w:rsid w:val="00CB5E29"/>
    <w:rsid w:val="00CC171B"/>
    <w:rsid w:val="00CC2D6D"/>
    <w:rsid w:val="00CC3C9E"/>
    <w:rsid w:val="00CC4778"/>
    <w:rsid w:val="00CC4E74"/>
    <w:rsid w:val="00CC5F27"/>
    <w:rsid w:val="00CC6316"/>
    <w:rsid w:val="00CC659E"/>
    <w:rsid w:val="00CC68ED"/>
    <w:rsid w:val="00CC698C"/>
    <w:rsid w:val="00CC6A14"/>
    <w:rsid w:val="00CC70A3"/>
    <w:rsid w:val="00CC70A9"/>
    <w:rsid w:val="00CC73C8"/>
    <w:rsid w:val="00CD0314"/>
    <w:rsid w:val="00CD0F0E"/>
    <w:rsid w:val="00CD2051"/>
    <w:rsid w:val="00CD23CF"/>
    <w:rsid w:val="00CD25D9"/>
    <w:rsid w:val="00CD2786"/>
    <w:rsid w:val="00CD2AA3"/>
    <w:rsid w:val="00CD4442"/>
    <w:rsid w:val="00CD53C3"/>
    <w:rsid w:val="00CD574E"/>
    <w:rsid w:val="00CD776A"/>
    <w:rsid w:val="00CE0092"/>
    <w:rsid w:val="00CE00F3"/>
    <w:rsid w:val="00CE136A"/>
    <w:rsid w:val="00CE1597"/>
    <w:rsid w:val="00CE1A8B"/>
    <w:rsid w:val="00CE27E6"/>
    <w:rsid w:val="00CE4C22"/>
    <w:rsid w:val="00CE5831"/>
    <w:rsid w:val="00CE5FFD"/>
    <w:rsid w:val="00CE6485"/>
    <w:rsid w:val="00CE76B2"/>
    <w:rsid w:val="00CF04DE"/>
    <w:rsid w:val="00CF08E3"/>
    <w:rsid w:val="00CF23B2"/>
    <w:rsid w:val="00CF41EC"/>
    <w:rsid w:val="00CF4803"/>
    <w:rsid w:val="00CF496C"/>
    <w:rsid w:val="00CF4AE4"/>
    <w:rsid w:val="00CF5D04"/>
    <w:rsid w:val="00CF5D4F"/>
    <w:rsid w:val="00CF5EBB"/>
    <w:rsid w:val="00CF71DD"/>
    <w:rsid w:val="00CF7FB6"/>
    <w:rsid w:val="00D00693"/>
    <w:rsid w:val="00D0114D"/>
    <w:rsid w:val="00D02DD9"/>
    <w:rsid w:val="00D033F9"/>
    <w:rsid w:val="00D03C8D"/>
    <w:rsid w:val="00D04D20"/>
    <w:rsid w:val="00D04DE4"/>
    <w:rsid w:val="00D04EA8"/>
    <w:rsid w:val="00D05192"/>
    <w:rsid w:val="00D05795"/>
    <w:rsid w:val="00D063F1"/>
    <w:rsid w:val="00D06430"/>
    <w:rsid w:val="00D07515"/>
    <w:rsid w:val="00D07E9B"/>
    <w:rsid w:val="00D10793"/>
    <w:rsid w:val="00D109A5"/>
    <w:rsid w:val="00D10E3D"/>
    <w:rsid w:val="00D1123C"/>
    <w:rsid w:val="00D118E6"/>
    <w:rsid w:val="00D11FAC"/>
    <w:rsid w:val="00D12ACD"/>
    <w:rsid w:val="00D146B1"/>
    <w:rsid w:val="00D14F22"/>
    <w:rsid w:val="00D165AD"/>
    <w:rsid w:val="00D16BC1"/>
    <w:rsid w:val="00D16C17"/>
    <w:rsid w:val="00D17E90"/>
    <w:rsid w:val="00D20072"/>
    <w:rsid w:val="00D20240"/>
    <w:rsid w:val="00D20393"/>
    <w:rsid w:val="00D21CDD"/>
    <w:rsid w:val="00D2369F"/>
    <w:rsid w:val="00D247F4"/>
    <w:rsid w:val="00D25410"/>
    <w:rsid w:val="00D27C3F"/>
    <w:rsid w:val="00D31496"/>
    <w:rsid w:val="00D315B8"/>
    <w:rsid w:val="00D3206F"/>
    <w:rsid w:val="00D34DF5"/>
    <w:rsid w:val="00D3585C"/>
    <w:rsid w:val="00D3734D"/>
    <w:rsid w:val="00D41C96"/>
    <w:rsid w:val="00D430E8"/>
    <w:rsid w:val="00D44869"/>
    <w:rsid w:val="00D454E6"/>
    <w:rsid w:val="00D45FAD"/>
    <w:rsid w:val="00D472C1"/>
    <w:rsid w:val="00D4741C"/>
    <w:rsid w:val="00D4785B"/>
    <w:rsid w:val="00D50372"/>
    <w:rsid w:val="00D534E1"/>
    <w:rsid w:val="00D5480B"/>
    <w:rsid w:val="00D551B9"/>
    <w:rsid w:val="00D56CEA"/>
    <w:rsid w:val="00D57559"/>
    <w:rsid w:val="00D57918"/>
    <w:rsid w:val="00D615FA"/>
    <w:rsid w:val="00D61924"/>
    <w:rsid w:val="00D6409B"/>
    <w:rsid w:val="00D7183E"/>
    <w:rsid w:val="00D72718"/>
    <w:rsid w:val="00D73DC6"/>
    <w:rsid w:val="00D74C1A"/>
    <w:rsid w:val="00D754C1"/>
    <w:rsid w:val="00D755D0"/>
    <w:rsid w:val="00D77393"/>
    <w:rsid w:val="00D7744F"/>
    <w:rsid w:val="00D77A35"/>
    <w:rsid w:val="00D81B3E"/>
    <w:rsid w:val="00D82370"/>
    <w:rsid w:val="00D84EF3"/>
    <w:rsid w:val="00D85A62"/>
    <w:rsid w:val="00D876D9"/>
    <w:rsid w:val="00D878F6"/>
    <w:rsid w:val="00D90C70"/>
    <w:rsid w:val="00D90E49"/>
    <w:rsid w:val="00D911BB"/>
    <w:rsid w:val="00D9161E"/>
    <w:rsid w:val="00D91B21"/>
    <w:rsid w:val="00D92730"/>
    <w:rsid w:val="00D9288B"/>
    <w:rsid w:val="00D94316"/>
    <w:rsid w:val="00D954E8"/>
    <w:rsid w:val="00D95837"/>
    <w:rsid w:val="00D960F5"/>
    <w:rsid w:val="00D969AA"/>
    <w:rsid w:val="00D96ADE"/>
    <w:rsid w:val="00D96CD3"/>
    <w:rsid w:val="00D97D26"/>
    <w:rsid w:val="00DA00F6"/>
    <w:rsid w:val="00DA0CE2"/>
    <w:rsid w:val="00DA0F8A"/>
    <w:rsid w:val="00DA28A0"/>
    <w:rsid w:val="00DA3B3A"/>
    <w:rsid w:val="00DA57C5"/>
    <w:rsid w:val="00DA5CF9"/>
    <w:rsid w:val="00DA7FA0"/>
    <w:rsid w:val="00DB21D4"/>
    <w:rsid w:val="00DB2804"/>
    <w:rsid w:val="00DB2B13"/>
    <w:rsid w:val="00DB44BB"/>
    <w:rsid w:val="00DB5A83"/>
    <w:rsid w:val="00DC0824"/>
    <w:rsid w:val="00DC12B2"/>
    <w:rsid w:val="00DC12D4"/>
    <w:rsid w:val="00DC2285"/>
    <w:rsid w:val="00DC26C4"/>
    <w:rsid w:val="00DC3C05"/>
    <w:rsid w:val="00DC49C5"/>
    <w:rsid w:val="00DC5091"/>
    <w:rsid w:val="00DC525E"/>
    <w:rsid w:val="00DC6989"/>
    <w:rsid w:val="00DC6A10"/>
    <w:rsid w:val="00DC77C7"/>
    <w:rsid w:val="00DC7B25"/>
    <w:rsid w:val="00DC7ED0"/>
    <w:rsid w:val="00DD123D"/>
    <w:rsid w:val="00DD2BBB"/>
    <w:rsid w:val="00DD37D5"/>
    <w:rsid w:val="00DD42B7"/>
    <w:rsid w:val="00DD4C20"/>
    <w:rsid w:val="00DD4F70"/>
    <w:rsid w:val="00DD5963"/>
    <w:rsid w:val="00DD5BD2"/>
    <w:rsid w:val="00DD715A"/>
    <w:rsid w:val="00DE08E6"/>
    <w:rsid w:val="00DE1888"/>
    <w:rsid w:val="00DE1EBF"/>
    <w:rsid w:val="00DE4452"/>
    <w:rsid w:val="00DE59CD"/>
    <w:rsid w:val="00DE657E"/>
    <w:rsid w:val="00DE7308"/>
    <w:rsid w:val="00DE74F4"/>
    <w:rsid w:val="00DE766A"/>
    <w:rsid w:val="00DF0DEF"/>
    <w:rsid w:val="00DF1A07"/>
    <w:rsid w:val="00DF3A27"/>
    <w:rsid w:val="00DF4704"/>
    <w:rsid w:val="00DF475C"/>
    <w:rsid w:val="00DF497B"/>
    <w:rsid w:val="00DF535B"/>
    <w:rsid w:val="00DF56F6"/>
    <w:rsid w:val="00DF5D60"/>
    <w:rsid w:val="00DF61CD"/>
    <w:rsid w:val="00DF759F"/>
    <w:rsid w:val="00E01090"/>
    <w:rsid w:val="00E011E5"/>
    <w:rsid w:val="00E01427"/>
    <w:rsid w:val="00E0220D"/>
    <w:rsid w:val="00E024AA"/>
    <w:rsid w:val="00E02AF4"/>
    <w:rsid w:val="00E054CD"/>
    <w:rsid w:val="00E07EF3"/>
    <w:rsid w:val="00E07FF0"/>
    <w:rsid w:val="00E10249"/>
    <w:rsid w:val="00E114B7"/>
    <w:rsid w:val="00E12AFA"/>
    <w:rsid w:val="00E13013"/>
    <w:rsid w:val="00E13FAE"/>
    <w:rsid w:val="00E140E5"/>
    <w:rsid w:val="00E15C77"/>
    <w:rsid w:val="00E15EA8"/>
    <w:rsid w:val="00E164FA"/>
    <w:rsid w:val="00E20ADA"/>
    <w:rsid w:val="00E2130D"/>
    <w:rsid w:val="00E21734"/>
    <w:rsid w:val="00E221FB"/>
    <w:rsid w:val="00E2257A"/>
    <w:rsid w:val="00E2279C"/>
    <w:rsid w:val="00E22CCF"/>
    <w:rsid w:val="00E23AAC"/>
    <w:rsid w:val="00E23BEF"/>
    <w:rsid w:val="00E250F1"/>
    <w:rsid w:val="00E25408"/>
    <w:rsid w:val="00E25B5E"/>
    <w:rsid w:val="00E26192"/>
    <w:rsid w:val="00E2653F"/>
    <w:rsid w:val="00E301B6"/>
    <w:rsid w:val="00E335C7"/>
    <w:rsid w:val="00E33A38"/>
    <w:rsid w:val="00E3550D"/>
    <w:rsid w:val="00E36A59"/>
    <w:rsid w:val="00E36C14"/>
    <w:rsid w:val="00E36DB1"/>
    <w:rsid w:val="00E405F8"/>
    <w:rsid w:val="00E417EB"/>
    <w:rsid w:val="00E41EC7"/>
    <w:rsid w:val="00E43D6E"/>
    <w:rsid w:val="00E45BE6"/>
    <w:rsid w:val="00E505DC"/>
    <w:rsid w:val="00E514EA"/>
    <w:rsid w:val="00E527F2"/>
    <w:rsid w:val="00E52838"/>
    <w:rsid w:val="00E529BF"/>
    <w:rsid w:val="00E52C99"/>
    <w:rsid w:val="00E52CC6"/>
    <w:rsid w:val="00E54886"/>
    <w:rsid w:val="00E54A21"/>
    <w:rsid w:val="00E557A8"/>
    <w:rsid w:val="00E557B7"/>
    <w:rsid w:val="00E57182"/>
    <w:rsid w:val="00E578DA"/>
    <w:rsid w:val="00E6016B"/>
    <w:rsid w:val="00E60255"/>
    <w:rsid w:val="00E614E0"/>
    <w:rsid w:val="00E62A83"/>
    <w:rsid w:val="00E62E83"/>
    <w:rsid w:val="00E64139"/>
    <w:rsid w:val="00E64332"/>
    <w:rsid w:val="00E647F0"/>
    <w:rsid w:val="00E65778"/>
    <w:rsid w:val="00E66738"/>
    <w:rsid w:val="00E674D8"/>
    <w:rsid w:val="00E67ADC"/>
    <w:rsid w:val="00E67C79"/>
    <w:rsid w:val="00E7004B"/>
    <w:rsid w:val="00E7010D"/>
    <w:rsid w:val="00E70331"/>
    <w:rsid w:val="00E71647"/>
    <w:rsid w:val="00E71BC5"/>
    <w:rsid w:val="00E71D94"/>
    <w:rsid w:val="00E71E5D"/>
    <w:rsid w:val="00E730DD"/>
    <w:rsid w:val="00E73F7F"/>
    <w:rsid w:val="00E74BA3"/>
    <w:rsid w:val="00E75633"/>
    <w:rsid w:val="00E771CF"/>
    <w:rsid w:val="00E80800"/>
    <w:rsid w:val="00E80A03"/>
    <w:rsid w:val="00E80C90"/>
    <w:rsid w:val="00E82C53"/>
    <w:rsid w:val="00E8322A"/>
    <w:rsid w:val="00E839C4"/>
    <w:rsid w:val="00E8490E"/>
    <w:rsid w:val="00E85409"/>
    <w:rsid w:val="00E85AB7"/>
    <w:rsid w:val="00E87B5F"/>
    <w:rsid w:val="00E87E5E"/>
    <w:rsid w:val="00E905E1"/>
    <w:rsid w:val="00E907EB"/>
    <w:rsid w:val="00E9246B"/>
    <w:rsid w:val="00E929FB"/>
    <w:rsid w:val="00E94992"/>
    <w:rsid w:val="00E959DE"/>
    <w:rsid w:val="00E97917"/>
    <w:rsid w:val="00E97C75"/>
    <w:rsid w:val="00EA01B3"/>
    <w:rsid w:val="00EA30B4"/>
    <w:rsid w:val="00EA30D2"/>
    <w:rsid w:val="00EA3A23"/>
    <w:rsid w:val="00EA429F"/>
    <w:rsid w:val="00EA4F9E"/>
    <w:rsid w:val="00EA5900"/>
    <w:rsid w:val="00EA63CA"/>
    <w:rsid w:val="00EA6A7F"/>
    <w:rsid w:val="00EA6D3B"/>
    <w:rsid w:val="00EA70E6"/>
    <w:rsid w:val="00EA74DC"/>
    <w:rsid w:val="00EA7F3B"/>
    <w:rsid w:val="00EB00AD"/>
    <w:rsid w:val="00EB05C7"/>
    <w:rsid w:val="00EB0EC2"/>
    <w:rsid w:val="00EB136C"/>
    <w:rsid w:val="00EB2E78"/>
    <w:rsid w:val="00EB480E"/>
    <w:rsid w:val="00EB4874"/>
    <w:rsid w:val="00EB4D28"/>
    <w:rsid w:val="00EB56E0"/>
    <w:rsid w:val="00EB5E3B"/>
    <w:rsid w:val="00EB5EC6"/>
    <w:rsid w:val="00EB6D97"/>
    <w:rsid w:val="00EB7FC9"/>
    <w:rsid w:val="00EC0ED4"/>
    <w:rsid w:val="00EC123B"/>
    <w:rsid w:val="00EC5872"/>
    <w:rsid w:val="00ED0519"/>
    <w:rsid w:val="00ED27E8"/>
    <w:rsid w:val="00ED3489"/>
    <w:rsid w:val="00ED391F"/>
    <w:rsid w:val="00ED41E9"/>
    <w:rsid w:val="00ED7137"/>
    <w:rsid w:val="00ED7378"/>
    <w:rsid w:val="00ED7C8A"/>
    <w:rsid w:val="00EE25E4"/>
    <w:rsid w:val="00EE3406"/>
    <w:rsid w:val="00EE4935"/>
    <w:rsid w:val="00EF06EA"/>
    <w:rsid w:val="00EF0A76"/>
    <w:rsid w:val="00EF0B5C"/>
    <w:rsid w:val="00EF12E2"/>
    <w:rsid w:val="00EF14A9"/>
    <w:rsid w:val="00EF2CE5"/>
    <w:rsid w:val="00EF3659"/>
    <w:rsid w:val="00EF4E48"/>
    <w:rsid w:val="00EF64FD"/>
    <w:rsid w:val="00EF7DD4"/>
    <w:rsid w:val="00F007B5"/>
    <w:rsid w:val="00F00F9E"/>
    <w:rsid w:val="00F01F7E"/>
    <w:rsid w:val="00F02249"/>
    <w:rsid w:val="00F031D7"/>
    <w:rsid w:val="00F03616"/>
    <w:rsid w:val="00F03AF1"/>
    <w:rsid w:val="00F05C70"/>
    <w:rsid w:val="00F071EA"/>
    <w:rsid w:val="00F07366"/>
    <w:rsid w:val="00F07949"/>
    <w:rsid w:val="00F102E0"/>
    <w:rsid w:val="00F104C5"/>
    <w:rsid w:val="00F11D27"/>
    <w:rsid w:val="00F12A2C"/>
    <w:rsid w:val="00F13148"/>
    <w:rsid w:val="00F13378"/>
    <w:rsid w:val="00F136F7"/>
    <w:rsid w:val="00F139C8"/>
    <w:rsid w:val="00F1717D"/>
    <w:rsid w:val="00F177E2"/>
    <w:rsid w:val="00F17C5B"/>
    <w:rsid w:val="00F21088"/>
    <w:rsid w:val="00F21D16"/>
    <w:rsid w:val="00F25EBC"/>
    <w:rsid w:val="00F304A3"/>
    <w:rsid w:val="00F327E7"/>
    <w:rsid w:val="00F32F62"/>
    <w:rsid w:val="00F33F7C"/>
    <w:rsid w:val="00F33FDE"/>
    <w:rsid w:val="00F3523F"/>
    <w:rsid w:val="00F35746"/>
    <w:rsid w:val="00F37455"/>
    <w:rsid w:val="00F4018F"/>
    <w:rsid w:val="00F4020D"/>
    <w:rsid w:val="00F4020E"/>
    <w:rsid w:val="00F408B6"/>
    <w:rsid w:val="00F41595"/>
    <w:rsid w:val="00F418DC"/>
    <w:rsid w:val="00F438BC"/>
    <w:rsid w:val="00F43A2C"/>
    <w:rsid w:val="00F447C7"/>
    <w:rsid w:val="00F459B4"/>
    <w:rsid w:val="00F46177"/>
    <w:rsid w:val="00F4716B"/>
    <w:rsid w:val="00F47E07"/>
    <w:rsid w:val="00F5198A"/>
    <w:rsid w:val="00F51BF8"/>
    <w:rsid w:val="00F5211B"/>
    <w:rsid w:val="00F526C4"/>
    <w:rsid w:val="00F530D8"/>
    <w:rsid w:val="00F5369B"/>
    <w:rsid w:val="00F53B7C"/>
    <w:rsid w:val="00F549A3"/>
    <w:rsid w:val="00F54C3F"/>
    <w:rsid w:val="00F551FF"/>
    <w:rsid w:val="00F554A9"/>
    <w:rsid w:val="00F558B2"/>
    <w:rsid w:val="00F57A67"/>
    <w:rsid w:val="00F60ED5"/>
    <w:rsid w:val="00F62494"/>
    <w:rsid w:val="00F62698"/>
    <w:rsid w:val="00F62BCA"/>
    <w:rsid w:val="00F63E3E"/>
    <w:rsid w:val="00F63F63"/>
    <w:rsid w:val="00F64973"/>
    <w:rsid w:val="00F64E68"/>
    <w:rsid w:val="00F658B1"/>
    <w:rsid w:val="00F678D5"/>
    <w:rsid w:val="00F678ED"/>
    <w:rsid w:val="00F70A60"/>
    <w:rsid w:val="00F716FD"/>
    <w:rsid w:val="00F7173C"/>
    <w:rsid w:val="00F71F89"/>
    <w:rsid w:val="00F72735"/>
    <w:rsid w:val="00F750AE"/>
    <w:rsid w:val="00F759A5"/>
    <w:rsid w:val="00F7666C"/>
    <w:rsid w:val="00F76821"/>
    <w:rsid w:val="00F76FFD"/>
    <w:rsid w:val="00F77E4A"/>
    <w:rsid w:val="00F77EBF"/>
    <w:rsid w:val="00F80355"/>
    <w:rsid w:val="00F804AA"/>
    <w:rsid w:val="00F81090"/>
    <w:rsid w:val="00F81CBF"/>
    <w:rsid w:val="00F81D87"/>
    <w:rsid w:val="00F838E8"/>
    <w:rsid w:val="00F83B72"/>
    <w:rsid w:val="00F83BFD"/>
    <w:rsid w:val="00F83E2C"/>
    <w:rsid w:val="00F84948"/>
    <w:rsid w:val="00F8554C"/>
    <w:rsid w:val="00F85A9B"/>
    <w:rsid w:val="00F85EB1"/>
    <w:rsid w:val="00F873FF"/>
    <w:rsid w:val="00F87BD9"/>
    <w:rsid w:val="00F87C43"/>
    <w:rsid w:val="00F926D6"/>
    <w:rsid w:val="00F92E14"/>
    <w:rsid w:val="00F93739"/>
    <w:rsid w:val="00F9481D"/>
    <w:rsid w:val="00F94DF6"/>
    <w:rsid w:val="00F955E9"/>
    <w:rsid w:val="00F97425"/>
    <w:rsid w:val="00F97E45"/>
    <w:rsid w:val="00FA015C"/>
    <w:rsid w:val="00FA23B4"/>
    <w:rsid w:val="00FA30DB"/>
    <w:rsid w:val="00FA4C82"/>
    <w:rsid w:val="00FA50EA"/>
    <w:rsid w:val="00FA5722"/>
    <w:rsid w:val="00FA58BC"/>
    <w:rsid w:val="00FA5A4B"/>
    <w:rsid w:val="00FA7260"/>
    <w:rsid w:val="00FA7B5A"/>
    <w:rsid w:val="00FA7BDF"/>
    <w:rsid w:val="00FA7EF1"/>
    <w:rsid w:val="00FA7F5B"/>
    <w:rsid w:val="00FB0C81"/>
    <w:rsid w:val="00FB16E7"/>
    <w:rsid w:val="00FB41B3"/>
    <w:rsid w:val="00FB43A3"/>
    <w:rsid w:val="00FB6150"/>
    <w:rsid w:val="00FB692E"/>
    <w:rsid w:val="00FB6960"/>
    <w:rsid w:val="00FB69C2"/>
    <w:rsid w:val="00FB6D64"/>
    <w:rsid w:val="00FB7D2F"/>
    <w:rsid w:val="00FC1189"/>
    <w:rsid w:val="00FC2200"/>
    <w:rsid w:val="00FC2540"/>
    <w:rsid w:val="00FC2DA2"/>
    <w:rsid w:val="00FC4BB2"/>
    <w:rsid w:val="00FC66DD"/>
    <w:rsid w:val="00FC68BA"/>
    <w:rsid w:val="00FC6A7F"/>
    <w:rsid w:val="00FC7917"/>
    <w:rsid w:val="00FC7D7D"/>
    <w:rsid w:val="00FD27F5"/>
    <w:rsid w:val="00FD2E5C"/>
    <w:rsid w:val="00FD4856"/>
    <w:rsid w:val="00FD547F"/>
    <w:rsid w:val="00FE0C3B"/>
    <w:rsid w:val="00FE20FC"/>
    <w:rsid w:val="00FE25D1"/>
    <w:rsid w:val="00FE3BFB"/>
    <w:rsid w:val="00FE3E3A"/>
    <w:rsid w:val="00FE4DFA"/>
    <w:rsid w:val="00FE5373"/>
    <w:rsid w:val="00FE6F16"/>
    <w:rsid w:val="00FF0204"/>
    <w:rsid w:val="00FF1A7B"/>
    <w:rsid w:val="00FF1CEE"/>
    <w:rsid w:val="00FF2809"/>
    <w:rsid w:val="00FF2E2A"/>
    <w:rsid w:val="00FF2EDD"/>
    <w:rsid w:val="00FF3AED"/>
    <w:rsid w:val="00FF3C78"/>
    <w:rsid w:val="00FF48B6"/>
    <w:rsid w:val="00FF4A72"/>
    <w:rsid w:val="00FF4D2A"/>
    <w:rsid w:val="00FF542A"/>
    <w:rsid w:val="00FF6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0A7B"/>
  <w15:docId w15:val="{31E95067-726B-4C8C-B96F-4B1757DF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tabs>
        <w:tab w:val="num" w:pos="0"/>
      </w:tabs>
      <w:spacing w:after="240"/>
      <w:ind w:left="0" w:firstLine="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tabs>
        <w:tab w:val="num" w:pos="0"/>
      </w:tabs>
      <w:spacing w:after="240"/>
      <w:ind w:left="1440" w:hanging="72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1"/>
      </w:numPr>
      <w:tabs>
        <w:tab w:val="num" w:pos="0"/>
      </w:tabs>
      <w:spacing w:after="240"/>
      <w:ind w:left="2160" w:hanging="72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1"/>
      </w:numPr>
      <w:tabs>
        <w:tab w:val="num" w:pos="-90"/>
      </w:tabs>
      <w:spacing w:before="240" w:after="60"/>
      <w:ind w:left="2776" w:hanging="706"/>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1"/>
      </w:numPr>
      <w:tabs>
        <w:tab w:val="num" w:pos="0"/>
      </w:tabs>
      <w:spacing w:before="240" w:after="60"/>
      <w:ind w:left="4291" w:hanging="720"/>
      <w:outlineLvl w:val="5"/>
    </w:pPr>
    <w:rPr>
      <w:rFonts w:ascii="Arial" w:hAnsi="Arial"/>
      <w:i/>
    </w:rPr>
  </w:style>
  <w:style w:type="paragraph" w:styleId="Heading7">
    <w:name w:val="heading 7"/>
    <w:basedOn w:val="Normal"/>
    <w:next w:val="Normal"/>
    <w:link w:val="Heading7Char"/>
    <w:qFormat/>
    <w:rsid w:val="00A5151A"/>
    <w:pPr>
      <w:numPr>
        <w:ilvl w:val="6"/>
        <w:numId w:val="11"/>
      </w:numPr>
      <w:tabs>
        <w:tab w:val="num" w:pos="0"/>
      </w:tabs>
      <w:spacing w:before="240" w:after="60"/>
      <w:ind w:left="4997" w:hanging="706"/>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1"/>
      </w:numPr>
      <w:tabs>
        <w:tab w:val="num" w:pos="0"/>
      </w:tabs>
      <w:spacing w:before="240" w:after="60"/>
      <w:ind w:left="6408" w:hanging="706"/>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qFormat/>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qFormat/>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link w:val="BBTitleChar"/>
    <w:qFormat/>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7"/>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qFormat/>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8"/>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9"/>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0"/>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1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1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5222DD"/>
    <w:rPr>
      <w:lang w:val="fr-FR"/>
    </w:rPr>
  </w:style>
  <w:style w:type="paragraph" w:customStyle="1" w:styleId="font26">
    <w:name w:val="font26"/>
    <w:basedOn w:val="Normal"/>
    <w:rsid w:val="00996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996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361A26"/>
    <w:pPr>
      <w:numPr>
        <w:numId w:val="14"/>
      </w:numPr>
    </w:pPr>
  </w:style>
  <w:style w:type="numbering" w:customStyle="1" w:styleId="ArticleSection12">
    <w:name w:val="Article / Section12"/>
    <w:basedOn w:val="NoList"/>
    <w:next w:val="ArticleSection"/>
    <w:semiHidden/>
    <w:rsid w:val="00361A26"/>
    <w:pPr>
      <w:numPr>
        <w:numId w:val="15"/>
      </w:numPr>
    </w:pPr>
  </w:style>
  <w:style w:type="numbering" w:customStyle="1" w:styleId="ArticleSection114">
    <w:name w:val="Article / Section114"/>
    <w:basedOn w:val="NoList"/>
    <w:next w:val="ArticleSection"/>
    <w:rsid w:val="00361A26"/>
    <w:pPr>
      <w:numPr>
        <w:numId w:val="1"/>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57F"/>
    <w:pPr>
      <w:spacing w:after="160" w:line="240" w:lineRule="exact"/>
    </w:pPr>
    <w:rPr>
      <w:sz w:val="20"/>
      <w:szCs w:val="20"/>
      <w:vertAlign w:val="superscript"/>
      <w:lang w:val="en-US"/>
    </w:rPr>
  </w:style>
  <w:style w:type="character" w:customStyle="1" w:styleId="BBTitleChar">
    <w:name w:val="BB_Title Char"/>
    <w:link w:val="BBTitle"/>
    <w:rsid w:val="00193CCD"/>
    <w:rPr>
      <w:b/>
      <w:sz w:val="28"/>
      <w:szCs w:val="28"/>
      <w:lang w:val="en-GB"/>
    </w:rPr>
  </w:style>
  <w:style w:type="paragraph" w:customStyle="1" w:styleId="paragraph">
    <w:name w:val="paragraph"/>
    <w:basedOn w:val="Normal"/>
    <w:rsid w:val="00A048D7"/>
    <w:pPr>
      <w:spacing w:before="100" w:beforeAutospacing="1" w:after="100" w:afterAutospacing="1"/>
      <w:jc w:val="left"/>
    </w:pPr>
    <w:rPr>
      <w:sz w:val="24"/>
      <w:szCs w:val="24"/>
      <w:lang w:val="fr-FR" w:eastAsia="fr-FR"/>
    </w:rPr>
  </w:style>
  <w:style w:type="character" w:customStyle="1" w:styleId="eop">
    <w:name w:val="eop"/>
    <w:basedOn w:val="DefaultParagraphFont"/>
    <w:rsid w:val="00A048D7"/>
  </w:style>
  <w:style w:type="character" w:customStyle="1" w:styleId="tabchar">
    <w:name w:val="tabchar"/>
    <w:basedOn w:val="DefaultParagraphFont"/>
    <w:rsid w:val="00B01481"/>
  </w:style>
  <w:style w:type="paragraph" w:customStyle="1" w:styleId="Newheader4">
    <w:name w:val="New header 4"/>
    <w:basedOn w:val="Heading4"/>
    <w:next w:val="Normal"/>
    <w:qFormat/>
    <w:rsid w:val="001D4217"/>
    <w:pPr>
      <w:numPr>
        <w:numId w:val="4"/>
      </w:numPr>
    </w:pPr>
  </w:style>
  <w:style w:type="character" w:styleId="UnresolvedMention">
    <w:name w:val="Unresolved Mention"/>
    <w:basedOn w:val="DefaultParagraphFont"/>
    <w:uiPriority w:val="99"/>
    <w:semiHidden/>
    <w:unhideWhenUsed/>
    <w:rsid w:val="001D4217"/>
    <w:rPr>
      <w:color w:val="605E5C"/>
      <w:shd w:val="clear" w:color="auto" w:fill="E1DFDD"/>
    </w:rPr>
  </w:style>
  <w:style w:type="paragraph" w:customStyle="1" w:styleId="Underlinedheader">
    <w:name w:val="Underlined header"/>
    <w:basedOn w:val="Heading1"/>
    <w:qFormat/>
    <w:rsid w:val="001D4217"/>
    <w:pPr>
      <w:numPr>
        <w:numId w:val="0"/>
      </w:numPr>
      <w:spacing w:before="240"/>
      <w:ind w:firstLine="720"/>
    </w:pPr>
    <w:rPr>
      <w:u w:val="single"/>
    </w:rPr>
  </w:style>
  <w:style w:type="character" w:styleId="Mention">
    <w:name w:val="Mention"/>
    <w:basedOn w:val="DefaultParagraphFont"/>
    <w:uiPriority w:val="99"/>
    <w:unhideWhenUsed/>
    <w:rsid w:val="001D4217"/>
    <w:rPr>
      <w:color w:val="2B579A"/>
      <w:shd w:val="clear" w:color="auto" w:fill="E1DFDD"/>
    </w:rPr>
  </w:style>
  <w:style w:type="paragraph" w:customStyle="1" w:styleId="Listlettered">
    <w:name w:val="List lettered"/>
    <w:basedOn w:val="ListParagraph"/>
    <w:qFormat/>
    <w:rsid w:val="00F05C70"/>
    <w:pPr>
      <w:keepLines/>
      <w:widowControl w:val="0"/>
      <w:numPr>
        <w:numId w:val="17"/>
      </w:numPr>
      <w:spacing w:after="240" w:line="240" w:lineRule="auto"/>
      <w:contextualSpacing w:val="0"/>
      <w:jc w:val="both"/>
      <w:outlineLvl w:val="1"/>
    </w:pPr>
    <w:rPr>
      <w:rFonts w:ascii="Times New Roman" w:eastAsia="Times New Roman" w:hAnsi="Times New Roman" w:cs="Times New Roman"/>
      <w:lang w:val="en-GB"/>
    </w:rPr>
  </w:style>
  <w:style w:type="paragraph" w:customStyle="1" w:styleId="Numberedlist">
    <w:name w:val="Numbered list"/>
    <w:basedOn w:val="ListParagraph"/>
    <w:qFormat/>
    <w:rsid w:val="00D960F5"/>
    <w:pPr>
      <w:keepLines/>
      <w:widowControl w:val="0"/>
      <w:tabs>
        <w:tab w:val="num" w:pos="360"/>
      </w:tabs>
      <w:spacing w:after="240" w:line="240" w:lineRule="auto"/>
      <w:contextualSpacing w:val="0"/>
      <w:jc w:val="both"/>
      <w:outlineLvl w:val="1"/>
    </w:pPr>
    <w:rPr>
      <w:rFonts w:ascii="Times New Roman" w:eastAsia="Times New Roman" w:hAnsi="Times New Roman" w:cs="Times New Roman"/>
      <w:lang w:val="en-GB"/>
    </w:rPr>
  </w:style>
  <w:style w:type="paragraph" w:customStyle="1" w:styleId="Letteredlist">
    <w:name w:val="Lettered list"/>
    <w:basedOn w:val="ListParagraph"/>
    <w:qFormat/>
    <w:rsid w:val="000661B5"/>
    <w:pPr>
      <w:widowControl w:val="0"/>
      <w:numPr>
        <w:numId w:val="18"/>
      </w:numPr>
      <w:tabs>
        <w:tab w:val="num" w:pos="360"/>
      </w:tabs>
      <w:spacing w:after="240" w:line="240" w:lineRule="auto"/>
      <w:ind w:left="720" w:firstLine="0"/>
      <w:contextualSpacing w:val="0"/>
      <w:jc w:val="both"/>
      <w:outlineLvl w:val="2"/>
    </w:pPr>
    <w:rPr>
      <w:rFonts w:ascii="Times New Roman" w:eastAsia="Times New Roman" w:hAnsi="Times New Roman" w:cs="Times New Roman"/>
      <w:lang w:val="en-GB"/>
    </w:rPr>
  </w:style>
  <w:style w:type="paragraph" w:customStyle="1" w:styleId="newheader40">
    <w:name w:val="new header4"/>
    <w:basedOn w:val="Heading4"/>
    <w:next w:val="Normal"/>
    <w:qFormat/>
    <w:rsid w:val="00DC525E"/>
    <w:pPr>
      <w:keepNext w:val="0"/>
      <w:numPr>
        <w:ilvl w:val="0"/>
        <w:numId w:val="0"/>
      </w:numPr>
      <w:tabs>
        <w:tab w:val="num" w:pos="-90"/>
      </w:tabs>
      <w:spacing w:before="0" w:after="240"/>
      <w:ind w:left="2776" w:hanging="706"/>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197">
      <w:bodyDiv w:val="1"/>
      <w:marLeft w:val="0"/>
      <w:marRight w:val="0"/>
      <w:marTop w:val="0"/>
      <w:marBottom w:val="0"/>
      <w:divBdr>
        <w:top w:val="none" w:sz="0" w:space="0" w:color="auto"/>
        <w:left w:val="none" w:sz="0" w:space="0" w:color="auto"/>
        <w:bottom w:val="none" w:sz="0" w:space="0" w:color="auto"/>
        <w:right w:val="none" w:sz="0" w:space="0" w:color="auto"/>
      </w:divBdr>
    </w:div>
    <w:div w:id="109513210">
      <w:bodyDiv w:val="1"/>
      <w:marLeft w:val="0"/>
      <w:marRight w:val="0"/>
      <w:marTop w:val="0"/>
      <w:marBottom w:val="0"/>
      <w:divBdr>
        <w:top w:val="none" w:sz="0" w:space="0" w:color="auto"/>
        <w:left w:val="none" w:sz="0" w:space="0" w:color="auto"/>
        <w:bottom w:val="none" w:sz="0" w:space="0" w:color="auto"/>
        <w:right w:val="none" w:sz="0" w:space="0" w:color="auto"/>
      </w:divBdr>
    </w:div>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883621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36268294">
      <w:bodyDiv w:val="1"/>
      <w:marLeft w:val="0"/>
      <w:marRight w:val="0"/>
      <w:marTop w:val="0"/>
      <w:marBottom w:val="0"/>
      <w:divBdr>
        <w:top w:val="none" w:sz="0" w:space="0" w:color="auto"/>
        <w:left w:val="none" w:sz="0" w:space="0" w:color="auto"/>
        <w:bottom w:val="none" w:sz="0" w:space="0" w:color="auto"/>
        <w:right w:val="none" w:sz="0" w:space="0" w:color="auto"/>
      </w:divBdr>
    </w:div>
    <w:div w:id="355035618">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19204554">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1598690">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01961685">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718288506">
      <w:bodyDiv w:val="1"/>
      <w:marLeft w:val="0"/>
      <w:marRight w:val="0"/>
      <w:marTop w:val="0"/>
      <w:marBottom w:val="0"/>
      <w:divBdr>
        <w:top w:val="none" w:sz="0" w:space="0" w:color="auto"/>
        <w:left w:val="none" w:sz="0" w:space="0" w:color="auto"/>
        <w:bottom w:val="none" w:sz="0" w:space="0" w:color="auto"/>
        <w:right w:val="none" w:sz="0" w:space="0" w:color="auto"/>
      </w:divBdr>
    </w:div>
    <w:div w:id="908005732">
      <w:bodyDiv w:val="1"/>
      <w:marLeft w:val="0"/>
      <w:marRight w:val="0"/>
      <w:marTop w:val="0"/>
      <w:marBottom w:val="0"/>
      <w:divBdr>
        <w:top w:val="none" w:sz="0" w:space="0" w:color="auto"/>
        <w:left w:val="none" w:sz="0" w:space="0" w:color="auto"/>
        <w:bottom w:val="none" w:sz="0" w:space="0" w:color="auto"/>
        <w:right w:val="none" w:sz="0" w:space="0" w:color="auto"/>
      </w:divBdr>
    </w:div>
    <w:div w:id="915018338">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143233072">
      <w:bodyDiv w:val="1"/>
      <w:marLeft w:val="0"/>
      <w:marRight w:val="0"/>
      <w:marTop w:val="0"/>
      <w:marBottom w:val="0"/>
      <w:divBdr>
        <w:top w:val="none" w:sz="0" w:space="0" w:color="auto"/>
        <w:left w:val="none" w:sz="0" w:space="0" w:color="auto"/>
        <w:bottom w:val="none" w:sz="0" w:space="0" w:color="auto"/>
        <w:right w:val="none" w:sz="0" w:space="0" w:color="auto"/>
      </w:divBdr>
    </w:div>
    <w:div w:id="1259869633">
      <w:bodyDiv w:val="1"/>
      <w:marLeft w:val="0"/>
      <w:marRight w:val="0"/>
      <w:marTop w:val="0"/>
      <w:marBottom w:val="0"/>
      <w:divBdr>
        <w:top w:val="none" w:sz="0" w:space="0" w:color="auto"/>
        <w:left w:val="none" w:sz="0" w:space="0" w:color="auto"/>
        <w:bottom w:val="none" w:sz="0" w:space="0" w:color="auto"/>
        <w:right w:val="none" w:sz="0" w:space="0" w:color="auto"/>
      </w:divBdr>
    </w:div>
    <w:div w:id="1349528718">
      <w:bodyDiv w:val="1"/>
      <w:marLeft w:val="0"/>
      <w:marRight w:val="0"/>
      <w:marTop w:val="0"/>
      <w:marBottom w:val="0"/>
      <w:divBdr>
        <w:top w:val="none" w:sz="0" w:space="0" w:color="auto"/>
        <w:left w:val="none" w:sz="0" w:space="0" w:color="auto"/>
        <w:bottom w:val="none" w:sz="0" w:space="0" w:color="auto"/>
        <w:right w:val="none" w:sz="0" w:space="0" w:color="auto"/>
      </w:divBdr>
    </w:div>
    <w:div w:id="1349990279">
      <w:bodyDiv w:val="1"/>
      <w:marLeft w:val="0"/>
      <w:marRight w:val="0"/>
      <w:marTop w:val="0"/>
      <w:marBottom w:val="0"/>
      <w:divBdr>
        <w:top w:val="none" w:sz="0" w:space="0" w:color="auto"/>
        <w:left w:val="none" w:sz="0" w:space="0" w:color="auto"/>
        <w:bottom w:val="none" w:sz="0" w:space="0" w:color="auto"/>
        <w:right w:val="none" w:sz="0" w:space="0" w:color="auto"/>
      </w:divBdr>
    </w:div>
    <w:div w:id="1591623443">
      <w:bodyDiv w:val="1"/>
      <w:marLeft w:val="0"/>
      <w:marRight w:val="0"/>
      <w:marTop w:val="0"/>
      <w:marBottom w:val="0"/>
      <w:divBdr>
        <w:top w:val="none" w:sz="0" w:space="0" w:color="auto"/>
        <w:left w:val="none" w:sz="0" w:space="0" w:color="auto"/>
        <w:bottom w:val="none" w:sz="0" w:space="0" w:color="auto"/>
        <w:right w:val="none" w:sz="0" w:space="0" w:color="auto"/>
      </w:divBdr>
    </w:div>
    <w:div w:id="1702824462">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26160641">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23507756">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ultilateralfund.org/meeting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ownload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15F07-3966-404E-8118-C07532E5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63E98A-E856-44D2-B370-F21218D912D3}">
  <ds:schemaRefs>
    <ds:schemaRef ds:uri="http://schemas.openxmlformats.org/officeDocument/2006/bibliography"/>
  </ds:schemaRefs>
</ds:datastoreItem>
</file>

<file path=customXml/itemProps3.xml><?xml version="1.0" encoding="utf-8"?>
<ds:datastoreItem xmlns:ds="http://schemas.openxmlformats.org/officeDocument/2006/customXml" ds:itemID="{C69FFE94-26B8-4041-8A7B-96825C30E20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0287C24D-77C1-4188-BCA1-51BF972A0484}">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Eec87G</Template>
  <TotalTime>28</TotalTime>
  <Pages>18</Pages>
  <Words>8967</Words>
  <Characters>51113</Characters>
  <Application>Microsoft Office Word</Application>
  <DocSecurity>0</DocSecurity>
  <Lines>425</Lines>
  <Paragraphs>119</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ExCom report to MOP37</vt:lpstr>
      <vt:lpstr>        The present report contains two sections and an annex as follows:</vt:lpstr>
      <vt:lpstr>        During the reporting period, the Executive Committee held its 97th and 98th meet</vt:lpstr>
      <vt:lpstr>        The 98th meeting was held in Montreal from 22 to 26 June 2026. The work of the 9</vt:lpstr>
      <vt:lpstr>        The reports of the 97th and 98th meetings  are available on the Multilateral Fun</vt:lpstr>
      <vt:lpstr>    A.	Policy matters related to the Kigali Amendment</vt:lpstr>
      <vt:lpstr>    1.	Strategic approaches to implementation of the Kigali Amendment</vt:lpstr>
      <vt:lpstr>        At the 98th meeting, the Executive Committee considered a document on strategic </vt:lpstr>
      <vt:lpstr>    Types of activities to facilitate transition in the refrigeration servicing and </vt:lpstr>
      <vt:lpstr>    Types of activities to facilitate manufacturing sector transition in the refrige</vt:lpstr>
      <vt:lpstr>    Possible elements to consider for future stages of the KIPs that would be part o</vt:lpstr>
      <vt:lpstr>    Lessons learned regarding the use of concessional funding by the Multilateral Fu</vt:lpstr>
      <vt:lpstr>    An update to the mapping of relevant activities undertaken by other funding inst</vt:lpstr>
      <vt:lpstr>        The Fund Secretariat was also requested to prepare, for the 102nd meeting, takin</vt:lpstr>
      <vt:lpstr>2.	Local installation and assembly subsector</vt:lpstr>
      <vt:lpstr>        Pursuant to decision 95/89, at the 98th meeting, the Executive Committee conside</vt:lpstr>
      <vt:lpstr>    3.	Deduction from the starting point for HFC consumption where Kigali HFC implem</vt:lpstr>
      <vt:lpstr>        At its 98th meeting, the Executive Committee considered the issue of the deducti</vt:lpstr>
      <vt:lpstr>    4.	Issues related to projects submitted under the operational framework on energ</vt:lpstr>
      <vt:lpstr>        At the 97th and 98th meetings, the Executive Committee discussed a number of mat</vt:lpstr>
      <vt:lpstr>    (a)	Proportion of equipment manufactured by an enterprise qualifying for the add</vt:lpstr>
      <vt:lpstr>        At the 97th meeting, the Executive Committee decided, for projects submitted und</vt:lpstr>
      <vt:lpstr>    (b)	Energy-efficiency projects under decision 94/60 for enterprises with convers</vt:lpstr>
      <vt:lpstr>        At its 98th meeting, after considering the issue of energy-efficiency projects u</vt:lpstr>
      <vt:lpstr>    (c)	Manufacturing volumes to be considered while evaluating additional component</vt:lpstr>
      <vt:lpstr>        At the 97th meeting, the Executive Committee decided to note that, for projects </vt:lpstr>
      <vt:lpstr>    (d)	Provision of additional capital costs to manufacturers that use complete kno</vt:lpstr>
      <vt:lpstr>        Also at the 97th meeting, following a discussion, the Executive Committee agreed</vt:lpstr>
      <vt:lpstr>    5.	Issues related to the energy-efficiency funding window established in decisio</vt:lpstr>
      <vt:lpstr>    (a)	Preparatory requests for projects related to energy efficiency pursuant to d</vt:lpstr>
      <vt:lpstr>        At its 98th meeting, the Executive Committee considered the issue of preparatory</vt:lpstr>
      <vt:lpstr>    (b)	Assessment of the funding window for energy efficiency established under dec</vt:lpstr>
      <vt:lpstr>        At the 98th meeting, an Executive Committee member said that there was a desire </vt:lpstr>
      <vt:lpstr>    6.	Operationalization of centres of excellence for sustainable cooling and testi</vt:lpstr>
      <vt:lpstr>    (a)	Operationalization of centres of excellence for sustainable cooling</vt:lpstr>
      <vt:lpstr>        At the 97th meeting, pursuant to decision 95/87(e), the Executive Committee cons</vt:lpstr>
      <vt:lpstr>        The Committee requested the Fund Secretariat to prepare, for the 99th meeting, t</vt:lpstr>
      <vt:lpstr>    (b)	Operationalization of testing centres for energy efficiency</vt:lpstr>
      <vt:lpstr>        At the 97th meeting, also pursuant to decision 95/87(e), the Executive Committee</vt:lpstr>
      <vt:lpstr>        At the 98th meeting, the Executive Committee considered the requested informatio</vt:lpstr>
      <vt:lpstr>        At the 98th meeting, while considering requests for funding for projects submitt</vt:lpstr>
      <vt:lpstr>8.	Consideration of the establishment of a funding window in line with decision </vt:lpstr>
      <vt:lpstr>        At its 97th meeting, the Executive Committee considered a report prepared pursua</vt:lpstr>
      <vt:lpstr>        At its 97th meeting, the Executive Committee also examined whether to extend the</vt:lpstr>
      <vt:lpstr>8.	Challenges in implementing conversion projects in the refrigeration, air-cond</vt:lpstr>
      <vt:lpstr>        Pursuant to decision 96/59, at its 98th meeting, the Executive Committee conside</vt:lpstr>
      <vt:lpstr>9.	Methodology used to calculate the climate impacts from the implementation of </vt:lpstr>
      <vt:lpstr>        At its 97th meeting, the Executive Committee discussed the methodology used to c</vt:lpstr>
      <vt:lpstr>        At the 98th meeting, the Executive Committee continued its consideration of the </vt:lpstr>
      <vt:lpstr>    10.	Verification issues</vt:lpstr>
      <vt:lpstr>    (a)	Funding withheld in cases of non-submission of the verification report with </vt:lpstr>
      <vt:lpstr>        At its 98th meeting, after considering the issue of funding withheld in cases of</vt:lpstr>
      <vt:lpstr>    (b)	Verification of compliance of selected low-volume-consuming countries with t</vt:lpstr>
      <vt:lpstr>        At the 98th meeting, the Executive Committee noted  that relevant bilateral and </vt:lpstr>
      <vt:lpstr>B.	All other policy matters</vt:lpstr>
      <vt:lpstr>1.	Matters relating to pilot projects to enhance regional atmospheric monitoring</vt:lpstr>
      <vt:lpstr>        Pursuant to decision 96/56, at the 98th meeting, the Executive Committee conside</vt:lpstr>
      <vt:lpstr>        Following discussions in plenary and in a contact group, the Executive Committee</vt:lpstr>
      <vt:lpstr>        The Executive Committee encouraged Article 5 countries to make use of the expert</vt:lpstr>
      <vt:lpstr>        The Committee noted that bilateral and implementing agencies of pilot projects t</vt:lpstr>
      <vt:lpstr>        The bilateral and implementing agencies were requested to include, in their rele</vt:lpstr>
      <vt:lpstr>2.	Alternatives in polyurethane-foam manufacturing, with a focus on small and me</vt:lpstr>
      <vt:lpstr>        At its 98th meeting, pursuant to decision 96/53(c), the Executive Committee cons</vt:lpstr>
      <vt:lpstr>3.	Implementation of decision XXXV/13 on the import and export of prohibited coo</vt:lpstr>
      <vt:lpstr>        At the 98th meeting, the Executive Committee, taking into account decision XXXV/</vt:lpstr>
      <vt:lpstr>4.	Review of the possibility of integration of reporting through project complet</vt:lpstr>
      <vt:lpstr>        At the 97th meeting, pursuant to decision 95/91(e), the Executive Committee cons</vt:lpstr>
      <vt:lpstr>5.	Midterm progress report on the implementation of the results framework</vt:lpstr>
      <vt:lpstr>        At the 97th meeting, the Executive Committee considered, pursuant to decision 93</vt:lpstr>
      <vt:lpstr>6.	Sub-group on the Production Sector</vt:lpstr>
      <vt:lpstr>        The Sub-group on the Production Sector met on the margins of the 97th meeting, p</vt:lpstr>
      <vt:lpstr>        Owing to time constraints, however, there was no meeting of the Sub-group on the</vt:lpstr>
      <vt:lpstr>7.	Assessment of the implementation of the Multilateral Fund gender mainstreamin</vt:lpstr>
      <vt:lpstr>        At the 98th meeting, during the adoption of the agenda, the Executive Committee </vt:lpstr>
      <vt:lpstr>    C.	Projects, implementation, and monitoring</vt:lpstr>
      <vt:lpstr>    1.	Approvals made during the reporting period</vt:lpstr>
      <vt:lpstr>        During the reporting period, the Executive Committee approved a total of ?? addi</vt:lpstr>
      <vt:lpstr>        At the 97th and 98th meetings, after consideration of the documents on projects </vt:lpstr>
      <vt:lpstr>(a)	Investment projects</vt:lpstr>
      <vt:lpstr>HCFC phase-out management plans</vt:lpstr>
      <vt:lpstr>        At the 97th meeting, the Executive Committee approved tranches of HPMPs for 19 c</vt:lpstr>
      <vt:lpstr>        Also at the 97th meeting, the Executive Committee approved individual project pr</vt:lpstr>
      <vt:lpstr>        At the 98th meeting, the Executive Committee approved tranches of HPMPs for 17 c</vt:lpstr>
      <vt:lpstr>        Also at the 98th meeting, the Executive Committee approved individual project pr</vt:lpstr>
      <vt:lpstr>        At the 97th meeting, the Executive Committee approved, in principle, stage I of </vt:lpstr>
      <vt:lpstr>        Also at the 97th meeting, in terms of stand-alone pilot projects related to main</vt:lpstr>
      <vt:lpstr>        At the 98th meeting, the Executive Committee approved, in principle, stage I of </vt:lpstr>
      <vt:lpstr>        Also at the 98th meeting, in terms of stand-alone pilot projects related to main</vt:lpstr>
      <vt:lpstr>(b)	Non-investment activities</vt:lpstr>
      <vt:lpstr>        At the 97th meeting, the Executive Committee approved all but one of the non-inv</vt:lpstr>
      <vt:lpstr>        At the 98th meeting, the Executive Committee approved all but five of the non-in</vt:lpstr>
      <vt:lpstr>(c)	2025 UNEP Compliance Assistance Programme budget </vt:lpstr>
      <vt:lpstr>        At the 97th meeting, the Executive Committee noted the 2025 progress report and </vt:lpstr>
      <vt:lpstr>(d)	Core unit costs for UNDP, UNIDO and the World Bank</vt:lpstr>
      <vt:lpstr>        At the 97th meeting, the Executive Committee approved the 2026 core unit budgets</vt:lpstr>
      <vt:lpstr>    2.	Implementation and reporting</vt:lpstr>
      <vt:lpstr>        (a)	Country programme data and prospects for compliance</vt:lpstr>
      <vt:lpstr>        At the 97th meeting  and the 98th meeting,  the Executive Committee considered d</vt:lpstr>
      <vt:lpstr>        (b)	Tranche submission delays</vt:lpstr>
      <vt:lpstr>        At the 98th meeting, the Executive Committee considered a report on tranche subm</vt:lpstr>
      <vt:lpstr>        (c)	Progress reports</vt:lpstr>
    </vt:vector>
  </TitlesOfParts>
  <Company>UNMFS</Company>
  <LinksUpToDate>false</LinksUpToDate>
  <CharactersWithSpaces>59961</CharactersWithSpaces>
  <SharedDoc>false</SharedDoc>
  <HLinks>
    <vt:vector size="6" baseType="variant">
      <vt:variant>
        <vt:i4>5242953</vt:i4>
      </vt:variant>
      <vt:variant>
        <vt:i4>0</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ExCom au MOP37</dc:title>
  <dc:subject/>
  <dc:creator>Natalie Barker</dc:creator>
  <cp:keywords/>
  <cp:lastModifiedBy>Angela Xue He Yan</cp:lastModifiedBy>
  <cp:revision>15</cp:revision>
  <cp:lastPrinted>2026-09-14T19:17:00Z</cp:lastPrinted>
  <dcterms:created xsi:type="dcterms:W3CDTF">2026-09-10T15:53:00Z</dcterms:created>
  <dcterms:modified xsi:type="dcterms:W3CDTF">2026-09-14T19:19:00Z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28/07/2025</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ocument number">
    <vt:lpwstr>UNEP/OzL.Pro.37/8</vt:lpwstr>
  </property>
</Properties>
</file>