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6" w:type="dxa"/>
        <w:tblLayout w:type="fixed"/>
        <w:tblLook w:val="0000" w:firstRow="0" w:lastRow="0" w:firstColumn="0" w:lastColumn="0" w:noHBand="0" w:noVBand="0"/>
      </w:tblPr>
      <w:tblGrid>
        <w:gridCol w:w="1701"/>
        <w:gridCol w:w="6378"/>
        <w:gridCol w:w="1417"/>
      </w:tblGrid>
      <w:tr w:rsidR="00A97BFB" w:rsidRPr="00900B12" w14:paraId="000F5616" w14:textId="77777777" w:rsidTr="00E65394">
        <w:trPr>
          <w:trHeight w:val="850"/>
        </w:trPr>
        <w:tc>
          <w:tcPr>
            <w:tcW w:w="1701" w:type="dxa"/>
          </w:tcPr>
          <w:p w14:paraId="395EA09B" w14:textId="511E678D" w:rsidR="0013654E" w:rsidRPr="00D11FA5" w:rsidRDefault="0013654E" w:rsidP="005C1769">
            <w:pPr>
              <w:pStyle w:val="PlantillaESAUnitedNations"/>
              <w:ind w:right="27"/>
              <w:rPr>
                <w:lang w:val="es-ES"/>
              </w:rPr>
            </w:pPr>
            <w:r>
              <w:rPr>
                <w:lang w:val="es-ES"/>
              </w:rPr>
              <w:t>NACIONES</w:t>
              <w:br/>
              <w:t>UNIDAS</w:t>
            </w:r>
          </w:p>
        </w:tc>
        <w:tc>
          <w:tcPr>
            <w:tcW w:w="6378" w:type="dxa"/>
          </w:tcPr>
          <w:p w14:paraId="7E44375E" w14:textId="77777777" w:rsidR="004E01AD" w:rsidRPr="00D11FA5" w:rsidRDefault="00F4468C" w:rsidP="005C1769">
            <w:pPr>
              <w:pStyle w:val="PlantillaESNormal-pool"/>
              <w:ind w:right="27"/>
              <w:rPr>
                <w:lang w:val="es-ES"/>
              </w:rPr>
            </w:pPr>
            <w:r>
              <w:rPr>
                <w:noProof/>
                <w:lang w:val="es-ES" w:eastAsia="en-GB"/>
                <w14:ligatures w14:val="standardContextual"/>
              </w:rPr>
              <w:drawing>
                <wp:anchor distT="0" distB="0" distL="114300" distR="114300" simplePos="0" relativeHeight="251660288" behindDoc="0" locked="0" layoutInCell="1" allowOverlap="1" wp14:anchorId="018E2889" wp14:editId="45B5D36E">
                  <wp:simplePos x="0" y="0"/>
                  <wp:positionH relativeFrom="column">
                    <wp:posOffset>2077</wp:posOffset>
                  </wp:positionH>
                  <wp:positionV relativeFrom="paragraph">
                    <wp:posOffset>704</wp:posOffset>
                  </wp:positionV>
                  <wp:extent cx="1305763" cy="573559"/>
                  <wp:effectExtent l="0" t="0" r="8890" b="0"/>
                  <wp:wrapNone/>
                  <wp:docPr id="437338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3884" name=""/>
                          <pic:cNvPicPr/>
                        </pic:nvPicPr>
                        <pic:blipFill>
                          <a:blip r:embed="rId11">
                            <a:extLst>
                              <a:ext uri="{28A0092B-C50C-407E-A947-70E740481C1C}">
                                <a14:useLocalDpi xmlns:a14="http://schemas.microsoft.com/office/drawing/2010/main" val="0"/>
                              </a:ext>
                            </a:extLst>
                          </a:blip>
                          <a:stretch>
                            <a:fillRect/>
                          </a:stretch>
                        </pic:blipFill>
                        <pic:spPr>
                          <a:xfrm>
                            <a:off x="0" y="0"/>
                            <a:ext cx="1305763" cy="573559"/>
                          </a:xfrm>
                          <a:prstGeom prst="rect">
                            <a:avLst/>
                          </a:prstGeom>
                        </pic:spPr>
                      </pic:pic>
                    </a:graphicData>
                  </a:graphic>
                </wp:anchor>
              </w:drawing>
            </w:r>
          </w:p>
        </w:tc>
        <w:tc>
          <w:tcPr>
            <w:tcW w:w="1417" w:type="dxa"/>
          </w:tcPr>
          <w:p w14:paraId="1A0D01EB" w14:textId="77777777" w:rsidR="004E01AD" w:rsidRPr="00D11FA5" w:rsidRDefault="004E01AD" w:rsidP="005C1769">
            <w:pPr>
              <w:pStyle w:val="PlantillaESNormal-pool"/>
              <w:ind w:right="27"/>
              <w:rPr>
                <w:lang w:val="es-ES"/>
              </w:rPr>
            </w:pPr>
          </w:p>
        </w:tc>
      </w:tr>
    </w:tbl>
    <w:p w14:paraId="676648EE" w14:textId="77777777" w:rsidR="004E01AD" w:rsidRPr="00D11FA5" w:rsidRDefault="004E01AD" w:rsidP="005C1769">
      <w:pPr>
        <w:pStyle w:val="PlantillaESASpacer"/>
        <w:ind w:right="27"/>
        <w:rPr>
          <w:lang w:val="es-ES"/>
        </w:rPr>
      </w:pPr>
    </w:p>
    <w:tbl>
      <w:tblPr>
        <w:tblW w:w="9496" w:type="dxa"/>
        <w:tblLook w:val="0000" w:firstRow="0" w:lastRow="0" w:firstColumn="0" w:lastColumn="0" w:noHBand="0" w:noVBand="0"/>
      </w:tblPr>
      <w:tblGrid>
        <w:gridCol w:w="6378"/>
        <w:gridCol w:w="3118"/>
      </w:tblGrid>
      <w:tr w:rsidR="00A97BFB" w:rsidRPr="00900B12" w14:paraId="7FC1466D" w14:textId="77777777" w:rsidTr="00E65394">
        <w:trPr>
          <w:trHeight w:val="340"/>
        </w:trPr>
        <w:tc>
          <w:tcPr>
            <w:tcW w:w="3358" w:type="pct"/>
            <w:vAlign w:val="bottom"/>
          </w:tcPr>
          <w:p w14:paraId="5A08C27B" w14:textId="77777777" w:rsidR="004E01AD" w:rsidRPr="00D11FA5" w:rsidRDefault="004E01AD" w:rsidP="005C1769">
            <w:pPr>
              <w:pStyle w:val="PlantillaESNormal-pool"/>
              <w:ind w:right="27"/>
              <w:rPr>
                <w:lang w:val="es-ES"/>
              </w:rPr>
            </w:pPr>
          </w:p>
        </w:tc>
        <w:tc>
          <w:tcPr>
            <w:tcW w:w="1642" w:type="pct"/>
            <w:noWrap/>
            <w:vAlign w:val="bottom"/>
          </w:tcPr>
          <w:p w14:paraId="1D19BF01" w14:textId="22E08718" w:rsidR="00192C8E" w:rsidRPr="00D11FA5" w:rsidRDefault="00647F3F" w:rsidP="005C1769">
            <w:pPr>
              <w:pStyle w:val="PlantillaESASymbol"/>
              <w:ind w:right="27"/>
              <w:rPr>
                <w:lang w:val="es-ES"/>
              </w:rPr>
            </w:pPr>
            <w:fldSimple w:instr=" DOCPROPERTY &quot;Document number&quot; \* MERGEFORMAT ">
              <w:r>
                <w:rPr>
                  <w:rFonts w:eastAsia="Times New Roman"/>
                  <w:b/>
                  <w:sz w:val="28"/>
                  <w:szCs w:val="28"/>
                  <w:lang w:val="es-ES"/>
                </w:rPr>
                <w:t>UNEP</w:t>
              </w:r>
              <w:r>
                <w:rPr>
                  <w:lang w:val="es-ES"/>
                </w:rPr>
                <w:t>/OzL.Pro.38/8</w:t>
              </w:r>
            </w:fldSimple>
          </w:p>
        </w:tc>
      </w:tr>
    </w:tbl>
    <w:p w14:paraId="34B7C53A" w14:textId="77777777" w:rsidR="004E01AD" w:rsidRPr="00D11FA5" w:rsidRDefault="004E01AD" w:rsidP="005C1769">
      <w:pPr>
        <w:pStyle w:val="PlantillaESASpacer"/>
        <w:ind w:right="27"/>
        <w:rPr>
          <w:lang w:val="es-ES"/>
        </w:rPr>
      </w:pPr>
    </w:p>
    <w:tbl>
      <w:tblPr>
        <w:tblW w:w="9088" w:type="dxa"/>
        <w:tblBorders>
          <w:top w:val="single" w:sz="4" w:space="0" w:color="auto"/>
          <w:bottom w:val="single" w:sz="24" w:space="0" w:color="auto"/>
        </w:tblBorders>
        <w:tblLayout w:type="fixed"/>
        <w:tblLook w:val="0000" w:firstRow="0" w:lastRow="0" w:firstColumn="0" w:lastColumn="0" w:noHBand="0" w:noVBand="0"/>
      </w:tblPr>
      <w:tblGrid>
        <w:gridCol w:w="5155"/>
        <w:gridCol w:w="949"/>
        <w:gridCol w:w="2984"/>
      </w:tblGrid>
      <w:tr w:rsidR="00A97BFB" w:rsidRPr="00900B12" w14:paraId="2E756BC0" w14:textId="77777777" w:rsidTr="005C1769">
        <w:trPr>
          <w:trHeight w:val="1834"/>
        </w:trPr>
        <w:tc>
          <w:tcPr>
            <w:tcW w:w="5155" w:type="dxa"/>
          </w:tcPr>
          <w:p w14:paraId="0915FED7" w14:textId="5CB85CB0" w:rsidR="00820D62" w:rsidRPr="00D11FA5" w:rsidRDefault="0035325F" w:rsidP="005C1769">
            <w:pPr>
              <w:pStyle w:val="PlantillaESAConvName"/>
              <w:ind w:right="27"/>
              <w:rPr>
                <w:lang w:val="es-ES"/>
              </w:rPr>
            </w:pPr>
            <w:r>
              <w:rPr>
                <w:lang w:val="es-ES"/>
              </w:rPr>
              <w:t>Protocolo de Montreal relativo</w:t>
              <w:br/>
              <w:t>a las Sustancias que Agotan</w:t>
              <w:br/>
              <w:t>la Capa de Ozono</w:t>
            </w:r>
          </w:p>
        </w:tc>
        <w:tc>
          <w:tcPr>
            <w:tcW w:w="949" w:type="dxa"/>
          </w:tcPr>
          <w:p w14:paraId="2BDE3D7F" w14:textId="77777777" w:rsidR="004E01AD" w:rsidRPr="00D11FA5" w:rsidRDefault="004E01AD" w:rsidP="005C1769">
            <w:pPr>
              <w:pStyle w:val="PlantillaESNormal-pool"/>
              <w:ind w:right="27"/>
              <w:rPr>
                <w:lang w:val="es-ES"/>
              </w:rPr>
            </w:pPr>
          </w:p>
        </w:tc>
        <w:tc>
          <w:tcPr>
            <w:tcW w:w="2984" w:type="dxa"/>
          </w:tcPr>
          <w:p w14:paraId="07E9FE3E" w14:textId="6A0429FD" w:rsidR="00192C8E" w:rsidRPr="00D11FA5" w:rsidRDefault="00192C8E" w:rsidP="005C1769">
            <w:pPr>
              <w:pStyle w:val="PlantillaESAText"/>
              <w:ind w:right="27"/>
              <w:rPr>
                <w:rFonts w:eastAsiaTheme="minorEastAsia"/>
                <w:lang w:val="es-ES"/>
              </w:rPr>
            </w:pPr>
            <w:r>
              <w:rPr>
                <w:lang w:val="es-ES"/>
              </w:rPr>
              <w:t>Distr. general</w:t>
              <w:br/>
            </w:r>
            <w:r>
              <w:fldChar w:fldCharType="begin"/>
            </w:r>
            <w:r>
              <w:rPr>
                <w:lang w:val="es-ES"/>
              </w:rPr>
              <w:instrText xml:space="preserve"> DOCPROPERTY "Revision date" \* MERGEFORMAT </w:instrText>
            </w:r>
            <w:r>
              <w:fldChar w:fldCharType="separate"/>
            </w:r>
            <w:r>
              <w:rPr>
                <w:lang w:val="es-ES"/>
              </w:rPr>
              <w:t>8 de septiembre de 2026</w:t>
              <w:fldChar w:fldCharType="end"/>
            </w:r>
          </w:p>
          <w:p w14:paraId="36CB407A" w14:textId="51406489" w:rsidR="00192C8E" w:rsidRPr="00D11FA5" w:rsidRDefault="00192C8E" w:rsidP="005C1769">
            <w:pPr>
              <w:pStyle w:val="PlantillaESAText"/>
              <w:ind w:right="27"/>
              <w:rPr>
                <w:lang w:val="es-ES"/>
              </w:rPr>
            </w:pPr>
            <w:r>
              <w:rPr>
                <w:lang w:val="es-ES"/>
              </w:rPr>
              <w:t>Español</w:t>
              <w:br/>
              <w:t>Original: inglés</w:t>
            </w:r>
          </w:p>
        </w:tc>
      </w:tr>
    </w:tbl>
    <w:p w14:paraId="69B38003" w14:textId="77777777" w:rsidR="004E01AD" w:rsidRPr="00FB7665" w:rsidRDefault="004E01AD" w:rsidP="005C1769">
      <w:pPr>
        <w:pStyle w:val="PlantillaESASpacer"/>
        <w:ind w:right="27"/>
        <w:rPr>
          <w:lang w:val="es-ES"/>
        </w:rPr>
      </w:pPr>
    </w:p>
    <w:tbl>
      <w:tblPr>
        <w:tblW w:w="9498" w:type="dxa"/>
        <w:tblLayout w:type="fixed"/>
        <w:tblCellMar>
          <w:left w:w="0" w:type="dxa"/>
          <w:right w:w="0" w:type="dxa"/>
        </w:tblCellMar>
        <w:tblLook w:val="0000" w:firstRow="0" w:lastRow="0" w:firstColumn="0" w:lastColumn="0" w:noHBand="0" w:noVBand="0"/>
      </w:tblPr>
      <w:tblGrid>
        <w:gridCol w:w="5954"/>
        <w:gridCol w:w="3544"/>
      </w:tblGrid>
      <w:tr w:rsidR="00A97BFB" w:rsidRPr="00900B12" w14:paraId="681D650F" w14:textId="77777777" w:rsidTr="003A2414">
        <w:trPr>
          <w:trHeight w:val="76"/>
        </w:trPr>
        <w:tc>
          <w:tcPr>
            <w:tcW w:w="5954" w:type="dxa"/>
          </w:tcPr>
          <w:p w14:paraId="2642D612" w14:textId="7AD394E3" w:rsidR="00192C8E" w:rsidRPr="00FB7665" w:rsidRDefault="00192C8E" w:rsidP="005C1769">
            <w:pPr>
              <w:pStyle w:val="PlantillaESAATitle"/>
              <w:ind w:right="27"/>
              <w:rPr>
                <w:lang w:val="es-ES"/>
              </w:rPr>
            </w:pPr>
            <w:r>
              <w:rPr>
                <w:lang w:val="es-ES"/>
              </w:rPr>
              <w:t>38ª Reunión de las Partes en el Protocolo</w:t>
              <w:br/>
              <w:t>de Montreal relativo a las Sustancias que Agotan</w:t>
              <w:br/>
              <w:t>la Capa de Ozono</w:t>
            </w:r>
          </w:p>
          <w:p w14:paraId="032887C0" w14:textId="4EFD78D9" w:rsidR="00192C8E" w:rsidRPr="00900B12" w:rsidRDefault="000E1097" w:rsidP="005C1769">
            <w:pPr>
              <w:pStyle w:val="PlantillaESAATitle1"/>
              <w:ind w:right="27"/>
              <w:rPr>
                <w:lang w:val="es-ES"/>
              </w:rPr>
            </w:pPr>
            <w:r>
              <w:rPr>
                <w:lang w:val="es-ES"/>
              </w:rPr>
              <w:t>Kigali, 2 a 6 de noviembre de 2026</w:t>
            </w:r>
          </w:p>
          <w:p w14:paraId="5B251CF4" w14:textId="02D7D43C" w:rsidR="0022060D" w:rsidRPr="00900B12" w:rsidRDefault="00A405FF" w:rsidP="005C1769">
            <w:pPr>
              <w:spacing w:after="120"/>
              <w:ind w:right="27"/>
              <w:jc w:val="left"/>
              <w:rPr>
                <w:rStyle w:val="FootnoteReference"/>
              </w:rPr>
            </w:pPr>
            <w:r>
              <w:rPr>
                <w:sz w:val="20"/>
                <w:szCs w:val="20"/>
              </w:rPr>
              <w:t xml:space="preserve">Punto 4 de la agenda provisional de la serie de sesiones de alto nivel</w:t>
            </w:r>
            <w:r>
              <w:rPr>
                <w:rStyle w:val="FootnoteReference"/>
              </w:rPr>
              <w:footnoteReference w:customMarkFollows="1" w:id="2"/>
              <w:t>*</w:t>
            </w:r>
          </w:p>
          <w:p w14:paraId="6D1B485A" w14:textId="1605ECCE" w:rsidR="0022060D" w:rsidRPr="00FB7665" w:rsidRDefault="0022060D" w:rsidP="005C1769">
            <w:pPr>
              <w:spacing w:after="120"/>
              <w:ind w:right="27"/>
              <w:jc w:val="left"/>
            </w:pPr>
            <w:r>
              <w:rPr>
                <w:b/>
                <w:sz w:val="20"/>
                <w:szCs w:val="20"/>
              </w:rPr>
              <w:t>Presentación de la Presidencia del</w:t>
              <w:br/>
              <w:t>Comité Ejecutivo del Fondo Multilateral</w:t>
              <w:br/>
              <w:t>para la Aplicación del Protocolo de Montreal</w:t>
              <w:br/>
              <w:t>sobre la labor del Comité Ejecutivo</w:t>
            </w:r>
          </w:p>
        </w:tc>
        <w:tc>
          <w:tcPr>
            <w:tcW w:w="3544" w:type="dxa"/>
          </w:tcPr>
          <w:p w14:paraId="4AB3A067" w14:textId="77777777" w:rsidR="004E01AD" w:rsidRPr="00FB7665" w:rsidRDefault="004E01AD" w:rsidP="005C1769">
            <w:pPr>
              <w:pStyle w:val="PlantillaESNormal-pool"/>
              <w:ind w:right="27"/>
              <w:rPr>
                <w:lang w:val="es-ES"/>
              </w:rPr>
            </w:pPr>
          </w:p>
        </w:tc>
      </w:tr>
    </w:tbl>
    <w:p w14:paraId="79B04E88" w14:textId="234C6CCC" w:rsidR="00EC123B" w:rsidRPr="00FB7665" w:rsidRDefault="00EC123B" w:rsidP="005C1769">
      <w:pPr>
        <w:pStyle w:val="PlantillaESBBTitle"/>
        <w:ind w:right="27"/>
        <w:jc w:val="both"/>
        <w:rPr>
          <w:rFonts w:eastAsiaTheme="minorEastAsia"/>
          <w:bCs/>
          <w:lang w:val="es-ES"/>
        </w:rPr>
      </w:pPr>
      <w:r>
        <w:rPr>
          <w:lang w:val="es-ES"/>
        </w:rPr>
        <w:t xml:space="preserve">Informe del Comité Ejecutivo del Fondo Multilateral para la Aplicación del Protocolo de Montreal a la 38ª Reunión de las Partes</w:t>
      </w:r>
    </w:p>
    <w:p w14:paraId="7BC1AEEA" w14:textId="77777777" w:rsidR="0091657F" w:rsidRPr="00FB7665" w:rsidRDefault="003F5392" w:rsidP="005C1769">
      <w:pPr>
        <w:pStyle w:val="PlantillaESCH1"/>
        <w:ind w:right="27"/>
        <w:rPr>
          <w:rFonts w:eastAsiaTheme="minorEastAsia"/>
          <w:lang w:val="es-ES"/>
        </w:rPr>
      </w:pPr>
      <w:r>
        <w:rPr>
          <w:lang w:val="es-ES"/>
        </w:rPr>
        <w:tab/>
        <w:tab/>
        <w:t>Introducción</w:t>
      </w:r>
    </w:p>
    <w:p w14:paraId="50603C6B" w14:textId="77777777" w:rsidR="00193CCD" w:rsidRPr="00900B12" w:rsidRDefault="00193CCD" w:rsidP="005C1769">
      <w:pPr>
        <w:pStyle w:val="Heading3"/>
        <w:widowControl/>
        <w:numPr>
          <w:ilvl w:val="2"/>
          <w:numId w:val="16"/>
        </w:numPr>
        <w:ind w:left="1276" w:right="27" w:firstLine="0"/>
        <w:rPr>
          <w:sz w:val="20"/>
          <w:szCs w:val="20"/>
        </w:rPr>
      </w:pPr>
      <w:r>
        <w:rPr>
          <w:sz w:val="20"/>
          <w:szCs w:val="20"/>
        </w:rPr>
        <w:t>El presente informe contiene dos secciones y un anexo que se indican a continuación:</w:t>
      </w:r>
    </w:p>
    <w:p w14:paraId="16FAC6FD" w14:textId="77777777" w:rsidR="00193CCD" w:rsidRPr="00900B12" w:rsidRDefault="00193CCD" w:rsidP="00B4561C">
      <w:pPr>
        <w:tabs>
          <w:tab w:val="left" w:pos="2880"/>
        </w:tabs>
        <w:ind w:left="2880" w:right="27" w:hanging="1008"/>
        <w:rPr>
          <w:sz w:val="20"/>
          <w:szCs w:val="20"/>
        </w:rPr>
      </w:pPr>
      <w:r>
        <w:rPr>
          <w:sz w:val="20"/>
          <w:szCs w:val="20"/>
        </w:rPr>
        <w:t>I:</w:t>
        <w:tab/>
        <w:t>Examen del período de referencia desde la Trigésima Séptima Reunión de las Partes</w:t>
      </w:r>
    </w:p>
    <w:p w14:paraId="2DB0A3E4" w14:textId="77777777" w:rsidR="00193CCD" w:rsidRPr="00900B12" w:rsidRDefault="00193CCD" w:rsidP="005C1769">
      <w:pPr>
        <w:tabs>
          <w:tab w:val="left" w:pos="2880"/>
        </w:tabs>
        <w:ind w:left="1248" w:right="27" w:firstLine="624"/>
        <w:rPr>
          <w:sz w:val="20"/>
          <w:szCs w:val="20"/>
        </w:rPr>
      </w:pPr>
      <w:r>
        <w:rPr>
          <w:sz w:val="20"/>
          <w:szCs w:val="20"/>
        </w:rPr>
        <w:t>II:</w:t>
        <w:tab/>
        <w:t>Logros del Fondo Multilateral desde sus comienzos</w:t>
      </w:r>
    </w:p>
    <w:p w14:paraId="6C8C1C58" w14:textId="77777777" w:rsidR="00F05C70" w:rsidRPr="00900B12" w:rsidRDefault="00193CCD" w:rsidP="005C1769">
      <w:pPr>
        <w:ind w:left="2880" w:right="27" w:hanging="1008"/>
        <w:rPr>
          <w:sz w:val="20"/>
          <w:szCs w:val="20"/>
        </w:rPr>
      </w:pPr>
      <w:r>
        <w:rPr>
          <w:sz w:val="20"/>
          <w:szCs w:val="20"/>
        </w:rPr>
        <w:t>Anexo:</w:t>
        <w:tab/>
        <w:t>Boletín anual del Fondo Multilateral con algunos proyectos destacados y resultados de políticas de 2025</w:t>
      </w:r>
    </w:p>
    <w:p w14:paraId="562856DA" w14:textId="77777777" w:rsidR="000567B4" w:rsidRPr="003A2414" w:rsidRDefault="000567B4" w:rsidP="005C1769">
      <w:pPr>
        <w:pStyle w:val="PlantillaESCH1"/>
        <w:keepLines w:val="0"/>
        <w:tabs>
          <w:tab w:val="clear" w:pos="851"/>
          <w:tab w:val="clear" w:pos="1247"/>
          <w:tab w:val="left" w:pos="720"/>
        </w:tabs>
        <w:ind w:left="1253" w:right="27" w:hanging="1253"/>
        <w:jc w:val="both"/>
        <w:rPr>
          <w:lang w:val="es-ES"/>
        </w:rPr>
      </w:pPr>
      <w:r>
        <w:rPr>
          <w:lang w:val="es-ES"/>
        </w:rPr>
        <w:tab/>
        <w:t>I.</w:t>
        <w:tab/>
        <w:t>Examen del período de referencia desde la Trigésima Séptima Reunión de las Partes</w:t>
      </w:r>
    </w:p>
    <w:p w14:paraId="6498BED6" w14:textId="58EB5CBE" w:rsidR="000E1097" w:rsidRPr="00900B12" w:rsidRDefault="000E1097" w:rsidP="005C1769">
      <w:pPr>
        <w:pStyle w:val="Heading3"/>
        <w:widowControl/>
        <w:numPr>
          <w:ilvl w:val="2"/>
          <w:numId w:val="16"/>
        </w:numPr>
        <w:ind w:left="1276" w:right="27" w:firstLine="0"/>
        <w:rPr>
          <w:sz w:val="20"/>
          <w:szCs w:val="20"/>
          <w:lang w:eastAsia="en-GB"/>
        </w:rPr>
      </w:pPr>
      <w:r>
        <w:rPr>
          <w:sz w:val="20"/>
          <w:szCs w:val="20"/>
        </w:rPr>
        <w:t>Durante el período de referencia, el Comité Ejecutivo celebró sus reuniones 97ª y 98ª. La 97ª reunión se celebró en Montreal (Canadá), del 1 al 5 de diciembre de 2025. La labor de la 97ª reunión fue llevada a cabo por los miembros del Comité Ejecutivo para 2025, de conformidad con la decisión XXXVI/19 de la 36ª Reunión de las Partes. El Comité estaba integrado por las siguientes partes que operan al amparo del párrafo 1 del Artículo 5 del Protocolo (partes que operan al amparo del Artículo 5): Argentina, Bahrein, China, Cuba, Kirguistán, Lesotho (Vicepresidencia) y Togo; y las siguientes partes que no operan al amparo del párrafo 1 del Artículo 5 del Protocolo (partes que no operan al amparo del Artículo 5): Bélgica, Canadá, Italia (Presidencia), Japón, Lituania, Suecia y los Estados Unidos de América.</w:t>
      </w:r>
    </w:p>
    <w:p w14:paraId="52DE092F" w14:textId="6E2E533C" w:rsidR="000E1097" w:rsidRPr="00900B12" w:rsidRDefault="000E1097" w:rsidP="005C1769">
      <w:pPr>
        <w:pStyle w:val="Heading3"/>
        <w:widowControl/>
        <w:numPr>
          <w:ilvl w:val="2"/>
          <w:numId w:val="16"/>
        </w:numPr>
        <w:ind w:left="1276" w:right="27" w:firstLine="0"/>
        <w:rPr>
          <w:sz w:val="20"/>
          <w:szCs w:val="20"/>
          <w:lang w:eastAsia="en-GB"/>
        </w:rPr>
      </w:pPr>
      <w:r>
        <w:rPr>
          <w:sz w:val="20"/>
          <w:szCs w:val="20"/>
        </w:rPr>
        <w:t xml:space="preserve">La 98ª reunión se celebró en Montreal del 22 al 26 de junio de 2026. La labor de la 98ª reunión fue llevada a cabo por los miembros del Comité Ejecutivo para 2026, de conformidad con la decisión XXXVII/19 de la 37ª Reunión de las Partes. El Comité estaba integrado por las siguientes partes que operan al amparo del Artículo 5: Brasil, Camerún, Cuba, India, Kuwait, Lesotho (Presidencia) y México; y las siguientes partes que no operan al amparo del Artículo 5: Australia (Vicepresidencia), Austria, Bélgica, Francia, Japón, Kazajstán y los Estados Unidos de América.</w:t>
      </w:r>
    </w:p>
    <w:p w14:paraId="2B132A11" w14:textId="551D4C1E" w:rsidR="00203D08" w:rsidRPr="00900B12" w:rsidRDefault="000E1097" w:rsidP="005C1769">
      <w:pPr>
        <w:pStyle w:val="Heading3"/>
        <w:widowControl/>
        <w:numPr>
          <w:ilvl w:val="2"/>
          <w:numId w:val="16"/>
        </w:numPr>
        <w:ind w:left="1276" w:right="27" w:firstLine="0"/>
        <w:rPr>
          <w:sz w:val="20"/>
          <w:szCs w:val="20"/>
          <w:lang w:eastAsia="en-GB"/>
        </w:rPr>
      </w:pPr>
      <w:r>
        <w:rPr>
          <w:sz w:val="20"/>
          <w:szCs w:val="20"/>
        </w:rPr>
        <w:lastRenderedPageBreak/>
        <w:t>Los informes de las reuniones 97ª y 98ª</w:t>
      </w:r>
      <w:r>
        <w:rPr>
          <w:rStyle w:val="FootnoteReference"/>
        </w:rPr>
        <w:footnoteReference w:id="3"/>
      </w:r>
      <w:r>
        <w:rPr>
          <w:sz w:val="20"/>
          <w:szCs w:val="20"/>
        </w:rPr>
        <w:t xml:space="preserve"> pueden consultarse en el sitio web del Fondo Multilateral (https://www.multilateralfund.org/meetings).</w:t>
      </w:r>
    </w:p>
    <w:p w14:paraId="1941876C" w14:textId="77777777" w:rsidR="000567B4" w:rsidRPr="003A2414" w:rsidRDefault="000567B4" w:rsidP="005C1769">
      <w:pPr>
        <w:pStyle w:val="PlantillaESCH2"/>
        <w:tabs>
          <w:tab w:val="clear" w:pos="851"/>
          <w:tab w:val="clear" w:pos="1247"/>
          <w:tab w:val="left" w:pos="1253"/>
        </w:tabs>
        <w:ind w:left="1253" w:right="27" w:hanging="620"/>
        <w:rPr>
          <w:lang w:val="es-ES"/>
        </w:rPr>
      </w:pPr>
      <w:r>
        <w:rPr>
          <w:lang w:val="es-ES"/>
        </w:rPr>
        <w:t>A.</w:t>
        <w:tab/>
        <w:t>Asuntos de políticas relacionados con la Enmienda de Kigali</w:t>
      </w:r>
    </w:p>
    <w:p w14:paraId="01F50B63" w14:textId="77777777" w:rsidR="00C701FD" w:rsidRPr="009B4F93" w:rsidRDefault="000E1097" w:rsidP="005C1769">
      <w:pPr>
        <w:pStyle w:val="PlantillaESCH3"/>
        <w:tabs>
          <w:tab w:val="clear" w:pos="851"/>
          <w:tab w:val="clear" w:pos="1247"/>
          <w:tab w:val="left" w:pos="1253"/>
        </w:tabs>
        <w:ind w:left="1253" w:right="27" w:hanging="620"/>
        <w:rPr>
          <w:lang w:val="es-ES"/>
        </w:rPr>
      </w:pPr>
      <w:r>
        <w:rPr>
          <w:lang w:val="es-ES"/>
        </w:rPr>
        <w:t>1.</w:t>
        <w:tab/>
        <w:t>Enfoques estratégicos para la aplicación de la Enmienda de Kigali</w:t>
      </w:r>
    </w:p>
    <w:p w14:paraId="30C27D94" w14:textId="5903C87B" w:rsidR="008132B2" w:rsidRPr="00900B12" w:rsidRDefault="00C701FD" w:rsidP="005C1769">
      <w:pPr>
        <w:pStyle w:val="Heading3"/>
        <w:widowControl/>
        <w:numPr>
          <w:ilvl w:val="2"/>
          <w:numId w:val="16"/>
        </w:numPr>
        <w:tabs>
          <w:tab w:val="num" w:pos="360"/>
        </w:tabs>
        <w:ind w:left="1276" w:right="27" w:firstLine="0"/>
        <w:rPr>
          <w:sz w:val="20"/>
          <w:szCs w:val="20"/>
        </w:rPr>
      </w:pPr>
      <w:r>
        <w:rPr>
          <w:sz w:val="20"/>
          <w:szCs w:val="20"/>
        </w:rPr>
        <w:t>En la 98ª reunión, el Comité Ejecutivo examinó un documento sobre los enfoques estratégicos para la aplicación de la Enmienda de Kigali en los países que operan al amparo del Artículo 5, de conformidad con los elementos mencionados en la decisión 96/57.</w:t>
      </w:r>
      <w:r>
        <w:rPr>
          <w:rStyle w:val="FootnoteReference"/>
        </w:rPr>
        <w:footnoteReference w:id="4"/>
      </w:r>
      <w:r>
        <w:rPr>
          <w:sz w:val="20"/>
          <w:szCs w:val="20"/>
        </w:rPr>
        <w:t xml:space="preserve"> A continuación, el Comité pidió a la Secretaría del Fondo que preparara, para su examen en la 100ª reunión, información sobre los siguientes componentes que podrían orientar la preparación de futuros planes de aplicación de la Enmienda de Kigali relativa a los HFC (PAK), teniendo en cuenta las lecciones aprendidas de la experiencia previa de ejecución en el marco del Fondo Multilateral y dando prioridad a las actividades de cumplimiento:</w:t>
      </w:r>
    </w:p>
    <w:p w14:paraId="30585B7A" w14:textId="77777777" w:rsidR="008132B2" w:rsidRPr="00900B12" w:rsidRDefault="008132B2" w:rsidP="005C1769">
      <w:pPr>
        <w:pStyle w:val="Heading2"/>
        <w:widowControl/>
        <w:numPr>
          <w:ilvl w:val="1"/>
          <w:numId w:val="21"/>
        </w:numPr>
        <w:ind w:left="2552" w:right="27"/>
        <w:rPr>
          <w:sz w:val="20"/>
          <w:szCs w:val="20"/>
        </w:rPr>
      </w:pPr>
      <w:r>
        <w:rPr>
          <w:sz w:val="20"/>
          <w:szCs w:val="20"/>
        </w:rPr>
        <w:t>Tipos de actividades para facilitar la transición en el sector de servicio y mantenimiento de equipos de refrigeración y el sector no manufacturero, centrándose en fortalecer y aprovechar los marcos institucionales existentes para la capacitación y certificación de técnicos, incluidos los vínculos con las estrategias de gestión del ciclo de vida de los refrigerantes, y en mejorar la eficiencia energética, sobre la base de las lecciones aprendidas de los proyectos piloto en virtud de las decisiones 89/6 y 91/65;</w:t>
      </w:r>
    </w:p>
    <w:p w14:paraId="48BA3774" w14:textId="77777777" w:rsidR="008132B2" w:rsidRPr="00900B12" w:rsidRDefault="00C701FD" w:rsidP="005C1769">
      <w:pPr>
        <w:pStyle w:val="Heading2"/>
        <w:widowControl/>
        <w:numPr>
          <w:ilvl w:val="1"/>
          <w:numId w:val="21"/>
        </w:numPr>
        <w:ind w:left="2552" w:right="27"/>
        <w:rPr>
          <w:sz w:val="20"/>
          <w:szCs w:val="20"/>
          <w:lang w:eastAsia="en-GB"/>
        </w:rPr>
      </w:pPr>
      <w:r>
        <w:rPr>
          <w:sz w:val="20"/>
          <w:szCs w:val="20"/>
        </w:rPr>
        <w:t>Tipos de actividades para facilitar la transición del sector manufacturero en el sector de refrigeración, aire acondicionado y bombas de calor, también en lo que respecta a las pequeñas y medianas empresas, y teniendo en cuenta el desarrollo y la adopción de infraestructura de seguridad;</w:t>
      </w:r>
    </w:p>
    <w:p w14:paraId="2AEE38B4" w14:textId="49CFFEE5" w:rsidR="008132B2" w:rsidRPr="00900B12" w:rsidRDefault="00C701FD" w:rsidP="005C1769">
      <w:pPr>
        <w:pStyle w:val="Heading2"/>
        <w:widowControl/>
        <w:numPr>
          <w:ilvl w:val="1"/>
          <w:numId w:val="21"/>
        </w:numPr>
        <w:ind w:left="2552" w:right="27"/>
        <w:rPr>
          <w:sz w:val="20"/>
          <w:szCs w:val="20"/>
          <w:lang w:eastAsia="en-GB"/>
        </w:rPr>
      </w:pPr>
      <w:r>
        <w:rPr>
          <w:sz w:val="20"/>
          <w:szCs w:val="20"/>
        </w:rPr>
        <w:t xml:space="preserve">Posibles elementos que cabría considerar para las futuras etapas de los PAK como parte de un enfoque transversal o de programa de país, teniendo en cuenta las estrategias de transición tecnológica, así como los planes de acción nacionales de refrigeración, cuando proceda;</w:t>
      </w:r>
    </w:p>
    <w:p w14:paraId="100229E2" w14:textId="77777777" w:rsidR="00C701FD" w:rsidRPr="00900B12" w:rsidRDefault="00C701FD" w:rsidP="005C1769">
      <w:pPr>
        <w:pStyle w:val="Heading2"/>
        <w:widowControl/>
        <w:numPr>
          <w:ilvl w:val="1"/>
          <w:numId w:val="21"/>
        </w:numPr>
        <w:ind w:left="2552" w:right="27"/>
        <w:rPr>
          <w:sz w:val="20"/>
          <w:szCs w:val="20"/>
          <w:lang w:eastAsia="en-GB"/>
        </w:rPr>
      </w:pPr>
      <w:r>
        <w:rPr>
          <w:sz w:val="20"/>
          <w:szCs w:val="20"/>
        </w:rPr>
        <w:t>Lecciones aprendidas sobre el uso de financiación en condiciones favorables por parte del Fondo Multilateral desde sus comienzos, para orientar al Comité en su examen de posibles actividades;</w:t>
      </w:r>
    </w:p>
    <w:p w14:paraId="3E0D8A6F" w14:textId="77777777" w:rsidR="00C701FD" w:rsidRPr="00900B12" w:rsidRDefault="00C701FD" w:rsidP="005C1769">
      <w:pPr>
        <w:pStyle w:val="Heading2"/>
        <w:widowControl/>
        <w:numPr>
          <w:ilvl w:val="1"/>
          <w:numId w:val="21"/>
        </w:numPr>
        <w:ind w:left="2552" w:right="27"/>
        <w:rPr>
          <w:sz w:val="20"/>
          <w:szCs w:val="20"/>
          <w:lang w:eastAsia="en-GB"/>
        </w:rPr>
      </w:pPr>
      <w:r>
        <w:rPr>
          <w:sz w:val="20"/>
          <w:szCs w:val="20"/>
        </w:rPr>
        <w:t>Actualización del inventario de las actividades pertinentes realizadas por otras instituciones de financiación.</w:t>
      </w:r>
    </w:p>
    <w:p w14:paraId="28849B2B" w14:textId="322E12FC" w:rsidR="00C701FD" w:rsidRPr="00900B12" w:rsidRDefault="008132B2" w:rsidP="005C1769">
      <w:pPr>
        <w:pStyle w:val="Heading3"/>
        <w:widowControl/>
        <w:numPr>
          <w:ilvl w:val="2"/>
          <w:numId w:val="16"/>
        </w:numPr>
        <w:ind w:left="1276" w:right="27" w:firstLine="0"/>
        <w:rPr>
          <w:sz w:val="20"/>
          <w:szCs w:val="20"/>
        </w:rPr>
      </w:pPr>
      <w:r>
        <w:rPr>
          <w:sz w:val="20"/>
          <w:szCs w:val="20"/>
        </w:rPr>
        <w:t xml:space="preserve">También se pidió a la Secretaría del Fondo que preparara, para la 102ª reunión, teniendo en cuenta la versión actualizada del informe sobre los sistemas de incentivos para usuarios finales financiados en el marco de los planes de gestión para la eliminación de los HCFC (PGEH) y los PAK aprobados, que se presentaría a la 102ª reunión de conformidad con la decisión 92/36, información sobre las opciones de modalidades financieras y mecanismos institucionales para prestar apoyo a los usuarios finales, con el fin de contribuir a la transformación del mercado y apoyar la reducción sostenida de los HFC en las futuras etapas de los PAK (decisión 98/61).</w:t>
      </w:r>
    </w:p>
    <w:p w14:paraId="0241881B" w14:textId="77777777" w:rsidR="00C339F4" w:rsidRPr="009B4F93" w:rsidRDefault="0047057B" w:rsidP="005C1769">
      <w:pPr>
        <w:pStyle w:val="PlantillaESCH3"/>
        <w:tabs>
          <w:tab w:val="clear" w:pos="851"/>
          <w:tab w:val="clear" w:pos="1247"/>
          <w:tab w:val="left" w:pos="1253"/>
        </w:tabs>
        <w:ind w:left="1253" w:right="27" w:hanging="620"/>
        <w:rPr>
          <w:lang w:val="es-ES"/>
        </w:rPr>
      </w:pPr>
      <w:r>
        <w:rPr>
          <w:lang w:val="es-ES"/>
        </w:rPr>
        <w:t>2.</w:t>
        <w:tab/>
        <w:t>Subsector de instalación y montaje a nivel local</w:t>
      </w:r>
    </w:p>
    <w:p w14:paraId="270F323A" w14:textId="7D6D3F64" w:rsidR="00C339F4" w:rsidRPr="00900B12" w:rsidRDefault="00C339F4" w:rsidP="005C1769">
      <w:pPr>
        <w:pStyle w:val="Heading3"/>
        <w:widowControl/>
        <w:numPr>
          <w:ilvl w:val="2"/>
          <w:numId w:val="16"/>
        </w:numPr>
        <w:ind w:left="1276" w:right="27" w:firstLine="0"/>
        <w:rPr>
          <w:sz w:val="20"/>
          <w:szCs w:val="20"/>
        </w:rPr>
      </w:pPr>
      <w:r>
        <w:rPr>
          <w:sz w:val="20"/>
          <w:szCs w:val="20"/>
        </w:rPr>
        <w:t>De conformidad con la decisión 95/89, en la 98ª reunión el Comité Ejecutivo examinó un documento que proporcionaba información actualizada sobre el subsector de instalación y montaje a nivel local.</w:t>
      </w:r>
      <w:r>
        <w:rPr>
          <w:rStyle w:val="FootnoteReference"/>
        </w:rPr>
        <w:footnoteReference w:id="5"/>
      </w:r>
      <w:r>
        <w:rPr>
          <w:sz w:val="20"/>
          <w:szCs w:val="20"/>
        </w:rPr>
        <w:t xml:space="preserve"> Tras la adopción de la decisión 98/61 (véase la sección I.A.1 </w:t>
      </w:r>
      <w:r>
        <w:rPr>
          <w:i/>
          <w:iCs/>
          <w:sz w:val="20"/>
          <w:szCs w:val="20"/>
        </w:rPr>
        <w:t>supra</w:t>
      </w:r>
      <w:r>
        <w:rPr>
          <w:sz w:val="20"/>
          <w:szCs w:val="20"/>
        </w:rPr>
        <w:t xml:space="preserve">), el Comité Ejecutivo decidió seguir examinando caso por caso los proyectos del subsector de instalación y montaje a nivel local en el contexto de los PAK, de conformidad con la decisión 95/89 b), y pedir a la Secretaría del Fondo que siguiera recopilando la información sobre ese subsector proporcionada por los países que operan al amparo del Artículo 5 en sus PAK y que </w:t>
        <w:lastRenderedPageBreak/>
        <w:t>presentara información actualizada sobre el sector como parte de la información solicitada a la Secretaría del Fondo para la 100ª reunión en virtud de la decisión 98/61 (decisión 98/59).</w:t>
      </w:r>
    </w:p>
    <w:p w14:paraId="0D069A51" w14:textId="77777777" w:rsidR="0047057B" w:rsidRPr="00E36507" w:rsidRDefault="0047057B" w:rsidP="0012559A">
      <w:pPr>
        <w:pStyle w:val="PlantillaESCH3"/>
        <w:tabs>
          <w:tab w:val="clear" w:pos="851"/>
          <w:tab w:val="clear" w:pos="1247"/>
          <w:tab w:val="left" w:pos="1253"/>
        </w:tabs>
        <w:ind w:left="1253" w:right="27" w:hanging="620"/>
        <w:jc w:val="both"/>
        <w:rPr>
          <w:lang w:val="es-ES"/>
        </w:rPr>
      </w:pPr>
      <w:r>
        <w:rPr>
          <w:lang w:val="es-ES"/>
        </w:rPr>
        <w:t>3.</w:t>
        <w:tab/>
        <w:t>Deducción del punto de partida del consumo de HFC cuando los planes de aplicación de la Enmienda de Kigali relativa a los HFC incluyen compromisos de reducción superiores al objetivo del 10 por ciento previsto en la Enmienda de Kigali</w:t>
      </w:r>
    </w:p>
    <w:p w14:paraId="515AC53B" w14:textId="4463E9C1" w:rsidR="0047057B" w:rsidRPr="00E36507" w:rsidRDefault="0047057B" w:rsidP="005C1769">
      <w:pPr>
        <w:pStyle w:val="Heading3"/>
        <w:widowControl/>
        <w:numPr>
          <w:ilvl w:val="2"/>
          <w:numId w:val="16"/>
        </w:numPr>
        <w:ind w:left="1276" w:right="27" w:firstLine="0"/>
        <w:rPr>
          <w:b/>
          <w:sz w:val="20"/>
          <w:szCs w:val="20"/>
        </w:rPr>
      </w:pPr>
      <w:r>
        <w:rPr>
          <w:sz w:val="20"/>
          <w:szCs w:val="20"/>
        </w:rPr>
        <w:t xml:space="preserve">En su 98ª reunión, el Comité Ejecutivo examinó la cuestión de la deducción del punto de partida del consumo de HFC cuando los PAK incluían compromisos de reducción superiores al objetivo del 10 por ciento previsto en la Enmienda de Kigali. Tras las deliberaciones en el pleno y en un grupo informal, el Comité Ejecutivo pidió a la Secretaría del Fondo que preparara, para su examen en la 99ª reunión, un breve documento sobre la aplicación de deducciones del punto de partida para las reducciones acumuladas sostenidas del consumo de HFC en los casos en que un PAK incluyera un objetivo de reducción del consumo superior al 10 por ciento, incluidos los casos con grandes fluctuaciones del consumo durante los años de referencia (decisión 98/24).</w:t>
      </w:r>
    </w:p>
    <w:p w14:paraId="224D3DEE" w14:textId="2F2341A5" w:rsidR="000E1097" w:rsidRPr="00E36507" w:rsidRDefault="00C339F4" w:rsidP="0012559A">
      <w:pPr>
        <w:pStyle w:val="PlantillaESCH3"/>
        <w:tabs>
          <w:tab w:val="clear" w:pos="851"/>
          <w:tab w:val="clear" w:pos="1247"/>
          <w:tab w:val="left" w:pos="1253"/>
        </w:tabs>
        <w:ind w:left="1253" w:right="27" w:hanging="620"/>
        <w:jc w:val="both"/>
        <w:rPr>
          <w:lang w:val="es-ES"/>
        </w:rPr>
      </w:pPr>
      <w:r>
        <w:rPr>
          <w:lang w:val="es-ES"/>
        </w:rPr>
        <w:t>4.</w:t>
        <w:tab/>
        <w:t>Cuestiones relacionadas con proyectos presentados en el marco operativo sobre eficiencia energética (decisiones 94/60 y 95/87)</w:t>
      </w:r>
    </w:p>
    <w:p w14:paraId="084D909B" w14:textId="56661895" w:rsidR="000E1097" w:rsidRPr="00900B12" w:rsidRDefault="000E1097" w:rsidP="005C1769">
      <w:pPr>
        <w:pStyle w:val="Heading3"/>
        <w:widowControl/>
        <w:numPr>
          <w:ilvl w:val="2"/>
          <w:numId w:val="16"/>
        </w:numPr>
        <w:ind w:left="1276" w:right="27" w:firstLine="0"/>
        <w:rPr>
          <w:sz w:val="20"/>
          <w:szCs w:val="20"/>
          <w:lang w:eastAsia="en-GB"/>
        </w:rPr>
      </w:pPr>
      <w:r>
        <w:rPr>
          <w:bCs/>
          <w:sz w:val="20"/>
          <w:szCs w:val="20"/>
        </w:rPr>
        <w:t>En las reuniones 97ª y 98ª, el Comité Ejecutivo discutió varios asuntos relacionados con los proyectos presentados en el marco operativo sobre eficiencia energética</w:t>
      </w:r>
      <w:r>
        <w:rPr>
          <w:rStyle w:val="FootnoteReference"/>
        </w:rPr>
        <w:footnoteReference w:id="6"/>
      </w:r>
      <w:r>
        <w:rPr>
          <w:bCs/>
          <w:sz w:val="20"/>
          <w:szCs w:val="20"/>
        </w:rPr>
        <w:t xml:space="preserve">. Recordó que, en su decisión 94/60 b) ii), el Comité había solicitado a la Secretaría del Fondo que propusiera periódicamente actualizaciones de la metodología acordada a la luz de la experiencia adquirida.</w:t>
      </w:r>
    </w:p>
    <w:p w14:paraId="22B1462E" w14:textId="77777777" w:rsidR="000E1097" w:rsidRPr="00E36507" w:rsidRDefault="000E1097" w:rsidP="0012559A">
      <w:pPr>
        <w:pStyle w:val="PlantillaESCH3"/>
        <w:tabs>
          <w:tab w:val="clear" w:pos="851"/>
          <w:tab w:val="clear" w:pos="1247"/>
          <w:tab w:val="left" w:pos="1253"/>
        </w:tabs>
        <w:ind w:left="1253" w:right="27" w:hanging="620"/>
        <w:jc w:val="both"/>
        <w:rPr>
          <w:lang w:val="es-ES"/>
        </w:rPr>
      </w:pPr>
      <w:r>
        <w:rPr>
          <w:lang w:val="es-ES"/>
        </w:rPr>
        <w:t>a)</w:t>
        <w:tab/>
        <w:t>Proporción de equipos fabricados por una empresa que reúne las condiciones para acogerse al incentivo por componentes adicionales</w:t>
      </w:r>
    </w:p>
    <w:p w14:paraId="05DE0B36" w14:textId="35EF2F4F" w:rsidR="000E1097" w:rsidRPr="00900B12" w:rsidRDefault="0047057B" w:rsidP="005C1769">
      <w:pPr>
        <w:pStyle w:val="Heading3"/>
        <w:widowControl/>
        <w:numPr>
          <w:ilvl w:val="2"/>
          <w:numId w:val="16"/>
        </w:numPr>
        <w:ind w:left="1276" w:right="27" w:firstLine="0"/>
        <w:rPr>
          <w:sz w:val="20"/>
          <w:szCs w:val="20"/>
          <w:lang w:eastAsia="en-GB"/>
        </w:rPr>
      </w:pPr>
      <w:r>
        <w:rPr>
          <w:sz w:val="20"/>
          <w:szCs w:val="20"/>
        </w:rPr>
        <w:t>En la 97ª reunión, el Comité Ejecutivo decidió, para los proyectos presentados en el marco operativo sobre eficiencia energética, aprobar las condiciones adicionales para las empresas con menos del 50 por ciento de su volumen de fabricación admisible para el incentivo por componentes adicionales que se especificaban en los subpárrafos 40 a) y b) del documento UNEP/OzL.Pro/ExCom/97/26 (decisión 97/32).</w:t>
      </w:r>
    </w:p>
    <w:p w14:paraId="3260C872" w14:textId="77777777" w:rsidR="00A376D6" w:rsidRPr="00E36507" w:rsidRDefault="000E1097" w:rsidP="0012559A">
      <w:pPr>
        <w:pStyle w:val="PlantillaESCH3"/>
        <w:tabs>
          <w:tab w:val="clear" w:pos="851"/>
          <w:tab w:val="clear" w:pos="1247"/>
          <w:tab w:val="left" w:pos="1253"/>
        </w:tabs>
        <w:ind w:left="1253" w:right="27" w:hanging="620"/>
        <w:jc w:val="both"/>
        <w:rPr>
          <w:lang w:val="es-ES"/>
        </w:rPr>
      </w:pPr>
      <w:r>
        <w:rPr>
          <w:lang w:val="es-ES"/>
        </w:rPr>
        <w:t>b)</w:t>
        <w:tab/>
        <w:t>Proyectos de eficiencia energética en virtud de la decisión 94/60 para empresas cuyos proyectos de conversión se presentaron antes de la adopción de la Enmienda de Kigali</w:t>
      </w:r>
    </w:p>
    <w:p w14:paraId="45F68F3C" w14:textId="05CFF87C" w:rsidR="00A376D6" w:rsidRPr="00900B12" w:rsidRDefault="00A376D6" w:rsidP="005C1769">
      <w:pPr>
        <w:pStyle w:val="Heading3"/>
        <w:widowControl/>
        <w:numPr>
          <w:ilvl w:val="2"/>
          <w:numId w:val="16"/>
        </w:numPr>
        <w:ind w:left="1276" w:right="27" w:firstLine="0"/>
        <w:rPr>
          <w:sz w:val="20"/>
          <w:szCs w:val="20"/>
        </w:rPr>
      </w:pPr>
      <w:r>
        <w:rPr>
          <w:sz w:val="20"/>
          <w:szCs w:val="20"/>
        </w:rPr>
        <w:t xml:space="preserve">En su 98ª reunión, tras examinar la cuestión de los proyectos de eficiencia energética en virtud de la decisión 94/60 para empresas cuyos proyectos de conversión se habían presentado antes de la adopción de la Enmienda de Kigali, el Comité Ejecutivo pidió a la Secretaría del Fondo que preparara un documento breve para la 99ª reunión con información sobre las líneas de fabricación de equipos de refrigeración y aire acondicionado que hubieran completado la conversión en el marco de proyectos de eliminación de los HCFC o de reducción de los HFC aprobados con cargo al Fondo Multilateral (decisión 98/23).</w:t>
      </w:r>
    </w:p>
    <w:p w14:paraId="1EE1D820" w14:textId="77777777" w:rsidR="000E1097" w:rsidRPr="00E36507" w:rsidRDefault="000E1097" w:rsidP="0012559A">
      <w:pPr>
        <w:pStyle w:val="PlantillaESCH3"/>
        <w:tabs>
          <w:tab w:val="clear" w:pos="851"/>
          <w:tab w:val="clear" w:pos="1247"/>
          <w:tab w:val="left" w:pos="1253"/>
        </w:tabs>
        <w:ind w:left="1253" w:right="27" w:hanging="620"/>
        <w:jc w:val="both"/>
        <w:rPr>
          <w:lang w:val="es-ES"/>
        </w:rPr>
      </w:pPr>
      <w:r>
        <w:rPr>
          <w:lang w:val="es-ES"/>
        </w:rPr>
        <w:t>c)</w:t>
        <w:tab/>
        <w:t>Volúmenes de fabricación a considerar al evaluar los costos adicionales de los componentes para los proyectos conforme a la decisión 94/60</w:t>
      </w:r>
    </w:p>
    <w:p w14:paraId="592D099B" w14:textId="5F216F73" w:rsidR="000E1097" w:rsidRPr="00900B12" w:rsidRDefault="0047057B" w:rsidP="005C1769">
      <w:pPr>
        <w:pStyle w:val="Heading3"/>
        <w:widowControl/>
        <w:numPr>
          <w:ilvl w:val="2"/>
          <w:numId w:val="16"/>
        </w:numPr>
        <w:ind w:left="1276" w:right="27" w:firstLine="0"/>
        <w:rPr>
          <w:sz w:val="20"/>
          <w:szCs w:val="20"/>
          <w:lang w:eastAsia="en-GB"/>
        </w:rPr>
      </w:pPr>
      <w:r>
        <w:rPr>
          <w:sz w:val="20"/>
          <w:szCs w:val="20"/>
        </w:rPr>
        <w:t>En la 97ª reunión, el Comité Ejecutivo decidió tomar nota de que, para los proyectos presentados en el marco operativo sobre eficiencia energética, la Secretaría del Fondo utilizaría el último año o el promedio de los tres años anteriores a la presentación del proyecto para determinar los volúmenes de fabricación (decisión 97/33).</w:t>
      </w:r>
    </w:p>
    <w:p w14:paraId="2FD6722D" w14:textId="1F624F04" w:rsidR="00A376D6" w:rsidRPr="00E36507" w:rsidRDefault="002619A8" w:rsidP="0012559A">
      <w:pPr>
        <w:pStyle w:val="PlantillaESCH3"/>
        <w:tabs>
          <w:tab w:val="clear" w:pos="851"/>
          <w:tab w:val="clear" w:pos="1247"/>
          <w:tab w:val="left" w:pos="1253"/>
        </w:tabs>
        <w:ind w:left="1253" w:right="27" w:hanging="620"/>
        <w:jc w:val="both"/>
        <w:rPr>
          <w:lang w:val="es-ES"/>
        </w:rPr>
      </w:pPr>
      <w:r>
        <w:rPr>
          <w:lang w:val="es-ES"/>
        </w:rPr>
        <w:t>d)</w:t>
        <w:tab/>
        <w:t>Provisión de costos adicionales de capital para los fabricantes que utilizan juegos completamente desmontados</w:t>
      </w:r>
    </w:p>
    <w:p w14:paraId="50E6ED48" w14:textId="00C9080E" w:rsidR="00A376D6" w:rsidRPr="00900B12" w:rsidRDefault="00A376D6" w:rsidP="005C1769">
      <w:pPr>
        <w:pStyle w:val="Heading3"/>
        <w:widowControl/>
        <w:numPr>
          <w:ilvl w:val="2"/>
          <w:numId w:val="16"/>
        </w:numPr>
        <w:ind w:left="1276" w:right="27" w:firstLine="0"/>
        <w:rPr>
          <w:sz w:val="20"/>
          <w:szCs w:val="20"/>
          <w:lang w:eastAsia="en-GB"/>
        </w:rPr>
      </w:pPr>
      <w:r>
        <w:rPr>
          <w:sz w:val="20"/>
          <w:szCs w:val="20"/>
        </w:rPr>
        <w:t>También en la 97ª reunión, tras un debate, el Comité Ejecutivo acordó aplazar, hasta una reunión futura, la consideración de la provisión de costos adicionales de capital a los fabricantes que utilizaran juegos completamente desmontados en los proyectos presentados en el marco operativo sobre eficiencia energética.</w:t>
      </w:r>
    </w:p>
    <w:p w14:paraId="4629C131" w14:textId="77777777" w:rsidR="00CA1454" w:rsidRPr="00E36507" w:rsidRDefault="00755FD4" w:rsidP="005C1769">
      <w:pPr>
        <w:pStyle w:val="PlantillaESCH3"/>
        <w:tabs>
          <w:tab w:val="clear" w:pos="851"/>
          <w:tab w:val="clear" w:pos="1247"/>
          <w:tab w:val="left" w:pos="1253"/>
        </w:tabs>
        <w:ind w:left="1253" w:right="27" w:hanging="620"/>
        <w:rPr>
          <w:lang w:val="es-ES"/>
        </w:rPr>
      </w:pPr>
      <w:r>
        <w:rPr>
          <w:lang w:val="es-ES"/>
        </w:rPr>
        <w:t>5.</w:t>
        <w:tab/>
        <w:t>Evaluación de la ventana de financiación para la eficiencia energética establecida en virtud de la decisión 91/65</w:t>
      </w:r>
    </w:p>
    <w:p w14:paraId="4AE54D11" w14:textId="77777777" w:rsidR="00CA1454" w:rsidRPr="00900B12" w:rsidRDefault="00CA1454" w:rsidP="005C1769">
      <w:pPr>
        <w:pStyle w:val="Heading3"/>
        <w:widowControl/>
        <w:numPr>
          <w:ilvl w:val="2"/>
          <w:numId w:val="16"/>
        </w:numPr>
        <w:ind w:left="1276" w:right="27" w:firstLine="0"/>
      </w:pPr>
      <w:r>
        <w:rPr>
          <w:rFonts w:eastAsia="SimSun"/>
          <w:sz w:val="20"/>
          <w:szCs w:val="20"/>
        </w:rPr>
        <w:t xml:space="preserve">En la 98ª reunión, un miembro del Comité Ejecutivo señaló que los países que operan al amparo del Artículo 5 deseaban evaluar la ventana de financiación para la eficiencia energética </w:t>
        <w:lastRenderedPageBreak/>
        <w:t>establecida en virtud de la decisión 91/65. Tras las deliberaciones en el pleno y al margen de la reunión, el Comité Ejecutivo acordó aplazar el examen del asunto hasta una reunión futura.</w:t>
      </w:r>
    </w:p>
    <w:p w14:paraId="59CA5DF7" w14:textId="6F7FC225" w:rsidR="000E1097" w:rsidRPr="00E36507" w:rsidRDefault="00755FD4" w:rsidP="0012559A">
      <w:pPr>
        <w:pStyle w:val="PlantillaESCH3"/>
        <w:tabs>
          <w:tab w:val="clear" w:pos="851"/>
          <w:tab w:val="clear" w:pos="1247"/>
          <w:tab w:val="left" w:pos="1253"/>
        </w:tabs>
        <w:ind w:left="1253" w:right="27" w:hanging="620"/>
        <w:jc w:val="both"/>
        <w:rPr>
          <w:lang w:val="es-ES"/>
        </w:rPr>
      </w:pPr>
      <w:r>
        <w:rPr>
          <w:lang w:val="es-ES"/>
        </w:rPr>
        <w:t>6.</w:t>
        <w:tab/>
        <w:t>Puesta en funcionamiento de centros de excelencia para la refrigeración sostenible y centros de pruebas de eficiencia energética</w:t>
      </w:r>
    </w:p>
    <w:p w14:paraId="4383AFF0" w14:textId="77777777" w:rsidR="00292FAA" w:rsidRPr="00E36507" w:rsidRDefault="00292FAA" w:rsidP="005C1769">
      <w:pPr>
        <w:pStyle w:val="PlantillaESCH3"/>
        <w:tabs>
          <w:tab w:val="clear" w:pos="851"/>
          <w:tab w:val="clear" w:pos="1247"/>
          <w:tab w:val="left" w:pos="1253"/>
        </w:tabs>
        <w:ind w:left="1253" w:right="27" w:hanging="620"/>
        <w:rPr>
          <w:lang w:val="es-ES"/>
        </w:rPr>
      </w:pPr>
      <w:r>
        <w:rPr>
          <w:lang w:val="es-ES"/>
        </w:rPr>
        <w:t>a)</w:t>
        <w:tab/>
        <w:t>Puesta en funcionamiento de centros de excelencia para la refrigeración sostenible</w:t>
      </w:r>
    </w:p>
    <w:p w14:paraId="2E01508C" w14:textId="77777777" w:rsidR="00950138" w:rsidRPr="00900B12" w:rsidRDefault="00292FAA" w:rsidP="005C1769">
      <w:pPr>
        <w:pStyle w:val="Heading3"/>
        <w:widowControl/>
        <w:numPr>
          <w:ilvl w:val="2"/>
          <w:numId w:val="16"/>
        </w:numPr>
        <w:ind w:left="1276" w:right="27" w:firstLine="0"/>
        <w:rPr>
          <w:sz w:val="20"/>
          <w:szCs w:val="20"/>
          <w:lang w:eastAsia="en-GB"/>
        </w:rPr>
      </w:pPr>
      <w:r>
        <w:rPr>
          <w:sz w:val="20"/>
          <w:szCs w:val="20"/>
        </w:rPr>
        <w:t>En la 97ª reunión, de conformidad con la decisión 95/87 e), el Comité Ejecutivo examinó un documento preparado por la Secretaría del Fondo sobre la puesta en funcionamiento de centros de excelencia para la refrigeración sostenible.</w:t>
      </w:r>
      <w:r>
        <w:rPr>
          <w:rStyle w:val="FootnoteReference"/>
        </w:rPr>
        <w:footnoteReference w:id="7"/>
      </w:r>
      <w:r>
        <w:rPr>
          <w:sz w:val="20"/>
          <w:szCs w:val="20"/>
        </w:rPr>
        <w:t xml:space="preserve"> Tras las deliberaciones del grupo de contacto, el Comité Ejecutivo pidió a la Secretaría del Fondo y al Programa de Asistencia al Cumplimiento (PAC) del PNUMA que, a través de sus redes de dependencias nacionales del ozono y el proyecto de hermanamiento de eficiencia energética, facilitaran las consultas regionales o subregionales, incluso con los organismos bilaterales y de ejecución interesados, a fin de recopilar información sobre: los centros de excelencia existentes que presten servicios en el sector de refrigeración, aire acondicionado y bombas de calor, incluidos los servicios concretos que presten, su modo de funcionamiento y financiación, si generan ingresos y, en caso afirmativo, de qué manera, y su potencial para actuar como centros temáticos regionales; y el interés de diversas subregiones en acoger un centro regional temático, incluidos los temas concretos de interés de la subregión y la posibilidad de que los gobiernos pertinentes o aplicables presten apoyo de contrapartida para el funcionamiento a largo plazo de los centros.</w:t>
      </w:r>
    </w:p>
    <w:p w14:paraId="037BD3D8" w14:textId="6736D135" w:rsidR="00292FAA" w:rsidRPr="00900B12" w:rsidRDefault="00292FAA" w:rsidP="005C1769">
      <w:pPr>
        <w:pStyle w:val="Heading3"/>
        <w:widowControl/>
        <w:numPr>
          <w:ilvl w:val="2"/>
          <w:numId w:val="16"/>
        </w:numPr>
        <w:ind w:left="1276" w:right="27" w:firstLine="0"/>
        <w:rPr>
          <w:sz w:val="20"/>
          <w:szCs w:val="20"/>
          <w:lang w:eastAsia="en-GB"/>
        </w:rPr>
      </w:pPr>
      <w:r>
        <w:rPr>
          <w:sz w:val="20"/>
          <w:szCs w:val="20"/>
        </w:rPr>
        <w:t>El Comité pidió a la Secretaría del Fondo que preparara, para la 99ª reunión, teniendo en cuenta las deliberaciones mantenidas en la 97ª reunión, una actualización del documento en estudio, que incluyera información específica sobre los centros regionales pertinentes existentes y los países interesados en acogerlos; cualquier resultado de las consultas mencionadas y la información que había preparado la Secretaría del Ozono de conformidad con la decisión XXXVII/5 de la 37ª Reunión de las Partes, sobre las iniciativas nacionales y regionales para apoyar la aplicación de la Enmienda de Kigali al Protocolo de Montreal, si la hubiera; y opciones para asegurar apoyo a largo plazo después de la terminación del proyecto (decisión 97/87).</w:t>
      </w:r>
    </w:p>
    <w:p w14:paraId="407AB5CC" w14:textId="7666B535" w:rsidR="00292FAA" w:rsidRPr="00E36507" w:rsidRDefault="00292FAA" w:rsidP="005C1769">
      <w:pPr>
        <w:pStyle w:val="PlantillaESCH3"/>
        <w:tabs>
          <w:tab w:val="clear" w:pos="851"/>
          <w:tab w:val="clear" w:pos="1247"/>
          <w:tab w:val="left" w:pos="1253"/>
        </w:tabs>
        <w:ind w:left="1253" w:right="27" w:hanging="620"/>
        <w:rPr>
          <w:lang w:val="es-ES"/>
        </w:rPr>
      </w:pPr>
      <w:r>
        <w:rPr>
          <w:lang w:val="es-ES"/>
        </w:rPr>
        <w:t>b)</w:t>
        <w:tab/>
        <w:t>Puesta en funcionamiento de centros de pruebas de eficiencia energética</w:t>
      </w:r>
    </w:p>
    <w:p w14:paraId="3E9D3305" w14:textId="0C060232" w:rsidR="00292FAA" w:rsidRPr="00900B12" w:rsidRDefault="00292FAA" w:rsidP="005C1769">
      <w:pPr>
        <w:pStyle w:val="Heading3"/>
        <w:widowControl/>
        <w:numPr>
          <w:ilvl w:val="2"/>
          <w:numId w:val="16"/>
        </w:numPr>
        <w:ind w:left="1276" w:right="27" w:firstLine="0"/>
        <w:rPr>
          <w:sz w:val="20"/>
          <w:szCs w:val="20"/>
          <w:lang w:eastAsia="en-GB"/>
        </w:rPr>
      </w:pPr>
      <w:r>
        <w:rPr>
          <w:sz w:val="20"/>
          <w:szCs w:val="20"/>
        </w:rPr>
        <w:t>En la 97ª reunión, también en cumplimiento de la decisión 95/87 e), el Comité Ejecutivo examinó un documento sobre la puesta en funcionamiento de centros de pruebas de eficiencia energética.</w:t>
      </w:r>
      <w:r>
        <w:rPr>
          <w:rStyle w:val="FootnoteReference"/>
        </w:rPr>
        <w:footnoteReference w:id="8"/>
      </w:r>
      <w:r>
        <w:rPr>
          <w:sz w:val="20"/>
          <w:szCs w:val="20"/>
        </w:rPr>
        <w:t xml:space="preserve"> Tras debatir el asunto en el grupo de contacto sobre la puesta en funcionamiento de centros de excelencia para la refrigeración sostenible, el Comité Ejecutivo decidió considerar la posibilidad de proporcionar financiación para fortalecer o mejorar los centros de pruebas de eficiencia energética existentes en los países de fabricación, en el contexto de las propuestas formuladas o presentadas en virtud de la decisión 94/60, teniendo en cuenta la información proporcionada en el documento mencionado sobre el funcionamiento de los centros de pruebas de eficiencia energética. Pidió a la Secretaría del Fondo que preparara, para la 98ª reunión, un documento en el que se proporcione información adicional sobre la finalidad, el objetivo y la sostenibilidad de los nuevos centros de pruebas de eficiencia energética en países no fabricantes, identificando posiblemente una o más subregiones en las que se necesitarían tales centros para ayudar a los países que operan al amparo del Artículo 5 a cumplir las normas de eficiencia energética mínima elaboradas con apoyo del Fondo Multilateral (decisión 97/88).</w:t>
      </w:r>
    </w:p>
    <w:p w14:paraId="2FBB0D7A" w14:textId="04C5C63B" w:rsidR="00D96CD3" w:rsidRPr="00900B12" w:rsidRDefault="00292FAA" w:rsidP="005C1769">
      <w:pPr>
        <w:pStyle w:val="Heading3"/>
        <w:widowControl/>
        <w:numPr>
          <w:ilvl w:val="2"/>
          <w:numId w:val="16"/>
        </w:numPr>
        <w:ind w:left="1276" w:right="27" w:firstLine="0"/>
        <w:rPr>
          <w:sz w:val="20"/>
          <w:szCs w:val="20"/>
          <w:lang w:eastAsia="en-GB"/>
        </w:rPr>
      </w:pPr>
      <w:r>
        <w:rPr>
          <w:sz w:val="20"/>
          <w:szCs w:val="20"/>
        </w:rPr>
        <w:t>En la 98ª reunión, el Comité Ejecutivo examinó la información solicitada sobre nuevos centros de pruebas de eficiencia energética en países no fabricantes.</w:t>
      </w:r>
      <w:r>
        <w:rPr>
          <w:rStyle w:val="FootnoteReference"/>
        </w:rPr>
        <w:footnoteReference w:id="9"/>
      </w:r>
      <w:r>
        <w:rPr>
          <w:sz w:val="20"/>
          <w:szCs w:val="20"/>
        </w:rPr>
        <w:t xml:space="preserve"> Pidió a la Secretaría del Fondo y al PAC del PNUMA que, a través de las redes de dependencias nacionales del ozono y el proyecto de hermanamiento de eficiencia energética, y también con los organismos bilaterales y de ejecución interesados, continuaran las consultas sobre centros regionales de pruebas para ayudar a los países que operan al amparo del Artículo 5 a cumplir las normas de eficiencia energética mínima elaboradas con apoyo del Fondo Multilateral, teniendo en cuenta la información del documento UNEP/OzL.Pro/ExCom/98/59, así como las deliberaciones mantenidas por el Comité Ejecutivo en su 98ª reunión. También se pidió a la Secretaría del Fondo que preparara, en consulta con los organismos bilaterales y de ejecución, para la 102ª reunión, un informe actualizado sobre los centros regionales de pruebas de eficiencia energética, así como información sobre enfoques prácticos para superar los obstáculos detectados para esos centros, </w:t>
        <w:lastRenderedPageBreak/>
        <w:t>teniendo en cuenta los resultados de las consultas mencionadas y las deliberaciones de la 98ª reunión (decisión 98/60).</w:t>
      </w:r>
    </w:p>
    <w:p w14:paraId="3600BFD0" w14:textId="77777777" w:rsidR="0036103C" w:rsidRPr="00E36507" w:rsidRDefault="00C339F4" w:rsidP="0012559A">
      <w:pPr>
        <w:pStyle w:val="PlantillaESCH3"/>
        <w:tabs>
          <w:tab w:val="clear" w:pos="851"/>
          <w:tab w:val="clear" w:pos="1247"/>
          <w:tab w:val="left" w:pos="1253"/>
        </w:tabs>
        <w:ind w:left="1253" w:right="27" w:hanging="620"/>
        <w:jc w:val="both"/>
        <w:rPr>
          <w:lang w:val="es-ES"/>
        </w:rPr>
      </w:pPr>
      <w:r>
        <w:rPr>
          <w:lang w:val="es-ES"/>
        </w:rPr>
        <w:t>7.</w:t>
        <w:tab/>
        <w:t>Cuestión relacionada con los proyectos para usuarios finales presentados en el marco del fondo rotatorio para la eficiencia energética establecido en la decisión 95/87</w:t>
      </w:r>
    </w:p>
    <w:p w14:paraId="55CB54C5" w14:textId="77777777" w:rsidR="0036103C" w:rsidRPr="00900B12" w:rsidRDefault="0036103C" w:rsidP="005C1769">
      <w:pPr>
        <w:pStyle w:val="Heading3"/>
        <w:widowControl/>
        <w:numPr>
          <w:ilvl w:val="2"/>
          <w:numId w:val="16"/>
        </w:numPr>
        <w:ind w:left="1276" w:right="27" w:firstLine="0"/>
        <w:rPr>
          <w:sz w:val="20"/>
          <w:szCs w:val="20"/>
        </w:rPr>
      </w:pPr>
      <w:r>
        <w:rPr>
          <w:sz w:val="20"/>
          <w:szCs w:val="20"/>
        </w:rPr>
        <w:t>En la 98ª reunión, al examinar las solicitudes de financiación de proyectos presentados en el marco del fondo rotatorio para la eficiencia energética destinado a los usuarios finales establecido en la decisión 95/87,</w:t>
      </w:r>
      <w:r>
        <w:rPr>
          <w:rStyle w:val="FootnoteReference"/>
        </w:rPr>
        <w:footnoteReference w:id="10"/>
      </w:r>
      <w:r>
        <w:rPr>
          <w:sz w:val="20"/>
          <w:szCs w:val="20"/>
        </w:rPr>
        <w:t xml:space="preserve"> el Comité Ejecutivo decidió que el enfoque utilizado para la financiación relacionada con la asistencia técnica y los gastos de apoyo a los organismos en esos proyectos era excepcional, también en lo que respecta a si la asistencia técnica y los gastos de apoyo a los organismos formaban parte de los fondos devueltos al Fondo Multilateral, y no sentaría precedente para futuros proyectos. El Comité también pidió a la Secretaría que preparara, para su examen por el Comité Ejecutivo en su 99ª reunión, un formato para la presentación de informes sobre el desempeño de los proyectos aprobados (decisión 98/54).</w:t>
      </w:r>
    </w:p>
    <w:p w14:paraId="747FEAF8" w14:textId="5F964236" w:rsidR="00292FAA" w:rsidRPr="00E36507" w:rsidRDefault="0036103C" w:rsidP="0012559A">
      <w:pPr>
        <w:pStyle w:val="PlantillaESCH3"/>
        <w:tabs>
          <w:tab w:val="clear" w:pos="851"/>
          <w:tab w:val="clear" w:pos="1247"/>
          <w:tab w:val="left" w:pos="1253"/>
        </w:tabs>
        <w:ind w:left="1253" w:right="27" w:hanging="620"/>
        <w:jc w:val="both"/>
        <w:rPr>
          <w:lang w:val="es-ES"/>
        </w:rPr>
      </w:pPr>
      <w:r>
        <w:rPr>
          <w:lang w:val="es-ES"/>
        </w:rPr>
        <w:t>8.</w:t>
        <w:tab/>
        <w:t>Consideración del establecimiento de una ventana de financiación de conformidad con la decisión XXXV/11 de la 35ª Reunión de las Partes sobre la gestión del ciclo de vida de los refrigerantes</w:t>
      </w:r>
    </w:p>
    <w:p w14:paraId="6A663164" w14:textId="3BEF0D3C" w:rsidR="00292FAA" w:rsidRPr="00900B12" w:rsidRDefault="00292FAA" w:rsidP="005C1769">
      <w:pPr>
        <w:pStyle w:val="Heading3"/>
        <w:widowControl/>
        <w:numPr>
          <w:ilvl w:val="2"/>
          <w:numId w:val="16"/>
        </w:numPr>
        <w:ind w:left="1276" w:right="27" w:firstLine="0"/>
        <w:rPr>
          <w:sz w:val="20"/>
          <w:szCs w:val="20"/>
          <w:lang w:eastAsia="en-GB"/>
        </w:rPr>
      </w:pPr>
      <w:r>
        <w:rPr>
          <w:sz w:val="20"/>
          <w:szCs w:val="20"/>
        </w:rPr>
        <w:t>En su 97ª reunión, el Comité Ejecutivo examinó un informe preparado de conformidad con la decisión 93/104 sobre la gestión del ciclo de vida de los refrigerantes con miras a considerar el establecimiento de una ventana de financiación de conformidad con la decisión XXXV/11.</w:t>
      </w:r>
      <w:r>
        <w:rPr>
          <w:rStyle w:val="FootnoteReference"/>
        </w:rPr>
        <w:footnoteReference w:id="11"/>
      </w:r>
      <w:r>
        <w:rPr>
          <w:sz w:val="20"/>
          <w:szCs w:val="20"/>
        </w:rPr>
        <w:t xml:space="preserve"> Tras las deliberaciones de un grupo de contacto, el Comité decidió alentar a los organismos bilaterales y de ejecución a que intensificaran sus esfuerzos para ayudar a los países que operan al amparo del Artículo 5 a finalizar, tan pronto como fuera posible, los proyectos previstos en la decisión 91/66 sobre inventarios nacionales de bancos de sustancias controladas usadas o no deseadas y un plan para la recolección, transporte y eliminación de dichas sustancias, incluida la consideración del reciclado, la regeneración y la destrucción eficaz en función de los costos, y a presentar los informes finales y una copia de los inventarios nacionales y los planes de acción nacionales resultantes. Se pidió a la Secretaría del Fondo que actualizara, para la 99ª reunión, la información contenida en el informe en estudio a la luz de los proyectos de inventarios y planes nacionales terminados y otra información pertinente, inclusive sobre el movimiento de sustancias controladas para su destrucción o regeneración. También se pidió que preparara, para la 100ª reunión, un documento sobre modalidades de financiación, que incluyera elementos para un proyecto de directrices sobre costos para aplicar los planes elaborados de conformidad con la decisión 91/66, con miras a que el Comité considerara el establecimiento de una ventana de financiación de conformidad con la decisión XXXV/11, teniendo en cuenta la información proporcionada en el informe actualizado y las opiniones expresadas por el Comité Ejecutivo sobre dicho informe (decisión 97/89).</w:t>
      </w:r>
    </w:p>
    <w:p w14:paraId="6D81A88F" w14:textId="77777777" w:rsidR="00292FAA" w:rsidRPr="00900B12" w:rsidRDefault="00292FAA" w:rsidP="005C1769">
      <w:pPr>
        <w:pStyle w:val="Heading3"/>
        <w:widowControl/>
        <w:numPr>
          <w:ilvl w:val="2"/>
          <w:numId w:val="16"/>
        </w:numPr>
        <w:ind w:left="1276" w:right="27" w:firstLine="0"/>
        <w:rPr>
          <w:sz w:val="20"/>
          <w:szCs w:val="20"/>
          <w:lang w:eastAsia="en-GB"/>
        </w:rPr>
      </w:pPr>
      <w:r>
        <w:rPr>
          <w:sz w:val="20"/>
          <w:szCs w:val="20"/>
        </w:rPr>
        <w:t>En su 97ª reunión, el Comité Ejecutivo también examinó la posibilidad de ampliar la ventana de financiación, establecida en la decisión 91/66, para la preparación de inventarios nacionales de bancos de sustancias controladas usadas o no deseadas y de un plan para la recolección, transporte y eliminación de dichas sustancias.</w:t>
      </w:r>
      <w:r>
        <w:rPr>
          <w:rStyle w:val="FootnoteReference"/>
        </w:rPr>
        <w:footnoteReference w:id="12"/>
      </w:r>
      <w:r>
        <w:rPr>
          <w:sz w:val="20"/>
          <w:szCs w:val="20"/>
        </w:rPr>
        <w:t xml:space="preserve"> Tras deliberaciones en el pleno y consultas informales, el Comité Ejecutivo decidió no prorrogar la ventana de financiación (decisión 97/31).</w:t>
      </w:r>
    </w:p>
    <w:p w14:paraId="222C70FC" w14:textId="77777777" w:rsidR="00DF1A07" w:rsidRPr="00163A0B" w:rsidRDefault="00311533" w:rsidP="006C3909">
      <w:pPr>
        <w:pStyle w:val="PlantillaESCH3"/>
        <w:tabs>
          <w:tab w:val="clear" w:pos="851"/>
          <w:tab w:val="clear" w:pos="1247"/>
          <w:tab w:val="left" w:pos="1253"/>
        </w:tabs>
        <w:ind w:left="1253" w:right="27" w:hanging="620"/>
        <w:jc w:val="both"/>
        <w:rPr>
          <w:lang w:val="es-ES"/>
        </w:rPr>
      </w:pPr>
      <w:r>
        <w:rPr>
          <w:lang w:val="es-ES"/>
        </w:rPr>
        <w:t>9.</w:t>
        <w:tab/>
        <w:t>Dificultades para ejecutar proyectos de conversión en el sector de refrigeración, aire acondicionado y bombas de calor debido a problemas en la cadena de suministro y posibles formas de afrontarlas</w:t>
      </w:r>
    </w:p>
    <w:p w14:paraId="1DF730EA" w14:textId="77777777" w:rsidR="00E64332" w:rsidRPr="00900B12" w:rsidRDefault="00DF1A07" w:rsidP="005C1769">
      <w:pPr>
        <w:pStyle w:val="Heading3"/>
        <w:widowControl/>
        <w:numPr>
          <w:ilvl w:val="2"/>
          <w:numId w:val="16"/>
        </w:numPr>
        <w:ind w:left="1276" w:right="27" w:firstLine="0"/>
        <w:rPr>
          <w:sz w:val="20"/>
          <w:szCs w:val="20"/>
          <w:lang w:eastAsia="en-GB"/>
        </w:rPr>
      </w:pPr>
      <w:r>
        <w:rPr>
          <w:sz w:val="20"/>
          <w:szCs w:val="20"/>
        </w:rPr>
        <w:t>De conformidad con la decisión 96/59, en su 98ª reunión el Comité Ejecutivo examinó un documento sobre las dificultades para ejecutar proyectos de conversión en el sector de refrigeración, aire acondicionado y bombas de calor debido a problemas en la cadena de suministro y posibles formas de afrontarlas.</w:t>
      </w:r>
      <w:r>
        <w:rPr>
          <w:rStyle w:val="FootnoteReference"/>
        </w:rPr>
        <w:footnoteReference w:id="13"/>
      </w:r>
      <w:r>
        <w:rPr>
          <w:sz w:val="20"/>
          <w:szCs w:val="20"/>
        </w:rPr>
        <w:t xml:space="preserve"> Tras examinar el asunto en el pleno, y debido a la falta de tiempo en el grupo de contacto al que se remitió, el Comité Ejecutivo acordó aplazar su examen hasta la 99ª reunión.</w:t>
      </w:r>
    </w:p>
    <w:p w14:paraId="2F1C51C8" w14:textId="7941ED6A" w:rsidR="00292FAA" w:rsidRPr="00163A0B" w:rsidRDefault="00311533" w:rsidP="005C1769">
      <w:pPr>
        <w:pStyle w:val="PlantillaESCH3"/>
        <w:tabs>
          <w:tab w:val="clear" w:pos="851"/>
          <w:tab w:val="clear" w:pos="1247"/>
          <w:tab w:val="left" w:pos="1253"/>
        </w:tabs>
        <w:ind w:left="1253" w:right="27" w:hanging="620"/>
        <w:rPr>
          <w:lang w:val="es-ES"/>
        </w:rPr>
      </w:pPr>
      <w:r>
        <w:rPr>
          <w:lang w:val="es-ES"/>
        </w:rPr>
        <w:lastRenderedPageBreak/>
        <w:t>10.</w:t>
        <w:tab/>
        <w:t>Metodología utilizada para calcular los impactos climáticos de la ejecución de los planes de aplicación de la Enmienda de Kigali relativa a los HFC</w:t>
      </w:r>
    </w:p>
    <w:p w14:paraId="6C7A3826" w14:textId="566356BF" w:rsidR="00292FAA" w:rsidRPr="00163A0B" w:rsidRDefault="00292FAA" w:rsidP="005C1769">
      <w:pPr>
        <w:pStyle w:val="Heading3"/>
        <w:widowControl/>
        <w:numPr>
          <w:ilvl w:val="2"/>
          <w:numId w:val="16"/>
        </w:numPr>
        <w:ind w:left="1276" w:right="27" w:firstLine="0"/>
        <w:rPr>
          <w:sz w:val="20"/>
          <w:szCs w:val="20"/>
        </w:rPr>
      </w:pPr>
      <w:r>
        <w:rPr>
          <w:sz w:val="20"/>
          <w:szCs w:val="20"/>
        </w:rPr>
        <w:t xml:space="preserve">En su 97ª reunión, el Comité Ejecutivo discutió la metodología utilizada para calcular los impactos climáticos de la ejecución de los PAK.</w:t>
      </w:r>
      <w:r>
        <w:rPr>
          <w:rStyle w:val="FootnoteReference"/>
        </w:rPr>
        <w:footnoteReference w:id="14"/>
      </w:r>
      <w:r>
        <w:rPr>
          <w:sz w:val="20"/>
          <w:szCs w:val="20"/>
        </w:rPr>
        <w:t xml:space="preserve"> Tras las deliberaciones en el pleno y en un grupo de contacto, el Comité Ejecutivo acordó continuar, en su 98ª reunión, el examen de la cuestión de la metodología utilizada para calcular el impacto climático de la ejecución de los PAK, utilizando los documentos de trabajo anexos al informe de la 97ª reunión.</w:t>
      </w:r>
      <w:r>
        <w:rPr>
          <w:rStyle w:val="FootnoteReference"/>
        </w:rPr>
        <w:footnoteReference w:id="15"/>
      </w:r>
    </w:p>
    <w:p w14:paraId="27C9097C" w14:textId="7606B3A5" w:rsidR="00C339F4" w:rsidRPr="00163A0B" w:rsidRDefault="00292FAA" w:rsidP="005C1769">
      <w:pPr>
        <w:pStyle w:val="Heading3"/>
        <w:widowControl/>
        <w:numPr>
          <w:ilvl w:val="2"/>
          <w:numId w:val="16"/>
        </w:numPr>
        <w:ind w:left="1276" w:right="27" w:firstLine="0"/>
        <w:rPr>
          <w:sz w:val="20"/>
          <w:szCs w:val="20"/>
        </w:rPr>
      </w:pPr>
      <w:r>
        <w:rPr>
          <w:sz w:val="20"/>
          <w:szCs w:val="20"/>
        </w:rPr>
        <w:t>En la 98ª reunión, el Comité Ejecutivo continuó examinando la cuestión</w:t>
      </w:r>
      <w:r>
        <w:rPr>
          <w:rStyle w:val="FootnoteReference"/>
        </w:rPr>
        <w:footnoteReference w:id="16"/>
      </w:r>
      <w:r>
        <w:rPr>
          <w:sz w:val="20"/>
          <w:szCs w:val="20"/>
        </w:rPr>
        <w:t xml:space="preserve"> y, tras las deliberaciones en el pleno y en un grupo de contacto, decidió continuar sus deliberaciones en la 99ª reunión, sobre la base del documento de trabajo anexo al informe de la 98ª reunión</w:t>
      </w:r>
      <w:r>
        <w:rPr>
          <w:rStyle w:val="FootnoteReference"/>
        </w:rPr>
        <w:footnoteReference w:id="17"/>
      </w:r>
      <w:r>
        <w:rPr>
          <w:sz w:val="20"/>
          <w:szCs w:val="20"/>
        </w:rPr>
        <w:t xml:space="preserve"> (decisión 98/21).</w:t>
      </w:r>
    </w:p>
    <w:p w14:paraId="667DA14D" w14:textId="77777777" w:rsidR="00C339F4" w:rsidRPr="00163A0B" w:rsidRDefault="00C339F4" w:rsidP="0012559A">
      <w:pPr>
        <w:pStyle w:val="PlantillaESCH3"/>
        <w:tabs>
          <w:tab w:val="clear" w:pos="851"/>
          <w:tab w:val="clear" w:pos="1247"/>
          <w:tab w:val="left" w:pos="1253"/>
        </w:tabs>
        <w:ind w:left="1253" w:right="27" w:hanging="620"/>
        <w:jc w:val="both"/>
        <w:rPr>
          <w:lang w:val="es-ES"/>
        </w:rPr>
      </w:pPr>
      <w:r>
        <w:rPr>
          <w:lang w:val="es-ES"/>
        </w:rPr>
        <w:t>11.</w:t>
        <w:tab/>
        <w:t>Retención de fondos en caso de no presentación del informe de verificación junto con los tramos de los planes de aplicación de la Enmienda de Kigali relativa a los HFC</w:t>
      </w:r>
    </w:p>
    <w:p w14:paraId="7CA1FD35" w14:textId="119CA1F5" w:rsidR="00C339F4" w:rsidRPr="00900B12" w:rsidRDefault="00C339F4" w:rsidP="005C1769">
      <w:pPr>
        <w:pStyle w:val="Heading3"/>
        <w:widowControl/>
        <w:numPr>
          <w:ilvl w:val="2"/>
          <w:numId w:val="16"/>
        </w:numPr>
        <w:ind w:left="1276" w:right="27" w:firstLine="0"/>
        <w:rPr>
          <w:sz w:val="20"/>
          <w:szCs w:val="20"/>
        </w:rPr>
      </w:pPr>
      <w:r>
        <w:rPr>
          <w:sz w:val="20"/>
          <w:szCs w:val="20"/>
        </w:rPr>
        <w:t xml:space="preserve">En su 98ª reunión, tras examinar la cuestión de la retención de fondos en caso de no presentación del informe de verificación junto con los tramos de los PAK,</w:t>
      </w:r>
      <w:r>
        <w:rPr>
          <w:rStyle w:val="FootnoteReference"/>
        </w:rPr>
        <w:footnoteReference w:id="18"/>
      </w:r>
      <w:r>
        <w:rPr>
          <w:sz w:val="20"/>
          <w:szCs w:val="20"/>
        </w:rPr>
        <w:t xml:space="preserve"> el Comité Ejecutivo decidió ampliar la aplicación de la decisión 72/19, sobre la no presentación de informes de verificación junto con las solicitudes de tramos de los PGEH, a las solicitudes de tramos de los PAK presentadas a la primera reunión del año (decisión 98/22).</w:t>
      </w:r>
    </w:p>
    <w:p w14:paraId="6D7BCC38" w14:textId="77777777" w:rsidR="001D4217" w:rsidRPr="00900B12" w:rsidRDefault="001D4217" w:rsidP="005C1769">
      <w:pPr>
        <w:pStyle w:val="Heading1"/>
        <w:keepNext/>
        <w:numPr>
          <w:ilvl w:val="0"/>
          <w:numId w:val="0"/>
        </w:numPr>
        <w:ind w:left="1253" w:right="27" w:hanging="620"/>
        <w:rPr>
          <w:b/>
          <w:bCs/>
          <w:sz w:val="24"/>
          <w:szCs w:val="24"/>
        </w:rPr>
      </w:pPr>
      <w:r>
        <w:rPr>
          <w:b/>
          <w:bCs/>
          <w:sz w:val="24"/>
          <w:szCs w:val="24"/>
        </w:rPr>
        <w:t>B.</w:t>
        <w:tab/>
        <w:t>Demás cuestiones sobre políticas</w:t>
      </w:r>
    </w:p>
    <w:p w14:paraId="415664D3" w14:textId="77777777" w:rsidR="00755FD4" w:rsidRPr="00163A0B" w:rsidRDefault="004E1FE2" w:rsidP="00A2306E">
      <w:pPr>
        <w:pStyle w:val="PlantillaESCH3"/>
        <w:tabs>
          <w:tab w:val="clear" w:pos="851"/>
          <w:tab w:val="clear" w:pos="1247"/>
          <w:tab w:val="left" w:pos="1253"/>
        </w:tabs>
        <w:ind w:left="1253" w:right="27" w:hanging="620"/>
        <w:jc w:val="both"/>
        <w:rPr>
          <w:lang w:val="es-ES"/>
        </w:rPr>
      </w:pPr>
      <w:r>
        <w:rPr>
          <w:lang w:val="es-ES"/>
        </w:rPr>
        <w:t>1.</w:t>
        <w:tab/>
        <w:t>Cuestiones relacionadas con proyectos piloto para mejorar la vigilancia atmosférica regional de las sustancias controladas por el Protocolo de Montreal</w:t>
      </w:r>
    </w:p>
    <w:p w14:paraId="2A66BC75" w14:textId="77777777" w:rsidR="004E1FE2" w:rsidRPr="00900B12" w:rsidRDefault="00B424D3" w:rsidP="005C1769">
      <w:pPr>
        <w:pStyle w:val="Heading3"/>
        <w:widowControl/>
        <w:numPr>
          <w:ilvl w:val="2"/>
          <w:numId w:val="16"/>
        </w:numPr>
        <w:ind w:left="1276" w:right="27" w:firstLine="0"/>
        <w:rPr>
          <w:sz w:val="20"/>
          <w:szCs w:val="20"/>
          <w:lang w:eastAsia="en-GB"/>
        </w:rPr>
      </w:pPr>
      <w:r>
        <w:rPr>
          <w:sz w:val="20"/>
          <w:szCs w:val="20"/>
        </w:rPr>
        <w:t>De conformidad con la decisión 96/56, en la 98ª reunión el Comité Ejecutivo examinó un documento sobre cuestiones relacionadas con proyectos piloto para mejorar la vigilancia atmosférica regional de las sustancias controladas por el Protocolo de Montreal.</w:t>
      </w:r>
      <w:r>
        <w:rPr>
          <w:rStyle w:val="FootnoteReference"/>
        </w:rPr>
        <w:footnoteReference w:id="19"/>
      </w:r>
    </w:p>
    <w:p w14:paraId="4258AB1F" w14:textId="7E75F9FF" w:rsidR="005C7D9B" w:rsidRPr="00900B12" w:rsidRDefault="004E1FE2" w:rsidP="005C1769">
      <w:pPr>
        <w:pStyle w:val="Heading3"/>
        <w:widowControl/>
        <w:numPr>
          <w:ilvl w:val="2"/>
          <w:numId w:val="16"/>
        </w:numPr>
        <w:ind w:left="1276" w:right="27" w:firstLine="0"/>
        <w:rPr>
          <w:sz w:val="20"/>
          <w:szCs w:val="20"/>
          <w:lang w:eastAsia="en-GB"/>
        </w:rPr>
      </w:pPr>
      <w:r>
        <w:rPr>
          <w:sz w:val="20"/>
          <w:szCs w:val="20"/>
        </w:rPr>
        <w:t>Tras las deliberaciones en el pleno y en un grupo de contacto, el Comité Ejecutivo aprobó directrices para la preparación de proyectos piloto para mejorar la vigilancia atmosférica regional de las sustancias controladas por el Protocolo de Montreal; directrices para la ejecución de esos proyectos piloto; y un modelo de Acuerdo entre el Comité Ejecutivo y el país pertinente que opera al amparo del Artículo 5 para proyectos piloto destinados a establecer y poner en funcionamiento una estación regional de vigilancia atmosférica.</w:t>
      </w:r>
      <w:r>
        <w:rPr>
          <w:rStyle w:val="FootnoteReference"/>
        </w:rPr>
        <w:footnoteReference w:id="20"/>
      </w:r>
      <w:r>
        <w:rPr>
          <w:sz w:val="20"/>
          <w:szCs w:val="20"/>
        </w:rPr>
        <w:t xml:space="preserve"> El Comité estableció una ventana de financiación de USD 9.250.000 para tres proyectos piloto destinados a mejorar la vigilancia atmosférica regional de las sustancias controladas por el Protocolo de Montreal, incluidas actividades de preparación, ejecución y creación de capacidad.</w:t>
      </w:r>
      <w:r>
        <w:rPr>
          <w:rStyle w:val="FootnoteReference"/>
        </w:rPr>
        <w:footnoteReference w:id="21"/>
      </w:r>
      <w:r>
        <w:rPr>
          <w:sz w:val="20"/>
          <w:szCs w:val="20"/>
        </w:rPr>
        <w:t xml:space="preserve"> Pidió que las propuestas de preparación de proyectos en el marco de esa ventana de financiación se presentaran a la 102ª reunión y solicitó a la Secretaría del Fondo que, al examinar las propuestas, recabara el asesoramiento científico del Comité Asesor del Fondo Fiduciario General para la Financiación de Actividades de Investigación y Observaciones Sistemáticas de Interés para el Convenio de Viena para la Protección de la Capa de Ozono. El Comité Ejecutivo decidió, además, añadir a la ventana de financiación mencionada un monto de USD 1.800.000 para que continuaran funcionando tres estaciones de vigilancia atmosférica que se establecerían con el apoyo del Fondo Fiduciario General, en el entendimiento de que se presentarían al Comité Ejecutivo propuestas de proyectos para acceder a esa financiación.</w:t>
      </w:r>
    </w:p>
    <w:p w14:paraId="5EA99D33" w14:textId="77777777" w:rsidR="00755FD4" w:rsidRPr="00900B12" w:rsidRDefault="005C7D9B" w:rsidP="005C1769">
      <w:pPr>
        <w:pStyle w:val="Heading3"/>
        <w:widowControl/>
        <w:numPr>
          <w:ilvl w:val="2"/>
          <w:numId w:val="16"/>
        </w:numPr>
        <w:ind w:left="1276" w:right="27" w:firstLine="0"/>
        <w:rPr>
          <w:sz w:val="20"/>
          <w:szCs w:val="20"/>
          <w:lang w:eastAsia="en-GB"/>
        </w:rPr>
      </w:pPr>
      <w:r>
        <w:rPr>
          <w:sz w:val="20"/>
          <w:szCs w:val="20"/>
        </w:rPr>
        <w:t xml:space="preserve">El Comité Ejecutivo alentó a los países que operan al amparo del Artículo 5 a aprovechar los conocimientos especializados de la Organización Meteorológica Mundial (OMM), seleccionándola como organismo de ejecución principal o cooperante para los proyectos piloto destinados a mejorar la vigilancia atmosférica regional de las sustancias controladas por el Protocolo de Montreal. Se pidió a la Secretaría del Fondo que elaborara, en colaboración con la </w:t>
        <w:lastRenderedPageBreak/>
        <w:t>OMM, para su examen y aval por el Comité en su 99ª reunión, proyectos de acuerdos de dicho organismo con el Comité Ejecutivo y con la Tesorería, en consonancia con los Acuerdos entre el Comité y los organismos de ejecución y los Acuerdos entre los organismos de ejecución y la Tesorería.</w:t>
      </w:r>
    </w:p>
    <w:p w14:paraId="2C009EAC" w14:textId="7F52F394" w:rsidR="00755FD4" w:rsidRPr="00900B12" w:rsidRDefault="00755FD4" w:rsidP="005C1769">
      <w:pPr>
        <w:pStyle w:val="Heading3"/>
        <w:widowControl/>
        <w:numPr>
          <w:ilvl w:val="2"/>
          <w:numId w:val="16"/>
        </w:numPr>
        <w:ind w:left="1276" w:right="27" w:firstLine="0"/>
        <w:rPr>
          <w:sz w:val="20"/>
          <w:szCs w:val="20"/>
          <w:lang w:eastAsia="en-GB"/>
        </w:rPr>
      </w:pPr>
      <w:r>
        <w:rPr>
          <w:sz w:val="20"/>
          <w:szCs w:val="20"/>
        </w:rPr>
        <w:t>El Comité tomó nota de que los organismos bilaterales y de ejecución de los proyectos piloto para mejorar la vigilancia atmosférica regional de las sustancias controladas por el Protocolo de Montreal solicitarían el asesoramiento del Comité Asesor sobre la preparación y ejecución de dichos proyectos piloto y presentarían informes sobre su ejecución a la 107ª reunión, y de que la Secretaría del Fondo compartiría con el Comité Asesor la información pertinente de esos informes. El Comité Ejecutivo pidió a la Secretaría del Fondo que preparara, para la 107ª reunión, un documento con información actualizada sobre el estado de ejecución, las lecciones aprendidas y las recomendaciones, si las hubiera, derivadas de la ejecución de las propuestas de preparación de proyectos, así como un documento que expusiera las opciones relativas a la duración y la financiación de los costos adicionales recurrentes, teniendo en cuenta la información contenida en los informes mencionados de los organismos bilaterales y de ejecución sobre la ejecución de los proyectos piloto, así como otra información pertinente.</w:t>
      </w:r>
    </w:p>
    <w:p w14:paraId="2ED3EA9A" w14:textId="2288A157" w:rsidR="00755FD4" w:rsidRPr="00900B12" w:rsidRDefault="00755FD4" w:rsidP="005C1769">
      <w:pPr>
        <w:pStyle w:val="Heading3"/>
        <w:widowControl/>
        <w:numPr>
          <w:ilvl w:val="2"/>
          <w:numId w:val="16"/>
        </w:numPr>
        <w:ind w:left="1276" w:right="27" w:firstLine="0"/>
        <w:rPr>
          <w:sz w:val="20"/>
          <w:szCs w:val="20"/>
          <w:lang w:eastAsia="en-GB"/>
        </w:rPr>
      </w:pPr>
      <w:r>
        <w:rPr>
          <w:sz w:val="20"/>
          <w:szCs w:val="20"/>
        </w:rPr>
        <w:t>Se pidió a los organismos bilaterales y de ejecución que incluyeran en sus respectivos planes administrativos solicitudes de financiación, en el marco de la ventana de financiación de USD 9.250.000, para proyectos piloto destinados a mejorar la vigilancia atmosférica regional de las sustancias controladas por el Protocolo de Montreal, para los países que operan al amparo del Artículo 5 que desearan emprender esos proyectos (decisión 98/62).</w:t>
      </w:r>
    </w:p>
    <w:p w14:paraId="12DBDFAE" w14:textId="77777777" w:rsidR="004E1FE2" w:rsidRPr="00163A0B" w:rsidRDefault="00FD4856" w:rsidP="00EA690E">
      <w:pPr>
        <w:pStyle w:val="PlantillaESCH3"/>
        <w:tabs>
          <w:tab w:val="clear" w:pos="851"/>
          <w:tab w:val="clear" w:pos="1247"/>
          <w:tab w:val="left" w:pos="1253"/>
        </w:tabs>
        <w:ind w:left="1253" w:right="27" w:hanging="620"/>
        <w:jc w:val="both"/>
        <w:rPr>
          <w:lang w:val="es-ES"/>
        </w:rPr>
      </w:pPr>
      <w:r>
        <w:rPr>
          <w:lang w:val="es-ES"/>
        </w:rPr>
        <w:t>2.</w:t>
        <w:tab/>
        <w:t>Alternativas en la fabricación de espumas de poliuretano, con especial atención a las pequeñas y medianas empresas, en particular para aplicaciones de espumas pulverizadas y aislantes</w:t>
      </w:r>
    </w:p>
    <w:p w14:paraId="1820BF80" w14:textId="77777777" w:rsidR="004E1FE2" w:rsidRPr="00900B12" w:rsidRDefault="004E1FE2" w:rsidP="005C1769">
      <w:pPr>
        <w:pStyle w:val="Heading3"/>
        <w:widowControl/>
        <w:numPr>
          <w:ilvl w:val="2"/>
          <w:numId w:val="16"/>
        </w:numPr>
        <w:ind w:left="1276" w:right="27" w:firstLine="0"/>
        <w:rPr>
          <w:sz w:val="20"/>
          <w:szCs w:val="20"/>
          <w:lang w:eastAsia="en-GB"/>
        </w:rPr>
      </w:pPr>
      <w:r>
        <w:rPr>
          <w:sz w:val="20"/>
          <w:szCs w:val="20"/>
        </w:rPr>
        <w:t>En su 98ª reunión, de conformidad con la decisión 96/53 c), el Comité Ejecutivo examinó un informe actualizado sobre la cuestión de las alternativas en la fabricación de espumas de poliuretano, con especial atención a las pequeñas y medianas empresas, en particular para aplicaciones de espumas pulverizadas y aislantes.</w:t>
      </w:r>
      <w:r>
        <w:rPr>
          <w:rStyle w:val="FootnoteReference"/>
        </w:rPr>
        <w:footnoteReference w:id="22"/>
      </w:r>
      <w:r>
        <w:rPr>
          <w:sz w:val="20"/>
          <w:szCs w:val="20"/>
        </w:rPr>
        <w:t xml:space="preserve"> Tras las deliberaciones en el pleno, el Comité Ejecutivo pidió a la Secretaría del Fondo que actualizara su informe para su examen en la 100ª reunión (decisión 98/58).</w:t>
      </w:r>
    </w:p>
    <w:p w14:paraId="3B5F4833" w14:textId="77777777" w:rsidR="00C252B7" w:rsidRPr="00163A0B" w:rsidRDefault="00C252B7" w:rsidP="00EA690E">
      <w:pPr>
        <w:pStyle w:val="PlantillaESCH3"/>
        <w:tabs>
          <w:tab w:val="clear" w:pos="851"/>
          <w:tab w:val="clear" w:pos="1247"/>
          <w:tab w:val="left" w:pos="1253"/>
        </w:tabs>
        <w:ind w:left="1253" w:right="27" w:hanging="620"/>
        <w:jc w:val="both"/>
        <w:rPr>
          <w:lang w:val="es-ES"/>
        </w:rPr>
      </w:pPr>
      <w:r>
        <w:rPr>
          <w:lang w:val="es-ES"/>
        </w:rPr>
        <w:t>3.</w:t>
        <w:tab/>
        <w:t>Aplicación de la decisión XXXV/13 sobre la importación y exportación de equipos de refrigeración prohibidos</w:t>
      </w:r>
    </w:p>
    <w:p w14:paraId="516196EE" w14:textId="094C7CE1" w:rsidR="00C252B7" w:rsidRPr="00163A0B" w:rsidRDefault="00C252B7" w:rsidP="005C1769">
      <w:pPr>
        <w:pStyle w:val="Heading3"/>
        <w:widowControl/>
        <w:numPr>
          <w:ilvl w:val="2"/>
          <w:numId w:val="16"/>
        </w:numPr>
        <w:ind w:left="1276" w:right="27" w:firstLine="0"/>
        <w:rPr>
          <w:b/>
          <w:bCs/>
          <w:sz w:val="20"/>
          <w:szCs w:val="20"/>
        </w:rPr>
      </w:pPr>
      <w:r>
        <w:rPr>
          <w:sz w:val="20"/>
          <w:szCs w:val="20"/>
        </w:rPr>
        <w:t xml:space="preserve">En la 98ª reunión, el Comité Ejecutivo, teniendo en cuenta la decisión XXXV/13 sobre la importación y exportación de equipos de refrigeración prohibidos, recordó a los organismos bilaterales y de ejecución, así como a los países que operan al amparo del Artículo 5 a los que preocupaba un posible incumplimiento causado por la importación de equipos de refrigeración prohibidos, que podían incluir en las nuevas etapas de los PAK o los PGEH actividades para fortalecer las capacidades de prevención de dichas importaciones. También pidió a la Secretaría del Fondo que examinara con los organismos bilaterales y de ejecución cómo se habían ejecutado esas actividades hasta la fecha y cuáles eran las dificultades pertinentes que debían afrontarse, teniendo en cuenta las posibilidades de coordinación regional (decisión 98/63).</w:t>
      </w:r>
    </w:p>
    <w:p w14:paraId="27E81077" w14:textId="387C29A6" w:rsidR="00292FAA" w:rsidRPr="00163A0B" w:rsidRDefault="00C252B7" w:rsidP="00EA690E">
      <w:pPr>
        <w:pStyle w:val="PlantillaESCH3"/>
        <w:tabs>
          <w:tab w:val="clear" w:pos="851"/>
          <w:tab w:val="clear" w:pos="1247"/>
          <w:tab w:val="left" w:pos="1253"/>
        </w:tabs>
        <w:ind w:left="1253" w:right="27" w:hanging="620"/>
        <w:jc w:val="both"/>
        <w:rPr>
          <w:lang w:val="es-ES"/>
        </w:rPr>
      </w:pPr>
      <w:r>
        <w:rPr>
          <w:lang w:val="es-ES"/>
        </w:rPr>
        <w:t>4.</w:t>
        <w:tab/>
        <w:t>Evaluación de la posibilidad de integrar la presentación de informes de terminación de proyectos e informes finales detallados de los proyectos</w:t>
      </w:r>
    </w:p>
    <w:p w14:paraId="0CCC5D35" w14:textId="77777777" w:rsidR="00292FAA" w:rsidRPr="00163A0B" w:rsidRDefault="00292FAA" w:rsidP="005C1769">
      <w:pPr>
        <w:pStyle w:val="Heading3"/>
        <w:widowControl/>
        <w:numPr>
          <w:ilvl w:val="2"/>
          <w:numId w:val="16"/>
        </w:numPr>
        <w:ind w:left="1276" w:right="27" w:firstLine="0"/>
        <w:rPr>
          <w:sz w:val="20"/>
          <w:szCs w:val="20"/>
        </w:rPr>
      </w:pPr>
      <w:r>
        <w:rPr>
          <w:sz w:val="20"/>
          <w:szCs w:val="20"/>
        </w:rPr>
        <w:t>En la 97ª reunión, de conformidad con la decisión 95/91 e), el Comité Ejecutivo examinó la posibilidad de integrar la presentación de informes mediante informes de terminación de proyectos e informes finales detallados de los proyectos.</w:t>
      </w:r>
      <w:r>
        <w:rPr>
          <w:rStyle w:val="FootnoteReference"/>
        </w:rPr>
        <w:footnoteReference w:id="23"/>
      </w:r>
      <w:r>
        <w:rPr>
          <w:sz w:val="20"/>
          <w:szCs w:val="20"/>
        </w:rPr>
        <w:t xml:space="preserve"> Decidió continuar con la práctica actual de presentación de informes finales por parte de los organismos bilaterales y de ejecución para diferentes tipos de proyectos, excepto para proyectos individuales de demostración o piloto, como se refleja en el cuadro 1, sobre los requisitos de presentación de informes finales por tipo de proyecto, del documento UNEP/OzL.Pro/ExCom/97/88. Para los proyectos de demostración o piloto, en los que se requería un informe final detallado, pidió a la Secretaría del Fondo que, al elaborar el formato de los informes finales, lo alineara con el formato universal para los informes de terminación de proyectos, cuando correspondiera, observando que ya no se requeriría la </w:t>
        <w:lastRenderedPageBreak/>
        <w:t>presentación por separado de un informe de terminación de proyecto para ese tipo de proyectos (decisión 97/90).</w:t>
      </w:r>
    </w:p>
    <w:p w14:paraId="172061AB" w14:textId="373FC21C" w:rsidR="00292FAA" w:rsidRPr="00163A0B" w:rsidRDefault="00FD4856" w:rsidP="009223DF">
      <w:pPr>
        <w:pStyle w:val="PlantillaESCH3"/>
        <w:tabs>
          <w:tab w:val="clear" w:pos="851"/>
          <w:tab w:val="clear" w:pos="1247"/>
          <w:tab w:val="left" w:pos="1253"/>
        </w:tabs>
        <w:ind w:left="1253" w:right="27" w:hanging="620"/>
        <w:jc w:val="both"/>
        <w:rPr>
          <w:lang w:val="es-ES"/>
        </w:rPr>
      </w:pPr>
      <w:r>
        <w:rPr>
          <w:lang w:val="es-ES"/>
        </w:rPr>
        <w:t>5.</w:t>
        <w:tab/>
        <w:t>Informe intermedio sobre la marcha de las actividades relativo a la aplicación del marco de resultados</w:t>
      </w:r>
    </w:p>
    <w:p w14:paraId="504FA56D" w14:textId="77777777" w:rsidR="00292FAA" w:rsidRPr="00163A0B" w:rsidRDefault="00292FAA" w:rsidP="005C1769">
      <w:pPr>
        <w:pStyle w:val="Heading3"/>
        <w:widowControl/>
        <w:numPr>
          <w:ilvl w:val="2"/>
          <w:numId w:val="16"/>
        </w:numPr>
        <w:ind w:left="1276" w:right="27" w:firstLine="0"/>
        <w:rPr>
          <w:sz w:val="20"/>
          <w:szCs w:val="20"/>
        </w:rPr>
      </w:pPr>
      <w:r>
        <w:rPr>
          <w:sz w:val="20"/>
          <w:szCs w:val="20"/>
        </w:rPr>
        <w:t>En la 97ª reunión, el Comité Ejecutivo examinó, de conformidad con la decisión 93/97 c), y tomó nota de un informe intermedio sobre la marcha de las actividades relativo a la aplicación del marco de resultados.</w:t>
      </w:r>
      <w:r>
        <w:rPr>
          <w:rStyle w:val="FootnoteReference"/>
        </w:rPr>
        <w:footnoteReference w:id="24"/>
      </w:r>
    </w:p>
    <w:p w14:paraId="1A8A2B4E" w14:textId="31784B67" w:rsidR="00292FAA" w:rsidRPr="00163A0B" w:rsidRDefault="00FD4856" w:rsidP="005C1769">
      <w:pPr>
        <w:pStyle w:val="PlantillaESCH3"/>
        <w:tabs>
          <w:tab w:val="clear" w:pos="851"/>
          <w:tab w:val="clear" w:pos="1247"/>
          <w:tab w:val="left" w:pos="1253"/>
        </w:tabs>
        <w:ind w:left="1253" w:right="27" w:hanging="620"/>
        <w:rPr>
          <w:lang w:val="es-ES"/>
        </w:rPr>
      </w:pPr>
      <w:r>
        <w:rPr>
          <w:lang w:val="es-ES"/>
        </w:rPr>
        <w:t>6.</w:t>
        <w:tab/>
        <w:t>Subgrupo sobre el sector de producción</w:t>
      </w:r>
    </w:p>
    <w:p w14:paraId="41AC079B" w14:textId="0C2B4BD1" w:rsidR="00292FAA" w:rsidRPr="00163A0B" w:rsidRDefault="00292FAA" w:rsidP="005C1769">
      <w:pPr>
        <w:pStyle w:val="Heading3"/>
        <w:widowControl/>
        <w:numPr>
          <w:ilvl w:val="2"/>
          <w:numId w:val="16"/>
        </w:numPr>
        <w:ind w:left="1276" w:right="27" w:firstLine="0"/>
        <w:rPr>
          <w:sz w:val="20"/>
          <w:szCs w:val="20"/>
        </w:rPr>
      </w:pPr>
      <w:r>
        <w:rPr>
          <w:sz w:val="20"/>
          <w:szCs w:val="20"/>
        </w:rPr>
        <w:t>El Subgrupo sobre el sector de producción se reunió paralelamente a la 97ª reunión y redactó un informe.</w:t>
      </w:r>
      <w:r>
        <w:rPr>
          <w:rStyle w:val="FootnoteReference"/>
        </w:rPr>
        <w:footnoteReference w:id="25"/>
      </w:r>
      <w:r>
        <w:rPr>
          <w:sz w:val="20"/>
          <w:szCs w:val="20"/>
        </w:rPr>
        <w:t xml:space="preserve"> El Comité Ejecutivo tomó nota del informe de verificación para 2024 del sector de producción de HCFC en China considerado por el Subgrupo sobre el sector de producción. El Comité pidió al Banco Mundial que incluyera varios elementos en la verificación de la producción de HCFC de 2025 y que verificara, por una sola vez, varias líneas de producción instaladas recientemente y presentara informes al respecto en futuras reuniones. El Comité Ejecutivo, a través del Subgrupo, tenía previsto seguir examinando la cuestión de los HCFC en los residuos de alto punto de ebullición en la 98ª reunión (decisión 97/91).</w:t>
      </w:r>
    </w:p>
    <w:p w14:paraId="7FACAEF4" w14:textId="0A97AEDE" w:rsidR="00292FAA" w:rsidRPr="00163A0B" w:rsidRDefault="007A3A4C" w:rsidP="005C1769">
      <w:pPr>
        <w:pStyle w:val="Heading3"/>
        <w:widowControl/>
        <w:numPr>
          <w:ilvl w:val="2"/>
          <w:numId w:val="16"/>
        </w:numPr>
        <w:ind w:left="1276" w:right="27" w:firstLine="0"/>
        <w:rPr>
          <w:sz w:val="20"/>
          <w:szCs w:val="20"/>
        </w:rPr>
      </w:pPr>
      <w:r>
        <w:rPr>
          <w:sz w:val="20"/>
          <w:szCs w:val="20"/>
        </w:rPr>
        <w:t>Sin embargo, debido a las limitaciones de tiempo, el Subgrupo sobre el sector de producción no se reunió durante la 98ª reunión.</w:t>
      </w:r>
    </w:p>
    <w:p w14:paraId="1EC0CB31" w14:textId="77777777" w:rsidR="001D4217" w:rsidRPr="00DE1C8B" w:rsidRDefault="001D4217" w:rsidP="005C1769">
      <w:pPr>
        <w:keepNext/>
        <w:spacing w:after="240"/>
        <w:ind w:left="1253" w:right="27" w:hanging="620"/>
        <w:jc w:val="left"/>
        <w:outlineLvl w:val="1"/>
        <w:rPr>
          <w:b/>
          <w:bCs/>
          <w:sz w:val="24"/>
          <w:szCs w:val="24"/>
        </w:rPr>
      </w:pPr>
      <w:r>
        <w:rPr>
          <w:b/>
          <w:bCs/>
          <w:sz w:val="24"/>
          <w:szCs w:val="24"/>
        </w:rPr>
        <w:t>C.</w:t>
        <w:tab/>
        <w:t>Proyectos, ejecución y supervisión</w:t>
      </w:r>
    </w:p>
    <w:p w14:paraId="653FD6B6" w14:textId="77777777" w:rsidR="001D4217" w:rsidRPr="00163A0B" w:rsidRDefault="001D4217" w:rsidP="005C1769">
      <w:pPr>
        <w:pStyle w:val="PlantillaESCH3"/>
        <w:tabs>
          <w:tab w:val="clear" w:pos="851"/>
          <w:tab w:val="clear" w:pos="1247"/>
          <w:tab w:val="left" w:pos="1253"/>
        </w:tabs>
        <w:ind w:left="1253" w:right="27" w:hanging="620"/>
        <w:rPr>
          <w:lang w:val="es-ES"/>
        </w:rPr>
      </w:pPr>
      <w:r>
        <w:rPr>
          <w:lang w:val="es-ES"/>
        </w:rPr>
        <w:t>1.</w:t>
        <w:tab/>
        <w:t>Aprobaciones realizadas durante el período de referencia</w:t>
      </w:r>
    </w:p>
    <w:p w14:paraId="5D1D01FF" w14:textId="018C718D" w:rsidR="00511DA2" w:rsidRPr="00163A0B" w:rsidRDefault="00511DA2" w:rsidP="005C1769">
      <w:pPr>
        <w:pStyle w:val="Heading3"/>
        <w:widowControl/>
        <w:numPr>
          <w:ilvl w:val="2"/>
          <w:numId w:val="16"/>
        </w:numPr>
        <w:ind w:left="1276" w:right="27" w:firstLine="0"/>
        <w:rPr>
          <w:sz w:val="20"/>
          <w:szCs w:val="20"/>
        </w:rPr>
      </w:pPr>
      <w:r>
        <w:rPr>
          <w:sz w:val="20"/>
          <w:szCs w:val="20"/>
        </w:rPr>
        <w:t>Durante el período que abarca el informe, el Comité Ejecutivo aprobó un total de 370 proyectos y actividades adicionales, con una eliminación prevista de 1.108 toneladas PAO de producción y consumo de HCFC y 7.519 toneladas (14.763.570 toneladas equivalentes de dióxido de carbono) de consumo de HFC, por un monto total de USD 211.449.160, incluidos USD 20.645.848 en gastos de apoyo a los organismos, como se indica en el cuadro 1 a continuación.</w:t>
      </w:r>
    </w:p>
    <w:p w14:paraId="3CE27378" w14:textId="77777777" w:rsidR="00511DA2" w:rsidRPr="00163A0B" w:rsidRDefault="00511DA2" w:rsidP="005C1769">
      <w:pPr>
        <w:keepNext/>
        <w:ind w:left="624" w:right="27" w:firstLine="624"/>
        <w:rPr>
          <w:sz w:val="20"/>
          <w:szCs w:val="20"/>
        </w:rPr>
      </w:pPr>
      <w:r>
        <w:rPr>
          <w:sz w:val="20"/>
          <w:szCs w:val="20"/>
        </w:rPr>
        <w:t>Cuadro 1</w:t>
      </w:r>
    </w:p>
    <w:p w14:paraId="5674A8A5" w14:textId="77777777" w:rsidR="00511DA2" w:rsidRPr="00163A0B" w:rsidRDefault="00511DA2" w:rsidP="005C1769">
      <w:pPr>
        <w:keepNext/>
        <w:ind w:left="624" w:right="27" w:firstLine="624"/>
        <w:rPr>
          <w:b/>
          <w:bCs/>
          <w:sz w:val="20"/>
          <w:szCs w:val="20"/>
        </w:rPr>
      </w:pPr>
      <w:r>
        <w:rPr>
          <w:b/>
          <w:bCs/>
          <w:sz w:val="20"/>
          <w:szCs w:val="20"/>
        </w:rPr>
        <w:t>Fondos aprobados durante el período de referencia, por organismo</w:t>
      </w:r>
    </w:p>
    <w:tbl>
      <w:tblPr>
        <w:tblW w:w="7724" w:type="dxa"/>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9"/>
        <w:gridCol w:w="2045"/>
        <w:gridCol w:w="2250"/>
        <w:gridCol w:w="1710"/>
      </w:tblGrid>
      <w:tr w:rsidR="00511DA2" w:rsidRPr="00900B12" w14:paraId="25C0E585" w14:textId="77777777" w:rsidTr="0025303E">
        <w:trPr>
          <w:trHeight w:val="179"/>
        </w:trPr>
        <w:tc>
          <w:tcPr>
            <w:tcW w:w="1719" w:type="dxa"/>
            <w:noWrap/>
            <w:hideMark/>
          </w:tcPr>
          <w:p w14:paraId="5476AAEA" w14:textId="77777777" w:rsidR="00511DA2" w:rsidRPr="00163A0B" w:rsidRDefault="00511DA2" w:rsidP="005C1769">
            <w:pPr>
              <w:keepNext/>
              <w:ind w:right="27"/>
              <w:jc w:val="left"/>
              <w:rPr>
                <w:rFonts w:asciiTheme="majorBidi" w:hAnsiTheme="majorBidi" w:cstheme="majorBidi"/>
                <w:b/>
                <w:bCs/>
                <w:color w:val="000000"/>
                <w:sz w:val="20"/>
                <w:szCs w:val="20"/>
              </w:rPr>
            </w:pPr>
            <w:r>
              <w:rPr>
                <w:rFonts w:asciiTheme="majorBidi" w:hAnsiTheme="majorBidi" w:cstheme="majorBidi"/>
                <w:b/>
                <w:bCs/>
                <w:color w:val="000000"/>
                <w:sz w:val="20"/>
                <w:szCs w:val="20"/>
              </w:rPr>
              <w:t>Organismo</w:t>
            </w:r>
          </w:p>
        </w:tc>
        <w:tc>
          <w:tcPr>
            <w:tcW w:w="2045" w:type="dxa"/>
            <w:noWrap/>
            <w:hideMark/>
          </w:tcPr>
          <w:p w14:paraId="6787BF34" w14:textId="77777777" w:rsidR="00511DA2" w:rsidRPr="00163A0B" w:rsidRDefault="00511DA2" w:rsidP="007711D8">
            <w:pPr>
              <w:keepNext/>
              <w:ind w:right="27"/>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Fondos aprobados (USD)</w:t>
            </w:r>
          </w:p>
        </w:tc>
        <w:tc>
          <w:tcPr>
            <w:tcW w:w="2250" w:type="dxa"/>
            <w:noWrap/>
            <w:hideMark/>
          </w:tcPr>
          <w:p w14:paraId="5DBF12D1" w14:textId="591711CC" w:rsidR="00511DA2" w:rsidRPr="00163A0B" w:rsidRDefault="00511DA2" w:rsidP="007711D8">
            <w:pPr>
              <w:keepNext/>
              <w:ind w:right="27"/>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Gastos de apoyo a los organismos (USD)</w:t>
            </w:r>
          </w:p>
        </w:tc>
        <w:tc>
          <w:tcPr>
            <w:tcW w:w="1710" w:type="dxa"/>
            <w:hideMark/>
          </w:tcPr>
          <w:p w14:paraId="0641CF78" w14:textId="77777777" w:rsidR="00511DA2" w:rsidRPr="00163A0B" w:rsidRDefault="00511DA2" w:rsidP="005C1769">
            <w:pPr>
              <w:keepNext/>
              <w:ind w:right="27"/>
              <w:jc w:val="right"/>
              <w:rPr>
                <w:rFonts w:asciiTheme="majorBidi" w:hAnsiTheme="majorBidi" w:cstheme="majorBidi"/>
                <w:b/>
                <w:bCs/>
                <w:color w:val="000000"/>
                <w:sz w:val="20"/>
                <w:szCs w:val="20"/>
              </w:rPr>
            </w:pPr>
            <w:r>
              <w:rPr>
                <w:rFonts w:asciiTheme="majorBidi" w:hAnsiTheme="majorBidi" w:cstheme="majorBidi"/>
                <w:b/>
                <w:bCs/>
                <w:color w:val="000000"/>
                <w:sz w:val="20"/>
                <w:szCs w:val="20"/>
              </w:rPr>
              <w:t>Total (USD)</w:t>
            </w:r>
          </w:p>
        </w:tc>
      </w:tr>
      <w:tr w:rsidR="005A1F01" w:rsidRPr="00900B12" w14:paraId="21D4E742" w14:textId="77777777" w:rsidTr="0025303E">
        <w:trPr>
          <w:trHeight w:val="95"/>
        </w:trPr>
        <w:tc>
          <w:tcPr>
            <w:tcW w:w="1719" w:type="dxa"/>
            <w:noWrap/>
            <w:hideMark/>
          </w:tcPr>
          <w:p w14:paraId="7431D842" w14:textId="77777777" w:rsidR="005A1F01" w:rsidRPr="00163A0B" w:rsidRDefault="005A1F01" w:rsidP="005C1769">
            <w:pPr>
              <w:keepNext/>
              <w:ind w:right="27"/>
              <w:jc w:val="left"/>
              <w:rPr>
                <w:rFonts w:asciiTheme="majorBidi" w:hAnsiTheme="majorBidi" w:cstheme="majorBidi"/>
                <w:color w:val="000000"/>
                <w:sz w:val="20"/>
                <w:szCs w:val="20"/>
              </w:rPr>
            </w:pPr>
            <w:r>
              <w:rPr>
                <w:sz w:val="20"/>
                <w:szCs w:val="20"/>
              </w:rPr>
              <w:t>Bilateral</w:t>
            </w:r>
          </w:p>
        </w:tc>
        <w:tc>
          <w:tcPr>
            <w:tcW w:w="2045" w:type="dxa"/>
            <w:noWrap/>
            <w:hideMark/>
          </w:tcPr>
          <w:p w14:paraId="37425DFA" w14:textId="4A009B27" w:rsidR="005A1F01" w:rsidRPr="00163A0B" w:rsidRDefault="005A1F01" w:rsidP="005C1769">
            <w:pPr>
              <w:keepNext/>
              <w:ind w:right="27"/>
              <w:jc w:val="right"/>
              <w:rPr>
                <w:rFonts w:asciiTheme="majorBidi" w:hAnsiTheme="majorBidi" w:cstheme="majorBidi"/>
                <w:i/>
                <w:iCs/>
                <w:color w:val="000000"/>
                <w:sz w:val="20"/>
                <w:szCs w:val="20"/>
              </w:rPr>
            </w:pPr>
            <w:r>
              <w:rPr>
                <w:sz w:val="20"/>
                <w:szCs w:val="20"/>
              </w:rPr>
              <w:t>3.442.546</w:t>
            </w:r>
          </w:p>
        </w:tc>
        <w:tc>
          <w:tcPr>
            <w:tcW w:w="2250" w:type="dxa"/>
            <w:noWrap/>
            <w:hideMark/>
          </w:tcPr>
          <w:p w14:paraId="081C1F5C" w14:textId="52172D02" w:rsidR="005A1F01" w:rsidRPr="00163A0B" w:rsidRDefault="005A1F01" w:rsidP="005C1769">
            <w:pPr>
              <w:keepNext/>
              <w:ind w:right="27"/>
              <w:jc w:val="right"/>
              <w:rPr>
                <w:rFonts w:asciiTheme="majorBidi" w:hAnsiTheme="majorBidi" w:cstheme="majorBidi"/>
                <w:color w:val="000000"/>
                <w:sz w:val="20"/>
                <w:szCs w:val="20"/>
              </w:rPr>
            </w:pPr>
            <w:r>
              <w:rPr>
                <w:sz w:val="20"/>
                <w:szCs w:val="20"/>
              </w:rPr>
              <w:t>421.461</w:t>
            </w:r>
          </w:p>
        </w:tc>
        <w:tc>
          <w:tcPr>
            <w:tcW w:w="1710" w:type="dxa"/>
            <w:noWrap/>
            <w:hideMark/>
          </w:tcPr>
          <w:p w14:paraId="39EBB03D" w14:textId="5E2683AF" w:rsidR="005A1F01" w:rsidRPr="00163A0B" w:rsidRDefault="005A1F01" w:rsidP="005C1769">
            <w:pPr>
              <w:keepNext/>
              <w:ind w:right="27"/>
              <w:jc w:val="right"/>
              <w:rPr>
                <w:rFonts w:asciiTheme="majorBidi" w:hAnsiTheme="majorBidi" w:cstheme="majorBidi"/>
                <w:color w:val="000000"/>
                <w:sz w:val="20"/>
                <w:szCs w:val="20"/>
              </w:rPr>
            </w:pPr>
            <w:r>
              <w:rPr>
                <w:sz w:val="20"/>
                <w:szCs w:val="20"/>
              </w:rPr>
              <w:t>3.864.007</w:t>
            </w:r>
          </w:p>
        </w:tc>
      </w:tr>
      <w:tr w:rsidR="005A1F01" w:rsidRPr="00900B12" w14:paraId="4C972F51" w14:textId="77777777" w:rsidTr="0025303E">
        <w:trPr>
          <w:trHeight w:val="170"/>
        </w:trPr>
        <w:tc>
          <w:tcPr>
            <w:tcW w:w="1719" w:type="dxa"/>
            <w:noWrap/>
            <w:hideMark/>
          </w:tcPr>
          <w:p w14:paraId="7FB8934F" w14:textId="77777777" w:rsidR="005A1F01" w:rsidRPr="00163A0B" w:rsidRDefault="005A1F01" w:rsidP="005C1769">
            <w:pPr>
              <w:keepNext/>
              <w:ind w:right="27"/>
              <w:jc w:val="left"/>
              <w:rPr>
                <w:rFonts w:asciiTheme="majorBidi" w:hAnsiTheme="majorBidi" w:cstheme="majorBidi"/>
                <w:color w:val="000000"/>
                <w:sz w:val="20"/>
                <w:szCs w:val="20"/>
              </w:rPr>
            </w:pPr>
            <w:r>
              <w:rPr>
                <w:sz w:val="20"/>
                <w:szCs w:val="20"/>
              </w:rPr>
              <w:t>PNUD</w:t>
            </w:r>
          </w:p>
        </w:tc>
        <w:tc>
          <w:tcPr>
            <w:tcW w:w="2045" w:type="dxa"/>
            <w:noWrap/>
            <w:hideMark/>
          </w:tcPr>
          <w:p w14:paraId="66F830B6" w14:textId="4F947949" w:rsidR="005A1F01" w:rsidRPr="00163A0B" w:rsidRDefault="005A1F01" w:rsidP="005C1769">
            <w:pPr>
              <w:keepNext/>
              <w:ind w:right="27"/>
              <w:jc w:val="right"/>
              <w:rPr>
                <w:rFonts w:asciiTheme="majorBidi" w:hAnsiTheme="majorBidi" w:cstheme="majorBidi"/>
                <w:color w:val="000000"/>
                <w:sz w:val="20"/>
                <w:szCs w:val="20"/>
              </w:rPr>
            </w:pPr>
            <w:r>
              <w:rPr>
                <w:sz w:val="20"/>
                <w:szCs w:val="20"/>
              </w:rPr>
              <w:t>60.287.691</w:t>
            </w:r>
          </w:p>
        </w:tc>
        <w:tc>
          <w:tcPr>
            <w:tcW w:w="2250" w:type="dxa"/>
            <w:noWrap/>
            <w:hideMark/>
          </w:tcPr>
          <w:p w14:paraId="5A71AF6D" w14:textId="7E3728C9" w:rsidR="005A1F01" w:rsidRPr="00163A0B" w:rsidRDefault="005A1F01" w:rsidP="005C1769">
            <w:pPr>
              <w:keepNext/>
              <w:ind w:right="27"/>
              <w:jc w:val="right"/>
              <w:rPr>
                <w:rFonts w:asciiTheme="majorBidi" w:hAnsiTheme="majorBidi" w:cstheme="majorBidi"/>
                <w:color w:val="000000"/>
                <w:sz w:val="20"/>
                <w:szCs w:val="20"/>
              </w:rPr>
            </w:pPr>
            <w:r>
              <w:rPr>
                <w:sz w:val="20"/>
                <w:szCs w:val="20"/>
              </w:rPr>
              <w:t>6.631.382</w:t>
            </w:r>
          </w:p>
        </w:tc>
        <w:tc>
          <w:tcPr>
            <w:tcW w:w="1710" w:type="dxa"/>
            <w:noWrap/>
            <w:hideMark/>
          </w:tcPr>
          <w:p w14:paraId="5663C55C" w14:textId="036FE0E4" w:rsidR="005A1F01" w:rsidRPr="00163A0B" w:rsidRDefault="005A1F01" w:rsidP="005C1769">
            <w:pPr>
              <w:keepNext/>
              <w:ind w:right="27"/>
              <w:jc w:val="right"/>
              <w:rPr>
                <w:rFonts w:asciiTheme="majorBidi" w:hAnsiTheme="majorBidi" w:cstheme="majorBidi"/>
                <w:color w:val="000000"/>
                <w:sz w:val="20"/>
                <w:szCs w:val="20"/>
              </w:rPr>
            </w:pPr>
            <w:r>
              <w:rPr>
                <w:sz w:val="20"/>
                <w:szCs w:val="20"/>
              </w:rPr>
              <w:t>66.919.073</w:t>
            </w:r>
          </w:p>
        </w:tc>
      </w:tr>
      <w:tr w:rsidR="005A1F01" w:rsidRPr="00900B12" w14:paraId="2DEB0AF3" w14:textId="77777777" w:rsidTr="0025303E">
        <w:trPr>
          <w:trHeight w:val="179"/>
        </w:trPr>
        <w:tc>
          <w:tcPr>
            <w:tcW w:w="1719" w:type="dxa"/>
            <w:noWrap/>
            <w:hideMark/>
          </w:tcPr>
          <w:p w14:paraId="5EFF088C" w14:textId="77777777" w:rsidR="005A1F01" w:rsidRPr="00163A0B" w:rsidRDefault="005A1F01" w:rsidP="005C1769">
            <w:pPr>
              <w:keepNext/>
              <w:ind w:right="27"/>
              <w:jc w:val="left"/>
              <w:rPr>
                <w:rFonts w:asciiTheme="majorBidi" w:hAnsiTheme="majorBidi" w:cstheme="majorBidi"/>
                <w:color w:val="000000"/>
                <w:sz w:val="20"/>
                <w:szCs w:val="20"/>
              </w:rPr>
            </w:pPr>
            <w:r>
              <w:rPr>
                <w:sz w:val="20"/>
                <w:szCs w:val="20"/>
              </w:rPr>
              <w:t>PNUMA</w:t>
            </w:r>
          </w:p>
        </w:tc>
        <w:tc>
          <w:tcPr>
            <w:tcW w:w="2045" w:type="dxa"/>
            <w:noWrap/>
            <w:hideMark/>
          </w:tcPr>
          <w:p w14:paraId="78F7BFB1" w14:textId="028514DE" w:rsidR="005A1F01" w:rsidRPr="00163A0B" w:rsidRDefault="005A1F01" w:rsidP="005C1769">
            <w:pPr>
              <w:keepNext/>
              <w:ind w:right="27"/>
              <w:jc w:val="right"/>
              <w:rPr>
                <w:rFonts w:asciiTheme="majorBidi" w:hAnsiTheme="majorBidi" w:cstheme="majorBidi"/>
                <w:color w:val="000000"/>
                <w:sz w:val="20"/>
                <w:szCs w:val="20"/>
              </w:rPr>
            </w:pPr>
            <w:r>
              <w:rPr>
                <w:sz w:val="20"/>
                <w:szCs w:val="20"/>
              </w:rPr>
              <w:t>26.706.692</w:t>
            </w:r>
          </w:p>
        </w:tc>
        <w:tc>
          <w:tcPr>
            <w:tcW w:w="2250" w:type="dxa"/>
            <w:noWrap/>
            <w:hideMark/>
          </w:tcPr>
          <w:p w14:paraId="5381EB86" w14:textId="2A29EFA0" w:rsidR="005A1F01" w:rsidRPr="00163A0B" w:rsidRDefault="005A1F01" w:rsidP="005C1769">
            <w:pPr>
              <w:keepNext/>
              <w:ind w:right="27"/>
              <w:jc w:val="right"/>
              <w:rPr>
                <w:rFonts w:asciiTheme="majorBidi" w:hAnsiTheme="majorBidi" w:cstheme="majorBidi"/>
                <w:color w:val="000000"/>
                <w:sz w:val="20"/>
                <w:szCs w:val="20"/>
              </w:rPr>
            </w:pPr>
            <w:r>
              <w:rPr>
                <w:sz w:val="20"/>
                <w:szCs w:val="20"/>
              </w:rPr>
              <w:t>2.235.778</w:t>
            </w:r>
          </w:p>
        </w:tc>
        <w:tc>
          <w:tcPr>
            <w:tcW w:w="1710" w:type="dxa"/>
            <w:noWrap/>
            <w:hideMark/>
          </w:tcPr>
          <w:p w14:paraId="3A356832" w14:textId="72D1F77F" w:rsidR="005A1F01" w:rsidRPr="00163A0B" w:rsidRDefault="005A1F01" w:rsidP="005C1769">
            <w:pPr>
              <w:keepNext/>
              <w:ind w:right="27"/>
              <w:jc w:val="right"/>
              <w:rPr>
                <w:rFonts w:asciiTheme="majorBidi" w:hAnsiTheme="majorBidi" w:cstheme="majorBidi"/>
                <w:color w:val="000000"/>
                <w:sz w:val="20"/>
                <w:szCs w:val="20"/>
              </w:rPr>
            </w:pPr>
            <w:r>
              <w:rPr>
                <w:sz w:val="20"/>
                <w:szCs w:val="20"/>
              </w:rPr>
              <w:t>28.942.470</w:t>
            </w:r>
          </w:p>
        </w:tc>
      </w:tr>
      <w:tr w:rsidR="005A1F01" w:rsidRPr="00900B12" w14:paraId="14F7E139" w14:textId="77777777" w:rsidTr="0025303E">
        <w:trPr>
          <w:trHeight w:val="188"/>
        </w:trPr>
        <w:tc>
          <w:tcPr>
            <w:tcW w:w="1719" w:type="dxa"/>
            <w:noWrap/>
            <w:hideMark/>
          </w:tcPr>
          <w:p w14:paraId="2D0FDC61" w14:textId="77777777" w:rsidR="005A1F01" w:rsidRPr="00163A0B" w:rsidRDefault="005A1F01" w:rsidP="005C1769">
            <w:pPr>
              <w:keepNext/>
              <w:ind w:right="27"/>
              <w:jc w:val="left"/>
              <w:rPr>
                <w:rFonts w:asciiTheme="majorBidi" w:hAnsiTheme="majorBidi" w:cstheme="majorBidi"/>
                <w:color w:val="000000"/>
                <w:sz w:val="20"/>
                <w:szCs w:val="20"/>
              </w:rPr>
            </w:pPr>
            <w:r>
              <w:rPr>
                <w:sz w:val="20"/>
                <w:szCs w:val="20"/>
              </w:rPr>
              <w:t>ONUDI</w:t>
            </w:r>
          </w:p>
        </w:tc>
        <w:tc>
          <w:tcPr>
            <w:tcW w:w="2045" w:type="dxa"/>
            <w:noWrap/>
            <w:hideMark/>
          </w:tcPr>
          <w:p w14:paraId="54862F62" w14:textId="291AA0E8" w:rsidR="005A1F01" w:rsidRPr="00163A0B" w:rsidRDefault="005A1F01" w:rsidP="005C1769">
            <w:pPr>
              <w:keepNext/>
              <w:ind w:right="27"/>
              <w:jc w:val="right"/>
              <w:rPr>
                <w:rFonts w:asciiTheme="majorBidi" w:hAnsiTheme="majorBidi" w:cstheme="majorBidi"/>
                <w:color w:val="000000"/>
                <w:sz w:val="20"/>
                <w:szCs w:val="20"/>
              </w:rPr>
            </w:pPr>
            <w:r>
              <w:rPr>
                <w:sz w:val="20"/>
                <w:szCs w:val="20"/>
              </w:rPr>
              <w:t>62.191.267</w:t>
            </w:r>
          </w:p>
        </w:tc>
        <w:tc>
          <w:tcPr>
            <w:tcW w:w="2250" w:type="dxa"/>
            <w:noWrap/>
            <w:hideMark/>
          </w:tcPr>
          <w:p w14:paraId="3AD49AA5" w14:textId="7D179D52" w:rsidR="005A1F01" w:rsidRPr="00163A0B" w:rsidRDefault="005A1F01" w:rsidP="005C1769">
            <w:pPr>
              <w:keepNext/>
              <w:ind w:right="27"/>
              <w:jc w:val="right"/>
              <w:rPr>
                <w:rFonts w:asciiTheme="majorBidi" w:hAnsiTheme="majorBidi" w:cstheme="majorBidi"/>
                <w:color w:val="000000"/>
                <w:sz w:val="20"/>
                <w:szCs w:val="20"/>
              </w:rPr>
            </w:pPr>
            <w:r>
              <w:rPr>
                <w:sz w:val="20"/>
                <w:szCs w:val="20"/>
              </w:rPr>
              <w:t>6.737.824</w:t>
            </w:r>
          </w:p>
        </w:tc>
        <w:tc>
          <w:tcPr>
            <w:tcW w:w="1710" w:type="dxa"/>
            <w:noWrap/>
            <w:hideMark/>
          </w:tcPr>
          <w:p w14:paraId="093D6FD5" w14:textId="3040F905" w:rsidR="005A1F01" w:rsidRPr="00163A0B" w:rsidRDefault="005A1F01" w:rsidP="005C1769">
            <w:pPr>
              <w:keepNext/>
              <w:ind w:right="27"/>
              <w:jc w:val="right"/>
              <w:rPr>
                <w:rFonts w:asciiTheme="majorBidi" w:hAnsiTheme="majorBidi" w:cstheme="majorBidi"/>
                <w:color w:val="000000"/>
                <w:sz w:val="20"/>
                <w:szCs w:val="20"/>
              </w:rPr>
            </w:pPr>
            <w:r>
              <w:rPr>
                <w:sz w:val="20"/>
                <w:szCs w:val="20"/>
              </w:rPr>
              <w:t>68.929.091</w:t>
            </w:r>
          </w:p>
        </w:tc>
      </w:tr>
      <w:tr w:rsidR="005A1F01" w:rsidRPr="00900B12" w14:paraId="11B56B44" w14:textId="77777777" w:rsidTr="0025303E">
        <w:trPr>
          <w:trHeight w:val="98"/>
        </w:trPr>
        <w:tc>
          <w:tcPr>
            <w:tcW w:w="1719" w:type="dxa"/>
            <w:noWrap/>
            <w:hideMark/>
          </w:tcPr>
          <w:p w14:paraId="04880CF2" w14:textId="77777777" w:rsidR="005A1F01" w:rsidRPr="00163A0B" w:rsidRDefault="005A1F01" w:rsidP="005C1769">
            <w:pPr>
              <w:keepNext/>
              <w:ind w:right="27"/>
              <w:jc w:val="left"/>
              <w:rPr>
                <w:rFonts w:asciiTheme="majorBidi" w:hAnsiTheme="majorBidi" w:cstheme="majorBidi"/>
                <w:color w:val="000000"/>
                <w:sz w:val="20"/>
                <w:szCs w:val="20"/>
              </w:rPr>
            </w:pPr>
            <w:r>
              <w:rPr>
                <w:sz w:val="20"/>
                <w:szCs w:val="20"/>
              </w:rPr>
              <w:t>Banco Mundial</w:t>
            </w:r>
          </w:p>
        </w:tc>
        <w:tc>
          <w:tcPr>
            <w:tcW w:w="2045" w:type="dxa"/>
            <w:noWrap/>
            <w:hideMark/>
          </w:tcPr>
          <w:p w14:paraId="72654D18" w14:textId="6F80EB08" w:rsidR="005A1F01" w:rsidRPr="00163A0B" w:rsidRDefault="005A1F01" w:rsidP="005C1769">
            <w:pPr>
              <w:keepNext/>
              <w:ind w:right="27"/>
              <w:jc w:val="right"/>
              <w:rPr>
                <w:rFonts w:asciiTheme="majorBidi" w:hAnsiTheme="majorBidi" w:cstheme="majorBidi"/>
                <w:color w:val="000000"/>
                <w:sz w:val="20"/>
                <w:szCs w:val="20"/>
              </w:rPr>
            </w:pPr>
            <w:r>
              <w:rPr>
                <w:sz w:val="20"/>
                <w:szCs w:val="20"/>
              </w:rPr>
              <w:t>38.175.116</w:t>
            </w:r>
          </w:p>
        </w:tc>
        <w:tc>
          <w:tcPr>
            <w:tcW w:w="2250" w:type="dxa"/>
            <w:noWrap/>
            <w:hideMark/>
          </w:tcPr>
          <w:p w14:paraId="334B7FDD" w14:textId="220D16C9" w:rsidR="005A1F01" w:rsidRPr="00163A0B" w:rsidRDefault="005A1F01" w:rsidP="005C1769">
            <w:pPr>
              <w:keepNext/>
              <w:ind w:right="27"/>
              <w:jc w:val="right"/>
              <w:rPr>
                <w:rFonts w:asciiTheme="majorBidi" w:hAnsiTheme="majorBidi" w:cstheme="majorBidi"/>
                <w:color w:val="000000"/>
                <w:sz w:val="20"/>
                <w:szCs w:val="20"/>
              </w:rPr>
            </w:pPr>
            <w:r>
              <w:rPr>
                <w:sz w:val="20"/>
                <w:szCs w:val="20"/>
              </w:rPr>
              <w:t>4.619.403</w:t>
            </w:r>
          </w:p>
        </w:tc>
        <w:tc>
          <w:tcPr>
            <w:tcW w:w="1710" w:type="dxa"/>
            <w:noWrap/>
            <w:hideMark/>
          </w:tcPr>
          <w:p w14:paraId="72751BB9" w14:textId="7E0A861C" w:rsidR="005A1F01" w:rsidRPr="00163A0B" w:rsidRDefault="005A1F01" w:rsidP="005C1769">
            <w:pPr>
              <w:keepNext/>
              <w:ind w:right="27"/>
              <w:jc w:val="right"/>
              <w:rPr>
                <w:rFonts w:asciiTheme="majorBidi" w:hAnsiTheme="majorBidi" w:cstheme="majorBidi"/>
                <w:color w:val="000000"/>
                <w:sz w:val="20"/>
                <w:szCs w:val="20"/>
              </w:rPr>
            </w:pPr>
            <w:r>
              <w:rPr>
                <w:sz w:val="20"/>
                <w:szCs w:val="20"/>
              </w:rPr>
              <w:t>42.794.519</w:t>
            </w:r>
          </w:p>
        </w:tc>
      </w:tr>
      <w:tr w:rsidR="005A1F01" w:rsidRPr="00900B12" w14:paraId="59613220" w14:textId="77777777" w:rsidTr="0025303E">
        <w:trPr>
          <w:trHeight w:val="107"/>
        </w:trPr>
        <w:tc>
          <w:tcPr>
            <w:tcW w:w="1719" w:type="dxa"/>
            <w:noWrap/>
            <w:hideMark/>
          </w:tcPr>
          <w:p w14:paraId="77E0C845" w14:textId="28762F99" w:rsidR="005A1F01" w:rsidRPr="00163A0B" w:rsidRDefault="005A1F01" w:rsidP="005C1769">
            <w:pPr>
              <w:keepNext/>
              <w:ind w:right="27"/>
              <w:jc w:val="left"/>
              <w:rPr>
                <w:rFonts w:asciiTheme="majorBidi" w:hAnsiTheme="majorBidi" w:cstheme="majorBidi"/>
                <w:b/>
                <w:bCs/>
                <w:color w:val="000000"/>
                <w:sz w:val="20"/>
                <w:szCs w:val="20"/>
              </w:rPr>
            </w:pPr>
            <w:r>
              <w:rPr>
                <w:b/>
                <w:bCs/>
                <w:sz w:val="20"/>
                <w:szCs w:val="20"/>
              </w:rPr>
              <w:t>Total general</w:t>
            </w:r>
          </w:p>
        </w:tc>
        <w:tc>
          <w:tcPr>
            <w:tcW w:w="2045" w:type="dxa"/>
            <w:noWrap/>
            <w:hideMark/>
          </w:tcPr>
          <w:p w14:paraId="05700498" w14:textId="20F83418" w:rsidR="005A1F01" w:rsidRPr="00163A0B" w:rsidRDefault="005A1F01" w:rsidP="005C1769">
            <w:pPr>
              <w:keepNext/>
              <w:ind w:right="27"/>
              <w:jc w:val="right"/>
              <w:rPr>
                <w:rFonts w:asciiTheme="majorBidi" w:hAnsiTheme="majorBidi" w:cstheme="majorBidi"/>
                <w:b/>
                <w:bCs/>
                <w:color w:val="000000"/>
                <w:sz w:val="20"/>
                <w:szCs w:val="20"/>
              </w:rPr>
            </w:pPr>
            <w:r>
              <w:rPr>
                <w:b/>
                <w:bCs/>
                <w:sz w:val="20"/>
                <w:szCs w:val="20"/>
              </w:rPr>
              <w:t>190.803.312</w:t>
            </w:r>
          </w:p>
        </w:tc>
        <w:tc>
          <w:tcPr>
            <w:tcW w:w="2250" w:type="dxa"/>
            <w:noWrap/>
            <w:hideMark/>
          </w:tcPr>
          <w:p w14:paraId="356CE2B5" w14:textId="3BA304D1" w:rsidR="005A1F01" w:rsidRPr="00163A0B" w:rsidRDefault="005A1F01" w:rsidP="005C1769">
            <w:pPr>
              <w:keepNext/>
              <w:ind w:right="27"/>
              <w:jc w:val="right"/>
              <w:rPr>
                <w:rFonts w:asciiTheme="majorBidi" w:hAnsiTheme="majorBidi" w:cstheme="majorBidi"/>
                <w:b/>
                <w:bCs/>
                <w:color w:val="000000"/>
                <w:sz w:val="20"/>
                <w:szCs w:val="20"/>
              </w:rPr>
            </w:pPr>
            <w:r>
              <w:rPr>
                <w:b/>
                <w:bCs/>
                <w:sz w:val="20"/>
                <w:szCs w:val="20"/>
              </w:rPr>
              <w:t>20.645.848</w:t>
            </w:r>
          </w:p>
        </w:tc>
        <w:tc>
          <w:tcPr>
            <w:tcW w:w="1710" w:type="dxa"/>
            <w:noWrap/>
            <w:hideMark/>
          </w:tcPr>
          <w:p w14:paraId="2D420908" w14:textId="0424E446" w:rsidR="005A1F01" w:rsidRPr="00163A0B" w:rsidRDefault="005A1F01" w:rsidP="005C1769">
            <w:pPr>
              <w:keepNext/>
              <w:ind w:right="27"/>
              <w:jc w:val="right"/>
              <w:rPr>
                <w:rFonts w:asciiTheme="majorBidi" w:hAnsiTheme="majorBidi" w:cstheme="majorBidi"/>
                <w:b/>
                <w:bCs/>
                <w:color w:val="000000"/>
                <w:sz w:val="20"/>
                <w:szCs w:val="20"/>
              </w:rPr>
            </w:pPr>
            <w:r>
              <w:rPr>
                <w:b/>
                <w:bCs/>
                <w:sz w:val="20"/>
                <w:szCs w:val="20"/>
              </w:rPr>
              <w:t>211.449.160</w:t>
            </w:r>
          </w:p>
        </w:tc>
      </w:tr>
    </w:tbl>
    <w:p w14:paraId="00CCD4A3" w14:textId="77777777" w:rsidR="00511DA2" w:rsidRPr="00163A0B" w:rsidRDefault="00511DA2" w:rsidP="005C1769">
      <w:pPr>
        <w:ind w:right="27"/>
        <w:rPr>
          <w:sz w:val="20"/>
          <w:szCs w:val="20"/>
        </w:rPr>
      </w:pPr>
    </w:p>
    <w:p w14:paraId="4D0630FA" w14:textId="14EE0E79" w:rsidR="00511DA2" w:rsidRPr="00163A0B" w:rsidRDefault="00511DA2" w:rsidP="005C1769">
      <w:pPr>
        <w:pStyle w:val="Heading3"/>
        <w:widowControl/>
        <w:numPr>
          <w:ilvl w:val="2"/>
          <w:numId w:val="16"/>
        </w:numPr>
        <w:ind w:left="1276" w:right="27" w:firstLine="0"/>
        <w:rPr>
          <w:sz w:val="20"/>
          <w:szCs w:val="20"/>
        </w:rPr>
      </w:pPr>
      <w:r>
        <w:rPr>
          <w:sz w:val="20"/>
          <w:szCs w:val="20"/>
        </w:rPr>
        <w:t>En las reuniones 97ª y 98ª, tras examinar los documentos sobre proyectos recomendados para aprobación general</w:t>
      </w:r>
      <w:r>
        <w:rPr>
          <w:rStyle w:val="FootnoteReference"/>
        </w:rPr>
        <w:footnoteReference w:id="26"/>
      </w:r>
      <w:r>
        <w:rPr>
          <w:sz w:val="20"/>
          <w:szCs w:val="20"/>
        </w:rPr>
        <w:t xml:space="preserve"> y los documentos sobre proyectos recomendados para examen individual,</w:t>
      </w:r>
      <w:r>
        <w:rPr>
          <w:rStyle w:val="FootnoteReference"/>
        </w:rPr>
        <w:footnoteReference w:id="27"/>
      </w:r>
      <w:r>
        <w:rPr>
          <w:sz w:val="20"/>
          <w:szCs w:val="20"/>
        </w:rPr>
        <w:t xml:space="preserve"> el Comité Ejecutivo aprobó los proyectos y actividades que se resumen a continuación.</w:t>
      </w:r>
    </w:p>
    <w:p w14:paraId="0191D6C5" w14:textId="77777777" w:rsidR="00511DA2" w:rsidRPr="00163A0B" w:rsidRDefault="00511DA2" w:rsidP="005C1769">
      <w:pPr>
        <w:pStyle w:val="PlantillaESCH3"/>
        <w:tabs>
          <w:tab w:val="clear" w:pos="851"/>
          <w:tab w:val="clear" w:pos="1247"/>
          <w:tab w:val="left" w:pos="1253"/>
        </w:tabs>
        <w:ind w:left="1253" w:right="27" w:hanging="620"/>
        <w:rPr>
          <w:lang w:val="es-ES"/>
        </w:rPr>
      </w:pPr>
      <w:r>
        <w:rPr>
          <w:lang w:val="es-ES"/>
        </w:rPr>
        <w:t>a)</w:t>
        <w:tab/>
        <w:t>Proyectos de inversión</w:t>
      </w:r>
    </w:p>
    <w:p w14:paraId="52E8EA61" w14:textId="0AF3E7E9" w:rsidR="00511DA2" w:rsidRPr="00163A0B" w:rsidRDefault="00511DA2" w:rsidP="005C1769">
      <w:pPr>
        <w:pStyle w:val="Heading1"/>
        <w:keepNext/>
        <w:numPr>
          <w:ilvl w:val="0"/>
          <w:numId w:val="0"/>
        </w:numPr>
        <w:ind w:left="528" w:right="27" w:firstLine="720"/>
        <w:rPr>
          <w:sz w:val="20"/>
          <w:szCs w:val="20"/>
          <w:u w:val="single"/>
        </w:rPr>
      </w:pPr>
      <w:r>
        <w:rPr>
          <w:sz w:val="20"/>
          <w:szCs w:val="20"/>
          <w:u w:val="single"/>
        </w:rPr>
        <w:t>Planes de gestión para la eliminación de los HCFC</w:t>
      </w:r>
    </w:p>
    <w:p w14:paraId="4C746886" w14:textId="2412BF2F" w:rsidR="00511DA2" w:rsidRPr="00163A0B" w:rsidRDefault="00511DA2" w:rsidP="005C1769">
      <w:pPr>
        <w:pStyle w:val="Heading3"/>
        <w:widowControl/>
        <w:numPr>
          <w:ilvl w:val="2"/>
          <w:numId w:val="16"/>
        </w:numPr>
        <w:ind w:left="1276" w:right="27" w:firstLine="0"/>
        <w:rPr>
          <w:sz w:val="20"/>
          <w:szCs w:val="20"/>
        </w:rPr>
      </w:pPr>
      <w:r>
        <w:rPr>
          <w:sz w:val="20"/>
          <w:szCs w:val="20"/>
        </w:rPr>
        <w:t xml:space="preserve">En la 97ª reunión, el Comité Ejecutivo aprobó tramos de PGEH para 19 países, incluidos tramos de seis planes sectoriales en el marco de la etapa II del PGEH para un país (decisiones 97/35, 97/39, 97/45 a 97/50, 97/54 y 97/55); el primer tramo de la etapa II del PGEH para dos </w:t>
        <w:lastRenderedPageBreak/>
        <w:t xml:space="preserve">países (decisiones 97/51 y 97/53); y el primer tramo de la etapa III de los PGEH para cinco países (decisiones 97/38, 97/40, 97/42, 97/43 y 97/52). </w:t>
      </w:r>
    </w:p>
    <w:p w14:paraId="28DAC774" w14:textId="2A4C7250" w:rsidR="00511DA2" w:rsidRPr="00900B12" w:rsidRDefault="00753D47" w:rsidP="005C1769">
      <w:pPr>
        <w:pStyle w:val="Heading3"/>
        <w:widowControl/>
        <w:numPr>
          <w:ilvl w:val="2"/>
          <w:numId w:val="16"/>
        </w:numPr>
        <w:ind w:left="1276" w:right="27" w:firstLine="0"/>
        <w:rPr>
          <w:sz w:val="20"/>
          <w:szCs w:val="20"/>
        </w:rPr>
      </w:pPr>
      <w:r>
        <w:rPr>
          <w:sz w:val="20"/>
          <w:szCs w:val="20"/>
        </w:rPr>
        <w:t>También en la 97ª reunión, el Comité Ejecutivo aprobó propuestas de proyecto individual relativas a actividades adicionales para la introducción de alternativas a los HCFC con un potencial de calentamiento atmosférico bajo o nulo y para mantener la eficiencia energética en el sector de servicio y mantenimiento de equipos de refrigeración en tres países (decisión 97/35).</w:t>
      </w:r>
    </w:p>
    <w:p w14:paraId="6C2280C2" w14:textId="71001ED8" w:rsidR="00BB63EB" w:rsidRPr="00900B12" w:rsidRDefault="00511DA2" w:rsidP="005C1769">
      <w:pPr>
        <w:pStyle w:val="Heading3"/>
        <w:widowControl/>
        <w:numPr>
          <w:ilvl w:val="2"/>
          <w:numId w:val="16"/>
        </w:numPr>
        <w:ind w:left="1276" w:right="27" w:firstLine="0"/>
        <w:rPr>
          <w:sz w:val="20"/>
          <w:szCs w:val="20"/>
        </w:rPr>
      </w:pPr>
      <w:r>
        <w:rPr>
          <w:sz w:val="20"/>
          <w:szCs w:val="20"/>
        </w:rPr>
        <w:t>En la 98ª reunión, el Comité Ejecutivo aprobó tramos de PGEH para 17 países (decisiones 98/26, 98/32 y 98/34); el primer tramo de la etapa II del PGEH para dos países (decisiones 98/36 y 98/37); el primer tramo de la etapa III de los PGEH para seis países (decisiones 98/30, 98/31, 98/33 y 98/38 a 98/40); y el primer tramo de la etapa IV del PGEH para un país (decisión 98/35).</w:t>
      </w:r>
    </w:p>
    <w:p w14:paraId="02B28798" w14:textId="77777777" w:rsidR="002F17C7" w:rsidRPr="00163A0B" w:rsidRDefault="00753D47" w:rsidP="005C1769">
      <w:pPr>
        <w:pStyle w:val="Heading3"/>
        <w:widowControl/>
        <w:numPr>
          <w:ilvl w:val="2"/>
          <w:numId w:val="16"/>
        </w:numPr>
        <w:ind w:left="1276" w:right="27" w:firstLine="0"/>
      </w:pPr>
      <w:r>
        <w:rPr>
          <w:sz w:val="20"/>
          <w:szCs w:val="20"/>
        </w:rPr>
        <w:t>También en la 98ª reunión, el Comité Ejecutivo aprobó propuestas de proyecto individual relativas a actividades adicionales para la introducción de alternativas a los HCFC con un potencial de calentamiento atmosférico bajo o nulo y para mantener la eficiencia energética en el sector de servicio y mantenimiento de equipos de refrigeración en cinco países (decisión 98/26).</w:t>
      </w:r>
    </w:p>
    <w:p w14:paraId="1608821A" w14:textId="77777777" w:rsidR="00511DA2" w:rsidRPr="00163A0B" w:rsidRDefault="00511DA2" w:rsidP="005C1769">
      <w:pPr>
        <w:keepNext/>
        <w:keepLines/>
        <w:spacing w:after="240"/>
        <w:ind w:left="528" w:right="27" w:firstLine="720"/>
        <w:jc w:val="left"/>
        <w:rPr>
          <w:iCs/>
          <w:sz w:val="20"/>
          <w:szCs w:val="20"/>
          <w:u w:val="single"/>
        </w:rPr>
      </w:pPr>
      <w:r>
        <w:rPr>
          <w:iCs/>
          <w:sz w:val="20"/>
          <w:szCs w:val="20"/>
          <w:u w:val="single"/>
        </w:rPr>
        <w:t>Proyectos relacionados con HFC</w:t>
      </w:r>
    </w:p>
    <w:p w14:paraId="5F73D58B" w14:textId="30511996" w:rsidR="00511DA2" w:rsidRPr="00163A0B" w:rsidRDefault="00511DA2" w:rsidP="005C1769">
      <w:pPr>
        <w:pStyle w:val="Heading3"/>
        <w:widowControl/>
        <w:numPr>
          <w:ilvl w:val="2"/>
          <w:numId w:val="16"/>
        </w:numPr>
        <w:ind w:left="1276" w:right="27" w:firstLine="0"/>
        <w:rPr>
          <w:sz w:val="20"/>
          <w:szCs w:val="20"/>
        </w:rPr>
      </w:pPr>
      <w:r>
        <w:rPr>
          <w:sz w:val="20"/>
          <w:szCs w:val="20"/>
        </w:rPr>
        <w:t xml:space="preserve">En la 97ª reunión, el Comité Ejecutivo aprobó, en principio, la etapa I de los PAK para 11 países, y aprobó también el primer tramo de financiación de cada uno de ellos (decisiones 97/56 a 97/61, 97/63, 97/65 y 97/67 a 97/69). El Comité aprobó tramos de PAK para dos países (decisión 97/35) y los tramos segundo y tercero del proyecto para el control de las emisiones de HFC-23 generadas en la producción de HCFC-22 en un país (decisión 97/41). El Comité Ejecutivo pospuso hasta la 98ª reunión el examen del PAK para un país (decisión 97/64) y de un tramo del PAK para otro país (decisión 97/62).</w:t>
      </w:r>
    </w:p>
    <w:p w14:paraId="79D42BE1" w14:textId="78011C49" w:rsidR="00511DA2" w:rsidRPr="00163A0B" w:rsidRDefault="00511DA2" w:rsidP="005C1769">
      <w:pPr>
        <w:pStyle w:val="Heading3"/>
        <w:widowControl/>
        <w:numPr>
          <w:ilvl w:val="2"/>
          <w:numId w:val="16"/>
        </w:numPr>
        <w:ind w:left="1276" w:right="27" w:firstLine="0"/>
        <w:rPr>
          <w:sz w:val="20"/>
          <w:szCs w:val="20"/>
        </w:rPr>
      </w:pPr>
      <w:r>
        <w:rPr>
          <w:sz w:val="20"/>
          <w:szCs w:val="20"/>
        </w:rPr>
        <w:t>También en la 97ª reunión, en lo que respecta a los proyectos independientes relacionados con la eficiencia energética en el contexto de la reducción de los HFC, el Comité aprobó proyectos piloto no relacionados con inversiones en virtud de la decisión 91/65 para 12 países (decisiones 97/66, 97/70 a 97/72, 97/75 a 97/77 y 97/79 a 97/83); un proyecto de inversión en eficiencia energética en virtud de la decisión 95/87 para un país (decisión 97/73); y proyectos de inversión en eficiencia energética en virtud de la decisión 94/60 para tres países (decisiones 97/74, 97/78 y 97/84).</w:t>
      </w:r>
    </w:p>
    <w:p w14:paraId="5BA456A4" w14:textId="24F6882C" w:rsidR="00441C70" w:rsidRPr="00163A0B" w:rsidRDefault="00511DA2" w:rsidP="005C1769">
      <w:pPr>
        <w:pStyle w:val="Heading3"/>
        <w:widowControl/>
        <w:numPr>
          <w:ilvl w:val="2"/>
          <w:numId w:val="16"/>
        </w:numPr>
        <w:ind w:left="1276" w:right="27" w:firstLine="0"/>
        <w:rPr>
          <w:sz w:val="20"/>
          <w:szCs w:val="20"/>
        </w:rPr>
      </w:pPr>
      <w:r>
        <w:rPr>
          <w:sz w:val="20"/>
          <w:szCs w:val="20"/>
        </w:rPr>
        <w:t xml:space="preserve">En la 98ª reunión, el Comité Ejecutivo aprobó, en principio, la etapa I de los PAK para siete países, y aprobó también el primer tramo de financiación de cada uno de ellos (decisiones 98/42, 98/43, 98/45, 98/48 y 98/51 a 98/53). El Comité aprobó tramos de PAK para cuatro países (decisiones 98/26, 98/44, 98/46 y 98/47) y una etapa I actualizada del PAK para un país, incluido el segundo tramo (decisión 98/49). El Comité Ejecutivo aplazó hasta una reunión futura el examen del PAK para un país (decisión 98/50). El Comité también aprobó el cuarto y el quinto tramo, respectivamente, de proyectos para el control de las emisiones de HFC-23 generadas en la producción de HCFC-22 en dos países (decisiones 98/26 y 98/41).</w:t>
      </w:r>
    </w:p>
    <w:p w14:paraId="4A9CADD1" w14:textId="77777777" w:rsidR="00FF2E2A" w:rsidRPr="00163A0B" w:rsidRDefault="00441C70" w:rsidP="005C1769">
      <w:pPr>
        <w:pStyle w:val="Heading3"/>
        <w:widowControl/>
        <w:numPr>
          <w:ilvl w:val="2"/>
          <w:numId w:val="16"/>
        </w:numPr>
        <w:ind w:left="1276" w:right="27" w:firstLine="0"/>
        <w:rPr>
          <w:sz w:val="20"/>
          <w:szCs w:val="20"/>
        </w:rPr>
      </w:pPr>
      <w:r>
        <w:rPr>
          <w:sz w:val="20"/>
          <w:szCs w:val="20"/>
        </w:rPr>
        <w:t>También en la 98ª reunión, en lo que respecta a los proyectos independientes relacionados con la eficiencia energética en el contexto de la reducción de los HFC, el Comité aprobó un proyecto del fondo rotatorio para la eficiencia energética destinado a los usuarios finales para un país, así como un proyecto mundial de ese fondo que abarcaba tres países (decisión 98/54); un proyecto piloto de demostración en un país para mantener y/o mejorar la eficiencia energética de las tecnologías y equipos de sustitución en el contexto de la reducción de los HFC, en virtud de la decisión 91/65; y proyectos de inversión para mejorar la eficiencia energética en el sector manufacturero en el contexto de la reducción de los HFC, en virtud de la decisión 94/60, para dos países (decisiones 98/56 y 98/57). El Comité también decidió no aprobar el proyecto del fondo rotatorio para la eficiencia energética destinado a los usuarios finales para un país.</w:t>
      </w:r>
    </w:p>
    <w:p w14:paraId="77C4F567" w14:textId="77777777" w:rsidR="00511DA2" w:rsidRPr="00163A0B" w:rsidRDefault="00511DA2" w:rsidP="005C1769">
      <w:pPr>
        <w:pStyle w:val="PlantillaESCH3"/>
        <w:tabs>
          <w:tab w:val="clear" w:pos="851"/>
          <w:tab w:val="clear" w:pos="1247"/>
          <w:tab w:val="left" w:pos="1253"/>
        </w:tabs>
        <w:ind w:left="1253" w:right="27" w:hanging="620"/>
        <w:rPr>
          <w:lang w:val="es-ES"/>
        </w:rPr>
      </w:pPr>
      <w:r>
        <w:rPr>
          <w:lang w:val="es-ES"/>
        </w:rPr>
        <w:t>b)</w:t>
        <w:tab/>
        <w:t>Actividades sin inversión</w:t>
      </w:r>
    </w:p>
    <w:p w14:paraId="5A075F63" w14:textId="6F539292" w:rsidR="00511DA2" w:rsidRPr="00900B12" w:rsidRDefault="00511DA2" w:rsidP="005C1769">
      <w:pPr>
        <w:pStyle w:val="Heading3"/>
        <w:widowControl/>
        <w:numPr>
          <w:ilvl w:val="2"/>
          <w:numId w:val="16"/>
        </w:numPr>
        <w:ind w:left="1276" w:right="27" w:firstLine="0"/>
        <w:rPr>
          <w:sz w:val="20"/>
          <w:szCs w:val="20"/>
        </w:rPr>
      </w:pPr>
      <w:r>
        <w:rPr>
          <w:sz w:val="20"/>
          <w:szCs w:val="20"/>
        </w:rPr>
        <w:t xml:space="preserve">En la 97ª reunión, el Comité Ejecutivo aprobó todas menos una de las solicitudes de financiación no relacionadas con inversiones. Las solicitudes se referían a financiación para la preparación de las etapas II y III de los PGEH de cuatro países; preparación de PAK para cuatro países; verificación de la ejecución de la etapa I de los PAK para siete países; actividades de apoyo para la reducción de HFC en un país; preparación de proyectos piloto para mantener y/o mejorar la eficiencia energética de las tecnologías y equipos de sustitución en el contexto de la </w:t>
        <w:lastRenderedPageBreak/>
        <w:t>reducción de los HFC, en virtud de las decisiones 91/65 y 95/87, para dos países; renovaciones de proyectos de fortalecimiento institucional para cinco países; y preparación de un inventario nacional de bancos de sustancias controladas de desecho y elaboración de un plan nacional para la gestión de esas sustancias para 28 países. Las solicitudes se presentaron en los documentos sobre cooperación bilateral</w:t>
      </w:r>
      <w:r>
        <w:rPr>
          <w:rStyle w:val="FootnoteReference"/>
        </w:rPr>
        <w:footnoteReference w:id="28"/>
      </w:r>
      <w:r>
        <w:rPr>
          <w:sz w:val="20"/>
          <w:szCs w:val="20"/>
        </w:rPr>
        <w:t xml:space="preserve"> y las enmiendas al programa de trabajo para 2025 del PNUD,</w:t>
      </w:r>
      <w:r>
        <w:rPr>
          <w:rStyle w:val="FootnoteReference"/>
        </w:rPr>
        <w:footnoteReference w:id="29"/>
      </w:r>
      <w:r>
        <w:rPr>
          <w:sz w:val="20"/>
          <w:szCs w:val="20"/>
        </w:rPr>
        <w:t xml:space="preserve"> el PNUMA,</w:t>
      </w:r>
      <w:r>
        <w:rPr>
          <w:rStyle w:val="FootnoteReference"/>
        </w:rPr>
        <w:footnoteReference w:id="30"/>
      </w:r>
      <w:r>
        <w:rPr>
          <w:sz w:val="20"/>
          <w:szCs w:val="20"/>
        </w:rPr>
        <w:t xml:space="preserve"> la ONUDI</w:t>
      </w:r>
      <w:r>
        <w:rPr>
          <w:rStyle w:val="FootnoteReference"/>
        </w:rPr>
        <w:footnoteReference w:id="31"/>
      </w:r>
      <w:r>
        <w:rPr>
          <w:sz w:val="20"/>
          <w:szCs w:val="20"/>
        </w:rPr>
        <w:t xml:space="preserve"> y el Banco Mundial</w:t>
      </w:r>
      <w:r>
        <w:rPr>
          <w:rStyle w:val="FootnoteReference"/>
        </w:rPr>
        <w:footnoteReference w:id="32"/>
      </w:r>
      <w:r>
        <w:rPr>
          <w:sz w:val="20"/>
          <w:szCs w:val="20"/>
        </w:rPr>
        <w:t xml:space="preserve"> (decisiones 97/35 y 97/37). La solicitud que no fue aprobada hacía referencia a la preparación de un proyecto piloto para mantener y/o mejorar la eficiencia energética en el contexto de la reducción de los HFC, en virtud de la decisión 91/65, en un país (decisión 97/36).</w:t>
      </w:r>
    </w:p>
    <w:p w14:paraId="67E33340" w14:textId="0C015834" w:rsidR="003A47B6" w:rsidRPr="00900B12" w:rsidRDefault="00511DA2" w:rsidP="005C1769">
      <w:pPr>
        <w:pStyle w:val="Heading3"/>
        <w:widowControl/>
        <w:numPr>
          <w:ilvl w:val="2"/>
          <w:numId w:val="16"/>
        </w:numPr>
        <w:ind w:left="1276" w:right="27" w:firstLine="0"/>
        <w:rPr>
          <w:sz w:val="20"/>
          <w:szCs w:val="20"/>
        </w:rPr>
      </w:pPr>
      <w:r>
        <w:rPr>
          <w:sz w:val="20"/>
          <w:szCs w:val="20"/>
        </w:rPr>
        <w:t xml:space="preserve">En la 98ª reunión, el Comité Ejecutivo aprobó todas menos cinco de las solicitudes de financiación no relacionadas con inversiones. Las solicitudes presentadas se referían a financiación para la preparación de PAK para tres países; preparación de proyectos de inversión de los PAK para un país; verificación de PGEH para ocho países, de PAK para 34 países y tanto de PGEH como de PAK para ocho países; preparación de proyectos, en virtud de la decisión 91/65, para mantener y/o mejorar la eficiencia energética en el contexto de la reducción de los HFC para 13 países y preparación de un proyecto regional; preparación, en virtud de la decisión 94/60, de proyectos para mejorar la eficiencia energética en la fabricación de equipos de refrigeración y aire acondicionado en el contexto de la reducción de los HFC en tres países; y renovaciones de proyectos de fortalecimiento institucional para 23 países. Las solicitudes se presentaron en los documentos sobre cooperación bilateral</w:t>
      </w:r>
      <w:r>
        <w:rPr>
          <w:rStyle w:val="FootnoteReference"/>
        </w:rPr>
        <w:footnoteReference w:id="33"/>
      </w:r>
      <w:r>
        <w:rPr>
          <w:sz w:val="20"/>
          <w:szCs w:val="20"/>
        </w:rPr>
        <w:t xml:space="preserve"> y las enmiendas al programa de trabajo para 2026 del PNUD,</w:t>
      </w:r>
      <w:r>
        <w:rPr>
          <w:rStyle w:val="FootnoteReference"/>
        </w:rPr>
        <w:footnoteReference w:id="34"/>
      </w:r>
      <w:r>
        <w:rPr>
          <w:sz w:val="20"/>
          <w:szCs w:val="20"/>
        </w:rPr>
        <w:t xml:space="preserve"> el PNUMA</w:t>
      </w:r>
      <w:r>
        <w:rPr>
          <w:rStyle w:val="FootnoteReference"/>
        </w:rPr>
        <w:footnoteReference w:id="35"/>
      </w:r>
      <w:r>
        <w:rPr>
          <w:sz w:val="20"/>
          <w:szCs w:val="20"/>
        </w:rPr>
        <w:t xml:space="preserve"> y la ONUDI.</w:t>
      </w:r>
      <w:r>
        <w:rPr>
          <w:rStyle w:val="FootnoteReference"/>
        </w:rPr>
        <w:footnoteReference w:id="36"/>
      </w:r>
      <w:r>
        <w:rPr>
          <w:sz w:val="20"/>
          <w:szCs w:val="20"/>
        </w:rPr>
        <w:t xml:space="preserve"> Las solicitudes que no fueron aprobadas se referían a la preparación, en virtud de la decisión 91/65, de proyectos piloto para mantener y/o mejorar la eficiencia energética en centros de datos en dos países (decisión 98/27), y a la preparación de proyectos para mejorar la eficiencia energética en la fabricación de equipos de refrigeración y aire acondicionado en el contexto de la reducción de los HFC, en virtud de la decisión 94/60, en tres países. El examen de uno de estos últimos proyectos se aplazó hasta una reunión futura, cuando se dispusiera de información suficiente sobre las empresas propuestas y el alcance del proyecto (decisión 98/28), y el examen de los otros dos proyectos se aplazó hasta la 99ª reunión (decisión 98/29).</w:t>
      </w:r>
    </w:p>
    <w:p w14:paraId="123219BC" w14:textId="77777777" w:rsidR="00511DA2" w:rsidRPr="00163A0B" w:rsidRDefault="00511DA2" w:rsidP="005C1769">
      <w:pPr>
        <w:pStyle w:val="PlantillaESCH3"/>
        <w:tabs>
          <w:tab w:val="clear" w:pos="851"/>
          <w:tab w:val="clear" w:pos="1247"/>
          <w:tab w:val="left" w:pos="1253"/>
        </w:tabs>
        <w:ind w:left="1253" w:right="27" w:hanging="620"/>
        <w:rPr>
          <w:lang w:val="es-ES"/>
        </w:rPr>
      </w:pPr>
      <w:r>
        <w:rPr>
          <w:lang w:val="es-ES"/>
        </w:rPr>
        <w:t>c)</w:t>
        <w:tab/>
        <w:t xml:space="preserve">Presupuesto del Programa de Asistencia al Cumplimiento del PNUMA para 2025 </w:t>
      </w:r>
    </w:p>
    <w:p w14:paraId="271201F6" w14:textId="7985B5AF" w:rsidR="00511DA2" w:rsidRPr="00900B12" w:rsidRDefault="00511DA2" w:rsidP="005C1769">
      <w:pPr>
        <w:pStyle w:val="Heading3"/>
        <w:widowControl/>
        <w:numPr>
          <w:ilvl w:val="2"/>
          <w:numId w:val="16"/>
        </w:numPr>
        <w:ind w:left="1276" w:right="27" w:firstLine="0"/>
        <w:rPr>
          <w:sz w:val="20"/>
          <w:szCs w:val="20"/>
        </w:rPr>
      </w:pPr>
      <w:r>
        <w:rPr>
          <w:sz w:val="20"/>
          <w:szCs w:val="20"/>
        </w:rPr>
        <w:t>En la 97ª reunión, el Comité Ejecutivo tomó nota del informe sobre la marcha de las actividades de 2025 y del plan de trabajo y presupuesto de 2026 del Programa de Asistencia al Cumplimiento del PNUMA.</w:t>
      </w:r>
      <w:r>
        <w:rPr>
          <w:rStyle w:val="FootnoteReference"/>
        </w:rPr>
        <w:footnoteReference w:id="37"/>
      </w:r>
      <w:r>
        <w:rPr>
          <w:sz w:val="20"/>
          <w:szCs w:val="20"/>
        </w:rPr>
        <w:t xml:space="preserve"> El Comité Ejecutivo aprobó las actividades y el presupuesto del Programa de Asistencia al Cumplimiento para 2026, que figuran en el anexo del informe de dicha reunión,</w:t>
      </w:r>
      <w:r>
        <w:rPr>
          <w:rStyle w:val="FootnoteReference"/>
        </w:rPr>
        <w:footnoteReference w:id="38"/>
      </w:r>
      <w:r>
        <w:rPr>
          <w:sz w:val="20"/>
          <w:szCs w:val="20"/>
        </w:rPr>
        <w:t xml:space="preserve"> por un monto de USD 11.276.967, más unos gastos de apoyo del organismo del 8 por ciento que ascienden a USD 902.157. El Comité Ejecutivo decidió que los recursos humanos y financieros aprobados para el PNUMA con cargo al presupuesto del Programa de Asistencia al Cumplimiento deberían seguir utilizándose únicamente para actividades aprobadas por el Comité Ejecutivo de conformidad con el mandato del mecanismo financiero contenido en el Artículo 10 del Protocolo de Montreal y de conformidad con las decisiones 50/26 c) y 73/53 (decisión 97/85).</w:t>
      </w:r>
    </w:p>
    <w:p w14:paraId="78E20AD6" w14:textId="77777777" w:rsidR="00511DA2" w:rsidRPr="00163A0B" w:rsidRDefault="00511DA2" w:rsidP="005C1769">
      <w:pPr>
        <w:pStyle w:val="PlantillaESCH3"/>
        <w:tabs>
          <w:tab w:val="clear" w:pos="851"/>
          <w:tab w:val="clear" w:pos="1247"/>
          <w:tab w:val="left" w:pos="1253"/>
        </w:tabs>
        <w:ind w:left="1253" w:right="27" w:hanging="620"/>
        <w:rPr>
          <w:lang w:val="es-ES"/>
        </w:rPr>
      </w:pPr>
      <w:r>
        <w:rPr>
          <w:lang w:val="es-ES"/>
        </w:rPr>
        <w:t>d)</w:t>
        <w:tab/>
        <w:t>Costos de las unidades centrales del PNUD, la ONUDI y el Banco Mundial</w:t>
      </w:r>
    </w:p>
    <w:p w14:paraId="12C6B718" w14:textId="2903CC43" w:rsidR="00511DA2" w:rsidRPr="00900B12" w:rsidRDefault="00511DA2" w:rsidP="005C1769">
      <w:pPr>
        <w:pStyle w:val="Heading3"/>
        <w:widowControl/>
        <w:numPr>
          <w:ilvl w:val="2"/>
          <w:numId w:val="16"/>
        </w:numPr>
        <w:ind w:left="1276" w:right="27" w:firstLine="0"/>
        <w:rPr>
          <w:sz w:val="20"/>
          <w:szCs w:val="20"/>
        </w:rPr>
      </w:pPr>
      <w:r>
        <w:rPr>
          <w:sz w:val="20"/>
          <w:szCs w:val="20"/>
        </w:rPr>
        <w:t>En la 97ª reunión, el Comité Ejecutivo aprobó los presupuestos para 2026 de las unidades centrales del PNUD, la ONUDI y el Banco Mundial, tal como se había solicitado</w:t>
      </w:r>
      <w:r>
        <w:rPr>
          <w:rStyle w:val="FootnoteReference"/>
        </w:rPr>
        <w:footnoteReference w:id="39"/>
      </w:r>
      <w:r>
        <w:rPr>
          <w:sz w:val="20"/>
          <w:szCs w:val="20"/>
        </w:rPr>
        <w:t xml:space="preserve"> (decisión 97/86).</w:t>
      </w:r>
    </w:p>
    <w:p w14:paraId="6C6AD73A" w14:textId="77777777" w:rsidR="00474B0F" w:rsidRPr="00163A0B" w:rsidRDefault="00474B0F" w:rsidP="005C1769">
      <w:pPr>
        <w:pStyle w:val="PlantillaESCH3"/>
        <w:tabs>
          <w:tab w:val="clear" w:pos="851"/>
          <w:tab w:val="clear" w:pos="1247"/>
          <w:tab w:val="left" w:pos="1253"/>
        </w:tabs>
        <w:ind w:left="1253" w:right="27" w:hanging="620"/>
        <w:rPr>
          <w:lang w:val="es-ES"/>
        </w:rPr>
      </w:pPr>
      <w:r>
        <w:rPr>
          <w:lang w:val="es-ES"/>
        </w:rPr>
        <w:lastRenderedPageBreak/>
        <w:t>2.</w:t>
        <w:tab/>
        <w:t>Ejecución y presentación de informes</w:t>
      </w:r>
    </w:p>
    <w:p w14:paraId="59CFBF29" w14:textId="77777777" w:rsidR="00474B0F" w:rsidRPr="00163A0B" w:rsidRDefault="00474B0F" w:rsidP="005C1769">
      <w:pPr>
        <w:pStyle w:val="PlantillaESCH3"/>
        <w:tabs>
          <w:tab w:val="clear" w:pos="851"/>
          <w:tab w:val="clear" w:pos="1247"/>
          <w:tab w:val="left" w:pos="1253"/>
        </w:tabs>
        <w:ind w:left="1253" w:right="27" w:hanging="620"/>
        <w:rPr>
          <w:lang w:val="es-ES"/>
        </w:rPr>
      </w:pPr>
      <w:r>
        <w:rPr>
          <w:lang w:val="es-ES"/>
        </w:rPr>
        <w:t>a)</w:t>
        <w:tab/>
        <w:t>Datos de programas de país y perspectivas de cumplimiento</w:t>
      </w:r>
    </w:p>
    <w:p w14:paraId="11E561BD" w14:textId="41AD99B3" w:rsidR="00572792" w:rsidRPr="00900B12" w:rsidRDefault="00511DA2" w:rsidP="005C1769">
      <w:pPr>
        <w:pStyle w:val="Heading3"/>
        <w:widowControl/>
        <w:numPr>
          <w:ilvl w:val="2"/>
          <w:numId w:val="16"/>
        </w:numPr>
        <w:ind w:left="1276" w:right="27" w:firstLine="0"/>
        <w:rPr>
          <w:b/>
          <w:sz w:val="20"/>
          <w:szCs w:val="20"/>
        </w:rPr>
      </w:pPr>
      <w:r>
        <w:rPr>
          <w:sz w:val="20"/>
          <w:szCs w:val="20"/>
        </w:rPr>
        <w:t>En la 97ª reunión</w:t>
      </w:r>
      <w:r>
        <w:rPr>
          <w:rStyle w:val="FootnoteReference"/>
        </w:rPr>
        <w:footnoteReference w:id="40"/>
      </w:r>
      <w:r>
        <w:rPr>
          <w:sz w:val="20"/>
          <w:szCs w:val="20"/>
        </w:rPr>
        <w:t xml:space="preserve"> y en la 98ª reunión,</w:t>
      </w:r>
      <w:r>
        <w:rPr>
          <w:rStyle w:val="FootnoteReference"/>
        </w:rPr>
        <w:footnoteReference w:id="41"/>
      </w:r>
      <w:r>
        <w:rPr>
          <w:sz w:val="20"/>
          <w:szCs w:val="20"/>
        </w:rPr>
        <w:t xml:space="preserve"> el Comité Ejecutivo examinó los documentos sobre los datos de los programas de país y las perspectivas de cumplimiento. En la 97ª reunión, tomó nota de que, a 1 de diciembre de 2025, 126 países habían usado el nuevo sistema en línea de presentación de datos del programa de país, que se había puesto en marcha oficialmente el 1 de enero de 2025, y de los cuales 124 habían presentado oficialmente sus datos para 2024. El Comité pidió a la Secretaría del Fondo que enviara una carta a un país en relación con su informe de datos del programa de país pendiente para 2024, instándolo a presentar dicho informe lo antes posible (decisión 97/6). En la 98ª reunión, el Comité tomó nota de que, a 7 de mayo de 2026, 127 países habían utilizado el sistema en línea de presentación de datos del programa de país, de los cuales 126 habían presentado oficialmente sus datos para 2024 y 96 habían presentado oficialmente sus datos para 2025. Otros 21 países habían presentado sus datos del programa de país para 2025 después de esa fecha (decisión 98/3).</w:t>
      </w:r>
    </w:p>
    <w:p w14:paraId="27E33AF8" w14:textId="77777777" w:rsidR="0040579D" w:rsidRPr="00163A0B" w:rsidRDefault="0040579D" w:rsidP="005C1769">
      <w:pPr>
        <w:pStyle w:val="PlantillaESCH3"/>
        <w:tabs>
          <w:tab w:val="clear" w:pos="851"/>
          <w:tab w:val="clear" w:pos="1247"/>
          <w:tab w:val="left" w:pos="1253"/>
        </w:tabs>
        <w:ind w:left="1253" w:right="27" w:hanging="620"/>
        <w:rPr>
          <w:lang w:val="es-ES"/>
        </w:rPr>
      </w:pPr>
      <w:r>
        <w:rPr>
          <w:lang w:val="es-ES"/>
        </w:rPr>
        <w:t>b)</w:t>
        <w:tab/>
        <w:t>Retrasos en la presentación de tramos</w:t>
      </w:r>
    </w:p>
    <w:p w14:paraId="535A157B" w14:textId="77777777" w:rsidR="0040579D" w:rsidRPr="00163A0B" w:rsidRDefault="003E5C5A" w:rsidP="005C1769">
      <w:pPr>
        <w:pStyle w:val="Heading3"/>
        <w:widowControl/>
        <w:numPr>
          <w:ilvl w:val="2"/>
          <w:numId w:val="16"/>
        </w:numPr>
        <w:ind w:left="1276" w:right="27" w:firstLine="0"/>
        <w:rPr>
          <w:sz w:val="20"/>
          <w:szCs w:val="20"/>
        </w:rPr>
      </w:pPr>
      <w:r>
        <w:rPr>
          <w:sz w:val="20"/>
          <w:szCs w:val="20"/>
        </w:rPr>
        <w:t>En la 98ª reunión, el Comité Ejecutivo examinó un informe sobre los retrasos en la presentación de tramos</w:t>
      </w:r>
      <w:r>
        <w:rPr>
          <w:rStyle w:val="FootnoteReference"/>
        </w:rPr>
        <w:footnoteReference w:id="42"/>
      </w:r>
      <w:r>
        <w:rPr>
          <w:sz w:val="20"/>
          <w:szCs w:val="20"/>
        </w:rPr>
        <w:t xml:space="preserve"> y pidió a la Secretaría del Fondo que enviara cartas a los gobiernos pertinentes en relación con las decisiones sobre retrasos en la presentación de tramos anexas al informe de dicha reunión.</w:t>
      </w:r>
      <w:r>
        <w:rPr>
          <w:rStyle w:val="FootnoteReference"/>
        </w:rPr>
        <w:footnoteReference w:id="43"/>
      </w:r>
      <w:r>
        <w:rPr>
          <w:sz w:val="20"/>
          <w:szCs w:val="20"/>
        </w:rPr>
        <w:t xml:space="preserve"> No obstante, tomó nota de que los organismos de ejecución pertinentes habían indicado que la presentación tardía de los tramos de acuerdos plurianuales que debían presentarse no afectaría al cumplimiento del Protocolo de Montreal por los países y de que no había indicios, salvo en un caso, de que los países en cuestión estuvieran incumpliendo las medidas de control del Protocolo de Montreal (decisión 98/19).</w:t>
      </w:r>
    </w:p>
    <w:p w14:paraId="41F70446" w14:textId="7693A05B" w:rsidR="00511DA2" w:rsidRPr="00163A0B" w:rsidRDefault="0040579D" w:rsidP="005C1769">
      <w:pPr>
        <w:pStyle w:val="PlantillaESCH3"/>
        <w:tabs>
          <w:tab w:val="clear" w:pos="851"/>
          <w:tab w:val="clear" w:pos="1247"/>
          <w:tab w:val="left" w:pos="1253"/>
        </w:tabs>
        <w:ind w:left="1253" w:right="27" w:hanging="620"/>
        <w:rPr>
          <w:lang w:val="es-ES"/>
        </w:rPr>
      </w:pPr>
      <w:r>
        <w:rPr>
          <w:lang w:val="es-ES"/>
        </w:rPr>
        <w:t>c)</w:t>
        <w:tab/>
        <w:t>Informes sobre la marcha de las actividades</w:t>
      </w:r>
    </w:p>
    <w:p w14:paraId="3C6BBD2F" w14:textId="1588FE0F" w:rsidR="00511DA2" w:rsidRPr="00163A0B" w:rsidRDefault="00511DA2" w:rsidP="005C1769">
      <w:pPr>
        <w:pStyle w:val="Heading3"/>
        <w:widowControl/>
        <w:numPr>
          <w:ilvl w:val="2"/>
          <w:numId w:val="16"/>
        </w:numPr>
        <w:ind w:left="1276" w:right="27" w:firstLine="0"/>
        <w:rPr>
          <w:sz w:val="20"/>
          <w:szCs w:val="20"/>
        </w:rPr>
      </w:pPr>
      <w:r>
        <w:rPr>
          <w:sz w:val="20"/>
          <w:szCs w:val="20"/>
        </w:rPr>
        <w:t>En la 97ª reunión, el Comité Ejecutivo tomó nota del informe consolidado sobre la marcha de las actividades del Fondo Multilateral al 31 de diciembre de 2024.</w:t>
      </w:r>
      <w:r>
        <w:rPr>
          <w:rStyle w:val="FootnoteReference"/>
        </w:rPr>
        <w:footnoteReference w:id="44"/>
      </w:r>
      <w:r>
        <w:rPr>
          <w:sz w:val="20"/>
          <w:szCs w:val="20"/>
        </w:rPr>
        <w:t xml:space="preserve"> También tomó nota de los informes sobre la marcha de las actividades, a fecha 31 de diciembre de 2024, de los organismos bilaterales</w:t>
      </w:r>
      <w:r>
        <w:rPr>
          <w:rStyle w:val="FootnoteReference"/>
        </w:rPr>
        <w:footnoteReference w:id="45"/>
      </w:r>
      <w:r>
        <w:rPr>
          <w:sz w:val="20"/>
          <w:szCs w:val="20"/>
        </w:rPr>
        <w:t xml:space="preserve"> (los Gobiernos de Australia, Austria, Francia, Alemania, Italia, Japón, España y el Reino Unido de Gran Bretaña e Irlanda del Norte), el PNUD,</w:t>
      </w:r>
      <w:r>
        <w:rPr>
          <w:rStyle w:val="FootnoteReference"/>
        </w:rPr>
        <w:footnoteReference w:id="46"/>
      </w:r>
      <w:r>
        <w:rPr>
          <w:sz w:val="20"/>
          <w:szCs w:val="20"/>
        </w:rPr>
        <w:t xml:space="preserve"> el PNUMA,</w:t>
      </w:r>
      <w:r>
        <w:rPr>
          <w:rStyle w:val="FootnoteReference"/>
        </w:rPr>
        <w:footnoteReference w:id="47"/>
      </w:r>
      <w:r>
        <w:rPr>
          <w:sz w:val="20"/>
          <w:szCs w:val="20"/>
        </w:rPr>
        <w:t xml:space="preserve"> la ONUDI</w:t>
      </w:r>
      <w:r>
        <w:rPr>
          <w:rStyle w:val="FootnoteReference"/>
        </w:rPr>
        <w:footnoteReference w:id="48"/>
      </w:r>
      <w:r>
        <w:rPr>
          <w:sz w:val="20"/>
          <w:szCs w:val="20"/>
        </w:rPr>
        <w:t xml:space="preserve"> y el Banco Mundial.</w:t>
      </w:r>
      <w:r>
        <w:rPr>
          <w:rStyle w:val="FootnoteReference"/>
        </w:rPr>
        <w:footnoteReference w:id="49"/>
      </w:r>
      <w:r>
        <w:rPr>
          <w:sz w:val="20"/>
          <w:szCs w:val="20"/>
        </w:rPr>
        <w:t xml:space="preserve"> Para todos los informes sobre la marcha de las actividades, el Comité aprobó las recomendaciones relativas a los proyectos en curso con cuestiones específicas que figuraban en los anexos correspondientes del informe de la reunión.</w:t>
      </w:r>
      <w:r>
        <w:rPr>
          <w:rStyle w:val="FootnoteReference"/>
        </w:rPr>
        <w:footnoteReference w:id="50"/>
      </w:r>
      <w:r>
        <w:rPr>
          <w:sz w:val="20"/>
          <w:szCs w:val="20"/>
        </w:rPr>
        <w:t xml:space="preserve"> También adoptó otras medidas, como la prórroga de las fechas de terminación de la preparación de un inventario nacional de bancos de sustancias controladas de desecho y la elaboración de un plan nacional para la gestión de esas sustancias para 40 países y de otros seis proyectos, incluidos tramos de PGEH para cuatro países. El Comité Ejecutivo también pidió a la Secretaría del Fondo que enviara una carta a un país y al organismo de ejecución pertinente, con respecto a la posible cancelación del PGEH del país (decisiones 97/9 a 97/14).</w:t>
      </w:r>
    </w:p>
    <w:p w14:paraId="0C45800E" w14:textId="73EECD9C" w:rsidR="00511DA2" w:rsidRPr="00C65475" w:rsidRDefault="00511DA2" w:rsidP="00500E0D">
      <w:pPr>
        <w:pStyle w:val="PlantillaESCH3"/>
        <w:tabs>
          <w:tab w:val="clear" w:pos="851"/>
          <w:tab w:val="clear" w:pos="1247"/>
          <w:tab w:val="left" w:pos="1253"/>
        </w:tabs>
        <w:ind w:left="1253" w:right="27" w:hanging="620"/>
        <w:jc w:val="both"/>
        <w:rPr>
          <w:lang w:val="es-ES"/>
        </w:rPr>
      </w:pPr>
      <w:r>
        <w:rPr>
          <w:lang w:val="es-ES"/>
        </w:rPr>
        <w:t>d)</w:t>
        <w:tab/>
        <w:t>Informes de situación e informes sobre los proyectos con requisitos específicos de presentación de informes</w:t>
      </w:r>
    </w:p>
    <w:p w14:paraId="614E539A" w14:textId="77AC6B10" w:rsidR="000F0039" w:rsidRPr="00C65475" w:rsidRDefault="00511DA2" w:rsidP="005C1769">
      <w:pPr>
        <w:pStyle w:val="Heading3"/>
        <w:widowControl/>
        <w:numPr>
          <w:ilvl w:val="2"/>
          <w:numId w:val="16"/>
        </w:numPr>
        <w:ind w:left="1276" w:right="27" w:firstLine="0"/>
        <w:rPr>
          <w:sz w:val="20"/>
          <w:szCs w:val="20"/>
        </w:rPr>
      </w:pPr>
      <w:r>
        <w:rPr>
          <w:sz w:val="20"/>
          <w:szCs w:val="20"/>
        </w:rPr>
        <w:t>En la 97ª reunión</w:t>
      </w:r>
      <w:r>
        <w:rPr>
          <w:rStyle w:val="FootnoteReference"/>
        </w:rPr>
        <w:footnoteReference w:id="51"/>
      </w:r>
      <w:r>
        <w:rPr>
          <w:sz w:val="20"/>
          <w:szCs w:val="20"/>
        </w:rPr>
        <w:t xml:space="preserve"> y en la 98ª reunión,</w:t>
      </w:r>
      <w:r>
        <w:rPr>
          <w:rStyle w:val="FootnoteReference"/>
        </w:rPr>
        <w:footnoteReference w:id="52"/>
      </w:r>
      <w:r>
        <w:rPr>
          <w:sz w:val="20"/>
          <w:szCs w:val="20"/>
        </w:rPr>
        <w:t xml:space="preserve"> el Comité Ejecutivo examinó documentos que contenían informes de situación sobre proyectos con requisitos específicos de presentación de informes.</w:t>
      </w:r>
    </w:p>
    <w:p w14:paraId="14EA35D5" w14:textId="791E6F1B" w:rsidR="001335E3" w:rsidRPr="00C65475" w:rsidRDefault="00511DA2" w:rsidP="005C1769">
      <w:pPr>
        <w:pStyle w:val="Heading3"/>
        <w:widowControl/>
        <w:numPr>
          <w:ilvl w:val="2"/>
          <w:numId w:val="16"/>
        </w:numPr>
        <w:ind w:left="1276" w:right="27" w:firstLine="0"/>
        <w:rPr>
          <w:sz w:val="20"/>
          <w:szCs w:val="20"/>
        </w:rPr>
      </w:pPr>
      <w:r>
        <w:rPr>
          <w:sz w:val="20"/>
          <w:szCs w:val="20"/>
        </w:rPr>
        <w:lastRenderedPageBreak/>
        <w:t xml:space="preserve">Los proyectos para los que no había cuestiones pendientes de políticas, costos u otras cuestiones en la 97ª reunión se referían a los PGEH de cuatro países; los proyectos de Acuerdos entre los gobiernos y el Comité Ejecutivo para la reducción del consumo de HFC de conformidad con la etapa I de los PAK para 14 países; actividades adicionales para mantener la eficiencia energética en el sector de refrigeración, en virtud de la decisión 89/6, para un país; una solicitud de cambio de organismo de ejecución para la etapa III del PGEH y la etapa I del PAK para un país; y una solicitud de cancelación de proyectos en curso en un país. En la 98ª reunión, los informes se referían a proyectos con retrasos de ejecución y para los que se habían solicitado informes de situación especiales; PGEH para siete países; los proyectos de Acuerdos entre los gobiernos y el Comité Ejecutivo para la reducción del consumo de HFC de conformidad con la etapa I de los PAK para 34 países; actividades adicionales para mantener la eficiencia energética en el sector de refrigeración, en virtud de la decisión 89/6, para un país; un proyecto piloto para mantener y/o mejorar la eficiencia energética de las tecnologías y equipos de sustitución en el contexto de la reducción de los HFC, en virtud de la decisión 91/65, para un país; preparación de proyectos para mejorar la eficiencia energética en el contexto de la reducción de los HFC en el sector de fabricación de equipos de refrigeración y aire acondicionado, en virtud de la decisión 94/60, para un país; y preparación de un inventario nacional de bancos de sustancias controladas usadas o no deseadas y un plan para la recolección, transporte y eliminación de dichas sustancias, en virtud de la decisión 91/66, para un país.</w:t>
      </w:r>
    </w:p>
    <w:p w14:paraId="781FDBA8" w14:textId="5B0DE5DE" w:rsidR="00511DA2" w:rsidRPr="00C65475" w:rsidRDefault="001335E3" w:rsidP="005C1769">
      <w:pPr>
        <w:pStyle w:val="Heading3"/>
        <w:widowControl/>
        <w:numPr>
          <w:ilvl w:val="2"/>
          <w:numId w:val="16"/>
        </w:numPr>
        <w:ind w:left="1276" w:right="27" w:firstLine="0"/>
        <w:rPr>
          <w:sz w:val="20"/>
          <w:szCs w:val="20"/>
        </w:rPr>
      </w:pPr>
      <w:r>
        <w:rPr>
          <w:sz w:val="20"/>
          <w:szCs w:val="20"/>
        </w:rPr>
        <w:t xml:space="preserve">El Comité tomó nota de los informes y la información proporcionada y acordó una serie de medidas que incluyeron, en la 97ª reunión, la aprobación de 14 Acuerdos para la etapa I de los PAK que habían sido aprobados en las reuniones 92ª a 95ª, la transferencia de la ejecución de todas las actividades de la etapa III de un PGEH y la etapa I de un PAK para un país, de un organismo a otro, junto con la transferencia de los fondos conexos, y la cancelación de todos los proyectos en curso en un país. En la 98ª reunión, dichas medidas incluyeron la cancelación de todos los proyectos en curso en un país; la prórroga hasta el 31 de diciembre de 2027 de la fecha de terminación de los PGEH para dos países, la prórroga hasta el 31 de diciembre de 2026 de un proyecto piloto para mantener y/o mejorar la eficiencia energética de las tecnologías y equipos de sustitución en el contexto de la reducción de los HFC en un país y la prórroga hasta el 30 de junio de 2027 de la preparación, en un país, de un inventario nacional de bancos de sustancias controladas de desecho y la elaboración de un plan nacional para la gestión de esas sustancias; y la aprobación de 34 Acuerdos para la etapa I de los PAK aprobados entre las reuniones 92ª y 95ª.</w:t>
      </w:r>
      <w:r>
        <w:rPr>
          <w:rStyle w:val="FootnoteReference"/>
        </w:rPr>
        <w:footnoteReference w:id="53"/>
      </w:r>
      <w:r>
        <w:rPr>
          <w:sz w:val="20"/>
          <w:szCs w:val="20"/>
        </w:rPr>
        <w:t xml:space="preserve"> El Comité Ejecutivo también solicitó otras medidas a los países y a los organismos de ejecución (decisiones 97/15 a 97/19 y 98/4 a 98/16).</w:t>
      </w:r>
    </w:p>
    <w:p w14:paraId="793AAD78" w14:textId="7994495F" w:rsidR="00511DA2" w:rsidRPr="00C65475" w:rsidRDefault="00511DA2" w:rsidP="005C1769">
      <w:pPr>
        <w:pStyle w:val="Heading3"/>
        <w:widowControl/>
        <w:numPr>
          <w:ilvl w:val="2"/>
          <w:numId w:val="16"/>
        </w:numPr>
        <w:ind w:left="1276" w:right="27" w:firstLine="0"/>
        <w:rPr>
          <w:sz w:val="20"/>
          <w:szCs w:val="20"/>
        </w:rPr>
      </w:pPr>
      <w:r>
        <w:rPr>
          <w:sz w:val="20"/>
          <w:szCs w:val="20"/>
        </w:rPr>
        <w:t xml:space="preserve">En la 97ª reunión, se consideraron individualmente los PGEH para la República Islámica del Irán, Pakistán y Qatar. El Comité Ejecutivo tomó nota de los informes (decisiones 97/20 a 97/22) y aprobó, de forma excepcional, la prórroga de la duración de la etapa II del PGEH para la República Islámica del Irán (decisión 97/20) y la reasignación de saldos de financiación de una actividad a otras actividades de la etapa III del PGEH para Pakistán (decisión 97/21). </w:t>
      </w:r>
    </w:p>
    <w:p w14:paraId="5B1DD518" w14:textId="492D6FC2" w:rsidR="00865043" w:rsidRPr="00C65475" w:rsidRDefault="00511DA2" w:rsidP="005C1769">
      <w:pPr>
        <w:pStyle w:val="Heading3"/>
        <w:widowControl/>
        <w:numPr>
          <w:ilvl w:val="2"/>
          <w:numId w:val="16"/>
        </w:numPr>
        <w:ind w:left="1276" w:right="27" w:firstLine="0"/>
        <w:rPr>
          <w:sz w:val="20"/>
          <w:szCs w:val="20"/>
        </w:rPr>
      </w:pPr>
      <w:r>
        <w:rPr>
          <w:sz w:val="20"/>
          <w:szCs w:val="20"/>
        </w:rPr>
        <w:t>En la 98ª reunión, no hubo informes sobre proyectos con requisitos específicos de presentación de informes que tuvieran cuestiones pendientes para su examen individual.</w:t>
      </w:r>
    </w:p>
    <w:p w14:paraId="2284E757" w14:textId="77777777" w:rsidR="003E5C5A" w:rsidRPr="00C65475" w:rsidRDefault="003E5C5A" w:rsidP="005C1769">
      <w:pPr>
        <w:pStyle w:val="PlantillaESCH3"/>
        <w:tabs>
          <w:tab w:val="clear" w:pos="851"/>
          <w:tab w:val="clear" w:pos="1247"/>
          <w:tab w:val="left" w:pos="1253"/>
        </w:tabs>
        <w:ind w:left="1253" w:right="27" w:hanging="620"/>
        <w:rPr>
          <w:lang w:val="es-ES"/>
        </w:rPr>
      </w:pPr>
      <w:r>
        <w:rPr>
          <w:lang w:val="es-ES"/>
        </w:rPr>
        <w:t>e)</w:t>
        <w:tab/>
        <w:t>Informes consolidados de terminación de proyectos</w:t>
      </w:r>
    </w:p>
    <w:p w14:paraId="5FABC47A" w14:textId="77777777" w:rsidR="00865043" w:rsidRPr="00900B12" w:rsidRDefault="00865043" w:rsidP="005C1769">
      <w:pPr>
        <w:pStyle w:val="Heading3"/>
        <w:widowControl/>
        <w:numPr>
          <w:ilvl w:val="2"/>
          <w:numId w:val="16"/>
        </w:numPr>
        <w:ind w:left="1276" w:right="27" w:firstLine="0"/>
        <w:rPr>
          <w:b/>
          <w:sz w:val="20"/>
          <w:szCs w:val="20"/>
        </w:rPr>
      </w:pPr>
      <w:r>
        <w:rPr>
          <w:sz w:val="20"/>
          <w:szCs w:val="20"/>
        </w:rPr>
        <w:t>En la 98ª reunión, el Comité Ejecutivo examinó el informe consolidado de terminación de proyectos de 2026.</w:t>
      </w:r>
      <w:r>
        <w:rPr>
          <w:rStyle w:val="FootnoteReference"/>
        </w:rPr>
        <w:footnoteReference w:id="54"/>
      </w:r>
      <w:r>
        <w:rPr>
          <w:sz w:val="20"/>
          <w:szCs w:val="20"/>
        </w:rPr>
        <w:t xml:space="preserve"> Pidió a los organismos bilaterales y de ejecución que presentaran en la 99ª reunión, para su examen por el Comité Ejecutivo en la 100ª reunión, los informes de terminación de proyectos pendientes relativos a acuerdos plurianuales y proyectos individuales, o que explicaran las razones por las que no lo hacían. Se pidió a los organismos de ejecución principales y cooperantes que siguieran coordinando estrechamente su labor para finalizar sus respectivas partes de los informes de terminación de proyectos, a fin de facilitar su presentación puntual por parte del organismo de ejecución principal. Se pidió a los organismos bilaterales y de ejecución que, al cumplimentar los datos para la presentación de los informes de terminación de proyectos, se aseguraran de incluir información pertinente y útil y de informar sobre las lecciones aprendidas y las razones de los retrasos en la ejecución de los proyectos, con miras a utilizarlas para mejorar en el futuro el diseño y la ejecución de los proyectos. Se invitó a todos los participantes en la preparación y ejecución de acuerdos plurianuales y proyectos individuales, en particular a la Secretaría del Fondo y a los organismos bilaterales y de ejecución, a tener en cuenta </w:t>
        <w:lastRenderedPageBreak/>
        <w:t>las lecciones aprendidas de los informes de terminación de proyectos, cuando procediera (decisión 98/17).</w:t>
      </w:r>
    </w:p>
    <w:p w14:paraId="5B9D6E49" w14:textId="77777777" w:rsidR="00E41EC7" w:rsidRPr="00C65475" w:rsidRDefault="009C038C" w:rsidP="005C1769">
      <w:pPr>
        <w:pStyle w:val="PlantillaESCH2"/>
        <w:tabs>
          <w:tab w:val="clear" w:pos="851"/>
          <w:tab w:val="clear" w:pos="1247"/>
          <w:tab w:val="left" w:pos="1253"/>
        </w:tabs>
        <w:ind w:left="1253" w:right="27" w:hanging="620"/>
        <w:rPr>
          <w:lang w:val="es-ES"/>
        </w:rPr>
      </w:pPr>
      <w:r>
        <w:rPr>
          <w:lang w:val="es-ES"/>
        </w:rPr>
        <w:t>D.</w:t>
        <w:tab/>
        <w:t>Evaluación</w:t>
      </w:r>
    </w:p>
    <w:p w14:paraId="419CCAEC" w14:textId="77777777" w:rsidR="00CA1473" w:rsidRPr="00C65475" w:rsidRDefault="00CA1473" w:rsidP="005C1769">
      <w:pPr>
        <w:pStyle w:val="PlantillaESCH3"/>
        <w:tabs>
          <w:tab w:val="clear" w:pos="851"/>
          <w:tab w:val="clear" w:pos="1247"/>
          <w:tab w:val="left" w:pos="1253"/>
        </w:tabs>
        <w:ind w:left="1253" w:right="27" w:hanging="620"/>
        <w:rPr>
          <w:lang w:val="es-ES"/>
        </w:rPr>
      </w:pPr>
      <w:r>
        <w:rPr>
          <w:lang w:val="es-ES"/>
        </w:rPr>
        <w:t>a)</w:t>
        <w:tab/>
        <w:t>Desempeño de los organismos de ejecución</w:t>
      </w:r>
    </w:p>
    <w:p w14:paraId="3721A8DC" w14:textId="474501A5" w:rsidR="00CA1473" w:rsidRPr="00C65475" w:rsidRDefault="00CA1473" w:rsidP="005C1769">
      <w:pPr>
        <w:pStyle w:val="Heading3"/>
        <w:widowControl/>
        <w:numPr>
          <w:ilvl w:val="2"/>
          <w:numId w:val="16"/>
        </w:numPr>
        <w:ind w:left="1276" w:right="27" w:firstLine="0"/>
        <w:rPr>
          <w:bCs/>
          <w:sz w:val="20"/>
          <w:szCs w:val="20"/>
        </w:rPr>
      </w:pPr>
      <w:r>
        <w:rPr>
          <w:bCs/>
          <w:sz w:val="20"/>
          <w:szCs w:val="20"/>
        </w:rPr>
        <w:t>En la 97ª reunión, el Comité Ejecutivo tomó nota de la evaluación del desempeño de los organismos de ejecución comparándolos con sus planes administrativos para 2024.</w:t>
      </w:r>
      <w:r>
        <w:rPr>
          <w:rStyle w:val="FootnoteReference"/>
        </w:rPr>
        <w:footnoteReference w:id="55"/>
      </w:r>
      <w:r>
        <w:rPr>
          <w:bCs/>
          <w:sz w:val="20"/>
          <w:szCs w:val="20"/>
        </w:rPr>
        <w:t xml:space="preserve"> Todos los organismos de ejecución tuvieron una evaluación cuantitativa de su desempeño para 2024 de 84 como mínimo en una escala de 100, y el desempeño cuantitativo del PNUD y el PNUMA en 2024 había mejorado en comparación con 2023. No obstante, el análisis de tendencias indicó que, en 2024, para algunos indicadores, el desempeño de los organismos de ejecución no había mejorado en comparación con 2023. El Comité tomó nota, con reconocimiento, de los esfuerzos de los organismos bilaterales y de ejecución en cuanto a mantener conversaciones abiertas y constructivas con las respectivas dependencias nacionales del ozono sobre los ámbitos en que sus servicios fueron percibidos no del todo satisfactorios y de que los resultados logrados por estas consultas habían sido satisfactorios. El Comité Ejecutivo alentó a las dependencias nacionales del ozono a presentar anualmente y con puntualidad su evaluación del desempeño cualitativo de los organismos bilaterales y de ejecución que colaboraban con sus gobiernos (decisión 97/7).</w:t>
      </w:r>
    </w:p>
    <w:p w14:paraId="2157D3B2" w14:textId="20249ED8" w:rsidR="00CA1473" w:rsidRPr="00C65475" w:rsidRDefault="00CA1473" w:rsidP="005C1769">
      <w:pPr>
        <w:pStyle w:val="PlantillaESCH3"/>
        <w:tabs>
          <w:tab w:val="clear" w:pos="851"/>
          <w:tab w:val="clear" w:pos="1247"/>
          <w:tab w:val="left" w:pos="1253"/>
        </w:tabs>
        <w:ind w:left="1253" w:right="27" w:hanging="620"/>
        <w:rPr>
          <w:lang w:val="es-ES"/>
        </w:rPr>
      </w:pPr>
      <w:r>
        <w:rPr>
          <w:lang w:val="es-ES"/>
        </w:rPr>
        <w:t>b)</w:t>
        <w:tab/>
        <w:t>Informe anual sobre la ejecución del programa de trabajo de supervisión y evaluación para 2025 y del programa de trabajo de evaluación para 2026</w:t>
      </w:r>
    </w:p>
    <w:p w14:paraId="416109FD" w14:textId="404FCE07" w:rsidR="00CA1473" w:rsidRPr="00C65475" w:rsidRDefault="00CA1473" w:rsidP="005C1769">
      <w:pPr>
        <w:pStyle w:val="Heading3"/>
        <w:widowControl/>
        <w:numPr>
          <w:ilvl w:val="2"/>
          <w:numId w:val="16"/>
        </w:numPr>
        <w:ind w:left="1276" w:right="27" w:firstLine="0"/>
        <w:rPr>
          <w:b/>
          <w:bCs/>
          <w:sz w:val="20"/>
          <w:szCs w:val="20"/>
          <w:lang w:bidi="hi-IN"/>
        </w:rPr>
      </w:pPr>
      <w:r>
        <w:rPr>
          <w:sz w:val="20"/>
          <w:szCs w:val="20"/>
        </w:rPr>
        <w:t>En la 97ª reunión, el Comité Ejecutivo examinó el informe anual sobre la ejecución del programa de trabajo de supervisión y evaluación para 2025, incluida la experiencia de prueba de un ciclo bienal para el programa de trabajo y el presupuesto, y el programa de trabajo de evaluación para 2026.</w:t>
      </w:r>
      <w:r>
        <w:rPr>
          <w:rStyle w:val="FootnoteReference"/>
        </w:rPr>
        <w:footnoteReference w:id="56"/>
      </w:r>
      <w:r>
        <w:rPr>
          <w:sz w:val="20"/>
          <w:szCs w:val="20"/>
        </w:rPr>
        <w:t xml:space="preserve"> Aprobó el programa de trabajo de evaluación para 2026 anexo al informe de dicha reunión,</w:t>
      </w:r>
      <w:r>
        <w:rPr>
          <w:rStyle w:val="FootnoteReference"/>
        </w:rPr>
        <w:footnoteReference w:id="57"/>
      </w:r>
      <w:r>
        <w:rPr>
          <w:sz w:val="20"/>
          <w:szCs w:val="20"/>
        </w:rPr>
        <w:t xml:space="preserve"> y tomó nota de que el saldo provisional restante del presupuesto para 2025, que ascendía a USD 131.759, se trasladaría al presupuesto de evaluación correspondiente para el año 2026 (decisión 97/8).</w:t>
      </w:r>
    </w:p>
    <w:p w14:paraId="42C8FCD6" w14:textId="77777777" w:rsidR="001D4217" w:rsidRPr="00C65475" w:rsidRDefault="00182CF0" w:rsidP="005C1769">
      <w:pPr>
        <w:pStyle w:val="PlantillaESCH2"/>
        <w:tabs>
          <w:tab w:val="clear" w:pos="851"/>
          <w:tab w:val="clear" w:pos="1247"/>
          <w:tab w:val="left" w:pos="1253"/>
        </w:tabs>
        <w:ind w:left="1253" w:right="27" w:hanging="620"/>
        <w:rPr>
          <w:lang w:val="es-ES"/>
        </w:rPr>
      </w:pPr>
      <w:r>
        <w:rPr>
          <w:lang w:val="es-ES"/>
        </w:rPr>
        <w:t>E.</w:t>
        <w:tab/>
        <w:t>Planificación administrativa y asuntos financieros</w:t>
      </w:r>
    </w:p>
    <w:p w14:paraId="339873FC" w14:textId="77777777" w:rsidR="001D4217" w:rsidRPr="00C65475" w:rsidRDefault="001D4217" w:rsidP="005C1769">
      <w:pPr>
        <w:pStyle w:val="PlantillaESCH3"/>
        <w:tabs>
          <w:tab w:val="clear" w:pos="851"/>
          <w:tab w:val="clear" w:pos="1247"/>
          <w:tab w:val="left" w:pos="1253"/>
        </w:tabs>
        <w:ind w:left="1253" w:right="27" w:hanging="620"/>
        <w:rPr>
          <w:lang w:val="es-ES"/>
        </w:rPr>
      </w:pPr>
      <w:r>
        <w:rPr>
          <w:lang w:val="es-ES"/>
        </w:rPr>
        <w:t>1.</w:t>
        <w:tab/>
        <w:t>Planificación administrativa</w:t>
      </w:r>
    </w:p>
    <w:p w14:paraId="7AA66701" w14:textId="13BFD09C" w:rsidR="00CA1473" w:rsidRPr="00C65475" w:rsidRDefault="00CA1473" w:rsidP="005C1769">
      <w:pPr>
        <w:pStyle w:val="Heading3"/>
        <w:widowControl/>
        <w:numPr>
          <w:ilvl w:val="2"/>
          <w:numId w:val="16"/>
        </w:numPr>
        <w:ind w:left="1276" w:right="27" w:firstLine="0"/>
        <w:rPr>
          <w:sz w:val="20"/>
          <w:szCs w:val="20"/>
        </w:rPr>
      </w:pPr>
      <w:r>
        <w:rPr>
          <w:sz w:val="20"/>
          <w:szCs w:val="20"/>
        </w:rPr>
        <w:t>En la 97ª reunión, el Comité Ejecutivo examinó una actualización del estado de ejecución del plan administrativo consolidado del Fondo Multilateral para 2025-2027,</w:t>
      </w:r>
      <w:r>
        <w:rPr>
          <w:rStyle w:val="FootnoteReference"/>
        </w:rPr>
        <w:footnoteReference w:id="58"/>
      </w:r>
      <w:r>
        <w:rPr>
          <w:sz w:val="20"/>
          <w:szCs w:val="20"/>
        </w:rPr>
        <w:t xml:space="preserve"> tomando nota del valor total de las actividades presentadas a la 97ª reunión (decisión 97/23).</w:t>
      </w:r>
    </w:p>
    <w:p w14:paraId="5CCA971C" w14:textId="09667304" w:rsidR="00CA1473" w:rsidRPr="00C65475" w:rsidRDefault="00CA1473" w:rsidP="005C1769">
      <w:pPr>
        <w:pStyle w:val="Heading3"/>
        <w:widowControl/>
        <w:numPr>
          <w:ilvl w:val="2"/>
          <w:numId w:val="16"/>
        </w:numPr>
        <w:ind w:left="1276" w:right="27" w:firstLine="0"/>
        <w:rPr>
          <w:bCs/>
          <w:sz w:val="20"/>
          <w:szCs w:val="20"/>
        </w:rPr>
      </w:pPr>
      <w:r>
        <w:rPr>
          <w:bCs/>
          <w:sz w:val="20"/>
          <w:szCs w:val="20"/>
        </w:rPr>
        <w:t>Asimismo, en la 97ª reunión, el Comité Ejecutivo examinó el plan administrativo consolidado del Fondo Multilateral para 2026-2028.</w:t>
      </w:r>
      <w:r>
        <w:rPr>
          <w:rStyle w:val="FootnoteReference"/>
        </w:rPr>
        <w:footnoteReference w:id="59"/>
      </w:r>
      <w:r>
        <w:rPr>
          <w:bCs/>
          <w:sz w:val="20"/>
          <w:szCs w:val="20"/>
        </w:rPr>
        <w:t xml:space="preserve"> Tras realizar una serie de ajustes, avaló el plan administrativo consolidado para 2026-2028, señalando que dicho aval no suponía la aprobación ni de los proyectos incluidos en ese plan ni de sus niveles de financiación o tonelaje. El Comité también pidió a la Secretaría del Fondo que preparara un breve documento para su examen por el Comité Ejecutivo en su 99ª reunión sobre la actualización de las directrices sobre la preparación de proyectos para la etapa I de los PAK para su uso durante la preparación de la etapa II de los PAK (decisión 97/24). El Comité Ejecutivo también examinó los planes administrativos para 2026-2028 de los organismos bilaterales (Gobiernos de Australia, Francia, Alemania, Italia y el Reino Unido de Gran Bretaña e Irlanda del Norte),</w:t>
      </w:r>
      <w:r>
        <w:rPr>
          <w:rStyle w:val="FootnoteReference"/>
        </w:rPr>
        <w:footnoteReference w:id="60"/>
      </w:r>
      <w:r>
        <w:rPr>
          <w:bCs/>
          <w:sz w:val="20"/>
          <w:szCs w:val="20"/>
        </w:rPr>
        <w:t xml:space="preserve"> el PNUD,</w:t>
      </w:r>
      <w:r>
        <w:rPr>
          <w:rStyle w:val="FootnoteReference"/>
        </w:rPr>
        <w:footnoteReference w:id="61"/>
      </w:r>
      <w:r>
        <w:rPr>
          <w:bCs/>
          <w:sz w:val="20"/>
          <w:szCs w:val="20"/>
        </w:rPr>
        <w:t xml:space="preserve"> el PNUMA,</w:t>
      </w:r>
      <w:r>
        <w:rPr>
          <w:rStyle w:val="FootnoteReference"/>
        </w:rPr>
        <w:footnoteReference w:id="62"/>
      </w:r>
      <w:r>
        <w:rPr>
          <w:bCs/>
          <w:sz w:val="20"/>
          <w:szCs w:val="20"/>
        </w:rPr>
        <w:t xml:space="preserve"> la ONUDI</w:t>
      </w:r>
      <w:r>
        <w:rPr>
          <w:rStyle w:val="FootnoteReference"/>
        </w:rPr>
        <w:footnoteReference w:id="63"/>
      </w:r>
      <w:r>
        <w:rPr>
          <w:bCs/>
          <w:sz w:val="20"/>
          <w:szCs w:val="20"/>
        </w:rPr>
        <w:t xml:space="preserve"> y el Banco Mundial.</w:t>
      </w:r>
      <w:r>
        <w:rPr>
          <w:rStyle w:val="FootnoteReference"/>
        </w:rPr>
        <w:footnoteReference w:id="64"/>
      </w:r>
      <w:r>
        <w:rPr>
          <w:bCs/>
          <w:sz w:val="20"/>
          <w:szCs w:val="20"/>
        </w:rPr>
        <w:t xml:space="preserve"> Tomando nota de los planes, aprobó los indicadores de </w:t>
        <w:lastRenderedPageBreak/>
        <w:t>desempeño para el PNUD, el PNUMA, la ONUDI y el Banco Mundial que figuran en los anexos pertinentes del informe de dicha reunión</w:t>
      </w:r>
      <w:r>
        <w:rPr>
          <w:rStyle w:val="FootnoteReference"/>
        </w:rPr>
        <w:footnoteReference w:id="65"/>
      </w:r>
      <w:r>
        <w:rPr>
          <w:bCs/>
          <w:sz w:val="20"/>
          <w:szCs w:val="20"/>
        </w:rPr>
        <w:t xml:space="preserve"> (decisiones 97/25 a 97/29).</w:t>
      </w:r>
    </w:p>
    <w:p w14:paraId="6313EFDA" w14:textId="1DD05476" w:rsidR="0040579D" w:rsidRPr="00C65475" w:rsidRDefault="00CA1473" w:rsidP="005C1769">
      <w:pPr>
        <w:pStyle w:val="Heading3"/>
        <w:widowControl/>
        <w:numPr>
          <w:ilvl w:val="2"/>
          <w:numId w:val="16"/>
        </w:numPr>
        <w:ind w:left="1276" w:right="27" w:firstLine="0"/>
        <w:rPr>
          <w:sz w:val="20"/>
          <w:szCs w:val="20"/>
        </w:rPr>
      </w:pPr>
      <w:r>
        <w:rPr>
          <w:sz w:val="20"/>
          <w:szCs w:val="20"/>
        </w:rPr>
        <w:t>En la 98ª reunión, el Comité Ejecutivo examinó una actualización del estado de ejecución del plan administrativo consolidado para 2026-2028,</w:t>
      </w:r>
      <w:r>
        <w:rPr>
          <w:rStyle w:val="FootnoteReference"/>
        </w:rPr>
        <w:footnoteReference w:id="66"/>
      </w:r>
      <w:r>
        <w:rPr>
          <w:sz w:val="20"/>
          <w:szCs w:val="20"/>
        </w:rPr>
        <w:t xml:space="preserve"> tomando nota del valor total de las actividades presentadas a la 98ª reunión (decisión 98/18).</w:t>
      </w:r>
    </w:p>
    <w:p w14:paraId="0EE56081" w14:textId="77777777" w:rsidR="00244D65" w:rsidRPr="00C65475" w:rsidRDefault="00244D65" w:rsidP="005C1769">
      <w:pPr>
        <w:pStyle w:val="PlantillaESCH3"/>
        <w:tabs>
          <w:tab w:val="clear" w:pos="851"/>
          <w:tab w:val="clear" w:pos="1247"/>
          <w:tab w:val="left" w:pos="1253"/>
        </w:tabs>
        <w:ind w:left="1253" w:right="27" w:hanging="620"/>
        <w:rPr>
          <w:lang w:val="es-ES"/>
        </w:rPr>
      </w:pPr>
      <w:r>
        <w:rPr>
          <w:lang w:val="es-ES"/>
        </w:rPr>
        <w:t>2.</w:t>
        <w:tab/>
        <w:t>Asuntos financieros</w:t>
      </w:r>
    </w:p>
    <w:p w14:paraId="10B3F455" w14:textId="77777777" w:rsidR="00244D65" w:rsidRPr="00C65475" w:rsidRDefault="00244D65" w:rsidP="005C1769">
      <w:pPr>
        <w:pStyle w:val="PlantillaESCH3"/>
        <w:tabs>
          <w:tab w:val="clear" w:pos="851"/>
          <w:tab w:val="clear" w:pos="1247"/>
          <w:tab w:val="left" w:pos="1253"/>
        </w:tabs>
        <w:ind w:left="1253" w:right="27" w:hanging="620"/>
        <w:rPr>
          <w:lang w:val="es-ES"/>
        </w:rPr>
      </w:pPr>
      <w:r>
        <w:rPr>
          <w:lang w:val="es-ES"/>
        </w:rPr>
        <w:t>a)</w:t>
        <w:tab/>
        <w:t>Situación del Fondo Multilateral</w:t>
      </w:r>
    </w:p>
    <w:p w14:paraId="62B10E95" w14:textId="3F6CBCEA" w:rsidR="00CA1473" w:rsidRPr="00C65475" w:rsidRDefault="00CA1473" w:rsidP="005C1769">
      <w:pPr>
        <w:pStyle w:val="Heading3"/>
        <w:widowControl/>
        <w:numPr>
          <w:ilvl w:val="2"/>
          <w:numId w:val="16"/>
        </w:numPr>
        <w:ind w:left="1276" w:right="27" w:firstLine="0"/>
        <w:rPr>
          <w:bCs/>
          <w:sz w:val="20"/>
          <w:szCs w:val="20"/>
        </w:rPr>
      </w:pPr>
      <w:r>
        <w:rPr>
          <w:bCs/>
          <w:sz w:val="20"/>
          <w:szCs w:val="20"/>
        </w:rPr>
        <w:t>A fecha de 19 de junio de 2026, los ingresos totales del Fondo Multilateral, incluidos los pagos en efectivo, los pagarés en su poder, las contribuciones bilaterales, los intereses devengados y los ingresos varios, ascendían a USD 5.297.824.839, mientras que las asignaciones totales, incluidas las provisiones, ascendían a USD 4.599.972.341. Por lo tanto, el saldo disponible ascendía a USD 697.852.498.</w:t>
      </w:r>
      <w:r>
        <w:rPr>
          <w:rStyle w:val="FootnoteReference"/>
        </w:rPr>
        <w:footnoteReference w:id="67"/>
      </w:r>
    </w:p>
    <w:p w14:paraId="3D8962B0" w14:textId="77777777" w:rsidR="00244D65" w:rsidRPr="00C65475" w:rsidRDefault="00244D65" w:rsidP="005C1769">
      <w:pPr>
        <w:pStyle w:val="PlantillaESCH3"/>
        <w:tabs>
          <w:tab w:val="clear" w:pos="851"/>
          <w:tab w:val="clear" w:pos="1247"/>
          <w:tab w:val="left" w:pos="1253"/>
        </w:tabs>
        <w:ind w:left="1253" w:right="27" w:hanging="620"/>
        <w:rPr>
          <w:lang w:val="es-ES"/>
        </w:rPr>
      </w:pPr>
      <w:r>
        <w:rPr>
          <w:lang w:val="es-ES"/>
        </w:rPr>
        <w:t>b)</w:t>
        <w:tab/>
        <w:t>Contribuciones y desembolsos, saldos y recursos y cuentas y presupuestos</w:t>
      </w:r>
    </w:p>
    <w:p w14:paraId="5A9BDDBE" w14:textId="3F4CC2C0" w:rsidR="000C3CE5" w:rsidRPr="00C65475" w:rsidRDefault="00CA1473" w:rsidP="005C1769">
      <w:pPr>
        <w:pStyle w:val="Heading3"/>
        <w:widowControl/>
        <w:numPr>
          <w:ilvl w:val="2"/>
          <w:numId w:val="16"/>
        </w:numPr>
        <w:ind w:left="1276" w:right="27" w:firstLine="0"/>
        <w:rPr>
          <w:bCs/>
          <w:sz w:val="20"/>
          <w:szCs w:val="20"/>
        </w:rPr>
      </w:pPr>
      <w:r>
        <w:rPr>
          <w:bCs/>
          <w:sz w:val="20"/>
          <w:szCs w:val="20"/>
        </w:rPr>
        <w:t>En la 97ª reunión, el Comité Ejecutivo examinó el informe de Tesorería sobre la situación de las contribuciones y los desembolsos,</w:t>
      </w:r>
      <w:r>
        <w:rPr>
          <w:rStyle w:val="FootnoteReference"/>
        </w:rPr>
        <w:footnoteReference w:id="68"/>
      </w:r>
      <w:r>
        <w:rPr>
          <w:bCs/>
          <w:sz w:val="20"/>
          <w:szCs w:val="20"/>
        </w:rPr>
        <w:t xml:space="preserve"> el informe sobre saldos y disponibilidad de recursos,</w:t>
      </w:r>
      <w:r>
        <w:rPr>
          <w:rStyle w:val="FootnoteReference"/>
        </w:rPr>
        <w:footnoteReference w:id="69"/>
      </w:r>
      <w:r>
        <w:rPr>
          <w:bCs/>
          <w:sz w:val="20"/>
          <w:szCs w:val="20"/>
        </w:rPr>
        <w:t xml:space="preserve"> las cuentas definitivas de 2024 del Fondo Multilateral</w:t>
      </w:r>
      <w:r>
        <w:rPr>
          <w:rStyle w:val="FootnoteReference"/>
        </w:rPr>
        <w:footnoteReference w:id="70"/>
      </w:r>
      <w:r>
        <w:rPr>
          <w:bCs/>
          <w:sz w:val="20"/>
          <w:szCs w:val="20"/>
        </w:rPr>
        <w:t xml:space="preserve"> y la conciliación de las cuentas de 2024,</w:t>
      </w:r>
      <w:r>
        <w:rPr>
          <w:rStyle w:val="FootnoteReference"/>
        </w:rPr>
        <w:footnoteReference w:id="71"/>
      </w:r>
      <w:r>
        <w:rPr>
          <w:bCs/>
          <w:sz w:val="20"/>
          <w:szCs w:val="20"/>
        </w:rPr>
        <w:t xml:space="preserve"> solicitando medidas conexas de las partes, los organismos de ejecución, la Tesorería y la Directora (decisiones 97/1 a 97/4). También examinó los presupuestos revisados de la Secretaría del Fondo para 2026 y 2027 y el presupuesto propuesto para 2028</w:t>
      </w:r>
      <w:r>
        <w:rPr>
          <w:rStyle w:val="FootnoteReference"/>
        </w:rPr>
        <w:footnoteReference w:id="72"/>
      </w:r>
      <w:r>
        <w:rPr>
          <w:bCs/>
          <w:sz w:val="20"/>
          <w:szCs w:val="20"/>
        </w:rPr>
        <w:t xml:space="preserve"> y aprobó los presupuestos revisados para 2026 y 2027 y el presupuesto propuesto para 2028 de la Secretaría del Fondo anexos al informe de la 97ª reunión</w:t>
      </w:r>
      <w:r>
        <w:rPr>
          <w:rStyle w:val="FootnoteReference"/>
        </w:rPr>
        <w:footnoteReference w:id="73"/>
      </w:r>
      <w:r>
        <w:rPr>
          <w:bCs/>
          <w:sz w:val="20"/>
          <w:szCs w:val="20"/>
        </w:rPr>
        <w:t xml:space="preserve"> (decisión 97/5).</w:t>
      </w:r>
    </w:p>
    <w:p w14:paraId="289699C4" w14:textId="651917A8" w:rsidR="00CA1473" w:rsidRPr="00C65475" w:rsidRDefault="00CA1473" w:rsidP="005C1769">
      <w:pPr>
        <w:pStyle w:val="Heading3"/>
        <w:widowControl/>
        <w:numPr>
          <w:ilvl w:val="2"/>
          <w:numId w:val="16"/>
        </w:numPr>
        <w:ind w:left="1276" w:right="27" w:firstLine="0"/>
        <w:rPr>
          <w:bCs/>
          <w:sz w:val="20"/>
          <w:szCs w:val="20"/>
        </w:rPr>
      </w:pPr>
      <w:r>
        <w:rPr>
          <w:bCs/>
          <w:sz w:val="20"/>
          <w:szCs w:val="20"/>
        </w:rPr>
        <w:t>En la 98ª reunión, el Comité Ejecutivo examinó el informe de Tesorería sobre la situación de las contribuciones y los desembolsos</w:t>
      </w:r>
      <w:r>
        <w:rPr>
          <w:rStyle w:val="FootnoteReference"/>
        </w:rPr>
        <w:footnoteReference w:id="74"/>
      </w:r>
      <w:r>
        <w:rPr>
          <w:bCs/>
          <w:sz w:val="20"/>
          <w:szCs w:val="20"/>
        </w:rPr>
        <w:t xml:space="preserve"> y el informe sobre saldos y disponibilidad de recursos,</w:t>
      </w:r>
      <w:r>
        <w:rPr>
          <w:rStyle w:val="FootnoteReference"/>
        </w:rPr>
        <w:footnoteReference w:id="75"/>
      </w:r>
      <w:r>
        <w:rPr>
          <w:bCs/>
          <w:sz w:val="20"/>
          <w:szCs w:val="20"/>
        </w:rPr>
        <w:t xml:space="preserve"> solicitando medidas conexas de las partes, los organismos de ejecución, la Tesorería y la Directora (decisiones 98/1 y 98/2).</w:t>
      </w:r>
    </w:p>
    <w:p w14:paraId="3495C294" w14:textId="25DF8785" w:rsidR="00CA1473" w:rsidRPr="00C65475" w:rsidRDefault="00CA1473" w:rsidP="005C1769">
      <w:pPr>
        <w:pStyle w:val="Heading3"/>
        <w:widowControl/>
        <w:numPr>
          <w:ilvl w:val="2"/>
          <w:numId w:val="16"/>
        </w:numPr>
        <w:ind w:left="1276" w:right="27" w:firstLine="0"/>
        <w:rPr>
          <w:sz w:val="20"/>
          <w:szCs w:val="20"/>
        </w:rPr>
      </w:pPr>
      <w:r>
        <w:rPr>
          <w:bCs/>
          <w:sz w:val="20"/>
          <w:szCs w:val="20"/>
        </w:rPr>
        <w:t>En las reuniones 97ª y 98ª, el Comité Ejecutivo pidió a la Tesorería que imputara el costo de los proyectos bilaterales aprobados en la reunión en cuestión a las contribuciones bilaterales de los gobiernos pertinentes (decisiones 97/34 y 98/25).</w:t>
      </w:r>
    </w:p>
    <w:p w14:paraId="70568174" w14:textId="77777777" w:rsidR="001D4217" w:rsidRPr="00C65475" w:rsidRDefault="00182CF0" w:rsidP="005C1769">
      <w:pPr>
        <w:pStyle w:val="PlantillaESCH2"/>
        <w:tabs>
          <w:tab w:val="clear" w:pos="851"/>
          <w:tab w:val="clear" w:pos="1247"/>
          <w:tab w:val="left" w:pos="1253"/>
        </w:tabs>
        <w:ind w:left="1253" w:right="27" w:hanging="620"/>
        <w:rPr>
          <w:lang w:val="es-ES"/>
        </w:rPr>
      </w:pPr>
      <w:r>
        <w:rPr>
          <w:lang w:val="es-ES"/>
        </w:rPr>
        <w:t>F.</w:t>
        <w:tab/>
        <w:t>Actividades de la Secretaría del Fondo</w:t>
      </w:r>
    </w:p>
    <w:p w14:paraId="41B1293D" w14:textId="47B61190" w:rsidR="00CA1473" w:rsidRPr="00C65475" w:rsidRDefault="00CA1473" w:rsidP="005C1769">
      <w:pPr>
        <w:pStyle w:val="Heading3"/>
        <w:widowControl/>
        <w:numPr>
          <w:ilvl w:val="2"/>
          <w:numId w:val="16"/>
        </w:numPr>
        <w:ind w:left="1276" w:right="27" w:firstLine="0"/>
        <w:rPr>
          <w:sz w:val="20"/>
          <w:szCs w:val="20"/>
        </w:rPr>
      </w:pPr>
      <w:r>
        <w:rPr>
          <w:bCs/>
          <w:sz w:val="20"/>
          <w:szCs w:val="20"/>
        </w:rPr>
        <w:t>En las reuniones 97ª</w:t>
      </w:r>
      <w:r>
        <w:rPr>
          <w:rStyle w:val="FootnoteReference"/>
        </w:rPr>
        <w:footnoteReference w:id="76"/>
      </w:r>
      <w:r>
        <w:rPr>
          <w:bCs/>
          <w:sz w:val="20"/>
          <w:szCs w:val="20"/>
        </w:rPr>
        <w:t> y 98ª,</w:t>
      </w:r>
      <w:r>
        <w:rPr>
          <w:rStyle w:val="FootnoteReference"/>
        </w:rPr>
        <w:footnoteReference w:id="77"/>
      </w:r>
      <w:r>
        <w:rPr>
          <w:bCs/>
          <w:sz w:val="20"/>
          <w:szCs w:val="20"/>
        </w:rPr>
        <w:t xml:space="preserve"> el Comité Ejecutivo tomó nota, con agradecimiento, de los informes sobre las actividades realizadas por la Secretaría desde la reunión anterior. En ambas reuniones, se informó al Comité sobre los progresos realizados en la elaboración del sistema de gestión del conocimiento.</w:t>
      </w:r>
    </w:p>
    <w:p w14:paraId="4487EACB" w14:textId="77777777" w:rsidR="001D4217" w:rsidRPr="00C65475" w:rsidRDefault="00A90811" w:rsidP="008B367C">
      <w:pPr>
        <w:pStyle w:val="PlantillaESCH1"/>
        <w:keepLines w:val="0"/>
        <w:tabs>
          <w:tab w:val="clear" w:pos="851"/>
          <w:tab w:val="clear" w:pos="1247"/>
          <w:tab w:val="clear" w:pos="1871"/>
          <w:tab w:val="left" w:pos="1260"/>
        </w:tabs>
        <w:ind w:left="720" w:right="27" w:hanging="720"/>
        <w:rPr>
          <w:lang w:val="es-ES"/>
        </w:rPr>
      </w:pPr>
      <w:r>
        <w:rPr>
          <w:lang w:val="es-ES"/>
        </w:rPr>
        <w:tab/>
        <w:t>II.</w:t>
        <w:tab/>
        <w:t>Logros del Fondo Multilateral desde sus comienzos</w:t>
      </w:r>
      <w:r>
        <w:rPr>
          <w:vertAlign w:val="superscript"/>
          <w:lang w:val="es-ES"/>
        </w:rPr>
        <w:footnoteReference w:id="78"/>
      </w:r>
    </w:p>
    <w:p w14:paraId="2D473B39" w14:textId="0EB1AA5C" w:rsidR="00CA1473" w:rsidRPr="00C65475" w:rsidRDefault="00CA1473" w:rsidP="005C1769">
      <w:pPr>
        <w:pStyle w:val="Heading3"/>
        <w:widowControl/>
        <w:numPr>
          <w:ilvl w:val="2"/>
          <w:numId w:val="16"/>
        </w:numPr>
        <w:ind w:left="1276" w:right="27" w:firstLine="0"/>
        <w:rPr>
          <w:sz w:val="20"/>
          <w:szCs w:val="20"/>
        </w:rPr>
      </w:pPr>
      <w:r>
        <w:rPr>
          <w:bCs/>
          <w:sz w:val="20"/>
          <w:szCs w:val="20"/>
        </w:rPr>
        <w:t xml:space="preserve">Hasta la 98ª reunión, desde 1991, se habían aprobado 10.584 proyectos y actividades (excluidos los proyectos cancelados y los proyectos transferidos). La cantidad total de sustancias que agotan la capa de ozono (SAO) que se preveía eliminar mediante la ejecución de esos proyectos ascendía a 489.875 toneladas PAO (potencial de agotamiento de la capa de ozono). Sin </w:t>
        <w:lastRenderedPageBreak/>
        <w:t>embargo, la cantidad realmente eliminada fue de 510.094 toneladas PAO (entre consumo y producción), lo que demuestra que la eliminación lograda a través de los proyectos terminados hasta el momento superaba la cantidad prevista. Además, para la misma fecha, se había aprobado la reducción de 19.702 toneladas (37.778.524 toneladas equivalentes de dióxido de carbono) de consumo de HFC, y se habían reducido ya realmente 1.086 toneladas (1.606.380 toneladas equivalentes de dióxido de carbono). El cuadro 2 a continuación muestra la distribución geográfica y por grupo de la eliminación correspondiente a todos los proyectos y actividades aprobados y de los fondos aprobados desde el comienzo.</w:t>
      </w:r>
    </w:p>
    <w:p w14:paraId="20B7CC81" w14:textId="77777777" w:rsidR="00FF2809" w:rsidRPr="00C65475" w:rsidRDefault="00FF2809" w:rsidP="005C1769">
      <w:pPr>
        <w:pStyle w:val="Heading1"/>
        <w:keepNext/>
        <w:numPr>
          <w:ilvl w:val="0"/>
          <w:numId w:val="0"/>
        </w:numPr>
        <w:spacing w:after="0"/>
        <w:ind w:left="1276" w:right="27" w:hanging="28"/>
        <w:rPr>
          <w:color w:val="000000"/>
          <w:sz w:val="20"/>
          <w:szCs w:val="20"/>
          <w:lang w:eastAsia="en-CA"/>
        </w:rPr>
      </w:pPr>
      <w:r>
        <w:rPr>
          <w:sz w:val="20"/>
          <w:szCs w:val="20"/>
        </w:rPr>
        <w:t>Cuadro 2</w:t>
      </w:r>
    </w:p>
    <w:p w14:paraId="462D3FB0" w14:textId="6474953A" w:rsidR="00FF2809" w:rsidRPr="00C65475" w:rsidRDefault="00FF2809" w:rsidP="005C1769">
      <w:pPr>
        <w:pStyle w:val="Heading1"/>
        <w:keepNext/>
        <w:numPr>
          <w:ilvl w:val="0"/>
          <w:numId w:val="0"/>
        </w:numPr>
        <w:spacing w:after="0"/>
        <w:ind w:left="1276" w:right="27" w:hanging="28"/>
        <w:rPr>
          <w:b/>
          <w:bCs/>
          <w:sz w:val="20"/>
          <w:szCs w:val="20"/>
        </w:rPr>
      </w:pPr>
      <w:r>
        <w:rPr>
          <w:b/>
          <w:bCs/>
          <w:sz w:val="20"/>
          <w:szCs w:val="20"/>
        </w:rPr>
        <w:t>Eliminación y fondos aprobados, por región y grupo, desde el comienzo del Fondo Multilateral</w:t>
      </w:r>
    </w:p>
    <w:tbl>
      <w:tblPr>
        <w:tblW w:w="10245" w:type="dxa"/>
        <w:tblInd w:w="-185" w:type="dxa"/>
        <w:tblLayout w:type="fixed"/>
        <w:tblLook w:val="04A0" w:firstRow="1" w:lastRow="0" w:firstColumn="1" w:lastColumn="0" w:noHBand="0" w:noVBand="1"/>
      </w:tblPr>
      <w:tblGrid>
        <w:gridCol w:w="1530"/>
        <w:gridCol w:w="756"/>
        <w:gridCol w:w="1189"/>
        <w:gridCol w:w="1153"/>
        <w:gridCol w:w="1153"/>
        <w:gridCol w:w="1171"/>
        <w:gridCol w:w="1006"/>
        <w:gridCol w:w="1009"/>
        <w:gridCol w:w="1278"/>
      </w:tblGrid>
      <w:tr w:rsidR="00FF2809" w:rsidRPr="00900B12" w14:paraId="2611EBFF" w14:textId="77777777" w:rsidTr="000863D3">
        <w:trPr>
          <w:cantSplit/>
          <w:trHeight w:val="769"/>
          <w:tblHeader/>
        </w:trPr>
        <w:tc>
          <w:tcPr>
            <w:tcW w:w="1530" w:type="dxa"/>
            <w:tcBorders>
              <w:top w:val="single" w:sz="4" w:space="0" w:color="auto"/>
              <w:left w:val="single" w:sz="4" w:space="0" w:color="auto"/>
              <w:bottom w:val="single" w:sz="4" w:space="0" w:color="auto"/>
              <w:right w:val="single" w:sz="4" w:space="0" w:color="auto"/>
            </w:tcBorders>
            <w:tcMar>
              <w:top w:w="35" w:type="dxa"/>
              <w:left w:w="35" w:type="dxa"/>
              <w:bottom w:w="35" w:type="dxa"/>
              <w:right w:w="35" w:type="dxa"/>
            </w:tcMar>
            <w:hideMark/>
          </w:tcPr>
          <w:p w14:paraId="66B180FD" w14:textId="77777777" w:rsidR="00FF2809" w:rsidRPr="00C65475" w:rsidRDefault="00FF2809" w:rsidP="005C1769">
            <w:pPr>
              <w:ind w:right="27"/>
              <w:jc w:val="center"/>
              <w:rPr>
                <w:b/>
                <w:bCs/>
                <w:color w:val="000000"/>
                <w:sz w:val="17"/>
                <w:szCs w:val="17"/>
                <w:lang w:eastAsia="en-CA"/>
              </w:rPr>
            </w:pPr>
            <w:r>
              <w:rPr>
                <w:b/>
                <w:bCs/>
                <w:color w:val="000000"/>
                <w:sz w:val="17"/>
                <w:szCs w:val="17"/>
              </w:rPr>
              <w:t>Descripción</w:t>
            </w:r>
          </w:p>
        </w:tc>
        <w:tc>
          <w:tcPr>
            <w:tcW w:w="756" w:type="dxa"/>
            <w:tcBorders>
              <w:top w:val="single" w:sz="4" w:space="0" w:color="auto"/>
              <w:left w:val="nil"/>
              <w:bottom w:val="single" w:sz="4" w:space="0" w:color="auto"/>
              <w:right w:val="single" w:sz="4" w:space="0" w:color="auto"/>
            </w:tcBorders>
            <w:tcMar>
              <w:top w:w="35" w:type="dxa"/>
              <w:left w:w="0" w:type="dxa"/>
              <w:bottom w:w="35" w:type="dxa"/>
              <w:right w:w="0" w:type="dxa"/>
            </w:tcMar>
            <w:hideMark/>
          </w:tcPr>
          <w:p w14:paraId="42AE4480" w14:textId="77777777" w:rsidR="00FF2809" w:rsidRPr="00C65475" w:rsidRDefault="00FF2809" w:rsidP="005C1769">
            <w:pPr>
              <w:ind w:right="27"/>
              <w:jc w:val="center"/>
              <w:rPr>
                <w:b/>
                <w:bCs/>
                <w:color w:val="000000"/>
                <w:sz w:val="16"/>
                <w:szCs w:val="16"/>
                <w:lang w:eastAsia="en-CA"/>
              </w:rPr>
            </w:pPr>
            <w:r>
              <w:rPr>
                <w:b/>
                <w:bCs/>
                <w:color w:val="000000"/>
                <w:sz w:val="16"/>
                <w:szCs w:val="16"/>
              </w:rPr>
              <w:t>Número de proyectos*</w:t>
            </w:r>
          </w:p>
        </w:tc>
        <w:tc>
          <w:tcPr>
            <w:tcW w:w="1189"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3286AD21" w14:textId="77777777" w:rsidR="00FF2809" w:rsidRPr="00C65475" w:rsidRDefault="00FF2809" w:rsidP="005C1769">
            <w:pPr>
              <w:ind w:right="27"/>
              <w:jc w:val="center"/>
              <w:rPr>
                <w:b/>
                <w:bCs/>
                <w:color w:val="000000"/>
                <w:sz w:val="17"/>
                <w:szCs w:val="17"/>
                <w:lang w:eastAsia="en-CA"/>
              </w:rPr>
            </w:pPr>
            <w:r>
              <w:rPr>
                <w:b/>
                <w:bCs/>
                <w:color w:val="000000"/>
                <w:sz w:val="17"/>
                <w:szCs w:val="17"/>
              </w:rPr>
              <w:t>Consumo: toneladas PAO aprobadas para proyectos relacionados con SAO*</w:t>
            </w:r>
          </w:p>
        </w:tc>
        <w:tc>
          <w:tcPr>
            <w:tcW w:w="1153"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73ACA187" w14:textId="77777777" w:rsidR="00FF2809" w:rsidRPr="00C65475" w:rsidRDefault="00FF2809" w:rsidP="005C1769">
            <w:pPr>
              <w:ind w:right="27"/>
              <w:jc w:val="center"/>
              <w:rPr>
                <w:b/>
                <w:bCs/>
                <w:color w:val="000000"/>
                <w:sz w:val="17"/>
                <w:szCs w:val="17"/>
                <w:lang w:eastAsia="en-CA"/>
              </w:rPr>
            </w:pPr>
            <w:r>
              <w:rPr>
                <w:b/>
                <w:bCs/>
                <w:color w:val="000000"/>
                <w:sz w:val="17"/>
                <w:szCs w:val="17"/>
              </w:rPr>
              <w:t>Consumo: toneladas PAO eliminadas para proyectos relacionados con SAO*</w:t>
            </w:r>
          </w:p>
        </w:tc>
        <w:tc>
          <w:tcPr>
            <w:tcW w:w="1153"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40BDB061" w14:textId="77777777" w:rsidR="00FF2809" w:rsidRPr="00C65475" w:rsidRDefault="00FF2809" w:rsidP="005C1769">
            <w:pPr>
              <w:ind w:right="27"/>
              <w:jc w:val="center"/>
              <w:rPr>
                <w:b/>
                <w:bCs/>
                <w:color w:val="000000"/>
                <w:sz w:val="17"/>
                <w:szCs w:val="17"/>
                <w:lang w:eastAsia="en-CA"/>
              </w:rPr>
            </w:pPr>
            <w:r>
              <w:rPr>
                <w:b/>
                <w:bCs/>
                <w:color w:val="000000"/>
                <w:sz w:val="17"/>
                <w:szCs w:val="17"/>
              </w:rPr>
              <w:t>Consumo: toneladas aprobadas para proyectos relacionados con HFC**</w:t>
            </w:r>
          </w:p>
        </w:tc>
        <w:tc>
          <w:tcPr>
            <w:tcW w:w="1171"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4824484A" w14:textId="77777777" w:rsidR="00FF2809" w:rsidRPr="00C65475" w:rsidRDefault="00FF2809" w:rsidP="005C1769">
            <w:pPr>
              <w:ind w:right="27"/>
              <w:jc w:val="center"/>
              <w:rPr>
                <w:b/>
                <w:bCs/>
                <w:color w:val="000000"/>
                <w:sz w:val="17"/>
                <w:szCs w:val="17"/>
                <w:lang w:eastAsia="en-CA"/>
              </w:rPr>
            </w:pPr>
            <w:r>
              <w:rPr>
                <w:b/>
                <w:bCs/>
                <w:color w:val="000000"/>
                <w:sz w:val="17"/>
                <w:szCs w:val="17"/>
              </w:rPr>
              <w:t>Consumo: toneladas reducidas para proyectos relacionados con HFC**</w:t>
            </w:r>
          </w:p>
        </w:tc>
        <w:tc>
          <w:tcPr>
            <w:tcW w:w="1006"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32F60A90" w14:textId="77777777" w:rsidR="00FF2809" w:rsidRPr="00C65475" w:rsidRDefault="00FF2809" w:rsidP="005C1769">
            <w:pPr>
              <w:ind w:right="27"/>
              <w:jc w:val="center"/>
              <w:rPr>
                <w:b/>
                <w:bCs/>
                <w:color w:val="000000"/>
                <w:sz w:val="17"/>
                <w:szCs w:val="17"/>
                <w:lang w:eastAsia="en-CA"/>
              </w:rPr>
            </w:pPr>
            <w:r>
              <w:rPr>
                <w:b/>
                <w:bCs/>
                <w:color w:val="000000"/>
                <w:sz w:val="17"/>
                <w:szCs w:val="17"/>
              </w:rPr>
              <w:t>Producción: toneladas PAO aprobadas*</w:t>
            </w:r>
          </w:p>
        </w:tc>
        <w:tc>
          <w:tcPr>
            <w:tcW w:w="1009"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23FFFB53" w14:textId="77777777" w:rsidR="00FF2809" w:rsidRPr="00C65475" w:rsidRDefault="00FF2809" w:rsidP="005C1769">
            <w:pPr>
              <w:ind w:right="27"/>
              <w:jc w:val="center"/>
              <w:rPr>
                <w:b/>
                <w:bCs/>
                <w:color w:val="000000"/>
                <w:sz w:val="17"/>
                <w:szCs w:val="17"/>
                <w:lang w:eastAsia="en-CA"/>
              </w:rPr>
            </w:pPr>
            <w:r>
              <w:rPr>
                <w:b/>
                <w:bCs/>
                <w:color w:val="000000"/>
                <w:sz w:val="17"/>
                <w:szCs w:val="17"/>
              </w:rPr>
              <w:t>Producción: toneladas PAO eliminadas*</w:t>
            </w:r>
          </w:p>
        </w:tc>
        <w:tc>
          <w:tcPr>
            <w:tcW w:w="1278" w:type="dxa"/>
            <w:tcBorders>
              <w:top w:val="single" w:sz="4" w:space="0" w:color="auto"/>
              <w:left w:val="nil"/>
              <w:bottom w:val="single" w:sz="4" w:space="0" w:color="auto"/>
              <w:right w:val="single" w:sz="4" w:space="0" w:color="auto"/>
            </w:tcBorders>
            <w:tcMar>
              <w:top w:w="35" w:type="dxa"/>
              <w:left w:w="35" w:type="dxa"/>
              <w:bottom w:w="35" w:type="dxa"/>
              <w:right w:w="35" w:type="dxa"/>
            </w:tcMar>
            <w:hideMark/>
          </w:tcPr>
          <w:p w14:paraId="2E595DCB" w14:textId="77777777" w:rsidR="00FF2809" w:rsidRPr="00C65475" w:rsidRDefault="00FF2809" w:rsidP="005C1769">
            <w:pPr>
              <w:ind w:right="27"/>
              <w:jc w:val="center"/>
              <w:rPr>
                <w:b/>
                <w:bCs/>
                <w:color w:val="000000"/>
                <w:sz w:val="17"/>
                <w:szCs w:val="17"/>
                <w:lang w:eastAsia="en-CA"/>
              </w:rPr>
            </w:pPr>
            <w:r>
              <w:rPr>
                <w:b/>
                <w:bCs/>
                <w:color w:val="000000"/>
                <w:sz w:val="17"/>
                <w:szCs w:val="17"/>
              </w:rPr>
              <w:t>Fondos aprobados*</w:t>
            </w:r>
          </w:p>
          <w:p w14:paraId="357008E4" w14:textId="77777777" w:rsidR="00FF2809" w:rsidRPr="00C65475" w:rsidRDefault="00FF2809" w:rsidP="005C1769">
            <w:pPr>
              <w:ind w:right="27"/>
              <w:jc w:val="center"/>
              <w:rPr>
                <w:b/>
                <w:bCs/>
                <w:color w:val="000000"/>
                <w:sz w:val="17"/>
                <w:szCs w:val="17"/>
                <w:lang w:eastAsia="en-CA"/>
              </w:rPr>
            </w:pPr>
            <w:r>
              <w:rPr>
                <w:b/>
                <w:bCs/>
                <w:color w:val="000000"/>
                <w:sz w:val="17"/>
                <w:szCs w:val="17"/>
              </w:rPr>
              <w:t>(USD)</w:t>
            </w:r>
          </w:p>
        </w:tc>
      </w:tr>
      <w:tr w:rsidR="00FF2809" w:rsidRPr="00900B12" w14:paraId="7FBCE51E" w14:textId="77777777" w:rsidTr="000863D3">
        <w:trPr>
          <w:cantSplit/>
          <w:trHeight w:val="44"/>
        </w:trPr>
        <w:tc>
          <w:tcPr>
            <w:tcW w:w="10245" w:type="dxa"/>
            <w:gridSpan w:val="9"/>
            <w:tcBorders>
              <w:top w:val="nil"/>
              <w:left w:val="single" w:sz="4" w:space="0" w:color="auto"/>
              <w:bottom w:val="single" w:sz="4" w:space="0" w:color="auto"/>
              <w:right w:val="single" w:sz="4" w:space="0" w:color="auto"/>
            </w:tcBorders>
            <w:hideMark/>
          </w:tcPr>
          <w:p w14:paraId="18974EF6" w14:textId="77777777" w:rsidR="00FF2809" w:rsidRPr="00C65475" w:rsidRDefault="00FF2809" w:rsidP="005C1769">
            <w:pPr>
              <w:ind w:right="27"/>
              <w:jc w:val="left"/>
              <w:rPr>
                <w:b/>
                <w:bCs/>
                <w:color w:val="000000"/>
                <w:sz w:val="17"/>
                <w:szCs w:val="17"/>
                <w:lang w:eastAsia="en-CA"/>
              </w:rPr>
            </w:pPr>
            <w:r>
              <w:rPr>
                <w:b/>
                <w:bCs/>
                <w:color w:val="000000"/>
                <w:sz w:val="17"/>
                <w:szCs w:val="17"/>
              </w:rPr>
              <w:t>Región</w:t>
            </w:r>
          </w:p>
        </w:tc>
      </w:tr>
      <w:tr w:rsidR="00FD547F" w:rsidRPr="00900B12" w14:paraId="115D9F8C" w14:textId="77777777" w:rsidTr="000863D3">
        <w:trPr>
          <w:cantSplit/>
          <w:trHeight w:val="65"/>
        </w:trPr>
        <w:tc>
          <w:tcPr>
            <w:tcW w:w="1530" w:type="dxa"/>
            <w:tcBorders>
              <w:top w:val="nil"/>
              <w:left w:val="single" w:sz="4" w:space="0" w:color="auto"/>
              <w:bottom w:val="single" w:sz="4" w:space="0" w:color="auto"/>
              <w:right w:val="single" w:sz="4" w:space="0" w:color="auto"/>
            </w:tcBorders>
            <w:noWrap/>
            <w:hideMark/>
          </w:tcPr>
          <w:p w14:paraId="0CAEA11E" w14:textId="77777777" w:rsidR="00FD547F" w:rsidRPr="00C65475" w:rsidRDefault="00FD547F" w:rsidP="005C1769">
            <w:pPr>
              <w:ind w:right="27"/>
              <w:jc w:val="left"/>
              <w:rPr>
                <w:color w:val="000000"/>
                <w:sz w:val="17"/>
                <w:szCs w:val="17"/>
                <w:lang w:eastAsia="en-CA"/>
              </w:rPr>
            </w:pPr>
            <w:r>
              <w:rPr>
                <w:sz w:val="17"/>
                <w:szCs w:val="17"/>
              </w:rPr>
              <w:t>África</w:t>
            </w:r>
          </w:p>
        </w:tc>
        <w:tc>
          <w:tcPr>
            <w:tcW w:w="756" w:type="dxa"/>
            <w:tcBorders>
              <w:top w:val="nil"/>
              <w:left w:val="nil"/>
              <w:bottom w:val="single" w:sz="4" w:space="0" w:color="auto"/>
              <w:right w:val="single" w:sz="4" w:space="0" w:color="auto"/>
            </w:tcBorders>
            <w:noWrap/>
          </w:tcPr>
          <w:p w14:paraId="2267C10F" w14:textId="77777777" w:rsidR="00FD547F" w:rsidRPr="00C65475" w:rsidRDefault="00FD547F" w:rsidP="005C1769">
            <w:pPr>
              <w:ind w:right="27"/>
              <w:jc w:val="right"/>
              <w:rPr>
                <w:i/>
                <w:iCs/>
                <w:color w:val="000000"/>
                <w:sz w:val="17"/>
                <w:szCs w:val="17"/>
                <w:lang w:eastAsia="en-CA"/>
              </w:rPr>
            </w:pPr>
            <w:r>
              <w:rPr>
                <w:sz w:val="17"/>
                <w:szCs w:val="17"/>
              </w:rPr>
              <w:t>2.873</w:t>
            </w:r>
          </w:p>
        </w:tc>
        <w:tc>
          <w:tcPr>
            <w:tcW w:w="1189" w:type="dxa"/>
            <w:tcBorders>
              <w:top w:val="nil"/>
              <w:left w:val="nil"/>
              <w:bottom w:val="single" w:sz="4" w:space="0" w:color="auto"/>
              <w:right w:val="single" w:sz="4" w:space="0" w:color="auto"/>
            </w:tcBorders>
            <w:noWrap/>
          </w:tcPr>
          <w:p w14:paraId="01662908" w14:textId="77777777" w:rsidR="00FD547F" w:rsidRPr="00C65475" w:rsidRDefault="00FD547F" w:rsidP="005C1769">
            <w:pPr>
              <w:ind w:right="27"/>
              <w:jc w:val="right"/>
              <w:rPr>
                <w:color w:val="000000"/>
                <w:sz w:val="17"/>
                <w:szCs w:val="17"/>
                <w:lang w:eastAsia="en-CA"/>
              </w:rPr>
            </w:pPr>
            <w:r>
              <w:rPr>
                <w:sz w:val="17"/>
                <w:szCs w:val="17"/>
              </w:rPr>
              <w:t>23.474</w:t>
            </w:r>
          </w:p>
        </w:tc>
        <w:tc>
          <w:tcPr>
            <w:tcW w:w="1153" w:type="dxa"/>
            <w:tcBorders>
              <w:top w:val="nil"/>
              <w:left w:val="nil"/>
              <w:bottom w:val="single" w:sz="4" w:space="0" w:color="auto"/>
              <w:right w:val="single" w:sz="4" w:space="0" w:color="auto"/>
            </w:tcBorders>
            <w:noWrap/>
          </w:tcPr>
          <w:p w14:paraId="4740BD72" w14:textId="77777777" w:rsidR="00FD547F" w:rsidRPr="00C65475" w:rsidRDefault="00FD547F" w:rsidP="005C1769">
            <w:pPr>
              <w:ind w:right="27"/>
              <w:jc w:val="right"/>
              <w:rPr>
                <w:color w:val="000000"/>
                <w:sz w:val="17"/>
                <w:szCs w:val="17"/>
                <w:lang w:eastAsia="en-CA"/>
              </w:rPr>
            </w:pPr>
            <w:r>
              <w:rPr>
                <w:sz w:val="17"/>
                <w:szCs w:val="17"/>
              </w:rPr>
              <w:t>23.152</w:t>
            </w:r>
          </w:p>
        </w:tc>
        <w:tc>
          <w:tcPr>
            <w:tcW w:w="1153" w:type="dxa"/>
            <w:tcBorders>
              <w:top w:val="nil"/>
              <w:left w:val="nil"/>
              <w:bottom w:val="single" w:sz="4" w:space="0" w:color="auto"/>
              <w:right w:val="single" w:sz="4" w:space="0" w:color="auto"/>
            </w:tcBorders>
            <w:noWrap/>
          </w:tcPr>
          <w:p w14:paraId="19B09855" w14:textId="77777777" w:rsidR="00FD547F" w:rsidRPr="00C65475" w:rsidRDefault="00FD547F" w:rsidP="005C1769">
            <w:pPr>
              <w:ind w:right="27"/>
              <w:jc w:val="right"/>
              <w:rPr>
                <w:color w:val="000000"/>
                <w:sz w:val="17"/>
                <w:szCs w:val="17"/>
                <w:lang w:eastAsia="en-CA"/>
              </w:rPr>
            </w:pPr>
            <w:r>
              <w:rPr>
                <w:sz w:val="17"/>
                <w:szCs w:val="17"/>
              </w:rPr>
              <w:t>5.588</w:t>
            </w:r>
          </w:p>
        </w:tc>
        <w:tc>
          <w:tcPr>
            <w:tcW w:w="1171" w:type="dxa"/>
            <w:tcBorders>
              <w:top w:val="nil"/>
              <w:left w:val="nil"/>
              <w:bottom w:val="single" w:sz="4" w:space="0" w:color="auto"/>
              <w:right w:val="single" w:sz="4" w:space="0" w:color="auto"/>
            </w:tcBorders>
            <w:noWrap/>
          </w:tcPr>
          <w:p w14:paraId="26D0B29F" w14:textId="77777777" w:rsidR="00FD547F" w:rsidRPr="00C65475" w:rsidRDefault="00FD547F" w:rsidP="005C1769">
            <w:pPr>
              <w:ind w:right="27"/>
              <w:jc w:val="right"/>
              <w:rPr>
                <w:color w:val="000000"/>
                <w:sz w:val="17"/>
                <w:szCs w:val="17"/>
                <w:lang w:eastAsia="en-CA"/>
              </w:rPr>
            </w:pPr>
            <w:r>
              <w:rPr>
                <w:sz w:val="17"/>
                <w:szCs w:val="17"/>
              </w:rPr>
              <w:t>29</w:t>
            </w:r>
          </w:p>
        </w:tc>
        <w:tc>
          <w:tcPr>
            <w:tcW w:w="1006" w:type="dxa"/>
            <w:tcBorders>
              <w:top w:val="nil"/>
              <w:left w:val="nil"/>
              <w:bottom w:val="single" w:sz="4" w:space="0" w:color="auto"/>
              <w:right w:val="single" w:sz="4" w:space="0" w:color="auto"/>
            </w:tcBorders>
            <w:noWrap/>
          </w:tcPr>
          <w:p w14:paraId="2F614B04" w14:textId="77777777" w:rsidR="00FD547F" w:rsidRPr="00C65475" w:rsidRDefault="00FD547F"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42879658" w14:textId="77777777" w:rsidR="00FD547F" w:rsidRPr="00C65475" w:rsidRDefault="00FD547F"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669F8928" w14:textId="77777777" w:rsidR="00FD547F" w:rsidRPr="00C65475" w:rsidRDefault="00FD547F" w:rsidP="005C1769">
            <w:pPr>
              <w:ind w:right="27"/>
              <w:jc w:val="right"/>
              <w:rPr>
                <w:color w:val="000000"/>
                <w:sz w:val="17"/>
                <w:szCs w:val="17"/>
                <w:lang w:eastAsia="en-CA"/>
              </w:rPr>
            </w:pPr>
            <w:r>
              <w:rPr>
                <w:sz w:val="17"/>
                <w:szCs w:val="17"/>
              </w:rPr>
              <w:t>504.259.764</w:t>
            </w:r>
          </w:p>
        </w:tc>
      </w:tr>
      <w:tr w:rsidR="00FD547F" w:rsidRPr="00900B12" w14:paraId="2C90408E" w14:textId="77777777" w:rsidTr="000863D3">
        <w:trPr>
          <w:cantSplit/>
          <w:trHeight w:val="124"/>
        </w:trPr>
        <w:tc>
          <w:tcPr>
            <w:tcW w:w="1530" w:type="dxa"/>
            <w:tcBorders>
              <w:top w:val="nil"/>
              <w:left w:val="single" w:sz="4" w:space="0" w:color="auto"/>
              <w:bottom w:val="single" w:sz="4" w:space="0" w:color="auto"/>
              <w:right w:val="single" w:sz="4" w:space="0" w:color="auto"/>
            </w:tcBorders>
            <w:noWrap/>
            <w:hideMark/>
          </w:tcPr>
          <w:p w14:paraId="4FBE736F" w14:textId="77777777" w:rsidR="00FD547F" w:rsidRPr="00C65475" w:rsidRDefault="00FD547F" w:rsidP="005C1769">
            <w:pPr>
              <w:ind w:right="27"/>
              <w:jc w:val="left"/>
              <w:rPr>
                <w:color w:val="000000"/>
                <w:sz w:val="17"/>
                <w:szCs w:val="17"/>
                <w:lang w:eastAsia="en-CA"/>
              </w:rPr>
            </w:pPr>
            <w:r>
              <w:rPr>
                <w:sz w:val="17"/>
                <w:szCs w:val="17"/>
              </w:rPr>
              <w:t>Asia y el Pacífico</w:t>
            </w:r>
          </w:p>
        </w:tc>
        <w:tc>
          <w:tcPr>
            <w:tcW w:w="756" w:type="dxa"/>
            <w:tcBorders>
              <w:top w:val="nil"/>
              <w:left w:val="nil"/>
              <w:bottom w:val="single" w:sz="4" w:space="0" w:color="auto"/>
              <w:right w:val="single" w:sz="4" w:space="0" w:color="auto"/>
            </w:tcBorders>
            <w:noWrap/>
          </w:tcPr>
          <w:p w14:paraId="585F3E4B" w14:textId="77777777" w:rsidR="00FD547F" w:rsidRPr="00C65475" w:rsidRDefault="00FD547F" w:rsidP="005C1769">
            <w:pPr>
              <w:ind w:right="27"/>
              <w:jc w:val="right"/>
              <w:rPr>
                <w:color w:val="000000"/>
                <w:sz w:val="17"/>
                <w:szCs w:val="17"/>
                <w:lang w:eastAsia="en-CA"/>
              </w:rPr>
            </w:pPr>
            <w:r>
              <w:rPr>
                <w:sz w:val="17"/>
                <w:szCs w:val="17"/>
              </w:rPr>
              <w:t>4.024</w:t>
            </w:r>
          </w:p>
        </w:tc>
        <w:tc>
          <w:tcPr>
            <w:tcW w:w="1189" w:type="dxa"/>
            <w:tcBorders>
              <w:top w:val="nil"/>
              <w:left w:val="nil"/>
              <w:bottom w:val="single" w:sz="4" w:space="0" w:color="auto"/>
              <w:right w:val="single" w:sz="4" w:space="0" w:color="auto"/>
            </w:tcBorders>
            <w:noWrap/>
          </w:tcPr>
          <w:p w14:paraId="58E59C56" w14:textId="77777777" w:rsidR="00FD547F" w:rsidRPr="00C65475" w:rsidRDefault="00FD547F" w:rsidP="005C1769">
            <w:pPr>
              <w:ind w:right="27"/>
              <w:jc w:val="right"/>
              <w:rPr>
                <w:color w:val="000000"/>
                <w:sz w:val="17"/>
                <w:szCs w:val="17"/>
                <w:lang w:eastAsia="en-CA"/>
              </w:rPr>
            </w:pPr>
            <w:r>
              <w:rPr>
                <w:sz w:val="17"/>
                <w:szCs w:val="17"/>
              </w:rPr>
              <w:t>216.944</w:t>
            </w:r>
          </w:p>
        </w:tc>
        <w:tc>
          <w:tcPr>
            <w:tcW w:w="1153" w:type="dxa"/>
            <w:tcBorders>
              <w:top w:val="nil"/>
              <w:left w:val="nil"/>
              <w:bottom w:val="single" w:sz="4" w:space="0" w:color="auto"/>
              <w:right w:val="single" w:sz="4" w:space="0" w:color="auto"/>
            </w:tcBorders>
            <w:noWrap/>
          </w:tcPr>
          <w:p w14:paraId="7BAB67F4" w14:textId="77777777" w:rsidR="00FD547F" w:rsidRPr="00C65475" w:rsidRDefault="00FD547F" w:rsidP="005C1769">
            <w:pPr>
              <w:ind w:right="27"/>
              <w:jc w:val="right"/>
              <w:rPr>
                <w:color w:val="000000"/>
                <w:sz w:val="17"/>
                <w:szCs w:val="17"/>
                <w:lang w:eastAsia="en-CA"/>
              </w:rPr>
            </w:pPr>
            <w:r>
              <w:rPr>
                <w:sz w:val="17"/>
                <w:szCs w:val="17"/>
              </w:rPr>
              <w:t>238.113</w:t>
            </w:r>
          </w:p>
        </w:tc>
        <w:tc>
          <w:tcPr>
            <w:tcW w:w="1153" w:type="dxa"/>
            <w:tcBorders>
              <w:top w:val="nil"/>
              <w:left w:val="nil"/>
              <w:bottom w:val="single" w:sz="4" w:space="0" w:color="auto"/>
              <w:right w:val="single" w:sz="4" w:space="0" w:color="auto"/>
            </w:tcBorders>
            <w:noWrap/>
          </w:tcPr>
          <w:p w14:paraId="79BFFE3D" w14:textId="77777777" w:rsidR="00FD547F" w:rsidRPr="00C65475" w:rsidRDefault="00FD547F" w:rsidP="005C1769">
            <w:pPr>
              <w:ind w:right="27"/>
              <w:jc w:val="right"/>
              <w:rPr>
                <w:color w:val="000000"/>
                <w:sz w:val="17"/>
                <w:szCs w:val="17"/>
                <w:lang w:eastAsia="en-CA"/>
              </w:rPr>
            </w:pPr>
            <w:r>
              <w:rPr>
                <w:sz w:val="17"/>
                <w:szCs w:val="17"/>
              </w:rPr>
              <w:t>4.840</w:t>
            </w:r>
          </w:p>
        </w:tc>
        <w:tc>
          <w:tcPr>
            <w:tcW w:w="1171" w:type="dxa"/>
            <w:tcBorders>
              <w:top w:val="nil"/>
              <w:left w:val="nil"/>
              <w:bottom w:val="single" w:sz="4" w:space="0" w:color="auto"/>
              <w:right w:val="single" w:sz="4" w:space="0" w:color="auto"/>
            </w:tcBorders>
            <w:noWrap/>
          </w:tcPr>
          <w:p w14:paraId="55895B13" w14:textId="77777777" w:rsidR="00FD547F" w:rsidRPr="00C65475" w:rsidRDefault="00FD547F" w:rsidP="005C1769">
            <w:pPr>
              <w:ind w:right="27"/>
              <w:jc w:val="right"/>
              <w:rPr>
                <w:color w:val="000000"/>
                <w:sz w:val="17"/>
                <w:szCs w:val="17"/>
                <w:lang w:eastAsia="en-CA"/>
              </w:rPr>
            </w:pPr>
            <w:r>
              <w:rPr>
                <w:sz w:val="17"/>
                <w:szCs w:val="17"/>
              </w:rPr>
              <w:t>602</w:t>
            </w:r>
          </w:p>
        </w:tc>
        <w:tc>
          <w:tcPr>
            <w:tcW w:w="1006" w:type="dxa"/>
            <w:tcBorders>
              <w:top w:val="nil"/>
              <w:left w:val="nil"/>
              <w:bottom w:val="single" w:sz="4" w:space="0" w:color="auto"/>
              <w:right w:val="single" w:sz="4" w:space="0" w:color="auto"/>
            </w:tcBorders>
            <w:noWrap/>
          </w:tcPr>
          <w:p w14:paraId="1177DDEB" w14:textId="77777777" w:rsidR="00FD547F" w:rsidRPr="00C65475" w:rsidRDefault="00FD547F" w:rsidP="005C1769">
            <w:pPr>
              <w:ind w:right="27"/>
              <w:jc w:val="right"/>
              <w:rPr>
                <w:color w:val="000000"/>
                <w:sz w:val="17"/>
                <w:szCs w:val="17"/>
                <w:lang w:eastAsia="en-CA"/>
              </w:rPr>
            </w:pPr>
            <w:r>
              <w:rPr>
                <w:sz w:val="17"/>
                <w:szCs w:val="17"/>
              </w:rPr>
              <w:t>179.607</w:t>
            </w:r>
          </w:p>
        </w:tc>
        <w:tc>
          <w:tcPr>
            <w:tcW w:w="1009" w:type="dxa"/>
            <w:tcBorders>
              <w:top w:val="nil"/>
              <w:left w:val="nil"/>
              <w:bottom w:val="single" w:sz="4" w:space="0" w:color="auto"/>
              <w:right w:val="single" w:sz="4" w:space="0" w:color="auto"/>
            </w:tcBorders>
            <w:noWrap/>
          </w:tcPr>
          <w:p w14:paraId="3E893712" w14:textId="77777777" w:rsidR="00FD547F" w:rsidRPr="00C65475" w:rsidRDefault="00FD547F" w:rsidP="005C1769">
            <w:pPr>
              <w:ind w:right="27"/>
              <w:jc w:val="right"/>
              <w:rPr>
                <w:color w:val="000000"/>
                <w:sz w:val="17"/>
                <w:szCs w:val="17"/>
                <w:lang w:eastAsia="en-CA"/>
              </w:rPr>
            </w:pPr>
            <w:r>
              <w:rPr>
                <w:sz w:val="17"/>
                <w:szCs w:val="17"/>
              </w:rPr>
              <w:t>179.635</w:t>
            </w:r>
          </w:p>
        </w:tc>
        <w:tc>
          <w:tcPr>
            <w:tcW w:w="1278" w:type="dxa"/>
            <w:tcBorders>
              <w:top w:val="nil"/>
              <w:left w:val="nil"/>
              <w:bottom w:val="single" w:sz="4" w:space="0" w:color="auto"/>
              <w:right w:val="single" w:sz="4" w:space="0" w:color="auto"/>
            </w:tcBorders>
            <w:noWrap/>
          </w:tcPr>
          <w:p w14:paraId="311277F2" w14:textId="77777777" w:rsidR="00FD547F" w:rsidRPr="00C65475" w:rsidRDefault="00FD547F" w:rsidP="005C1769">
            <w:pPr>
              <w:ind w:right="27"/>
              <w:jc w:val="right"/>
              <w:rPr>
                <w:color w:val="000000"/>
                <w:sz w:val="17"/>
                <w:szCs w:val="17"/>
                <w:lang w:eastAsia="en-CA"/>
              </w:rPr>
            </w:pPr>
            <w:r>
              <w:rPr>
                <w:sz w:val="17"/>
                <w:szCs w:val="17"/>
              </w:rPr>
              <w:t>2.712.704.357</w:t>
            </w:r>
          </w:p>
        </w:tc>
      </w:tr>
      <w:tr w:rsidR="00FD547F" w:rsidRPr="00900B12" w14:paraId="4A2C01E7" w14:textId="77777777" w:rsidTr="000863D3">
        <w:trPr>
          <w:cantSplit/>
          <w:trHeight w:val="56"/>
        </w:trPr>
        <w:tc>
          <w:tcPr>
            <w:tcW w:w="1530" w:type="dxa"/>
            <w:tcBorders>
              <w:top w:val="nil"/>
              <w:left w:val="single" w:sz="4" w:space="0" w:color="auto"/>
              <w:bottom w:val="single" w:sz="4" w:space="0" w:color="auto"/>
              <w:right w:val="single" w:sz="4" w:space="0" w:color="auto"/>
            </w:tcBorders>
            <w:noWrap/>
            <w:hideMark/>
          </w:tcPr>
          <w:p w14:paraId="35093F8F" w14:textId="77777777" w:rsidR="00FD547F" w:rsidRPr="00C65475" w:rsidRDefault="00FD547F" w:rsidP="005C1769">
            <w:pPr>
              <w:ind w:right="27"/>
              <w:jc w:val="left"/>
              <w:rPr>
                <w:color w:val="000000"/>
                <w:sz w:val="17"/>
                <w:szCs w:val="17"/>
                <w:lang w:eastAsia="en-CA"/>
              </w:rPr>
            </w:pPr>
            <w:r>
              <w:rPr>
                <w:sz w:val="17"/>
                <w:szCs w:val="17"/>
              </w:rPr>
              <w:t>Europa</w:t>
            </w:r>
          </w:p>
        </w:tc>
        <w:tc>
          <w:tcPr>
            <w:tcW w:w="756" w:type="dxa"/>
            <w:tcBorders>
              <w:top w:val="nil"/>
              <w:left w:val="nil"/>
              <w:bottom w:val="single" w:sz="4" w:space="0" w:color="auto"/>
              <w:right w:val="single" w:sz="4" w:space="0" w:color="auto"/>
            </w:tcBorders>
            <w:noWrap/>
          </w:tcPr>
          <w:p w14:paraId="3ED81EBA" w14:textId="77777777" w:rsidR="00FD547F" w:rsidRPr="00C65475" w:rsidRDefault="00FD547F" w:rsidP="005C1769">
            <w:pPr>
              <w:ind w:right="27"/>
              <w:jc w:val="right"/>
              <w:rPr>
                <w:color w:val="000000"/>
                <w:sz w:val="17"/>
                <w:szCs w:val="17"/>
                <w:lang w:eastAsia="en-CA"/>
              </w:rPr>
            </w:pPr>
            <w:r>
              <w:rPr>
                <w:sz w:val="17"/>
                <w:szCs w:val="17"/>
              </w:rPr>
              <w:t>709</w:t>
            </w:r>
          </w:p>
        </w:tc>
        <w:tc>
          <w:tcPr>
            <w:tcW w:w="1189" w:type="dxa"/>
            <w:tcBorders>
              <w:top w:val="nil"/>
              <w:left w:val="nil"/>
              <w:bottom w:val="single" w:sz="4" w:space="0" w:color="auto"/>
              <w:right w:val="single" w:sz="4" w:space="0" w:color="auto"/>
            </w:tcBorders>
            <w:noWrap/>
          </w:tcPr>
          <w:p w14:paraId="041F8DE1" w14:textId="77777777" w:rsidR="00FD547F" w:rsidRPr="00C65475" w:rsidRDefault="00FD547F" w:rsidP="005C1769">
            <w:pPr>
              <w:ind w:right="27"/>
              <w:jc w:val="right"/>
              <w:rPr>
                <w:color w:val="000000"/>
                <w:sz w:val="17"/>
                <w:szCs w:val="17"/>
                <w:lang w:eastAsia="en-CA"/>
              </w:rPr>
            </w:pPr>
            <w:r>
              <w:rPr>
                <w:sz w:val="17"/>
                <w:szCs w:val="17"/>
              </w:rPr>
              <w:t>9.175</w:t>
            </w:r>
          </w:p>
        </w:tc>
        <w:tc>
          <w:tcPr>
            <w:tcW w:w="1153" w:type="dxa"/>
            <w:tcBorders>
              <w:top w:val="nil"/>
              <w:left w:val="nil"/>
              <w:bottom w:val="single" w:sz="4" w:space="0" w:color="auto"/>
              <w:right w:val="single" w:sz="4" w:space="0" w:color="auto"/>
            </w:tcBorders>
            <w:noWrap/>
          </w:tcPr>
          <w:p w14:paraId="4992AF14" w14:textId="77777777" w:rsidR="00FD547F" w:rsidRPr="00C65475" w:rsidRDefault="00FD547F" w:rsidP="005C1769">
            <w:pPr>
              <w:ind w:right="27"/>
              <w:jc w:val="right"/>
              <w:rPr>
                <w:color w:val="000000"/>
                <w:sz w:val="17"/>
                <w:szCs w:val="17"/>
                <w:lang w:eastAsia="en-CA"/>
              </w:rPr>
            </w:pPr>
            <w:r>
              <w:rPr>
                <w:sz w:val="17"/>
                <w:szCs w:val="17"/>
              </w:rPr>
              <w:t>9.296</w:t>
            </w:r>
          </w:p>
        </w:tc>
        <w:tc>
          <w:tcPr>
            <w:tcW w:w="1153" w:type="dxa"/>
            <w:tcBorders>
              <w:top w:val="nil"/>
              <w:left w:val="nil"/>
              <w:bottom w:val="single" w:sz="4" w:space="0" w:color="auto"/>
              <w:right w:val="single" w:sz="4" w:space="0" w:color="auto"/>
            </w:tcBorders>
            <w:noWrap/>
          </w:tcPr>
          <w:p w14:paraId="1B5370E7" w14:textId="77777777" w:rsidR="00FD547F" w:rsidRPr="00C65475" w:rsidRDefault="00FD547F" w:rsidP="005C1769">
            <w:pPr>
              <w:ind w:right="27"/>
              <w:jc w:val="right"/>
              <w:rPr>
                <w:color w:val="000000"/>
                <w:sz w:val="17"/>
                <w:szCs w:val="17"/>
                <w:lang w:eastAsia="en-CA"/>
              </w:rPr>
            </w:pPr>
            <w:r>
              <w:rPr>
                <w:sz w:val="17"/>
                <w:szCs w:val="17"/>
              </w:rPr>
              <w:t>747</w:t>
            </w:r>
          </w:p>
        </w:tc>
        <w:tc>
          <w:tcPr>
            <w:tcW w:w="1171" w:type="dxa"/>
            <w:tcBorders>
              <w:top w:val="nil"/>
              <w:left w:val="nil"/>
              <w:bottom w:val="single" w:sz="4" w:space="0" w:color="auto"/>
              <w:right w:val="single" w:sz="4" w:space="0" w:color="auto"/>
            </w:tcBorders>
            <w:noWrap/>
          </w:tcPr>
          <w:p w14:paraId="6B1F1134" w14:textId="77777777" w:rsidR="00FD547F" w:rsidRPr="00C65475" w:rsidRDefault="00FD547F" w:rsidP="005C1769">
            <w:pPr>
              <w:ind w:right="27"/>
              <w:jc w:val="right"/>
              <w:rPr>
                <w:color w:val="000000"/>
                <w:sz w:val="17"/>
                <w:szCs w:val="17"/>
                <w:lang w:eastAsia="en-CA"/>
              </w:rPr>
            </w:pPr>
            <w:r>
              <w:rPr>
                <w:sz w:val="17"/>
                <w:szCs w:val="17"/>
              </w:rPr>
              <w:t>13</w:t>
            </w:r>
          </w:p>
        </w:tc>
        <w:tc>
          <w:tcPr>
            <w:tcW w:w="1006" w:type="dxa"/>
            <w:tcBorders>
              <w:top w:val="nil"/>
              <w:left w:val="nil"/>
              <w:bottom w:val="single" w:sz="4" w:space="0" w:color="auto"/>
              <w:right w:val="single" w:sz="4" w:space="0" w:color="auto"/>
            </w:tcBorders>
            <w:noWrap/>
          </w:tcPr>
          <w:p w14:paraId="21E3D614" w14:textId="77777777" w:rsidR="00FD547F" w:rsidRPr="00C65475" w:rsidRDefault="00FD547F" w:rsidP="005C1769">
            <w:pPr>
              <w:ind w:right="27"/>
              <w:jc w:val="right"/>
              <w:rPr>
                <w:color w:val="000000"/>
                <w:sz w:val="17"/>
                <w:szCs w:val="17"/>
                <w:lang w:eastAsia="en-CA"/>
              </w:rPr>
            </w:pPr>
            <w:r>
              <w:rPr>
                <w:sz w:val="17"/>
                <w:szCs w:val="17"/>
              </w:rPr>
              <w:t>175</w:t>
            </w:r>
          </w:p>
        </w:tc>
        <w:tc>
          <w:tcPr>
            <w:tcW w:w="1009" w:type="dxa"/>
            <w:tcBorders>
              <w:top w:val="nil"/>
              <w:left w:val="nil"/>
              <w:bottom w:val="single" w:sz="4" w:space="0" w:color="auto"/>
              <w:right w:val="single" w:sz="4" w:space="0" w:color="auto"/>
            </w:tcBorders>
            <w:noWrap/>
          </w:tcPr>
          <w:p w14:paraId="3C987D2E" w14:textId="77777777" w:rsidR="00FD547F" w:rsidRPr="00C65475" w:rsidRDefault="00FD547F" w:rsidP="005C1769">
            <w:pPr>
              <w:ind w:right="27"/>
              <w:jc w:val="right"/>
              <w:rPr>
                <w:color w:val="000000"/>
                <w:sz w:val="17"/>
                <w:szCs w:val="17"/>
                <w:lang w:eastAsia="en-CA"/>
              </w:rPr>
            </w:pPr>
            <w:r>
              <w:rPr>
                <w:sz w:val="17"/>
                <w:szCs w:val="17"/>
              </w:rPr>
              <w:t>175</w:t>
            </w:r>
          </w:p>
        </w:tc>
        <w:tc>
          <w:tcPr>
            <w:tcW w:w="1278" w:type="dxa"/>
            <w:tcBorders>
              <w:top w:val="nil"/>
              <w:left w:val="nil"/>
              <w:bottom w:val="single" w:sz="4" w:space="0" w:color="auto"/>
              <w:right w:val="single" w:sz="4" w:space="0" w:color="auto"/>
            </w:tcBorders>
            <w:noWrap/>
          </w:tcPr>
          <w:p w14:paraId="4107253A" w14:textId="77777777" w:rsidR="00FD547F" w:rsidRPr="00C65475" w:rsidRDefault="00FD547F" w:rsidP="005C1769">
            <w:pPr>
              <w:ind w:right="27"/>
              <w:jc w:val="right"/>
              <w:rPr>
                <w:color w:val="000000"/>
                <w:sz w:val="17"/>
                <w:szCs w:val="17"/>
                <w:lang w:eastAsia="en-CA"/>
              </w:rPr>
            </w:pPr>
            <w:r>
              <w:rPr>
                <w:sz w:val="17"/>
                <w:szCs w:val="17"/>
              </w:rPr>
              <w:t>139.066.985</w:t>
            </w:r>
          </w:p>
        </w:tc>
      </w:tr>
      <w:tr w:rsidR="00FD547F" w:rsidRPr="00900B12" w14:paraId="4E70380A" w14:textId="77777777" w:rsidTr="000863D3">
        <w:trPr>
          <w:cantSplit/>
          <w:trHeight w:val="273"/>
        </w:trPr>
        <w:tc>
          <w:tcPr>
            <w:tcW w:w="1530" w:type="dxa"/>
            <w:tcBorders>
              <w:top w:val="nil"/>
              <w:left w:val="single" w:sz="4" w:space="0" w:color="auto"/>
              <w:bottom w:val="single" w:sz="4" w:space="0" w:color="auto"/>
              <w:right w:val="single" w:sz="4" w:space="0" w:color="auto"/>
            </w:tcBorders>
            <w:noWrap/>
            <w:hideMark/>
          </w:tcPr>
          <w:p w14:paraId="1551E0F9" w14:textId="77777777" w:rsidR="00774699" w:rsidRPr="00900B12" w:rsidRDefault="00FD547F" w:rsidP="005C1769">
            <w:pPr>
              <w:ind w:right="27"/>
              <w:jc w:val="left"/>
              <w:rPr>
                <w:sz w:val="17"/>
                <w:szCs w:val="17"/>
              </w:rPr>
            </w:pPr>
            <w:r>
              <w:rPr>
                <w:sz w:val="17"/>
                <w:szCs w:val="17"/>
              </w:rPr>
              <w:t>América Latina y</w:t>
            </w:r>
          </w:p>
          <w:p w14:paraId="01307313" w14:textId="77777777" w:rsidR="00FD547F" w:rsidRPr="00C65475" w:rsidRDefault="00FD547F" w:rsidP="005C1769">
            <w:pPr>
              <w:ind w:right="27"/>
              <w:jc w:val="left"/>
              <w:rPr>
                <w:color w:val="000000"/>
                <w:sz w:val="17"/>
                <w:szCs w:val="17"/>
                <w:lang w:eastAsia="en-CA"/>
              </w:rPr>
            </w:pPr>
            <w:r>
              <w:rPr>
                <w:sz w:val="17"/>
                <w:szCs w:val="17"/>
              </w:rPr>
              <w:t>el Caribe</w:t>
            </w:r>
          </w:p>
        </w:tc>
        <w:tc>
          <w:tcPr>
            <w:tcW w:w="756" w:type="dxa"/>
            <w:tcBorders>
              <w:top w:val="nil"/>
              <w:left w:val="nil"/>
              <w:bottom w:val="single" w:sz="4" w:space="0" w:color="auto"/>
              <w:right w:val="single" w:sz="4" w:space="0" w:color="auto"/>
            </w:tcBorders>
            <w:noWrap/>
          </w:tcPr>
          <w:p w14:paraId="3ABB3F5F" w14:textId="77777777" w:rsidR="00FD547F" w:rsidRPr="00C65475" w:rsidRDefault="00FD547F" w:rsidP="005C1769">
            <w:pPr>
              <w:ind w:right="27"/>
              <w:jc w:val="right"/>
              <w:rPr>
                <w:color w:val="000000"/>
                <w:sz w:val="17"/>
                <w:szCs w:val="17"/>
                <w:lang w:eastAsia="en-CA"/>
              </w:rPr>
            </w:pPr>
            <w:r>
              <w:rPr>
                <w:sz w:val="17"/>
                <w:szCs w:val="17"/>
              </w:rPr>
              <w:t>2.619</w:t>
            </w:r>
          </w:p>
        </w:tc>
        <w:tc>
          <w:tcPr>
            <w:tcW w:w="1189" w:type="dxa"/>
            <w:tcBorders>
              <w:top w:val="nil"/>
              <w:left w:val="nil"/>
              <w:bottom w:val="single" w:sz="4" w:space="0" w:color="auto"/>
              <w:right w:val="single" w:sz="4" w:space="0" w:color="auto"/>
            </w:tcBorders>
            <w:noWrap/>
          </w:tcPr>
          <w:p w14:paraId="3C7B0471" w14:textId="77777777" w:rsidR="00FD547F" w:rsidRPr="00C65475" w:rsidRDefault="00FD547F" w:rsidP="005C1769">
            <w:pPr>
              <w:ind w:right="27"/>
              <w:jc w:val="right"/>
              <w:rPr>
                <w:color w:val="000000"/>
                <w:sz w:val="17"/>
                <w:szCs w:val="17"/>
                <w:lang w:eastAsia="en-CA"/>
              </w:rPr>
            </w:pPr>
            <w:r>
              <w:rPr>
                <w:sz w:val="17"/>
                <w:szCs w:val="17"/>
              </w:rPr>
              <w:t>40.725</w:t>
            </w:r>
          </w:p>
        </w:tc>
        <w:tc>
          <w:tcPr>
            <w:tcW w:w="1153" w:type="dxa"/>
            <w:tcBorders>
              <w:top w:val="nil"/>
              <w:left w:val="nil"/>
              <w:bottom w:val="single" w:sz="4" w:space="0" w:color="auto"/>
              <w:right w:val="single" w:sz="4" w:space="0" w:color="auto"/>
            </w:tcBorders>
            <w:noWrap/>
          </w:tcPr>
          <w:p w14:paraId="56663BB1" w14:textId="77777777" w:rsidR="00FD547F" w:rsidRPr="00C65475" w:rsidRDefault="00FD547F" w:rsidP="005C1769">
            <w:pPr>
              <w:ind w:right="27"/>
              <w:jc w:val="right"/>
              <w:rPr>
                <w:color w:val="000000"/>
                <w:sz w:val="17"/>
                <w:szCs w:val="17"/>
                <w:lang w:eastAsia="en-CA"/>
              </w:rPr>
            </w:pPr>
            <w:r>
              <w:rPr>
                <w:sz w:val="17"/>
                <w:szCs w:val="17"/>
              </w:rPr>
              <w:t>39.948</w:t>
            </w:r>
          </w:p>
        </w:tc>
        <w:tc>
          <w:tcPr>
            <w:tcW w:w="1153" w:type="dxa"/>
            <w:tcBorders>
              <w:top w:val="nil"/>
              <w:left w:val="nil"/>
              <w:bottom w:val="single" w:sz="4" w:space="0" w:color="auto"/>
              <w:right w:val="single" w:sz="4" w:space="0" w:color="auto"/>
            </w:tcBorders>
            <w:noWrap/>
          </w:tcPr>
          <w:p w14:paraId="2B0CCA92" w14:textId="77777777" w:rsidR="00FD547F" w:rsidRPr="00C65475" w:rsidRDefault="00FD547F" w:rsidP="005C1769">
            <w:pPr>
              <w:ind w:right="27"/>
              <w:jc w:val="right"/>
              <w:rPr>
                <w:color w:val="000000"/>
                <w:sz w:val="17"/>
                <w:szCs w:val="17"/>
                <w:lang w:eastAsia="en-CA"/>
              </w:rPr>
            </w:pPr>
            <w:r>
              <w:rPr>
                <w:sz w:val="17"/>
                <w:szCs w:val="17"/>
              </w:rPr>
              <w:t>8.527</w:t>
            </w:r>
          </w:p>
        </w:tc>
        <w:tc>
          <w:tcPr>
            <w:tcW w:w="1171" w:type="dxa"/>
            <w:tcBorders>
              <w:top w:val="nil"/>
              <w:left w:val="nil"/>
              <w:bottom w:val="single" w:sz="4" w:space="0" w:color="auto"/>
              <w:right w:val="single" w:sz="4" w:space="0" w:color="auto"/>
            </w:tcBorders>
            <w:noWrap/>
          </w:tcPr>
          <w:p w14:paraId="24C411A4" w14:textId="77777777" w:rsidR="00FD547F" w:rsidRPr="00C65475" w:rsidRDefault="00FD547F" w:rsidP="005C1769">
            <w:pPr>
              <w:ind w:right="27"/>
              <w:jc w:val="right"/>
              <w:rPr>
                <w:color w:val="000000"/>
                <w:sz w:val="17"/>
                <w:szCs w:val="17"/>
                <w:lang w:eastAsia="en-CA"/>
              </w:rPr>
            </w:pPr>
            <w:r>
              <w:rPr>
                <w:sz w:val="17"/>
                <w:szCs w:val="17"/>
              </w:rPr>
              <w:t>442</w:t>
            </w:r>
          </w:p>
        </w:tc>
        <w:tc>
          <w:tcPr>
            <w:tcW w:w="1006" w:type="dxa"/>
            <w:tcBorders>
              <w:top w:val="nil"/>
              <w:left w:val="nil"/>
              <w:bottom w:val="single" w:sz="4" w:space="0" w:color="auto"/>
              <w:right w:val="single" w:sz="4" w:space="0" w:color="auto"/>
            </w:tcBorders>
            <w:noWrap/>
          </w:tcPr>
          <w:p w14:paraId="10E588D0" w14:textId="77777777" w:rsidR="00FD547F" w:rsidRPr="00C65475" w:rsidRDefault="00FD547F" w:rsidP="005C1769">
            <w:pPr>
              <w:ind w:right="27"/>
              <w:jc w:val="right"/>
              <w:rPr>
                <w:color w:val="000000"/>
                <w:sz w:val="17"/>
                <w:szCs w:val="17"/>
                <w:lang w:eastAsia="en-CA"/>
              </w:rPr>
            </w:pPr>
            <w:r>
              <w:rPr>
                <w:sz w:val="17"/>
                <w:szCs w:val="17"/>
              </w:rPr>
              <w:t>19.775</w:t>
            </w:r>
          </w:p>
        </w:tc>
        <w:tc>
          <w:tcPr>
            <w:tcW w:w="1009" w:type="dxa"/>
            <w:tcBorders>
              <w:top w:val="nil"/>
              <w:left w:val="nil"/>
              <w:bottom w:val="single" w:sz="4" w:space="0" w:color="auto"/>
              <w:right w:val="single" w:sz="4" w:space="0" w:color="auto"/>
            </w:tcBorders>
            <w:noWrap/>
          </w:tcPr>
          <w:p w14:paraId="50BE4AEF" w14:textId="77777777" w:rsidR="00FD547F" w:rsidRPr="00C65475" w:rsidRDefault="00FD547F" w:rsidP="005C1769">
            <w:pPr>
              <w:ind w:right="27"/>
              <w:jc w:val="right"/>
              <w:rPr>
                <w:color w:val="000000"/>
                <w:sz w:val="17"/>
                <w:szCs w:val="17"/>
                <w:lang w:eastAsia="en-CA"/>
              </w:rPr>
            </w:pPr>
            <w:r>
              <w:rPr>
                <w:sz w:val="17"/>
                <w:szCs w:val="17"/>
              </w:rPr>
              <w:t>19.775</w:t>
            </w:r>
          </w:p>
        </w:tc>
        <w:tc>
          <w:tcPr>
            <w:tcW w:w="1278" w:type="dxa"/>
            <w:tcBorders>
              <w:top w:val="nil"/>
              <w:left w:val="nil"/>
              <w:bottom w:val="single" w:sz="4" w:space="0" w:color="auto"/>
              <w:right w:val="single" w:sz="4" w:space="0" w:color="auto"/>
            </w:tcBorders>
            <w:noWrap/>
          </w:tcPr>
          <w:p w14:paraId="2F4D9595" w14:textId="77777777" w:rsidR="00FD547F" w:rsidRPr="00C65475" w:rsidRDefault="00FD547F" w:rsidP="005C1769">
            <w:pPr>
              <w:ind w:right="27"/>
              <w:jc w:val="right"/>
              <w:rPr>
                <w:color w:val="000000"/>
                <w:sz w:val="17"/>
                <w:szCs w:val="17"/>
                <w:lang w:eastAsia="en-CA"/>
              </w:rPr>
            </w:pPr>
            <w:r>
              <w:rPr>
                <w:sz w:val="17"/>
                <w:szCs w:val="17"/>
              </w:rPr>
              <w:t>749.951.110</w:t>
            </w:r>
          </w:p>
        </w:tc>
      </w:tr>
      <w:tr w:rsidR="00FD547F" w:rsidRPr="00900B12" w14:paraId="738B928B" w14:textId="77777777" w:rsidTr="000863D3">
        <w:trPr>
          <w:cantSplit/>
          <w:trHeight w:val="122"/>
        </w:trPr>
        <w:tc>
          <w:tcPr>
            <w:tcW w:w="1530" w:type="dxa"/>
            <w:tcBorders>
              <w:top w:val="nil"/>
              <w:left w:val="single" w:sz="4" w:space="0" w:color="auto"/>
              <w:bottom w:val="single" w:sz="4" w:space="0" w:color="auto"/>
              <w:right w:val="single" w:sz="4" w:space="0" w:color="auto"/>
            </w:tcBorders>
            <w:noWrap/>
            <w:hideMark/>
          </w:tcPr>
          <w:p w14:paraId="4222B957" w14:textId="77777777" w:rsidR="00FD547F" w:rsidRPr="00C65475" w:rsidRDefault="00FD547F" w:rsidP="005C1769">
            <w:pPr>
              <w:ind w:right="27"/>
              <w:jc w:val="left"/>
              <w:rPr>
                <w:color w:val="000000"/>
                <w:sz w:val="17"/>
                <w:szCs w:val="17"/>
                <w:lang w:eastAsia="en-CA"/>
              </w:rPr>
            </w:pPr>
            <w:r>
              <w:rPr>
                <w:sz w:val="17"/>
                <w:szCs w:val="17"/>
              </w:rPr>
              <w:t>Mundial</w:t>
            </w:r>
          </w:p>
        </w:tc>
        <w:tc>
          <w:tcPr>
            <w:tcW w:w="756" w:type="dxa"/>
            <w:tcBorders>
              <w:top w:val="nil"/>
              <w:left w:val="nil"/>
              <w:bottom w:val="single" w:sz="4" w:space="0" w:color="auto"/>
              <w:right w:val="single" w:sz="4" w:space="0" w:color="auto"/>
            </w:tcBorders>
            <w:noWrap/>
          </w:tcPr>
          <w:p w14:paraId="492D130D" w14:textId="77777777" w:rsidR="00FD547F" w:rsidRPr="00C65475" w:rsidRDefault="00FD547F" w:rsidP="005C1769">
            <w:pPr>
              <w:ind w:right="27"/>
              <w:jc w:val="right"/>
              <w:rPr>
                <w:color w:val="000000"/>
                <w:sz w:val="17"/>
                <w:szCs w:val="17"/>
                <w:lang w:eastAsia="en-CA"/>
              </w:rPr>
            </w:pPr>
            <w:r>
              <w:rPr>
                <w:sz w:val="17"/>
                <w:szCs w:val="17"/>
              </w:rPr>
              <w:t>359</w:t>
            </w:r>
          </w:p>
        </w:tc>
        <w:tc>
          <w:tcPr>
            <w:tcW w:w="1189" w:type="dxa"/>
            <w:tcBorders>
              <w:top w:val="nil"/>
              <w:left w:val="nil"/>
              <w:bottom w:val="single" w:sz="4" w:space="0" w:color="auto"/>
              <w:right w:val="single" w:sz="4" w:space="0" w:color="auto"/>
            </w:tcBorders>
            <w:noWrap/>
          </w:tcPr>
          <w:p w14:paraId="6140A865" w14:textId="77777777" w:rsidR="00FD547F" w:rsidRPr="00C65475" w:rsidRDefault="00FD547F"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08892042" w14:textId="77777777" w:rsidR="00FD547F" w:rsidRPr="00C65475" w:rsidRDefault="00FD547F"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0FA7373B" w14:textId="77777777" w:rsidR="00FD547F" w:rsidRPr="00C65475" w:rsidRDefault="00FD547F" w:rsidP="005C1769">
            <w:pPr>
              <w:ind w:right="27"/>
              <w:jc w:val="right"/>
              <w:rPr>
                <w:color w:val="000000"/>
                <w:sz w:val="17"/>
                <w:szCs w:val="17"/>
                <w:lang w:eastAsia="en-CA"/>
              </w:rPr>
            </w:pPr>
          </w:p>
        </w:tc>
        <w:tc>
          <w:tcPr>
            <w:tcW w:w="1171" w:type="dxa"/>
            <w:tcBorders>
              <w:top w:val="nil"/>
              <w:left w:val="nil"/>
              <w:bottom w:val="single" w:sz="4" w:space="0" w:color="auto"/>
              <w:right w:val="single" w:sz="4" w:space="0" w:color="auto"/>
            </w:tcBorders>
            <w:noWrap/>
          </w:tcPr>
          <w:p w14:paraId="1CFE8F34" w14:textId="77777777" w:rsidR="00FD547F" w:rsidRPr="00C65475" w:rsidRDefault="00FD547F" w:rsidP="005C1769">
            <w:pPr>
              <w:ind w:right="27"/>
              <w:jc w:val="right"/>
              <w:rPr>
                <w:color w:val="000000"/>
                <w:sz w:val="17"/>
                <w:szCs w:val="17"/>
                <w:lang w:eastAsia="en-CA"/>
              </w:rPr>
            </w:pPr>
          </w:p>
        </w:tc>
        <w:tc>
          <w:tcPr>
            <w:tcW w:w="1006" w:type="dxa"/>
            <w:tcBorders>
              <w:top w:val="nil"/>
              <w:left w:val="nil"/>
              <w:bottom w:val="single" w:sz="4" w:space="0" w:color="auto"/>
              <w:right w:val="single" w:sz="4" w:space="0" w:color="auto"/>
            </w:tcBorders>
            <w:noWrap/>
          </w:tcPr>
          <w:p w14:paraId="6CC87D47" w14:textId="77777777" w:rsidR="00FD547F" w:rsidRPr="00C65475" w:rsidRDefault="00FD547F"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627B0041" w14:textId="77777777" w:rsidR="00FD547F" w:rsidRPr="00C65475" w:rsidRDefault="00FD547F"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23C5BA5F" w14:textId="77777777" w:rsidR="00FD547F" w:rsidRPr="00C65475" w:rsidRDefault="00FD547F" w:rsidP="005C1769">
            <w:pPr>
              <w:ind w:right="27"/>
              <w:jc w:val="right"/>
              <w:rPr>
                <w:color w:val="000000"/>
                <w:sz w:val="17"/>
                <w:szCs w:val="17"/>
                <w:lang w:eastAsia="en-CA"/>
              </w:rPr>
            </w:pPr>
            <w:r>
              <w:rPr>
                <w:sz w:val="17"/>
                <w:szCs w:val="17"/>
              </w:rPr>
              <w:t>383.736.678</w:t>
            </w:r>
          </w:p>
        </w:tc>
      </w:tr>
      <w:tr w:rsidR="00CA1473" w:rsidRPr="00900B12" w14:paraId="2CE1CF6E" w14:textId="77777777" w:rsidTr="000863D3">
        <w:trPr>
          <w:cantSplit/>
          <w:trHeight w:val="55"/>
        </w:trPr>
        <w:tc>
          <w:tcPr>
            <w:tcW w:w="10245" w:type="dxa"/>
            <w:gridSpan w:val="9"/>
            <w:tcBorders>
              <w:top w:val="nil"/>
              <w:left w:val="single" w:sz="4" w:space="0" w:color="auto"/>
              <w:bottom w:val="single" w:sz="4" w:space="0" w:color="auto"/>
              <w:right w:val="single" w:sz="4" w:space="0" w:color="auto"/>
            </w:tcBorders>
            <w:noWrap/>
          </w:tcPr>
          <w:p w14:paraId="4C81DC00" w14:textId="77777777" w:rsidR="00CA1473" w:rsidRPr="00C65475" w:rsidRDefault="001B7B48" w:rsidP="005C1769">
            <w:pPr>
              <w:ind w:right="27"/>
              <w:jc w:val="left"/>
              <w:rPr>
                <w:b/>
                <w:bCs/>
                <w:color w:val="000000"/>
                <w:sz w:val="17"/>
                <w:szCs w:val="17"/>
                <w:lang w:eastAsia="en-CA"/>
              </w:rPr>
            </w:pPr>
            <w:r>
              <w:rPr>
                <w:b/>
                <w:bCs/>
                <w:color w:val="000000"/>
                <w:sz w:val="17"/>
                <w:szCs w:val="17"/>
              </w:rPr>
              <w:t>Grupo</w:t>
            </w:r>
          </w:p>
        </w:tc>
      </w:tr>
      <w:tr w:rsidR="00344718" w:rsidRPr="00900B12" w14:paraId="216CB2CE"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6DDF8A39" w14:textId="77777777" w:rsidR="00344718" w:rsidRPr="00C65475" w:rsidRDefault="00344718" w:rsidP="005C1769">
            <w:pPr>
              <w:ind w:right="27"/>
              <w:jc w:val="left"/>
              <w:rPr>
                <w:color w:val="000000"/>
                <w:sz w:val="17"/>
                <w:szCs w:val="17"/>
                <w:lang w:eastAsia="en-CA"/>
              </w:rPr>
            </w:pPr>
            <w:r>
              <w:rPr>
                <w:sz w:val="17"/>
                <w:szCs w:val="17"/>
              </w:rPr>
              <w:t>Programa de los organismos</w:t>
            </w:r>
          </w:p>
        </w:tc>
        <w:tc>
          <w:tcPr>
            <w:tcW w:w="756" w:type="dxa"/>
            <w:tcBorders>
              <w:top w:val="nil"/>
              <w:left w:val="nil"/>
              <w:bottom w:val="single" w:sz="4" w:space="0" w:color="auto"/>
              <w:right w:val="single" w:sz="4" w:space="0" w:color="auto"/>
            </w:tcBorders>
            <w:noWrap/>
          </w:tcPr>
          <w:p w14:paraId="33C68FB0" w14:textId="77777777" w:rsidR="00344718" w:rsidRPr="00C65475" w:rsidRDefault="00344718" w:rsidP="005C1769">
            <w:pPr>
              <w:ind w:right="27"/>
              <w:jc w:val="right"/>
              <w:rPr>
                <w:color w:val="000000"/>
                <w:sz w:val="17"/>
                <w:szCs w:val="17"/>
                <w:lang w:eastAsia="en-CA"/>
              </w:rPr>
            </w:pPr>
            <w:r>
              <w:rPr>
                <w:sz w:val="17"/>
                <w:szCs w:val="17"/>
              </w:rPr>
              <w:t>269</w:t>
            </w:r>
          </w:p>
        </w:tc>
        <w:tc>
          <w:tcPr>
            <w:tcW w:w="1189" w:type="dxa"/>
            <w:tcBorders>
              <w:top w:val="nil"/>
              <w:left w:val="nil"/>
              <w:bottom w:val="single" w:sz="4" w:space="0" w:color="auto"/>
              <w:right w:val="single" w:sz="4" w:space="0" w:color="auto"/>
            </w:tcBorders>
            <w:noWrap/>
          </w:tcPr>
          <w:p w14:paraId="63832AD4"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3A0EE354"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6833DEF6"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28FD6E37"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1D7A0E92" w14:textId="77777777" w:rsidR="00344718" w:rsidRPr="00C65475" w:rsidRDefault="00344718"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6E8DC1AA" w14:textId="77777777" w:rsidR="00344718" w:rsidRPr="00C65475" w:rsidRDefault="00344718"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4F4B93AA" w14:textId="77777777" w:rsidR="00344718" w:rsidRPr="00C65475" w:rsidRDefault="00344718" w:rsidP="005C1769">
            <w:pPr>
              <w:ind w:right="27"/>
              <w:jc w:val="right"/>
              <w:rPr>
                <w:color w:val="000000"/>
                <w:sz w:val="17"/>
                <w:szCs w:val="17"/>
                <w:lang w:eastAsia="en-CA"/>
              </w:rPr>
            </w:pPr>
            <w:r>
              <w:rPr>
                <w:sz w:val="17"/>
                <w:szCs w:val="17"/>
              </w:rPr>
              <w:t>373.407.302</w:t>
            </w:r>
          </w:p>
        </w:tc>
      </w:tr>
      <w:tr w:rsidR="00344718" w:rsidRPr="00900B12" w14:paraId="14EAA4A3"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62145EB4" w14:textId="77777777" w:rsidR="00344718" w:rsidRPr="00C65475" w:rsidRDefault="00344718" w:rsidP="005C1769">
            <w:pPr>
              <w:ind w:right="27"/>
              <w:jc w:val="left"/>
              <w:rPr>
                <w:color w:val="000000"/>
                <w:sz w:val="17"/>
                <w:szCs w:val="17"/>
                <w:lang w:eastAsia="en-CA"/>
              </w:rPr>
            </w:pPr>
            <w:r>
              <w:rPr>
                <w:sz w:val="17"/>
                <w:szCs w:val="17"/>
              </w:rPr>
              <w:t>Mecanismo de financiación alternativa</w:t>
            </w:r>
          </w:p>
        </w:tc>
        <w:tc>
          <w:tcPr>
            <w:tcW w:w="756" w:type="dxa"/>
            <w:tcBorders>
              <w:top w:val="nil"/>
              <w:left w:val="nil"/>
              <w:bottom w:val="single" w:sz="4" w:space="0" w:color="auto"/>
              <w:right w:val="single" w:sz="4" w:space="0" w:color="auto"/>
            </w:tcBorders>
            <w:noWrap/>
          </w:tcPr>
          <w:p w14:paraId="4281FF60" w14:textId="77777777" w:rsidR="00344718" w:rsidRPr="00C65475" w:rsidRDefault="00344718" w:rsidP="005C1769">
            <w:pPr>
              <w:ind w:right="27"/>
              <w:jc w:val="right"/>
              <w:rPr>
                <w:color w:val="000000"/>
                <w:sz w:val="17"/>
                <w:szCs w:val="17"/>
                <w:lang w:eastAsia="en-CA"/>
              </w:rPr>
            </w:pPr>
            <w:r>
              <w:rPr>
                <w:sz w:val="17"/>
                <w:szCs w:val="17"/>
              </w:rPr>
              <w:t>9</w:t>
            </w:r>
          </w:p>
        </w:tc>
        <w:tc>
          <w:tcPr>
            <w:tcW w:w="1189" w:type="dxa"/>
            <w:tcBorders>
              <w:top w:val="nil"/>
              <w:left w:val="nil"/>
              <w:bottom w:val="single" w:sz="4" w:space="0" w:color="auto"/>
              <w:right w:val="single" w:sz="4" w:space="0" w:color="auto"/>
            </w:tcBorders>
            <w:noWrap/>
          </w:tcPr>
          <w:p w14:paraId="102ED381"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6F74B63B"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6B7FE261"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241C8146"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749832C4" w14:textId="77777777" w:rsidR="00344718" w:rsidRPr="00C65475" w:rsidRDefault="00344718"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0DE08F54" w14:textId="77777777" w:rsidR="00344718" w:rsidRPr="00C65475" w:rsidRDefault="00344718"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7AE74262" w14:textId="77777777" w:rsidR="00344718" w:rsidRPr="00C65475" w:rsidRDefault="00344718" w:rsidP="005C1769">
            <w:pPr>
              <w:ind w:right="27"/>
              <w:jc w:val="right"/>
              <w:rPr>
                <w:color w:val="000000"/>
                <w:sz w:val="17"/>
                <w:szCs w:val="17"/>
                <w:lang w:eastAsia="en-CA"/>
              </w:rPr>
            </w:pPr>
            <w:r>
              <w:rPr>
                <w:sz w:val="17"/>
                <w:szCs w:val="17"/>
              </w:rPr>
              <w:t>44.217.750</w:t>
            </w:r>
          </w:p>
        </w:tc>
      </w:tr>
      <w:tr w:rsidR="00344718" w:rsidRPr="00900B12" w14:paraId="7656D602"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08BABE96" w14:textId="77777777" w:rsidR="00344718" w:rsidRPr="00C65475" w:rsidRDefault="00344718" w:rsidP="005C1769">
            <w:pPr>
              <w:ind w:right="27"/>
              <w:jc w:val="left"/>
              <w:rPr>
                <w:color w:val="000000"/>
                <w:sz w:val="17"/>
                <w:szCs w:val="17"/>
                <w:lang w:eastAsia="en-CA"/>
              </w:rPr>
            </w:pPr>
            <w:r>
              <w:rPr>
                <w:sz w:val="17"/>
                <w:szCs w:val="17"/>
              </w:rPr>
              <w:t>Proyectos individuales de CFC</w:t>
            </w:r>
          </w:p>
        </w:tc>
        <w:tc>
          <w:tcPr>
            <w:tcW w:w="756" w:type="dxa"/>
            <w:tcBorders>
              <w:top w:val="nil"/>
              <w:left w:val="nil"/>
              <w:bottom w:val="single" w:sz="4" w:space="0" w:color="auto"/>
              <w:right w:val="single" w:sz="4" w:space="0" w:color="auto"/>
            </w:tcBorders>
            <w:noWrap/>
          </w:tcPr>
          <w:p w14:paraId="7F2E2AE6" w14:textId="77777777" w:rsidR="00344718" w:rsidRPr="00900B12" w:rsidRDefault="00344718" w:rsidP="005C1769">
            <w:pPr>
              <w:ind w:right="27"/>
              <w:jc w:val="right"/>
              <w:rPr>
                <w:color w:val="000000"/>
                <w:sz w:val="17"/>
                <w:szCs w:val="17"/>
              </w:rPr>
            </w:pPr>
            <w:r>
              <w:rPr>
                <w:sz w:val="17"/>
                <w:szCs w:val="17"/>
              </w:rPr>
              <w:t>3.622</w:t>
            </w:r>
          </w:p>
        </w:tc>
        <w:tc>
          <w:tcPr>
            <w:tcW w:w="1189" w:type="dxa"/>
            <w:tcBorders>
              <w:top w:val="nil"/>
              <w:left w:val="nil"/>
              <w:bottom w:val="single" w:sz="4" w:space="0" w:color="auto"/>
              <w:right w:val="single" w:sz="4" w:space="0" w:color="auto"/>
            </w:tcBorders>
            <w:noWrap/>
          </w:tcPr>
          <w:p w14:paraId="2930B26A" w14:textId="77777777" w:rsidR="00344718" w:rsidRPr="00900B12" w:rsidRDefault="00344718" w:rsidP="005C1769">
            <w:pPr>
              <w:ind w:right="27"/>
              <w:jc w:val="right"/>
              <w:rPr>
                <w:color w:val="000000"/>
                <w:sz w:val="17"/>
                <w:szCs w:val="17"/>
              </w:rPr>
            </w:pPr>
            <w:r>
              <w:rPr>
                <w:sz w:val="17"/>
                <w:szCs w:val="17"/>
              </w:rPr>
              <w:t>125.760</w:t>
            </w:r>
          </w:p>
        </w:tc>
        <w:tc>
          <w:tcPr>
            <w:tcW w:w="1153" w:type="dxa"/>
            <w:tcBorders>
              <w:top w:val="nil"/>
              <w:left w:val="nil"/>
              <w:bottom w:val="single" w:sz="4" w:space="0" w:color="auto"/>
              <w:right w:val="single" w:sz="4" w:space="0" w:color="auto"/>
            </w:tcBorders>
            <w:noWrap/>
          </w:tcPr>
          <w:p w14:paraId="4C3965E6" w14:textId="77777777" w:rsidR="00344718" w:rsidRPr="00900B12" w:rsidRDefault="00344718" w:rsidP="005C1769">
            <w:pPr>
              <w:ind w:right="27"/>
              <w:jc w:val="right"/>
              <w:rPr>
                <w:color w:val="000000"/>
                <w:sz w:val="17"/>
                <w:szCs w:val="17"/>
              </w:rPr>
            </w:pPr>
            <w:r>
              <w:rPr>
                <w:sz w:val="17"/>
                <w:szCs w:val="17"/>
              </w:rPr>
              <w:t>125.864</w:t>
            </w:r>
          </w:p>
        </w:tc>
        <w:tc>
          <w:tcPr>
            <w:tcW w:w="1153" w:type="dxa"/>
            <w:tcBorders>
              <w:top w:val="nil"/>
              <w:left w:val="nil"/>
              <w:bottom w:val="single" w:sz="4" w:space="0" w:color="auto"/>
              <w:right w:val="single" w:sz="4" w:space="0" w:color="auto"/>
            </w:tcBorders>
            <w:noWrap/>
          </w:tcPr>
          <w:p w14:paraId="5106F6C7"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13362269"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1ED2E220"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1B39A026"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0CC17FF7" w14:textId="77777777" w:rsidR="00344718" w:rsidRPr="00900B12" w:rsidRDefault="00344718" w:rsidP="005C1769">
            <w:pPr>
              <w:ind w:right="27"/>
              <w:jc w:val="right"/>
              <w:rPr>
                <w:color w:val="000000"/>
                <w:sz w:val="17"/>
                <w:szCs w:val="17"/>
              </w:rPr>
            </w:pPr>
            <w:r>
              <w:rPr>
                <w:sz w:val="17"/>
                <w:szCs w:val="17"/>
              </w:rPr>
              <w:t>1.013.861.023</w:t>
            </w:r>
          </w:p>
        </w:tc>
      </w:tr>
      <w:tr w:rsidR="00344718" w:rsidRPr="00900B12" w14:paraId="3909F11F" w14:textId="77777777" w:rsidTr="000863D3">
        <w:trPr>
          <w:cantSplit/>
          <w:trHeight w:val="107"/>
        </w:trPr>
        <w:tc>
          <w:tcPr>
            <w:tcW w:w="1530" w:type="dxa"/>
            <w:tcBorders>
              <w:top w:val="nil"/>
              <w:left w:val="single" w:sz="4" w:space="0" w:color="auto"/>
              <w:bottom w:val="single" w:sz="4" w:space="0" w:color="auto"/>
              <w:right w:val="single" w:sz="4" w:space="0" w:color="auto"/>
            </w:tcBorders>
            <w:noWrap/>
          </w:tcPr>
          <w:p w14:paraId="7C5CFC2A" w14:textId="77777777" w:rsidR="00344718" w:rsidRPr="00C65475" w:rsidRDefault="00344718" w:rsidP="005C1769">
            <w:pPr>
              <w:ind w:right="27"/>
              <w:jc w:val="left"/>
              <w:rPr>
                <w:color w:val="000000"/>
                <w:sz w:val="17"/>
                <w:szCs w:val="17"/>
                <w:lang w:eastAsia="en-CA"/>
              </w:rPr>
            </w:pPr>
            <w:r>
              <w:rPr>
                <w:sz w:val="17"/>
                <w:szCs w:val="17"/>
              </w:rPr>
              <w:t>Planes de eliminación de CFC</w:t>
            </w:r>
          </w:p>
        </w:tc>
        <w:tc>
          <w:tcPr>
            <w:tcW w:w="756" w:type="dxa"/>
            <w:tcBorders>
              <w:top w:val="nil"/>
              <w:left w:val="nil"/>
              <w:bottom w:val="single" w:sz="4" w:space="0" w:color="auto"/>
              <w:right w:val="single" w:sz="4" w:space="0" w:color="auto"/>
            </w:tcBorders>
            <w:noWrap/>
          </w:tcPr>
          <w:p w14:paraId="1642D7C3" w14:textId="77777777" w:rsidR="00344718" w:rsidRPr="00C65475" w:rsidRDefault="00344718" w:rsidP="005C1769">
            <w:pPr>
              <w:ind w:right="27"/>
              <w:jc w:val="right"/>
              <w:rPr>
                <w:color w:val="000000"/>
                <w:sz w:val="17"/>
                <w:szCs w:val="17"/>
                <w:lang w:eastAsia="en-CA"/>
              </w:rPr>
            </w:pPr>
            <w:r>
              <w:rPr>
                <w:sz w:val="17"/>
                <w:szCs w:val="17"/>
              </w:rPr>
              <w:t>429</w:t>
            </w:r>
          </w:p>
        </w:tc>
        <w:tc>
          <w:tcPr>
            <w:tcW w:w="1189" w:type="dxa"/>
            <w:tcBorders>
              <w:top w:val="nil"/>
              <w:left w:val="nil"/>
              <w:bottom w:val="single" w:sz="4" w:space="0" w:color="auto"/>
              <w:right w:val="single" w:sz="4" w:space="0" w:color="auto"/>
            </w:tcBorders>
            <w:noWrap/>
          </w:tcPr>
          <w:p w14:paraId="1D5C1B19" w14:textId="77777777" w:rsidR="00344718" w:rsidRPr="00C65475" w:rsidRDefault="00344718" w:rsidP="005C1769">
            <w:pPr>
              <w:ind w:right="27"/>
              <w:jc w:val="right"/>
              <w:rPr>
                <w:color w:val="000000"/>
                <w:sz w:val="17"/>
                <w:szCs w:val="17"/>
                <w:lang w:eastAsia="en-CA"/>
              </w:rPr>
            </w:pPr>
            <w:r>
              <w:rPr>
                <w:sz w:val="17"/>
                <w:szCs w:val="17"/>
              </w:rPr>
              <w:t>45.806</w:t>
            </w:r>
          </w:p>
        </w:tc>
        <w:tc>
          <w:tcPr>
            <w:tcW w:w="1153" w:type="dxa"/>
            <w:tcBorders>
              <w:top w:val="nil"/>
              <w:left w:val="nil"/>
              <w:bottom w:val="single" w:sz="4" w:space="0" w:color="auto"/>
              <w:right w:val="single" w:sz="4" w:space="0" w:color="auto"/>
            </w:tcBorders>
            <w:noWrap/>
          </w:tcPr>
          <w:p w14:paraId="71885DF4" w14:textId="77777777" w:rsidR="00344718" w:rsidRPr="00C65475" w:rsidRDefault="00344718" w:rsidP="005C1769">
            <w:pPr>
              <w:ind w:right="27"/>
              <w:jc w:val="right"/>
              <w:rPr>
                <w:color w:val="000000"/>
                <w:sz w:val="17"/>
                <w:szCs w:val="17"/>
                <w:lang w:eastAsia="en-CA"/>
              </w:rPr>
            </w:pPr>
            <w:r>
              <w:rPr>
                <w:sz w:val="17"/>
                <w:szCs w:val="17"/>
              </w:rPr>
              <w:t>46.177</w:t>
            </w:r>
          </w:p>
        </w:tc>
        <w:tc>
          <w:tcPr>
            <w:tcW w:w="1153" w:type="dxa"/>
            <w:tcBorders>
              <w:top w:val="nil"/>
              <w:left w:val="nil"/>
              <w:bottom w:val="single" w:sz="4" w:space="0" w:color="auto"/>
              <w:right w:val="single" w:sz="4" w:space="0" w:color="auto"/>
            </w:tcBorders>
            <w:noWrap/>
          </w:tcPr>
          <w:p w14:paraId="17894B9C"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09265DCB"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1FE8D81D" w14:textId="77777777" w:rsidR="00344718" w:rsidRPr="00C65475" w:rsidRDefault="00344718"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42B7A02F" w14:textId="77777777" w:rsidR="00344718" w:rsidRPr="00C65475" w:rsidRDefault="00344718"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19890823" w14:textId="77777777" w:rsidR="00344718" w:rsidRPr="00C65475" w:rsidRDefault="00344718" w:rsidP="005C1769">
            <w:pPr>
              <w:ind w:right="27"/>
              <w:jc w:val="right"/>
              <w:rPr>
                <w:color w:val="000000"/>
                <w:sz w:val="17"/>
                <w:szCs w:val="17"/>
                <w:lang w:eastAsia="en-CA"/>
              </w:rPr>
            </w:pPr>
            <w:r>
              <w:rPr>
                <w:sz w:val="17"/>
                <w:szCs w:val="17"/>
              </w:rPr>
              <w:t>237.206.230</w:t>
            </w:r>
          </w:p>
        </w:tc>
      </w:tr>
      <w:tr w:rsidR="00344718" w:rsidRPr="00900B12" w14:paraId="016C3020"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4D73F3E6" w14:textId="77777777" w:rsidR="00344718" w:rsidRPr="00C65475" w:rsidRDefault="00344718" w:rsidP="005C1769">
            <w:pPr>
              <w:ind w:right="27"/>
              <w:jc w:val="left"/>
              <w:rPr>
                <w:color w:val="000000"/>
                <w:sz w:val="17"/>
                <w:szCs w:val="17"/>
                <w:lang w:eastAsia="en-CA"/>
              </w:rPr>
            </w:pPr>
            <w:r>
              <w:rPr>
                <w:sz w:val="17"/>
                <w:szCs w:val="17"/>
              </w:rPr>
              <w:t>Planes de eliminación de la producción de CFC</w:t>
            </w:r>
          </w:p>
        </w:tc>
        <w:tc>
          <w:tcPr>
            <w:tcW w:w="756" w:type="dxa"/>
            <w:tcBorders>
              <w:top w:val="nil"/>
              <w:left w:val="nil"/>
              <w:bottom w:val="single" w:sz="4" w:space="0" w:color="auto"/>
              <w:right w:val="single" w:sz="4" w:space="0" w:color="auto"/>
            </w:tcBorders>
            <w:noWrap/>
          </w:tcPr>
          <w:p w14:paraId="74609CE3" w14:textId="77777777" w:rsidR="00344718" w:rsidRPr="00C65475" w:rsidRDefault="00344718" w:rsidP="005C1769">
            <w:pPr>
              <w:ind w:right="27"/>
              <w:jc w:val="right"/>
              <w:rPr>
                <w:color w:val="000000"/>
                <w:sz w:val="17"/>
                <w:szCs w:val="17"/>
                <w:lang w:eastAsia="en-CA"/>
              </w:rPr>
            </w:pPr>
            <w:r>
              <w:rPr>
                <w:sz w:val="17"/>
                <w:szCs w:val="17"/>
              </w:rPr>
              <w:t>42</w:t>
            </w:r>
          </w:p>
        </w:tc>
        <w:tc>
          <w:tcPr>
            <w:tcW w:w="1189" w:type="dxa"/>
            <w:tcBorders>
              <w:top w:val="nil"/>
              <w:left w:val="nil"/>
              <w:bottom w:val="single" w:sz="4" w:space="0" w:color="auto"/>
              <w:right w:val="single" w:sz="4" w:space="0" w:color="auto"/>
            </w:tcBorders>
            <w:noWrap/>
          </w:tcPr>
          <w:p w14:paraId="396FA49B"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0B0A96C5"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3046A97B"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21E0AA14"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42E9854D" w14:textId="77777777" w:rsidR="00344718" w:rsidRPr="00C65475" w:rsidRDefault="00344718" w:rsidP="005C1769">
            <w:pPr>
              <w:ind w:right="27"/>
              <w:jc w:val="right"/>
              <w:rPr>
                <w:color w:val="000000"/>
                <w:sz w:val="17"/>
                <w:szCs w:val="17"/>
                <w:lang w:eastAsia="en-CA"/>
              </w:rPr>
            </w:pPr>
            <w:r>
              <w:rPr>
                <w:sz w:val="17"/>
                <w:szCs w:val="17"/>
              </w:rPr>
              <w:t>88.772</w:t>
            </w:r>
          </w:p>
        </w:tc>
        <w:tc>
          <w:tcPr>
            <w:tcW w:w="1009" w:type="dxa"/>
            <w:tcBorders>
              <w:top w:val="nil"/>
              <w:left w:val="nil"/>
              <w:bottom w:val="single" w:sz="4" w:space="0" w:color="auto"/>
              <w:right w:val="single" w:sz="4" w:space="0" w:color="auto"/>
            </w:tcBorders>
            <w:noWrap/>
          </w:tcPr>
          <w:p w14:paraId="13ABB21E" w14:textId="77777777" w:rsidR="00344718" w:rsidRPr="00C65475" w:rsidRDefault="00344718" w:rsidP="005C1769">
            <w:pPr>
              <w:ind w:right="27"/>
              <w:jc w:val="right"/>
              <w:rPr>
                <w:color w:val="000000"/>
                <w:sz w:val="17"/>
                <w:szCs w:val="17"/>
                <w:lang w:eastAsia="en-CA"/>
              </w:rPr>
            </w:pPr>
            <w:r>
              <w:rPr>
                <w:sz w:val="17"/>
                <w:szCs w:val="17"/>
              </w:rPr>
              <w:t>88.772</w:t>
            </w:r>
          </w:p>
        </w:tc>
        <w:tc>
          <w:tcPr>
            <w:tcW w:w="1278" w:type="dxa"/>
            <w:tcBorders>
              <w:top w:val="nil"/>
              <w:left w:val="nil"/>
              <w:bottom w:val="single" w:sz="4" w:space="0" w:color="auto"/>
              <w:right w:val="single" w:sz="4" w:space="0" w:color="auto"/>
            </w:tcBorders>
            <w:noWrap/>
          </w:tcPr>
          <w:p w14:paraId="3CDCE5E4" w14:textId="77777777" w:rsidR="00344718" w:rsidRPr="00C65475" w:rsidRDefault="00344718" w:rsidP="005C1769">
            <w:pPr>
              <w:ind w:right="27"/>
              <w:jc w:val="right"/>
              <w:rPr>
                <w:color w:val="000000"/>
                <w:sz w:val="17"/>
                <w:szCs w:val="17"/>
                <w:lang w:eastAsia="en-CA"/>
              </w:rPr>
            </w:pPr>
            <w:r>
              <w:rPr>
                <w:sz w:val="17"/>
                <w:szCs w:val="17"/>
              </w:rPr>
              <w:t>316.914.190</w:t>
            </w:r>
          </w:p>
        </w:tc>
      </w:tr>
      <w:tr w:rsidR="00344718" w:rsidRPr="00900B12" w14:paraId="79A38B81"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2E7EFC5D" w14:textId="77777777" w:rsidR="00344718" w:rsidRPr="00C65475" w:rsidRDefault="00344718" w:rsidP="005C1769">
            <w:pPr>
              <w:ind w:right="27"/>
              <w:jc w:val="left"/>
              <w:rPr>
                <w:color w:val="000000"/>
                <w:sz w:val="17"/>
                <w:szCs w:val="17"/>
                <w:lang w:eastAsia="en-CA"/>
              </w:rPr>
            </w:pPr>
            <w:r>
              <w:rPr>
                <w:sz w:val="17"/>
                <w:szCs w:val="17"/>
              </w:rPr>
              <w:t>Eliminación</w:t>
            </w:r>
          </w:p>
        </w:tc>
        <w:tc>
          <w:tcPr>
            <w:tcW w:w="756" w:type="dxa"/>
            <w:tcBorders>
              <w:top w:val="nil"/>
              <w:left w:val="nil"/>
              <w:bottom w:val="single" w:sz="4" w:space="0" w:color="auto"/>
              <w:right w:val="single" w:sz="4" w:space="0" w:color="auto"/>
            </w:tcBorders>
            <w:noWrap/>
          </w:tcPr>
          <w:p w14:paraId="58A4533A" w14:textId="77777777" w:rsidR="00344718" w:rsidRPr="00C65475" w:rsidRDefault="00344718" w:rsidP="005C1769">
            <w:pPr>
              <w:ind w:right="27"/>
              <w:jc w:val="right"/>
              <w:rPr>
                <w:color w:val="000000"/>
                <w:sz w:val="17"/>
                <w:szCs w:val="17"/>
                <w:lang w:eastAsia="en-CA"/>
              </w:rPr>
            </w:pPr>
            <w:r>
              <w:rPr>
                <w:sz w:val="17"/>
                <w:szCs w:val="17"/>
              </w:rPr>
              <w:t>34</w:t>
            </w:r>
          </w:p>
        </w:tc>
        <w:tc>
          <w:tcPr>
            <w:tcW w:w="1189" w:type="dxa"/>
            <w:tcBorders>
              <w:top w:val="nil"/>
              <w:left w:val="nil"/>
              <w:bottom w:val="single" w:sz="4" w:space="0" w:color="auto"/>
              <w:right w:val="single" w:sz="4" w:space="0" w:color="auto"/>
            </w:tcBorders>
            <w:noWrap/>
          </w:tcPr>
          <w:p w14:paraId="3319BC70"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7D5EE71B"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3CD4EF85"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4FF58CC5"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1A263809" w14:textId="77777777" w:rsidR="00344718" w:rsidRPr="00C65475" w:rsidRDefault="00344718"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47407C46" w14:textId="77777777" w:rsidR="00344718" w:rsidRPr="00C65475" w:rsidRDefault="00344718"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0FEC5C74" w14:textId="77777777" w:rsidR="00344718" w:rsidRPr="00C65475" w:rsidRDefault="00344718" w:rsidP="005C1769">
            <w:pPr>
              <w:ind w:right="27"/>
              <w:jc w:val="right"/>
              <w:rPr>
                <w:color w:val="000000"/>
                <w:sz w:val="17"/>
                <w:szCs w:val="17"/>
                <w:lang w:eastAsia="en-CA"/>
              </w:rPr>
            </w:pPr>
            <w:r>
              <w:rPr>
                <w:sz w:val="17"/>
                <w:szCs w:val="17"/>
              </w:rPr>
              <w:t>9.749.989</w:t>
            </w:r>
          </w:p>
        </w:tc>
      </w:tr>
      <w:tr w:rsidR="00344718" w:rsidRPr="00900B12" w14:paraId="43C01F0C"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122BCB01" w14:textId="77777777" w:rsidR="00344718" w:rsidRPr="00C65475" w:rsidRDefault="00344718" w:rsidP="005C1769">
            <w:pPr>
              <w:ind w:right="27"/>
              <w:jc w:val="left"/>
              <w:rPr>
                <w:color w:val="000000"/>
                <w:sz w:val="17"/>
                <w:szCs w:val="17"/>
                <w:lang w:eastAsia="en-CA"/>
              </w:rPr>
            </w:pPr>
            <w:r>
              <w:rPr>
                <w:sz w:val="17"/>
                <w:szCs w:val="17"/>
              </w:rPr>
              <w:t>Control de emisiones</w:t>
            </w:r>
          </w:p>
        </w:tc>
        <w:tc>
          <w:tcPr>
            <w:tcW w:w="756" w:type="dxa"/>
            <w:tcBorders>
              <w:top w:val="nil"/>
              <w:left w:val="nil"/>
              <w:bottom w:val="single" w:sz="4" w:space="0" w:color="auto"/>
              <w:right w:val="single" w:sz="4" w:space="0" w:color="auto"/>
            </w:tcBorders>
            <w:noWrap/>
          </w:tcPr>
          <w:p w14:paraId="351791A6" w14:textId="77777777" w:rsidR="00344718" w:rsidRPr="00C65475" w:rsidRDefault="00344718" w:rsidP="005C1769">
            <w:pPr>
              <w:ind w:right="27"/>
              <w:jc w:val="right"/>
              <w:rPr>
                <w:color w:val="000000"/>
                <w:sz w:val="17"/>
                <w:szCs w:val="17"/>
                <w:lang w:eastAsia="en-CA"/>
              </w:rPr>
            </w:pPr>
            <w:r>
              <w:rPr>
                <w:sz w:val="17"/>
                <w:szCs w:val="17"/>
              </w:rPr>
              <w:t>8</w:t>
            </w:r>
          </w:p>
        </w:tc>
        <w:tc>
          <w:tcPr>
            <w:tcW w:w="1189" w:type="dxa"/>
            <w:tcBorders>
              <w:top w:val="nil"/>
              <w:left w:val="nil"/>
              <w:bottom w:val="single" w:sz="4" w:space="0" w:color="auto"/>
              <w:right w:val="single" w:sz="4" w:space="0" w:color="auto"/>
            </w:tcBorders>
            <w:noWrap/>
          </w:tcPr>
          <w:p w14:paraId="643B4E31"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5233932E"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1FA21C56"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2925D3CE"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2B3B4108" w14:textId="77777777" w:rsidR="00344718" w:rsidRPr="00C65475" w:rsidRDefault="00344718"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1B3A966B" w14:textId="77777777" w:rsidR="00344718" w:rsidRPr="00C65475" w:rsidRDefault="00344718"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31A9376D" w14:textId="77777777" w:rsidR="00344718" w:rsidRPr="00C65475" w:rsidRDefault="00344718" w:rsidP="005C1769">
            <w:pPr>
              <w:ind w:right="27"/>
              <w:jc w:val="right"/>
              <w:rPr>
                <w:color w:val="000000"/>
                <w:sz w:val="17"/>
                <w:szCs w:val="17"/>
                <w:lang w:eastAsia="en-CA"/>
              </w:rPr>
            </w:pPr>
            <w:r>
              <w:rPr>
                <w:sz w:val="17"/>
                <w:szCs w:val="17"/>
              </w:rPr>
              <w:t>3.615.582</w:t>
            </w:r>
          </w:p>
        </w:tc>
      </w:tr>
      <w:tr w:rsidR="00344718" w:rsidRPr="00900B12" w14:paraId="29FA17FF"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3C73F004" w14:textId="77777777" w:rsidR="00344718" w:rsidRPr="00C65475" w:rsidRDefault="00344718" w:rsidP="005C1769">
            <w:pPr>
              <w:ind w:right="27"/>
              <w:jc w:val="left"/>
              <w:rPr>
                <w:color w:val="000000"/>
                <w:sz w:val="17"/>
                <w:szCs w:val="17"/>
                <w:lang w:eastAsia="en-CA"/>
              </w:rPr>
            </w:pPr>
            <w:r>
              <w:rPr>
                <w:sz w:val="17"/>
                <w:szCs w:val="17"/>
              </w:rPr>
              <w:t>Eficiencia energética</w:t>
            </w:r>
          </w:p>
        </w:tc>
        <w:tc>
          <w:tcPr>
            <w:tcW w:w="756" w:type="dxa"/>
            <w:tcBorders>
              <w:top w:val="nil"/>
              <w:left w:val="nil"/>
              <w:bottom w:val="single" w:sz="4" w:space="0" w:color="auto"/>
              <w:right w:val="single" w:sz="4" w:space="0" w:color="auto"/>
            </w:tcBorders>
            <w:noWrap/>
          </w:tcPr>
          <w:p w14:paraId="46CBAF6E" w14:textId="77777777" w:rsidR="00344718" w:rsidRPr="00900B12" w:rsidRDefault="00344718" w:rsidP="005C1769">
            <w:pPr>
              <w:ind w:right="27"/>
              <w:jc w:val="right"/>
              <w:rPr>
                <w:color w:val="000000"/>
                <w:sz w:val="17"/>
                <w:szCs w:val="17"/>
              </w:rPr>
            </w:pPr>
            <w:r>
              <w:rPr>
                <w:sz w:val="17"/>
                <w:szCs w:val="17"/>
              </w:rPr>
              <w:t>91</w:t>
            </w:r>
          </w:p>
        </w:tc>
        <w:tc>
          <w:tcPr>
            <w:tcW w:w="1189" w:type="dxa"/>
            <w:tcBorders>
              <w:top w:val="nil"/>
              <w:left w:val="nil"/>
              <w:bottom w:val="single" w:sz="4" w:space="0" w:color="auto"/>
              <w:right w:val="single" w:sz="4" w:space="0" w:color="auto"/>
            </w:tcBorders>
            <w:noWrap/>
          </w:tcPr>
          <w:p w14:paraId="0F15F0F8"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57CA240C"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00D5C4EB"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23F015B5"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4C7D8C48"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077B8F19"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2A2D614A" w14:textId="77777777" w:rsidR="00344718" w:rsidRPr="00900B12" w:rsidRDefault="00344718" w:rsidP="005C1769">
            <w:pPr>
              <w:ind w:right="27"/>
              <w:jc w:val="right"/>
              <w:rPr>
                <w:color w:val="000000"/>
                <w:sz w:val="17"/>
                <w:szCs w:val="17"/>
              </w:rPr>
            </w:pPr>
            <w:r>
              <w:rPr>
                <w:sz w:val="17"/>
                <w:szCs w:val="17"/>
              </w:rPr>
              <w:t>47.296.338</w:t>
            </w:r>
          </w:p>
        </w:tc>
      </w:tr>
      <w:tr w:rsidR="00344718" w:rsidRPr="00900B12" w14:paraId="5C073719"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7A774961" w14:textId="77777777" w:rsidR="00344718" w:rsidRPr="00C65475" w:rsidRDefault="00344718" w:rsidP="005C1769">
            <w:pPr>
              <w:ind w:right="27"/>
              <w:jc w:val="left"/>
              <w:rPr>
                <w:color w:val="000000"/>
                <w:sz w:val="17"/>
                <w:szCs w:val="17"/>
                <w:lang w:eastAsia="en-CA"/>
              </w:rPr>
            </w:pPr>
            <w:r>
              <w:rPr>
                <w:sz w:val="17"/>
                <w:szCs w:val="17"/>
              </w:rPr>
              <w:t>Apoyo a los gobiernos</w:t>
            </w:r>
          </w:p>
        </w:tc>
        <w:tc>
          <w:tcPr>
            <w:tcW w:w="756" w:type="dxa"/>
            <w:tcBorders>
              <w:top w:val="nil"/>
              <w:left w:val="nil"/>
              <w:bottom w:val="single" w:sz="4" w:space="0" w:color="auto"/>
              <w:right w:val="single" w:sz="4" w:space="0" w:color="auto"/>
            </w:tcBorders>
            <w:noWrap/>
          </w:tcPr>
          <w:p w14:paraId="4D4713D6" w14:textId="77777777" w:rsidR="00344718" w:rsidRPr="00900B12" w:rsidRDefault="00344718" w:rsidP="005C1769">
            <w:pPr>
              <w:ind w:right="27"/>
              <w:jc w:val="right"/>
              <w:rPr>
                <w:color w:val="000000"/>
                <w:sz w:val="17"/>
                <w:szCs w:val="17"/>
              </w:rPr>
            </w:pPr>
            <w:r>
              <w:rPr>
                <w:sz w:val="17"/>
                <w:szCs w:val="17"/>
              </w:rPr>
              <w:t>1.561</w:t>
            </w:r>
          </w:p>
        </w:tc>
        <w:tc>
          <w:tcPr>
            <w:tcW w:w="1189" w:type="dxa"/>
            <w:tcBorders>
              <w:top w:val="nil"/>
              <w:left w:val="nil"/>
              <w:bottom w:val="single" w:sz="4" w:space="0" w:color="auto"/>
              <w:right w:val="single" w:sz="4" w:space="0" w:color="auto"/>
            </w:tcBorders>
            <w:noWrap/>
          </w:tcPr>
          <w:p w14:paraId="3AD0CD7D" w14:textId="77777777" w:rsidR="00344718" w:rsidRPr="00900B12" w:rsidRDefault="00344718" w:rsidP="005C1769">
            <w:pPr>
              <w:ind w:right="27"/>
              <w:jc w:val="right"/>
              <w:rPr>
                <w:color w:val="000000"/>
                <w:sz w:val="17"/>
                <w:szCs w:val="17"/>
              </w:rPr>
            </w:pPr>
            <w:r>
              <w:rPr>
                <w:sz w:val="17"/>
                <w:szCs w:val="17"/>
              </w:rPr>
              <w:t>693</w:t>
            </w:r>
          </w:p>
        </w:tc>
        <w:tc>
          <w:tcPr>
            <w:tcW w:w="1153" w:type="dxa"/>
            <w:tcBorders>
              <w:top w:val="nil"/>
              <w:left w:val="nil"/>
              <w:bottom w:val="single" w:sz="4" w:space="0" w:color="auto"/>
              <w:right w:val="single" w:sz="4" w:space="0" w:color="auto"/>
            </w:tcBorders>
            <w:noWrap/>
          </w:tcPr>
          <w:p w14:paraId="7767F898" w14:textId="77777777" w:rsidR="00344718" w:rsidRPr="00900B12" w:rsidRDefault="00344718" w:rsidP="005C1769">
            <w:pPr>
              <w:ind w:right="27"/>
              <w:jc w:val="right"/>
              <w:rPr>
                <w:color w:val="000000"/>
                <w:sz w:val="17"/>
                <w:szCs w:val="17"/>
              </w:rPr>
            </w:pPr>
            <w:r>
              <w:rPr>
                <w:sz w:val="17"/>
                <w:szCs w:val="17"/>
              </w:rPr>
              <w:t>694</w:t>
            </w:r>
          </w:p>
        </w:tc>
        <w:tc>
          <w:tcPr>
            <w:tcW w:w="1153" w:type="dxa"/>
            <w:tcBorders>
              <w:top w:val="nil"/>
              <w:left w:val="nil"/>
              <w:bottom w:val="single" w:sz="4" w:space="0" w:color="auto"/>
              <w:right w:val="single" w:sz="4" w:space="0" w:color="auto"/>
            </w:tcBorders>
            <w:noWrap/>
          </w:tcPr>
          <w:p w14:paraId="6AB8C44B"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4D4F72CC"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7BF3D81E"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54B6F933"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0A82EE93" w14:textId="77777777" w:rsidR="00344718" w:rsidRPr="00900B12" w:rsidRDefault="00344718" w:rsidP="005C1769">
            <w:pPr>
              <w:ind w:right="27"/>
              <w:jc w:val="right"/>
              <w:rPr>
                <w:color w:val="000000"/>
                <w:sz w:val="17"/>
                <w:szCs w:val="17"/>
              </w:rPr>
            </w:pPr>
            <w:r>
              <w:rPr>
                <w:sz w:val="17"/>
                <w:szCs w:val="17"/>
              </w:rPr>
              <w:t>223.489.653</w:t>
            </w:r>
          </w:p>
        </w:tc>
      </w:tr>
      <w:tr w:rsidR="00344718" w:rsidRPr="00900B12" w14:paraId="07DD7CF3"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1BD98EAE" w14:textId="77777777" w:rsidR="00344718" w:rsidRPr="00C65475" w:rsidRDefault="00344718" w:rsidP="005C1769">
            <w:pPr>
              <w:ind w:right="27"/>
              <w:jc w:val="left"/>
              <w:rPr>
                <w:color w:val="000000"/>
                <w:sz w:val="17"/>
                <w:szCs w:val="17"/>
                <w:lang w:eastAsia="en-CA"/>
              </w:rPr>
            </w:pPr>
            <w:r>
              <w:rPr>
                <w:sz w:val="17"/>
                <w:szCs w:val="17"/>
              </w:rPr>
              <w:t>Proyectos individuales de HCFC</w:t>
            </w:r>
          </w:p>
        </w:tc>
        <w:tc>
          <w:tcPr>
            <w:tcW w:w="756" w:type="dxa"/>
            <w:tcBorders>
              <w:top w:val="nil"/>
              <w:left w:val="nil"/>
              <w:bottom w:val="single" w:sz="4" w:space="0" w:color="auto"/>
              <w:right w:val="single" w:sz="4" w:space="0" w:color="auto"/>
            </w:tcBorders>
            <w:noWrap/>
          </w:tcPr>
          <w:p w14:paraId="04435F77" w14:textId="77777777" w:rsidR="00344718" w:rsidRPr="00900B12" w:rsidRDefault="00344718" w:rsidP="005C1769">
            <w:pPr>
              <w:ind w:right="27"/>
              <w:jc w:val="right"/>
              <w:rPr>
                <w:color w:val="000000"/>
                <w:sz w:val="17"/>
                <w:szCs w:val="17"/>
              </w:rPr>
            </w:pPr>
            <w:r>
              <w:rPr>
                <w:sz w:val="17"/>
                <w:szCs w:val="17"/>
              </w:rPr>
              <w:t>915</w:t>
            </w:r>
          </w:p>
        </w:tc>
        <w:tc>
          <w:tcPr>
            <w:tcW w:w="1189" w:type="dxa"/>
            <w:tcBorders>
              <w:top w:val="nil"/>
              <w:left w:val="nil"/>
              <w:bottom w:val="single" w:sz="4" w:space="0" w:color="auto"/>
              <w:right w:val="single" w:sz="4" w:space="0" w:color="auto"/>
            </w:tcBorders>
            <w:noWrap/>
          </w:tcPr>
          <w:p w14:paraId="27B1F8D3" w14:textId="77777777" w:rsidR="00344718" w:rsidRPr="00900B12" w:rsidRDefault="00344718" w:rsidP="005C1769">
            <w:pPr>
              <w:ind w:right="27"/>
              <w:jc w:val="right"/>
              <w:rPr>
                <w:color w:val="000000"/>
                <w:sz w:val="17"/>
                <w:szCs w:val="17"/>
              </w:rPr>
            </w:pPr>
            <w:r>
              <w:rPr>
                <w:sz w:val="17"/>
                <w:szCs w:val="17"/>
              </w:rPr>
              <w:t>72</w:t>
            </w:r>
          </w:p>
        </w:tc>
        <w:tc>
          <w:tcPr>
            <w:tcW w:w="1153" w:type="dxa"/>
            <w:tcBorders>
              <w:top w:val="nil"/>
              <w:left w:val="nil"/>
              <w:bottom w:val="single" w:sz="4" w:space="0" w:color="auto"/>
              <w:right w:val="single" w:sz="4" w:space="0" w:color="auto"/>
            </w:tcBorders>
            <w:noWrap/>
          </w:tcPr>
          <w:p w14:paraId="71A39103" w14:textId="77777777" w:rsidR="00344718" w:rsidRPr="00900B12" w:rsidRDefault="00344718" w:rsidP="005C1769">
            <w:pPr>
              <w:ind w:right="27"/>
              <w:jc w:val="right"/>
              <w:rPr>
                <w:color w:val="000000"/>
                <w:sz w:val="17"/>
                <w:szCs w:val="17"/>
              </w:rPr>
            </w:pPr>
            <w:r>
              <w:rPr>
                <w:sz w:val="17"/>
                <w:szCs w:val="17"/>
              </w:rPr>
              <w:t>72</w:t>
            </w:r>
          </w:p>
        </w:tc>
        <w:tc>
          <w:tcPr>
            <w:tcW w:w="1153" w:type="dxa"/>
            <w:tcBorders>
              <w:top w:val="nil"/>
              <w:left w:val="nil"/>
              <w:bottom w:val="single" w:sz="4" w:space="0" w:color="auto"/>
              <w:right w:val="single" w:sz="4" w:space="0" w:color="auto"/>
            </w:tcBorders>
            <w:noWrap/>
          </w:tcPr>
          <w:p w14:paraId="2AFF228B"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18DCEB1E"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6E348F59"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716C4509"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61A16646" w14:textId="77777777" w:rsidR="00344718" w:rsidRPr="00900B12" w:rsidRDefault="00344718" w:rsidP="005C1769">
            <w:pPr>
              <w:ind w:right="27"/>
              <w:jc w:val="right"/>
              <w:rPr>
                <w:color w:val="000000"/>
                <w:sz w:val="17"/>
                <w:szCs w:val="17"/>
              </w:rPr>
            </w:pPr>
            <w:r>
              <w:rPr>
                <w:sz w:val="17"/>
                <w:szCs w:val="17"/>
              </w:rPr>
              <w:t>80.618.214</w:t>
            </w:r>
          </w:p>
        </w:tc>
      </w:tr>
      <w:tr w:rsidR="00344718" w:rsidRPr="00900B12" w14:paraId="18388149"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570F30DF" w14:textId="77777777" w:rsidR="00344718" w:rsidRPr="00C65475" w:rsidRDefault="00344718" w:rsidP="005C1769">
            <w:pPr>
              <w:ind w:right="27"/>
              <w:jc w:val="left"/>
              <w:rPr>
                <w:color w:val="000000"/>
                <w:sz w:val="17"/>
                <w:szCs w:val="17"/>
                <w:lang w:eastAsia="en-CA"/>
              </w:rPr>
            </w:pPr>
            <w:r>
              <w:rPr>
                <w:sz w:val="17"/>
                <w:szCs w:val="17"/>
              </w:rPr>
              <w:t>PGEH (etapa I)</w:t>
            </w:r>
          </w:p>
        </w:tc>
        <w:tc>
          <w:tcPr>
            <w:tcW w:w="756" w:type="dxa"/>
            <w:tcBorders>
              <w:top w:val="nil"/>
              <w:left w:val="nil"/>
              <w:bottom w:val="single" w:sz="4" w:space="0" w:color="auto"/>
              <w:right w:val="single" w:sz="4" w:space="0" w:color="auto"/>
            </w:tcBorders>
            <w:noWrap/>
          </w:tcPr>
          <w:p w14:paraId="7CD2B67F" w14:textId="77777777" w:rsidR="00344718" w:rsidRPr="00900B12" w:rsidRDefault="00344718" w:rsidP="005C1769">
            <w:pPr>
              <w:ind w:right="27"/>
              <w:jc w:val="right"/>
              <w:rPr>
                <w:color w:val="000000"/>
                <w:sz w:val="17"/>
                <w:szCs w:val="17"/>
              </w:rPr>
            </w:pPr>
            <w:r>
              <w:rPr>
                <w:sz w:val="17"/>
                <w:szCs w:val="17"/>
              </w:rPr>
              <w:t>912</w:t>
            </w:r>
          </w:p>
        </w:tc>
        <w:tc>
          <w:tcPr>
            <w:tcW w:w="1189" w:type="dxa"/>
            <w:tcBorders>
              <w:top w:val="nil"/>
              <w:left w:val="nil"/>
              <w:bottom w:val="single" w:sz="4" w:space="0" w:color="auto"/>
              <w:right w:val="single" w:sz="4" w:space="0" w:color="auto"/>
            </w:tcBorders>
            <w:noWrap/>
          </w:tcPr>
          <w:p w14:paraId="3AB01E06" w14:textId="77777777" w:rsidR="00344718" w:rsidRPr="00900B12" w:rsidRDefault="00344718" w:rsidP="005C1769">
            <w:pPr>
              <w:ind w:right="27"/>
              <w:jc w:val="right"/>
              <w:rPr>
                <w:color w:val="000000"/>
                <w:sz w:val="17"/>
                <w:szCs w:val="17"/>
              </w:rPr>
            </w:pPr>
            <w:r>
              <w:rPr>
                <w:sz w:val="17"/>
                <w:szCs w:val="17"/>
              </w:rPr>
              <w:t>6.129</w:t>
            </w:r>
          </w:p>
        </w:tc>
        <w:tc>
          <w:tcPr>
            <w:tcW w:w="1153" w:type="dxa"/>
            <w:tcBorders>
              <w:top w:val="nil"/>
              <w:left w:val="nil"/>
              <w:bottom w:val="single" w:sz="4" w:space="0" w:color="auto"/>
              <w:right w:val="single" w:sz="4" w:space="0" w:color="auto"/>
            </w:tcBorders>
            <w:noWrap/>
          </w:tcPr>
          <w:p w14:paraId="117C97A3" w14:textId="77777777" w:rsidR="00344718" w:rsidRPr="00900B12" w:rsidRDefault="00344718" w:rsidP="005C1769">
            <w:pPr>
              <w:ind w:right="27"/>
              <w:jc w:val="right"/>
              <w:rPr>
                <w:color w:val="000000"/>
                <w:sz w:val="17"/>
                <w:szCs w:val="17"/>
              </w:rPr>
            </w:pPr>
            <w:r>
              <w:rPr>
                <w:sz w:val="17"/>
                <w:szCs w:val="17"/>
              </w:rPr>
              <w:t>6.768</w:t>
            </w:r>
          </w:p>
        </w:tc>
        <w:tc>
          <w:tcPr>
            <w:tcW w:w="1153" w:type="dxa"/>
            <w:tcBorders>
              <w:top w:val="nil"/>
              <w:left w:val="nil"/>
              <w:bottom w:val="single" w:sz="4" w:space="0" w:color="auto"/>
              <w:right w:val="single" w:sz="4" w:space="0" w:color="auto"/>
            </w:tcBorders>
            <w:noWrap/>
          </w:tcPr>
          <w:p w14:paraId="73D1F851"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59302CCB"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28333AD8"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506534CD"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55A78F7D" w14:textId="77777777" w:rsidR="00344718" w:rsidRPr="00900B12" w:rsidRDefault="00344718" w:rsidP="005C1769">
            <w:pPr>
              <w:ind w:right="27"/>
              <w:jc w:val="right"/>
              <w:rPr>
                <w:color w:val="000000"/>
                <w:sz w:val="17"/>
                <w:szCs w:val="17"/>
              </w:rPr>
            </w:pPr>
            <w:r>
              <w:rPr>
                <w:sz w:val="17"/>
                <w:szCs w:val="17"/>
              </w:rPr>
              <w:t>569.568.986</w:t>
            </w:r>
          </w:p>
        </w:tc>
      </w:tr>
      <w:tr w:rsidR="00344718" w:rsidRPr="00900B12" w14:paraId="589557AB"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4AC47CF3" w14:textId="77777777" w:rsidR="00344718" w:rsidRPr="00C65475" w:rsidRDefault="00344718" w:rsidP="005C1769">
            <w:pPr>
              <w:ind w:right="27"/>
              <w:jc w:val="left"/>
              <w:rPr>
                <w:color w:val="000000"/>
                <w:sz w:val="17"/>
                <w:szCs w:val="17"/>
                <w:lang w:eastAsia="en-CA"/>
              </w:rPr>
            </w:pPr>
            <w:r>
              <w:rPr>
                <w:sz w:val="17"/>
                <w:szCs w:val="17"/>
              </w:rPr>
              <w:t>PGEH (etapa II)</w:t>
            </w:r>
          </w:p>
        </w:tc>
        <w:tc>
          <w:tcPr>
            <w:tcW w:w="756" w:type="dxa"/>
            <w:tcBorders>
              <w:top w:val="nil"/>
              <w:left w:val="nil"/>
              <w:bottom w:val="single" w:sz="4" w:space="0" w:color="auto"/>
              <w:right w:val="single" w:sz="4" w:space="0" w:color="auto"/>
            </w:tcBorders>
            <w:noWrap/>
          </w:tcPr>
          <w:p w14:paraId="6EFA4F4A" w14:textId="77777777" w:rsidR="00344718" w:rsidRPr="00900B12" w:rsidRDefault="00344718" w:rsidP="005C1769">
            <w:pPr>
              <w:ind w:right="27"/>
              <w:jc w:val="right"/>
              <w:rPr>
                <w:color w:val="000000"/>
                <w:sz w:val="17"/>
                <w:szCs w:val="17"/>
              </w:rPr>
            </w:pPr>
            <w:r>
              <w:rPr>
                <w:sz w:val="17"/>
                <w:szCs w:val="17"/>
              </w:rPr>
              <w:t>716</w:t>
            </w:r>
          </w:p>
        </w:tc>
        <w:tc>
          <w:tcPr>
            <w:tcW w:w="1189" w:type="dxa"/>
            <w:tcBorders>
              <w:top w:val="nil"/>
              <w:left w:val="nil"/>
              <w:bottom w:val="single" w:sz="4" w:space="0" w:color="auto"/>
              <w:right w:val="single" w:sz="4" w:space="0" w:color="auto"/>
            </w:tcBorders>
            <w:noWrap/>
          </w:tcPr>
          <w:p w14:paraId="13C0C1FF" w14:textId="77777777" w:rsidR="00344718" w:rsidRPr="00900B12" w:rsidRDefault="00344718" w:rsidP="005C1769">
            <w:pPr>
              <w:ind w:right="27"/>
              <w:jc w:val="right"/>
              <w:rPr>
                <w:color w:val="000000"/>
                <w:sz w:val="17"/>
                <w:szCs w:val="17"/>
              </w:rPr>
            </w:pPr>
            <w:r>
              <w:rPr>
                <w:sz w:val="17"/>
                <w:szCs w:val="17"/>
              </w:rPr>
              <w:t>13.930</w:t>
            </w:r>
          </w:p>
        </w:tc>
        <w:tc>
          <w:tcPr>
            <w:tcW w:w="1153" w:type="dxa"/>
            <w:tcBorders>
              <w:top w:val="nil"/>
              <w:left w:val="nil"/>
              <w:bottom w:val="single" w:sz="4" w:space="0" w:color="auto"/>
              <w:right w:val="single" w:sz="4" w:space="0" w:color="auto"/>
            </w:tcBorders>
            <w:noWrap/>
          </w:tcPr>
          <w:p w14:paraId="64DF0DB4" w14:textId="77777777" w:rsidR="00344718" w:rsidRPr="00900B12" w:rsidRDefault="00344718" w:rsidP="005C1769">
            <w:pPr>
              <w:ind w:right="27"/>
              <w:jc w:val="right"/>
              <w:rPr>
                <w:color w:val="000000"/>
                <w:sz w:val="17"/>
                <w:szCs w:val="17"/>
              </w:rPr>
            </w:pPr>
            <w:r>
              <w:rPr>
                <w:sz w:val="17"/>
                <w:szCs w:val="17"/>
              </w:rPr>
              <w:t>8.528</w:t>
            </w:r>
          </w:p>
        </w:tc>
        <w:tc>
          <w:tcPr>
            <w:tcW w:w="1153" w:type="dxa"/>
            <w:tcBorders>
              <w:top w:val="nil"/>
              <w:left w:val="nil"/>
              <w:bottom w:val="single" w:sz="4" w:space="0" w:color="auto"/>
              <w:right w:val="single" w:sz="4" w:space="0" w:color="auto"/>
            </w:tcBorders>
            <w:noWrap/>
          </w:tcPr>
          <w:p w14:paraId="5C1DA9D3"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7908F205"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67399902"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27AFD0D9"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1EEBD69F" w14:textId="77777777" w:rsidR="00344718" w:rsidRPr="00900B12" w:rsidRDefault="00344718" w:rsidP="005C1769">
            <w:pPr>
              <w:ind w:right="27"/>
              <w:jc w:val="right"/>
              <w:rPr>
                <w:color w:val="000000"/>
                <w:sz w:val="17"/>
                <w:szCs w:val="17"/>
              </w:rPr>
            </w:pPr>
            <w:r>
              <w:rPr>
                <w:sz w:val="17"/>
                <w:szCs w:val="17"/>
              </w:rPr>
              <w:t>507.758.650</w:t>
            </w:r>
          </w:p>
        </w:tc>
      </w:tr>
      <w:tr w:rsidR="00344718" w:rsidRPr="00900B12" w14:paraId="7E7B362D"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74512704" w14:textId="77777777" w:rsidR="00344718" w:rsidRPr="00C65475" w:rsidRDefault="00344718" w:rsidP="005C1769">
            <w:pPr>
              <w:ind w:right="27"/>
              <w:jc w:val="left"/>
              <w:rPr>
                <w:color w:val="000000"/>
                <w:sz w:val="17"/>
                <w:szCs w:val="17"/>
                <w:lang w:eastAsia="en-CA"/>
              </w:rPr>
            </w:pPr>
            <w:r>
              <w:rPr>
                <w:sz w:val="17"/>
                <w:szCs w:val="17"/>
              </w:rPr>
              <w:t>PGEH (etapa III)</w:t>
            </w:r>
          </w:p>
        </w:tc>
        <w:tc>
          <w:tcPr>
            <w:tcW w:w="756" w:type="dxa"/>
            <w:tcBorders>
              <w:top w:val="nil"/>
              <w:left w:val="nil"/>
              <w:bottom w:val="single" w:sz="4" w:space="0" w:color="auto"/>
              <w:right w:val="single" w:sz="4" w:space="0" w:color="auto"/>
            </w:tcBorders>
            <w:noWrap/>
          </w:tcPr>
          <w:p w14:paraId="6852B3DF" w14:textId="77777777" w:rsidR="00344718" w:rsidRPr="00900B12" w:rsidRDefault="00344718" w:rsidP="005C1769">
            <w:pPr>
              <w:ind w:right="27"/>
              <w:jc w:val="right"/>
              <w:rPr>
                <w:color w:val="000000"/>
                <w:sz w:val="17"/>
                <w:szCs w:val="17"/>
              </w:rPr>
            </w:pPr>
            <w:r>
              <w:rPr>
                <w:sz w:val="17"/>
                <w:szCs w:val="17"/>
              </w:rPr>
              <w:t>107</w:t>
            </w:r>
          </w:p>
        </w:tc>
        <w:tc>
          <w:tcPr>
            <w:tcW w:w="1189" w:type="dxa"/>
            <w:tcBorders>
              <w:top w:val="nil"/>
              <w:left w:val="nil"/>
              <w:bottom w:val="single" w:sz="4" w:space="0" w:color="auto"/>
              <w:right w:val="single" w:sz="4" w:space="0" w:color="auto"/>
            </w:tcBorders>
            <w:noWrap/>
          </w:tcPr>
          <w:p w14:paraId="47CB4FBF" w14:textId="77777777" w:rsidR="00344718" w:rsidRPr="00900B12" w:rsidRDefault="00344718" w:rsidP="005C1769">
            <w:pPr>
              <w:ind w:right="27"/>
              <w:jc w:val="right"/>
              <w:rPr>
                <w:color w:val="000000"/>
                <w:sz w:val="17"/>
                <w:szCs w:val="17"/>
              </w:rPr>
            </w:pPr>
            <w:r>
              <w:rPr>
                <w:sz w:val="17"/>
                <w:szCs w:val="17"/>
              </w:rPr>
              <w:t>1.178</w:t>
            </w:r>
          </w:p>
        </w:tc>
        <w:tc>
          <w:tcPr>
            <w:tcW w:w="1153" w:type="dxa"/>
            <w:tcBorders>
              <w:top w:val="nil"/>
              <w:left w:val="nil"/>
              <w:bottom w:val="single" w:sz="4" w:space="0" w:color="auto"/>
              <w:right w:val="single" w:sz="4" w:space="0" w:color="auto"/>
            </w:tcBorders>
            <w:noWrap/>
          </w:tcPr>
          <w:p w14:paraId="5DBF3524" w14:textId="77777777" w:rsidR="00344718" w:rsidRPr="00900B12" w:rsidRDefault="00344718" w:rsidP="005C1769">
            <w:pPr>
              <w:ind w:right="27"/>
              <w:jc w:val="right"/>
              <w:rPr>
                <w:color w:val="000000"/>
                <w:sz w:val="17"/>
                <w:szCs w:val="17"/>
              </w:rPr>
            </w:pPr>
            <w:r>
              <w:rPr>
                <w:sz w:val="17"/>
                <w:szCs w:val="17"/>
              </w:rPr>
              <w:t>63</w:t>
            </w:r>
          </w:p>
        </w:tc>
        <w:tc>
          <w:tcPr>
            <w:tcW w:w="1153" w:type="dxa"/>
            <w:tcBorders>
              <w:top w:val="nil"/>
              <w:left w:val="nil"/>
              <w:bottom w:val="single" w:sz="4" w:space="0" w:color="auto"/>
              <w:right w:val="single" w:sz="4" w:space="0" w:color="auto"/>
            </w:tcBorders>
            <w:noWrap/>
          </w:tcPr>
          <w:p w14:paraId="0B668F5B"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78965166"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39BDB0DD"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3D36DD09"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7CCA786F" w14:textId="77777777" w:rsidR="00344718" w:rsidRPr="00900B12" w:rsidRDefault="00344718" w:rsidP="005C1769">
            <w:pPr>
              <w:ind w:right="27"/>
              <w:jc w:val="right"/>
              <w:rPr>
                <w:color w:val="000000"/>
                <w:sz w:val="17"/>
                <w:szCs w:val="17"/>
              </w:rPr>
            </w:pPr>
            <w:r>
              <w:rPr>
                <w:sz w:val="17"/>
                <w:szCs w:val="17"/>
              </w:rPr>
              <w:t>95.969.151</w:t>
            </w:r>
          </w:p>
        </w:tc>
      </w:tr>
      <w:tr w:rsidR="00344718" w:rsidRPr="00900B12" w14:paraId="517AF920"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57DA664A" w14:textId="77777777" w:rsidR="00344718" w:rsidRPr="00C65475" w:rsidRDefault="00344718" w:rsidP="005C1769">
            <w:pPr>
              <w:ind w:right="27"/>
              <w:jc w:val="left"/>
              <w:rPr>
                <w:color w:val="000000"/>
                <w:sz w:val="17"/>
                <w:szCs w:val="17"/>
                <w:lang w:eastAsia="en-CA"/>
              </w:rPr>
            </w:pPr>
            <w:r>
              <w:rPr>
                <w:sz w:val="17"/>
                <w:szCs w:val="17"/>
              </w:rPr>
              <w:t>PGEH (etapa IV)</w:t>
            </w:r>
          </w:p>
        </w:tc>
        <w:tc>
          <w:tcPr>
            <w:tcW w:w="756" w:type="dxa"/>
            <w:tcBorders>
              <w:top w:val="nil"/>
              <w:left w:val="nil"/>
              <w:bottom w:val="single" w:sz="4" w:space="0" w:color="auto"/>
              <w:right w:val="single" w:sz="4" w:space="0" w:color="auto"/>
            </w:tcBorders>
            <w:noWrap/>
          </w:tcPr>
          <w:p w14:paraId="70930E28" w14:textId="77777777" w:rsidR="00344718" w:rsidRPr="00900B12" w:rsidRDefault="00344718" w:rsidP="005C1769">
            <w:pPr>
              <w:ind w:right="27"/>
              <w:jc w:val="right"/>
              <w:rPr>
                <w:color w:val="000000"/>
                <w:sz w:val="17"/>
                <w:szCs w:val="17"/>
              </w:rPr>
            </w:pPr>
            <w:r>
              <w:rPr>
                <w:sz w:val="17"/>
                <w:szCs w:val="17"/>
              </w:rPr>
              <w:t>3</w:t>
            </w:r>
          </w:p>
        </w:tc>
        <w:tc>
          <w:tcPr>
            <w:tcW w:w="1189" w:type="dxa"/>
            <w:tcBorders>
              <w:top w:val="nil"/>
              <w:left w:val="nil"/>
              <w:bottom w:val="single" w:sz="4" w:space="0" w:color="auto"/>
              <w:right w:val="single" w:sz="4" w:space="0" w:color="auto"/>
            </w:tcBorders>
            <w:noWrap/>
          </w:tcPr>
          <w:p w14:paraId="5492F63D" w14:textId="77777777" w:rsidR="00344718" w:rsidRPr="00900B12" w:rsidRDefault="00344718" w:rsidP="005C1769">
            <w:pPr>
              <w:ind w:right="27"/>
              <w:jc w:val="right"/>
              <w:rPr>
                <w:color w:val="000000"/>
                <w:sz w:val="17"/>
                <w:szCs w:val="17"/>
              </w:rPr>
            </w:pPr>
            <w:r>
              <w:rPr>
                <w:sz w:val="17"/>
                <w:szCs w:val="17"/>
              </w:rPr>
              <w:t>50</w:t>
            </w:r>
          </w:p>
        </w:tc>
        <w:tc>
          <w:tcPr>
            <w:tcW w:w="1153" w:type="dxa"/>
            <w:tcBorders>
              <w:top w:val="nil"/>
              <w:left w:val="nil"/>
              <w:bottom w:val="single" w:sz="4" w:space="0" w:color="auto"/>
              <w:right w:val="single" w:sz="4" w:space="0" w:color="auto"/>
            </w:tcBorders>
            <w:noWrap/>
          </w:tcPr>
          <w:p w14:paraId="24FD569B"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25F046FC"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0DE000C0"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65897900"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65F3D821"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56B74FBD" w14:textId="77777777" w:rsidR="00344718" w:rsidRPr="00900B12" w:rsidRDefault="00344718" w:rsidP="005C1769">
            <w:pPr>
              <w:ind w:right="27"/>
              <w:jc w:val="right"/>
              <w:rPr>
                <w:color w:val="000000"/>
                <w:sz w:val="17"/>
                <w:szCs w:val="17"/>
              </w:rPr>
            </w:pPr>
            <w:r>
              <w:rPr>
                <w:sz w:val="17"/>
                <w:szCs w:val="17"/>
              </w:rPr>
              <w:t>4.135.490</w:t>
            </w:r>
          </w:p>
        </w:tc>
      </w:tr>
      <w:tr w:rsidR="00344718" w:rsidRPr="00900B12" w14:paraId="47D816D3"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75B416F0" w14:textId="77777777" w:rsidR="00344718" w:rsidRPr="00C65475" w:rsidRDefault="00344718" w:rsidP="005C1769">
            <w:pPr>
              <w:ind w:right="27"/>
              <w:jc w:val="left"/>
              <w:rPr>
                <w:color w:val="000000"/>
                <w:sz w:val="17"/>
                <w:szCs w:val="17"/>
                <w:lang w:eastAsia="en-CA"/>
              </w:rPr>
            </w:pPr>
            <w:r>
              <w:rPr>
                <w:sz w:val="17"/>
                <w:szCs w:val="17"/>
              </w:rPr>
              <w:t>Plan de gestión de eliminación de la producción de HCFC (PGEPH) (etapa I)</w:t>
            </w:r>
          </w:p>
        </w:tc>
        <w:tc>
          <w:tcPr>
            <w:tcW w:w="756" w:type="dxa"/>
            <w:tcBorders>
              <w:top w:val="nil"/>
              <w:left w:val="nil"/>
              <w:bottom w:val="single" w:sz="4" w:space="0" w:color="auto"/>
              <w:right w:val="single" w:sz="4" w:space="0" w:color="auto"/>
            </w:tcBorders>
            <w:noWrap/>
          </w:tcPr>
          <w:p w14:paraId="18E0FEFC" w14:textId="77777777" w:rsidR="00344718" w:rsidRPr="00900B12" w:rsidRDefault="00344718" w:rsidP="005C1769">
            <w:pPr>
              <w:ind w:right="27"/>
              <w:jc w:val="right"/>
              <w:rPr>
                <w:color w:val="000000"/>
                <w:sz w:val="17"/>
                <w:szCs w:val="17"/>
              </w:rPr>
            </w:pPr>
            <w:r>
              <w:rPr>
                <w:sz w:val="17"/>
                <w:szCs w:val="17"/>
              </w:rPr>
              <w:t>4</w:t>
            </w:r>
          </w:p>
        </w:tc>
        <w:tc>
          <w:tcPr>
            <w:tcW w:w="1189" w:type="dxa"/>
            <w:tcBorders>
              <w:top w:val="nil"/>
              <w:left w:val="nil"/>
              <w:bottom w:val="single" w:sz="4" w:space="0" w:color="auto"/>
              <w:right w:val="single" w:sz="4" w:space="0" w:color="auto"/>
            </w:tcBorders>
            <w:noWrap/>
          </w:tcPr>
          <w:p w14:paraId="0AA2BE86"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2073DE44"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1822AA67"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04EFE0C7"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018EDDFB"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60E695B0" w14:textId="77777777" w:rsidR="00344718" w:rsidRPr="00900B12" w:rsidRDefault="00344718" w:rsidP="005C1769">
            <w:pPr>
              <w:ind w:right="27"/>
              <w:jc w:val="right"/>
              <w:rPr>
                <w:color w:val="000000"/>
                <w:sz w:val="17"/>
                <w:szCs w:val="17"/>
              </w:rPr>
            </w:pPr>
            <w:r>
              <w:rPr>
                <w:sz w:val="17"/>
                <w:szCs w:val="17"/>
              </w:rPr>
              <w:t>3.970</w:t>
            </w:r>
          </w:p>
        </w:tc>
        <w:tc>
          <w:tcPr>
            <w:tcW w:w="1278" w:type="dxa"/>
            <w:tcBorders>
              <w:top w:val="nil"/>
              <w:left w:val="nil"/>
              <w:bottom w:val="single" w:sz="4" w:space="0" w:color="auto"/>
              <w:right w:val="single" w:sz="4" w:space="0" w:color="auto"/>
            </w:tcBorders>
            <w:noWrap/>
          </w:tcPr>
          <w:p w14:paraId="090960ED" w14:textId="77777777" w:rsidR="00344718" w:rsidRPr="00900B12" w:rsidRDefault="00344718" w:rsidP="005C1769">
            <w:pPr>
              <w:ind w:right="27"/>
              <w:jc w:val="right"/>
              <w:rPr>
                <w:color w:val="000000"/>
                <w:sz w:val="17"/>
                <w:szCs w:val="17"/>
              </w:rPr>
            </w:pPr>
            <w:r>
              <w:rPr>
                <w:sz w:val="17"/>
                <w:szCs w:val="17"/>
              </w:rPr>
              <w:t>96.366.654</w:t>
            </w:r>
          </w:p>
        </w:tc>
      </w:tr>
      <w:tr w:rsidR="00344718" w:rsidRPr="00900B12" w14:paraId="0257341E"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47F0755E" w14:textId="77777777" w:rsidR="00344718" w:rsidRPr="00C65475" w:rsidRDefault="00344718" w:rsidP="005C1769">
            <w:pPr>
              <w:ind w:right="27"/>
              <w:jc w:val="left"/>
              <w:rPr>
                <w:color w:val="000000"/>
                <w:sz w:val="17"/>
                <w:szCs w:val="17"/>
                <w:lang w:eastAsia="en-CA"/>
              </w:rPr>
            </w:pPr>
            <w:r>
              <w:rPr>
                <w:sz w:val="17"/>
                <w:szCs w:val="17"/>
              </w:rPr>
              <w:t>PGEPH (etapa II)</w:t>
            </w:r>
          </w:p>
        </w:tc>
        <w:tc>
          <w:tcPr>
            <w:tcW w:w="756" w:type="dxa"/>
            <w:tcBorders>
              <w:top w:val="nil"/>
              <w:left w:val="nil"/>
              <w:bottom w:val="single" w:sz="4" w:space="0" w:color="auto"/>
              <w:right w:val="single" w:sz="4" w:space="0" w:color="auto"/>
            </w:tcBorders>
            <w:noWrap/>
          </w:tcPr>
          <w:p w14:paraId="6ED37362" w14:textId="77777777" w:rsidR="00344718" w:rsidRPr="00900B12" w:rsidRDefault="00344718" w:rsidP="005C1769">
            <w:pPr>
              <w:ind w:right="27"/>
              <w:jc w:val="right"/>
              <w:rPr>
                <w:color w:val="000000"/>
                <w:sz w:val="17"/>
                <w:szCs w:val="17"/>
              </w:rPr>
            </w:pPr>
            <w:r>
              <w:rPr>
                <w:sz w:val="17"/>
                <w:szCs w:val="17"/>
              </w:rPr>
              <w:t>3</w:t>
            </w:r>
          </w:p>
        </w:tc>
        <w:tc>
          <w:tcPr>
            <w:tcW w:w="1189" w:type="dxa"/>
            <w:tcBorders>
              <w:top w:val="nil"/>
              <w:left w:val="nil"/>
              <w:bottom w:val="single" w:sz="4" w:space="0" w:color="auto"/>
              <w:right w:val="single" w:sz="4" w:space="0" w:color="auto"/>
            </w:tcBorders>
            <w:noWrap/>
          </w:tcPr>
          <w:p w14:paraId="40FE6772"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7AD3492B"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16AADEC6" w14:textId="77777777" w:rsidR="00344718" w:rsidRPr="00900B12" w:rsidRDefault="00344718" w:rsidP="005C1769">
            <w:pPr>
              <w:ind w:right="27"/>
              <w:jc w:val="right"/>
              <w:rPr>
                <w:color w:val="000000"/>
                <w:sz w:val="17"/>
                <w:szCs w:val="17"/>
              </w:rPr>
            </w:pPr>
            <w:r>
              <w:rPr>
                <w:sz w:val="17"/>
                <w:szCs w:val="17"/>
              </w:rPr>
              <w:t>0</w:t>
            </w:r>
          </w:p>
        </w:tc>
        <w:tc>
          <w:tcPr>
            <w:tcW w:w="1171" w:type="dxa"/>
            <w:tcBorders>
              <w:top w:val="nil"/>
              <w:left w:val="nil"/>
              <w:bottom w:val="single" w:sz="4" w:space="0" w:color="auto"/>
              <w:right w:val="single" w:sz="4" w:space="0" w:color="auto"/>
            </w:tcBorders>
            <w:noWrap/>
          </w:tcPr>
          <w:p w14:paraId="343117FD" w14:textId="77777777" w:rsidR="00344718" w:rsidRPr="00900B12" w:rsidRDefault="00344718" w:rsidP="005C1769">
            <w:pPr>
              <w:ind w:right="27"/>
              <w:jc w:val="right"/>
              <w:rPr>
                <w:color w:val="000000"/>
                <w:sz w:val="17"/>
                <w:szCs w:val="17"/>
              </w:rPr>
            </w:pPr>
            <w:r>
              <w:rPr>
                <w:sz w:val="17"/>
                <w:szCs w:val="17"/>
              </w:rPr>
              <w:t>0</w:t>
            </w:r>
          </w:p>
        </w:tc>
        <w:tc>
          <w:tcPr>
            <w:tcW w:w="1006" w:type="dxa"/>
            <w:tcBorders>
              <w:top w:val="nil"/>
              <w:left w:val="nil"/>
              <w:bottom w:val="single" w:sz="4" w:space="0" w:color="auto"/>
              <w:right w:val="single" w:sz="4" w:space="0" w:color="auto"/>
            </w:tcBorders>
            <w:noWrap/>
          </w:tcPr>
          <w:p w14:paraId="5A721861" w14:textId="77777777" w:rsidR="00344718" w:rsidRPr="00900B12" w:rsidRDefault="00344718" w:rsidP="005C1769">
            <w:pPr>
              <w:ind w:right="27"/>
              <w:jc w:val="right"/>
              <w:rPr>
                <w:color w:val="000000"/>
                <w:sz w:val="17"/>
                <w:szCs w:val="17"/>
              </w:rPr>
            </w:pPr>
            <w:r>
              <w:rPr>
                <w:sz w:val="17"/>
                <w:szCs w:val="17"/>
              </w:rPr>
              <w:t>10.637</w:t>
            </w:r>
          </w:p>
        </w:tc>
        <w:tc>
          <w:tcPr>
            <w:tcW w:w="1009" w:type="dxa"/>
            <w:tcBorders>
              <w:top w:val="nil"/>
              <w:left w:val="nil"/>
              <w:bottom w:val="single" w:sz="4" w:space="0" w:color="auto"/>
              <w:right w:val="single" w:sz="4" w:space="0" w:color="auto"/>
            </w:tcBorders>
            <w:noWrap/>
          </w:tcPr>
          <w:p w14:paraId="661E286A" w14:textId="77777777" w:rsidR="00344718" w:rsidRPr="00900B12" w:rsidRDefault="00344718" w:rsidP="005C1769">
            <w:pPr>
              <w:ind w:right="27"/>
              <w:jc w:val="right"/>
              <w:rPr>
                <w:color w:val="000000"/>
                <w:sz w:val="17"/>
                <w:szCs w:val="17"/>
              </w:rPr>
            </w:pPr>
            <w:r>
              <w:rPr>
                <w:sz w:val="17"/>
                <w:szCs w:val="17"/>
              </w:rPr>
              <w:t>7.135</w:t>
            </w:r>
          </w:p>
        </w:tc>
        <w:tc>
          <w:tcPr>
            <w:tcW w:w="1278" w:type="dxa"/>
            <w:tcBorders>
              <w:top w:val="nil"/>
              <w:left w:val="nil"/>
              <w:bottom w:val="single" w:sz="4" w:space="0" w:color="auto"/>
              <w:right w:val="single" w:sz="4" w:space="0" w:color="auto"/>
            </w:tcBorders>
            <w:noWrap/>
          </w:tcPr>
          <w:p w14:paraId="2E0148EB" w14:textId="77777777" w:rsidR="00344718" w:rsidRPr="00900B12" w:rsidRDefault="00344718" w:rsidP="005C1769">
            <w:pPr>
              <w:ind w:right="27"/>
              <w:jc w:val="right"/>
              <w:rPr>
                <w:color w:val="000000"/>
                <w:sz w:val="17"/>
                <w:szCs w:val="17"/>
              </w:rPr>
            </w:pPr>
            <w:r>
              <w:rPr>
                <w:sz w:val="17"/>
                <w:szCs w:val="17"/>
              </w:rPr>
              <w:t>70.749.213</w:t>
            </w:r>
          </w:p>
        </w:tc>
      </w:tr>
      <w:tr w:rsidR="00344718" w:rsidRPr="00900B12" w14:paraId="49F0BEF6"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66772715" w14:textId="77777777" w:rsidR="00344718" w:rsidRPr="00C65475" w:rsidRDefault="00344718" w:rsidP="005C1769">
            <w:pPr>
              <w:ind w:right="27"/>
              <w:jc w:val="left"/>
              <w:rPr>
                <w:color w:val="000000"/>
                <w:sz w:val="17"/>
                <w:szCs w:val="17"/>
                <w:lang w:eastAsia="en-CA"/>
              </w:rPr>
            </w:pPr>
            <w:r>
              <w:rPr>
                <w:sz w:val="17"/>
                <w:szCs w:val="17"/>
              </w:rPr>
              <w:t>Proyectos individuales de HFC</w:t>
            </w:r>
          </w:p>
        </w:tc>
        <w:tc>
          <w:tcPr>
            <w:tcW w:w="756" w:type="dxa"/>
            <w:tcBorders>
              <w:top w:val="nil"/>
              <w:left w:val="nil"/>
              <w:bottom w:val="single" w:sz="4" w:space="0" w:color="auto"/>
              <w:right w:val="single" w:sz="4" w:space="0" w:color="auto"/>
            </w:tcBorders>
            <w:noWrap/>
          </w:tcPr>
          <w:p w14:paraId="042335B7" w14:textId="77777777" w:rsidR="00344718" w:rsidRPr="00900B12" w:rsidRDefault="00344718" w:rsidP="005C1769">
            <w:pPr>
              <w:ind w:right="27"/>
              <w:jc w:val="right"/>
              <w:rPr>
                <w:color w:val="000000"/>
                <w:sz w:val="17"/>
                <w:szCs w:val="17"/>
              </w:rPr>
            </w:pPr>
            <w:r>
              <w:rPr>
                <w:sz w:val="17"/>
                <w:szCs w:val="17"/>
              </w:rPr>
              <w:t>683</w:t>
            </w:r>
          </w:p>
        </w:tc>
        <w:tc>
          <w:tcPr>
            <w:tcW w:w="1189" w:type="dxa"/>
            <w:tcBorders>
              <w:top w:val="nil"/>
              <w:left w:val="nil"/>
              <w:bottom w:val="single" w:sz="4" w:space="0" w:color="auto"/>
              <w:right w:val="single" w:sz="4" w:space="0" w:color="auto"/>
            </w:tcBorders>
            <w:noWrap/>
          </w:tcPr>
          <w:p w14:paraId="55D052DE"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340800FD" w14:textId="77777777" w:rsidR="00344718" w:rsidRPr="00900B12" w:rsidRDefault="00344718" w:rsidP="005C1769">
            <w:pPr>
              <w:ind w:right="27"/>
              <w:jc w:val="right"/>
              <w:rPr>
                <w:color w:val="000000"/>
                <w:sz w:val="17"/>
                <w:szCs w:val="17"/>
              </w:rPr>
            </w:pPr>
            <w:r>
              <w:rPr>
                <w:sz w:val="17"/>
                <w:szCs w:val="17"/>
              </w:rPr>
              <w:t>0</w:t>
            </w:r>
          </w:p>
        </w:tc>
        <w:tc>
          <w:tcPr>
            <w:tcW w:w="1153" w:type="dxa"/>
            <w:tcBorders>
              <w:top w:val="nil"/>
              <w:left w:val="nil"/>
              <w:bottom w:val="single" w:sz="4" w:space="0" w:color="auto"/>
              <w:right w:val="single" w:sz="4" w:space="0" w:color="auto"/>
            </w:tcBorders>
            <w:noWrap/>
          </w:tcPr>
          <w:p w14:paraId="321ACACB" w14:textId="77777777" w:rsidR="00344718" w:rsidRPr="00900B12" w:rsidRDefault="00344718" w:rsidP="005C1769">
            <w:pPr>
              <w:ind w:right="27"/>
              <w:jc w:val="right"/>
              <w:rPr>
                <w:color w:val="000000"/>
                <w:sz w:val="17"/>
                <w:szCs w:val="17"/>
              </w:rPr>
            </w:pPr>
            <w:r>
              <w:rPr>
                <w:sz w:val="17"/>
                <w:szCs w:val="17"/>
              </w:rPr>
              <w:t>2.467</w:t>
            </w:r>
          </w:p>
        </w:tc>
        <w:tc>
          <w:tcPr>
            <w:tcW w:w="1171" w:type="dxa"/>
            <w:tcBorders>
              <w:top w:val="nil"/>
              <w:left w:val="nil"/>
              <w:bottom w:val="single" w:sz="4" w:space="0" w:color="auto"/>
              <w:right w:val="single" w:sz="4" w:space="0" w:color="auto"/>
            </w:tcBorders>
            <w:noWrap/>
          </w:tcPr>
          <w:p w14:paraId="48E2A244" w14:textId="77777777" w:rsidR="00344718" w:rsidRPr="00900B12" w:rsidRDefault="00344718" w:rsidP="005C1769">
            <w:pPr>
              <w:ind w:right="27"/>
              <w:jc w:val="right"/>
              <w:rPr>
                <w:color w:val="000000"/>
                <w:sz w:val="17"/>
                <w:szCs w:val="17"/>
              </w:rPr>
            </w:pPr>
            <w:r>
              <w:rPr>
                <w:sz w:val="17"/>
                <w:szCs w:val="17"/>
              </w:rPr>
              <w:t>978</w:t>
            </w:r>
          </w:p>
        </w:tc>
        <w:tc>
          <w:tcPr>
            <w:tcW w:w="1006" w:type="dxa"/>
            <w:tcBorders>
              <w:top w:val="nil"/>
              <w:left w:val="nil"/>
              <w:bottom w:val="single" w:sz="4" w:space="0" w:color="auto"/>
              <w:right w:val="single" w:sz="4" w:space="0" w:color="auto"/>
            </w:tcBorders>
            <w:noWrap/>
          </w:tcPr>
          <w:p w14:paraId="3977E059" w14:textId="77777777" w:rsidR="00344718" w:rsidRPr="00900B12" w:rsidRDefault="00344718" w:rsidP="005C1769">
            <w:pPr>
              <w:ind w:right="27"/>
              <w:jc w:val="right"/>
              <w:rPr>
                <w:color w:val="000000"/>
                <w:sz w:val="17"/>
                <w:szCs w:val="17"/>
              </w:rPr>
            </w:pPr>
            <w:r>
              <w:rPr>
                <w:sz w:val="17"/>
                <w:szCs w:val="17"/>
              </w:rPr>
              <w:t>0</w:t>
            </w:r>
          </w:p>
        </w:tc>
        <w:tc>
          <w:tcPr>
            <w:tcW w:w="1009" w:type="dxa"/>
            <w:tcBorders>
              <w:top w:val="nil"/>
              <w:left w:val="nil"/>
              <w:bottom w:val="single" w:sz="4" w:space="0" w:color="auto"/>
              <w:right w:val="single" w:sz="4" w:space="0" w:color="auto"/>
            </w:tcBorders>
            <w:noWrap/>
          </w:tcPr>
          <w:p w14:paraId="46E68169" w14:textId="77777777" w:rsidR="00344718" w:rsidRPr="00900B12" w:rsidRDefault="00344718" w:rsidP="005C1769">
            <w:pPr>
              <w:ind w:right="27"/>
              <w:jc w:val="right"/>
              <w:rPr>
                <w:color w:val="000000"/>
                <w:sz w:val="17"/>
                <w:szCs w:val="17"/>
              </w:rPr>
            </w:pPr>
            <w:r>
              <w:rPr>
                <w:sz w:val="17"/>
                <w:szCs w:val="17"/>
              </w:rPr>
              <w:t>0</w:t>
            </w:r>
          </w:p>
        </w:tc>
        <w:tc>
          <w:tcPr>
            <w:tcW w:w="1278" w:type="dxa"/>
            <w:tcBorders>
              <w:top w:val="nil"/>
              <w:left w:val="nil"/>
              <w:bottom w:val="single" w:sz="4" w:space="0" w:color="auto"/>
              <w:right w:val="single" w:sz="4" w:space="0" w:color="auto"/>
            </w:tcBorders>
            <w:noWrap/>
          </w:tcPr>
          <w:p w14:paraId="13FF7323" w14:textId="77777777" w:rsidR="00344718" w:rsidRPr="00900B12" w:rsidRDefault="00344718" w:rsidP="005C1769">
            <w:pPr>
              <w:ind w:right="27"/>
              <w:jc w:val="right"/>
              <w:rPr>
                <w:color w:val="000000"/>
                <w:sz w:val="17"/>
                <w:szCs w:val="17"/>
              </w:rPr>
            </w:pPr>
            <w:r>
              <w:rPr>
                <w:sz w:val="17"/>
                <w:szCs w:val="17"/>
              </w:rPr>
              <w:t>84.281.200</w:t>
            </w:r>
          </w:p>
        </w:tc>
      </w:tr>
      <w:tr w:rsidR="00344718" w:rsidRPr="00900B12" w14:paraId="76B28867"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33DAB484" w14:textId="262D84D3" w:rsidR="00344718" w:rsidRPr="00C65475" w:rsidRDefault="004174A4" w:rsidP="005C1769">
            <w:pPr>
              <w:ind w:right="27"/>
              <w:jc w:val="left"/>
              <w:rPr>
                <w:color w:val="000000"/>
                <w:sz w:val="17"/>
                <w:szCs w:val="17"/>
                <w:lang w:eastAsia="en-CA"/>
              </w:rPr>
            </w:pPr>
            <w:r>
              <w:rPr>
                <w:sz w:val="17"/>
                <w:szCs w:val="17"/>
              </w:rPr>
              <w:t xml:space="preserve">PAK (etapa I)</w:t>
            </w:r>
          </w:p>
        </w:tc>
        <w:tc>
          <w:tcPr>
            <w:tcW w:w="756" w:type="dxa"/>
            <w:tcBorders>
              <w:top w:val="nil"/>
              <w:left w:val="nil"/>
              <w:bottom w:val="single" w:sz="4" w:space="0" w:color="auto"/>
              <w:right w:val="single" w:sz="4" w:space="0" w:color="auto"/>
            </w:tcBorders>
            <w:noWrap/>
          </w:tcPr>
          <w:p w14:paraId="684BFAED" w14:textId="77777777" w:rsidR="00344718" w:rsidRPr="00C65475" w:rsidRDefault="00344718" w:rsidP="005C1769">
            <w:pPr>
              <w:ind w:right="27"/>
              <w:jc w:val="right"/>
              <w:rPr>
                <w:color w:val="000000"/>
                <w:sz w:val="17"/>
                <w:szCs w:val="17"/>
                <w:lang w:eastAsia="en-CA"/>
              </w:rPr>
            </w:pPr>
            <w:r>
              <w:rPr>
                <w:sz w:val="17"/>
                <w:szCs w:val="17"/>
              </w:rPr>
              <w:t>254</w:t>
            </w:r>
          </w:p>
        </w:tc>
        <w:tc>
          <w:tcPr>
            <w:tcW w:w="1189" w:type="dxa"/>
            <w:tcBorders>
              <w:top w:val="nil"/>
              <w:left w:val="nil"/>
              <w:bottom w:val="single" w:sz="4" w:space="0" w:color="auto"/>
              <w:right w:val="single" w:sz="4" w:space="0" w:color="auto"/>
            </w:tcBorders>
            <w:noWrap/>
          </w:tcPr>
          <w:p w14:paraId="45E6412C"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2D5EFE1E"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3047832A" w14:textId="77777777" w:rsidR="00344718" w:rsidRPr="00C65475" w:rsidRDefault="00344718" w:rsidP="005C1769">
            <w:pPr>
              <w:ind w:right="27"/>
              <w:jc w:val="right"/>
              <w:rPr>
                <w:color w:val="000000"/>
                <w:sz w:val="17"/>
                <w:szCs w:val="17"/>
                <w:lang w:eastAsia="en-CA"/>
              </w:rPr>
            </w:pPr>
            <w:r>
              <w:rPr>
                <w:sz w:val="17"/>
                <w:szCs w:val="17"/>
              </w:rPr>
              <w:t>17.235</w:t>
            </w:r>
          </w:p>
        </w:tc>
        <w:tc>
          <w:tcPr>
            <w:tcW w:w="1171" w:type="dxa"/>
            <w:tcBorders>
              <w:top w:val="nil"/>
              <w:left w:val="nil"/>
              <w:bottom w:val="single" w:sz="4" w:space="0" w:color="auto"/>
              <w:right w:val="single" w:sz="4" w:space="0" w:color="auto"/>
            </w:tcBorders>
            <w:noWrap/>
          </w:tcPr>
          <w:p w14:paraId="427FB9ED" w14:textId="77777777" w:rsidR="00344718" w:rsidRPr="00C65475" w:rsidRDefault="00344718" w:rsidP="005C1769">
            <w:pPr>
              <w:ind w:right="27"/>
              <w:jc w:val="right"/>
              <w:rPr>
                <w:color w:val="000000"/>
                <w:sz w:val="17"/>
                <w:szCs w:val="17"/>
                <w:lang w:eastAsia="en-CA"/>
              </w:rPr>
            </w:pPr>
            <w:r>
              <w:rPr>
                <w:sz w:val="17"/>
                <w:szCs w:val="17"/>
              </w:rPr>
              <w:t>109</w:t>
            </w:r>
          </w:p>
        </w:tc>
        <w:tc>
          <w:tcPr>
            <w:tcW w:w="1006" w:type="dxa"/>
            <w:tcBorders>
              <w:top w:val="nil"/>
              <w:left w:val="nil"/>
              <w:bottom w:val="single" w:sz="4" w:space="0" w:color="auto"/>
              <w:right w:val="single" w:sz="4" w:space="0" w:color="auto"/>
            </w:tcBorders>
            <w:noWrap/>
          </w:tcPr>
          <w:p w14:paraId="390C8081" w14:textId="77777777" w:rsidR="00344718" w:rsidRPr="00C65475" w:rsidRDefault="00344718" w:rsidP="005C1769">
            <w:pPr>
              <w:ind w:right="27"/>
              <w:jc w:val="right"/>
              <w:rPr>
                <w:color w:val="000000"/>
                <w:sz w:val="17"/>
                <w:szCs w:val="17"/>
                <w:lang w:eastAsia="en-CA"/>
              </w:rPr>
            </w:pPr>
            <w:r>
              <w:rPr>
                <w:sz w:val="17"/>
                <w:szCs w:val="17"/>
              </w:rPr>
              <w:t>0</w:t>
            </w:r>
          </w:p>
        </w:tc>
        <w:tc>
          <w:tcPr>
            <w:tcW w:w="1009" w:type="dxa"/>
            <w:tcBorders>
              <w:top w:val="nil"/>
              <w:left w:val="nil"/>
              <w:bottom w:val="single" w:sz="4" w:space="0" w:color="auto"/>
              <w:right w:val="single" w:sz="4" w:space="0" w:color="auto"/>
            </w:tcBorders>
            <w:noWrap/>
          </w:tcPr>
          <w:p w14:paraId="2FAAB2AD" w14:textId="77777777" w:rsidR="00344718" w:rsidRPr="00C65475" w:rsidRDefault="00344718" w:rsidP="005C1769">
            <w:pPr>
              <w:ind w:right="27"/>
              <w:jc w:val="right"/>
              <w:rPr>
                <w:color w:val="000000"/>
                <w:sz w:val="17"/>
                <w:szCs w:val="17"/>
                <w:lang w:eastAsia="en-CA"/>
              </w:rPr>
            </w:pPr>
            <w:r>
              <w:rPr>
                <w:sz w:val="17"/>
                <w:szCs w:val="17"/>
              </w:rPr>
              <w:t>0</w:t>
            </w:r>
          </w:p>
        </w:tc>
        <w:tc>
          <w:tcPr>
            <w:tcW w:w="1278" w:type="dxa"/>
            <w:tcBorders>
              <w:top w:val="nil"/>
              <w:left w:val="nil"/>
              <w:bottom w:val="single" w:sz="4" w:space="0" w:color="auto"/>
              <w:right w:val="single" w:sz="4" w:space="0" w:color="auto"/>
            </w:tcBorders>
            <w:noWrap/>
          </w:tcPr>
          <w:p w14:paraId="42955A35" w14:textId="77777777" w:rsidR="00344718" w:rsidRPr="00C65475" w:rsidRDefault="00344718" w:rsidP="005C1769">
            <w:pPr>
              <w:ind w:right="27"/>
              <w:jc w:val="right"/>
              <w:rPr>
                <w:color w:val="000000"/>
                <w:sz w:val="17"/>
                <w:szCs w:val="17"/>
                <w:lang w:eastAsia="en-CA"/>
              </w:rPr>
            </w:pPr>
            <w:r>
              <w:rPr>
                <w:sz w:val="17"/>
                <w:szCs w:val="17"/>
              </w:rPr>
              <w:t>84.646.076</w:t>
            </w:r>
          </w:p>
        </w:tc>
      </w:tr>
      <w:tr w:rsidR="00344718" w:rsidRPr="00693B40" w14:paraId="1E7CC78F"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3A27DFDD" w14:textId="77777777" w:rsidR="00344718" w:rsidRPr="00C65475" w:rsidRDefault="00344718" w:rsidP="005C1769">
            <w:pPr>
              <w:ind w:right="27"/>
              <w:jc w:val="left"/>
              <w:rPr>
                <w:color w:val="000000"/>
                <w:sz w:val="17"/>
                <w:szCs w:val="17"/>
                <w:lang w:eastAsia="en-CA"/>
              </w:rPr>
            </w:pPr>
            <w:r>
              <w:rPr>
                <w:sz w:val="17"/>
                <w:szCs w:val="17"/>
              </w:rPr>
              <w:t>Proyectos individuales de otras SAO</w:t>
            </w:r>
          </w:p>
        </w:tc>
        <w:tc>
          <w:tcPr>
            <w:tcW w:w="756" w:type="dxa"/>
            <w:tcBorders>
              <w:top w:val="nil"/>
              <w:left w:val="nil"/>
              <w:bottom w:val="single" w:sz="4" w:space="0" w:color="auto"/>
              <w:right w:val="single" w:sz="4" w:space="0" w:color="auto"/>
            </w:tcBorders>
            <w:noWrap/>
          </w:tcPr>
          <w:p w14:paraId="26C3F249" w14:textId="77777777" w:rsidR="00344718" w:rsidRPr="00C65475" w:rsidRDefault="00344718" w:rsidP="005C1769">
            <w:pPr>
              <w:ind w:right="27"/>
              <w:jc w:val="right"/>
              <w:rPr>
                <w:color w:val="000000"/>
                <w:sz w:val="17"/>
                <w:szCs w:val="17"/>
                <w:lang w:eastAsia="en-CA"/>
              </w:rPr>
            </w:pPr>
            <w:r>
              <w:rPr>
                <w:sz w:val="17"/>
                <w:szCs w:val="17"/>
              </w:rPr>
              <w:t>589</w:t>
            </w:r>
          </w:p>
        </w:tc>
        <w:tc>
          <w:tcPr>
            <w:tcW w:w="1189" w:type="dxa"/>
            <w:tcBorders>
              <w:top w:val="nil"/>
              <w:left w:val="nil"/>
              <w:bottom w:val="single" w:sz="4" w:space="0" w:color="auto"/>
              <w:right w:val="single" w:sz="4" w:space="0" w:color="auto"/>
            </w:tcBorders>
            <w:noWrap/>
          </w:tcPr>
          <w:p w14:paraId="46329B8F" w14:textId="77777777" w:rsidR="00344718" w:rsidRPr="00C65475" w:rsidRDefault="00344718" w:rsidP="005C1769">
            <w:pPr>
              <w:ind w:right="27"/>
              <w:jc w:val="right"/>
              <w:rPr>
                <w:color w:val="000000"/>
                <w:sz w:val="17"/>
                <w:szCs w:val="17"/>
                <w:lang w:eastAsia="en-CA"/>
              </w:rPr>
            </w:pPr>
            <w:r>
              <w:rPr>
                <w:sz w:val="17"/>
                <w:szCs w:val="17"/>
              </w:rPr>
              <w:t>20.060</w:t>
            </w:r>
          </w:p>
        </w:tc>
        <w:tc>
          <w:tcPr>
            <w:tcW w:w="1153" w:type="dxa"/>
            <w:tcBorders>
              <w:top w:val="nil"/>
              <w:left w:val="nil"/>
              <w:bottom w:val="single" w:sz="4" w:space="0" w:color="auto"/>
              <w:right w:val="single" w:sz="4" w:space="0" w:color="auto"/>
            </w:tcBorders>
            <w:noWrap/>
          </w:tcPr>
          <w:p w14:paraId="1E8689E7" w14:textId="77777777" w:rsidR="00344718" w:rsidRPr="00C65475" w:rsidRDefault="00344718" w:rsidP="005C1769">
            <w:pPr>
              <w:ind w:right="27"/>
              <w:jc w:val="right"/>
              <w:rPr>
                <w:color w:val="000000"/>
                <w:sz w:val="17"/>
                <w:szCs w:val="17"/>
                <w:lang w:eastAsia="en-CA"/>
              </w:rPr>
            </w:pPr>
            <w:r>
              <w:rPr>
                <w:sz w:val="17"/>
                <w:szCs w:val="17"/>
              </w:rPr>
              <w:t>20.843</w:t>
            </w:r>
          </w:p>
        </w:tc>
        <w:tc>
          <w:tcPr>
            <w:tcW w:w="1153" w:type="dxa"/>
            <w:tcBorders>
              <w:top w:val="nil"/>
              <w:left w:val="nil"/>
              <w:bottom w:val="single" w:sz="4" w:space="0" w:color="auto"/>
              <w:right w:val="single" w:sz="4" w:space="0" w:color="auto"/>
            </w:tcBorders>
            <w:noWrap/>
          </w:tcPr>
          <w:p w14:paraId="2A652B4D"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063AEE49"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1DD41AAC" w14:textId="77777777" w:rsidR="00344718" w:rsidRPr="00C65475" w:rsidRDefault="00344718" w:rsidP="005C1769">
            <w:pPr>
              <w:ind w:right="27"/>
              <w:jc w:val="right"/>
              <w:rPr>
                <w:color w:val="000000"/>
                <w:sz w:val="17"/>
                <w:szCs w:val="17"/>
                <w:lang w:eastAsia="en-CA"/>
              </w:rPr>
            </w:pPr>
            <w:r>
              <w:rPr>
                <w:sz w:val="17"/>
                <w:szCs w:val="17"/>
              </w:rPr>
              <w:t>1.200</w:t>
            </w:r>
          </w:p>
        </w:tc>
        <w:tc>
          <w:tcPr>
            <w:tcW w:w="1009" w:type="dxa"/>
            <w:tcBorders>
              <w:top w:val="nil"/>
              <w:left w:val="nil"/>
              <w:bottom w:val="single" w:sz="4" w:space="0" w:color="auto"/>
              <w:right w:val="single" w:sz="4" w:space="0" w:color="auto"/>
            </w:tcBorders>
            <w:noWrap/>
          </w:tcPr>
          <w:p w14:paraId="6D0FFC24" w14:textId="77777777" w:rsidR="00344718" w:rsidRPr="00C65475" w:rsidRDefault="00344718" w:rsidP="005C1769">
            <w:pPr>
              <w:ind w:right="27"/>
              <w:jc w:val="right"/>
              <w:rPr>
                <w:color w:val="000000"/>
                <w:sz w:val="17"/>
                <w:szCs w:val="17"/>
                <w:lang w:eastAsia="en-CA"/>
              </w:rPr>
            </w:pPr>
            <w:r>
              <w:rPr>
                <w:sz w:val="17"/>
                <w:szCs w:val="17"/>
              </w:rPr>
              <w:t>1.200</w:t>
            </w:r>
          </w:p>
        </w:tc>
        <w:tc>
          <w:tcPr>
            <w:tcW w:w="1278" w:type="dxa"/>
            <w:tcBorders>
              <w:top w:val="nil"/>
              <w:left w:val="nil"/>
              <w:bottom w:val="single" w:sz="4" w:space="0" w:color="auto"/>
              <w:right w:val="single" w:sz="4" w:space="0" w:color="auto"/>
            </w:tcBorders>
            <w:noWrap/>
          </w:tcPr>
          <w:p w14:paraId="1948F21B" w14:textId="77777777" w:rsidR="00344718" w:rsidRPr="00C65475" w:rsidRDefault="00344718" w:rsidP="005C1769">
            <w:pPr>
              <w:ind w:right="27"/>
              <w:jc w:val="right"/>
              <w:rPr>
                <w:color w:val="000000"/>
                <w:sz w:val="17"/>
                <w:szCs w:val="17"/>
                <w:lang w:eastAsia="en-CA"/>
              </w:rPr>
            </w:pPr>
            <w:r>
              <w:rPr>
                <w:sz w:val="17"/>
                <w:szCs w:val="17"/>
              </w:rPr>
              <w:t>125.994.826</w:t>
            </w:r>
          </w:p>
        </w:tc>
      </w:tr>
      <w:tr w:rsidR="00344718" w:rsidRPr="00693B40" w14:paraId="10D45EA6"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340072F2" w14:textId="77777777" w:rsidR="00344718" w:rsidRPr="00C65475" w:rsidRDefault="00344718" w:rsidP="005C1769">
            <w:pPr>
              <w:ind w:right="27"/>
              <w:jc w:val="left"/>
              <w:rPr>
                <w:color w:val="000000"/>
                <w:sz w:val="17"/>
                <w:szCs w:val="17"/>
                <w:lang w:eastAsia="en-CA"/>
              </w:rPr>
            </w:pPr>
            <w:r>
              <w:rPr>
                <w:sz w:val="17"/>
                <w:szCs w:val="17"/>
              </w:rPr>
              <w:lastRenderedPageBreak/>
              <w:t>Proyectos individuales de otras SAO - producción</w:t>
            </w:r>
          </w:p>
        </w:tc>
        <w:tc>
          <w:tcPr>
            <w:tcW w:w="756" w:type="dxa"/>
            <w:tcBorders>
              <w:top w:val="nil"/>
              <w:left w:val="nil"/>
              <w:bottom w:val="single" w:sz="4" w:space="0" w:color="auto"/>
              <w:right w:val="single" w:sz="4" w:space="0" w:color="auto"/>
            </w:tcBorders>
            <w:noWrap/>
          </w:tcPr>
          <w:p w14:paraId="10467805" w14:textId="77777777" w:rsidR="00344718" w:rsidRPr="00C65475" w:rsidRDefault="00344718" w:rsidP="005C1769">
            <w:pPr>
              <w:ind w:right="27"/>
              <w:jc w:val="right"/>
              <w:rPr>
                <w:color w:val="000000"/>
                <w:sz w:val="17"/>
                <w:szCs w:val="17"/>
                <w:lang w:eastAsia="en-CA"/>
              </w:rPr>
            </w:pPr>
            <w:r>
              <w:rPr>
                <w:sz w:val="17"/>
                <w:szCs w:val="17"/>
              </w:rPr>
              <w:t>1</w:t>
            </w:r>
          </w:p>
        </w:tc>
        <w:tc>
          <w:tcPr>
            <w:tcW w:w="1189" w:type="dxa"/>
            <w:tcBorders>
              <w:top w:val="nil"/>
              <w:left w:val="nil"/>
              <w:bottom w:val="single" w:sz="4" w:space="0" w:color="auto"/>
              <w:right w:val="single" w:sz="4" w:space="0" w:color="auto"/>
            </w:tcBorders>
            <w:noWrap/>
          </w:tcPr>
          <w:p w14:paraId="7A7723F1"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47AAC35F"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7D15DFDC"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4B39FEA5"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0AEAE65F" w14:textId="77777777" w:rsidR="00344718" w:rsidRPr="00C65475" w:rsidRDefault="00344718" w:rsidP="005C1769">
            <w:pPr>
              <w:ind w:right="27"/>
              <w:jc w:val="right"/>
              <w:rPr>
                <w:color w:val="000000"/>
                <w:sz w:val="17"/>
                <w:szCs w:val="17"/>
                <w:lang w:eastAsia="en-CA"/>
              </w:rPr>
            </w:pPr>
            <w:r>
              <w:rPr>
                <w:sz w:val="17"/>
                <w:szCs w:val="17"/>
              </w:rPr>
              <w:t>321</w:t>
            </w:r>
          </w:p>
        </w:tc>
        <w:tc>
          <w:tcPr>
            <w:tcW w:w="1009" w:type="dxa"/>
            <w:tcBorders>
              <w:top w:val="nil"/>
              <w:left w:val="nil"/>
              <w:bottom w:val="single" w:sz="4" w:space="0" w:color="auto"/>
              <w:right w:val="single" w:sz="4" w:space="0" w:color="auto"/>
            </w:tcBorders>
            <w:noWrap/>
          </w:tcPr>
          <w:p w14:paraId="70948999" w14:textId="77777777" w:rsidR="00344718" w:rsidRPr="00C65475" w:rsidRDefault="00344718" w:rsidP="005C1769">
            <w:pPr>
              <w:ind w:right="27"/>
              <w:jc w:val="right"/>
              <w:rPr>
                <w:color w:val="000000"/>
                <w:sz w:val="17"/>
                <w:szCs w:val="17"/>
                <w:lang w:eastAsia="en-CA"/>
              </w:rPr>
            </w:pPr>
            <w:r>
              <w:rPr>
                <w:sz w:val="17"/>
                <w:szCs w:val="17"/>
              </w:rPr>
              <w:t>321</w:t>
            </w:r>
          </w:p>
        </w:tc>
        <w:tc>
          <w:tcPr>
            <w:tcW w:w="1278" w:type="dxa"/>
            <w:tcBorders>
              <w:top w:val="nil"/>
              <w:left w:val="nil"/>
              <w:bottom w:val="single" w:sz="4" w:space="0" w:color="auto"/>
              <w:right w:val="single" w:sz="4" w:space="0" w:color="auto"/>
            </w:tcBorders>
            <w:noWrap/>
          </w:tcPr>
          <w:p w14:paraId="0D6FB08A" w14:textId="77777777" w:rsidR="00344718" w:rsidRPr="00C65475" w:rsidRDefault="00344718" w:rsidP="005C1769">
            <w:pPr>
              <w:ind w:right="27"/>
              <w:jc w:val="right"/>
              <w:rPr>
                <w:color w:val="000000"/>
                <w:sz w:val="17"/>
                <w:szCs w:val="17"/>
                <w:lang w:eastAsia="en-CA"/>
              </w:rPr>
            </w:pPr>
            <w:r>
              <w:rPr>
                <w:sz w:val="17"/>
                <w:szCs w:val="17"/>
              </w:rPr>
              <w:t>1.037.302</w:t>
            </w:r>
          </w:p>
        </w:tc>
      </w:tr>
      <w:tr w:rsidR="00344718" w:rsidRPr="00693B40" w14:paraId="6AB656E3"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3E3FC8D7" w14:textId="77777777" w:rsidR="00344718" w:rsidRPr="00C65475" w:rsidRDefault="00344718" w:rsidP="005C1769">
            <w:pPr>
              <w:ind w:right="27"/>
              <w:jc w:val="left"/>
              <w:rPr>
                <w:color w:val="000000"/>
                <w:sz w:val="17"/>
                <w:szCs w:val="17"/>
                <w:lang w:eastAsia="en-CA"/>
              </w:rPr>
            </w:pPr>
            <w:r>
              <w:rPr>
                <w:sz w:val="17"/>
                <w:szCs w:val="17"/>
              </w:rPr>
              <w:t>Plan de eliminación de la producción de otras SAO</w:t>
            </w:r>
          </w:p>
        </w:tc>
        <w:tc>
          <w:tcPr>
            <w:tcW w:w="756" w:type="dxa"/>
            <w:tcBorders>
              <w:top w:val="nil"/>
              <w:left w:val="nil"/>
              <w:bottom w:val="single" w:sz="4" w:space="0" w:color="auto"/>
              <w:right w:val="single" w:sz="4" w:space="0" w:color="auto"/>
            </w:tcBorders>
            <w:noWrap/>
          </w:tcPr>
          <w:p w14:paraId="3008C556" w14:textId="77777777" w:rsidR="00344718" w:rsidRPr="00C65475" w:rsidRDefault="00344718" w:rsidP="005C1769">
            <w:pPr>
              <w:ind w:right="27"/>
              <w:jc w:val="right"/>
              <w:rPr>
                <w:color w:val="000000"/>
                <w:sz w:val="17"/>
                <w:szCs w:val="17"/>
                <w:lang w:eastAsia="en-CA"/>
              </w:rPr>
            </w:pPr>
            <w:r>
              <w:rPr>
                <w:sz w:val="17"/>
                <w:szCs w:val="17"/>
              </w:rPr>
              <w:t>27</w:t>
            </w:r>
          </w:p>
        </w:tc>
        <w:tc>
          <w:tcPr>
            <w:tcW w:w="1189" w:type="dxa"/>
            <w:tcBorders>
              <w:top w:val="nil"/>
              <w:left w:val="nil"/>
              <w:bottom w:val="single" w:sz="4" w:space="0" w:color="auto"/>
              <w:right w:val="single" w:sz="4" w:space="0" w:color="auto"/>
            </w:tcBorders>
            <w:noWrap/>
          </w:tcPr>
          <w:p w14:paraId="5B8736ED"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6D531543" w14:textId="77777777" w:rsidR="00344718" w:rsidRPr="00C65475" w:rsidRDefault="00344718" w:rsidP="005C1769">
            <w:pPr>
              <w:ind w:right="27"/>
              <w:jc w:val="right"/>
              <w:rPr>
                <w:color w:val="000000"/>
                <w:sz w:val="17"/>
                <w:szCs w:val="17"/>
                <w:lang w:eastAsia="en-CA"/>
              </w:rPr>
            </w:pPr>
            <w:r>
              <w:rPr>
                <w:sz w:val="17"/>
                <w:szCs w:val="17"/>
              </w:rPr>
              <w:t>0</w:t>
            </w:r>
          </w:p>
        </w:tc>
        <w:tc>
          <w:tcPr>
            <w:tcW w:w="1153" w:type="dxa"/>
            <w:tcBorders>
              <w:top w:val="nil"/>
              <w:left w:val="nil"/>
              <w:bottom w:val="single" w:sz="4" w:space="0" w:color="auto"/>
              <w:right w:val="single" w:sz="4" w:space="0" w:color="auto"/>
            </w:tcBorders>
            <w:noWrap/>
          </w:tcPr>
          <w:p w14:paraId="27638C26"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31045B5B"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0F318BD3" w14:textId="77777777" w:rsidR="00344718" w:rsidRPr="00C65475" w:rsidRDefault="00344718" w:rsidP="005C1769">
            <w:pPr>
              <w:ind w:right="27"/>
              <w:jc w:val="right"/>
              <w:rPr>
                <w:color w:val="000000"/>
                <w:sz w:val="17"/>
                <w:szCs w:val="17"/>
                <w:lang w:eastAsia="en-CA"/>
              </w:rPr>
            </w:pPr>
            <w:r>
              <w:rPr>
                <w:sz w:val="17"/>
                <w:szCs w:val="17"/>
              </w:rPr>
              <w:t>65.454</w:t>
            </w:r>
          </w:p>
        </w:tc>
        <w:tc>
          <w:tcPr>
            <w:tcW w:w="1009" w:type="dxa"/>
            <w:tcBorders>
              <w:top w:val="nil"/>
              <w:left w:val="nil"/>
              <w:bottom w:val="single" w:sz="4" w:space="0" w:color="auto"/>
              <w:right w:val="single" w:sz="4" w:space="0" w:color="auto"/>
            </w:tcBorders>
            <w:noWrap/>
          </w:tcPr>
          <w:p w14:paraId="7ACDE85A" w14:textId="77777777" w:rsidR="00344718" w:rsidRPr="00C65475" w:rsidRDefault="00344718" w:rsidP="005C1769">
            <w:pPr>
              <w:ind w:right="27"/>
              <w:jc w:val="right"/>
              <w:rPr>
                <w:color w:val="000000"/>
                <w:sz w:val="17"/>
                <w:szCs w:val="17"/>
                <w:lang w:eastAsia="en-CA"/>
              </w:rPr>
            </w:pPr>
            <w:r>
              <w:rPr>
                <w:sz w:val="17"/>
                <w:szCs w:val="17"/>
              </w:rPr>
              <w:t>65.014</w:t>
            </w:r>
          </w:p>
        </w:tc>
        <w:tc>
          <w:tcPr>
            <w:tcW w:w="1278" w:type="dxa"/>
            <w:tcBorders>
              <w:top w:val="nil"/>
              <w:left w:val="nil"/>
              <w:bottom w:val="single" w:sz="4" w:space="0" w:color="auto"/>
              <w:right w:val="single" w:sz="4" w:space="0" w:color="auto"/>
            </w:tcBorders>
            <w:noWrap/>
          </w:tcPr>
          <w:p w14:paraId="4857C892" w14:textId="77777777" w:rsidR="00344718" w:rsidRPr="00C65475" w:rsidRDefault="00344718" w:rsidP="005C1769">
            <w:pPr>
              <w:ind w:right="27"/>
              <w:jc w:val="right"/>
              <w:rPr>
                <w:color w:val="000000"/>
                <w:sz w:val="17"/>
                <w:szCs w:val="17"/>
                <w:lang w:eastAsia="en-CA"/>
              </w:rPr>
            </w:pPr>
            <w:r>
              <w:rPr>
                <w:sz w:val="17"/>
                <w:szCs w:val="17"/>
              </w:rPr>
              <w:t>60.749.881</w:t>
            </w:r>
          </w:p>
        </w:tc>
      </w:tr>
      <w:tr w:rsidR="00344718" w:rsidRPr="00693B40" w14:paraId="18DD7811"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7030381A" w14:textId="77777777" w:rsidR="00344718" w:rsidRPr="00C65475" w:rsidRDefault="00344718" w:rsidP="005C1769">
            <w:pPr>
              <w:ind w:right="27"/>
              <w:jc w:val="left"/>
              <w:rPr>
                <w:color w:val="000000"/>
                <w:sz w:val="17"/>
                <w:szCs w:val="17"/>
                <w:lang w:eastAsia="en-CA"/>
              </w:rPr>
            </w:pPr>
            <w:r>
              <w:rPr>
                <w:sz w:val="17"/>
                <w:szCs w:val="17"/>
              </w:rPr>
              <w:t>Plan sectorial de otras SAO</w:t>
            </w:r>
          </w:p>
        </w:tc>
        <w:tc>
          <w:tcPr>
            <w:tcW w:w="756" w:type="dxa"/>
            <w:tcBorders>
              <w:top w:val="nil"/>
              <w:left w:val="nil"/>
              <w:bottom w:val="single" w:sz="4" w:space="0" w:color="auto"/>
              <w:right w:val="single" w:sz="4" w:space="0" w:color="auto"/>
            </w:tcBorders>
            <w:noWrap/>
          </w:tcPr>
          <w:p w14:paraId="04E51E08" w14:textId="77777777" w:rsidR="00344718" w:rsidRPr="00C65475" w:rsidRDefault="00344718" w:rsidP="005C1769">
            <w:pPr>
              <w:ind w:right="27"/>
              <w:jc w:val="right"/>
              <w:rPr>
                <w:color w:val="000000"/>
                <w:sz w:val="17"/>
                <w:szCs w:val="17"/>
                <w:lang w:eastAsia="en-CA"/>
              </w:rPr>
            </w:pPr>
            <w:r>
              <w:rPr>
                <w:sz w:val="17"/>
                <w:szCs w:val="17"/>
              </w:rPr>
              <w:t>305</w:t>
            </w:r>
          </w:p>
        </w:tc>
        <w:tc>
          <w:tcPr>
            <w:tcW w:w="1189" w:type="dxa"/>
            <w:tcBorders>
              <w:top w:val="nil"/>
              <w:left w:val="nil"/>
              <w:bottom w:val="single" w:sz="4" w:space="0" w:color="auto"/>
              <w:right w:val="single" w:sz="4" w:space="0" w:color="auto"/>
            </w:tcBorders>
            <w:noWrap/>
          </w:tcPr>
          <w:p w14:paraId="64BDD1A0" w14:textId="77777777" w:rsidR="00344718" w:rsidRPr="00C65475" w:rsidRDefault="00344718" w:rsidP="005C1769">
            <w:pPr>
              <w:ind w:right="27"/>
              <w:jc w:val="right"/>
              <w:rPr>
                <w:color w:val="000000"/>
                <w:sz w:val="17"/>
                <w:szCs w:val="17"/>
                <w:lang w:eastAsia="en-CA"/>
              </w:rPr>
            </w:pPr>
            <w:r>
              <w:rPr>
                <w:sz w:val="17"/>
                <w:szCs w:val="17"/>
              </w:rPr>
              <w:t>76.640</w:t>
            </w:r>
          </w:p>
        </w:tc>
        <w:tc>
          <w:tcPr>
            <w:tcW w:w="1153" w:type="dxa"/>
            <w:tcBorders>
              <w:top w:val="nil"/>
              <w:left w:val="nil"/>
              <w:bottom w:val="single" w:sz="4" w:space="0" w:color="auto"/>
              <w:right w:val="single" w:sz="4" w:space="0" w:color="auto"/>
            </w:tcBorders>
            <w:noWrap/>
          </w:tcPr>
          <w:p w14:paraId="611FD438" w14:textId="77777777" w:rsidR="00344718" w:rsidRPr="00C65475" w:rsidRDefault="00344718" w:rsidP="005C1769">
            <w:pPr>
              <w:ind w:right="27"/>
              <w:jc w:val="right"/>
              <w:rPr>
                <w:color w:val="000000"/>
                <w:sz w:val="17"/>
                <w:szCs w:val="17"/>
                <w:lang w:eastAsia="en-CA"/>
              </w:rPr>
            </w:pPr>
            <w:r>
              <w:rPr>
                <w:sz w:val="17"/>
                <w:szCs w:val="17"/>
              </w:rPr>
              <w:t>101.499</w:t>
            </w:r>
          </w:p>
        </w:tc>
        <w:tc>
          <w:tcPr>
            <w:tcW w:w="1153" w:type="dxa"/>
            <w:tcBorders>
              <w:top w:val="nil"/>
              <w:left w:val="nil"/>
              <w:bottom w:val="single" w:sz="4" w:space="0" w:color="auto"/>
              <w:right w:val="single" w:sz="4" w:space="0" w:color="auto"/>
            </w:tcBorders>
            <w:noWrap/>
          </w:tcPr>
          <w:p w14:paraId="1D1D542B" w14:textId="77777777" w:rsidR="00344718" w:rsidRPr="00C65475" w:rsidRDefault="00344718" w:rsidP="005C1769">
            <w:pPr>
              <w:ind w:right="27"/>
              <w:jc w:val="right"/>
              <w:rPr>
                <w:color w:val="000000"/>
                <w:sz w:val="17"/>
                <w:szCs w:val="17"/>
                <w:lang w:eastAsia="en-CA"/>
              </w:rPr>
            </w:pPr>
            <w:r>
              <w:rPr>
                <w:sz w:val="17"/>
                <w:szCs w:val="17"/>
              </w:rPr>
              <w:t>0</w:t>
            </w:r>
          </w:p>
        </w:tc>
        <w:tc>
          <w:tcPr>
            <w:tcW w:w="1171" w:type="dxa"/>
            <w:tcBorders>
              <w:top w:val="nil"/>
              <w:left w:val="nil"/>
              <w:bottom w:val="single" w:sz="4" w:space="0" w:color="auto"/>
              <w:right w:val="single" w:sz="4" w:space="0" w:color="auto"/>
            </w:tcBorders>
            <w:noWrap/>
          </w:tcPr>
          <w:p w14:paraId="0932B7B6" w14:textId="77777777" w:rsidR="00344718" w:rsidRPr="00C65475" w:rsidRDefault="00344718" w:rsidP="005C1769">
            <w:pPr>
              <w:ind w:right="27"/>
              <w:jc w:val="right"/>
              <w:rPr>
                <w:color w:val="000000"/>
                <w:sz w:val="17"/>
                <w:szCs w:val="17"/>
                <w:lang w:eastAsia="en-CA"/>
              </w:rPr>
            </w:pPr>
            <w:r>
              <w:rPr>
                <w:sz w:val="17"/>
                <w:szCs w:val="17"/>
              </w:rPr>
              <w:t>0</w:t>
            </w:r>
          </w:p>
        </w:tc>
        <w:tc>
          <w:tcPr>
            <w:tcW w:w="1006" w:type="dxa"/>
            <w:tcBorders>
              <w:top w:val="nil"/>
              <w:left w:val="nil"/>
              <w:bottom w:val="single" w:sz="4" w:space="0" w:color="auto"/>
              <w:right w:val="single" w:sz="4" w:space="0" w:color="auto"/>
            </w:tcBorders>
            <w:noWrap/>
          </w:tcPr>
          <w:p w14:paraId="79BE7C88" w14:textId="77777777" w:rsidR="00344718" w:rsidRPr="00C65475" w:rsidRDefault="00344718" w:rsidP="005C1769">
            <w:pPr>
              <w:ind w:right="27"/>
              <w:jc w:val="right"/>
              <w:rPr>
                <w:color w:val="000000"/>
                <w:sz w:val="17"/>
                <w:szCs w:val="17"/>
                <w:lang w:eastAsia="en-CA"/>
              </w:rPr>
            </w:pPr>
            <w:r>
              <w:rPr>
                <w:sz w:val="17"/>
                <w:szCs w:val="17"/>
              </w:rPr>
              <w:t>33.173</w:t>
            </w:r>
          </w:p>
        </w:tc>
        <w:tc>
          <w:tcPr>
            <w:tcW w:w="1009" w:type="dxa"/>
            <w:tcBorders>
              <w:top w:val="nil"/>
              <w:left w:val="nil"/>
              <w:bottom w:val="single" w:sz="4" w:space="0" w:color="auto"/>
              <w:right w:val="single" w:sz="4" w:space="0" w:color="auto"/>
            </w:tcBorders>
            <w:noWrap/>
          </w:tcPr>
          <w:p w14:paraId="1BBC6F2F" w14:textId="77777777" w:rsidR="00344718" w:rsidRPr="00C65475" w:rsidRDefault="00344718" w:rsidP="005C1769">
            <w:pPr>
              <w:ind w:right="27"/>
              <w:jc w:val="right"/>
              <w:rPr>
                <w:color w:val="000000"/>
                <w:sz w:val="17"/>
                <w:szCs w:val="17"/>
                <w:lang w:eastAsia="en-CA"/>
              </w:rPr>
            </w:pPr>
            <w:r>
              <w:rPr>
                <w:sz w:val="17"/>
                <w:szCs w:val="17"/>
              </w:rPr>
              <w:t>33.173</w:t>
            </w:r>
          </w:p>
        </w:tc>
        <w:tc>
          <w:tcPr>
            <w:tcW w:w="1278" w:type="dxa"/>
            <w:tcBorders>
              <w:top w:val="nil"/>
              <w:left w:val="nil"/>
              <w:bottom w:val="single" w:sz="4" w:space="0" w:color="auto"/>
              <w:right w:val="single" w:sz="4" w:space="0" w:color="auto"/>
            </w:tcBorders>
            <w:noWrap/>
          </w:tcPr>
          <w:p w14:paraId="270228A1" w14:textId="77777777" w:rsidR="00344718" w:rsidRPr="00C65475" w:rsidRDefault="00344718" w:rsidP="005C1769">
            <w:pPr>
              <w:ind w:right="27"/>
              <w:jc w:val="right"/>
              <w:rPr>
                <w:color w:val="000000"/>
                <w:sz w:val="17"/>
                <w:szCs w:val="17"/>
                <w:lang w:eastAsia="en-CA"/>
              </w:rPr>
            </w:pPr>
            <w:r>
              <w:rPr>
                <w:sz w:val="17"/>
                <w:szCs w:val="17"/>
              </w:rPr>
              <w:t>438.085.194</w:t>
            </w:r>
          </w:p>
        </w:tc>
      </w:tr>
      <w:tr w:rsidR="00344718" w:rsidRPr="00693B40" w14:paraId="27E18BC6" w14:textId="77777777" w:rsidTr="000863D3">
        <w:trPr>
          <w:cantSplit/>
          <w:trHeight w:val="44"/>
        </w:trPr>
        <w:tc>
          <w:tcPr>
            <w:tcW w:w="1530" w:type="dxa"/>
            <w:tcBorders>
              <w:top w:val="nil"/>
              <w:left w:val="single" w:sz="4" w:space="0" w:color="auto"/>
              <w:bottom w:val="single" w:sz="4" w:space="0" w:color="auto"/>
              <w:right w:val="single" w:sz="4" w:space="0" w:color="auto"/>
            </w:tcBorders>
            <w:noWrap/>
          </w:tcPr>
          <w:p w14:paraId="0353D3E9" w14:textId="77777777" w:rsidR="00344718" w:rsidRPr="00C65475" w:rsidRDefault="00344718" w:rsidP="005C1769">
            <w:pPr>
              <w:ind w:right="27"/>
              <w:jc w:val="left"/>
              <w:rPr>
                <w:b/>
                <w:bCs/>
                <w:color w:val="000000"/>
                <w:sz w:val="17"/>
                <w:szCs w:val="17"/>
                <w:lang w:eastAsia="en-CA"/>
              </w:rPr>
            </w:pPr>
            <w:r>
              <w:rPr>
                <w:b/>
                <w:bCs/>
                <w:sz w:val="17"/>
                <w:szCs w:val="17"/>
              </w:rPr>
              <w:t>Total general</w:t>
            </w:r>
          </w:p>
        </w:tc>
        <w:tc>
          <w:tcPr>
            <w:tcW w:w="756" w:type="dxa"/>
            <w:tcBorders>
              <w:top w:val="nil"/>
              <w:left w:val="nil"/>
              <w:bottom w:val="single" w:sz="4" w:space="0" w:color="auto"/>
              <w:right w:val="single" w:sz="4" w:space="0" w:color="auto"/>
            </w:tcBorders>
            <w:noWrap/>
          </w:tcPr>
          <w:p w14:paraId="41F539CE" w14:textId="77777777" w:rsidR="00344718" w:rsidRPr="00C65475" w:rsidRDefault="00344718" w:rsidP="005C1769">
            <w:pPr>
              <w:ind w:right="27"/>
              <w:jc w:val="right"/>
              <w:rPr>
                <w:b/>
                <w:bCs/>
                <w:color w:val="000000"/>
                <w:sz w:val="17"/>
                <w:szCs w:val="17"/>
                <w:lang w:eastAsia="en-CA"/>
              </w:rPr>
            </w:pPr>
            <w:r>
              <w:rPr>
                <w:b/>
                <w:bCs/>
                <w:sz w:val="17"/>
                <w:szCs w:val="17"/>
              </w:rPr>
              <w:t>10.584</w:t>
            </w:r>
          </w:p>
        </w:tc>
        <w:tc>
          <w:tcPr>
            <w:tcW w:w="1189" w:type="dxa"/>
            <w:tcBorders>
              <w:top w:val="nil"/>
              <w:left w:val="nil"/>
              <w:bottom w:val="single" w:sz="4" w:space="0" w:color="auto"/>
              <w:right w:val="single" w:sz="4" w:space="0" w:color="auto"/>
            </w:tcBorders>
            <w:noWrap/>
          </w:tcPr>
          <w:p w14:paraId="77B77B76" w14:textId="77777777" w:rsidR="00344718" w:rsidRPr="00C65475" w:rsidRDefault="00344718" w:rsidP="005C1769">
            <w:pPr>
              <w:ind w:right="27"/>
              <w:jc w:val="right"/>
              <w:rPr>
                <w:b/>
                <w:bCs/>
                <w:color w:val="000000"/>
                <w:sz w:val="17"/>
                <w:szCs w:val="17"/>
                <w:lang w:eastAsia="en-CA"/>
              </w:rPr>
            </w:pPr>
            <w:r>
              <w:rPr>
                <w:b/>
                <w:bCs/>
                <w:sz w:val="17"/>
                <w:szCs w:val="17"/>
              </w:rPr>
              <w:t>290.318</w:t>
            </w:r>
          </w:p>
        </w:tc>
        <w:tc>
          <w:tcPr>
            <w:tcW w:w="1153" w:type="dxa"/>
            <w:tcBorders>
              <w:top w:val="nil"/>
              <w:left w:val="nil"/>
              <w:bottom w:val="single" w:sz="4" w:space="0" w:color="auto"/>
              <w:right w:val="single" w:sz="4" w:space="0" w:color="auto"/>
            </w:tcBorders>
            <w:noWrap/>
          </w:tcPr>
          <w:p w14:paraId="550856BA" w14:textId="77777777" w:rsidR="00344718" w:rsidRPr="00C65475" w:rsidRDefault="00344718" w:rsidP="005C1769">
            <w:pPr>
              <w:ind w:right="27"/>
              <w:jc w:val="right"/>
              <w:rPr>
                <w:b/>
                <w:bCs/>
                <w:color w:val="000000"/>
                <w:sz w:val="17"/>
                <w:szCs w:val="17"/>
                <w:lang w:eastAsia="en-CA"/>
              </w:rPr>
            </w:pPr>
            <w:r>
              <w:rPr>
                <w:b/>
                <w:bCs/>
                <w:sz w:val="17"/>
                <w:szCs w:val="17"/>
              </w:rPr>
              <w:t>310.509</w:t>
            </w:r>
          </w:p>
        </w:tc>
        <w:tc>
          <w:tcPr>
            <w:tcW w:w="1153" w:type="dxa"/>
            <w:tcBorders>
              <w:top w:val="nil"/>
              <w:left w:val="nil"/>
              <w:bottom w:val="single" w:sz="4" w:space="0" w:color="auto"/>
              <w:right w:val="single" w:sz="4" w:space="0" w:color="auto"/>
            </w:tcBorders>
            <w:noWrap/>
          </w:tcPr>
          <w:p w14:paraId="3BF3F6F6" w14:textId="77777777" w:rsidR="00344718" w:rsidRPr="00C65475" w:rsidRDefault="00344718" w:rsidP="005C1769">
            <w:pPr>
              <w:ind w:right="27"/>
              <w:jc w:val="right"/>
              <w:rPr>
                <w:b/>
                <w:bCs/>
                <w:color w:val="000000"/>
                <w:sz w:val="17"/>
                <w:szCs w:val="17"/>
                <w:lang w:eastAsia="en-CA"/>
              </w:rPr>
            </w:pPr>
            <w:r>
              <w:rPr>
                <w:b/>
                <w:bCs/>
                <w:sz w:val="17"/>
                <w:szCs w:val="17"/>
              </w:rPr>
              <w:t>19.702</w:t>
            </w:r>
          </w:p>
        </w:tc>
        <w:tc>
          <w:tcPr>
            <w:tcW w:w="1171" w:type="dxa"/>
            <w:tcBorders>
              <w:top w:val="nil"/>
              <w:left w:val="nil"/>
              <w:bottom w:val="single" w:sz="4" w:space="0" w:color="auto"/>
              <w:right w:val="single" w:sz="4" w:space="0" w:color="auto"/>
            </w:tcBorders>
            <w:noWrap/>
          </w:tcPr>
          <w:p w14:paraId="19560998" w14:textId="77777777" w:rsidR="00344718" w:rsidRPr="00C65475" w:rsidRDefault="00344718" w:rsidP="005C1769">
            <w:pPr>
              <w:ind w:right="27"/>
              <w:jc w:val="right"/>
              <w:rPr>
                <w:b/>
                <w:bCs/>
                <w:color w:val="000000"/>
                <w:sz w:val="17"/>
                <w:szCs w:val="17"/>
                <w:lang w:eastAsia="en-CA"/>
              </w:rPr>
            </w:pPr>
            <w:r>
              <w:rPr>
                <w:b/>
                <w:bCs/>
                <w:sz w:val="17"/>
                <w:szCs w:val="17"/>
              </w:rPr>
              <w:t>1.086</w:t>
            </w:r>
          </w:p>
        </w:tc>
        <w:tc>
          <w:tcPr>
            <w:tcW w:w="1006" w:type="dxa"/>
            <w:tcBorders>
              <w:top w:val="nil"/>
              <w:left w:val="nil"/>
              <w:bottom w:val="single" w:sz="4" w:space="0" w:color="auto"/>
              <w:right w:val="single" w:sz="4" w:space="0" w:color="auto"/>
            </w:tcBorders>
            <w:noWrap/>
          </w:tcPr>
          <w:p w14:paraId="14BAD7F9" w14:textId="77777777" w:rsidR="00344718" w:rsidRPr="00C65475" w:rsidRDefault="00344718" w:rsidP="005C1769">
            <w:pPr>
              <w:ind w:right="27"/>
              <w:jc w:val="right"/>
              <w:rPr>
                <w:b/>
                <w:bCs/>
                <w:color w:val="000000"/>
                <w:sz w:val="17"/>
                <w:szCs w:val="17"/>
                <w:lang w:eastAsia="en-CA"/>
              </w:rPr>
            </w:pPr>
            <w:r>
              <w:rPr>
                <w:b/>
                <w:bCs/>
                <w:sz w:val="17"/>
                <w:szCs w:val="17"/>
              </w:rPr>
              <w:t>199.557</w:t>
            </w:r>
          </w:p>
        </w:tc>
        <w:tc>
          <w:tcPr>
            <w:tcW w:w="1009" w:type="dxa"/>
            <w:tcBorders>
              <w:top w:val="nil"/>
              <w:left w:val="nil"/>
              <w:bottom w:val="single" w:sz="4" w:space="0" w:color="auto"/>
              <w:right w:val="single" w:sz="4" w:space="0" w:color="auto"/>
            </w:tcBorders>
            <w:noWrap/>
          </w:tcPr>
          <w:p w14:paraId="5EFC376F" w14:textId="77777777" w:rsidR="00344718" w:rsidRPr="00C65475" w:rsidRDefault="00344718" w:rsidP="005C1769">
            <w:pPr>
              <w:ind w:right="27"/>
              <w:jc w:val="right"/>
              <w:rPr>
                <w:b/>
                <w:bCs/>
                <w:color w:val="000000"/>
                <w:sz w:val="17"/>
                <w:szCs w:val="17"/>
                <w:lang w:eastAsia="en-CA"/>
              </w:rPr>
            </w:pPr>
            <w:r>
              <w:rPr>
                <w:b/>
                <w:bCs/>
                <w:sz w:val="17"/>
                <w:szCs w:val="17"/>
              </w:rPr>
              <w:t>199.585</w:t>
            </w:r>
          </w:p>
        </w:tc>
        <w:tc>
          <w:tcPr>
            <w:tcW w:w="1278" w:type="dxa"/>
            <w:tcBorders>
              <w:top w:val="nil"/>
              <w:left w:val="nil"/>
              <w:bottom w:val="single" w:sz="4" w:space="0" w:color="auto"/>
              <w:right w:val="single" w:sz="4" w:space="0" w:color="auto"/>
            </w:tcBorders>
            <w:noWrap/>
          </w:tcPr>
          <w:p w14:paraId="0CE77E36" w14:textId="77777777" w:rsidR="00344718" w:rsidRPr="00C65475" w:rsidRDefault="00344718" w:rsidP="005C1769">
            <w:pPr>
              <w:ind w:right="27"/>
              <w:jc w:val="right"/>
              <w:rPr>
                <w:b/>
                <w:bCs/>
                <w:color w:val="000000"/>
                <w:sz w:val="17"/>
                <w:szCs w:val="17"/>
                <w:lang w:eastAsia="en-CA"/>
              </w:rPr>
            </w:pPr>
            <w:r>
              <w:rPr>
                <w:b/>
                <w:bCs/>
                <w:sz w:val="17"/>
                <w:szCs w:val="17"/>
              </w:rPr>
              <w:t>4.489.718.894</w:t>
            </w:r>
          </w:p>
        </w:tc>
      </w:tr>
    </w:tbl>
    <w:p w14:paraId="12BC0093" w14:textId="30BA548C" w:rsidR="00FF2809" w:rsidRPr="00C65475" w:rsidRDefault="00FF2809" w:rsidP="005C1769">
      <w:pPr>
        <w:ind w:left="1276" w:right="27" w:hanging="1366"/>
        <w:rPr>
          <w:sz w:val="17"/>
          <w:szCs w:val="17"/>
        </w:rPr>
      </w:pPr>
      <w:r>
        <w:rPr>
          <w:sz w:val="17"/>
          <w:szCs w:val="17"/>
        </w:rPr>
        <w:t>* Excluidos los proyectos cancelados y transferidos e incluidos los gastos de apoyo a los organismos, en su caso.</w:t>
      </w:r>
    </w:p>
    <w:p w14:paraId="516ED27B" w14:textId="52F44577" w:rsidR="00FF2809" w:rsidRPr="00C65475" w:rsidRDefault="00FF2809" w:rsidP="005C1769">
      <w:pPr>
        <w:ind w:left="-91" w:right="27"/>
        <w:rPr>
          <w:sz w:val="17"/>
          <w:szCs w:val="17"/>
        </w:rPr>
      </w:pPr>
      <w:r>
        <w:rPr>
          <w:sz w:val="17"/>
          <w:szCs w:val="17"/>
        </w:rPr>
        <w:t>** 37.778.524 toneladas equivalentes de dióxido de carbono aprobadas para su reducción y 1.606.380 toneladas equivalentes de dióxido de carbono reducidas.</w:t>
      </w:r>
    </w:p>
    <w:p w14:paraId="238D92AD" w14:textId="77777777" w:rsidR="00FF2809" w:rsidRPr="00C65475" w:rsidRDefault="00FF2809" w:rsidP="005C1769">
      <w:pPr>
        <w:ind w:left="1276" w:right="27"/>
        <w:rPr>
          <w:sz w:val="20"/>
          <w:szCs w:val="20"/>
        </w:rPr>
      </w:pPr>
    </w:p>
    <w:p w14:paraId="0940B019" w14:textId="2FB1A6E9" w:rsidR="00CA1473" w:rsidRPr="00C65475" w:rsidRDefault="00CA1473" w:rsidP="005C1769">
      <w:pPr>
        <w:pStyle w:val="Heading3"/>
        <w:widowControl/>
        <w:numPr>
          <w:ilvl w:val="2"/>
          <w:numId w:val="16"/>
        </w:numPr>
        <w:ind w:left="1276" w:right="27" w:firstLine="0"/>
        <w:rPr>
          <w:sz w:val="20"/>
          <w:szCs w:val="20"/>
        </w:rPr>
      </w:pPr>
      <w:r>
        <w:rPr>
          <w:sz w:val="20"/>
          <w:szCs w:val="20"/>
        </w:rPr>
        <w:t xml:space="preserve">La financiación total aprobada por el Comité Ejecutivo desde 1991 para lograr la eliminación de SAO y la reducción de los HFC asciende a USD 4.489.718.894, incluidos USD 470.639.717 en gastos de apoyo a los organismos (excluidos los proyectos cancelados y transferidos). Del total de fondos aprobados para proyectos, el cuadro 3 siguiente indica los montos asignados a los organismos bilaterales y a cada uno de los organismos de ejecución, y los montos desembolsados por los organismos mencionados.</w:t>
      </w:r>
    </w:p>
    <w:p w14:paraId="11B059DF" w14:textId="77777777" w:rsidR="00FF2809" w:rsidRPr="00C65475" w:rsidRDefault="003D2367" w:rsidP="005C1769">
      <w:pPr>
        <w:keepNext/>
        <w:ind w:left="709" w:right="27" w:firstLine="539"/>
        <w:rPr>
          <w:sz w:val="20"/>
          <w:szCs w:val="20"/>
        </w:rPr>
      </w:pPr>
      <w:r>
        <w:rPr>
          <w:sz w:val="20"/>
          <w:szCs w:val="20"/>
        </w:rPr>
        <w:t>Cuadro 3</w:t>
      </w:r>
    </w:p>
    <w:p w14:paraId="357468A0" w14:textId="77777777" w:rsidR="00FF2809" w:rsidRPr="00C65475" w:rsidRDefault="00FF2809" w:rsidP="003E74FF">
      <w:pPr>
        <w:keepNext/>
        <w:ind w:left="1260" w:right="27" w:hanging="12"/>
        <w:rPr>
          <w:b/>
          <w:bCs/>
          <w:sz w:val="20"/>
          <w:szCs w:val="20"/>
        </w:rPr>
      </w:pPr>
      <w:r>
        <w:rPr>
          <w:b/>
          <w:bCs/>
          <w:sz w:val="20"/>
          <w:szCs w:val="20"/>
        </w:rPr>
        <w:t>Fondos aprobados y desembolsados, por organismo, desde el comienzo del Fondo Multilateral</w:t>
      </w:r>
    </w:p>
    <w:tbl>
      <w:tblPr>
        <w:tblW w:w="4321" w:type="pct"/>
        <w:tblInd w:w="1271" w:type="dxa"/>
        <w:tblLayout w:type="fixed"/>
        <w:tblLook w:val="04A0" w:firstRow="1" w:lastRow="0" w:firstColumn="1" w:lastColumn="0" w:noHBand="0" w:noVBand="1"/>
      </w:tblPr>
      <w:tblGrid>
        <w:gridCol w:w="1562"/>
        <w:gridCol w:w="1858"/>
        <w:gridCol w:w="2186"/>
        <w:gridCol w:w="2186"/>
      </w:tblGrid>
      <w:tr w:rsidR="009A0A67" w:rsidRPr="00693B40" w14:paraId="557E72F2" w14:textId="77777777" w:rsidTr="00A55F03">
        <w:trPr>
          <w:trHeight w:val="292"/>
        </w:trPr>
        <w:tc>
          <w:tcPr>
            <w:tcW w:w="1002" w:type="pct"/>
            <w:tcBorders>
              <w:top w:val="single" w:sz="4" w:space="0" w:color="auto"/>
              <w:left w:val="single" w:sz="4" w:space="0" w:color="auto"/>
              <w:bottom w:val="single" w:sz="4" w:space="0" w:color="auto"/>
              <w:right w:val="single" w:sz="4" w:space="0" w:color="auto"/>
            </w:tcBorders>
            <w:noWrap/>
            <w:hideMark/>
          </w:tcPr>
          <w:p w14:paraId="4DDE86D5" w14:textId="77777777" w:rsidR="00FF2809" w:rsidRPr="00C65475" w:rsidRDefault="00FF2809" w:rsidP="005C1769">
            <w:pPr>
              <w:keepNext/>
              <w:ind w:right="27"/>
              <w:jc w:val="left"/>
              <w:rPr>
                <w:b/>
                <w:bCs/>
                <w:color w:val="000000"/>
                <w:sz w:val="20"/>
                <w:szCs w:val="20"/>
                <w:lang w:eastAsia="zh-CN"/>
              </w:rPr>
            </w:pPr>
            <w:r>
              <w:rPr>
                <w:b/>
                <w:bCs/>
                <w:color w:val="000000"/>
                <w:sz w:val="20"/>
                <w:szCs w:val="20"/>
              </w:rPr>
              <w:t>Organismo</w:t>
            </w:r>
          </w:p>
        </w:tc>
        <w:tc>
          <w:tcPr>
            <w:tcW w:w="1192" w:type="pct"/>
            <w:tcBorders>
              <w:top w:val="single" w:sz="4" w:space="0" w:color="auto"/>
              <w:left w:val="nil"/>
              <w:bottom w:val="single" w:sz="4" w:space="0" w:color="auto"/>
              <w:right w:val="single" w:sz="4" w:space="0" w:color="auto"/>
            </w:tcBorders>
            <w:noWrap/>
            <w:hideMark/>
          </w:tcPr>
          <w:p w14:paraId="6CE788DF" w14:textId="64D0450D" w:rsidR="00AE6018" w:rsidRPr="00C65475" w:rsidRDefault="00FF2809" w:rsidP="005C1769">
            <w:pPr>
              <w:keepNext/>
              <w:ind w:right="27"/>
              <w:jc w:val="center"/>
              <w:rPr>
                <w:b/>
                <w:bCs/>
                <w:color w:val="000000"/>
                <w:sz w:val="20"/>
                <w:szCs w:val="20"/>
                <w:lang w:eastAsia="zh-CN"/>
              </w:rPr>
            </w:pPr>
            <w:r>
              <w:rPr>
                <w:b/>
                <w:bCs/>
                <w:color w:val="000000"/>
                <w:sz w:val="20"/>
                <w:szCs w:val="20"/>
              </w:rPr>
              <w:t>Fondos aprobados*</w:t>
            </w:r>
          </w:p>
          <w:p w14:paraId="097AB7A5" w14:textId="77777777" w:rsidR="00FF2809" w:rsidRPr="00C65475" w:rsidRDefault="00FF2809" w:rsidP="005C1769">
            <w:pPr>
              <w:keepNext/>
              <w:ind w:right="27"/>
              <w:jc w:val="center"/>
              <w:rPr>
                <w:b/>
                <w:bCs/>
                <w:color w:val="000000"/>
                <w:sz w:val="20"/>
                <w:szCs w:val="20"/>
                <w:lang w:eastAsia="zh-CN"/>
              </w:rPr>
            </w:pPr>
            <w:r>
              <w:rPr>
                <w:b/>
                <w:bCs/>
                <w:color w:val="000000"/>
                <w:sz w:val="20"/>
                <w:szCs w:val="20"/>
              </w:rPr>
              <w:t>(USD)</w:t>
            </w:r>
          </w:p>
        </w:tc>
        <w:tc>
          <w:tcPr>
            <w:tcW w:w="1403" w:type="pct"/>
            <w:tcBorders>
              <w:top w:val="single" w:sz="4" w:space="0" w:color="auto"/>
              <w:left w:val="nil"/>
              <w:bottom w:val="single" w:sz="4" w:space="0" w:color="auto"/>
              <w:right w:val="single" w:sz="4" w:space="0" w:color="auto"/>
            </w:tcBorders>
            <w:hideMark/>
          </w:tcPr>
          <w:p w14:paraId="43E3E652" w14:textId="4D0B08AD" w:rsidR="00FF2809" w:rsidRPr="00C65475" w:rsidRDefault="00FF2809" w:rsidP="005C1769">
            <w:pPr>
              <w:keepNext/>
              <w:ind w:right="27"/>
              <w:jc w:val="center"/>
              <w:rPr>
                <w:b/>
                <w:bCs/>
                <w:color w:val="000000"/>
                <w:sz w:val="20"/>
                <w:szCs w:val="20"/>
                <w:lang w:eastAsia="zh-CN"/>
              </w:rPr>
            </w:pPr>
            <w:r>
              <w:rPr>
                <w:b/>
                <w:bCs/>
                <w:color w:val="000000"/>
                <w:sz w:val="20"/>
                <w:szCs w:val="20"/>
              </w:rPr>
              <w:t>Gastos de apoyo a los organismos* (USD)</w:t>
            </w:r>
          </w:p>
        </w:tc>
        <w:tc>
          <w:tcPr>
            <w:tcW w:w="1403" w:type="pct"/>
            <w:tcBorders>
              <w:top w:val="single" w:sz="4" w:space="0" w:color="auto"/>
              <w:left w:val="nil"/>
              <w:bottom w:val="single" w:sz="4" w:space="0" w:color="auto"/>
              <w:right w:val="single" w:sz="4" w:space="0" w:color="auto"/>
            </w:tcBorders>
            <w:noWrap/>
            <w:hideMark/>
          </w:tcPr>
          <w:p w14:paraId="1907A62B" w14:textId="77777777" w:rsidR="00FF2809" w:rsidRPr="00C65475" w:rsidRDefault="00FF2809" w:rsidP="005C1769">
            <w:pPr>
              <w:keepNext/>
              <w:ind w:right="27"/>
              <w:jc w:val="center"/>
              <w:rPr>
                <w:b/>
                <w:bCs/>
                <w:color w:val="000000"/>
                <w:sz w:val="20"/>
                <w:szCs w:val="20"/>
                <w:lang w:eastAsia="zh-CN"/>
              </w:rPr>
            </w:pPr>
            <w:r>
              <w:rPr>
                <w:b/>
                <w:bCs/>
                <w:color w:val="000000"/>
                <w:sz w:val="20"/>
                <w:szCs w:val="20"/>
              </w:rPr>
              <w:t>Fondos desembolsados** (USD)</w:t>
            </w:r>
          </w:p>
        </w:tc>
      </w:tr>
      <w:tr w:rsidR="004F4AEB" w:rsidRPr="00693B40" w14:paraId="516AC33A" w14:textId="77777777" w:rsidTr="005D7E27">
        <w:trPr>
          <w:trHeight w:val="80"/>
        </w:trPr>
        <w:tc>
          <w:tcPr>
            <w:tcW w:w="1002" w:type="pct"/>
            <w:tcBorders>
              <w:top w:val="nil"/>
              <w:left w:val="single" w:sz="4" w:space="0" w:color="auto"/>
              <w:bottom w:val="single" w:sz="4" w:space="0" w:color="auto"/>
              <w:right w:val="single" w:sz="4" w:space="0" w:color="auto"/>
            </w:tcBorders>
            <w:noWrap/>
            <w:vAlign w:val="bottom"/>
            <w:hideMark/>
          </w:tcPr>
          <w:p w14:paraId="6F0C9803" w14:textId="77777777" w:rsidR="004F4AEB" w:rsidRPr="00C65475" w:rsidRDefault="004F4AEB" w:rsidP="005C1769">
            <w:pPr>
              <w:keepNext/>
              <w:ind w:right="27"/>
              <w:jc w:val="left"/>
              <w:rPr>
                <w:color w:val="000000"/>
                <w:sz w:val="20"/>
                <w:szCs w:val="20"/>
                <w:lang w:eastAsia="zh-CN"/>
              </w:rPr>
            </w:pPr>
            <w:r>
              <w:rPr>
                <w:color w:val="000000"/>
                <w:sz w:val="20"/>
                <w:szCs w:val="20"/>
              </w:rPr>
              <w:t>Bilateral</w:t>
            </w:r>
          </w:p>
        </w:tc>
        <w:tc>
          <w:tcPr>
            <w:tcW w:w="1192" w:type="pct"/>
            <w:tcBorders>
              <w:top w:val="nil"/>
              <w:left w:val="nil"/>
              <w:bottom w:val="single" w:sz="4" w:space="0" w:color="auto"/>
              <w:right w:val="single" w:sz="4" w:space="0" w:color="auto"/>
            </w:tcBorders>
            <w:noWrap/>
            <w:vAlign w:val="bottom"/>
            <w:hideMark/>
          </w:tcPr>
          <w:p w14:paraId="51308CB8" w14:textId="3D7BC8D6" w:rsidR="004F4AEB" w:rsidRPr="00C65475" w:rsidRDefault="004F4AEB" w:rsidP="005C1769">
            <w:pPr>
              <w:keepNext/>
              <w:ind w:right="27"/>
              <w:jc w:val="right"/>
              <w:rPr>
                <w:i/>
                <w:iCs/>
                <w:color w:val="000000"/>
                <w:sz w:val="20"/>
                <w:szCs w:val="20"/>
                <w:lang w:eastAsia="zh-CN"/>
              </w:rPr>
            </w:pPr>
            <w:r>
              <w:rPr>
                <w:color w:val="000000"/>
                <w:sz w:val="20"/>
                <w:szCs w:val="20"/>
              </w:rPr>
              <w:t>186.007.889</w:t>
            </w:r>
          </w:p>
        </w:tc>
        <w:tc>
          <w:tcPr>
            <w:tcW w:w="1403" w:type="pct"/>
            <w:tcBorders>
              <w:top w:val="nil"/>
              <w:left w:val="nil"/>
              <w:bottom w:val="single" w:sz="4" w:space="0" w:color="auto"/>
              <w:right w:val="single" w:sz="4" w:space="0" w:color="auto"/>
            </w:tcBorders>
            <w:noWrap/>
            <w:vAlign w:val="bottom"/>
            <w:hideMark/>
          </w:tcPr>
          <w:p w14:paraId="4E9362C2" w14:textId="354D5F09" w:rsidR="004F4AEB" w:rsidRPr="00C65475" w:rsidRDefault="004F4AEB" w:rsidP="005C1769">
            <w:pPr>
              <w:keepNext/>
              <w:ind w:right="27"/>
              <w:jc w:val="right"/>
              <w:rPr>
                <w:i/>
                <w:iCs/>
                <w:color w:val="000000"/>
                <w:sz w:val="20"/>
                <w:szCs w:val="20"/>
                <w:lang w:eastAsia="zh-CN"/>
              </w:rPr>
            </w:pPr>
            <w:r>
              <w:rPr>
                <w:color w:val="000000"/>
                <w:sz w:val="20"/>
                <w:szCs w:val="20"/>
              </w:rPr>
              <w:t>18.364.340</w:t>
            </w:r>
          </w:p>
        </w:tc>
        <w:tc>
          <w:tcPr>
            <w:tcW w:w="1403" w:type="pct"/>
            <w:tcBorders>
              <w:top w:val="nil"/>
              <w:left w:val="nil"/>
              <w:bottom w:val="single" w:sz="4" w:space="0" w:color="auto"/>
              <w:right w:val="single" w:sz="4" w:space="0" w:color="auto"/>
            </w:tcBorders>
            <w:noWrap/>
            <w:vAlign w:val="bottom"/>
          </w:tcPr>
          <w:p w14:paraId="0740863F" w14:textId="28A33C9E" w:rsidR="004F4AEB" w:rsidRPr="00693B40" w:rsidRDefault="004F4AEB" w:rsidP="005C1769">
            <w:pPr>
              <w:keepNext/>
              <w:ind w:right="27"/>
              <w:jc w:val="right"/>
              <w:rPr>
                <w:sz w:val="20"/>
                <w:szCs w:val="20"/>
              </w:rPr>
            </w:pPr>
            <w:r>
              <w:rPr>
                <w:color w:val="000000"/>
                <w:sz w:val="20"/>
                <w:szCs w:val="20"/>
              </w:rPr>
              <w:t>178.092.744</w:t>
            </w:r>
          </w:p>
        </w:tc>
      </w:tr>
      <w:tr w:rsidR="004F4AEB" w:rsidRPr="00693B40" w14:paraId="27423601" w14:textId="77777777" w:rsidTr="005D7E27">
        <w:trPr>
          <w:trHeight w:val="107"/>
        </w:trPr>
        <w:tc>
          <w:tcPr>
            <w:tcW w:w="1002" w:type="pct"/>
            <w:tcBorders>
              <w:top w:val="nil"/>
              <w:left w:val="single" w:sz="4" w:space="0" w:color="auto"/>
              <w:bottom w:val="single" w:sz="4" w:space="0" w:color="auto"/>
              <w:right w:val="single" w:sz="4" w:space="0" w:color="auto"/>
            </w:tcBorders>
            <w:noWrap/>
            <w:vAlign w:val="bottom"/>
            <w:hideMark/>
          </w:tcPr>
          <w:p w14:paraId="07D06596" w14:textId="77777777" w:rsidR="004F4AEB" w:rsidRPr="00C65475" w:rsidRDefault="004F4AEB" w:rsidP="005C1769">
            <w:pPr>
              <w:keepNext/>
              <w:ind w:right="27"/>
              <w:jc w:val="left"/>
              <w:rPr>
                <w:color w:val="000000"/>
                <w:sz w:val="20"/>
                <w:szCs w:val="20"/>
                <w:lang w:eastAsia="zh-CN"/>
              </w:rPr>
            </w:pPr>
            <w:r>
              <w:rPr>
                <w:color w:val="000000"/>
                <w:sz w:val="20"/>
                <w:szCs w:val="20"/>
              </w:rPr>
              <w:t>PNUD</w:t>
            </w:r>
          </w:p>
        </w:tc>
        <w:tc>
          <w:tcPr>
            <w:tcW w:w="1192" w:type="pct"/>
            <w:tcBorders>
              <w:top w:val="nil"/>
              <w:left w:val="nil"/>
              <w:bottom w:val="single" w:sz="4" w:space="0" w:color="auto"/>
              <w:right w:val="single" w:sz="4" w:space="0" w:color="auto"/>
            </w:tcBorders>
            <w:noWrap/>
            <w:vAlign w:val="bottom"/>
            <w:hideMark/>
          </w:tcPr>
          <w:p w14:paraId="60D5D2FA" w14:textId="7CACF1CC" w:rsidR="004F4AEB" w:rsidRPr="00C65475" w:rsidRDefault="004F4AEB" w:rsidP="005C1769">
            <w:pPr>
              <w:keepNext/>
              <w:ind w:right="27"/>
              <w:jc w:val="right"/>
              <w:rPr>
                <w:i/>
                <w:iCs/>
                <w:color w:val="000000"/>
                <w:sz w:val="20"/>
                <w:szCs w:val="20"/>
                <w:lang w:eastAsia="zh-CN"/>
              </w:rPr>
            </w:pPr>
            <w:r>
              <w:rPr>
                <w:color w:val="000000"/>
                <w:sz w:val="20"/>
                <w:szCs w:val="20"/>
              </w:rPr>
              <w:t>1.029.007.660</w:t>
            </w:r>
          </w:p>
        </w:tc>
        <w:tc>
          <w:tcPr>
            <w:tcW w:w="1403" w:type="pct"/>
            <w:tcBorders>
              <w:top w:val="nil"/>
              <w:left w:val="nil"/>
              <w:bottom w:val="single" w:sz="4" w:space="0" w:color="auto"/>
              <w:right w:val="single" w:sz="4" w:space="0" w:color="auto"/>
            </w:tcBorders>
            <w:noWrap/>
            <w:vAlign w:val="bottom"/>
            <w:hideMark/>
          </w:tcPr>
          <w:p w14:paraId="060BB676" w14:textId="74131708" w:rsidR="004F4AEB" w:rsidRPr="00C65475" w:rsidRDefault="004F4AEB" w:rsidP="005C1769">
            <w:pPr>
              <w:keepNext/>
              <w:ind w:right="27"/>
              <w:jc w:val="right"/>
              <w:rPr>
                <w:i/>
                <w:iCs/>
                <w:color w:val="000000"/>
                <w:sz w:val="20"/>
                <w:szCs w:val="20"/>
                <w:lang w:eastAsia="zh-CN"/>
              </w:rPr>
            </w:pPr>
            <w:r>
              <w:rPr>
                <w:color w:val="000000"/>
                <w:sz w:val="20"/>
                <w:szCs w:val="20"/>
              </w:rPr>
              <w:t>140.421.986</w:t>
            </w:r>
          </w:p>
        </w:tc>
        <w:tc>
          <w:tcPr>
            <w:tcW w:w="1403" w:type="pct"/>
            <w:tcBorders>
              <w:top w:val="nil"/>
              <w:left w:val="nil"/>
              <w:bottom w:val="single" w:sz="4" w:space="0" w:color="auto"/>
              <w:right w:val="single" w:sz="4" w:space="0" w:color="auto"/>
            </w:tcBorders>
            <w:noWrap/>
            <w:vAlign w:val="bottom"/>
          </w:tcPr>
          <w:p w14:paraId="0A638717" w14:textId="6376F08E" w:rsidR="004F4AEB" w:rsidRPr="00693B40" w:rsidRDefault="004F4AEB" w:rsidP="005C1769">
            <w:pPr>
              <w:keepNext/>
              <w:ind w:right="27"/>
              <w:jc w:val="right"/>
              <w:rPr>
                <w:sz w:val="20"/>
                <w:szCs w:val="20"/>
              </w:rPr>
            </w:pPr>
            <w:r>
              <w:rPr>
                <w:color w:val="000000"/>
                <w:sz w:val="20"/>
                <w:szCs w:val="20"/>
              </w:rPr>
              <w:t>1.006.760.239</w:t>
            </w:r>
          </w:p>
        </w:tc>
      </w:tr>
      <w:tr w:rsidR="004F4AEB" w:rsidRPr="00693B40" w14:paraId="1AD59EBE" w14:textId="77777777" w:rsidTr="005D7E27">
        <w:trPr>
          <w:trHeight w:val="143"/>
        </w:trPr>
        <w:tc>
          <w:tcPr>
            <w:tcW w:w="1002" w:type="pct"/>
            <w:tcBorders>
              <w:top w:val="nil"/>
              <w:left w:val="single" w:sz="4" w:space="0" w:color="auto"/>
              <w:bottom w:val="single" w:sz="4" w:space="0" w:color="auto"/>
              <w:right w:val="single" w:sz="4" w:space="0" w:color="auto"/>
            </w:tcBorders>
            <w:noWrap/>
            <w:vAlign w:val="bottom"/>
            <w:hideMark/>
          </w:tcPr>
          <w:p w14:paraId="321E8421" w14:textId="77777777" w:rsidR="004F4AEB" w:rsidRPr="00C65475" w:rsidRDefault="004F4AEB" w:rsidP="005C1769">
            <w:pPr>
              <w:keepNext/>
              <w:ind w:right="27"/>
              <w:jc w:val="left"/>
              <w:rPr>
                <w:color w:val="000000"/>
                <w:sz w:val="20"/>
                <w:szCs w:val="20"/>
                <w:lang w:eastAsia="zh-CN"/>
              </w:rPr>
            </w:pPr>
            <w:r>
              <w:rPr>
                <w:color w:val="000000"/>
                <w:sz w:val="20"/>
                <w:szCs w:val="20"/>
              </w:rPr>
              <w:t>PNUMA</w:t>
            </w:r>
          </w:p>
        </w:tc>
        <w:tc>
          <w:tcPr>
            <w:tcW w:w="1192" w:type="pct"/>
            <w:tcBorders>
              <w:top w:val="nil"/>
              <w:left w:val="nil"/>
              <w:bottom w:val="single" w:sz="4" w:space="0" w:color="auto"/>
              <w:right w:val="single" w:sz="4" w:space="0" w:color="auto"/>
            </w:tcBorders>
            <w:noWrap/>
            <w:vAlign w:val="bottom"/>
            <w:hideMark/>
          </w:tcPr>
          <w:p w14:paraId="57BFAF91" w14:textId="6B86FF78" w:rsidR="004F4AEB" w:rsidRPr="00C65475" w:rsidRDefault="004F4AEB" w:rsidP="005C1769">
            <w:pPr>
              <w:keepNext/>
              <w:ind w:right="27"/>
              <w:jc w:val="right"/>
              <w:rPr>
                <w:i/>
                <w:iCs/>
                <w:color w:val="000000"/>
                <w:sz w:val="20"/>
                <w:szCs w:val="20"/>
                <w:lang w:eastAsia="zh-CN"/>
              </w:rPr>
            </w:pPr>
            <w:r>
              <w:rPr>
                <w:color w:val="000000"/>
                <w:sz w:val="20"/>
                <w:szCs w:val="20"/>
              </w:rPr>
              <w:t>489.196.550</w:t>
            </w:r>
          </w:p>
        </w:tc>
        <w:tc>
          <w:tcPr>
            <w:tcW w:w="1403" w:type="pct"/>
            <w:tcBorders>
              <w:top w:val="nil"/>
              <w:left w:val="nil"/>
              <w:bottom w:val="single" w:sz="4" w:space="0" w:color="auto"/>
              <w:right w:val="single" w:sz="4" w:space="0" w:color="auto"/>
            </w:tcBorders>
            <w:noWrap/>
            <w:vAlign w:val="bottom"/>
            <w:hideMark/>
          </w:tcPr>
          <w:p w14:paraId="6FBF35C0" w14:textId="5F1F36F8" w:rsidR="004F4AEB" w:rsidRPr="00C65475" w:rsidRDefault="004F4AEB" w:rsidP="005C1769">
            <w:pPr>
              <w:keepNext/>
              <w:ind w:right="27"/>
              <w:jc w:val="right"/>
              <w:rPr>
                <w:i/>
                <w:iCs/>
                <w:color w:val="000000"/>
                <w:sz w:val="20"/>
                <w:szCs w:val="20"/>
                <w:lang w:eastAsia="zh-CN"/>
              </w:rPr>
            </w:pPr>
            <w:r>
              <w:rPr>
                <w:color w:val="000000"/>
                <w:sz w:val="20"/>
                <w:szCs w:val="20"/>
              </w:rPr>
              <w:t>40.043.894</w:t>
            </w:r>
          </w:p>
        </w:tc>
        <w:tc>
          <w:tcPr>
            <w:tcW w:w="1403" w:type="pct"/>
            <w:tcBorders>
              <w:top w:val="nil"/>
              <w:left w:val="nil"/>
              <w:bottom w:val="single" w:sz="4" w:space="0" w:color="auto"/>
              <w:right w:val="single" w:sz="4" w:space="0" w:color="auto"/>
            </w:tcBorders>
            <w:noWrap/>
            <w:vAlign w:val="bottom"/>
          </w:tcPr>
          <w:p w14:paraId="157DEC0E" w14:textId="4B8CA3BB" w:rsidR="004F4AEB" w:rsidRPr="00693B40" w:rsidRDefault="004F4AEB" w:rsidP="005C1769">
            <w:pPr>
              <w:keepNext/>
              <w:ind w:right="27"/>
              <w:jc w:val="right"/>
              <w:rPr>
                <w:sz w:val="20"/>
                <w:szCs w:val="20"/>
              </w:rPr>
            </w:pPr>
            <w:r>
              <w:rPr>
                <w:color w:val="000000"/>
                <w:sz w:val="20"/>
                <w:szCs w:val="20"/>
              </w:rPr>
              <w:t>420.903.713</w:t>
            </w:r>
          </w:p>
        </w:tc>
      </w:tr>
      <w:tr w:rsidR="004F4AEB" w:rsidRPr="00693B40" w14:paraId="1D727EA0" w14:textId="77777777" w:rsidTr="005D7E27">
        <w:trPr>
          <w:trHeight w:val="170"/>
        </w:trPr>
        <w:tc>
          <w:tcPr>
            <w:tcW w:w="1002" w:type="pct"/>
            <w:tcBorders>
              <w:top w:val="nil"/>
              <w:left w:val="single" w:sz="4" w:space="0" w:color="auto"/>
              <w:bottom w:val="single" w:sz="4" w:space="0" w:color="auto"/>
              <w:right w:val="single" w:sz="4" w:space="0" w:color="auto"/>
            </w:tcBorders>
            <w:noWrap/>
            <w:vAlign w:val="bottom"/>
            <w:hideMark/>
          </w:tcPr>
          <w:p w14:paraId="1037A7B5" w14:textId="77777777" w:rsidR="004F4AEB" w:rsidRPr="00C65475" w:rsidRDefault="004F4AEB" w:rsidP="005C1769">
            <w:pPr>
              <w:keepNext/>
              <w:ind w:right="27"/>
              <w:jc w:val="left"/>
              <w:rPr>
                <w:color w:val="000000"/>
                <w:sz w:val="20"/>
                <w:szCs w:val="20"/>
                <w:lang w:eastAsia="zh-CN"/>
              </w:rPr>
            </w:pPr>
            <w:r>
              <w:rPr>
                <w:color w:val="000000"/>
                <w:sz w:val="20"/>
                <w:szCs w:val="20"/>
              </w:rPr>
              <w:t>ONUDI</w:t>
            </w:r>
          </w:p>
        </w:tc>
        <w:tc>
          <w:tcPr>
            <w:tcW w:w="1192" w:type="pct"/>
            <w:tcBorders>
              <w:top w:val="nil"/>
              <w:left w:val="nil"/>
              <w:bottom w:val="single" w:sz="4" w:space="0" w:color="auto"/>
              <w:right w:val="single" w:sz="4" w:space="0" w:color="auto"/>
            </w:tcBorders>
            <w:noWrap/>
            <w:vAlign w:val="bottom"/>
            <w:hideMark/>
          </w:tcPr>
          <w:p w14:paraId="42298593" w14:textId="6D721C64" w:rsidR="004F4AEB" w:rsidRPr="00C65475" w:rsidRDefault="004F4AEB" w:rsidP="005C1769">
            <w:pPr>
              <w:keepNext/>
              <w:ind w:right="27"/>
              <w:jc w:val="right"/>
              <w:rPr>
                <w:i/>
                <w:iCs/>
                <w:color w:val="000000"/>
                <w:sz w:val="20"/>
                <w:szCs w:val="20"/>
                <w:lang w:eastAsia="zh-CN"/>
              </w:rPr>
            </w:pPr>
            <w:r>
              <w:rPr>
                <w:color w:val="000000"/>
                <w:sz w:val="20"/>
                <w:szCs w:val="20"/>
              </w:rPr>
              <w:t>1.047.809.243</w:t>
            </w:r>
          </w:p>
        </w:tc>
        <w:tc>
          <w:tcPr>
            <w:tcW w:w="1403" w:type="pct"/>
            <w:tcBorders>
              <w:top w:val="nil"/>
              <w:left w:val="nil"/>
              <w:bottom w:val="single" w:sz="4" w:space="0" w:color="auto"/>
              <w:right w:val="single" w:sz="4" w:space="0" w:color="auto"/>
            </w:tcBorders>
            <w:noWrap/>
            <w:vAlign w:val="bottom"/>
            <w:hideMark/>
          </w:tcPr>
          <w:p w14:paraId="4DF6226E" w14:textId="4DB811E7" w:rsidR="004F4AEB" w:rsidRPr="00C65475" w:rsidRDefault="004F4AEB" w:rsidP="005C1769">
            <w:pPr>
              <w:keepNext/>
              <w:ind w:right="27"/>
              <w:jc w:val="right"/>
              <w:rPr>
                <w:i/>
                <w:iCs/>
                <w:color w:val="000000"/>
                <w:sz w:val="20"/>
                <w:szCs w:val="20"/>
                <w:lang w:eastAsia="zh-CN"/>
              </w:rPr>
            </w:pPr>
            <w:r>
              <w:rPr>
                <w:color w:val="000000"/>
                <w:sz w:val="20"/>
                <w:szCs w:val="20"/>
              </w:rPr>
              <w:t>136.339.199</w:t>
            </w:r>
          </w:p>
        </w:tc>
        <w:tc>
          <w:tcPr>
            <w:tcW w:w="1403" w:type="pct"/>
            <w:tcBorders>
              <w:top w:val="nil"/>
              <w:left w:val="nil"/>
              <w:bottom w:val="single" w:sz="4" w:space="0" w:color="auto"/>
              <w:right w:val="single" w:sz="4" w:space="0" w:color="auto"/>
            </w:tcBorders>
            <w:noWrap/>
            <w:vAlign w:val="bottom"/>
          </w:tcPr>
          <w:p w14:paraId="7693C17B" w14:textId="2993A236" w:rsidR="004F4AEB" w:rsidRPr="00693B40" w:rsidRDefault="004F4AEB" w:rsidP="005C1769">
            <w:pPr>
              <w:keepNext/>
              <w:ind w:right="27"/>
              <w:jc w:val="right"/>
              <w:rPr>
                <w:sz w:val="20"/>
                <w:szCs w:val="20"/>
              </w:rPr>
            </w:pPr>
            <w:r>
              <w:rPr>
                <w:color w:val="000000"/>
                <w:sz w:val="20"/>
                <w:szCs w:val="20"/>
              </w:rPr>
              <w:t>980.153.720</w:t>
            </w:r>
          </w:p>
        </w:tc>
      </w:tr>
      <w:tr w:rsidR="004F4AEB" w:rsidRPr="00693B40" w14:paraId="74F99674" w14:textId="77777777" w:rsidTr="005D7E27">
        <w:trPr>
          <w:trHeight w:val="116"/>
        </w:trPr>
        <w:tc>
          <w:tcPr>
            <w:tcW w:w="1002" w:type="pct"/>
            <w:tcBorders>
              <w:top w:val="nil"/>
              <w:left w:val="single" w:sz="4" w:space="0" w:color="auto"/>
              <w:bottom w:val="single" w:sz="4" w:space="0" w:color="auto"/>
              <w:right w:val="single" w:sz="4" w:space="0" w:color="auto"/>
            </w:tcBorders>
            <w:noWrap/>
            <w:vAlign w:val="bottom"/>
            <w:hideMark/>
          </w:tcPr>
          <w:p w14:paraId="4C708C2D" w14:textId="77777777" w:rsidR="004F4AEB" w:rsidRPr="00C65475" w:rsidRDefault="004F4AEB" w:rsidP="005C1769">
            <w:pPr>
              <w:keepNext/>
              <w:ind w:right="27"/>
              <w:jc w:val="left"/>
              <w:rPr>
                <w:color w:val="000000"/>
                <w:sz w:val="20"/>
                <w:szCs w:val="20"/>
                <w:lang w:eastAsia="zh-CN"/>
              </w:rPr>
            </w:pPr>
            <w:r>
              <w:rPr>
                <w:color w:val="000000"/>
                <w:sz w:val="20"/>
                <w:szCs w:val="20"/>
              </w:rPr>
              <w:t>Banco Mundial</w:t>
            </w:r>
          </w:p>
        </w:tc>
        <w:tc>
          <w:tcPr>
            <w:tcW w:w="1192" w:type="pct"/>
            <w:tcBorders>
              <w:top w:val="nil"/>
              <w:left w:val="nil"/>
              <w:bottom w:val="single" w:sz="4" w:space="0" w:color="auto"/>
              <w:right w:val="single" w:sz="4" w:space="0" w:color="auto"/>
            </w:tcBorders>
            <w:noWrap/>
            <w:vAlign w:val="bottom"/>
            <w:hideMark/>
          </w:tcPr>
          <w:p w14:paraId="14BE8234" w14:textId="1FC2BC8C" w:rsidR="004F4AEB" w:rsidRPr="00C65475" w:rsidRDefault="004F4AEB" w:rsidP="005C1769">
            <w:pPr>
              <w:keepNext/>
              <w:ind w:right="27"/>
              <w:jc w:val="right"/>
              <w:rPr>
                <w:i/>
                <w:iCs/>
                <w:color w:val="000000"/>
                <w:sz w:val="20"/>
                <w:szCs w:val="20"/>
                <w:lang w:eastAsia="zh-CN"/>
              </w:rPr>
            </w:pPr>
            <w:r>
              <w:rPr>
                <w:color w:val="000000"/>
                <w:sz w:val="20"/>
                <w:szCs w:val="20"/>
              </w:rPr>
              <w:t>1.267.057.836</w:t>
            </w:r>
          </w:p>
        </w:tc>
        <w:tc>
          <w:tcPr>
            <w:tcW w:w="1403" w:type="pct"/>
            <w:tcBorders>
              <w:top w:val="nil"/>
              <w:left w:val="nil"/>
              <w:bottom w:val="single" w:sz="4" w:space="0" w:color="auto"/>
              <w:right w:val="single" w:sz="4" w:space="0" w:color="auto"/>
            </w:tcBorders>
            <w:noWrap/>
            <w:vAlign w:val="bottom"/>
            <w:hideMark/>
          </w:tcPr>
          <w:p w14:paraId="6B95AEEC" w14:textId="0CC812EA" w:rsidR="004F4AEB" w:rsidRPr="00C65475" w:rsidRDefault="004F4AEB" w:rsidP="005C1769">
            <w:pPr>
              <w:keepNext/>
              <w:ind w:right="27"/>
              <w:jc w:val="right"/>
              <w:rPr>
                <w:i/>
                <w:iCs/>
                <w:color w:val="000000"/>
                <w:sz w:val="20"/>
                <w:szCs w:val="20"/>
                <w:lang w:eastAsia="zh-CN"/>
              </w:rPr>
            </w:pPr>
            <w:r>
              <w:rPr>
                <w:color w:val="000000"/>
                <w:sz w:val="20"/>
                <w:szCs w:val="20"/>
              </w:rPr>
              <w:t>135.470.297</w:t>
            </w:r>
          </w:p>
        </w:tc>
        <w:tc>
          <w:tcPr>
            <w:tcW w:w="1403" w:type="pct"/>
            <w:tcBorders>
              <w:top w:val="nil"/>
              <w:left w:val="nil"/>
              <w:bottom w:val="single" w:sz="4" w:space="0" w:color="auto"/>
              <w:right w:val="single" w:sz="4" w:space="0" w:color="auto"/>
            </w:tcBorders>
            <w:noWrap/>
            <w:vAlign w:val="bottom"/>
          </w:tcPr>
          <w:p w14:paraId="6864901D" w14:textId="728A5C7E" w:rsidR="004F4AEB" w:rsidRPr="00693B40" w:rsidRDefault="004F4AEB" w:rsidP="005C1769">
            <w:pPr>
              <w:keepNext/>
              <w:ind w:right="27"/>
              <w:jc w:val="right"/>
              <w:rPr>
                <w:sz w:val="20"/>
                <w:szCs w:val="20"/>
              </w:rPr>
            </w:pPr>
            <w:r>
              <w:rPr>
                <w:color w:val="000000"/>
                <w:sz w:val="20"/>
                <w:szCs w:val="20"/>
              </w:rPr>
              <w:t>1.315.537.916</w:t>
            </w:r>
          </w:p>
        </w:tc>
      </w:tr>
      <w:tr w:rsidR="004F4AEB" w:rsidRPr="00693B40" w14:paraId="33049307" w14:textId="77777777" w:rsidTr="005D7E27">
        <w:trPr>
          <w:trHeight w:val="143"/>
        </w:trPr>
        <w:tc>
          <w:tcPr>
            <w:tcW w:w="1002" w:type="pct"/>
            <w:tcBorders>
              <w:top w:val="nil"/>
              <w:left w:val="single" w:sz="4" w:space="0" w:color="auto"/>
              <w:bottom w:val="single" w:sz="4" w:space="0" w:color="auto"/>
              <w:right w:val="single" w:sz="4" w:space="0" w:color="auto"/>
            </w:tcBorders>
            <w:noWrap/>
            <w:vAlign w:val="bottom"/>
            <w:hideMark/>
          </w:tcPr>
          <w:p w14:paraId="260DCBE4" w14:textId="77777777" w:rsidR="004F4AEB" w:rsidRPr="00C65475" w:rsidRDefault="004F4AEB" w:rsidP="005C1769">
            <w:pPr>
              <w:keepNext/>
              <w:ind w:right="27"/>
              <w:jc w:val="left"/>
              <w:rPr>
                <w:b/>
                <w:bCs/>
                <w:color w:val="000000"/>
                <w:sz w:val="20"/>
                <w:szCs w:val="20"/>
                <w:lang w:eastAsia="zh-CN"/>
              </w:rPr>
            </w:pPr>
            <w:r>
              <w:rPr>
                <w:b/>
                <w:bCs/>
                <w:color w:val="000000"/>
                <w:sz w:val="20"/>
                <w:szCs w:val="20"/>
              </w:rPr>
              <w:t>Total</w:t>
            </w:r>
          </w:p>
        </w:tc>
        <w:tc>
          <w:tcPr>
            <w:tcW w:w="1192" w:type="pct"/>
            <w:tcBorders>
              <w:top w:val="nil"/>
              <w:left w:val="nil"/>
              <w:bottom w:val="single" w:sz="4" w:space="0" w:color="auto"/>
              <w:right w:val="single" w:sz="4" w:space="0" w:color="auto"/>
            </w:tcBorders>
            <w:noWrap/>
            <w:vAlign w:val="bottom"/>
            <w:hideMark/>
          </w:tcPr>
          <w:p w14:paraId="7A53A518" w14:textId="410B4489" w:rsidR="004F4AEB" w:rsidRPr="00C65475" w:rsidRDefault="004F4AEB" w:rsidP="005C1769">
            <w:pPr>
              <w:keepNext/>
              <w:ind w:right="27"/>
              <w:jc w:val="right"/>
              <w:rPr>
                <w:b/>
                <w:bCs/>
                <w:i/>
                <w:iCs/>
                <w:color w:val="000000"/>
                <w:sz w:val="20"/>
                <w:szCs w:val="20"/>
                <w:lang w:eastAsia="zh-CN"/>
              </w:rPr>
            </w:pPr>
            <w:r>
              <w:rPr>
                <w:b/>
                <w:bCs/>
                <w:color w:val="000000"/>
                <w:sz w:val="20"/>
                <w:szCs w:val="20"/>
              </w:rPr>
              <w:t>4.019.079.178</w:t>
            </w:r>
          </w:p>
        </w:tc>
        <w:tc>
          <w:tcPr>
            <w:tcW w:w="1403" w:type="pct"/>
            <w:tcBorders>
              <w:top w:val="nil"/>
              <w:left w:val="nil"/>
              <w:bottom w:val="single" w:sz="4" w:space="0" w:color="auto"/>
              <w:right w:val="single" w:sz="4" w:space="0" w:color="auto"/>
            </w:tcBorders>
            <w:noWrap/>
            <w:vAlign w:val="bottom"/>
            <w:hideMark/>
          </w:tcPr>
          <w:p w14:paraId="75F17D8E" w14:textId="685111DC" w:rsidR="004F4AEB" w:rsidRPr="00C65475" w:rsidRDefault="004F4AEB" w:rsidP="005C1769">
            <w:pPr>
              <w:keepNext/>
              <w:ind w:right="27"/>
              <w:jc w:val="right"/>
              <w:rPr>
                <w:b/>
                <w:bCs/>
                <w:i/>
                <w:iCs/>
                <w:color w:val="000000"/>
                <w:sz w:val="20"/>
                <w:szCs w:val="20"/>
                <w:lang w:eastAsia="zh-CN"/>
              </w:rPr>
            </w:pPr>
            <w:r>
              <w:rPr>
                <w:b/>
                <w:bCs/>
                <w:color w:val="000000"/>
                <w:sz w:val="20"/>
                <w:szCs w:val="20"/>
              </w:rPr>
              <w:t>470.639.717</w:t>
            </w:r>
          </w:p>
        </w:tc>
        <w:tc>
          <w:tcPr>
            <w:tcW w:w="1403" w:type="pct"/>
            <w:tcBorders>
              <w:top w:val="nil"/>
              <w:left w:val="nil"/>
              <w:bottom w:val="single" w:sz="4" w:space="0" w:color="auto"/>
              <w:right w:val="single" w:sz="4" w:space="0" w:color="auto"/>
            </w:tcBorders>
            <w:noWrap/>
            <w:vAlign w:val="bottom"/>
          </w:tcPr>
          <w:p w14:paraId="4C6AA9E5" w14:textId="092719D0" w:rsidR="004F4AEB" w:rsidRPr="00693B40" w:rsidRDefault="004F4AEB" w:rsidP="005C1769">
            <w:pPr>
              <w:keepNext/>
              <w:ind w:right="27"/>
              <w:jc w:val="right"/>
              <w:rPr>
                <w:b/>
                <w:bCs/>
                <w:sz w:val="20"/>
                <w:szCs w:val="20"/>
              </w:rPr>
            </w:pPr>
            <w:r>
              <w:rPr>
                <w:b/>
                <w:bCs/>
                <w:color w:val="000000"/>
                <w:sz w:val="20"/>
                <w:szCs w:val="20"/>
              </w:rPr>
              <w:t>3.901.448.332</w:t>
            </w:r>
          </w:p>
        </w:tc>
      </w:tr>
    </w:tbl>
    <w:p w14:paraId="51894F68" w14:textId="1045E514" w:rsidR="00FF2809" w:rsidRPr="00C65475" w:rsidRDefault="00FF2809" w:rsidP="005C1769">
      <w:pPr>
        <w:pStyle w:val="CM28"/>
        <w:keepNext/>
        <w:widowControl/>
        <w:spacing w:after="0"/>
        <w:ind w:left="1276" w:right="27"/>
        <w:rPr>
          <w:sz w:val="20"/>
          <w:szCs w:val="20"/>
        </w:rPr>
      </w:pPr>
      <w:r>
        <w:rPr>
          <w:sz w:val="20"/>
          <w:szCs w:val="20"/>
        </w:rPr>
        <w:t>* A fecha de 4 de septiembre de 2026 (excluidos los proyectos cancelados y los proyectos transferidos).</w:t>
      </w:r>
    </w:p>
    <w:p w14:paraId="1BB816C9" w14:textId="3A2F2F43" w:rsidR="00FF2809" w:rsidRPr="00C65475" w:rsidRDefault="00FF2809" w:rsidP="005C1769">
      <w:pPr>
        <w:pStyle w:val="CM28"/>
        <w:widowControl/>
        <w:spacing w:after="240"/>
        <w:ind w:left="1276" w:right="27"/>
        <w:rPr>
          <w:sz w:val="20"/>
          <w:szCs w:val="20"/>
        </w:rPr>
      </w:pPr>
      <w:r>
        <w:rPr>
          <w:sz w:val="20"/>
          <w:szCs w:val="20"/>
        </w:rPr>
        <w:t>** A fecha de 31 de diciembre de 2024 (excluidos los proyectos cancelados y los proyectos transferidos).</w:t>
      </w:r>
    </w:p>
    <w:p w14:paraId="004ED3DF" w14:textId="77777777" w:rsidR="001659A2" w:rsidRPr="00C65475" w:rsidRDefault="001659A2" w:rsidP="005C1769">
      <w:pPr>
        <w:pStyle w:val="PlantillaESCH1"/>
        <w:keepNext w:val="0"/>
        <w:keepLines w:val="0"/>
        <w:tabs>
          <w:tab w:val="clear" w:pos="851"/>
          <w:tab w:val="clear" w:pos="1247"/>
          <w:tab w:val="left" w:pos="1253"/>
        </w:tabs>
        <w:spacing w:before="0" w:after="0" w:line="20" w:lineRule="exact"/>
        <w:ind w:right="27"/>
        <w:rPr>
          <w:lang w:val="es-ES"/>
        </w:rPr>
      </w:pPr>
    </w:p>
    <w:p w14:paraId="6B22C3FD" w14:textId="77777777" w:rsidR="001659A2" w:rsidRPr="00C65475" w:rsidRDefault="001659A2" w:rsidP="005C1769">
      <w:pPr>
        <w:spacing w:line="20" w:lineRule="exact"/>
        <w:ind w:right="27"/>
        <w:jc w:val="left"/>
        <w:rPr>
          <w:b/>
          <w:sz w:val="28"/>
          <w:szCs w:val="28"/>
        </w:rPr>
      </w:pPr>
      <w:r>
        <w:br w:type="page"/>
      </w:r>
    </w:p>
    <w:p w14:paraId="2FC5A0AC" w14:textId="77777777" w:rsidR="00136C74" w:rsidRPr="00C65475" w:rsidRDefault="00136C74" w:rsidP="005C1769">
      <w:pPr>
        <w:pStyle w:val="PlantillaESCH1"/>
        <w:keepLines w:val="0"/>
        <w:tabs>
          <w:tab w:val="clear" w:pos="851"/>
          <w:tab w:val="clear" w:pos="1247"/>
          <w:tab w:val="left" w:pos="1253"/>
        </w:tabs>
        <w:ind w:right="27"/>
        <w:rPr>
          <w:lang w:val="es-ES"/>
        </w:rPr>
      </w:pPr>
      <w:r>
        <w:rPr>
          <w:lang w:val="es-ES"/>
        </w:rPr>
        <w:lastRenderedPageBreak/>
        <w:t>ANEXO</w:t>
      </w:r>
    </w:p>
    <w:p w14:paraId="4BB1AD97" w14:textId="27B974B7" w:rsidR="00616680" w:rsidRPr="00693B40" w:rsidRDefault="00616680" w:rsidP="005C1769">
      <w:pPr>
        <w:pStyle w:val="Heading3"/>
        <w:widowControl/>
        <w:numPr>
          <w:ilvl w:val="2"/>
          <w:numId w:val="19"/>
        </w:numPr>
        <w:ind w:left="1276" w:right="27" w:firstLine="0"/>
        <w:rPr>
          <w:sz w:val="20"/>
          <w:szCs w:val="20"/>
        </w:rPr>
      </w:pPr>
      <w:r>
        <w:rPr>
          <w:sz w:val="20"/>
          <w:szCs w:val="20"/>
        </w:rPr>
        <w:t>El anexo del presente informe contiene el boletín anual del Fondo Multilateral con algunos proyectos destacados y resultados de políticas de 2025.</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5"/>
        <w:gridCol w:w="1806"/>
        <w:gridCol w:w="1805"/>
        <w:gridCol w:w="1805"/>
        <w:gridCol w:w="1806"/>
      </w:tblGrid>
      <w:tr w:rsidR="001D4217" w:rsidRPr="00693B40" w14:paraId="4AE053FB" w14:textId="77777777">
        <w:tc>
          <w:tcPr>
            <w:tcW w:w="1871" w:type="dxa"/>
          </w:tcPr>
          <w:p w14:paraId="7A5D6227" w14:textId="77777777" w:rsidR="001D4217" w:rsidRPr="00693B40" w:rsidRDefault="001D4217" w:rsidP="005C1769">
            <w:pPr>
              <w:ind w:right="27"/>
            </w:pPr>
          </w:p>
        </w:tc>
        <w:tc>
          <w:tcPr>
            <w:tcW w:w="1872" w:type="dxa"/>
          </w:tcPr>
          <w:p w14:paraId="6B8B6C60" w14:textId="77777777" w:rsidR="001D4217" w:rsidRPr="00693B40" w:rsidRDefault="001D4217" w:rsidP="005C1769">
            <w:pPr>
              <w:ind w:right="27"/>
            </w:pPr>
          </w:p>
        </w:tc>
        <w:tc>
          <w:tcPr>
            <w:tcW w:w="1872" w:type="dxa"/>
            <w:tcBorders>
              <w:bottom w:val="single" w:sz="4" w:space="0" w:color="auto"/>
            </w:tcBorders>
          </w:tcPr>
          <w:p w14:paraId="5EC9829A" w14:textId="77777777" w:rsidR="001D4217" w:rsidRPr="00693B40" w:rsidRDefault="001D4217" w:rsidP="005C1769">
            <w:pPr>
              <w:ind w:right="27"/>
            </w:pPr>
          </w:p>
        </w:tc>
        <w:tc>
          <w:tcPr>
            <w:tcW w:w="1872" w:type="dxa"/>
          </w:tcPr>
          <w:p w14:paraId="73A44527" w14:textId="77777777" w:rsidR="001D4217" w:rsidRPr="00693B40" w:rsidRDefault="001D4217" w:rsidP="005C1769">
            <w:pPr>
              <w:ind w:right="27"/>
            </w:pPr>
          </w:p>
        </w:tc>
        <w:tc>
          <w:tcPr>
            <w:tcW w:w="1873" w:type="dxa"/>
          </w:tcPr>
          <w:p w14:paraId="7FFDE8FE" w14:textId="77777777" w:rsidR="001D4217" w:rsidRPr="00693B40" w:rsidRDefault="001D4217" w:rsidP="005C1769">
            <w:pPr>
              <w:ind w:right="27"/>
            </w:pPr>
          </w:p>
        </w:tc>
      </w:tr>
    </w:tbl>
    <w:p w14:paraId="1B0299D4" w14:textId="77777777" w:rsidR="00193CCD" w:rsidRPr="00693B40" w:rsidRDefault="00193CCD" w:rsidP="005C1769">
      <w:pPr>
        <w:ind w:right="27"/>
      </w:pPr>
    </w:p>
    <w:sectPr w:rsidR="00193CCD" w:rsidRPr="00693B40" w:rsidSect="0029499B">
      <w:headerReference w:type="even" r:id="rId12"/>
      <w:headerReference w:type="default" r:id="rId13"/>
      <w:footerReference w:type="even" r:id="rId14"/>
      <w:footerReference w:type="default" r:id="rId15"/>
      <w:pgSz w:w="11907" w:h="16839" w:code="9"/>
      <w:pgMar w:top="864" w:right="1440" w:bottom="720" w:left="1440" w:header="720" w:footer="475" w:gutter="0"/>
      <w:cols w:space="539"/>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61692" w14:textId="77777777" w:rsidR="00FF4F50" w:rsidRDefault="00FF4F50" w:rsidP="004A504B">
      <w:r>
        <w:separator/>
      </w:r>
    </w:p>
  </w:endnote>
  <w:endnote w:type="continuationSeparator" w:id="0">
    <w:p w14:paraId="4A6B149F" w14:textId="77777777" w:rsidR="00FF4F50" w:rsidRDefault="00FF4F50" w:rsidP="004A504B">
      <w:r>
        <w:continuationSeparator/>
      </w:r>
    </w:p>
  </w:endnote>
  <w:endnote w:type="continuationNotice" w:id="1">
    <w:p w14:paraId="54038FB3" w14:textId="77777777" w:rsidR="00FF4F50" w:rsidRDefault="00FF4F5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Roboto">
    <w:panose1 w:val="02000000000000000000"/>
    <w:charset w:val="00"/>
    <w:family w:val="auto"/>
    <w:pitch w:val="variable"/>
    <w:sig w:usb0="E0000AFF" w:usb1="5000217F" w:usb2="00000021" w:usb3="00000000" w:csb0="0000019F" w:csb1="00000000"/>
  </w:font>
  <w:font w:name="Courier">
    <w:altName w:val="Courier New"/>
    <w:panose1 w:val="02070409020205020404"/>
    <w:charset w:val="00"/>
    <w:family w:val="auto"/>
    <w:notTrueType/>
    <w:pitch w:val="variable"/>
    <w:sig w:usb0="00000003" w:usb1="00000000" w:usb2="00000000" w:usb3="00000000" w:csb0="00000001" w:csb1="00000000"/>
  </w:font>
  <w:font w:name="Times New Roman Bold">
    <w:panose1 w:val="02020803070505020304"/>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70F59" w14:textId="66AC63D6" w:rsidR="004E01AD" w:rsidRPr="004912E8" w:rsidRDefault="00F4468C" w:rsidP="00C54C0B">
    <w:pPr>
      <w:pStyle w:val="PlantillaESFooter-pool"/>
      <w:spacing w:before="120" w:after="0"/>
      <w:jc w:val="center"/>
      <w:rPr>
        <w:bCs/>
        <w:sz w:val="20"/>
      </w:rPr>
    </w:pPr>
    <w:r w:rsidRPr="004912E8">
      <w:rPr>
        <w:rStyle w:val="PlantillaESpagenumber"/>
        <w:bCs/>
        <w:sz w:val="20"/>
      </w:rPr>
      <w:fldChar w:fldCharType="begin"/>
    </w:r>
    <w:r w:rsidRPr="004912E8">
      <w:rPr>
        <w:rStyle w:val="PlantillaESpagenumber"/>
        <w:bCs/>
        <w:sz w:val="20"/>
      </w:rPr>
      <w:instrText xml:space="preserve"> PAGE </w:instrText>
    </w:r>
    <w:r w:rsidRPr="004912E8">
      <w:rPr>
        <w:rStyle w:val="PlantillaESpagenumber"/>
        <w:bCs/>
        <w:sz w:val="20"/>
      </w:rPr>
      <w:fldChar w:fldCharType="separate"/>
    </w:r>
    <w:r w:rsidRPr="004912E8">
      <w:rPr>
        <w:rStyle w:val="PlantillaESpagenumber"/>
        <w:bCs/>
        <w:noProof/>
        <w:sz w:val="20"/>
      </w:rPr>
      <w:t>6</w:t>
    </w:r>
    <w:r w:rsidRPr="004912E8">
      <w:rPr>
        <w:rStyle w:val="PlantillaESpagenumber"/>
        <w:bCs/>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2036D9" w14:textId="1465AE9E" w:rsidR="004E01AD" w:rsidRPr="004912E8" w:rsidRDefault="00F4468C" w:rsidP="00C54C0B">
    <w:pPr>
      <w:pStyle w:val="PlantillaESFooter-pool"/>
      <w:spacing w:before="120" w:after="0"/>
      <w:jc w:val="center"/>
      <w:rPr>
        <w:bCs/>
        <w:sz w:val="20"/>
      </w:rPr>
    </w:pPr>
    <w:r w:rsidRPr="004912E8">
      <w:rPr>
        <w:rStyle w:val="PlantillaESpagenumber"/>
        <w:bCs/>
        <w:sz w:val="20"/>
      </w:rPr>
      <w:fldChar w:fldCharType="begin"/>
    </w:r>
    <w:r w:rsidRPr="004912E8">
      <w:rPr>
        <w:rStyle w:val="PlantillaESpagenumber"/>
        <w:bCs/>
        <w:sz w:val="20"/>
      </w:rPr>
      <w:instrText xml:space="preserve"> PAGE \* MERGEFORMAT </w:instrText>
    </w:r>
    <w:r w:rsidRPr="004912E8">
      <w:rPr>
        <w:rStyle w:val="PlantillaESpagenumber"/>
        <w:bCs/>
        <w:sz w:val="20"/>
      </w:rPr>
      <w:fldChar w:fldCharType="separate"/>
    </w:r>
    <w:r w:rsidRPr="004912E8">
      <w:rPr>
        <w:rStyle w:val="PlantillaESpagenumber"/>
        <w:bCs/>
        <w:noProof/>
        <w:sz w:val="20"/>
      </w:rPr>
      <w:t>5</w:t>
    </w:r>
    <w:r w:rsidRPr="004912E8">
      <w:rPr>
        <w:rStyle w:val="PlantillaESpagenumber"/>
        <w:bCs/>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915C52" w14:textId="77777777" w:rsidR="00FF4F50" w:rsidRDefault="00FF4F50" w:rsidP="000C6051">
      <w:pPr>
        <w:ind w:firstLine="624"/>
      </w:pPr>
      <w:r>
        <w:separator/>
      </w:r>
    </w:p>
  </w:footnote>
  <w:footnote w:type="continuationSeparator" w:id="0">
    <w:p w14:paraId="66E6F2B9" w14:textId="77777777" w:rsidR="00FF4F50" w:rsidRDefault="00FF4F50" w:rsidP="004A504B">
      <w:r>
        <w:continuationSeparator/>
      </w:r>
    </w:p>
  </w:footnote>
  <w:footnote w:type="continuationNotice" w:id="1">
    <w:p w14:paraId="592600D3" w14:textId="77777777" w:rsidR="00FF4F50" w:rsidRDefault="00FF4F50"/>
  </w:footnote>
  <w:footnote w:id="2">
    <w:p w14:paraId="7A573054" w14:textId="77777777" w:rsidR="0022060D" w:rsidRPr="006638DC" w:rsidRDefault="0022060D" w:rsidP="0022060D">
      <w:pPr>
        <w:pStyle w:val="FootnoteText"/>
        <w:ind w:left="1276"/>
        <w:rPr>
          <w:sz w:val="18"/>
          <w:szCs w:val="18"/>
        </w:rPr>
      </w:pPr>
      <w:r w:rsidRPr="006638DC">
        <w:rPr>
          <w:rStyle w:val="FootnoteReference"/>
          <w:sz w:val="18"/>
          <w:szCs w:val="18"/>
        </w:rPr>
        <w:t>*</w:t>
      </w:r>
      <w:r w:rsidRPr="006638DC">
        <w:rPr>
          <w:sz w:val="18"/>
          <w:szCs w:val="18"/>
        </w:rPr>
        <w:t> UNEP/OzL.Pro.3</w:t>
      </w:r>
      <w:r>
        <w:rPr>
          <w:sz w:val="18"/>
          <w:szCs w:val="18"/>
        </w:rPr>
        <w:t>8</w:t>
      </w:r>
      <w:r w:rsidRPr="006638DC">
        <w:rPr>
          <w:sz w:val="18"/>
          <w:szCs w:val="18"/>
        </w:rPr>
        <w:t>/1</w:t>
      </w:r>
    </w:p>
  </w:footnote>
  <w:footnote w:id="3">
    <w:p w14:paraId="09E3D2F2" w14:textId="1B2E481C" w:rsidR="000E1097" w:rsidRPr="00F70A60" w:rsidRDefault="000E1097" w:rsidP="00E43D6E">
      <w:pPr>
        <w:pStyle w:val="FootnoteText"/>
        <w:ind w:left="1276"/>
        <w:rPr>
          <w:sz w:val="18"/>
          <w:szCs w:val="18"/>
        </w:rPr>
      </w:pPr>
      <w:r w:rsidRPr="00E43D6E">
        <w:rPr>
          <w:rStyle w:val="FootnoteReference"/>
          <w:sz w:val="18"/>
          <w:szCs w:val="18"/>
        </w:rPr>
        <w:footnoteRef/>
      </w:r>
      <w:r>
        <w:rPr>
          <w:sz w:val="18"/>
          <w:szCs w:val="18"/>
        </w:rPr>
        <w:t xml:space="preserve"> UNEP/OzL.Pro/ExCom/97/91 y UNEP/OzL.Pro/ExCom/98/64.</w:t>
      </w:r>
    </w:p>
  </w:footnote>
  <w:footnote w:id="4">
    <w:p w14:paraId="042036D4" w14:textId="77777777" w:rsidR="00C701FD" w:rsidRPr="00A348BD" w:rsidRDefault="00C701FD" w:rsidP="00F70A60">
      <w:pPr>
        <w:pStyle w:val="FootnoteText"/>
        <w:ind w:left="1276"/>
        <w:rPr>
          <w:sz w:val="18"/>
          <w:szCs w:val="18"/>
        </w:rPr>
      </w:pPr>
      <w:r w:rsidRPr="001650E5">
        <w:rPr>
          <w:sz w:val="18"/>
          <w:szCs w:val="18"/>
          <w:vertAlign w:val="superscript"/>
        </w:rPr>
        <w:footnoteRef/>
      </w:r>
      <w:r>
        <w:rPr>
          <w:sz w:val="18"/>
          <w:szCs w:val="18"/>
        </w:rPr>
        <w:t xml:space="preserve"> UNEP/OzL.Pro/ExCom/98/60.</w:t>
      </w:r>
    </w:p>
  </w:footnote>
  <w:footnote w:id="5">
    <w:p w14:paraId="62E41D3C" w14:textId="77777777" w:rsidR="0047057B" w:rsidRPr="00C71A55" w:rsidRDefault="0047057B" w:rsidP="0047057B">
      <w:pPr>
        <w:pStyle w:val="FootnoteText"/>
        <w:ind w:left="1276"/>
      </w:pPr>
      <w:r w:rsidRPr="001650E5">
        <w:rPr>
          <w:sz w:val="18"/>
          <w:szCs w:val="18"/>
          <w:vertAlign w:val="superscript"/>
        </w:rPr>
        <w:footnoteRef/>
      </w:r>
      <w:r>
        <w:rPr>
          <w:sz w:val="18"/>
          <w:szCs w:val="18"/>
        </w:rPr>
        <w:t xml:space="preserve"> UNEP/OzL.Pro/ExCom/98/58.</w:t>
      </w:r>
    </w:p>
  </w:footnote>
  <w:footnote w:id="6">
    <w:p w14:paraId="644265CE" w14:textId="77777777" w:rsidR="000E1097" w:rsidRPr="00C71A55" w:rsidRDefault="000E1097" w:rsidP="00E43D6E">
      <w:pPr>
        <w:pStyle w:val="FootnoteText"/>
        <w:ind w:left="1276"/>
        <w:rPr>
          <w:sz w:val="18"/>
          <w:szCs w:val="18"/>
        </w:rPr>
      </w:pPr>
      <w:r w:rsidRPr="00F70A60">
        <w:rPr>
          <w:rStyle w:val="FootnoteReference"/>
          <w:sz w:val="18"/>
          <w:szCs w:val="18"/>
        </w:rPr>
        <w:footnoteRef/>
      </w:r>
      <w:r>
        <w:rPr>
          <w:sz w:val="18"/>
          <w:szCs w:val="18"/>
        </w:rPr>
        <w:t xml:space="preserve"> UNEP/OzL.Pro/ExCom/97/26, párrafos 39 a 45, y UNEP/OzL.Pro/ExCom/98/10, párrafos 19 y 20.</w:t>
      </w:r>
    </w:p>
  </w:footnote>
  <w:footnote w:id="7">
    <w:p w14:paraId="624875F6" w14:textId="77777777" w:rsidR="00292FAA" w:rsidRPr="00C71A55" w:rsidRDefault="00292FAA" w:rsidP="00E43D6E">
      <w:pPr>
        <w:pStyle w:val="FootnoteText"/>
        <w:ind w:left="1276"/>
        <w:rPr>
          <w:sz w:val="18"/>
          <w:szCs w:val="18"/>
        </w:rPr>
      </w:pPr>
      <w:r w:rsidRPr="00E43D6E">
        <w:rPr>
          <w:rStyle w:val="FootnoteReference"/>
          <w:sz w:val="18"/>
          <w:szCs w:val="18"/>
        </w:rPr>
        <w:footnoteRef/>
      </w:r>
      <w:r>
        <w:rPr>
          <w:sz w:val="18"/>
          <w:szCs w:val="18"/>
        </w:rPr>
        <w:t xml:space="preserve"> UNEP/OzL.Pro/ExCom/97/85.</w:t>
      </w:r>
    </w:p>
  </w:footnote>
  <w:footnote w:id="8">
    <w:p w14:paraId="10E24E50" w14:textId="77777777" w:rsidR="00292FAA" w:rsidRPr="00C71A55" w:rsidRDefault="00292FAA" w:rsidP="002619A8">
      <w:pPr>
        <w:pStyle w:val="FootnoteText"/>
        <w:ind w:left="1276"/>
        <w:rPr>
          <w:sz w:val="18"/>
          <w:szCs w:val="18"/>
        </w:rPr>
      </w:pPr>
      <w:r w:rsidRPr="002619A8">
        <w:rPr>
          <w:sz w:val="18"/>
          <w:szCs w:val="18"/>
          <w:vertAlign w:val="superscript"/>
        </w:rPr>
        <w:footnoteRef/>
      </w:r>
      <w:r>
        <w:rPr>
          <w:sz w:val="18"/>
          <w:szCs w:val="18"/>
        </w:rPr>
        <w:t xml:space="preserve"> UNEP/OzL.Pro/ExCom/97/86.</w:t>
      </w:r>
    </w:p>
  </w:footnote>
  <w:footnote w:id="9">
    <w:p w14:paraId="54E314C6" w14:textId="77777777" w:rsidR="00D96CD3" w:rsidRPr="00C71A55" w:rsidRDefault="00D96CD3" w:rsidP="002619A8">
      <w:pPr>
        <w:pStyle w:val="FootnoteText"/>
        <w:ind w:left="1276"/>
        <w:rPr>
          <w:sz w:val="18"/>
          <w:szCs w:val="18"/>
        </w:rPr>
      </w:pPr>
      <w:r w:rsidRPr="002619A8">
        <w:rPr>
          <w:sz w:val="18"/>
          <w:szCs w:val="18"/>
          <w:vertAlign w:val="superscript"/>
        </w:rPr>
        <w:footnoteRef/>
      </w:r>
      <w:r>
        <w:rPr>
          <w:sz w:val="18"/>
          <w:szCs w:val="18"/>
        </w:rPr>
        <w:t xml:space="preserve"> UNEP/OzL.Pro/ExCom/98/59.</w:t>
      </w:r>
    </w:p>
  </w:footnote>
  <w:footnote w:id="10">
    <w:p w14:paraId="26A0D53C" w14:textId="77777777" w:rsidR="008F1D8E" w:rsidRPr="00C71A55" w:rsidRDefault="008F1D8E" w:rsidP="008F1D8E">
      <w:pPr>
        <w:pStyle w:val="FootnoteText"/>
        <w:ind w:left="1276"/>
        <w:rPr>
          <w:sz w:val="18"/>
          <w:szCs w:val="18"/>
        </w:rPr>
      </w:pPr>
      <w:r w:rsidRPr="008F1D8E">
        <w:rPr>
          <w:rStyle w:val="FootnoteReference"/>
          <w:sz w:val="18"/>
          <w:szCs w:val="18"/>
        </w:rPr>
        <w:footnoteRef/>
      </w:r>
      <w:r>
        <w:rPr>
          <w:sz w:val="18"/>
          <w:szCs w:val="18"/>
        </w:rPr>
        <w:t xml:space="preserve"> UNEP/OzL.Pro/ExCom/98/55.</w:t>
      </w:r>
    </w:p>
  </w:footnote>
  <w:footnote w:id="11">
    <w:p w14:paraId="03212875" w14:textId="77777777" w:rsidR="00292FAA" w:rsidRPr="00C71A55" w:rsidRDefault="00292FAA" w:rsidP="00BE460D">
      <w:pPr>
        <w:pStyle w:val="FootnoteText"/>
        <w:ind w:left="1276"/>
        <w:rPr>
          <w:sz w:val="18"/>
          <w:szCs w:val="18"/>
        </w:rPr>
      </w:pPr>
      <w:r w:rsidRPr="00BE460D">
        <w:rPr>
          <w:sz w:val="18"/>
          <w:szCs w:val="18"/>
          <w:vertAlign w:val="superscript"/>
        </w:rPr>
        <w:footnoteRef/>
      </w:r>
      <w:r>
        <w:rPr>
          <w:sz w:val="18"/>
          <w:szCs w:val="18"/>
        </w:rPr>
        <w:t xml:space="preserve"> UNEP/OzL.Pro/ExCom/97/87.</w:t>
      </w:r>
    </w:p>
  </w:footnote>
  <w:footnote w:id="12">
    <w:p w14:paraId="2A19B2D3" w14:textId="77777777" w:rsidR="00292FAA" w:rsidRPr="00C71A55" w:rsidRDefault="00292FAA" w:rsidP="00BE460D">
      <w:pPr>
        <w:pStyle w:val="FootnoteText"/>
        <w:ind w:left="1276"/>
        <w:rPr>
          <w:sz w:val="18"/>
          <w:szCs w:val="18"/>
        </w:rPr>
      </w:pPr>
      <w:r w:rsidRPr="00BE460D">
        <w:rPr>
          <w:sz w:val="18"/>
          <w:szCs w:val="18"/>
          <w:vertAlign w:val="superscript"/>
        </w:rPr>
        <w:footnoteRef/>
      </w:r>
      <w:r>
        <w:rPr>
          <w:sz w:val="18"/>
          <w:szCs w:val="18"/>
        </w:rPr>
        <w:t xml:space="preserve"> UNEP/OzL.Pro/ExCom/97/26, párrafos 34 a 38.</w:t>
      </w:r>
    </w:p>
  </w:footnote>
  <w:footnote w:id="13">
    <w:p w14:paraId="36EE0379" w14:textId="77777777" w:rsidR="00BE460D" w:rsidRPr="00C71A55" w:rsidRDefault="00BE460D" w:rsidP="00BE460D">
      <w:pPr>
        <w:pStyle w:val="FootnoteText"/>
        <w:ind w:left="1276"/>
        <w:rPr>
          <w:sz w:val="18"/>
          <w:szCs w:val="18"/>
        </w:rPr>
      </w:pPr>
      <w:r w:rsidRPr="00BE460D">
        <w:rPr>
          <w:rStyle w:val="FootnoteReference"/>
          <w:sz w:val="18"/>
          <w:szCs w:val="18"/>
        </w:rPr>
        <w:footnoteRef/>
      </w:r>
      <w:r>
        <w:rPr>
          <w:sz w:val="18"/>
          <w:szCs w:val="18"/>
        </w:rPr>
        <w:t xml:space="preserve"> UNEP/OzL.Pro/ExCom/98/57.</w:t>
      </w:r>
    </w:p>
  </w:footnote>
  <w:footnote w:id="14">
    <w:p w14:paraId="640819FD" w14:textId="77777777" w:rsidR="00292FAA" w:rsidRPr="00842030" w:rsidRDefault="00292FAA" w:rsidP="00842030">
      <w:pPr>
        <w:pStyle w:val="FootnoteText"/>
        <w:ind w:left="624" w:firstLine="624"/>
        <w:rPr>
          <w:sz w:val="18"/>
          <w:szCs w:val="18"/>
        </w:rPr>
      </w:pPr>
      <w:r w:rsidRPr="00842030">
        <w:rPr>
          <w:sz w:val="18"/>
          <w:szCs w:val="18"/>
          <w:vertAlign w:val="superscript"/>
        </w:rPr>
        <w:footnoteRef/>
      </w:r>
      <w:r>
        <w:rPr>
          <w:sz w:val="18"/>
          <w:szCs w:val="18"/>
        </w:rPr>
        <w:t xml:space="preserve"> UNEP/OzL.Pro/ExCom/97/26, párrafos 14 a 33.</w:t>
      </w:r>
    </w:p>
  </w:footnote>
  <w:footnote w:id="15">
    <w:p w14:paraId="25D9E15E" w14:textId="77777777" w:rsidR="00292FAA" w:rsidRPr="00842030" w:rsidRDefault="00292FAA" w:rsidP="00F00F9E">
      <w:pPr>
        <w:pStyle w:val="FootnoteText"/>
        <w:ind w:left="624" w:firstLine="624"/>
        <w:rPr>
          <w:sz w:val="18"/>
          <w:szCs w:val="18"/>
        </w:rPr>
      </w:pPr>
      <w:r w:rsidRPr="00842030">
        <w:rPr>
          <w:sz w:val="18"/>
          <w:szCs w:val="18"/>
          <w:vertAlign w:val="superscript"/>
        </w:rPr>
        <w:footnoteRef/>
      </w:r>
      <w:r>
        <w:rPr>
          <w:sz w:val="18"/>
          <w:szCs w:val="18"/>
        </w:rPr>
        <w:t xml:space="preserve"> UNEP/OzL.Pro/ExCom/97/91, anexo XXVIII.</w:t>
      </w:r>
    </w:p>
  </w:footnote>
  <w:footnote w:id="16">
    <w:p w14:paraId="32A7A08D" w14:textId="77777777" w:rsidR="00F00F9E" w:rsidRPr="00F41595" w:rsidRDefault="00F00F9E" w:rsidP="00F00F9E">
      <w:pPr>
        <w:pStyle w:val="FootnoteText"/>
        <w:ind w:left="624" w:firstLine="624"/>
        <w:rPr>
          <w:sz w:val="18"/>
          <w:szCs w:val="18"/>
          <w:lang w:val="pt-BR"/>
        </w:rPr>
      </w:pPr>
      <w:r w:rsidRPr="00842030">
        <w:rPr>
          <w:sz w:val="18"/>
          <w:szCs w:val="18"/>
          <w:vertAlign w:val="superscript"/>
        </w:rPr>
        <w:footnoteRef/>
      </w:r>
      <w:r w:rsidRPr="00C71A55">
        <w:rPr>
          <w:sz w:val="18"/>
          <w:szCs w:val="18"/>
          <w:lang w:val="en-CA"/>
        </w:rPr>
        <w:t xml:space="preserve"> UNEP/OzL.Pro/ExCom/98/10/Add.1.</w:t>
      </w:r>
    </w:p>
  </w:footnote>
  <w:footnote w:id="17">
    <w:p w14:paraId="63C70D0C" w14:textId="77777777" w:rsidR="00F00F9E" w:rsidRPr="00C71A55" w:rsidRDefault="00F00F9E" w:rsidP="00F00F9E">
      <w:pPr>
        <w:pStyle w:val="FootnoteText"/>
        <w:ind w:left="624" w:firstLine="624"/>
        <w:rPr>
          <w:sz w:val="18"/>
          <w:szCs w:val="18"/>
          <w:lang w:val="pt-BR"/>
        </w:rPr>
      </w:pPr>
      <w:r w:rsidRPr="00842030">
        <w:rPr>
          <w:sz w:val="18"/>
          <w:szCs w:val="18"/>
          <w:vertAlign w:val="superscript"/>
        </w:rPr>
        <w:footnoteRef/>
      </w:r>
      <w:r w:rsidRPr="00C71A55">
        <w:rPr>
          <w:sz w:val="18"/>
          <w:szCs w:val="18"/>
          <w:lang w:val="pt-BR"/>
        </w:rPr>
        <w:t xml:space="preserve"> UNEP/OzL.Pro/ExCom/98/63, anexo XXXIX.</w:t>
      </w:r>
    </w:p>
  </w:footnote>
  <w:footnote w:id="18">
    <w:p w14:paraId="664C7EAB" w14:textId="77777777" w:rsidR="00C339F4" w:rsidRPr="00842030" w:rsidRDefault="00C339F4" w:rsidP="00842030">
      <w:pPr>
        <w:pStyle w:val="FootnoteText"/>
        <w:ind w:left="624" w:firstLine="624"/>
        <w:rPr>
          <w:sz w:val="18"/>
          <w:szCs w:val="18"/>
        </w:rPr>
      </w:pPr>
      <w:r w:rsidRPr="00842030">
        <w:rPr>
          <w:sz w:val="18"/>
          <w:szCs w:val="18"/>
          <w:vertAlign w:val="superscript"/>
        </w:rPr>
        <w:footnoteRef/>
      </w:r>
      <w:r>
        <w:rPr>
          <w:sz w:val="18"/>
          <w:szCs w:val="18"/>
        </w:rPr>
        <w:t xml:space="preserve"> UNEP/OzL.Pro/ExCom/98/10, párrafos 13 a 17.</w:t>
      </w:r>
    </w:p>
  </w:footnote>
  <w:footnote w:id="19">
    <w:p w14:paraId="1FA442E2" w14:textId="77777777" w:rsidR="004E1FE2" w:rsidRPr="00C71A55" w:rsidRDefault="004E1FE2" w:rsidP="004F503A">
      <w:pPr>
        <w:pStyle w:val="FootnoteText"/>
        <w:ind w:left="624" w:firstLine="624"/>
        <w:rPr>
          <w:sz w:val="18"/>
          <w:szCs w:val="18"/>
        </w:rPr>
      </w:pPr>
      <w:r w:rsidRPr="004F503A">
        <w:rPr>
          <w:sz w:val="18"/>
          <w:szCs w:val="18"/>
          <w:vertAlign w:val="superscript"/>
        </w:rPr>
        <w:footnoteRef/>
      </w:r>
      <w:r>
        <w:rPr>
          <w:sz w:val="18"/>
          <w:szCs w:val="18"/>
        </w:rPr>
        <w:t xml:space="preserve"> UNEP/OzL.Pro/ExCom/98/61.</w:t>
      </w:r>
    </w:p>
  </w:footnote>
  <w:footnote w:id="20">
    <w:p w14:paraId="7BA6ACFE" w14:textId="77777777" w:rsidR="004E1FE2" w:rsidRPr="003208C3" w:rsidRDefault="004E1FE2" w:rsidP="004F503A">
      <w:pPr>
        <w:pStyle w:val="FootnoteText"/>
        <w:ind w:left="624" w:firstLine="624"/>
        <w:rPr>
          <w:sz w:val="18"/>
          <w:szCs w:val="18"/>
        </w:rPr>
      </w:pPr>
      <w:r w:rsidRPr="003208C3">
        <w:rPr>
          <w:sz w:val="18"/>
          <w:szCs w:val="18"/>
          <w:vertAlign w:val="superscript"/>
        </w:rPr>
        <w:footnoteRef/>
      </w:r>
      <w:r>
        <w:rPr>
          <w:sz w:val="18"/>
          <w:szCs w:val="18"/>
        </w:rPr>
        <w:t xml:space="preserve"> UNEP/OzL.Pro/ExCom/98/64, anexos LXX, LXXI y LXXII.</w:t>
      </w:r>
    </w:p>
  </w:footnote>
  <w:footnote w:id="21">
    <w:p w14:paraId="444784C2" w14:textId="77777777" w:rsidR="004F503A" w:rsidRPr="00C71A55" w:rsidRDefault="004F503A" w:rsidP="004F503A">
      <w:pPr>
        <w:pStyle w:val="FootnoteText"/>
        <w:ind w:left="624" w:firstLine="624"/>
        <w:rPr>
          <w:sz w:val="18"/>
          <w:szCs w:val="18"/>
        </w:rPr>
      </w:pPr>
      <w:r w:rsidRPr="003208C3">
        <w:rPr>
          <w:sz w:val="18"/>
          <w:szCs w:val="18"/>
          <w:vertAlign w:val="superscript"/>
        </w:rPr>
        <w:footnoteRef/>
      </w:r>
      <w:r>
        <w:rPr>
          <w:sz w:val="18"/>
          <w:szCs w:val="18"/>
        </w:rPr>
        <w:t xml:space="preserve"> Como se especifica en el cuadro 1 del documento UNEP/OzL.Pro/ExCom/98/61.</w:t>
      </w:r>
    </w:p>
  </w:footnote>
  <w:footnote w:id="22">
    <w:p w14:paraId="06BCE351" w14:textId="77777777" w:rsidR="004E1FE2" w:rsidRPr="00FD4856" w:rsidRDefault="004E1FE2" w:rsidP="004E1FE2">
      <w:pPr>
        <w:pStyle w:val="FootnoteText"/>
        <w:ind w:left="624" w:firstLine="624"/>
        <w:rPr>
          <w:sz w:val="18"/>
          <w:szCs w:val="18"/>
        </w:rPr>
      </w:pPr>
      <w:r w:rsidRPr="00FD4856">
        <w:rPr>
          <w:sz w:val="18"/>
          <w:szCs w:val="18"/>
          <w:vertAlign w:val="superscript"/>
        </w:rPr>
        <w:footnoteRef/>
      </w:r>
      <w:r>
        <w:rPr>
          <w:sz w:val="18"/>
          <w:szCs w:val="18"/>
        </w:rPr>
        <w:t xml:space="preserve"> UNEP/OzL.Pro/ExCom/98/56.</w:t>
      </w:r>
    </w:p>
  </w:footnote>
  <w:footnote w:id="23">
    <w:p w14:paraId="17694FED" w14:textId="77777777" w:rsidR="00292FAA" w:rsidRPr="00FD4856" w:rsidRDefault="00292FAA" w:rsidP="00F00F9E">
      <w:pPr>
        <w:pStyle w:val="FootnoteText"/>
        <w:ind w:left="624" w:firstLine="624"/>
        <w:rPr>
          <w:sz w:val="18"/>
          <w:szCs w:val="18"/>
          <w:vertAlign w:val="superscript"/>
        </w:rPr>
      </w:pPr>
      <w:r w:rsidRPr="00FD4856">
        <w:rPr>
          <w:sz w:val="18"/>
          <w:szCs w:val="18"/>
          <w:vertAlign w:val="superscript"/>
        </w:rPr>
        <w:footnoteRef/>
      </w:r>
      <w:r>
        <w:rPr>
          <w:sz w:val="18"/>
          <w:szCs w:val="18"/>
        </w:rPr>
        <w:t xml:space="preserve"> UNEP/OzL.Pro/ExCom/97/88.</w:t>
      </w:r>
    </w:p>
  </w:footnote>
  <w:footnote w:id="24">
    <w:p w14:paraId="3E2C0519" w14:textId="77777777" w:rsidR="00292FAA" w:rsidRPr="00C71A55" w:rsidRDefault="00292FAA" w:rsidP="00F00F9E">
      <w:pPr>
        <w:pStyle w:val="FootnoteText"/>
        <w:ind w:left="624" w:firstLine="624"/>
        <w:rPr>
          <w:sz w:val="18"/>
          <w:szCs w:val="18"/>
        </w:rPr>
      </w:pPr>
      <w:r w:rsidRPr="00FD4856">
        <w:rPr>
          <w:sz w:val="18"/>
          <w:szCs w:val="18"/>
          <w:vertAlign w:val="superscript"/>
        </w:rPr>
        <w:footnoteRef/>
      </w:r>
      <w:r>
        <w:rPr>
          <w:sz w:val="18"/>
          <w:szCs w:val="18"/>
        </w:rPr>
        <w:t xml:space="preserve"> UNEP/OzL.Pro/ExCom/97/89.</w:t>
      </w:r>
    </w:p>
  </w:footnote>
  <w:footnote w:id="25">
    <w:p w14:paraId="39CC6D4B" w14:textId="77777777" w:rsidR="00292FAA" w:rsidRPr="00C71A55" w:rsidRDefault="00292FAA" w:rsidP="00FD4856">
      <w:pPr>
        <w:pStyle w:val="FootnoteText"/>
        <w:ind w:left="624" w:firstLine="624"/>
        <w:rPr>
          <w:sz w:val="18"/>
          <w:szCs w:val="18"/>
        </w:rPr>
      </w:pPr>
      <w:r w:rsidRPr="00FD4856">
        <w:rPr>
          <w:sz w:val="18"/>
          <w:szCs w:val="18"/>
          <w:vertAlign w:val="superscript"/>
        </w:rPr>
        <w:footnoteRef/>
      </w:r>
      <w:r>
        <w:rPr>
          <w:sz w:val="18"/>
          <w:szCs w:val="18"/>
        </w:rPr>
        <w:t xml:space="preserve"> UNEP/OzL.Pro/ExCom/97/90.</w:t>
      </w:r>
    </w:p>
  </w:footnote>
  <w:footnote w:id="26">
    <w:p w14:paraId="7289AE95" w14:textId="39CA72C0" w:rsidR="00511DA2" w:rsidRPr="00D95837" w:rsidRDefault="00511DA2" w:rsidP="00D95837">
      <w:pPr>
        <w:pStyle w:val="FootnoteText"/>
        <w:ind w:left="624" w:firstLine="624"/>
        <w:rPr>
          <w:sz w:val="18"/>
          <w:szCs w:val="18"/>
        </w:rPr>
      </w:pPr>
      <w:r w:rsidRPr="00D95837">
        <w:rPr>
          <w:sz w:val="18"/>
          <w:szCs w:val="18"/>
          <w:vertAlign w:val="superscript"/>
        </w:rPr>
        <w:footnoteRef/>
      </w:r>
      <w:r>
        <w:rPr>
          <w:sz w:val="18"/>
          <w:szCs w:val="18"/>
        </w:rPr>
        <w:t xml:space="preserve"> UNEP/OzL.Pro/ExCom/97/28 y UNEP/OzL.Pro/ExCom/98/12.</w:t>
      </w:r>
    </w:p>
  </w:footnote>
  <w:footnote w:id="27">
    <w:p w14:paraId="26FB9041" w14:textId="0F3F4A50" w:rsidR="00511DA2" w:rsidRPr="00C71A55" w:rsidRDefault="00511DA2" w:rsidP="00D95837">
      <w:pPr>
        <w:pStyle w:val="FootnoteText"/>
        <w:ind w:left="624" w:firstLine="624"/>
        <w:rPr>
          <w:sz w:val="18"/>
          <w:szCs w:val="18"/>
        </w:rPr>
      </w:pPr>
      <w:r w:rsidRPr="00D95837">
        <w:rPr>
          <w:sz w:val="18"/>
          <w:szCs w:val="18"/>
          <w:vertAlign w:val="superscript"/>
        </w:rPr>
        <w:footnoteRef/>
      </w:r>
      <w:r>
        <w:rPr>
          <w:sz w:val="18"/>
          <w:szCs w:val="18"/>
        </w:rPr>
        <w:t xml:space="preserve"> UNEP/OzL.Pro/ExCom/97/29 y UNEP/OzL.Pro/ExCom/98/13.</w:t>
      </w:r>
    </w:p>
  </w:footnote>
  <w:footnote w:id="28">
    <w:p w14:paraId="1BD9C67D" w14:textId="77777777" w:rsidR="00511DA2" w:rsidRPr="00C71A55" w:rsidRDefault="00511DA2" w:rsidP="004A5387">
      <w:pPr>
        <w:pStyle w:val="FootnoteText"/>
        <w:ind w:left="624" w:firstLine="624"/>
        <w:rPr>
          <w:sz w:val="18"/>
          <w:szCs w:val="18"/>
        </w:rPr>
      </w:pPr>
      <w:r w:rsidRPr="004A5387">
        <w:rPr>
          <w:sz w:val="18"/>
          <w:szCs w:val="18"/>
          <w:vertAlign w:val="superscript"/>
        </w:rPr>
        <w:footnoteRef/>
      </w:r>
      <w:r>
        <w:rPr>
          <w:sz w:val="18"/>
          <w:szCs w:val="18"/>
        </w:rPr>
        <w:t xml:space="preserve"> UNEP/OzL.Pro/ExCom/97/27. </w:t>
      </w:r>
    </w:p>
  </w:footnote>
  <w:footnote w:id="29">
    <w:p w14:paraId="0CA057B8" w14:textId="77777777" w:rsidR="00511DA2" w:rsidRPr="00C71A55" w:rsidRDefault="00511DA2" w:rsidP="004A5387">
      <w:pPr>
        <w:pStyle w:val="FootnoteText"/>
        <w:ind w:left="624" w:firstLine="624"/>
        <w:rPr>
          <w:sz w:val="18"/>
          <w:szCs w:val="18"/>
        </w:rPr>
      </w:pPr>
      <w:r w:rsidRPr="004A5387">
        <w:rPr>
          <w:rStyle w:val="FootnoteReference"/>
          <w:sz w:val="18"/>
          <w:szCs w:val="18"/>
        </w:rPr>
        <w:footnoteRef/>
      </w:r>
      <w:r>
        <w:rPr>
          <w:sz w:val="18"/>
          <w:szCs w:val="18"/>
        </w:rPr>
        <w:t xml:space="preserve"> UNEP/OzL.Pro/ExCom/97/30.</w:t>
      </w:r>
    </w:p>
  </w:footnote>
  <w:footnote w:id="30">
    <w:p w14:paraId="7E51EB0F" w14:textId="77777777" w:rsidR="00511DA2" w:rsidRPr="00C71A55" w:rsidRDefault="00511DA2" w:rsidP="004A5387">
      <w:pPr>
        <w:pStyle w:val="FootnoteText"/>
        <w:ind w:left="624" w:firstLine="624"/>
        <w:rPr>
          <w:sz w:val="18"/>
          <w:szCs w:val="18"/>
        </w:rPr>
      </w:pPr>
      <w:r w:rsidRPr="004A5387">
        <w:rPr>
          <w:rStyle w:val="FootnoteReference"/>
          <w:sz w:val="18"/>
          <w:szCs w:val="18"/>
        </w:rPr>
        <w:footnoteRef/>
      </w:r>
      <w:r>
        <w:rPr>
          <w:sz w:val="18"/>
          <w:szCs w:val="18"/>
        </w:rPr>
        <w:t xml:space="preserve"> UNEP/OzL.Pro/ExCom/97/31.</w:t>
      </w:r>
    </w:p>
  </w:footnote>
  <w:footnote w:id="31">
    <w:p w14:paraId="27B387A6" w14:textId="77777777" w:rsidR="00511DA2" w:rsidRPr="00C71A55" w:rsidRDefault="00511DA2" w:rsidP="004A5387">
      <w:pPr>
        <w:pStyle w:val="FootnoteText"/>
        <w:ind w:left="624" w:firstLine="624"/>
        <w:rPr>
          <w:sz w:val="18"/>
          <w:szCs w:val="18"/>
        </w:rPr>
      </w:pPr>
      <w:r w:rsidRPr="004A5387">
        <w:rPr>
          <w:sz w:val="18"/>
          <w:szCs w:val="18"/>
          <w:vertAlign w:val="superscript"/>
          <w:lang w:val="en-US"/>
        </w:rPr>
        <w:footnoteRef/>
      </w:r>
      <w:r>
        <w:rPr>
          <w:sz w:val="18"/>
          <w:szCs w:val="18"/>
        </w:rPr>
        <w:t xml:space="preserve"> UNEP/OzL.Pro/ExCom/97/32.</w:t>
      </w:r>
    </w:p>
  </w:footnote>
  <w:footnote w:id="32">
    <w:p w14:paraId="2D67C60B" w14:textId="77777777" w:rsidR="00511DA2" w:rsidRPr="00C71A55" w:rsidRDefault="00511DA2" w:rsidP="004A5387">
      <w:pPr>
        <w:pStyle w:val="FootnoteText"/>
        <w:ind w:left="624" w:firstLine="624"/>
      </w:pPr>
      <w:r w:rsidRPr="004A5387">
        <w:rPr>
          <w:rStyle w:val="FootnoteReference"/>
          <w:sz w:val="18"/>
          <w:szCs w:val="18"/>
        </w:rPr>
        <w:footnoteRef/>
      </w:r>
      <w:r>
        <w:rPr>
          <w:sz w:val="18"/>
          <w:szCs w:val="18"/>
        </w:rPr>
        <w:t xml:space="preserve"> UNEP/OzL.Pro/ExCom/97/33.</w:t>
      </w:r>
    </w:p>
  </w:footnote>
  <w:footnote w:id="33">
    <w:p w14:paraId="01256C91" w14:textId="77777777" w:rsidR="008A0F0C" w:rsidRPr="00C71A55" w:rsidRDefault="008A0F0C"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UNEP/OzL.Pro/ExCom/98/11.</w:t>
      </w:r>
    </w:p>
  </w:footnote>
  <w:footnote w:id="34">
    <w:p w14:paraId="13C29E9E" w14:textId="77777777" w:rsidR="008A0F0C" w:rsidRPr="00C71A55" w:rsidRDefault="008A0F0C"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UNEP/OzL.Pro/ExCom/98/14.</w:t>
      </w:r>
    </w:p>
  </w:footnote>
  <w:footnote w:id="35">
    <w:p w14:paraId="2C4BBFC2" w14:textId="77777777" w:rsidR="008A0F0C" w:rsidRPr="00C71A55" w:rsidRDefault="008A0F0C"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UNEP/OzL.Pro/ExCom/98/15.</w:t>
      </w:r>
    </w:p>
  </w:footnote>
  <w:footnote w:id="36">
    <w:p w14:paraId="710848D5" w14:textId="77777777" w:rsidR="0031371B" w:rsidRPr="00C71A55" w:rsidRDefault="0031371B" w:rsidP="0031371B">
      <w:pPr>
        <w:pStyle w:val="FootnoteText"/>
        <w:ind w:left="624" w:firstLine="624"/>
      </w:pPr>
      <w:r w:rsidRPr="0031371B">
        <w:rPr>
          <w:sz w:val="18"/>
          <w:szCs w:val="18"/>
          <w:vertAlign w:val="superscript"/>
          <w:lang w:val="en-US"/>
        </w:rPr>
        <w:footnoteRef/>
      </w:r>
      <w:r>
        <w:rPr>
          <w:sz w:val="18"/>
          <w:szCs w:val="18"/>
        </w:rPr>
        <w:t xml:space="preserve"> UNEP/OzL.Pro/ExCom/98/16.</w:t>
      </w:r>
    </w:p>
  </w:footnote>
  <w:footnote w:id="37">
    <w:p w14:paraId="65DF0348" w14:textId="77777777" w:rsidR="00511DA2" w:rsidRPr="00847B2C"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UNEP/OzL.Pro/ExCom/97/83 y Add.1.</w:t>
      </w:r>
    </w:p>
  </w:footnote>
  <w:footnote w:id="38">
    <w:p w14:paraId="378DD8F8"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UNEP/OzL.Pro/ExCom/97/91, anexo LIX.</w:t>
      </w:r>
    </w:p>
  </w:footnote>
  <w:footnote w:id="39">
    <w:p w14:paraId="57C96694"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UNEP/OzL.Pro/ExCom/97/84.</w:t>
      </w:r>
    </w:p>
  </w:footnote>
  <w:footnote w:id="40">
    <w:p w14:paraId="6471165A"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UNEP/OzL.Pro/ExCom/97/8.</w:t>
      </w:r>
    </w:p>
  </w:footnote>
  <w:footnote w:id="41">
    <w:p w14:paraId="61736BAF" w14:textId="77777777" w:rsidR="00511DA2" w:rsidRPr="00C71A55" w:rsidRDefault="00511DA2" w:rsidP="00847B2C">
      <w:pPr>
        <w:pStyle w:val="FootnoteText"/>
        <w:ind w:left="624" w:firstLine="624"/>
      </w:pPr>
      <w:r w:rsidRPr="00847B2C">
        <w:rPr>
          <w:rStyle w:val="FootnoteReference"/>
          <w:sz w:val="18"/>
          <w:szCs w:val="18"/>
        </w:rPr>
        <w:footnoteRef/>
      </w:r>
      <w:r>
        <w:rPr>
          <w:sz w:val="18"/>
          <w:szCs w:val="18"/>
        </w:rPr>
        <w:t xml:space="preserve"> UNEP/OzL.Pro/ExCom/98/5.</w:t>
      </w:r>
    </w:p>
  </w:footnote>
  <w:footnote w:id="42">
    <w:p w14:paraId="23F7157B" w14:textId="77777777" w:rsidR="003E5C5A" w:rsidRPr="00C71A55" w:rsidRDefault="003E5C5A"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UNEP/OzL.Pro/ExCom/98/9.</w:t>
      </w:r>
    </w:p>
  </w:footnote>
  <w:footnote w:id="43">
    <w:p w14:paraId="58FFE1A7" w14:textId="77777777" w:rsidR="003E5C5A" w:rsidRPr="00C71A55" w:rsidRDefault="003E5C5A"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UNEP/OzL.Pro/ExCom/98/64, anexo XXXVIII.</w:t>
      </w:r>
    </w:p>
  </w:footnote>
  <w:footnote w:id="44">
    <w:p w14:paraId="6B80B8EE"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UNEP/OzL.Pro/ExCom/97/11.</w:t>
      </w:r>
    </w:p>
  </w:footnote>
  <w:footnote w:id="45">
    <w:p w14:paraId="44436691"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UNEP/OzL.Pro/ExCom/97/12.</w:t>
      </w:r>
    </w:p>
  </w:footnote>
  <w:footnote w:id="46">
    <w:p w14:paraId="68C295ED"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UNEP/OzL.Pro/ExCom/97/13.</w:t>
      </w:r>
    </w:p>
  </w:footnote>
  <w:footnote w:id="47">
    <w:p w14:paraId="0BFE895B"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UNEP/OzL.Pro/ExCom/97/14.</w:t>
      </w:r>
    </w:p>
  </w:footnote>
  <w:footnote w:id="48">
    <w:p w14:paraId="3EE81CE2"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UNEP/OzL.Pro/ExCom/97/15.</w:t>
      </w:r>
    </w:p>
  </w:footnote>
  <w:footnote w:id="49">
    <w:p w14:paraId="69A8E61C"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UNEP/OzL.Pro/ExCom/97/16.</w:t>
      </w:r>
    </w:p>
  </w:footnote>
  <w:footnote w:id="50">
    <w:p w14:paraId="0F90C27A" w14:textId="7F7B6852"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UNEP/OzL.Pro/ExCom/97/91, anexos IV a VIII.</w:t>
      </w:r>
    </w:p>
  </w:footnote>
  <w:footnote w:id="51">
    <w:p w14:paraId="3F8170ED"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UNEP/OzL.Pro/ExCom/97/17 y UNEP/OzL.Pro/ExCom/97/18.</w:t>
      </w:r>
    </w:p>
  </w:footnote>
  <w:footnote w:id="52">
    <w:p w14:paraId="63D60D2F" w14:textId="77777777" w:rsidR="00511DA2" w:rsidRPr="00C71A55" w:rsidRDefault="00511DA2" w:rsidP="00847B2C">
      <w:pPr>
        <w:pStyle w:val="FootnoteText"/>
        <w:ind w:left="624" w:firstLine="624"/>
        <w:rPr>
          <w:sz w:val="18"/>
          <w:szCs w:val="18"/>
        </w:rPr>
      </w:pPr>
      <w:r w:rsidRPr="00847B2C">
        <w:rPr>
          <w:rStyle w:val="FootnoteReference"/>
          <w:sz w:val="18"/>
          <w:szCs w:val="18"/>
        </w:rPr>
        <w:footnoteRef/>
      </w:r>
      <w:r>
        <w:rPr>
          <w:sz w:val="18"/>
          <w:szCs w:val="18"/>
        </w:rPr>
        <w:t xml:space="preserve"> UNEP/OzL.Pro/ExCom/98/6.</w:t>
      </w:r>
    </w:p>
  </w:footnote>
  <w:footnote w:id="53">
    <w:p w14:paraId="25C4C328" w14:textId="77777777" w:rsidR="001335E3" w:rsidRPr="00C57BCB" w:rsidRDefault="001335E3" w:rsidP="00C57BCB">
      <w:pPr>
        <w:pStyle w:val="FootnoteText"/>
        <w:ind w:left="624" w:firstLine="624"/>
        <w:rPr>
          <w:sz w:val="18"/>
          <w:szCs w:val="18"/>
        </w:rPr>
      </w:pPr>
      <w:r w:rsidRPr="00C57BCB">
        <w:rPr>
          <w:vertAlign w:val="superscript"/>
        </w:rPr>
        <w:footnoteRef/>
      </w:r>
      <w:r>
        <w:rPr>
          <w:sz w:val="18"/>
          <w:szCs w:val="18"/>
        </w:rPr>
        <w:t xml:space="preserve"> UNEP/OzL.Pro/ExCom/98/64, anexos IV a XXXVII.</w:t>
      </w:r>
    </w:p>
  </w:footnote>
  <w:footnote w:id="54">
    <w:p w14:paraId="087F8B69" w14:textId="77777777" w:rsidR="000F6645" w:rsidRPr="00C57BCB" w:rsidRDefault="000F6645" w:rsidP="00C57BCB">
      <w:pPr>
        <w:pStyle w:val="FootnoteText"/>
        <w:ind w:left="624" w:firstLine="624"/>
        <w:rPr>
          <w:sz w:val="18"/>
          <w:szCs w:val="18"/>
        </w:rPr>
      </w:pPr>
      <w:r w:rsidRPr="00C57BCB">
        <w:rPr>
          <w:sz w:val="18"/>
          <w:szCs w:val="18"/>
          <w:vertAlign w:val="superscript"/>
        </w:rPr>
        <w:footnoteRef/>
      </w:r>
      <w:r>
        <w:rPr>
          <w:sz w:val="18"/>
          <w:szCs w:val="18"/>
        </w:rPr>
        <w:t xml:space="preserve"> UNEP/OzL.Pro/ExCom/98/7.</w:t>
      </w:r>
    </w:p>
  </w:footnote>
  <w:footnote w:id="55">
    <w:p w14:paraId="2013DF43" w14:textId="77777777" w:rsidR="00CA1473" w:rsidRPr="00C71A55" w:rsidRDefault="00CA1473" w:rsidP="00C57BCB">
      <w:pPr>
        <w:pStyle w:val="FootnoteText"/>
        <w:ind w:left="624" w:firstLine="624"/>
      </w:pPr>
      <w:r w:rsidRPr="00C57BCB">
        <w:rPr>
          <w:sz w:val="18"/>
          <w:szCs w:val="18"/>
          <w:vertAlign w:val="superscript"/>
        </w:rPr>
        <w:footnoteRef/>
      </w:r>
      <w:r>
        <w:rPr>
          <w:sz w:val="18"/>
          <w:szCs w:val="18"/>
        </w:rPr>
        <w:t xml:space="preserve"> UNEP/OzL.Pro/ExCom/97/9.</w:t>
      </w:r>
    </w:p>
  </w:footnote>
  <w:footnote w:id="56">
    <w:p w14:paraId="3568D5F2"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UNEP/OzL.Pro/ExCom/97/10.</w:t>
      </w:r>
    </w:p>
  </w:footnote>
  <w:footnote w:id="57">
    <w:p w14:paraId="11E47F22"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UNEP/OzL.Pro/ExCom/97/91, anexo III.</w:t>
      </w:r>
    </w:p>
  </w:footnote>
  <w:footnote w:id="58">
    <w:p w14:paraId="05EDE324"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UNEP/OzL.Pro/ExCom/97/19.</w:t>
      </w:r>
    </w:p>
  </w:footnote>
  <w:footnote w:id="59">
    <w:p w14:paraId="122FA0DE"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UNEP/OzL.Pro/ExCom/97/20.</w:t>
      </w:r>
    </w:p>
  </w:footnote>
  <w:footnote w:id="60">
    <w:p w14:paraId="483B0E62"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UNEP/OzL.Pro/ExCom/97/21.</w:t>
      </w:r>
    </w:p>
  </w:footnote>
  <w:footnote w:id="61">
    <w:p w14:paraId="1CA3A61D"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UNEP/OzL.Pro/ExCom/97/22.</w:t>
      </w:r>
    </w:p>
  </w:footnote>
  <w:footnote w:id="62">
    <w:p w14:paraId="4D285836"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UNEP/OzL.Pro/ExCom/97/23.</w:t>
      </w:r>
    </w:p>
  </w:footnote>
  <w:footnote w:id="63">
    <w:p w14:paraId="1FCCF9DE"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UNEP/OzL.Pro/ExCom/97/24.</w:t>
      </w:r>
    </w:p>
  </w:footnote>
  <w:footnote w:id="64">
    <w:p w14:paraId="159A82DB"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UNEP/OzL.Pro/ExCom/97/25.</w:t>
      </w:r>
    </w:p>
  </w:footnote>
  <w:footnote w:id="65">
    <w:p w14:paraId="639AD0CA" w14:textId="77777777" w:rsidR="00CA1473" w:rsidRPr="00C71A55" w:rsidRDefault="00CA1473" w:rsidP="00DC525E">
      <w:pPr>
        <w:pStyle w:val="FootnoteText"/>
        <w:ind w:left="1276"/>
        <w:rPr>
          <w:sz w:val="18"/>
          <w:szCs w:val="18"/>
        </w:rPr>
      </w:pPr>
      <w:r w:rsidRPr="00DC525E">
        <w:rPr>
          <w:sz w:val="18"/>
          <w:szCs w:val="18"/>
          <w:vertAlign w:val="superscript"/>
          <w:lang w:val="en-US"/>
        </w:rPr>
        <w:footnoteRef/>
      </w:r>
      <w:r>
        <w:rPr>
          <w:sz w:val="18"/>
          <w:szCs w:val="18"/>
        </w:rPr>
        <w:t xml:space="preserve"> UNEP/OzL.Pro/ExCom/97/91, anexos XXIV, XXV, XXVI y XXVII.</w:t>
      </w:r>
    </w:p>
  </w:footnote>
  <w:footnote w:id="66">
    <w:p w14:paraId="4548CF4B" w14:textId="77777777" w:rsidR="0040579D" w:rsidRPr="00F41595" w:rsidRDefault="0040579D"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en-CA"/>
        </w:rPr>
        <w:t xml:space="preserve"> UNEP/OzL.Pro/ExCom/98/8.</w:t>
      </w:r>
    </w:p>
  </w:footnote>
  <w:footnote w:id="67">
    <w:p w14:paraId="15453808"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en-CA"/>
        </w:rPr>
        <w:t xml:space="preserve"> UNEP/OzL.Pro/ExCom/98/64, anexo I.</w:t>
      </w:r>
    </w:p>
  </w:footnote>
  <w:footnote w:id="68">
    <w:p w14:paraId="1B833ED6" w14:textId="77777777" w:rsidR="00CA1473" w:rsidRPr="00F41595" w:rsidRDefault="00CA1473" w:rsidP="00DC525E">
      <w:pPr>
        <w:pStyle w:val="FootnoteText"/>
        <w:ind w:left="1276"/>
        <w:rPr>
          <w:sz w:val="18"/>
          <w:szCs w:val="18"/>
          <w:lang w:val="pt-BR"/>
        </w:rPr>
      </w:pPr>
      <w:r w:rsidRPr="00B5115B">
        <w:rPr>
          <w:sz w:val="18"/>
          <w:szCs w:val="18"/>
          <w:vertAlign w:val="superscript"/>
          <w:lang w:val="en-US"/>
        </w:rPr>
        <w:footnoteRef/>
      </w:r>
      <w:r w:rsidRPr="00C71A55">
        <w:rPr>
          <w:sz w:val="18"/>
          <w:szCs w:val="18"/>
          <w:lang w:val="pt-BR"/>
        </w:rPr>
        <w:t xml:space="preserve"> UNEP/OzL.Pro/ExCom/97/3.</w:t>
      </w:r>
    </w:p>
  </w:footnote>
  <w:footnote w:id="69">
    <w:p w14:paraId="150E4680"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UNEP/OzL.Pro/ExCom/97/4.</w:t>
      </w:r>
    </w:p>
  </w:footnote>
  <w:footnote w:id="70">
    <w:p w14:paraId="5FB35D29"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UNEP/OzL.Pro/ExCom/97/5.</w:t>
      </w:r>
    </w:p>
  </w:footnote>
  <w:footnote w:id="71">
    <w:p w14:paraId="7F09E4BA"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UNEP/OzL.Pro/ExCom/97/6.</w:t>
      </w:r>
    </w:p>
  </w:footnote>
  <w:footnote w:id="72">
    <w:p w14:paraId="3998B6EC"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UNEP/OzL.Pro/ExCom/97/7.</w:t>
      </w:r>
    </w:p>
  </w:footnote>
  <w:footnote w:id="73">
    <w:p w14:paraId="32AE3F3F"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UNEP/OzL.Pro/ExCom/97/91, anexo II.</w:t>
      </w:r>
    </w:p>
  </w:footnote>
  <w:footnote w:id="74">
    <w:p w14:paraId="61BD209D" w14:textId="77777777" w:rsidR="00DC525E" w:rsidRPr="00F41595" w:rsidRDefault="00DC525E"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UNEP/OzL.Pro/ExCom/98/3.</w:t>
      </w:r>
    </w:p>
  </w:footnote>
  <w:footnote w:id="75">
    <w:p w14:paraId="2F9900E0" w14:textId="77777777" w:rsidR="00DC525E" w:rsidRPr="00F41595" w:rsidRDefault="00DC525E"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UNEP/OzL.Pro/ExCom/98/4.</w:t>
      </w:r>
    </w:p>
  </w:footnote>
  <w:footnote w:id="76">
    <w:p w14:paraId="1BC3630D" w14:textId="77777777" w:rsidR="00CA1473" w:rsidRPr="00F41595" w:rsidRDefault="00CA1473" w:rsidP="00DC525E">
      <w:pPr>
        <w:pStyle w:val="FootnoteText"/>
        <w:ind w:left="1276"/>
        <w:rPr>
          <w:sz w:val="18"/>
          <w:szCs w:val="18"/>
          <w:lang w:val="pt-BR"/>
        </w:rPr>
      </w:pPr>
      <w:r w:rsidRPr="00DC525E">
        <w:rPr>
          <w:sz w:val="18"/>
          <w:szCs w:val="18"/>
          <w:vertAlign w:val="superscript"/>
          <w:lang w:val="en-US"/>
        </w:rPr>
        <w:footnoteRef/>
      </w:r>
      <w:r w:rsidRPr="00C71A55">
        <w:rPr>
          <w:sz w:val="18"/>
          <w:szCs w:val="18"/>
          <w:lang w:val="pt-BR"/>
        </w:rPr>
        <w:t xml:space="preserve"> UNEP/OzL.Pro/ExCom/97/2.</w:t>
      </w:r>
    </w:p>
  </w:footnote>
  <w:footnote w:id="77">
    <w:p w14:paraId="31BB9CC0" w14:textId="77777777" w:rsidR="00CA1473" w:rsidRPr="00F41595" w:rsidRDefault="00CA1473" w:rsidP="00DC525E">
      <w:pPr>
        <w:pStyle w:val="FootnoteText"/>
        <w:ind w:left="1276"/>
        <w:rPr>
          <w:lang w:val="pt-BR"/>
        </w:rPr>
      </w:pPr>
      <w:r w:rsidRPr="00DC525E">
        <w:rPr>
          <w:sz w:val="18"/>
          <w:szCs w:val="18"/>
          <w:vertAlign w:val="superscript"/>
          <w:lang w:val="en-US"/>
        </w:rPr>
        <w:footnoteRef/>
      </w:r>
      <w:r w:rsidRPr="00C71A55">
        <w:rPr>
          <w:sz w:val="18"/>
          <w:szCs w:val="18"/>
          <w:lang w:val="pt-BR"/>
        </w:rPr>
        <w:t xml:space="preserve"> UNEP/OzL.Pro/ExCom/98/2.</w:t>
      </w:r>
    </w:p>
  </w:footnote>
  <w:footnote w:id="78">
    <w:p w14:paraId="05793FFB" w14:textId="77777777" w:rsidR="001D4217" w:rsidRPr="00C71A55" w:rsidRDefault="001D4217" w:rsidP="00FF2809">
      <w:pPr>
        <w:pStyle w:val="FootnoteText"/>
        <w:ind w:left="1276"/>
        <w:rPr>
          <w:sz w:val="18"/>
          <w:szCs w:val="18"/>
        </w:rPr>
      </w:pPr>
      <w:r w:rsidRPr="000422D9">
        <w:rPr>
          <w:rStyle w:val="FootnoteReference"/>
          <w:sz w:val="18"/>
          <w:szCs w:val="18"/>
        </w:rPr>
        <w:footnoteRef/>
      </w:r>
      <w:r>
        <w:rPr>
          <w:sz w:val="18"/>
          <w:szCs w:val="18"/>
        </w:rPr>
        <w:t xml:space="preserve"> Se refiere únicamente a los proyectos aprobados y financiados por las contribuciones ordinarias.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26E1AA" w14:textId="086D83E8" w:rsidR="004E01AD" w:rsidRPr="004B0F3E" w:rsidRDefault="00647F3F" w:rsidP="004B0F3E">
    <w:pPr>
      <w:pStyle w:val="PlantillaESHeader-pool"/>
      <w:pBdr>
        <w:bottom w:val="none" w:sz="0" w:space="0" w:color="auto"/>
      </w:pBdr>
      <w:rPr>
        <w:b w:val="0"/>
        <w:bCs/>
        <w:noProof/>
        <w:sz w:val="20"/>
      </w:rPr>
    </w:pPr>
    <w:r w:rsidRPr="004B0F3E">
      <w:rPr>
        <w:b w:val="0"/>
        <w:bCs/>
        <w:sz w:val="20"/>
      </w:rPr>
      <w:fldChar w:fldCharType="begin"/>
    </w:r>
    <w:r w:rsidRPr="004B0F3E">
      <w:rPr>
        <w:b w:val="0"/>
        <w:bCs/>
        <w:sz w:val="20"/>
      </w:rPr>
      <w:instrText xml:space="preserve"> DOCPROPERTY "Document number" \* MERGEFORMAT </w:instrText>
    </w:r>
    <w:r w:rsidRPr="004B0F3E">
      <w:rPr>
        <w:b w:val="0"/>
        <w:bCs/>
        <w:sz w:val="20"/>
      </w:rPr>
      <w:fldChar w:fldCharType="separate"/>
    </w:r>
    <w:r w:rsidRPr="004B0F3E">
      <w:rPr>
        <w:b w:val="0"/>
        <w:bCs/>
        <w:noProof/>
        <w:sz w:val="20"/>
      </w:rPr>
      <w:t>UNEP/OzL.Pro.38/8</w:t>
    </w:r>
    <w:r w:rsidRPr="004B0F3E">
      <w:rPr>
        <w:b w:val="0"/>
        <w:bCs/>
        <w:noProof/>
        <w:sz w:val="20"/>
      </w:rPr>
      <w:fldChar w:fldCharType="end"/>
    </w:r>
  </w:p>
  <w:p w14:paraId="5347B415" w14:textId="77777777" w:rsidR="004B0F3E" w:rsidRPr="004B0F3E" w:rsidRDefault="004B0F3E" w:rsidP="004B0F3E">
    <w:pPr>
      <w:pStyle w:val="PlantillaESNormal"/>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475542" w14:textId="69378BA0" w:rsidR="004E01AD" w:rsidRPr="004B0F3E" w:rsidRDefault="004E01AD" w:rsidP="004B0F3E">
    <w:pPr>
      <w:pStyle w:val="PlantillaESHeader-pool"/>
      <w:pBdr>
        <w:bottom w:val="none" w:sz="0" w:space="0" w:color="auto"/>
      </w:pBdr>
      <w:jc w:val="right"/>
      <w:rPr>
        <w:b w:val="0"/>
        <w:bCs/>
        <w:noProof/>
        <w:sz w:val="20"/>
      </w:rPr>
    </w:pPr>
    <w:r w:rsidRPr="004B0F3E">
      <w:rPr>
        <w:b w:val="0"/>
        <w:bCs/>
        <w:sz w:val="20"/>
      </w:rPr>
      <w:fldChar w:fldCharType="begin"/>
    </w:r>
    <w:r w:rsidRPr="004B0F3E">
      <w:rPr>
        <w:b w:val="0"/>
        <w:bCs/>
        <w:sz w:val="20"/>
      </w:rPr>
      <w:instrText xml:space="preserve"> DOCPROPERTY "Document number" \* MERGEFORMAT </w:instrText>
    </w:r>
    <w:r w:rsidRPr="004B0F3E">
      <w:rPr>
        <w:b w:val="0"/>
        <w:bCs/>
        <w:sz w:val="20"/>
      </w:rPr>
      <w:fldChar w:fldCharType="separate"/>
    </w:r>
    <w:r w:rsidRPr="004B0F3E">
      <w:rPr>
        <w:b w:val="0"/>
        <w:bCs/>
        <w:noProof/>
        <w:sz w:val="20"/>
      </w:rPr>
      <w:t>UNEP/OzL.Pro.38/8</w:t>
    </w:r>
    <w:r w:rsidRPr="004B0F3E">
      <w:rPr>
        <w:b w:val="0"/>
        <w:bCs/>
        <w:noProof/>
        <w:sz w:val="20"/>
      </w:rPr>
      <w:fldChar w:fldCharType="end"/>
    </w:r>
  </w:p>
  <w:p w14:paraId="6D60A217" w14:textId="77777777" w:rsidR="004B0F3E" w:rsidRPr="004B0F3E" w:rsidRDefault="004B0F3E" w:rsidP="004B0F3E">
    <w:pPr>
      <w:pStyle w:val="PlantillaESNormal"/>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DB2175A"/>
    <w:styleLink w:val="ArticleSection12"/>
    <w:lvl w:ilvl="0">
      <w:start w:val="1"/>
      <w:numFmt w:val="decimal"/>
      <w:lvlText w:val="%1."/>
      <w:lvlJc w:val="left"/>
      <w:pPr>
        <w:tabs>
          <w:tab w:val="num" w:pos="1800"/>
        </w:tabs>
        <w:ind w:left="1800" w:hanging="360"/>
      </w:pPr>
    </w:lvl>
  </w:abstractNum>
  <w:abstractNum w:abstractNumId="1" w15:restartNumberingAfterBreak="0">
    <w:nsid w:val="FFFFFF83"/>
    <w:multiLevelType w:val="singleLevel"/>
    <w:tmpl w:val="4C3AD18E"/>
    <w:styleLink w:val="CurrentList111"/>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FB"/>
    <w:multiLevelType w:val="multilevel"/>
    <w:tmpl w:val="7548BB0C"/>
    <w:styleLink w:val="ArticleSection11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3" w15:restartNumberingAfterBreak="0">
    <w:nsid w:val="0A1158F8"/>
    <w:multiLevelType w:val="hybridMultilevel"/>
    <w:tmpl w:val="CD5A758C"/>
    <w:styleLink w:val="ArticleSection11"/>
    <w:lvl w:ilvl="0" w:tplc="1F20924E">
      <w:start w:val="1"/>
      <w:numFmt w:val="lowerLetter"/>
      <w:lvlText w:val="(%1)"/>
      <w:lvlJc w:val="left"/>
      <w:pPr>
        <w:ind w:left="1080" w:hanging="360"/>
      </w:pPr>
      <w:rPr>
        <w:rFonts w:ascii="Times New Roman" w:eastAsia="Times New Roman" w:hAnsi="Times New Roman" w:cs="Times New Roman"/>
        <w:i w:val="0"/>
        <w:sz w:val="18"/>
        <w:szCs w:val="18"/>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10605A11"/>
    <w:multiLevelType w:val="hybridMultilevel"/>
    <w:tmpl w:val="2FC85178"/>
    <w:lvl w:ilvl="0" w:tplc="F0C68FF4">
      <w:start w:val="1"/>
      <w:numFmt w:val="lowerRoman"/>
      <w:pStyle w:val="Listparagraph2"/>
      <w:lvlText w:val="(%1)"/>
      <w:lvlJc w:val="left"/>
      <w:pPr>
        <w:tabs>
          <w:tab w:val="num" w:pos="1440"/>
        </w:tabs>
        <w:ind w:left="144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81476B2"/>
    <w:multiLevelType w:val="multilevel"/>
    <w:tmpl w:val="CE2E3662"/>
    <w:styleLink w:val="CurrentList1"/>
    <w:lvl w:ilvl="0">
      <w:start w:val="1"/>
      <w:numFmt w:val="decimal"/>
      <w:lvlText w:val="%1."/>
      <w:lvlJc w:val="left"/>
      <w:pPr>
        <w:tabs>
          <w:tab w:val="num" w:pos="567"/>
        </w:tabs>
        <w:ind w:left="0" w:firstLine="0"/>
      </w:pPr>
      <w:rPr>
        <w:lang w:val="en-GB"/>
      </w:rPr>
    </w:lvl>
    <w:lvl w:ilvl="1">
      <w:start w:val="1"/>
      <w:numFmt w:val="upperLetter"/>
      <w:lvlText w:val="%2."/>
      <w:lvlJc w:val="left"/>
      <w:pPr>
        <w:tabs>
          <w:tab w:val="num" w:pos="567"/>
        </w:tabs>
        <w:ind w:left="0" w:firstLine="0"/>
      </w:pPr>
      <w:rPr>
        <w:rFonts w:ascii="Times New Roman" w:eastAsia="Times New Roman" w:hAnsi="Times New Roman" w:cs="Times New Roman"/>
        <w:b/>
        <w:i w:val="0"/>
        <w:lang w:val="en-GB"/>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decimal"/>
      <w:lvlText w:val="%5."/>
      <w:lvlJc w:val="left"/>
      <w:pPr>
        <w:tabs>
          <w:tab w:val="num" w:pos="567"/>
        </w:tabs>
        <w:ind w:left="0" w:firstLine="0"/>
      </w:pPr>
      <w:rPr>
        <w:rFonts w:hint="default"/>
        <w:b/>
        <w:i w:val="0"/>
      </w:r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15:restartNumberingAfterBreak="0">
    <w:nsid w:val="18F8189B"/>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49295F3E"/>
    <w:multiLevelType w:val="hybridMultilevel"/>
    <w:tmpl w:val="BBE0274E"/>
    <w:lvl w:ilvl="0" w:tplc="87E6F8D6">
      <w:start w:val="1"/>
      <w:numFmt w:val="lowerRoman"/>
      <w:pStyle w:val="Letteredlist"/>
      <w:lvlText w:val="(%1)"/>
      <w:lvlJc w:val="left"/>
      <w:pPr>
        <w:ind w:left="2160" w:hanging="720"/>
      </w:pPr>
      <w:rPr>
        <w:rFonts w:hint="default"/>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Newheader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13" w15:restartNumberingAfterBreak="0">
    <w:nsid w:val="58EE6F10"/>
    <w:multiLevelType w:val="hybridMultilevel"/>
    <w:tmpl w:val="77A0BE68"/>
    <w:lvl w:ilvl="0" w:tplc="4268E54A">
      <w:start w:val="1"/>
      <w:numFmt w:val="lowerLetter"/>
      <w:pStyle w:val="Listlettered"/>
      <w:lvlText w:val="(%1)"/>
      <w:lvlJc w:val="left"/>
      <w:pPr>
        <w:ind w:left="144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5F0651A"/>
    <w:multiLevelType w:val="singleLevel"/>
    <w:tmpl w:val="354AA9AE"/>
    <w:lvl w:ilvl="0">
      <w:start w:val="1"/>
      <w:numFmt w:val="lowerRoman"/>
      <w:pStyle w:val="Level3"/>
      <w:lvlText w:val="(%1)"/>
      <w:lvlJc w:val="right"/>
      <w:pPr>
        <w:tabs>
          <w:tab w:val="num" w:pos="1157"/>
        </w:tabs>
        <w:ind w:left="1157" w:hanging="579"/>
      </w:pPr>
      <w:rPr>
        <w:rFonts w:ascii="Times New Roman" w:hAnsi="Times New Roman" w:hint="default"/>
        <w:b w:val="0"/>
        <w:i w:val="0"/>
        <w:sz w:val="22"/>
      </w:rPr>
    </w:lvl>
  </w:abstractNum>
  <w:abstractNum w:abstractNumId="15" w15:restartNumberingAfterBreak="0">
    <w:nsid w:val="7B64080E"/>
    <w:multiLevelType w:val="hybridMultilevel"/>
    <w:tmpl w:val="784A45F0"/>
    <w:lvl w:ilvl="0" w:tplc="B50286E2">
      <w:start w:val="1"/>
      <w:numFmt w:val="lowerLetter"/>
      <w:pStyle w:val="letteredhead1"/>
      <w:lvlText w:val="(%1)"/>
      <w:lvlJc w:val="left"/>
      <w:pPr>
        <w:tabs>
          <w:tab w:val="num" w:pos="1440"/>
        </w:tabs>
        <w:ind w:left="1440" w:hanging="720"/>
      </w:pPr>
      <w:rPr>
        <w:rFonts w:hint="default"/>
        <w:b w:val="0"/>
        <w:bCs w:val="0"/>
        <w:i w:val="0"/>
        <w:iCs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17" w15:restartNumberingAfterBreak="0">
    <w:nsid w:val="7E9C7E42"/>
    <w:multiLevelType w:val="multilevel"/>
    <w:tmpl w:val="2A52F8DC"/>
    <w:lvl w:ilvl="0">
      <w:start w:val="1"/>
      <w:numFmt w:val="decimal"/>
      <w:lvlText w:val="%1."/>
      <w:lvlJc w:val="left"/>
      <w:pPr>
        <w:tabs>
          <w:tab w:val="num" w:pos="386"/>
        </w:tabs>
        <w:ind w:left="386" w:firstLine="0"/>
      </w:pPr>
      <w:rPr>
        <w:b w:val="0"/>
        <w:bCs/>
      </w:rPr>
    </w:lvl>
    <w:lvl w:ilvl="1">
      <w:start w:val="1"/>
      <w:numFmt w:val="lowerLetter"/>
      <w:lvlText w:val="(%2)"/>
      <w:lvlJc w:val="left"/>
      <w:pPr>
        <w:tabs>
          <w:tab w:val="num" w:pos="386"/>
        </w:tabs>
        <w:ind w:left="1826" w:hanging="720"/>
      </w:pPr>
    </w:lvl>
    <w:lvl w:ilvl="2">
      <w:start w:val="1"/>
      <w:numFmt w:val="decimal"/>
      <w:lvlText w:val="%3."/>
      <w:lvlJc w:val="left"/>
      <w:pPr>
        <w:ind w:left="2186" w:hanging="360"/>
      </w:pPr>
      <w:rPr>
        <w:b w:val="0"/>
        <w:bCs w:val="0"/>
        <w:sz w:val="20"/>
        <w:szCs w:val="20"/>
      </w:rPr>
    </w:lvl>
    <w:lvl w:ilvl="3">
      <w:start w:val="1"/>
      <w:numFmt w:val="lowerLetter"/>
      <w:lvlText w:val="%4)"/>
      <w:lvlJc w:val="left"/>
      <w:pPr>
        <w:tabs>
          <w:tab w:val="num" w:pos="296"/>
        </w:tabs>
        <w:ind w:left="3162" w:hanging="706"/>
      </w:pPr>
      <w:rPr>
        <w:b w:val="0"/>
        <w:i w:val="0"/>
      </w:rPr>
    </w:lvl>
    <w:lvl w:ilvl="4">
      <w:start w:val="1"/>
      <w:numFmt w:val="decimal"/>
      <w:lvlText w:val="(%5)"/>
      <w:lvlJc w:val="left"/>
      <w:pPr>
        <w:tabs>
          <w:tab w:val="num" w:pos="386"/>
        </w:tabs>
        <w:ind w:left="3957" w:hanging="705"/>
      </w:pPr>
    </w:lvl>
    <w:lvl w:ilvl="5">
      <w:start w:val="1"/>
      <w:numFmt w:val="lowerLetter"/>
      <w:lvlText w:val="(%6)"/>
      <w:lvlJc w:val="left"/>
      <w:pPr>
        <w:tabs>
          <w:tab w:val="num" w:pos="386"/>
        </w:tabs>
        <w:ind w:left="4677" w:hanging="720"/>
      </w:pPr>
    </w:lvl>
    <w:lvl w:ilvl="6">
      <w:start w:val="1"/>
      <w:numFmt w:val="lowerRoman"/>
      <w:lvlText w:val="(%7)"/>
      <w:lvlJc w:val="left"/>
      <w:pPr>
        <w:tabs>
          <w:tab w:val="num" w:pos="386"/>
        </w:tabs>
        <w:ind w:left="5383" w:hanging="706"/>
      </w:pPr>
    </w:lvl>
    <w:lvl w:ilvl="7">
      <w:start w:val="1"/>
      <w:numFmt w:val="lowerLetter"/>
      <w:lvlText w:val="(%8)"/>
      <w:lvlJc w:val="left"/>
      <w:pPr>
        <w:tabs>
          <w:tab w:val="num" w:pos="386"/>
        </w:tabs>
        <w:ind w:left="6088" w:hanging="705"/>
      </w:pPr>
    </w:lvl>
    <w:lvl w:ilvl="8">
      <w:start w:val="1"/>
      <w:numFmt w:val="lowerRoman"/>
      <w:lvlText w:val="(%9)"/>
      <w:lvlJc w:val="left"/>
      <w:pPr>
        <w:tabs>
          <w:tab w:val="num" w:pos="386"/>
        </w:tabs>
        <w:ind w:left="6794" w:hanging="706"/>
      </w:pPr>
    </w:lvl>
  </w:abstractNum>
  <w:num w:numId="1" w16cid:durableId="872812686">
    <w:abstractNumId w:val="2"/>
  </w:num>
  <w:num w:numId="2" w16cid:durableId="2032874041">
    <w:abstractNumId w:val="7"/>
  </w:num>
  <w:num w:numId="3" w16cid:durableId="1681932515">
    <w:abstractNumId w:val="10"/>
  </w:num>
  <w:num w:numId="4" w16cid:durableId="623081576">
    <w:abstractNumId w:val="11"/>
  </w:num>
  <w:num w:numId="5" w16cid:durableId="825439201">
    <w:abstractNumId w:val="16"/>
  </w:num>
  <w:num w:numId="6" w16cid:durableId="1432819273">
    <w:abstractNumId w:val="8"/>
  </w:num>
  <w:num w:numId="7" w16cid:durableId="1785298131">
    <w:abstractNumId w:val="12"/>
  </w:num>
  <w:num w:numId="8" w16cid:durableId="969438327">
    <w:abstractNumId w:val="5"/>
  </w:num>
  <w:num w:numId="9" w16cid:durableId="292643302">
    <w:abstractNumId w:val="14"/>
  </w:num>
  <w:num w:numId="10" w16cid:durableId="668095613">
    <w:abstractNumId w:val="3"/>
  </w:num>
  <w:num w:numId="11" w16cid:durableId="384335192">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12" w16cid:durableId="1223829628">
    <w:abstractNumId w:val="4"/>
  </w:num>
  <w:num w:numId="13" w16cid:durableId="1182629551">
    <w:abstractNumId w:val="15"/>
  </w:num>
  <w:num w:numId="14" w16cid:durableId="1308780019">
    <w:abstractNumId w:val="1"/>
  </w:num>
  <w:num w:numId="15" w16cid:durableId="784426817">
    <w:abstractNumId w:val="0"/>
  </w:num>
  <w:num w:numId="16" w16cid:durableId="1913078684">
    <w:abstractNumId w:val="17"/>
  </w:num>
  <w:num w:numId="17" w16cid:durableId="1679964872">
    <w:abstractNumId w:val="13"/>
  </w:num>
  <w:num w:numId="18" w16cid:durableId="1906840218">
    <w:abstractNumId w:val="9"/>
  </w:num>
  <w:num w:numId="19" w16cid:durableId="793793754">
    <w:abstractNumId w:val="6"/>
  </w:num>
  <w:num w:numId="20" w16cid:durableId="1757169435">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 w:numId="21" w16cid:durableId="384335192">
    <w:abstractNumId w:val="2"/>
    <w:lvlOverride w:ilvl="0">
      <w:lvl w:ilvl="0">
        <w:start w:val="1"/>
        <w:numFmt w:val="decimal"/>
        <w:pStyle w:val="Heading1"/>
        <w:lvlText w:val="%1."/>
        <w:lvlJc w:val="left"/>
        <w:pPr>
          <w:tabs>
            <w:tab w:val="num" w:pos="0"/>
          </w:tabs>
          <w:ind w:left="0" w:firstLine="0"/>
        </w:pPr>
        <w:rPr>
          <w:b w:val="0"/>
          <w:bCs/>
        </w:rPr>
      </w:lvl>
    </w:lvlOverride>
    <w:lvlOverride w:ilvl="1">
      <w:lvl w:ilvl="1">
        <w:start w:val="1"/>
        <w:numFmt w:val="lowerLetter"/>
        <w:pStyle w:val="Heading2"/>
        <w:lvlText w:val="%2)"/>
        <w:lvlJc w:val="left"/>
        <w:pPr>
          <w:tabs>
            <w:tab w:val="num" w:pos="0"/>
          </w:tabs>
          <w:ind w:left="1440" w:hanging="720"/>
        </w:pPr>
      </w:lvl>
    </w:lvlOverride>
    <w:lvlOverride w:ilvl="2">
      <w:lvl w:ilvl="2">
        <w:start w:val="1"/>
        <w:numFmt w:val="lowerLetter"/>
        <w:pStyle w:val="Heading3"/>
        <w:lvlText w:val="%3)"/>
        <w:lvlJc w:val="left"/>
        <w:pPr>
          <w:tabs>
            <w:tab w:val="num" w:pos="0"/>
          </w:tabs>
          <w:ind w:left="2160" w:hanging="720"/>
        </w:pPr>
        <w:rPr>
          <w:rFonts w:ascii="Times New Roman" w:eastAsia="Times New Roman" w:hAnsi="Times New Roman" w:cs="Times New Roman"/>
        </w:rPr>
      </w:lvl>
    </w:lvlOverride>
    <w:lvlOverride w:ilvl="3">
      <w:lvl w:ilvl="3">
        <w:start w:val="1"/>
        <w:numFmt w:val="lowerLetter"/>
        <w:pStyle w:val="Heading4"/>
        <w:lvlText w:val="%4)"/>
        <w:lvlJc w:val="left"/>
        <w:pPr>
          <w:tabs>
            <w:tab w:val="num" w:pos="-90"/>
          </w:tabs>
          <w:ind w:left="2776" w:hanging="706"/>
        </w:pPr>
        <w:rPr>
          <w:b w:val="0"/>
          <w:i w:val="0"/>
        </w:rPr>
      </w:lvl>
    </w:lvlOverride>
    <w:lvlOverride w:ilvl="4">
      <w:lvl w:ilvl="4">
        <w:start w:val="1"/>
        <w:numFmt w:val="decimal"/>
        <w:lvlText w:val="%5)"/>
        <w:lvlJc w:val="left"/>
        <w:pPr>
          <w:tabs>
            <w:tab w:val="num" w:pos="0"/>
          </w:tabs>
          <w:ind w:left="3571" w:hanging="705"/>
        </w:pPr>
      </w:lvl>
    </w:lvlOverride>
    <w:lvlOverride w:ilvl="5">
      <w:lvl w:ilvl="5">
        <w:start w:val="1"/>
        <w:numFmt w:val="lowerLetter"/>
        <w:pStyle w:val="Heading6"/>
        <w:lvlText w:val="%6)"/>
        <w:lvlJc w:val="left"/>
        <w:pPr>
          <w:tabs>
            <w:tab w:val="num" w:pos="0"/>
          </w:tabs>
          <w:ind w:left="4291" w:hanging="720"/>
        </w:pPr>
      </w:lvl>
    </w:lvlOverride>
    <w:lvlOverride w:ilvl="6">
      <w:lvl w:ilvl="6">
        <w:start w:val="1"/>
        <w:numFmt w:val="lowerRoman"/>
        <w:pStyle w:val="Heading7"/>
        <w:lvlText w:val="%7)"/>
        <w:lvlJc w:val="left"/>
        <w:pPr>
          <w:tabs>
            <w:tab w:val="num" w:pos="0"/>
          </w:tabs>
          <w:ind w:left="4997" w:hanging="706"/>
        </w:pPr>
      </w:lvl>
    </w:lvlOverride>
    <w:lvlOverride w:ilvl="7">
      <w:lvl w:ilvl="7">
        <w:start w:val="1"/>
        <w:numFmt w:val="lowerLetter"/>
        <w:lvlText w:val="%8)"/>
        <w:lvlJc w:val="left"/>
        <w:pPr>
          <w:tabs>
            <w:tab w:val="num" w:pos="0"/>
          </w:tabs>
          <w:ind w:left="5702" w:hanging="705"/>
        </w:pPr>
      </w:lvl>
    </w:lvlOverride>
    <w:lvlOverride w:ilvl="8">
      <w:lvl w:ilvl="8">
        <w:start w:val="1"/>
        <w:numFmt w:val="lowerRoman"/>
        <w:pStyle w:val="Heading9"/>
        <w:lvlText w:val="%9)"/>
        <w:lvlJc w:val="left"/>
        <w:pPr>
          <w:tabs>
            <w:tab w:val="num" w:pos="0"/>
          </w:tabs>
          <w:ind w:left="6408" w:hanging="706"/>
        </w:pPr>
      </w:lvl>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s-ES_tradnl" w:vendorID="64" w:dllVersion="6" w:nlCheck="1" w:checkStyle="0"/>
  <w:activeWritingStyle w:appName="MSWord" w:lang="en-CA" w:vendorID="64" w:dllVersion="6" w:nlCheck="1" w:checkStyle="0"/>
  <w:activeWritingStyle w:appName="MSWord" w:lang="en-US" w:vendorID="64" w:dllVersion="6" w:nlCheck="1" w:checkStyle="0"/>
  <w:activeWritingStyle w:appName="MSWord" w:lang="en-GB" w:vendorID="64" w:dllVersion="6" w:nlCheck="1" w:checkStyle="0"/>
  <w:activeWritingStyle w:appName="MSWord" w:lang="en-GB" w:vendorID="64" w:dllVersion="4096" w:nlCheck="1" w:checkStyle="0"/>
  <w:activeWritingStyle w:appName="MSWord" w:lang="en-CA" w:vendorID="64" w:dllVersion="4096" w:nlCheck="1" w:checkStyle="0"/>
  <w:activeWritingStyle w:appName="MSWord" w:lang="en-US" w:vendorID="64" w:dllVersion="4096" w:nlCheck="1" w:checkStyle="0"/>
  <w:activeWritingStyle w:appName="MSWord" w:lang="es-ES_tradnl" w:vendorID="64" w:dllVersion="4096" w:nlCheck="1" w:checkStyle="0"/>
  <w:activeWritingStyle w:appName="MSWord" w:lang="en-CA" w:vendorID="64" w:dllVersion="0" w:nlCheck="1" w:checkStyle="0"/>
  <w:activeWritingStyle w:appName="MSWord" w:lang="en-GB" w:vendorID="64" w:dllVersion="0" w:nlCheck="1" w:checkStyle="0"/>
  <w:activeWritingStyle w:appName="MSWord" w:lang="en-US" w:vendorID="64" w:dllVersion="0" w:nlCheck="1" w:checkStyle="0"/>
  <w:activeWritingStyle w:appName="MSWord" w:lang="es-ES" w:vendorID="64" w:dllVersion="0" w:nlCheck="1" w:checkStyle="0"/>
  <w:activeWritingStyle w:appName="MSWord" w:lang="es-ES_tradnl" w:vendorID="64" w:dllVersion="0" w:nlCheck="1" w:checkStyle="0"/>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624"/>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oFAJPtCKstAAAA"/>
  </w:docVars>
  <w:rsids>
    <w:rsidRoot w:val="00EC123B"/>
    <w:rsid w:val="000006CA"/>
    <w:rsid w:val="00000FED"/>
    <w:rsid w:val="0000247B"/>
    <w:rsid w:val="0000434E"/>
    <w:rsid w:val="00005577"/>
    <w:rsid w:val="0000561C"/>
    <w:rsid w:val="00006DBD"/>
    <w:rsid w:val="00007772"/>
    <w:rsid w:val="000078B3"/>
    <w:rsid w:val="00011DE2"/>
    <w:rsid w:val="000128E2"/>
    <w:rsid w:val="00012E78"/>
    <w:rsid w:val="000147B5"/>
    <w:rsid w:val="00015C15"/>
    <w:rsid w:val="000167B1"/>
    <w:rsid w:val="00016A27"/>
    <w:rsid w:val="000210E4"/>
    <w:rsid w:val="000211A9"/>
    <w:rsid w:val="0002228F"/>
    <w:rsid w:val="00023448"/>
    <w:rsid w:val="00024F5B"/>
    <w:rsid w:val="00024FDC"/>
    <w:rsid w:val="0002538B"/>
    <w:rsid w:val="000256E3"/>
    <w:rsid w:val="00026079"/>
    <w:rsid w:val="00027004"/>
    <w:rsid w:val="00030261"/>
    <w:rsid w:val="00030B76"/>
    <w:rsid w:val="00030F3D"/>
    <w:rsid w:val="00031260"/>
    <w:rsid w:val="00031DAA"/>
    <w:rsid w:val="00032058"/>
    <w:rsid w:val="0003206B"/>
    <w:rsid w:val="00033200"/>
    <w:rsid w:val="0003681A"/>
    <w:rsid w:val="000372B7"/>
    <w:rsid w:val="00040235"/>
    <w:rsid w:val="000417EA"/>
    <w:rsid w:val="000422D9"/>
    <w:rsid w:val="00042C33"/>
    <w:rsid w:val="00043665"/>
    <w:rsid w:val="00044F88"/>
    <w:rsid w:val="00050F6E"/>
    <w:rsid w:val="00051061"/>
    <w:rsid w:val="0005159D"/>
    <w:rsid w:val="00053945"/>
    <w:rsid w:val="00053C51"/>
    <w:rsid w:val="000567B4"/>
    <w:rsid w:val="000568AD"/>
    <w:rsid w:val="00057C87"/>
    <w:rsid w:val="000600AC"/>
    <w:rsid w:val="000607BB"/>
    <w:rsid w:val="000609B1"/>
    <w:rsid w:val="0006113D"/>
    <w:rsid w:val="000615C7"/>
    <w:rsid w:val="00061EC2"/>
    <w:rsid w:val="000621FB"/>
    <w:rsid w:val="000628B4"/>
    <w:rsid w:val="000632EB"/>
    <w:rsid w:val="00063937"/>
    <w:rsid w:val="00063C01"/>
    <w:rsid w:val="00064D5D"/>
    <w:rsid w:val="00065579"/>
    <w:rsid w:val="00065707"/>
    <w:rsid w:val="000661B5"/>
    <w:rsid w:val="0006685E"/>
    <w:rsid w:val="00066CE8"/>
    <w:rsid w:val="00067439"/>
    <w:rsid w:val="000731D4"/>
    <w:rsid w:val="00074941"/>
    <w:rsid w:val="00075BF9"/>
    <w:rsid w:val="00077124"/>
    <w:rsid w:val="0008048D"/>
    <w:rsid w:val="00080C9B"/>
    <w:rsid w:val="00080ED0"/>
    <w:rsid w:val="00081DE2"/>
    <w:rsid w:val="0008315E"/>
    <w:rsid w:val="00084271"/>
    <w:rsid w:val="00085B8F"/>
    <w:rsid w:val="000863D3"/>
    <w:rsid w:val="00086BE7"/>
    <w:rsid w:val="00087980"/>
    <w:rsid w:val="00087AEF"/>
    <w:rsid w:val="00090481"/>
    <w:rsid w:val="000904BE"/>
    <w:rsid w:val="00091AE9"/>
    <w:rsid w:val="00091CC2"/>
    <w:rsid w:val="0009298F"/>
    <w:rsid w:val="00093D4C"/>
    <w:rsid w:val="0009427C"/>
    <w:rsid w:val="00094557"/>
    <w:rsid w:val="00094977"/>
    <w:rsid w:val="00094B4A"/>
    <w:rsid w:val="000952E8"/>
    <w:rsid w:val="000958D2"/>
    <w:rsid w:val="00095E2E"/>
    <w:rsid w:val="00096ED5"/>
    <w:rsid w:val="00097BDA"/>
    <w:rsid w:val="000A03A5"/>
    <w:rsid w:val="000A134D"/>
    <w:rsid w:val="000A1893"/>
    <w:rsid w:val="000A1A88"/>
    <w:rsid w:val="000A2C31"/>
    <w:rsid w:val="000A30DE"/>
    <w:rsid w:val="000A3103"/>
    <w:rsid w:val="000A3826"/>
    <w:rsid w:val="000A3860"/>
    <w:rsid w:val="000A3978"/>
    <w:rsid w:val="000A4A4D"/>
    <w:rsid w:val="000A6988"/>
    <w:rsid w:val="000A6C26"/>
    <w:rsid w:val="000A6E65"/>
    <w:rsid w:val="000A79FC"/>
    <w:rsid w:val="000B0C31"/>
    <w:rsid w:val="000B3268"/>
    <w:rsid w:val="000B3F0F"/>
    <w:rsid w:val="000B42D3"/>
    <w:rsid w:val="000B4971"/>
    <w:rsid w:val="000B74FD"/>
    <w:rsid w:val="000C03E1"/>
    <w:rsid w:val="000C3CE5"/>
    <w:rsid w:val="000C473B"/>
    <w:rsid w:val="000C4CCE"/>
    <w:rsid w:val="000C5462"/>
    <w:rsid w:val="000C57A0"/>
    <w:rsid w:val="000C6051"/>
    <w:rsid w:val="000C6A81"/>
    <w:rsid w:val="000C7855"/>
    <w:rsid w:val="000C7982"/>
    <w:rsid w:val="000D07AB"/>
    <w:rsid w:val="000D1CD3"/>
    <w:rsid w:val="000D3F5D"/>
    <w:rsid w:val="000D52A4"/>
    <w:rsid w:val="000D6353"/>
    <w:rsid w:val="000D6AB7"/>
    <w:rsid w:val="000D7C4D"/>
    <w:rsid w:val="000D7F0B"/>
    <w:rsid w:val="000E07BC"/>
    <w:rsid w:val="000E1097"/>
    <w:rsid w:val="000E1DF9"/>
    <w:rsid w:val="000E3178"/>
    <w:rsid w:val="000E3CA7"/>
    <w:rsid w:val="000E4BFE"/>
    <w:rsid w:val="000E4C87"/>
    <w:rsid w:val="000E6AEC"/>
    <w:rsid w:val="000F0039"/>
    <w:rsid w:val="000F01CB"/>
    <w:rsid w:val="000F1CD4"/>
    <w:rsid w:val="000F271D"/>
    <w:rsid w:val="000F2D30"/>
    <w:rsid w:val="000F2D5D"/>
    <w:rsid w:val="000F3D41"/>
    <w:rsid w:val="000F4103"/>
    <w:rsid w:val="000F4905"/>
    <w:rsid w:val="000F4A5F"/>
    <w:rsid w:val="000F551D"/>
    <w:rsid w:val="000F56F1"/>
    <w:rsid w:val="000F5E80"/>
    <w:rsid w:val="000F6645"/>
    <w:rsid w:val="000F70A7"/>
    <w:rsid w:val="000F757C"/>
    <w:rsid w:val="001003AA"/>
    <w:rsid w:val="00100557"/>
    <w:rsid w:val="00101A4F"/>
    <w:rsid w:val="001030FC"/>
    <w:rsid w:val="00104AD4"/>
    <w:rsid w:val="00106A7B"/>
    <w:rsid w:val="0011248C"/>
    <w:rsid w:val="00113A97"/>
    <w:rsid w:val="00113CCA"/>
    <w:rsid w:val="00114F5A"/>
    <w:rsid w:val="001156A1"/>
    <w:rsid w:val="00115991"/>
    <w:rsid w:val="001175FE"/>
    <w:rsid w:val="00117C10"/>
    <w:rsid w:val="00122F25"/>
    <w:rsid w:val="0012423F"/>
    <w:rsid w:val="0012495D"/>
    <w:rsid w:val="00124A00"/>
    <w:rsid w:val="00124F3F"/>
    <w:rsid w:val="0012559A"/>
    <w:rsid w:val="00126441"/>
    <w:rsid w:val="00126533"/>
    <w:rsid w:val="00126A9D"/>
    <w:rsid w:val="00126DFE"/>
    <w:rsid w:val="00127D20"/>
    <w:rsid w:val="00131537"/>
    <w:rsid w:val="001334DE"/>
    <w:rsid w:val="001335E3"/>
    <w:rsid w:val="001357FA"/>
    <w:rsid w:val="00135980"/>
    <w:rsid w:val="00135E60"/>
    <w:rsid w:val="001360D6"/>
    <w:rsid w:val="001361D6"/>
    <w:rsid w:val="0013654E"/>
    <w:rsid w:val="00136C74"/>
    <w:rsid w:val="001417A5"/>
    <w:rsid w:val="00141F6B"/>
    <w:rsid w:val="00142211"/>
    <w:rsid w:val="001425A5"/>
    <w:rsid w:val="001426BE"/>
    <w:rsid w:val="00143732"/>
    <w:rsid w:val="0014549A"/>
    <w:rsid w:val="0014645A"/>
    <w:rsid w:val="00147026"/>
    <w:rsid w:val="00153E55"/>
    <w:rsid w:val="00154FB3"/>
    <w:rsid w:val="00156270"/>
    <w:rsid w:val="00163A0B"/>
    <w:rsid w:val="00164719"/>
    <w:rsid w:val="001648A7"/>
    <w:rsid w:val="00164984"/>
    <w:rsid w:val="001650E5"/>
    <w:rsid w:val="001659A2"/>
    <w:rsid w:val="00165D0E"/>
    <w:rsid w:val="00166AEB"/>
    <w:rsid w:val="00166FC4"/>
    <w:rsid w:val="001677AC"/>
    <w:rsid w:val="001718F3"/>
    <w:rsid w:val="001737A4"/>
    <w:rsid w:val="0017463D"/>
    <w:rsid w:val="001769E3"/>
    <w:rsid w:val="001804EA"/>
    <w:rsid w:val="001813E1"/>
    <w:rsid w:val="00181432"/>
    <w:rsid w:val="00181D4D"/>
    <w:rsid w:val="00182655"/>
    <w:rsid w:val="001827ED"/>
    <w:rsid w:val="00182981"/>
    <w:rsid w:val="00182CF0"/>
    <w:rsid w:val="001847B1"/>
    <w:rsid w:val="00184D22"/>
    <w:rsid w:val="00185E83"/>
    <w:rsid w:val="0019004B"/>
    <w:rsid w:val="00190A61"/>
    <w:rsid w:val="00192522"/>
    <w:rsid w:val="00192C8E"/>
    <w:rsid w:val="00193CCD"/>
    <w:rsid w:val="00193CE7"/>
    <w:rsid w:val="00195152"/>
    <w:rsid w:val="001952BD"/>
    <w:rsid w:val="00197EE4"/>
    <w:rsid w:val="001A18F7"/>
    <w:rsid w:val="001A2215"/>
    <w:rsid w:val="001A3207"/>
    <w:rsid w:val="001A3342"/>
    <w:rsid w:val="001A3A70"/>
    <w:rsid w:val="001A3E3D"/>
    <w:rsid w:val="001A48F0"/>
    <w:rsid w:val="001A551D"/>
    <w:rsid w:val="001A564F"/>
    <w:rsid w:val="001A58AF"/>
    <w:rsid w:val="001A678A"/>
    <w:rsid w:val="001A7049"/>
    <w:rsid w:val="001A7491"/>
    <w:rsid w:val="001B0DD0"/>
    <w:rsid w:val="001B0E40"/>
    <w:rsid w:val="001B0F93"/>
    <w:rsid w:val="001B1E40"/>
    <w:rsid w:val="001B1EE2"/>
    <w:rsid w:val="001B2063"/>
    <w:rsid w:val="001B339C"/>
    <w:rsid w:val="001B39ED"/>
    <w:rsid w:val="001B435A"/>
    <w:rsid w:val="001B65DE"/>
    <w:rsid w:val="001B7000"/>
    <w:rsid w:val="001B7B48"/>
    <w:rsid w:val="001C04A5"/>
    <w:rsid w:val="001C0F5C"/>
    <w:rsid w:val="001C1AE1"/>
    <w:rsid w:val="001C34ED"/>
    <w:rsid w:val="001C38D1"/>
    <w:rsid w:val="001C50D4"/>
    <w:rsid w:val="001C5ADE"/>
    <w:rsid w:val="001C6BD9"/>
    <w:rsid w:val="001C764E"/>
    <w:rsid w:val="001D0CC3"/>
    <w:rsid w:val="001D150C"/>
    <w:rsid w:val="001D19B0"/>
    <w:rsid w:val="001D359F"/>
    <w:rsid w:val="001D3AF1"/>
    <w:rsid w:val="001D4217"/>
    <w:rsid w:val="001D42A2"/>
    <w:rsid w:val="001D4A22"/>
    <w:rsid w:val="001D560A"/>
    <w:rsid w:val="001D5FD2"/>
    <w:rsid w:val="001E0A68"/>
    <w:rsid w:val="001E1052"/>
    <w:rsid w:val="001E2078"/>
    <w:rsid w:val="001E21B1"/>
    <w:rsid w:val="001E22D5"/>
    <w:rsid w:val="001E2F93"/>
    <w:rsid w:val="001E4554"/>
    <w:rsid w:val="001E4DD4"/>
    <w:rsid w:val="001E5E93"/>
    <w:rsid w:val="001E61E5"/>
    <w:rsid w:val="001E6DAE"/>
    <w:rsid w:val="001F1159"/>
    <w:rsid w:val="001F2159"/>
    <w:rsid w:val="001F5851"/>
    <w:rsid w:val="001F74DC"/>
    <w:rsid w:val="002004FF"/>
    <w:rsid w:val="00200502"/>
    <w:rsid w:val="002007D3"/>
    <w:rsid w:val="00202BB7"/>
    <w:rsid w:val="00203D08"/>
    <w:rsid w:val="00204139"/>
    <w:rsid w:val="00204CDE"/>
    <w:rsid w:val="00205BAF"/>
    <w:rsid w:val="00206A95"/>
    <w:rsid w:val="0020711E"/>
    <w:rsid w:val="002073E7"/>
    <w:rsid w:val="00210AD7"/>
    <w:rsid w:val="00210B8B"/>
    <w:rsid w:val="002123E7"/>
    <w:rsid w:val="00214863"/>
    <w:rsid w:val="002156B4"/>
    <w:rsid w:val="00215993"/>
    <w:rsid w:val="0022060D"/>
    <w:rsid w:val="002206FF"/>
    <w:rsid w:val="00220C49"/>
    <w:rsid w:val="00223D5E"/>
    <w:rsid w:val="00224FCD"/>
    <w:rsid w:val="00225948"/>
    <w:rsid w:val="00230503"/>
    <w:rsid w:val="0023064F"/>
    <w:rsid w:val="002306E4"/>
    <w:rsid w:val="00231207"/>
    <w:rsid w:val="0023193A"/>
    <w:rsid w:val="00231AD6"/>
    <w:rsid w:val="002327EA"/>
    <w:rsid w:val="00232E07"/>
    <w:rsid w:val="00233A88"/>
    <w:rsid w:val="00233AB4"/>
    <w:rsid w:val="00235951"/>
    <w:rsid w:val="00235DF4"/>
    <w:rsid w:val="0024063F"/>
    <w:rsid w:val="002407EF"/>
    <w:rsid w:val="00241853"/>
    <w:rsid w:val="00242324"/>
    <w:rsid w:val="002437C7"/>
    <w:rsid w:val="00244D65"/>
    <w:rsid w:val="002454E8"/>
    <w:rsid w:val="002460B6"/>
    <w:rsid w:val="00246B9D"/>
    <w:rsid w:val="00247F06"/>
    <w:rsid w:val="0025010F"/>
    <w:rsid w:val="00250A4D"/>
    <w:rsid w:val="002527E9"/>
    <w:rsid w:val="002528C5"/>
    <w:rsid w:val="0025303E"/>
    <w:rsid w:val="00253222"/>
    <w:rsid w:val="002533C3"/>
    <w:rsid w:val="00254AB0"/>
    <w:rsid w:val="0025745A"/>
    <w:rsid w:val="00257A67"/>
    <w:rsid w:val="00257C89"/>
    <w:rsid w:val="002619A8"/>
    <w:rsid w:val="00262847"/>
    <w:rsid w:val="00262F56"/>
    <w:rsid w:val="002633B0"/>
    <w:rsid w:val="002645CB"/>
    <w:rsid w:val="0026570C"/>
    <w:rsid w:val="002668F1"/>
    <w:rsid w:val="00266998"/>
    <w:rsid w:val="002675AB"/>
    <w:rsid w:val="00275570"/>
    <w:rsid w:val="00275D91"/>
    <w:rsid w:val="00276A0A"/>
    <w:rsid w:val="00276A75"/>
    <w:rsid w:val="002772FB"/>
    <w:rsid w:val="00277367"/>
    <w:rsid w:val="00277594"/>
    <w:rsid w:val="0028091B"/>
    <w:rsid w:val="00281BB2"/>
    <w:rsid w:val="002826ED"/>
    <w:rsid w:val="002827D0"/>
    <w:rsid w:val="00282FE8"/>
    <w:rsid w:val="0028434A"/>
    <w:rsid w:val="00284748"/>
    <w:rsid w:val="00284D9A"/>
    <w:rsid w:val="002854CA"/>
    <w:rsid w:val="00286009"/>
    <w:rsid w:val="00286444"/>
    <w:rsid w:val="0028691F"/>
    <w:rsid w:val="002875FC"/>
    <w:rsid w:val="00287DCA"/>
    <w:rsid w:val="002913FC"/>
    <w:rsid w:val="00292311"/>
    <w:rsid w:val="00292889"/>
    <w:rsid w:val="00292FAA"/>
    <w:rsid w:val="0029499B"/>
    <w:rsid w:val="00295126"/>
    <w:rsid w:val="00295728"/>
    <w:rsid w:val="00295E44"/>
    <w:rsid w:val="002970E0"/>
    <w:rsid w:val="00297433"/>
    <w:rsid w:val="00297847"/>
    <w:rsid w:val="002A007C"/>
    <w:rsid w:val="002A018C"/>
    <w:rsid w:val="002A1DFF"/>
    <w:rsid w:val="002A2842"/>
    <w:rsid w:val="002A387A"/>
    <w:rsid w:val="002A391C"/>
    <w:rsid w:val="002A4C08"/>
    <w:rsid w:val="002B09C7"/>
    <w:rsid w:val="002B11D4"/>
    <w:rsid w:val="002B254E"/>
    <w:rsid w:val="002B667C"/>
    <w:rsid w:val="002B72E9"/>
    <w:rsid w:val="002B7E51"/>
    <w:rsid w:val="002C0957"/>
    <w:rsid w:val="002C1682"/>
    <w:rsid w:val="002C2295"/>
    <w:rsid w:val="002C22A6"/>
    <w:rsid w:val="002C3AA0"/>
    <w:rsid w:val="002C3B2F"/>
    <w:rsid w:val="002C4066"/>
    <w:rsid w:val="002C4D1F"/>
    <w:rsid w:val="002C59E2"/>
    <w:rsid w:val="002C74D4"/>
    <w:rsid w:val="002C7998"/>
    <w:rsid w:val="002D05A1"/>
    <w:rsid w:val="002D110B"/>
    <w:rsid w:val="002D2291"/>
    <w:rsid w:val="002D3D50"/>
    <w:rsid w:val="002D4457"/>
    <w:rsid w:val="002D4F47"/>
    <w:rsid w:val="002D5DCD"/>
    <w:rsid w:val="002D653E"/>
    <w:rsid w:val="002D6E84"/>
    <w:rsid w:val="002D728B"/>
    <w:rsid w:val="002D750A"/>
    <w:rsid w:val="002D75D8"/>
    <w:rsid w:val="002D7C91"/>
    <w:rsid w:val="002E0656"/>
    <w:rsid w:val="002E10C4"/>
    <w:rsid w:val="002E1AD9"/>
    <w:rsid w:val="002E1D13"/>
    <w:rsid w:val="002E22CA"/>
    <w:rsid w:val="002E27EE"/>
    <w:rsid w:val="002E4012"/>
    <w:rsid w:val="002E6086"/>
    <w:rsid w:val="002E64F0"/>
    <w:rsid w:val="002F0AB5"/>
    <w:rsid w:val="002F17C7"/>
    <w:rsid w:val="002F1E53"/>
    <w:rsid w:val="002F20E9"/>
    <w:rsid w:val="002F2CAA"/>
    <w:rsid w:val="002F2ED3"/>
    <w:rsid w:val="002F2F3B"/>
    <w:rsid w:val="002F3142"/>
    <w:rsid w:val="002F4ADB"/>
    <w:rsid w:val="002F77CB"/>
    <w:rsid w:val="002F7980"/>
    <w:rsid w:val="002F7CD0"/>
    <w:rsid w:val="002F7DA5"/>
    <w:rsid w:val="002F7F3C"/>
    <w:rsid w:val="003002EF"/>
    <w:rsid w:val="00300400"/>
    <w:rsid w:val="0030052C"/>
    <w:rsid w:val="003010BB"/>
    <w:rsid w:val="0030118F"/>
    <w:rsid w:val="00301547"/>
    <w:rsid w:val="00301F02"/>
    <w:rsid w:val="00302630"/>
    <w:rsid w:val="00302929"/>
    <w:rsid w:val="003036DE"/>
    <w:rsid w:val="00303DEF"/>
    <w:rsid w:val="00304097"/>
    <w:rsid w:val="00304A1D"/>
    <w:rsid w:val="00305462"/>
    <w:rsid w:val="0030580C"/>
    <w:rsid w:val="00307FC5"/>
    <w:rsid w:val="003102B4"/>
    <w:rsid w:val="00310E08"/>
    <w:rsid w:val="00311533"/>
    <w:rsid w:val="003135F8"/>
    <w:rsid w:val="0031371B"/>
    <w:rsid w:val="00313976"/>
    <w:rsid w:val="003147E5"/>
    <w:rsid w:val="0031551D"/>
    <w:rsid w:val="00317403"/>
    <w:rsid w:val="00317AE9"/>
    <w:rsid w:val="003208C3"/>
    <w:rsid w:val="00320C55"/>
    <w:rsid w:val="00320CA7"/>
    <w:rsid w:val="00321A02"/>
    <w:rsid w:val="00321FD4"/>
    <w:rsid w:val="00322444"/>
    <w:rsid w:val="003238A4"/>
    <w:rsid w:val="00323ED0"/>
    <w:rsid w:val="00323F96"/>
    <w:rsid w:val="00324979"/>
    <w:rsid w:val="00326081"/>
    <w:rsid w:val="00326B01"/>
    <w:rsid w:val="003272AD"/>
    <w:rsid w:val="003306E1"/>
    <w:rsid w:val="00331C7A"/>
    <w:rsid w:val="00331F49"/>
    <w:rsid w:val="003320E4"/>
    <w:rsid w:val="00333FC0"/>
    <w:rsid w:val="00334BC4"/>
    <w:rsid w:val="003351E5"/>
    <w:rsid w:val="0033525D"/>
    <w:rsid w:val="00335498"/>
    <w:rsid w:val="0033693C"/>
    <w:rsid w:val="0033745E"/>
    <w:rsid w:val="0034054A"/>
    <w:rsid w:val="00340A49"/>
    <w:rsid w:val="003414F3"/>
    <w:rsid w:val="003431B1"/>
    <w:rsid w:val="003437BA"/>
    <w:rsid w:val="00344718"/>
    <w:rsid w:val="00344BAC"/>
    <w:rsid w:val="00345043"/>
    <w:rsid w:val="003503D5"/>
    <w:rsid w:val="00350442"/>
    <w:rsid w:val="00350B36"/>
    <w:rsid w:val="00351639"/>
    <w:rsid w:val="003517F6"/>
    <w:rsid w:val="003527C3"/>
    <w:rsid w:val="0035325F"/>
    <w:rsid w:val="00355761"/>
    <w:rsid w:val="003558C4"/>
    <w:rsid w:val="0035613E"/>
    <w:rsid w:val="0035658D"/>
    <w:rsid w:val="00356DA6"/>
    <w:rsid w:val="00357C9B"/>
    <w:rsid w:val="00357D02"/>
    <w:rsid w:val="00360314"/>
    <w:rsid w:val="0036103C"/>
    <w:rsid w:val="0036130A"/>
    <w:rsid w:val="00361A26"/>
    <w:rsid w:val="00362601"/>
    <w:rsid w:val="003634ED"/>
    <w:rsid w:val="00363EE9"/>
    <w:rsid w:val="003642D7"/>
    <w:rsid w:val="0036507D"/>
    <w:rsid w:val="003666E6"/>
    <w:rsid w:val="00367061"/>
    <w:rsid w:val="00367CDE"/>
    <w:rsid w:val="00370D86"/>
    <w:rsid w:val="00371F02"/>
    <w:rsid w:val="00372043"/>
    <w:rsid w:val="0037291D"/>
    <w:rsid w:val="00372F67"/>
    <w:rsid w:val="00373438"/>
    <w:rsid w:val="00373F98"/>
    <w:rsid w:val="00374706"/>
    <w:rsid w:val="003747C9"/>
    <w:rsid w:val="00376128"/>
    <w:rsid w:val="003768A4"/>
    <w:rsid w:val="00376F73"/>
    <w:rsid w:val="003772EA"/>
    <w:rsid w:val="0037742E"/>
    <w:rsid w:val="003779C7"/>
    <w:rsid w:val="00377D56"/>
    <w:rsid w:val="00377E25"/>
    <w:rsid w:val="00380306"/>
    <w:rsid w:val="00380D12"/>
    <w:rsid w:val="00380D1E"/>
    <w:rsid w:val="003810D5"/>
    <w:rsid w:val="003815BE"/>
    <w:rsid w:val="00381811"/>
    <w:rsid w:val="00382360"/>
    <w:rsid w:val="0038245A"/>
    <w:rsid w:val="00382C24"/>
    <w:rsid w:val="00383D85"/>
    <w:rsid w:val="003840E6"/>
    <w:rsid w:val="00385CFC"/>
    <w:rsid w:val="00386168"/>
    <w:rsid w:val="00386A5D"/>
    <w:rsid w:val="00386E04"/>
    <w:rsid w:val="003879CC"/>
    <w:rsid w:val="00387A5C"/>
    <w:rsid w:val="00390475"/>
    <w:rsid w:val="0039337A"/>
    <w:rsid w:val="0039343A"/>
    <w:rsid w:val="00393ACA"/>
    <w:rsid w:val="003949E3"/>
    <w:rsid w:val="0039626A"/>
    <w:rsid w:val="0039710E"/>
    <w:rsid w:val="0039742D"/>
    <w:rsid w:val="00397626"/>
    <w:rsid w:val="003A0C33"/>
    <w:rsid w:val="003A1B46"/>
    <w:rsid w:val="003A20C1"/>
    <w:rsid w:val="003A20F6"/>
    <w:rsid w:val="003A2414"/>
    <w:rsid w:val="003A3189"/>
    <w:rsid w:val="003A3CA7"/>
    <w:rsid w:val="003A47B6"/>
    <w:rsid w:val="003A4876"/>
    <w:rsid w:val="003B0F4C"/>
    <w:rsid w:val="003B33BD"/>
    <w:rsid w:val="003B569D"/>
    <w:rsid w:val="003B57FE"/>
    <w:rsid w:val="003B620B"/>
    <w:rsid w:val="003B7CC8"/>
    <w:rsid w:val="003B7FBC"/>
    <w:rsid w:val="003C05D1"/>
    <w:rsid w:val="003C0E9B"/>
    <w:rsid w:val="003C3C0E"/>
    <w:rsid w:val="003C443F"/>
    <w:rsid w:val="003C46BF"/>
    <w:rsid w:val="003C4D34"/>
    <w:rsid w:val="003C5293"/>
    <w:rsid w:val="003C6FE7"/>
    <w:rsid w:val="003C724E"/>
    <w:rsid w:val="003C74CD"/>
    <w:rsid w:val="003C7501"/>
    <w:rsid w:val="003C77CD"/>
    <w:rsid w:val="003D0925"/>
    <w:rsid w:val="003D1473"/>
    <w:rsid w:val="003D2367"/>
    <w:rsid w:val="003D393E"/>
    <w:rsid w:val="003D42A6"/>
    <w:rsid w:val="003D42EB"/>
    <w:rsid w:val="003D4F21"/>
    <w:rsid w:val="003D4FAC"/>
    <w:rsid w:val="003D50B2"/>
    <w:rsid w:val="003D6D41"/>
    <w:rsid w:val="003E0733"/>
    <w:rsid w:val="003E0826"/>
    <w:rsid w:val="003E12AD"/>
    <w:rsid w:val="003E1713"/>
    <w:rsid w:val="003E3729"/>
    <w:rsid w:val="003E3F1A"/>
    <w:rsid w:val="003E4612"/>
    <w:rsid w:val="003E4E36"/>
    <w:rsid w:val="003E58D5"/>
    <w:rsid w:val="003E5C5A"/>
    <w:rsid w:val="003E60FB"/>
    <w:rsid w:val="003E6198"/>
    <w:rsid w:val="003E74FF"/>
    <w:rsid w:val="003E7906"/>
    <w:rsid w:val="003F0342"/>
    <w:rsid w:val="003F1986"/>
    <w:rsid w:val="003F1AFD"/>
    <w:rsid w:val="003F2191"/>
    <w:rsid w:val="003F3C50"/>
    <w:rsid w:val="003F4510"/>
    <w:rsid w:val="003F4B86"/>
    <w:rsid w:val="003F4FBE"/>
    <w:rsid w:val="003F5392"/>
    <w:rsid w:val="003F5493"/>
    <w:rsid w:val="003F68E0"/>
    <w:rsid w:val="003F6E33"/>
    <w:rsid w:val="00401159"/>
    <w:rsid w:val="0040122E"/>
    <w:rsid w:val="0040199F"/>
    <w:rsid w:val="00402D5F"/>
    <w:rsid w:val="00402E67"/>
    <w:rsid w:val="0040322A"/>
    <w:rsid w:val="0040385F"/>
    <w:rsid w:val="0040430F"/>
    <w:rsid w:val="00404980"/>
    <w:rsid w:val="0040579D"/>
    <w:rsid w:val="00405846"/>
    <w:rsid w:val="00405E39"/>
    <w:rsid w:val="00406A6A"/>
    <w:rsid w:val="00406B22"/>
    <w:rsid w:val="00406FE3"/>
    <w:rsid w:val="00407963"/>
    <w:rsid w:val="00410A49"/>
    <w:rsid w:val="00410D6D"/>
    <w:rsid w:val="00410D8B"/>
    <w:rsid w:val="00412FB2"/>
    <w:rsid w:val="004132C6"/>
    <w:rsid w:val="00413720"/>
    <w:rsid w:val="00416761"/>
    <w:rsid w:val="00416BAB"/>
    <w:rsid w:val="004174A4"/>
    <w:rsid w:val="0042072C"/>
    <w:rsid w:val="00422088"/>
    <w:rsid w:val="00422198"/>
    <w:rsid w:val="00422F90"/>
    <w:rsid w:val="00424055"/>
    <w:rsid w:val="004256B5"/>
    <w:rsid w:val="0042640D"/>
    <w:rsid w:val="00426875"/>
    <w:rsid w:val="00430793"/>
    <w:rsid w:val="004311EC"/>
    <w:rsid w:val="00431D9E"/>
    <w:rsid w:val="00432354"/>
    <w:rsid w:val="004328A7"/>
    <w:rsid w:val="00434C74"/>
    <w:rsid w:val="004368F2"/>
    <w:rsid w:val="00436BCE"/>
    <w:rsid w:val="004370E3"/>
    <w:rsid w:val="00437274"/>
    <w:rsid w:val="00440684"/>
    <w:rsid w:val="00440819"/>
    <w:rsid w:val="00441ABC"/>
    <w:rsid w:val="00441C70"/>
    <w:rsid w:val="00441D00"/>
    <w:rsid w:val="004423BB"/>
    <w:rsid w:val="004428F0"/>
    <w:rsid w:val="00442FF2"/>
    <w:rsid w:val="00443334"/>
    <w:rsid w:val="00443B81"/>
    <w:rsid w:val="00446440"/>
    <w:rsid w:val="0044658C"/>
    <w:rsid w:val="00450319"/>
    <w:rsid w:val="004515EA"/>
    <w:rsid w:val="00452637"/>
    <w:rsid w:val="00452C2B"/>
    <w:rsid w:val="00453EBA"/>
    <w:rsid w:val="004549FE"/>
    <w:rsid w:val="00455179"/>
    <w:rsid w:val="00456370"/>
    <w:rsid w:val="00456EB4"/>
    <w:rsid w:val="004576C7"/>
    <w:rsid w:val="00457CCB"/>
    <w:rsid w:val="0046045F"/>
    <w:rsid w:val="004607A3"/>
    <w:rsid w:val="004607A9"/>
    <w:rsid w:val="00461C09"/>
    <w:rsid w:val="00462BA8"/>
    <w:rsid w:val="00465340"/>
    <w:rsid w:val="004662C5"/>
    <w:rsid w:val="0046637D"/>
    <w:rsid w:val="004663E2"/>
    <w:rsid w:val="004673AC"/>
    <w:rsid w:val="00467700"/>
    <w:rsid w:val="0047049E"/>
    <w:rsid w:val="0047057B"/>
    <w:rsid w:val="004718F3"/>
    <w:rsid w:val="00471EA5"/>
    <w:rsid w:val="00472EAA"/>
    <w:rsid w:val="00473B4D"/>
    <w:rsid w:val="00474B0F"/>
    <w:rsid w:val="00475040"/>
    <w:rsid w:val="00475314"/>
    <w:rsid w:val="0048014E"/>
    <w:rsid w:val="004801D8"/>
    <w:rsid w:val="0048320B"/>
    <w:rsid w:val="00483A6C"/>
    <w:rsid w:val="004845F6"/>
    <w:rsid w:val="00486D8C"/>
    <w:rsid w:val="0048718D"/>
    <w:rsid w:val="00487295"/>
    <w:rsid w:val="00490E1C"/>
    <w:rsid w:val="004911DC"/>
    <w:rsid w:val="004912E8"/>
    <w:rsid w:val="00491500"/>
    <w:rsid w:val="00493D40"/>
    <w:rsid w:val="00493EAA"/>
    <w:rsid w:val="00495A2E"/>
    <w:rsid w:val="004967B6"/>
    <w:rsid w:val="00497B74"/>
    <w:rsid w:val="00497CEB"/>
    <w:rsid w:val="004A041B"/>
    <w:rsid w:val="004A07E2"/>
    <w:rsid w:val="004A2550"/>
    <w:rsid w:val="004A25B9"/>
    <w:rsid w:val="004A27AC"/>
    <w:rsid w:val="004A3AF1"/>
    <w:rsid w:val="004A504B"/>
    <w:rsid w:val="004A5206"/>
    <w:rsid w:val="004A5387"/>
    <w:rsid w:val="004A605C"/>
    <w:rsid w:val="004A6150"/>
    <w:rsid w:val="004A657A"/>
    <w:rsid w:val="004A6911"/>
    <w:rsid w:val="004A7832"/>
    <w:rsid w:val="004A7BA7"/>
    <w:rsid w:val="004B0F3E"/>
    <w:rsid w:val="004B1288"/>
    <w:rsid w:val="004B1E15"/>
    <w:rsid w:val="004B3407"/>
    <w:rsid w:val="004B4124"/>
    <w:rsid w:val="004B54E0"/>
    <w:rsid w:val="004B6C7B"/>
    <w:rsid w:val="004B6DC7"/>
    <w:rsid w:val="004B7384"/>
    <w:rsid w:val="004B7944"/>
    <w:rsid w:val="004B7EE8"/>
    <w:rsid w:val="004C057D"/>
    <w:rsid w:val="004C32E6"/>
    <w:rsid w:val="004C34D7"/>
    <w:rsid w:val="004C4269"/>
    <w:rsid w:val="004C4E2D"/>
    <w:rsid w:val="004C50B5"/>
    <w:rsid w:val="004C6203"/>
    <w:rsid w:val="004D085F"/>
    <w:rsid w:val="004D1623"/>
    <w:rsid w:val="004D2C72"/>
    <w:rsid w:val="004D2FC4"/>
    <w:rsid w:val="004D32B6"/>
    <w:rsid w:val="004D34CA"/>
    <w:rsid w:val="004D384A"/>
    <w:rsid w:val="004D5032"/>
    <w:rsid w:val="004D6236"/>
    <w:rsid w:val="004D6AAE"/>
    <w:rsid w:val="004D6F32"/>
    <w:rsid w:val="004D7023"/>
    <w:rsid w:val="004D7F90"/>
    <w:rsid w:val="004E01AD"/>
    <w:rsid w:val="004E02F4"/>
    <w:rsid w:val="004E1EE8"/>
    <w:rsid w:val="004E1FE2"/>
    <w:rsid w:val="004E2142"/>
    <w:rsid w:val="004E21B8"/>
    <w:rsid w:val="004E29E5"/>
    <w:rsid w:val="004E2F88"/>
    <w:rsid w:val="004E42C6"/>
    <w:rsid w:val="004E4D20"/>
    <w:rsid w:val="004E4DBB"/>
    <w:rsid w:val="004E4E41"/>
    <w:rsid w:val="004E5002"/>
    <w:rsid w:val="004E7D62"/>
    <w:rsid w:val="004E7F9C"/>
    <w:rsid w:val="004F00A8"/>
    <w:rsid w:val="004F02B5"/>
    <w:rsid w:val="004F1462"/>
    <w:rsid w:val="004F3493"/>
    <w:rsid w:val="004F3BCF"/>
    <w:rsid w:val="004F41D0"/>
    <w:rsid w:val="004F42A0"/>
    <w:rsid w:val="004F4A73"/>
    <w:rsid w:val="004F4AEB"/>
    <w:rsid w:val="004F503A"/>
    <w:rsid w:val="004F5143"/>
    <w:rsid w:val="004F5448"/>
    <w:rsid w:val="004F5F13"/>
    <w:rsid w:val="004F5F65"/>
    <w:rsid w:val="004F6E4E"/>
    <w:rsid w:val="0050032E"/>
    <w:rsid w:val="005007BD"/>
    <w:rsid w:val="00500E0D"/>
    <w:rsid w:val="005017FB"/>
    <w:rsid w:val="00501920"/>
    <w:rsid w:val="00501B99"/>
    <w:rsid w:val="00501DE8"/>
    <w:rsid w:val="00502108"/>
    <w:rsid w:val="0050255C"/>
    <w:rsid w:val="00502FDB"/>
    <w:rsid w:val="005042E1"/>
    <w:rsid w:val="005053C3"/>
    <w:rsid w:val="00506E1D"/>
    <w:rsid w:val="00507C01"/>
    <w:rsid w:val="00510223"/>
    <w:rsid w:val="00510CE7"/>
    <w:rsid w:val="00511DA2"/>
    <w:rsid w:val="00512B09"/>
    <w:rsid w:val="00512D99"/>
    <w:rsid w:val="0051326D"/>
    <w:rsid w:val="00514676"/>
    <w:rsid w:val="005146A0"/>
    <w:rsid w:val="00514B94"/>
    <w:rsid w:val="00514E7F"/>
    <w:rsid w:val="005154E3"/>
    <w:rsid w:val="00517B92"/>
    <w:rsid w:val="00520ADB"/>
    <w:rsid w:val="00520E8D"/>
    <w:rsid w:val="00520FDB"/>
    <w:rsid w:val="00521112"/>
    <w:rsid w:val="0052119A"/>
    <w:rsid w:val="005211DE"/>
    <w:rsid w:val="005220ED"/>
    <w:rsid w:val="005222DD"/>
    <w:rsid w:val="00522DED"/>
    <w:rsid w:val="005232CE"/>
    <w:rsid w:val="00523A67"/>
    <w:rsid w:val="00523A82"/>
    <w:rsid w:val="00523B32"/>
    <w:rsid w:val="00523E0B"/>
    <w:rsid w:val="00524312"/>
    <w:rsid w:val="00524A53"/>
    <w:rsid w:val="0052514A"/>
    <w:rsid w:val="00525182"/>
    <w:rsid w:val="005265CF"/>
    <w:rsid w:val="0052797C"/>
    <w:rsid w:val="00530671"/>
    <w:rsid w:val="00531557"/>
    <w:rsid w:val="005328DA"/>
    <w:rsid w:val="005332C6"/>
    <w:rsid w:val="005334A8"/>
    <w:rsid w:val="005335AA"/>
    <w:rsid w:val="0053372A"/>
    <w:rsid w:val="00533796"/>
    <w:rsid w:val="0053424E"/>
    <w:rsid w:val="00535135"/>
    <w:rsid w:val="005372A6"/>
    <w:rsid w:val="00537343"/>
    <w:rsid w:val="00537AE1"/>
    <w:rsid w:val="00537B81"/>
    <w:rsid w:val="005411C8"/>
    <w:rsid w:val="00543742"/>
    <w:rsid w:val="00543D94"/>
    <w:rsid w:val="005447A9"/>
    <w:rsid w:val="005454A2"/>
    <w:rsid w:val="00546224"/>
    <w:rsid w:val="005462AF"/>
    <w:rsid w:val="00546362"/>
    <w:rsid w:val="00546ECE"/>
    <w:rsid w:val="00550393"/>
    <w:rsid w:val="005517C1"/>
    <w:rsid w:val="0055225E"/>
    <w:rsid w:val="005529CC"/>
    <w:rsid w:val="00552FA1"/>
    <w:rsid w:val="005547EC"/>
    <w:rsid w:val="005559D3"/>
    <w:rsid w:val="00555D75"/>
    <w:rsid w:val="005566F3"/>
    <w:rsid w:val="00556EC6"/>
    <w:rsid w:val="0056015E"/>
    <w:rsid w:val="00560DF0"/>
    <w:rsid w:val="00562E85"/>
    <w:rsid w:val="00562ED1"/>
    <w:rsid w:val="00563D55"/>
    <w:rsid w:val="00564161"/>
    <w:rsid w:val="00564D56"/>
    <w:rsid w:val="0056614F"/>
    <w:rsid w:val="00566A32"/>
    <w:rsid w:val="0056759C"/>
    <w:rsid w:val="00567B6C"/>
    <w:rsid w:val="00572792"/>
    <w:rsid w:val="00572F2A"/>
    <w:rsid w:val="0057382F"/>
    <w:rsid w:val="005738A7"/>
    <w:rsid w:val="00573977"/>
    <w:rsid w:val="00573D4E"/>
    <w:rsid w:val="0057400C"/>
    <w:rsid w:val="00574CB8"/>
    <w:rsid w:val="00575C51"/>
    <w:rsid w:val="00575EFA"/>
    <w:rsid w:val="005765A3"/>
    <w:rsid w:val="00576ADD"/>
    <w:rsid w:val="00583533"/>
    <w:rsid w:val="00583A7B"/>
    <w:rsid w:val="00583E9B"/>
    <w:rsid w:val="00583EF8"/>
    <w:rsid w:val="00584B40"/>
    <w:rsid w:val="00586048"/>
    <w:rsid w:val="005861E1"/>
    <w:rsid w:val="00587028"/>
    <w:rsid w:val="00587171"/>
    <w:rsid w:val="005874E2"/>
    <w:rsid w:val="005877AA"/>
    <w:rsid w:val="00590B3B"/>
    <w:rsid w:val="00591008"/>
    <w:rsid w:val="00592D1F"/>
    <w:rsid w:val="00593025"/>
    <w:rsid w:val="0059513E"/>
    <w:rsid w:val="005963D0"/>
    <w:rsid w:val="00597602"/>
    <w:rsid w:val="005A03A4"/>
    <w:rsid w:val="005A1447"/>
    <w:rsid w:val="005A1593"/>
    <w:rsid w:val="005A1795"/>
    <w:rsid w:val="005A1F01"/>
    <w:rsid w:val="005A230F"/>
    <w:rsid w:val="005A25F7"/>
    <w:rsid w:val="005A39DE"/>
    <w:rsid w:val="005A48CD"/>
    <w:rsid w:val="005A6AA4"/>
    <w:rsid w:val="005A6D9F"/>
    <w:rsid w:val="005A71AC"/>
    <w:rsid w:val="005B1299"/>
    <w:rsid w:val="005B158F"/>
    <w:rsid w:val="005B1B41"/>
    <w:rsid w:val="005B2F62"/>
    <w:rsid w:val="005B4664"/>
    <w:rsid w:val="005B48FF"/>
    <w:rsid w:val="005B4AAA"/>
    <w:rsid w:val="005B72B5"/>
    <w:rsid w:val="005B7860"/>
    <w:rsid w:val="005B7948"/>
    <w:rsid w:val="005C0D78"/>
    <w:rsid w:val="005C0FD0"/>
    <w:rsid w:val="005C1769"/>
    <w:rsid w:val="005C2900"/>
    <w:rsid w:val="005C3B42"/>
    <w:rsid w:val="005C46FC"/>
    <w:rsid w:val="005C5267"/>
    <w:rsid w:val="005C5699"/>
    <w:rsid w:val="005C5E40"/>
    <w:rsid w:val="005C65A9"/>
    <w:rsid w:val="005C66BD"/>
    <w:rsid w:val="005C6C74"/>
    <w:rsid w:val="005C6EEF"/>
    <w:rsid w:val="005C7375"/>
    <w:rsid w:val="005C7485"/>
    <w:rsid w:val="005C77DF"/>
    <w:rsid w:val="005C78B4"/>
    <w:rsid w:val="005C7D9B"/>
    <w:rsid w:val="005D09D0"/>
    <w:rsid w:val="005D1544"/>
    <w:rsid w:val="005D2675"/>
    <w:rsid w:val="005D2977"/>
    <w:rsid w:val="005D363C"/>
    <w:rsid w:val="005D363F"/>
    <w:rsid w:val="005D37DA"/>
    <w:rsid w:val="005D3A8A"/>
    <w:rsid w:val="005D5A6D"/>
    <w:rsid w:val="005D5C51"/>
    <w:rsid w:val="005D656D"/>
    <w:rsid w:val="005D7361"/>
    <w:rsid w:val="005D7E27"/>
    <w:rsid w:val="005E1480"/>
    <w:rsid w:val="005E2AAC"/>
    <w:rsid w:val="005E2DE2"/>
    <w:rsid w:val="005E2E04"/>
    <w:rsid w:val="005E3283"/>
    <w:rsid w:val="005E358B"/>
    <w:rsid w:val="005E41F8"/>
    <w:rsid w:val="005E52AB"/>
    <w:rsid w:val="005E5C0A"/>
    <w:rsid w:val="005E6047"/>
    <w:rsid w:val="005E777F"/>
    <w:rsid w:val="005E7BC8"/>
    <w:rsid w:val="005F12D1"/>
    <w:rsid w:val="005F1D31"/>
    <w:rsid w:val="005F31C4"/>
    <w:rsid w:val="005F5473"/>
    <w:rsid w:val="005F5A11"/>
    <w:rsid w:val="005F5F74"/>
    <w:rsid w:val="005F6230"/>
    <w:rsid w:val="005F6BF1"/>
    <w:rsid w:val="005F746C"/>
    <w:rsid w:val="005F7628"/>
    <w:rsid w:val="00600A8F"/>
    <w:rsid w:val="00600B65"/>
    <w:rsid w:val="00600C00"/>
    <w:rsid w:val="00600FC2"/>
    <w:rsid w:val="0060119F"/>
    <w:rsid w:val="00601365"/>
    <w:rsid w:val="006022EC"/>
    <w:rsid w:val="00602934"/>
    <w:rsid w:val="00602ECE"/>
    <w:rsid w:val="00603C5D"/>
    <w:rsid w:val="00604C15"/>
    <w:rsid w:val="00604D68"/>
    <w:rsid w:val="0061101C"/>
    <w:rsid w:val="00613D3E"/>
    <w:rsid w:val="006146CF"/>
    <w:rsid w:val="006158D5"/>
    <w:rsid w:val="00616680"/>
    <w:rsid w:val="00620019"/>
    <w:rsid w:val="00620529"/>
    <w:rsid w:val="00621C41"/>
    <w:rsid w:val="0062204F"/>
    <w:rsid w:val="0062210D"/>
    <w:rsid w:val="00623EB6"/>
    <w:rsid w:val="00624FC7"/>
    <w:rsid w:val="00625A03"/>
    <w:rsid w:val="00625D83"/>
    <w:rsid w:val="00626266"/>
    <w:rsid w:val="006308E0"/>
    <w:rsid w:val="0063311C"/>
    <w:rsid w:val="00633EC0"/>
    <w:rsid w:val="00637439"/>
    <w:rsid w:val="00637F94"/>
    <w:rsid w:val="00640383"/>
    <w:rsid w:val="006406C1"/>
    <w:rsid w:val="00640E96"/>
    <w:rsid w:val="006412FE"/>
    <w:rsid w:val="0064132A"/>
    <w:rsid w:val="00641CF3"/>
    <w:rsid w:val="00642B0E"/>
    <w:rsid w:val="006434C6"/>
    <w:rsid w:val="00643A2A"/>
    <w:rsid w:val="00643C38"/>
    <w:rsid w:val="0064531A"/>
    <w:rsid w:val="0064648D"/>
    <w:rsid w:val="00646CB4"/>
    <w:rsid w:val="00647E8A"/>
    <w:rsid w:val="00647F3F"/>
    <w:rsid w:val="0065298E"/>
    <w:rsid w:val="00653107"/>
    <w:rsid w:val="006534A3"/>
    <w:rsid w:val="006551E2"/>
    <w:rsid w:val="00655680"/>
    <w:rsid w:val="00655A9E"/>
    <w:rsid w:val="00656D69"/>
    <w:rsid w:val="00657616"/>
    <w:rsid w:val="00660E2F"/>
    <w:rsid w:val="0066200C"/>
    <w:rsid w:val="006623E7"/>
    <w:rsid w:val="00662B80"/>
    <w:rsid w:val="006634D1"/>
    <w:rsid w:val="006638DC"/>
    <w:rsid w:val="0066602A"/>
    <w:rsid w:val="006666A7"/>
    <w:rsid w:val="0066684F"/>
    <w:rsid w:val="00667A65"/>
    <w:rsid w:val="00667F1F"/>
    <w:rsid w:val="00670F6C"/>
    <w:rsid w:val="00671483"/>
    <w:rsid w:val="006719D3"/>
    <w:rsid w:val="00672449"/>
    <w:rsid w:val="006724C4"/>
    <w:rsid w:val="00674A44"/>
    <w:rsid w:val="00675B58"/>
    <w:rsid w:val="006762BA"/>
    <w:rsid w:val="006766C2"/>
    <w:rsid w:val="0067744E"/>
    <w:rsid w:val="00677919"/>
    <w:rsid w:val="00677BFE"/>
    <w:rsid w:val="00677E09"/>
    <w:rsid w:val="006811E7"/>
    <w:rsid w:val="00681A31"/>
    <w:rsid w:val="00683093"/>
    <w:rsid w:val="00683151"/>
    <w:rsid w:val="006832F6"/>
    <w:rsid w:val="00683440"/>
    <w:rsid w:val="006852C7"/>
    <w:rsid w:val="006852CE"/>
    <w:rsid w:val="006865CD"/>
    <w:rsid w:val="006870F3"/>
    <w:rsid w:val="006900FA"/>
    <w:rsid w:val="006916F7"/>
    <w:rsid w:val="0069257E"/>
    <w:rsid w:val="00692D14"/>
    <w:rsid w:val="00693B40"/>
    <w:rsid w:val="006944BF"/>
    <w:rsid w:val="00694E9C"/>
    <w:rsid w:val="0069598D"/>
    <w:rsid w:val="006968FC"/>
    <w:rsid w:val="00697065"/>
    <w:rsid w:val="0069731F"/>
    <w:rsid w:val="006A1934"/>
    <w:rsid w:val="006A215C"/>
    <w:rsid w:val="006A4FEB"/>
    <w:rsid w:val="006A5B9A"/>
    <w:rsid w:val="006A5C9B"/>
    <w:rsid w:val="006A6736"/>
    <w:rsid w:val="006A67B4"/>
    <w:rsid w:val="006A69DB"/>
    <w:rsid w:val="006A74A1"/>
    <w:rsid w:val="006A76B4"/>
    <w:rsid w:val="006B0547"/>
    <w:rsid w:val="006B2359"/>
    <w:rsid w:val="006B2761"/>
    <w:rsid w:val="006B4CAA"/>
    <w:rsid w:val="006B623A"/>
    <w:rsid w:val="006B65C7"/>
    <w:rsid w:val="006B6835"/>
    <w:rsid w:val="006B7677"/>
    <w:rsid w:val="006B7FEE"/>
    <w:rsid w:val="006C1727"/>
    <w:rsid w:val="006C1A1E"/>
    <w:rsid w:val="006C2CC0"/>
    <w:rsid w:val="006C32FD"/>
    <w:rsid w:val="006C332D"/>
    <w:rsid w:val="006C3909"/>
    <w:rsid w:val="006C39CE"/>
    <w:rsid w:val="006C3F71"/>
    <w:rsid w:val="006C5B1A"/>
    <w:rsid w:val="006C6162"/>
    <w:rsid w:val="006C7BAE"/>
    <w:rsid w:val="006D0D7F"/>
    <w:rsid w:val="006D0FCC"/>
    <w:rsid w:val="006D10A6"/>
    <w:rsid w:val="006D21F5"/>
    <w:rsid w:val="006D4B03"/>
    <w:rsid w:val="006D5315"/>
    <w:rsid w:val="006D549E"/>
    <w:rsid w:val="006D5EB4"/>
    <w:rsid w:val="006D62A8"/>
    <w:rsid w:val="006D6F89"/>
    <w:rsid w:val="006D759C"/>
    <w:rsid w:val="006E126D"/>
    <w:rsid w:val="006E1EEC"/>
    <w:rsid w:val="006E1FC3"/>
    <w:rsid w:val="006E2A16"/>
    <w:rsid w:val="006E325B"/>
    <w:rsid w:val="006E3846"/>
    <w:rsid w:val="006E3E0B"/>
    <w:rsid w:val="006E4EDE"/>
    <w:rsid w:val="006E4F5A"/>
    <w:rsid w:val="006E63E2"/>
    <w:rsid w:val="006F2D70"/>
    <w:rsid w:val="006F5F8D"/>
    <w:rsid w:val="006F62D0"/>
    <w:rsid w:val="006F6B84"/>
    <w:rsid w:val="006F6EDD"/>
    <w:rsid w:val="007000D4"/>
    <w:rsid w:val="00702B8D"/>
    <w:rsid w:val="00702C13"/>
    <w:rsid w:val="00703221"/>
    <w:rsid w:val="00703C3A"/>
    <w:rsid w:val="00704A20"/>
    <w:rsid w:val="00704CE9"/>
    <w:rsid w:val="007050CC"/>
    <w:rsid w:val="0070616B"/>
    <w:rsid w:val="00706295"/>
    <w:rsid w:val="00706969"/>
    <w:rsid w:val="00706FDA"/>
    <w:rsid w:val="007076D8"/>
    <w:rsid w:val="0071003F"/>
    <w:rsid w:val="007103BE"/>
    <w:rsid w:val="00710AFA"/>
    <w:rsid w:val="00710E65"/>
    <w:rsid w:val="007110B6"/>
    <w:rsid w:val="007118EA"/>
    <w:rsid w:val="00711F9A"/>
    <w:rsid w:val="00712F68"/>
    <w:rsid w:val="00713810"/>
    <w:rsid w:val="00713882"/>
    <w:rsid w:val="007154F3"/>
    <w:rsid w:val="007159C9"/>
    <w:rsid w:val="00715C7B"/>
    <w:rsid w:val="00716466"/>
    <w:rsid w:val="007179E9"/>
    <w:rsid w:val="00720C6F"/>
    <w:rsid w:val="00720E5E"/>
    <w:rsid w:val="0072281F"/>
    <w:rsid w:val="007237F5"/>
    <w:rsid w:val="00726027"/>
    <w:rsid w:val="007260BB"/>
    <w:rsid w:val="00726611"/>
    <w:rsid w:val="007303A5"/>
    <w:rsid w:val="00730B3E"/>
    <w:rsid w:val="00731305"/>
    <w:rsid w:val="00731B07"/>
    <w:rsid w:val="00732651"/>
    <w:rsid w:val="0073420B"/>
    <w:rsid w:val="0073441A"/>
    <w:rsid w:val="00734BC4"/>
    <w:rsid w:val="00735E4B"/>
    <w:rsid w:val="0073671F"/>
    <w:rsid w:val="00737595"/>
    <w:rsid w:val="00742397"/>
    <w:rsid w:val="007438D3"/>
    <w:rsid w:val="00743C00"/>
    <w:rsid w:val="00744CFB"/>
    <w:rsid w:val="0074736C"/>
    <w:rsid w:val="0074760E"/>
    <w:rsid w:val="00747D6E"/>
    <w:rsid w:val="00751035"/>
    <w:rsid w:val="0075179F"/>
    <w:rsid w:val="00751B14"/>
    <w:rsid w:val="00753D47"/>
    <w:rsid w:val="00754774"/>
    <w:rsid w:val="00754A5B"/>
    <w:rsid w:val="00754ABA"/>
    <w:rsid w:val="00755644"/>
    <w:rsid w:val="00755FD4"/>
    <w:rsid w:val="007562B4"/>
    <w:rsid w:val="00756BBB"/>
    <w:rsid w:val="00756D1D"/>
    <w:rsid w:val="00756E0F"/>
    <w:rsid w:val="00756E27"/>
    <w:rsid w:val="007579D3"/>
    <w:rsid w:val="007609FC"/>
    <w:rsid w:val="007638D0"/>
    <w:rsid w:val="0076453D"/>
    <w:rsid w:val="00764574"/>
    <w:rsid w:val="007645D9"/>
    <w:rsid w:val="007647F1"/>
    <w:rsid w:val="00764D26"/>
    <w:rsid w:val="00764E70"/>
    <w:rsid w:val="0076656B"/>
    <w:rsid w:val="00767A64"/>
    <w:rsid w:val="0077058E"/>
    <w:rsid w:val="007711D8"/>
    <w:rsid w:val="0077158B"/>
    <w:rsid w:val="007737E6"/>
    <w:rsid w:val="007738E3"/>
    <w:rsid w:val="0077428A"/>
    <w:rsid w:val="00774699"/>
    <w:rsid w:val="00776B32"/>
    <w:rsid w:val="007770D6"/>
    <w:rsid w:val="0077741A"/>
    <w:rsid w:val="007778FC"/>
    <w:rsid w:val="00777C05"/>
    <w:rsid w:val="00780D3A"/>
    <w:rsid w:val="00781179"/>
    <w:rsid w:val="00781655"/>
    <w:rsid w:val="00781A31"/>
    <w:rsid w:val="00781D74"/>
    <w:rsid w:val="00783A32"/>
    <w:rsid w:val="00783F24"/>
    <w:rsid w:val="0078453B"/>
    <w:rsid w:val="00786912"/>
    <w:rsid w:val="00787640"/>
    <w:rsid w:val="00787F03"/>
    <w:rsid w:val="007903A8"/>
    <w:rsid w:val="007915AB"/>
    <w:rsid w:val="00792C6A"/>
    <w:rsid w:val="00792D82"/>
    <w:rsid w:val="007942C3"/>
    <w:rsid w:val="00794881"/>
    <w:rsid w:val="007958DD"/>
    <w:rsid w:val="0079605A"/>
    <w:rsid w:val="00796869"/>
    <w:rsid w:val="0079715A"/>
    <w:rsid w:val="00797F9B"/>
    <w:rsid w:val="007A0073"/>
    <w:rsid w:val="007A0A70"/>
    <w:rsid w:val="007A1546"/>
    <w:rsid w:val="007A1652"/>
    <w:rsid w:val="007A228C"/>
    <w:rsid w:val="007A27F5"/>
    <w:rsid w:val="007A368E"/>
    <w:rsid w:val="007A3A4C"/>
    <w:rsid w:val="007A440D"/>
    <w:rsid w:val="007A4825"/>
    <w:rsid w:val="007A5868"/>
    <w:rsid w:val="007A66DE"/>
    <w:rsid w:val="007A7A5E"/>
    <w:rsid w:val="007B04BC"/>
    <w:rsid w:val="007B04CE"/>
    <w:rsid w:val="007B0BF0"/>
    <w:rsid w:val="007B0EBE"/>
    <w:rsid w:val="007B1D5D"/>
    <w:rsid w:val="007B219D"/>
    <w:rsid w:val="007B2D9B"/>
    <w:rsid w:val="007B4A97"/>
    <w:rsid w:val="007B5055"/>
    <w:rsid w:val="007B66BF"/>
    <w:rsid w:val="007B6871"/>
    <w:rsid w:val="007B7759"/>
    <w:rsid w:val="007B7A2F"/>
    <w:rsid w:val="007C09A3"/>
    <w:rsid w:val="007C118B"/>
    <w:rsid w:val="007C1484"/>
    <w:rsid w:val="007C2458"/>
    <w:rsid w:val="007C282F"/>
    <w:rsid w:val="007C3052"/>
    <w:rsid w:val="007C32AF"/>
    <w:rsid w:val="007C3D33"/>
    <w:rsid w:val="007C5AB4"/>
    <w:rsid w:val="007C689D"/>
    <w:rsid w:val="007C79A9"/>
    <w:rsid w:val="007C7D1B"/>
    <w:rsid w:val="007D019F"/>
    <w:rsid w:val="007D07DD"/>
    <w:rsid w:val="007D294A"/>
    <w:rsid w:val="007D295F"/>
    <w:rsid w:val="007D2970"/>
    <w:rsid w:val="007D2CFD"/>
    <w:rsid w:val="007D3B5E"/>
    <w:rsid w:val="007D41B2"/>
    <w:rsid w:val="007D47D2"/>
    <w:rsid w:val="007D5A75"/>
    <w:rsid w:val="007D6EC0"/>
    <w:rsid w:val="007D7E1D"/>
    <w:rsid w:val="007E1470"/>
    <w:rsid w:val="007E17C3"/>
    <w:rsid w:val="007E1894"/>
    <w:rsid w:val="007E1A26"/>
    <w:rsid w:val="007E23A3"/>
    <w:rsid w:val="007E240A"/>
    <w:rsid w:val="007E56BF"/>
    <w:rsid w:val="007E6911"/>
    <w:rsid w:val="007E7421"/>
    <w:rsid w:val="007E7B7C"/>
    <w:rsid w:val="007E7DED"/>
    <w:rsid w:val="007F0180"/>
    <w:rsid w:val="007F36B1"/>
    <w:rsid w:val="007F38AA"/>
    <w:rsid w:val="007F4EA1"/>
    <w:rsid w:val="008008F1"/>
    <w:rsid w:val="0080105A"/>
    <w:rsid w:val="00801D83"/>
    <w:rsid w:val="00802250"/>
    <w:rsid w:val="00802AD7"/>
    <w:rsid w:val="00802E90"/>
    <w:rsid w:val="00803313"/>
    <w:rsid w:val="00803CD4"/>
    <w:rsid w:val="00804582"/>
    <w:rsid w:val="008054C6"/>
    <w:rsid w:val="0080584A"/>
    <w:rsid w:val="00805E47"/>
    <w:rsid w:val="00805EC2"/>
    <w:rsid w:val="00807DAE"/>
    <w:rsid w:val="008128AE"/>
    <w:rsid w:val="008132B2"/>
    <w:rsid w:val="00813CBF"/>
    <w:rsid w:val="00813E48"/>
    <w:rsid w:val="00815930"/>
    <w:rsid w:val="00815DA3"/>
    <w:rsid w:val="00820D62"/>
    <w:rsid w:val="00820E22"/>
    <w:rsid w:val="0082122C"/>
    <w:rsid w:val="008212BC"/>
    <w:rsid w:val="00823DA3"/>
    <w:rsid w:val="00824F59"/>
    <w:rsid w:val="00825EEC"/>
    <w:rsid w:val="00826071"/>
    <w:rsid w:val="0082617D"/>
    <w:rsid w:val="0083162D"/>
    <w:rsid w:val="00831979"/>
    <w:rsid w:val="00831D83"/>
    <w:rsid w:val="00832032"/>
    <w:rsid w:val="00833A11"/>
    <w:rsid w:val="00834520"/>
    <w:rsid w:val="00841925"/>
    <w:rsid w:val="00842030"/>
    <w:rsid w:val="00843731"/>
    <w:rsid w:val="00844641"/>
    <w:rsid w:val="0084540C"/>
    <w:rsid w:val="00845B13"/>
    <w:rsid w:val="0084736C"/>
    <w:rsid w:val="00847B2C"/>
    <w:rsid w:val="008501FE"/>
    <w:rsid w:val="00850230"/>
    <w:rsid w:val="008502CA"/>
    <w:rsid w:val="00850C0B"/>
    <w:rsid w:val="008510E3"/>
    <w:rsid w:val="00851352"/>
    <w:rsid w:val="00851ABE"/>
    <w:rsid w:val="00851B5D"/>
    <w:rsid w:val="00852972"/>
    <w:rsid w:val="00852B16"/>
    <w:rsid w:val="00852E4C"/>
    <w:rsid w:val="00854AC2"/>
    <w:rsid w:val="00855D3F"/>
    <w:rsid w:val="00855E93"/>
    <w:rsid w:val="00856468"/>
    <w:rsid w:val="00856BBF"/>
    <w:rsid w:val="00857077"/>
    <w:rsid w:val="00857F41"/>
    <w:rsid w:val="00860C35"/>
    <w:rsid w:val="0086209F"/>
    <w:rsid w:val="00863230"/>
    <w:rsid w:val="008643AD"/>
    <w:rsid w:val="00865043"/>
    <w:rsid w:val="00865785"/>
    <w:rsid w:val="00865BD0"/>
    <w:rsid w:val="00865FF4"/>
    <w:rsid w:val="00867CBE"/>
    <w:rsid w:val="008717D8"/>
    <w:rsid w:val="00871F23"/>
    <w:rsid w:val="0087215C"/>
    <w:rsid w:val="008759F2"/>
    <w:rsid w:val="00875D25"/>
    <w:rsid w:val="008774B2"/>
    <w:rsid w:val="008779AB"/>
    <w:rsid w:val="00877E30"/>
    <w:rsid w:val="00877FE7"/>
    <w:rsid w:val="00880E35"/>
    <w:rsid w:val="0088176B"/>
    <w:rsid w:val="0088278F"/>
    <w:rsid w:val="00882CC0"/>
    <w:rsid w:val="008835D0"/>
    <w:rsid w:val="008839C5"/>
    <w:rsid w:val="0088406A"/>
    <w:rsid w:val="00884C7B"/>
    <w:rsid w:val="00886789"/>
    <w:rsid w:val="008875FE"/>
    <w:rsid w:val="008876DF"/>
    <w:rsid w:val="0088797F"/>
    <w:rsid w:val="00887DD6"/>
    <w:rsid w:val="00887F8E"/>
    <w:rsid w:val="00891067"/>
    <w:rsid w:val="0089386B"/>
    <w:rsid w:val="00894360"/>
    <w:rsid w:val="00895CD7"/>
    <w:rsid w:val="00895D25"/>
    <w:rsid w:val="00895E9C"/>
    <w:rsid w:val="00896234"/>
    <w:rsid w:val="00897E43"/>
    <w:rsid w:val="008A0F0C"/>
    <w:rsid w:val="008A1C26"/>
    <w:rsid w:val="008A2347"/>
    <w:rsid w:val="008A2FDC"/>
    <w:rsid w:val="008A34B7"/>
    <w:rsid w:val="008A4335"/>
    <w:rsid w:val="008A4E5F"/>
    <w:rsid w:val="008A5038"/>
    <w:rsid w:val="008A6D64"/>
    <w:rsid w:val="008A731D"/>
    <w:rsid w:val="008B08C0"/>
    <w:rsid w:val="008B1818"/>
    <w:rsid w:val="008B1956"/>
    <w:rsid w:val="008B2CE3"/>
    <w:rsid w:val="008B33A9"/>
    <w:rsid w:val="008B367C"/>
    <w:rsid w:val="008B49B6"/>
    <w:rsid w:val="008B53BB"/>
    <w:rsid w:val="008C1351"/>
    <w:rsid w:val="008C21EE"/>
    <w:rsid w:val="008C259A"/>
    <w:rsid w:val="008C32AE"/>
    <w:rsid w:val="008C3305"/>
    <w:rsid w:val="008C43E0"/>
    <w:rsid w:val="008C44AA"/>
    <w:rsid w:val="008C5601"/>
    <w:rsid w:val="008C5738"/>
    <w:rsid w:val="008C5A27"/>
    <w:rsid w:val="008C5C5C"/>
    <w:rsid w:val="008C5DEA"/>
    <w:rsid w:val="008C6861"/>
    <w:rsid w:val="008C7EAD"/>
    <w:rsid w:val="008D03E8"/>
    <w:rsid w:val="008D07FE"/>
    <w:rsid w:val="008D0CFE"/>
    <w:rsid w:val="008D16F5"/>
    <w:rsid w:val="008D290E"/>
    <w:rsid w:val="008D45F0"/>
    <w:rsid w:val="008D6152"/>
    <w:rsid w:val="008D7055"/>
    <w:rsid w:val="008D759E"/>
    <w:rsid w:val="008E0B50"/>
    <w:rsid w:val="008E1B14"/>
    <w:rsid w:val="008E243E"/>
    <w:rsid w:val="008E2A9A"/>
    <w:rsid w:val="008E2ED7"/>
    <w:rsid w:val="008E3472"/>
    <w:rsid w:val="008E4F1C"/>
    <w:rsid w:val="008E57F7"/>
    <w:rsid w:val="008E5AE8"/>
    <w:rsid w:val="008E6A8B"/>
    <w:rsid w:val="008E7768"/>
    <w:rsid w:val="008E7B49"/>
    <w:rsid w:val="008E7BA9"/>
    <w:rsid w:val="008E7EFF"/>
    <w:rsid w:val="008F0F81"/>
    <w:rsid w:val="008F1D8E"/>
    <w:rsid w:val="008F27BF"/>
    <w:rsid w:val="008F55B6"/>
    <w:rsid w:val="008F5728"/>
    <w:rsid w:val="008F7592"/>
    <w:rsid w:val="008F76BE"/>
    <w:rsid w:val="00900176"/>
    <w:rsid w:val="00900B12"/>
    <w:rsid w:val="009010F6"/>
    <w:rsid w:val="009011D1"/>
    <w:rsid w:val="00902E5A"/>
    <w:rsid w:val="00903877"/>
    <w:rsid w:val="0090555D"/>
    <w:rsid w:val="00905651"/>
    <w:rsid w:val="00905912"/>
    <w:rsid w:val="00907E3D"/>
    <w:rsid w:val="00907F44"/>
    <w:rsid w:val="009118FF"/>
    <w:rsid w:val="00912CDE"/>
    <w:rsid w:val="0091406A"/>
    <w:rsid w:val="009142EC"/>
    <w:rsid w:val="009150DF"/>
    <w:rsid w:val="009154C3"/>
    <w:rsid w:val="00915541"/>
    <w:rsid w:val="009156C0"/>
    <w:rsid w:val="0091586E"/>
    <w:rsid w:val="00915D63"/>
    <w:rsid w:val="0091657F"/>
    <w:rsid w:val="009171F3"/>
    <w:rsid w:val="00917A8F"/>
    <w:rsid w:val="00917D16"/>
    <w:rsid w:val="00921329"/>
    <w:rsid w:val="00921DC6"/>
    <w:rsid w:val="009223DF"/>
    <w:rsid w:val="00923540"/>
    <w:rsid w:val="00924222"/>
    <w:rsid w:val="009247A6"/>
    <w:rsid w:val="00924FEB"/>
    <w:rsid w:val="0092538A"/>
    <w:rsid w:val="009261CB"/>
    <w:rsid w:val="00926767"/>
    <w:rsid w:val="00926B45"/>
    <w:rsid w:val="009306E0"/>
    <w:rsid w:val="00933DC9"/>
    <w:rsid w:val="00934215"/>
    <w:rsid w:val="0093540B"/>
    <w:rsid w:val="00935DED"/>
    <w:rsid w:val="009361AC"/>
    <w:rsid w:val="009361D5"/>
    <w:rsid w:val="009404D4"/>
    <w:rsid w:val="0094090B"/>
    <w:rsid w:val="00940B58"/>
    <w:rsid w:val="00941D59"/>
    <w:rsid w:val="009428A4"/>
    <w:rsid w:val="0094314A"/>
    <w:rsid w:val="00944143"/>
    <w:rsid w:val="009449FB"/>
    <w:rsid w:val="00945B8B"/>
    <w:rsid w:val="00945F6E"/>
    <w:rsid w:val="00946F7F"/>
    <w:rsid w:val="00950138"/>
    <w:rsid w:val="00950A52"/>
    <w:rsid w:val="00952D1F"/>
    <w:rsid w:val="00954AED"/>
    <w:rsid w:val="00954F71"/>
    <w:rsid w:val="00955178"/>
    <w:rsid w:val="00955F82"/>
    <w:rsid w:val="00956020"/>
    <w:rsid w:val="00956071"/>
    <w:rsid w:val="009568C9"/>
    <w:rsid w:val="0096076D"/>
    <w:rsid w:val="0096106F"/>
    <w:rsid w:val="009612C9"/>
    <w:rsid w:val="00961A31"/>
    <w:rsid w:val="00962912"/>
    <w:rsid w:val="009630B5"/>
    <w:rsid w:val="009634EA"/>
    <w:rsid w:val="0096384E"/>
    <w:rsid w:val="00963A72"/>
    <w:rsid w:val="009649D4"/>
    <w:rsid w:val="00964A62"/>
    <w:rsid w:val="009659F4"/>
    <w:rsid w:val="00970927"/>
    <w:rsid w:val="00970D60"/>
    <w:rsid w:val="009715B5"/>
    <w:rsid w:val="009733CF"/>
    <w:rsid w:val="0097348B"/>
    <w:rsid w:val="00973972"/>
    <w:rsid w:val="00973D1A"/>
    <w:rsid w:val="009752F5"/>
    <w:rsid w:val="0097551C"/>
    <w:rsid w:val="0097609B"/>
    <w:rsid w:val="0097674D"/>
    <w:rsid w:val="0098082A"/>
    <w:rsid w:val="00980D02"/>
    <w:rsid w:val="009814B1"/>
    <w:rsid w:val="0098227F"/>
    <w:rsid w:val="0098319C"/>
    <w:rsid w:val="00984630"/>
    <w:rsid w:val="00984F79"/>
    <w:rsid w:val="0098528D"/>
    <w:rsid w:val="00985B28"/>
    <w:rsid w:val="00985E1C"/>
    <w:rsid w:val="00990036"/>
    <w:rsid w:val="009919DD"/>
    <w:rsid w:val="009929F7"/>
    <w:rsid w:val="0099390E"/>
    <w:rsid w:val="00993B05"/>
    <w:rsid w:val="009960E5"/>
    <w:rsid w:val="0099613D"/>
    <w:rsid w:val="00996A7B"/>
    <w:rsid w:val="009973CB"/>
    <w:rsid w:val="009974D0"/>
    <w:rsid w:val="009975E3"/>
    <w:rsid w:val="009A0A67"/>
    <w:rsid w:val="009A0EB9"/>
    <w:rsid w:val="009A293C"/>
    <w:rsid w:val="009A29BF"/>
    <w:rsid w:val="009A3B28"/>
    <w:rsid w:val="009A3D76"/>
    <w:rsid w:val="009A7ADC"/>
    <w:rsid w:val="009B0142"/>
    <w:rsid w:val="009B0D30"/>
    <w:rsid w:val="009B1925"/>
    <w:rsid w:val="009B262E"/>
    <w:rsid w:val="009B2C92"/>
    <w:rsid w:val="009B3A1A"/>
    <w:rsid w:val="009B4F93"/>
    <w:rsid w:val="009B6114"/>
    <w:rsid w:val="009B6D42"/>
    <w:rsid w:val="009B7D4E"/>
    <w:rsid w:val="009C00A2"/>
    <w:rsid w:val="009C038C"/>
    <w:rsid w:val="009C19B7"/>
    <w:rsid w:val="009C2193"/>
    <w:rsid w:val="009C309C"/>
    <w:rsid w:val="009C354F"/>
    <w:rsid w:val="009C3BFD"/>
    <w:rsid w:val="009C3CC2"/>
    <w:rsid w:val="009C3D7C"/>
    <w:rsid w:val="009C4631"/>
    <w:rsid w:val="009C5ABB"/>
    <w:rsid w:val="009C5C72"/>
    <w:rsid w:val="009C6E9D"/>
    <w:rsid w:val="009C71C5"/>
    <w:rsid w:val="009C7578"/>
    <w:rsid w:val="009C7875"/>
    <w:rsid w:val="009C7D4A"/>
    <w:rsid w:val="009D0BD8"/>
    <w:rsid w:val="009D0E5B"/>
    <w:rsid w:val="009D19F7"/>
    <w:rsid w:val="009D2BDA"/>
    <w:rsid w:val="009D6192"/>
    <w:rsid w:val="009D7C51"/>
    <w:rsid w:val="009E0132"/>
    <w:rsid w:val="009E196C"/>
    <w:rsid w:val="009E27E1"/>
    <w:rsid w:val="009E2F91"/>
    <w:rsid w:val="009E3C89"/>
    <w:rsid w:val="009E47B7"/>
    <w:rsid w:val="009E5FBA"/>
    <w:rsid w:val="009E64D8"/>
    <w:rsid w:val="009E789E"/>
    <w:rsid w:val="009E7CC2"/>
    <w:rsid w:val="009F01BB"/>
    <w:rsid w:val="009F0BCA"/>
    <w:rsid w:val="009F0D04"/>
    <w:rsid w:val="009F175E"/>
    <w:rsid w:val="009F1BE5"/>
    <w:rsid w:val="009F36BF"/>
    <w:rsid w:val="009F4E02"/>
    <w:rsid w:val="009F5260"/>
    <w:rsid w:val="009F6CEA"/>
    <w:rsid w:val="009F6F6F"/>
    <w:rsid w:val="00A000CB"/>
    <w:rsid w:val="00A014E5"/>
    <w:rsid w:val="00A02715"/>
    <w:rsid w:val="00A03D05"/>
    <w:rsid w:val="00A04779"/>
    <w:rsid w:val="00A048D7"/>
    <w:rsid w:val="00A05025"/>
    <w:rsid w:val="00A05291"/>
    <w:rsid w:val="00A05E13"/>
    <w:rsid w:val="00A06569"/>
    <w:rsid w:val="00A06D46"/>
    <w:rsid w:val="00A07B38"/>
    <w:rsid w:val="00A10902"/>
    <w:rsid w:val="00A110F7"/>
    <w:rsid w:val="00A111B6"/>
    <w:rsid w:val="00A113C8"/>
    <w:rsid w:val="00A12536"/>
    <w:rsid w:val="00A129BE"/>
    <w:rsid w:val="00A1383F"/>
    <w:rsid w:val="00A13FC3"/>
    <w:rsid w:val="00A14039"/>
    <w:rsid w:val="00A1468D"/>
    <w:rsid w:val="00A14EC8"/>
    <w:rsid w:val="00A15648"/>
    <w:rsid w:val="00A174A1"/>
    <w:rsid w:val="00A17670"/>
    <w:rsid w:val="00A21399"/>
    <w:rsid w:val="00A22385"/>
    <w:rsid w:val="00A2306E"/>
    <w:rsid w:val="00A23B04"/>
    <w:rsid w:val="00A2475E"/>
    <w:rsid w:val="00A2533B"/>
    <w:rsid w:val="00A2663B"/>
    <w:rsid w:val="00A26D27"/>
    <w:rsid w:val="00A31A37"/>
    <w:rsid w:val="00A31ACD"/>
    <w:rsid w:val="00A325B9"/>
    <w:rsid w:val="00A331D3"/>
    <w:rsid w:val="00A3478A"/>
    <w:rsid w:val="00A348BD"/>
    <w:rsid w:val="00A35A48"/>
    <w:rsid w:val="00A369EC"/>
    <w:rsid w:val="00A37306"/>
    <w:rsid w:val="00A376D6"/>
    <w:rsid w:val="00A376EE"/>
    <w:rsid w:val="00A37714"/>
    <w:rsid w:val="00A405FF"/>
    <w:rsid w:val="00A40672"/>
    <w:rsid w:val="00A41513"/>
    <w:rsid w:val="00A42A99"/>
    <w:rsid w:val="00A4314A"/>
    <w:rsid w:val="00A43654"/>
    <w:rsid w:val="00A448C8"/>
    <w:rsid w:val="00A449C6"/>
    <w:rsid w:val="00A451CE"/>
    <w:rsid w:val="00A45730"/>
    <w:rsid w:val="00A50175"/>
    <w:rsid w:val="00A5151A"/>
    <w:rsid w:val="00A51B94"/>
    <w:rsid w:val="00A53139"/>
    <w:rsid w:val="00A54719"/>
    <w:rsid w:val="00A559FA"/>
    <w:rsid w:val="00A55B66"/>
    <w:rsid w:val="00A55F03"/>
    <w:rsid w:val="00A56590"/>
    <w:rsid w:val="00A56599"/>
    <w:rsid w:val="00A5676B"/>
    <w:rsid w:val="00A569BD"/>
    <w:rsid w:val="00A57927"/>
    <w:rsid w:val="00A5793D"/>
    <w:rsid w:val="00A57E0A"/>
    <w:rsid w:val="00A6200A"/>
    <w:rsid w:val="00A6287D"/>
    <w:rsid w:val="00A63F91"/>
    <w:rsid w:val="00A647D4"/>
    <w:rsid w:val="00A6577B"/>
    <w:rsid w:val="00A65BA0"/>
    <w:rsid w:val="00A65C4B"/>
    <w:rsid w:val="00A6631F"/>
    <w:rsid w:val="00A7178E"/>
    <w:rsid w:val="00A722DA"/>
    <w:rsid w:val="00A725C9"/>
    <w:rsid w:val="00A73756"/>
    <w:rsid w:val="00A74D1B"/>
    <w:rsid w:val="00A74EF6"/>
    <w:rsid w:val="00A75DF1"/>
    <w:rsid w:val="00A76163"/>
    <w:rsid w:val="00A77042"/>
    <w:rsid w:val="00A7710B"/>
    <w:rsid w:val="00A77437"/>
    <w:rsid w:val="00A82278"/>
    <w:rsid w:val="00A823AE"/>
    <w:rsid w:val="00A823F6"/>
    <w:rsid w:val="00A826D0"/>
    <w:rsid w:val="00A83EA7"/>
    <w:rsid w:val="00A84FB8"/>
    <w:rsid w:val="00A865E7"/>
    <w:rsid w:val="00A8719E"/>
    <w:rsid w:val="00A87B2F"/>
    <w:rsid w:val="00A901A0"/>
    <w:rsid w:val="00A90811"/>
    <w:rsid w:val="00A910A2"/>
    <w:rsid w:val="00A911C8"/>
    <w:rsid w:val="00A9186C"/>
    <w:rsid w:val="00A925E4"/>
    <w:rsid w:val="00A92632"/>
    <w:rsid w:val="00A92F84"/>
    <w:rsid w:val="00A93A9A"/>
    <w:rsid w:val="00A94D91"/>
    <w:rsid w:val="00A94E19"/>
    <w:rsid w:val="00A94FE0"/>
    <w:rsid w:val="00A959E4"/>
    <w:rsid w:val="00A95D00"/>
    <w:rsid w:val="00A964CF"/>
    <w:rsid w:val="00A96F90"/>
    <w:rsid w:val="00A97864"/>
    <w:rsid w:val="00A9797F"/>
    <w:rsid w:val="00AA0517"/>
    <w:rsid w:val="00AA0A89"/>
    <w:rsid w:val="00AA0B1C"/>
    <w:rsid w:val="00AA1C42"/>
    <w:rsid w:val="00AA6429"/>
    <w:rsid w:val="00AA70EC"/>
    <w:rsid w:val="00AA7EDA"/>
    <w:rsid w:val="00AB1E2C"/>
    <w:rsid w:val="00AB3BE3"/>
    <w:rsid w:val="00AB4540"/>
    <w:rsid w:val="00AB79E5"/>
    <w:rsid w:val="00AC0168"/>
    <w:rsid w:val="00AC01AA"/>
    <w:rsid w:val="00AC17F3"/>
    <w:rsid w:val="00AC1E76"/>
    <w:rsid w:val="00AC25FC"/>
    <w:rsid w:val="00AC4E6D"/>
    <w:rsid w:val="00AC4F72"/>
    <w:rsid w:val="00AC5F3F"/>
    <w:rsid w:val="00AC6BF0"/>
    <w:rsid w:val="00AC7121"/>
    <w:rsid w:val="00AC7366"/>
    <w:rsid w:val="00AC76E8"/>
    <w:rsid w:val="00AD04D9"/>
    <w:rsid w:val="00AD0FB0"/>
    <w:rsid w:val="00AD17EC"/>
    <w:rsid w:val="00AD2299"/>
    <w:rsid w:val="00AD230E"/>
    <w:rsid w:val="00AD3CA4"/>
    <w:rsid w:val="00AD4EC5"/>
    <w:rsid w:val="00AD4F7B"/>
    <w:rsid w:val="00AD6594"/>
    <w:rsid w:val="00AD69A4"/>
    <w:rsid w:val="00AE0150"/>
    <w:rsid w:val="00AE0731"/>
    <w:rsid w:val="00AE1DBE"/>
    <w:rsid w:val="00AE20EC"/>
    <w:rsid w:val="00AE2847"/>
    <w:rsid w:val="00AE2B4A"/>
    <w:rsid w:val="00AE3156"/>
    <w:rsid w:val="00AE3B97"/>
    <w:rsid w:val="00AE3FFA"/>
    <w:rsid w:val="00AE4468"/>
    <w:rsid w:val="00AE5159"/>
    <w:rsid w:val="00AE6018"/>
    <w:rsid w:val="00AF0E2B"/>
    <w:rsid w:val="00AF2016"/>
    <w:rsid w:val="00AF21F9"/>
    <w:rsid w:val="00AF3A3A"/>
    <w:rsid w:val="00AF4B24"/>
    <w:rsid w:val="00AF4C03"/>
    <w:rsid w:val="00AF5640"/>
    <w:rsid w:val="00AF586E"/>
    <w:rsid w:val="00AF598A"/>
    <w:rsid w:val="00AF6016"/>
    <w:rsid w:val="00AF6D90"/>
    <w:rsid w:val="00AF741A"/>
    <w:rsid w:val="00AF751C"/>
    <w:rsid w:val="00B000F9"/>
    <w:rsid w:val="00B00DEF"/>
    <w:rsid w:val="00B00F39"/>
    <w:rsid w:val="00B01481"/>
    <w:rsid w:val="00B01ADB"/>
    <w:rsid w:val="00B01FAB"/>
    <w:rsid w:val="00B02AF8"/>
    <w:rsid w:val="00B02DD3"/>
    <w:rsid w:val="00B03A36"/>
    <w:rsid w:val="00B03C27"/>
    <w:rsid w:val="00B03CED"/>
    <w:rsid w:val="00B04161"/>
    <w:rsid w:val="00B04B7B"/>
    <w:rsid w:val="00B04E6F"/>
    <w:rsid w:val="00B0512D"/>
    <w:rsid w:val="00B056F9"/>
    <w:rsid w:val="00B10021"/>
    <w:rsid w:val="00B11E3D"/>
    <w:rsid w:val="00B1278E"/>
    <w:rsid w:val="00B14A47"/>
    <w:rsid w:val="00B1692A"/>
    <w:rsid w:val="00B16BF4"/>
    <w:rsid w:val="00B1770D"/>
    <w:rsid w:val="00B17E82"/>
    <w:rsid w:val="00B2013A"/>
    <w:rsid w:val="00B212E9"/>
    <w:rsid w:val="00B2280D"/>
    <w:rsid w:val="00B23C28"/>
    <w:rsid w:val="00B24955"/>
    <w:rsid w:val="00B24BB0"/>
    <w:rsid w:val="00B26335"/>
    <w:rsid w:val="00B271CD"/>
    <w:rsid w:val="00B303BD"/>
    <w:rsid w:val="00B31582"/>
    <w:rsid w:val="00B31E8D"/>
    <w:rsid w:val="00B32B39"/>
    <w:rsid w:val="00B339B9"/>
    <w:rsid w:val="00B342BA"/>
    <w:rsid w:val="00B34727"/>
    <w:rsid w:val="00B34DDD"/>
    <w:rsid w:val="00B34F95"/>
    <w:rsid w:val="00B358D5"/>
    <w:rsid w:val="00B35964"/>
    <w:rsid w:val="00B369CC"/>
    <w:rsid w:val="00B37018"/>
    <w:rsid w:val="00B37E23"/>
    <w:rsid w:val="00B41C83"/>
    <w:rsid w:val="00B41D66"/>
    <w:rsid w:val="00B422F6"/>
    <w:rsid w:val="00B424D3"/>
    <w:rsid w:val="00B4287E"/>
    <w:rsid w:val="00B42EF5"/>
    <w:rsid w:val="00B44F2F"/>
    <w:rsid w:val="00B4561C"/>
    <w:rsid w:val="00B4575A"/>
    <w:rsid w:val="00B47762"/>
    <w:rsid w:val="00B50A3C"/>
    <w:rsid w:val="00B5115B"/>
    <w:rsid w:val="00B51A14"/>
    <w:rsid w:val="00B528F3"/>
    <w:rsid w:val="00B55F68"/>
    <w:rsid w:val="00B57458"/>
    <w:rsid w:val="00B575BA"/>
    <w:rsid w:val="00B57FC3"/>
    <w:rsid w:val="00B60823"/>
    <w:rsid w:val="00B61DC3"/>
    <w:rsid w:val="00B61E09"/>
    <w:rsid w:val="00B625AD"/>
    <w:rsid w:val="00B627A8"/>
    <w:rsid w:val="00B63679"/>
    <w:rsid w:val="00B63951"/>
    <w:rsid w:val="00B65036"/>
    <w:rsid w:val="00B6671F"/>
    <w:rsid w:val="00B67411"/>
    <w:rsid w:val="00B67E84"/>
    <w:rsid w:val="00B71234"/>
    <w:rsid w:val="00B71608"/>
    <w:rsid w:val="00B72600"/>
    <w:rsid w:val="00B74966"/>
    <w:rsid w:val="00B76429"/>
    <w:rsid w:val="00B764BC"/>
    <w:rsid w:val="00B779EA"/>
    <w:rsid w:val="00B802ED"/>
    <w:rsid w:val="00B80654"/>
    <w:rsid w:val="00B80B0C"/>
    <w:rsid w:val="00B8606D"/>
    <w:rsid w:val="00B90A56"/>
    <w:rsid w:val="00B91138"/>
    <w:rsid w:val="00B91B13"/>
    <w:rsid w:val="00B91E0F"/>
    <w:rsid w:val="00B9227E"/>
    <w:rsid w:val="00B92984"/>
    <w:rsid w:val="00B92BDA"/>
    <w:rsid w:val="00B939D6"/>
    <w:rsid w:val="00B9485B"/>
    <w:rsid w:val="00B95145"/>
    <w:rsid w:val="00B956D4"/>
    <w:rsid w:val="00B96020"/>
    <w:rsid w:val="00B973EF"/>
    <w:rsid w:val="00B97446"/>
    <w:rsid w:val="00B97BD8"/>
    <w:rsid w:val="00B97E04"/>
    <w:rsid w:val="00BA014F"/>
    <w:rsid w:val="00BA0964"/>
    <w:rsid w:val="00BA13B9"/>
    <w:rsid w:val="00BA14FC"/>
    <w:rsid w:val="00BA34BB"/>
    <w:rsid w:val="00BA3899"/>
    <w:rsid w:val="00BA3F34"/>
    <w:rsid w:val="00BA41F7"/>
    <w:rsid w:val="00BA5624"/>
    <w:rsid w:val="00BA5785"/>
    <w:rsid w:val="00BA6B1D"/>
    <w:rsid w:val="00BA7432"/>
    <w:rsid w:val="00BA78BD"/>
    <w:rsid w:val="00BA7B1E"/>
    <w:rsid w:val="00BB1446"/>
    <w:rsid w:val="00BB2764"/>
    <w:rsid w:val="00BB4350"/>
    <w:rsid w:val="00BB60C5"/>
    <w:rsid w:val="00BB63EB"/>
    <w:rsid w:val="00BB6464"/>
    <w:rsid w:val="00BC0C87"/>
    <w:rsid w:val="00BC0F9C"/>
    <w:rsid w:val="00BC1215"/>
    <w:rsid w:val="00BC19CE"/>
    <w:rsid w:val="00BC1A3E"/>
    <w:rsid w:val="00BC1AA0"/>
    <w:rsid w:val="00BC2495"/>
    <w:rsid w:val="00BC3472"/>
    <w:rsid w:val="00BC389D"/>
    <w:rsid w:val="00BC4495"/>
    <w:rsid w:val="00BC48D1"/>
    <w:rsid w:val="00BC5D4D"/>
    <w:rsid w:val="00BC6444"/>
    <w:rsid w:val="00BC6E4D"/>
    <w:rsid w:val="00BC7117"/>
    <w:rsid w:val="00BC7EB9"/>
    <w:rsid w:val="00BD0DDA"/>
    <w:rsid w:val="00BD11BA"/>
    <w:rsid w:val="00BD2643"/>
    <w:rsid w:val="00BD50B9"/>
    <w:rsid w:val="00BD53D1"/>
    <w:rsid w:val="00BD56B1"/>
    <w:rsid w:val="00BD6558"/>
    <w:rsid w:val="00BE0AF7"/>
    <w:rsid w:val="00BE0F11"/>
    <w:rsid w:val="00BE108B"/>
    <w:rsid w:val="00BE14A1"/>
    <w:rsid w:val="00BE35AE"/>
    <w:rsid w:val="00BE460D"/>
    <w:rsid w:val="00BE6815"/>
    <w:rsid w:val="00BE709A"/>
    <w:rsid w:val="00BF0EB0"/>
    <w:rsid w:val="00BF1C06"/>
    <w:rsid w:val="00BF2AF9"/>
    <w:rsid w:val="00BF2F76"/>
    <w:rsid w:val="00BF3022"/>
    <w:rsid w:val="00BF3214"/>
    <w:rsid w:val="00BF4124"/>
    <w:rsid w:val="00BF4192"/>
    <w:rsid w:val="00BF5573"/>
    <w:rsid w:val="00BF571B"/>
    <w:rsid w:val="00BF597A"/>
    <w:rsid w:val="00BF6DAC"/>
    <w:rsid w:val="00BF71C9"/>
    <w:rsid w:val="00C00D4D"/>
    <w:rsid w:val="00C019B4"/>
    <w:rsid w:val="00C023B5"/>
    <w:rsid w:val="00C02997"/>
    <w:rsid w:val="00C059CC"/>
    <w:rsid w:val="00C1331F"/>
    <w:rsid w:val="00C15867"/>
    <w:rsid w:val="00C163E6"/>
    <w:rsid w:val="00C16CB0"/>
    <w:rsid w:val="00C16CCA"/>
    <w:rsid w:val="00C179F5"/>
    <w:rsid w:val="00C17D1A"/>
    <w:rsid w:val="00C20931"/>
    <w:rsid w:val="00C209F5"/>
    <w:rsid w:val="00C20DBD"/>
    <w:rsid w:val="00C21007"/>
    <w:rsid w:val="00C21EA0"/>
    <w:rsid w:val="00C22146"/>
    <w:rsid w:val="00C2296D"/>
    <w:rsid w:val="00C22F4F"/>
    <w:rsid w:val="00C23155"/>
    <w:rsid w:val="00C235E5"/>
    <w:rsid w:val="00C24385"/>
    <w:rsid w:val="00C252B7"/>
    <w:rsid w:val="00C2533D"/>
    <w:rsid w:val="00C260DA"/>
    <w:rsid w:val="00C30806"/>
    <w:rsid w:val="00C30A7B"/>
    <w:rsid w:val="00C31192"/>
    <w:rsid w:val="00C31E53"/>
    <w:rsid w:val="00C32236"/>
    <w:rsid w:val="00C339F4"/>
    <w:rsid w:val="00C33E6D"/>
    <w:rsid w:val="00C36069"/>
    <w:rsid w:val="00C3646E"/>
    <w:rsid w:val="00C36CA8"/>
    <w:rsid w:val="00C37BEC"/>
    <w:rsid w:val="00C40C41"/>
    <w:rsid w:val="00C4254D"/>
    <w:rsid w:val="00C428FE"/>
    <w:rsid w:val="00C43CCD"/>
    <w:rsid w:val="00C43DCA"/>
    <w:rsid w:val="00C4419D"/>
    <w:rsid w:val="00C445BD"/>
    <w:rsid w:val="00C452F2"/>
    <w:rsid w:val="00C45885"/>
    <w:rsid w:val="00C46483"/>
    <w:rsid w:val="00C50F22"/>
    <w:rsid w:val="00C51235"/>
    <w:rsid w:val="00C52A4C"/>
    <w:rsid w:val="00C54C0B"/>
    <w:rsid w:val="00C54CF5"/>
    <w:rsid w:val="00C54DC6"/>
    <w:rsid w:val="00C5684C"/>
    <w:rsid w:val="00C57971"/>
    <w:rsid w:val="00C57BCB"/>
    <w:rsid w:val="00C6076D"/>
    <w:rsid w:val="00C607C1"/>
    <w:rsid w:val="00C61714"/>
    <w:rsid w:val="00C61A0B"/>
    <w:rsid w:val="00C6380B"/>
    <w:rsid w:val="00C65475"/>
    <w:rsid w:val="00C65541"/>
    <w:rsid w:val="00C65BD7"/>
    <w:rsid w:val="00C67B45"/>
    <w:rsid w:val="00C701FD"/>
    <w:rsid w:val="00C708D8"/>
    <w:rsid w:val="00C71A55"/>
    <w:rsid w:val="00C71FA9"/>
    <w:rsid w:val="00C727F3"/>
    <w:rsid w:val="00C73385"/>
    <w:rsid w:val="00C7494F"/>
    <w:rsid w:val="00C74E7B"/>
    <w:rsid w:val="00C74F1D"/>
    <w:rsid w:val="00C75991"/>
    <w:rsid w:val="00C76BA4"/>
    <w:rsid w:val="00C779A3"/>
    <w:rsid w:val="00C80473"/>
    <w:rsid w:val="00C83016"/>
    <w:rsid w:val="00C83A48"/>
    <w:rsid w:val="00C83D4C"/>
    <w:rsid w:val="00C84A16"/>
    <w:rsid w:val="00C85865"/>
    <w:rsid w:val="00C85E85"/>
    <w:rsid w:val="00C86333"/>
    <w:rsid w:val="00C86E1A"/>
    <w:rsid w:val="00C86F76"/>
    <w:rsid w:val="00C874DC"/>
    <w:rsid w:val="00C878E2"/>
    <w:rsid w:val="00C87E67"/>
    <w:rsid w:val="00C902F8"/>
    <w:rsid w:val="00C906FD"/>
    <w:rsid w:val="00C9193E"/>
    <w:rsid w:val="00C9328E"/>
    <w:rsid w:val="00C956C7"/>
    <w:rsid w:val="00C95E4D"/>
    <w:rsid w:val="00C96848"/>
    <w:rsid w:val="00C96A94"/>
    <w:rsid w:val="00C97D6B"/>
    <w:rsid w:val="00CA1454"/>
    <w:rsid w:val="00CA1473"/>
    <w:rsid w:val="00CA1D41"/>
    <w:rsid w:val="00CA1F45"/>
    <w:rsid w:val="00CA2033"/>
    <w:rsid w:val="00CA2082"/>
    <w:rsid w:val="00CA2EAE"/>
    <w:rsid w:val="00CA4A26"/>
    <w:rsid w:val="00CA4AC1"/>
    <w:rsid w:val="00CA4C5D"/>
    <w:rsid w:val="00CA51E4"/>
    <w:rsid w:val="00CA551F"/>
    <w:rsid w:val="00CA5638"/>
    <w:rsid w:val="00CA5A55"/>
    <w:rsid w:val="00CA779D"/>
    <w:rsid w:val="00CB0316"/>
    <w:rsid w:val="00CB0B11"/>
    <w:rsid w:val="00CB1712"/>
    <w:rsid w:val="00CB2395"/>
    <w:rsid w:val="00CB248A"/>
    <w:rsid w:val="00CB2F1F"/>
    <w:rsid w:val="00CB40B4"/>
    <w:rsid w:val="00CB426A"/>
    <w:rsid w:val="00CB50C6"/>
    <w:rsid w:val="00CB5354"/>
    <w:rsid w:val="00CB5A76"/>
    <w:rsid w:val="00CB5E29"/>
    <w:rsid w:val="00CC171B"/>
    <w:rsid w:val="00CC2D6D"/>
    <w:rsid w:val="00CC3C9E"/>
    <w:rsid w:val="00CC4778"/>
    <w:rsid w:val="00CC4E74"/>
    <w:rsid w:val="00CC5F27"/>
    <w:rsid w:val="00CC6316"/>
    <w:rsid w:val="00CC659E"/>
    <w:rsid w:val="00CC68ED"/>
    <w:rsid w:val="00CC698C"/>
    <w:rsid w:val="00CC6A14"/>
    <w:rsid w:val="00CC70A3"/>
    <w:rsid w:val="00CC70A9"/>
    <w:rsid w:val="00CC73C8"/>
    <w:rsid w:val="00CD0314"/>
    <w:rsid w:val="00CD0F0E"/>
    <w:rsid w:val="00CD2051"/>
    <w:rsid w:val="00CD23CF"/>
    <w:rsid w:val="00CD25D9"/>
    <w:rsid w:val="00CD2786"/>
    <w:rsid w:val="00CD2AA3"/>
    <w:rsid w:val="00CD4442"/>
    <w:rsid w:val="00CD53C3"/>
    <w:rsid w:val="00CD574E"/>
    <w:rsid w:val="00CD776A"/>
    <w:rsid w:val="00CE0092"/>
    <w:rsid w:val="00CE00F3"/>
    <w:rsid w:val="00CE136A"/>
    <w:rsid w:val="00CE1597"/>
    <w:rsid w:val="00CE1A8B"/>
    <w:rsid w:val="00CE27E6"/>
    <w:rsid w:val="00CE4C22"/>
    <w:rsid w:val="00CE5831"/>
    <w:rsid w:val="00CE5FFD"/>
    <w:rsid w:val="00CE6485"/>
    <w:rsid w:val="00CE76B2"/>
    <w:rsid w:val="00CF04DE"/>
    <w:rsid w:val="00CF08E3"/>
    <w:rsid w:val="00CF23B2"/>
    <w:rsid w:val="00CF41EC"/>
    <w:rsid w:val="00CF4803"/>
    <w:rsid w:val="00CF496C"/>
    <w:rsid w:val="00CF4AE4"/>
    <w:rsid w:val="00CF5D04"/>
    <w:rsid w:val="00CF5D4F"/>
    <w:rsid w:val="00CF5EBB"/>
    <w:rsid w:val="00CF71DD"/>
    <w:rsid w:val="00CF7FB6"/>
    <w:rsid w:val="00D00693"/>
    <w:rsid w:val="00D0114D"/>
    <w:rsid w:val="00D02DD9"/>
    <w:rsid w:val="00D033F9"/>
    <w:rsid w:val="00D03C8D"/>
    <w:rsid w:val="00D04D20"/>
    <w:rsid w:val="00D04DE4"/>
    <w:rsid w:val="00D04EA8"/>
    <w:rsid w:val="00D05192"/>
    <w:rsid w:val="00D05795"/>
    <w:rsid w:val="00D063F1"/>
    <w:rsid w:val="00D06430"/>
    <w:rsid w:val="00D07515"/>
    <w:rsid w:val="00D07E9B"/>
    <w:rsid w:val="00D10793"/>
    <w:rsid w:val="00D109A5"/>
    <w:rsid w:val="00D10E3D"/>
    <w:rsid w:val="00D1123C"/>
    <w:rsid w:val="00D118E6"/>
    <w:rsid w:val="00D11FA5"/>
    <w:rsid w:val="00D11FAC"/>
    <w:rsid w:val="00D12ACD"/>
    <w:rsid w:val="00D146B1"/>
    <w:rsid w:val="00D14F22"/>
    <w:rsid w:val="00D165AD"/>
    <w:rsid w:val="00D16BC1"/>
    <w:rsid w:val="00D16C17"/>
    <w:rsid w:val="00D17E90"/>
    <w:rsid w:val="00D20072"/>
    <w:rsid w:val="00D20240"/>
    <w:rsid w:val="00D20393"/>
    <w:rsid w:val="00D21CDD"/>
    <w:rsid w:val="00D2369F"/>
    <w:rsid w:val="00D247F4"/>
    <w:rsid w:val="00D25410"/>
    <w:rsid w:val="00D27C3F"/>
    <w:rsid w:val="00D31496"/>
    <w:rsid w:val="00D315B8"/>
    <w:rsid w:val="00D3206F"/>
    <w:rsid w:val="00D34DF5"/>
    <w:rsid w:val="00D3585C"/>
    <w:rsid w:val="00D3734D"/>
    <w:rsid w:val="00D40731"/>
    <w:rsid w:val="00D41C96"/>
    <w:rsid w:val="00D430E8"/>
    <w:rsid w:val="00D44869"/>
    <w:rsid w:val="00D454E6"/>
    <w:rsid w:val="00D45FAD"/>
    <w:rsid w:val="00D46839"/>
    <w:rsid w:val="00D472C1"/>
    <w:rsid w:val="00D4741C"/>
    <w:rsid w:val="00D4785B"/>
    <w:rsid w:val="00D50372"/>
    <w:rsid w:val="00D534E1"/>
    <w:rsid w:val="00D5480B"/>
    <w:rsid w:val="00D551B9"/>
    <w:rsid w:val="00D56CEA"/>
    <w:rsid w:val="00D57559"/>
    <w:rsid w:val="00D57918"/>
    <w:rsid w:val="00D615FA"/>
    <w:rsid w:val="00D61924"/>
    <w:rsid w:val="00D6409B"/>
    <w:rsid w:val="00D67283"/>
    <w:rsid w:val="00D7183E"/>
    <w:rsid w:val="00D72718"/>
    <w:rsid w:val="00D73DC6"/>
    <w:rsid w:val="00D74C1A"/>
    <w:rsid w:val="00D754C1"/>
    <w:rsid w:val="00D755D0"/>
    <w:rsid w:val="00D77393"/>
    <w:rsid w:val="00D7744F"/>
    <w:rsid w:val="00D77A35"/>
    <w:rsid w:val="00D81B3E"/>
    <w:rsid w:val="00D82370"/>
    <w:rsid w:val="00D84EF3"/>
    <w:rsid w:val="00D85A62"/>
    <w:rsid w:val="00D876D9"/>
    <w:rsid w:val="00D878F6"/>
    <w:rsid w:val="00D90C70"/>
    <w:rsid w:val="00D90E49"/>
    <w:rsid w:val="00D911BB"/>
    <w:rsid w:val="00D9161E"/>
    <w:rsid w:val="00D91B21"/>
    <w:rsid w:val="00D92730"/>
    <w:rsid w:val="00D9288B"/>
    <w:rsid w:val="00D94316"/>
    <w:rsid w:val="00D954E8"/>
    <w:rsid w:val="00D95837"/>
    <w:rsid w:val="00D960F5"/>
    <w:rsid w:val="00D969AA"/>
    <w:rsid w:val="00D96ADE"/>
    <w:rsid w:val="00D96CD3"/>
    <w:rsid w:val="00D97D26"/>
    <w:rsid w:val="00DA00F6"/>
    <w:rsid w:val="00DA0CE2"/>
    <w:rsid w:val="00DA0F8A"/>
    <w:rsid w:val="00DA28A0"/>
    <w:rsid w:val="00DA3B3A"/>
    <w:rsid w:val="00DA57C5"/>
    <w:rsid w:val="00DA5CF9"/>
    <w:rsid w:val="00DA7FA0"/>
    <w:rsid w:val="00DB21D4"/>
    <w:rsid w:val="00DB2804"/>
    <w:rsid w:val="00DB2B13"/>
    <w:rsid w:val="00DB44BB"/>
    <w:rsid w:val="00DB5A83"/>
    <w:rsid w:val="00DC0824"/>
    <w:rsid w:val="00DC12B2"/>
    <w:rsid w:val="00DC12D4"/>
    <w:rsid w:val="00DC2285"/>
    <w:rsid w:val="00DC26C4"/>
    <w:rsid w:val="00DC3C05"/>
    <w:rsid w:val="00DC49C5"/>
    <w:rsid w:val="00DC5091"/>
    <w:rsid w:val="00DC525E"/>
    <w:rsid w:val="00DC6989"/>
    <w:rsid w:val="00DC6A10"/>
    <w:rsid w:val="00DC77C7"/>
    <w:rsid w:val="00DC7B25"/>
    <w:rsid w:val="00DC7ED0"/>
    <w:rsid w:val="00DD123D"/>
    <w:rsid w:val="00DD2BBB"/>
    <w:rsid w:val="00DD37D5"/>
    <w:rsid w:val="00DD42B7"/>
    <w:rsid w:val="00DD4C20"/>
    <w:rsid w:val="00DD4F70"/>
    <w:rsid w:val="00DD5963"/>
    <w:rsid w:val="00DD5BD2"/>
    <w:rsid w:val="00DD715A"/>
    <w:rsid w:val="00DE08E6"/>
    <w:rsid w:val="00DE1888"/>
    <w:rsid w:val="00DE1C8B"/>
    <w:rsid w:val="00DE1EBF"/>
    <w:rsid w:val="00DE4452"/>
    <w:rsid w:val="00DE59CD"/>
    <w:rsid w:val="00DE657E"/>
    <w:rsid w:val="00DE7308"/>
    <w:rsid w:val="00DE74F4"/>
    <w:rsid w:val="00DE766A"/>
    <w:rsid w:val="00DF0DEF"/>
    <w:rsid w:val="00DF1A07"/>
    <w:rsid w:val="00DF323A"/>
    <w:rsid w:val="00DF3A27"/>
    <w:rsid w:val="00DF4704"/>
    <w:rsid w:val="00DF475C"/>
    <w:rsid w:val="00DF497B"/>
    <w:rsid w:val="00DF535B"/>
    <w:rsid w:val="00DF56F6"/>
    <w:rsid w:val="00DF5D60"/>
    <w:rsid w:val="00DF61CD"/>
    <w:rsid w:val="00DF759F"/>
    <w:rsid w:val="00E01090"/>
    <w:rsid w:val="00E011E5"/>
    <w:rsid w:val="00E01427"/>
    <w:rsid w:val="00E024AA"/>
    <w:rsid w:val="00E02AF4"/>
    <w:rsid w:val="00E054CD"/>
    <w:rsid w:val="00E07EF3"/>
    <w:rsid w:val="00E07F1A"/>
    <w:rsid w:val="00E07FF0"/>
    <w:rsid w:val="00E10249"/>
    <w:rsid w:val="00E114B7"/>
    <w:rsid w:val="00E12AFA"/>
    <w:rsid w:val="00E13013"/>
    <w:rsid w:val="00E13FAE"/>
    <w:rsid w:val="00E140E5"/>
    <w:rsid w:val="00E15C77"/>
    <w:rsid w:val="00E15EA8"/>
    <w:rsid w:val="00E164FA"/>
    <w:rsid w:val="00E20ADA"/>
    <w:rsid w:val="00E2130D"/>
    <w:rsid w:val="00E21734"/>
    <w:rsid w:val="00E221FB"/>
    <w:rsid w:val="00E2257A"/>
    <w:rsid w:val="00E2279C"/>
    <w:rsid w:val="00E22CCF"/>
    <w:rsid w:val="00E23AAC"/>
    <w:rsid w:val="00E23BEF"/>
    <w:rsid w:val="00E250F1"/>
    <w:rsid w:val="00E25408"/>
    <w:rsid w:val="00E25B5E"/>
    <w:rsid w:val="00E26192"/>
    <w:rsid w:val="00E2653F"/>
    <w:rsid w:val="00E301B6"/>
    <w:rsid w:val="00E335C7"/>
    <w:rsid w:val="00E33A38"/>
    <w:rsid w:val="00E3550D"/>
    <w:rsid w:val="00E36507"/>
    <w:rsid w:val="00E36A59"/>
    <w:rsid w:val="00E36C14"/>
    <w:rsid w:val="00E36DB1"/>
    <w:rsid w:val="00E405F8"/>
    <w:rsid w:val="00E417EB"/>
    <w:rsid w:val="00E41EC7"/>
    <w:rsid w:val="00E43D6E"/>
    <w:rsid w:val="00E45BE6"/>
    <w:rsid w:val="00E505DC"/>
    <w:rsid w:val="00E514EA"/>
    <w:rsid w:val="00E527F2"/>
    <w:rsid w:val="00E52838"/>
    <w:rsid w:val="00E529BF"/>
    <w:rsid w:val="00E52C99"/>
    <w:rsid w:val="00E52CC6"/>
    <w:rsid w:val="00E54886"/>
    <w:rsid w:val="00E54A21"/>
    <w:rsid w:val="00E557A8"/>
    <w:rsid w:val="00E557B7"/>
    <w:rsid w:val="00E57182"/>
    <w:rsid w:val="00E578DA"/>
    <w:rsid w:val="00E6016B"/>
    <w:rsid w:val="00E60255"/>
    <w:rsid w:val="00E614E0"/>
    <w:rsid w:val="00E62A83"/>
    <w:rsid w:val="00E62E83"/>
    <w:rsid w:val="00E64139"/>
    <w:rsid w:val="00E64332"/>
    <w:rsid w:val="00E647F0"/>
    <w:rsid w:val="00E65778"/>
    <w:rsid w:val="00E66738"/>
    <w:rsid w:val="00E674D8"/>
    <w:rsid w:val="00E67ADC"/>
    <w:rsid w:val="00E67C79"/>
    <w:rsid w:val="00E7004B"/>
    <w:rsid w:val="00E7010D"/>
    <w:rsid w:val="00E70331"/>
    <w:rsid w:val="00E71647"/>
    <w:rsid w:val="00E71BC5"/>
    <w:rsid w:val="00E71D94"/>
    <w:rsid w:val="00E71E5D"/>
    <w:rsid w:val="00E730DD"/>
    <w:rsid w:val="00E73F7F"/>
    <w:rsid w:val="00E74BA3"/>
    <w:rsid w:val="00E75633"/>
    <w:rsid w:val="00E771CF"/>
    <w:rsid w:val="00E80800"/>
    <w:rsid w:val="00E80A03"/>
    <w:rsid w:val="00E80C90"/>
    <w:rsid w:val="00E82C53"/>
    <w:rsid w:val="00E8322A"/>
    <w:rsid w:val="00E839C4"/>
    <w:rsid w:val="00E8490E"/>
    <w:rsid w:val="00E85409"/>
    <w:rsid w:val="00E85AB7"/>
    <w:rsid w:val="00E87B5F"/>
    <w:rsid w:val="00E87E5E"/>
    <w:rsid w:val="00E905E1"/>
    <w:rsid w:val="00E907EB"/>
    <w:rsid w:val="00E9246B"/>
    <w:rsid w:val="00E929FB"/>
    <w:rsid w:val="00E94992"/>
    <w:rsid w:val="00E959DE"/>
    <w:rsid w:val="00E97917"/>
    <w:rsid w:val="00E97C75"/>
    <w:rsid w:val="00EA01B3"/>
    <w:rsid w:val="00EA30B4"/>
    <w:rsid w:val="00EA30D2"/>
    <w:rsid w:val="00EA3A23"/>
    <w:rsid w:val="00EA429F"/>
    <w:rsid w:val="00EA4F9E"/>
    <w:rsid w:val="00EA5900"/>
    <w:rsid w:val="00EA63CA"/>
    <w:rsid w:val="00EA690E"/>
    <w:rsid w:val="00EA6A7F"/>
    <w:rsid w:val="00EA6D3B"/>
    <w:rsid w:val="00EA70E6"/>
    <w:rsid w:val="00EA74DC"/>
    <w:rsid w:val="00EA7F3B"/>
    <w:rsid w:val="00EB00AD"/>
    <w:rsid w:val="00EB05C7"/>
    <w:rsid w:val="00EB0EC2"/>
    <w:rsid w:val="00EB136C"/>
    <w:rsid w:val="00EB2E78"/>
    <w:rsid w:val="00EB480E"/>
    <w:rsid w:val="00EB4874"/>
    <w:rsid w:val="00EB4D28"/>
    <w:rsid w:val="00EB56E0"/>
    <w:rsid w:val="00EB5E3B"/>
    <w:rsid w:val="00EB5EC6"/>
    <w:rsid w:val="00EB6D97"/>
    <w:rsid w:val="00EB7FC9"/>
    <w:rsid w:val="00EC0ED4"/>
    <w:rsid w:val="00EC123B"/>
    <w:rsid w:val="00EC5872"/>
    <w:rsid w:val="00ED0519"/>
    <w:rsid w:val="00ED27E8"/>
    <w:rsid w:val="00ED3489"/>
    <w:rsid w:val="00ED391F"/>
    <w:rsid w:val="00ED41E9"/>
    <w:rsid w:val="00ED7137"/>
    <w:rsid w:val="00ED7378"/>
    <w:rsid w:val="00ED7C8A"/>
    <w:rsid w:val="00EE25E4"/>
    <w:rsid w:val="00EE3406"/>
    <w:rsid w:val="00EE4935"/>
    <w:rsid w:val="00EF06EA"/>
    <w:rsid w:val="00EF0A76"/>
    <w:rsid w:val="00EF0B5C"/>
    <w:rsid w:val="00EF12E2"/>
    <w:rsid w:val="00EF14A9"/>
    <w:rsid w:val="00EF2CE5"/>
    <w:rsid w:val="00EF3659"/>
    <w:rsid w:val="00EF4E48"/>
    <w:rsid w:val="00EF64FD"/>
    <w:rsid w:val="00EF7DD4"/>
    <w:rsid w:val="00F007B5"/>
    <w:rsid w:val="00F00F9E"/>
    <w:rsid w:val="00F01F7E"/>
    <w:rsid w:val="00F02249"/>
    <w:rsid w:val="00F031D7"/>
    <w:rsid w:val="00F03616"/>
    <w:rsid w:val="00F03AF1"/>
    <w:rsid w:val="00F05C70"/>
    <w:rsid w:val="00F071EA"/>
    <w:rsid w:val="00F07366"/>
    <w:rsid w:val="00F07949"/>
    <w:rsid w:val="00F102E0"/>
    <w:rsid w:val="00F104C5"/>
    <w:rsid w:val="00F11D27"/>
    <w:rsid w:val="00F12A2C"/>
    <w:rsid w:val="00F13148"/>
    <w:rsid w:val="00F13378"/>
    <w:rsid w:val="00F136F7"/>
    <w:rsid w:val="00F139C8"/>
    <w:rsid w:val="00F1717D"/>
    <w:rsid w:val="00F177E2"/>
    <w:rsid w:val="00F17C5B"/>
    <w:rsid w:val="00F21088"/>
    <w:rsid w:val="00F21D16"/>
    <w:rsid w:val="00F25EBC"/>
    <w:rsid w:val="00F304A3"/>
    <w:rsid w:val="00F327E7"/>
    <w:rsid w:val="00F32F62"/>
    <w:rsid w:val="00F33F7C"/>
    <w:rsid w:val="00F33FDE"/>
    <w:rsid w:val="00F3523F"/>
    <w:rsid w:val="00F35746"/>
    <w:rsid w:val="00F37455"/>
    <w:rsid w:val="00F4018F"/>
    <w:rsid w:val="00F4020D"/>
    <w:rsid w:val="00F4020E"/>
    <w:rsid w:val="00F408B6"/>
    <w:rsid w:val="00F41595"/>
    <w:rsid w:val="00F418DC"/>
    <w:rsid w:val="00F438BC"/>
    <w:rsid w:val="00F43A2C"/>
    <w:rsid w:val="00F4468C"/>
    <w:rsid w:val="00F447C7"/>
    <w:rsid w:val="00F459B4"/>
    <w:rsid w:val="00F46177"/>
    <w:rsid w:val="00F4716B"/>
    <w:rsid w:val="00F47E07"/>
    <w:rsid w:val="00F5198A"/>
    <w:rsid w:val="00F51BF8"/>
    <w:rsid w:val="00F5211B"/>
    <w:rsid w:val="00F526C4"/>
    <w:rsid w:val="00F530D8"/>
    <w:rsid w:val="00F5369B"/>
    <w:rsid w:val="00F53B7C"/>
    <w:rsid w:val="00F549A3"/>
    <w:rsid w:val="00F54C3F"/>
    <w:rsid w:val="00F551FF"/>
    <w:rsid w:val="00F554A9"/>
    <w:rsid w:val="00F558B2"/>
    <w:rsid w:val="00F57A67"/>
    <w:rsid w:val="00F60ED5"/>
    <w:rsid w:val="00F62494"/>
    <w:rsid w:val="00F62698"/>
    <w:rsid w:val="00F62BCA"/>
    <w:rsid w:val="00F63E3E"/>
    <w:rsid w:val="00F63F63"/>
    <w:rsid w:val="00F64973"/>
    <w:rsid w:val="00F64E68"/>
    <w:rsid w:val="00F658B1"/>
    <w:rsid w:val="00F678D5"/>
    <w:rsid w:val="00F678ED"/>
    <w:rsid w:val="00F70A60"/>
    <w:rsid w:val="00F716FD"/>
    <w:rsid w:val="00F7173C"/>
    <w:rsid w:val="00F71F89"/>
    <w:rsid w:val="00F72735"/>
    <w:rsid w:val="00F750AE"/>
    <w:rsid w:val="00F759A5"/>
    <w:rsid w:val="00F7666C"/>
    <w:rsid w:val="00F76821"/>
    <w:rsid w:val="00F76FFD"/>
    <w:rsid w:val="00F77E4A"/>
    <w:rsid w:val="00F77EBF"/>
    <w:rsid w:val="00F80355"/>
    <w:rsid w:val="00F804AA"/>
    <w:rsid w:val="00F81CBF"/>
    <w:rsid w:val="00F81D87"/>
    <w:rsid w:val="00F82B9E"/>
    <w:rsid w:val="00F838E8"/>
    <w:rsid w:val="00F83B72"/>
    <w:rsid w:val="00F83BFD"/>
    <w:rsid w:val="00F83E2C"/>
    <w:rsid w:val="00F84948"/>
    <w:rsid w:val="00F8554C"/>
    <w:rsid w:val="00F85A9B"/>
    <w:rsid w:val="00F85EB1"/>
    <w:rsid w:val="00F873FF"/>
    <w:rsid w:val="00F87BD9"/>
    <w:rsid w:val="00F87C43"/>
    <w:rsid w:val="00F926D6"/>
    <w:rsid w:val="00F92E14"/>
    <w:rsid w:val="00F93739"/>
    <w:rsid w:val="00F9481D"/>
    <w:rsid w:val="00F94DF6"/>
    <w:rsid w:val="00F955E9"/>
    <w:rsid w:val="00F97425"/>
    <w:rsid w:val="00F97E45"/>
    <w:rsid w:val="00FA015C"/>
    <w:rsid w:val="00FA23B4"/>
    <w:rsid w:val="00FA30DB"/>
    <w:rsid w:val="00FA4C82"/>
    <w:rsid w:val="00FA50EA"/>
    <w:rsid w:val="00FA5722"/>
    <w:rsid w:val="00FA58BC"/>
    <w:rsid w:val="00FA5A4B"/>
    <w:rsid w:val="00FA7260"/>
    <w:rsid w:val="00FA7B5A"/>
    <w:rsid w:val="00FA7BDF"/>
    <w:rsid w:val="00FA7EF1"/>
    <w:rsid w:val="00FA7F5B"/>
    <w:rsid w:val="00FB0C81"/>
    <w:rsid w:val="00FB16E7"/>
    <w:rsid w:val="00FB41B3"/>
    <w:rsid w:val="00FB43A3"/>
    <w:rsid w:val="00FB6150"/>
    <w:rsid w:val="00FB692E"/>
    <w:rsid w:val="00FB6960"/>
    <w:rsid w:val="00FB69C2"/>
    <w:rsid w:val="00FB6D64"/>
    <w:rsid w:val="00FB7665"/>
    <w:rsid w:val="00FB7D2F"/>
    <w:rsid w:val="00FC1189"/>
    <w:rsid w:val="00FC2200"/>
    <w:rsid w:val="00FC2540"/>
    <w:rsid w:val="00FC2DA2"/>
    <w:rsid w:val="00FC4BB2"/>
    <w:rsid w:val="00FC66DD"/>
    <w:rsid w:val="00FC68BA"/>
    <w:rsid w:val="00FC6A7F"/>
    <w:rsid w:val="00FC7917"/>
    <w:rsid w:val="00FC7D7D"/>
    <w:rsid w:val="00FD27F5"/>
    <w:rsid w:val="00FD2E5C"/>
    <w:rsid w:val="00FD4856"/>
    <w:rsid w:val="00FD547F"/>
    <w:rsid w:val="00FE0C3B"/>
    <w:rsid w:val="00FE20FC"/>
    <w:rsid w:val="00FE25D1"/>
    <w:rsid w:val="00FE3BFB"/>
    <w:rsid w:val="00FE3E3A"/>
    <w:rsid w:val="00FE4DFA"/>
    <w:rsid w:val="00FE5373"/>
    <w:rsid w:val="00FE6F16"/>
    <w:rsid w:val="00FF0204"/>
    <w:rsid w:val="00FF1A7B"/>
    <w:rsid w:val="00FF1CEE"/>
    <w:rsid w:val="00FF2809"/>
    <w:rsid w:val="00FF2E2A"/>
    <w:rsid w:val="00FF2EDD"/>
    <w:rsid w:val="00FF3AED"/>
    <w:rsid w:val="00FF3C78"/>
    <w:rsid w:val="00FF48B6"/>
    <w:rsid w:val="00FF4A72"/>
    <w:rsid w:val="00FF4D2A"/>
    <w:rsid w:val="00FF4F50"/>
    <w:rsid w:val="00FF542A"/>
    <w:rsid w:val="00FF64F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6E650E"/>
  <w15:docId w15:val="{31E95067-726B-4C8C-B96F-4B1757DFD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1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11"/>
      </w:numPr>
      <w:spacing w:before="240" w:after="60"/>
      <w:outlineLvl w:val="3"/>
    </w:pPr>
  </w:style>
  <w:style w:type="paragraph" w:styleId="Heading5">
    <w:name w:val="heading 5"/>
    <w:basedOn w:val="Normal"/>
    <w:next w:val="Normal"/>
    <w:link w:val="Heading5Char"/>
    <w:qFormat/>
    <w:rsid w:val="00DC6A10"/>
    <w:pPr>
      <w:keepNext/>
      <w:numPr>
        <w:numId w:val="6"/>
      </w:numPr>
      <w:spacing w:after="240"/>
      <w:ind w:left="3600" w:hanging="720"/>
      <w:outlineLvl w:val="4"/>
    </w:pPr>
  </w:style>
  <w:style w:type="paragraph" w:styleId="Heading6">
    <w:name w:val="heading 6"/>
    <w:basedOn w:val="Normal"/>
    <w:next w:val="Normal"/>
    <w:link w:val="Heading6Char"/>
    <w:qFormat/>
    <w:rsid w:val="00A5151A"/>
    <w:pPr>
      <w:numPr>
        <w:ilvl w:val="5"/>
        <w:numId w:val="1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aliases w:val="Ethy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rsid w:val="00FC2540"/>
    <w:rPr>
      <w:rFonts w:ascii="Tahoma" w:hAnsi="Tahoma" w:cs="Tahoma"/>
      <w:sz w:val="16"/>
      <w:szCs w:val="16"/>
      <w:lang w:val="es-ES"/>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s-ES"/>
    </w:rPr>
  </w:style>
  <w:style w:type="paragraph" w:styleId="CommentSubject">
    <w:name w:val="annotation subject"/>
    <w:basedOn w:val="CommentText"/>
    <w:next w:val="CommentText"/>
    <w:link w:val="CommentSubjectChar"/>
    <w:uiPriority w:val="99"/>
    <w:unhideWhenUsed/>
    <w:rsid w:val="00B04161"/>
    <w:rPr>
      <w:b/>
      <w:bCs/>
    </w:rPr>
  </w:style>
  <w:style w:type="character" w:customStyle="1" w:styleId="CommentSubjectChar">
    <w:name w:val="Comment Subject Char"/>
    <w:basedOn w:val="CommentTextChar"/>
    <w:link w:val="CommentSubject"/>
    <w:uiPriority w:val="99"/>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 Char1,Geneva 9,Font: Geneva 9,Boston 10,f,-E Fußnotentext,Fußnotentext Ursprung,-E Fußnotentext1,-E Fußnotentext2,-E Fußnotentext3,Fußnotentext Char1,Fußnotentext Char Char,Fußnotentext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 Char1 Char,Geneva 9 Char,Font: Geneva 9 Char,Boston 10 Char,f Char,-E Fußnotentext Char,Fußnotentext Ursprung Char,-E Fußnotentext1 Char,-E Fußnotentext2 Char,-E Fußnotentext3 Char"/>
    <w:basedOn w:val="DefaultParagraphFont"/>
    <w:link w:val="FootnoteText"/>
    <w:uiPriority w:val="99"/>
    <w:rsid w:val="006E126D"/>
    <w:rPr>
      <w:lang w:val="es-ES"/>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BVI fnr,Ref"/>
    <w:basedOn w:val="DefaultParagraphFont"/>
    <w:link w:val="CharCharCharCharCarChar"/>
    <w:uiPriority w:val="99"/>
    <w:unhideWhenUsed/>
    <w:qFormat/>
    <w:rsid w:val="006E126D"/>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C123B"/>
    <w:rPr>
      <w:sz w:val="22"/>
      <w:szCs w:val="22"/>
      <w:lang w:val="es-ES"/>
    </w:rPr>
  </w:style>
  <w:style w:type="character" w:customStyle="1" w:styleId="Heading3Char">
    <w:name w:val="Heading 3 Char"/>
    <w:basedOn w:val="DefaultParagraphFont"/>
    <w:qFormat/>
    <w:rsid w:val="00EC123B"/>
    <w:rPr>
      <w:rFonts w:asciiTheme="majorHAnsi" w:eastAsiaTheme="majorEastAsia" w:hAnsiTheme="majorHAnsi" w:cstheme="majorBidi"/>
      <w:color w:val="243F60" w:themeColor="accent1" w:themeShade="7F"/>
      <w:sz w:val="24"/>
      <w:szCs w:val="24"/>
      <w:lang w:val="es-ES"/>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C123B"/>
    <w:rPr>
      <w:sz w:val="22"/>
      <w:szCs w:val="22"/>
      <w:lang w:val="es-ES"/>
    </w:rPr>
  </w:style>
  <w:style w:type="character" w:customStyle="1" w:styleId="Heading5Char">
    <w:name w:val="Heading 5 Char"/>
    <w:basedOn w:val="DefaultParagraphFont"/>
    <w:link w:val="Heading5"/>
    <w:rsid w:val="00EC123B"/>
    <w:rPr>
      <w:sz w:val="22"/>
      <w:szCs w:val="22"/>
      <w:lang w:val="es-ES"/>
    </w:rPr>
  </w:style>
  <w:style w:type="character" w:customStyle="1" w:styleId="Heading6Char">
    <w:name w:val="Heading 6 Char"/>
    <w:basedOn w:val="DefaultParagraphFont"/>
    <w:link w:val="Heading6"/>
    <w:rsid w:val="00EC123B"/>
    <w:rPr>
      <w:rFonts w:ascii="Arial" w:hAnsi="Arial"/>
      <w:i/>
      <w:sz w:val="22"/>
      <w:szCs w:val="22"/>
      <w:lang w:val="es-ES"/>
    </w:rPr>
  </w:style>
  <w:style w:type="character" w:customStyle="1" w:styleId="Heading7Char">
    <w:name w:val="Heading 7 Char"/>
    <w:basedOn w:val="DefaultParagraphFont"/>
    <w:link w:val="Heading7"/>
    <w:rsid w:val="00EC123B"/>
    <w:rPr>
      <w:rFonts w:ascii="Arial" w:hAnsi="Arial"/>
      <w:sz w:val="22"/>
      <w:szCs w:val="22"/>
      <w:lang w:val="es-ES"/>
    </w:rPr>
  </w:style>
  <w:style w:type="character" w:customStyle="1" w:styleId="Heading8Char">
    <w:name w:val="Heading 8 Char"/>
    <w:basedOn w:val="DefaultParagraphFont"/>
    <w:link w:val="Heading8"/>
    <w:rsid w:val="00EC123B"/>
    <w:rPr>
      <w:b/>
      <w:sz w:val="22"/>
      <w:szCs w:val="22"/>
      <w:lang w:val="es-ES"/>
    </w:rPr>
  </w:style>
  <w:style w:type="character" w:customStyle="1" w:styleId="Heading9Char">
    <w:name w:val="Heading 9 Char"/>
    <w:basedOn w:val="DefaultParagraphFont"/>
    <w:link w:val="Heading9"/>
    <w:rsid w:val="00EC123B"/>
    <w:rPr>
      <w:rFonts w:ascii="Arial" w:hAnsi="Arial"/>
      <w:i/>
      <w:sz w:val="18"/>
      <w:szCs w:val="22"/>
      <w:lang w:val="es-ES"/>
    </w:rPr>
  </w:style>
  <w:style w:type="character" w:styleId="PageNumber">
    <w:name w:val="page number"/>
    <w:basedOn w:val="DefaultParagraphFont"/>
    <w:rsid w:val="00EC123B"/>
    <w:rPr>
      <w:rFonts w:ascii="Times New Roman" w:hAnsi="Times New Roman"/>
      <w:b/>
      <w:sz w:val="18"/>
    </w:rPr>
  </w:style>
  <w:style w:type="table" w:customStyle="1" w:styleId="Tabledocright">
    <w:name w:val="Table_doc_right"/>
    <w:basedOn w:val="TableNormal"/>
    <w:rsid w:val="00EC123B"/>
    <w:pPr>
      <w:spacing w:before="40" w:after="40"/>
    </w:pPr>
    <w:rPr>
      <w:sz w:val="18"/>
      <w:szCs w:val="18"/>
    </w:rPr>
    <w:tblPr>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EC123B"/>
    <w:pPr>
      <w:tabs>
        <w:tab w:val="left" w:pos="1247"/>
      </w:tabs>
      <w:ind w:left="1000"/>
      <w:jc w:val="left"/>
    </w:pPr>
    <w:rPr>
      <w:sz w:val="18"/>
      <w:szCs w:val="18"/>
    </w:rPr>
  </w:style>
  <w:style w:type="paragraph" w:styleId="TOC7">
    <w:name w:val="toc 7"/>
    <w:basedOn w:val="Normal"/>
    <w:next w:val="Normal"/>
    <w:autoRedefine/>
    <w:semiHidden/>
    <w:rsid w:val="00EC123B"/>
    <w:pPr>
      <w:tabs>
        <w:tab w:val="left" w:pos="1247"/>
      </w:tabs>
      <w:ind w:left="1200"/>
      <w:jc w:val="left"/>
    </w:pPr>
    <w:rPr>
      <w:sz w:val="18"/>
      <w:szCs w:val="18"/>
    </w:rPr>
  </w:style>
  <w:style w:type="paragraph" w:styleId="TOC8">
    <w:name w:val="toc 8"/>
    <w:basedOn w:val="Normal"/>
    <w:next w:val="Normal"/>
    <w:autoRedefine/>
    <w:semiHidden/>
    <w:rsid w:val="00EC123B"/>
    <w:pPr>
      <w:tabs>
        <w:tab w:val="left" w:pos="1247"/>
      </w:tabs>
      <w:ind w:left="1400"/>
      <w:jc w:val="left"/>
    </w:pPr>
    <w:rPr>
      <w:sz w:val="18"/>
      <w:szCs w:val="18"/>
    </w:rPr>
  </w:style>
  <w:style w:type="paragraph" w:styleId="TOC9">
    <w:name w:val="toc 9"/>
    <w:basedOn w:val="Normal"/>
    <w:next w:val="Normal"/>
    <w:autoRedefine/>
    <w:semiHidden/>
    <w:rsid w:val="00EC123B"/>
    <w:pPr>
      <w:tabs>
        <w:tab w:val="left" w:pos="1247"/>
      </w:tabs>
      <w:ind w:left="1600"/>
      <w:jc w:val="left"/>
    </w:pPr>
    <w:rPr>
      <w:sz w:val="18"/>
      <w:szCs w:val="18"/>
    </w:rPr>
  </w:style>
  <w:style w:type="paragraph" w:customStyle="1" w:styleId="Titlefigure">
    <w:name w:val="Title_figure"/>
    <w:basedOn w:val="Titletable"/>
    <w:next w:val="NormalNonumber"/>
    <w:rsid w:val="00EC123B"/>
    <w:rPr>
      <w:bCs w:val="0"/>
    </w:rPr>
  </w:style>
  <w:style w:type="paragraph" w:styleId="TableofFigures">
    <w:name w:val="table of figures"/>
    <w:basedOn w:val="Normal"/>
    <w:next w:val="Normal"/>
    <w:autoRedefine/>
    <w:semiHidden/>
    <w:rsid w:val="00EC123B"/>
    <w:pPr>
      <w:tabs>
        <w:tab w:val="left" w:pos="1247"/>
      </w:tabs>
      <w:ind w:left="1814" w:hanging="567"/>
      <w:jc w:val="left"/>
    </w:pPr>
    <w:rPr>
      <w:sz w:val="20"/>
      <w:szCs w:val="20"/>
    </w:rPr>
  </w:style>
  <w:style w:type="paragraph" w:customStyle="1" w:styleId="CH1">
    <w:name w:val="CH1"/>
    <w:basedOn w:val="Normalpool"/>
    <w:next w:val="CH2"/>
    <w:link w:val="CH1Char"/>
    <w:qFormat/>
    <w:rsid w:val="00EC123B"/>
    <w:pPr>
      <w:keepNext/>
      <w:keepLines/>
      <w:tabs>
        <w:tab w:val="right" w:pos="851"/>
      </w:tabs>
      <w:suppressAutoHyphens/>
      <w:spacing w:before="240" w:after="120"/>
      <w:ind w:left="1247" w:right="284" w:hanging="1247"/>
    </w:pPr>
    <w:rPr>
      <w:b/>
      <w:sz w:val="28"/>
      <w:szCs w:val="28"/>
    </w:rPr>
  </w:style>
  <w:style w:type="paragraph" w:customStyle="1" w:styleId="CH2">
    <w:name w:val="CH2"/>
    <w:basedOn w:val="Normalpool"/>
    <w:next w:val="Normalnumber"/>
    <w:link w:val="CH2Char"/>
    <w:rsid w:val="00EC123B"/>
    <w:pPr>
      <w:keepNext/>
      <w:keepLines/>
      <w:tabs>
        <w:tab w:val="right" w:pos="851"/>
      </w:tabs>
      <w:suppressAutoHyphens/>
      <w:spacing w:before="80" w:after="120"/>
      <w:ind w:left="1247" w:right="284" w:hanging="1247"/>
    </w:pPr>
    <w:rPr>
      <w:b/>
      <w:sz w:val="24"/>
      <w:szCs w:val="24"/>
    </w:rPr>
  </w:style>
  <w:style w:type="paragraph" w:customStyle="1" w:styleId="CH3">
    <w:name w:val="CH3"/>
    <w:basedOn w:val="Normalpool"/>
    <w:next w:val="Normalnumber"/>
    <w:rsid w:val="00EC123B"/>
    <w:pPr>
      <w:keepNext/>
      <w:keepLines/>
      <w:tabs>
        <w:tab w:val="right" w:pos="851"/>
      </w:tabs>
      <w:suppressAutoHyphens/>
      <w:spacing w:after="120"/>
      <w:ind w:left="1247" w:right="284" w:hanging="1247"/>
    </w:pPr>
    <w:rPr>
      <w:b/>
    </w:rPr>
  </w:style>
  <w:style w:type="paragraph" w:customStyle="1" w:styleId="CH4">
    <w:name w:val="CH4"/>
    <w:basedOn w:val="Normalpool"/>
    <w:next w:val="Normalnumber"/>
    <w:rsid w:val="00EC123B"/>
    <w:pPr>
      <w:keepNext/>
      <w:keepLines/>
      <w:tabs>
        <w:tab w:val="right" w:pos="851"/>
      </w:tabs>
      <w:suppressAutoHyphens/>
      <w:spacing w:after="120"/>
      <w:ind w:left="1247" w:right="284" w:hanging="1247"/>
    </w:pPr>
    <w:rPr>
      <w:b/>
    </w:rPr>
  </w:style>
  <w:style w:type="table" w:customStyle="1" w:styleId="Footertable">
    <w:name w:val="Footer_table"/>
    <w:basedOn w:val="TableNormal"/>
    <w:semiHidden/>
    <w:rsid w:val="00EC123B"/>
    <w:rPr>
      <w:rFonts w:ascii="Arial" w:hAnsi="Arial"/>
      <w:sz w:val="16"/>
    </w:rPr>
    <w:tblPr>
      <w:jc w:val="right"/>
      <w:tblBorders>
        <w:top w:val="double" w:sz="4" w:space="0" w:color="auto"/>
        <w:left w:val="double" w:sz="4" w:space="0" w:color="auto"/>
        <w:bottom w:val="double" w:sz="4" w:space="0" w:color="auto"/>
        <w:right w:val="double" w:sz="4" w:space="0" w:color="auto"/>
      </w:tblBorders>
    </w:tblPr>
    <w:trPr>
      <w:jc w:val="right"/>
    </w:trPr>
    <w:tcPr>
      <w:tcMar>
        <w:top w:w="28" w:type="dxa"/>
        <w:bottom w:w="28" w:type="dxa"/>
      </w:tcMar>
    </w:tcPr>
  </w:style>
  <w:style w:type="paragraph" w:customStyle="1" w:styleId="CH5">
    <w:name w:val="CH5"/>
    <w:basedOn w:val="Normalpool"/>
    <w:next w:val="Normalnumber"/>
    <w:rsid w:val="00EC123B"/>
    <w:pPr>
      <w:keepNext/>
      <w:keepLines/>
      <w:tabs>
        <w:tab w:val="right" w:pos="851"/>
      </w:tabs>
      <w:suppressAutoHyphens/>
      <w:spacing w:after="120"/>
      <w:ind w:left="1247" w:right="284" w:hanging="1247"/>
    </w:pPr>
    <w:rPr>
      <w:b/>
    </w:rPr>
  </w:style>
  <w:style w:type="paragraph" w:customStyle="1" w:styleId="Footerpool">
    <w:name w:val="Footer_pool"/>
    <w:basedOn w:val="Normal"/>
    <w:next w:val="Normal"/>
    <w:semiHidden/>
    <w:rsid w:val="00EC123B"/>
    <w:pPr>
      <w:tabs>
        <w:tab w:val="left" w:pos="1247"/>
        <w:tab w:val="left" w:pos="1814"/>
        <w:tab w:val="left" w:pos="2381"/>
        <w:tab w:val="left" w:pos="2948"/>
        <w:tab w:val="left" w:pos="3515"/>
        <w:tab w:val="left" w:pos="4321"/>
        <w:tab w:val="right" w:pos="8641"/>
      </w:tabs>
      <w:spacing w:before="60" w:after="120"/>
      <w:jc w:val="left"/>
    </w:pPr>
    <w:rPr>
      <w:b/>
      <w:sz w:val="18"/>
      <w:szCs w:val="20"/>
    </w:rPr>
  </w:style>
  <w:style w:type="paragraph" w:customStyle="1" w:styleId="Headerpool">
    <w:name w:val="Header_pool"/>
    <w:basedOn w:val="Normal"/>
    <w:next w:val="Normal"/>
    <w:semiHidden/>
    <w:rsid w:val="00EC123B"/>
    <w:pPr>
      <w:pBdr>
        <w:bottom w:val="single" w:sz="4" w:space="1" w:color="auto"/>
      </w:pBdr>
      <w:tabs>
        <w:tab w:val="left" w:pos="1247"/>
        <w:tab w:val="center" w:pos="4536"/>
        <w:tab w:val="right" w:pos="9072"/>
      </w:tabs>
      <w:spacing w:after="120"/>
      <w:jc w:val="left"/>
    </w:pPr>
    <w:rPr>
      <w:b/>
      <w:sz w:val="18"/>
      <w:szCs w:val="20"/>
    </w:rPr>
  </w:style>
  <w:style w:type="paragraph" w:customStyle="1" w:styleId="Normalpool">
    <w:name w:val="Normal_pool"/>
    <w:link w:val="NormalpoolChar"/>
    <w:rsid w:val="00EC123B"/>
    <w:pPr>
      <w:tabs>
        <w:tab w:val="left" w:pos="1247"/>
        <w:tab w:val="left" w:pos="1814"/>
        <w:tab w:val="left" w:pos="2381"/>
        <w:tab w:val="left" w:pos="2948"/>
        <w:tab w:val="left" w:pos="3515"/>
        <w:tab w:val="left" w:pos="4082"/>
      </w:tabs>
    </w:pPr>
  </w:style>
  <w:style w:type="paragraph" w:customStyle="1" w:styleId="Footer-pool">
    <w:name w:val="Footer-pool"/>
    <w:basedOn w:val="Normal-pool"/>
    <w:next w:val="Normal-pool"/>
    <w:rsid w:val="00EC123B"/>
    <w:pPr>
      <w:tabs>
        <w:tab w:val="left" w:pos="4321"/>
        <w:tab w:val="right" w:pos="8641"/>
      </w:tabs>
      <w:spacing w:before="60" w:after="120"/>
    </w:pPr>
    <w:rPr>
      <w:b/>
      <w:sz w:val="18"/>
    </w:rPr>
  </w:style>
  <w:style w:type="paragraph" w:customStyle="1" w:styleId="Header-pool">
    <w:name w:val="Header-pool"/>
    <w:basedOn w:val="Normal-pool"/>
    <w:next w:val="Normal-pool"/>
    <w:rsid w:val="00EC123B"/>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qFormat/>
    <w:rsid w:val="00EC123B"/>
    <w:pPr>
      <w:tabs>
        <w:tab w:val="left" w:pos="1247"/>
        <w:tab w:val="left" w:pos="1814"/>
        <w:tab w:val="left" w:pos="2381"/>
        <w:tab w:val="left" w:pos="2948"/>
        <w:tab w:val="left" w:pos="3515"/>
        <w:tab w:val="left" w:pos="4082"/>
      </w:tabs>
    </w:pPr>
  </w:style>
  <w:style w:type="character" w:customStyle="1" w:styleId="FooterChar">
    <w:name w:val="Footer Char"/>
    <w:link w:val="Footer"/>
    <w:uiPriority w:val="99"/>
    <w:rsid w:val="00EC123B"/>
    <w:rPr>
      <w:sz w:val="22"/>
      <w:szCs w:val="22"/>
      <w:lang w:val="es-ES"/>
    </w:rPr>
  </w:style>
  <w:style w:type="character" w:customStyle="1" w:styleId="HeaderChar">
    <w:name w:val="Header Char"/>
    <w:aliases w:val="EthylHeader Char"/>
    <w:link w:val="Header"/>
    <w:uiPriority w:val="99"/>
    <w:rsid w:val="00EC123B"/>
    <w:rPr>
      <w:sz w:val="22"/>
      <w:szCs w:val="22"/>
      <w:lang w:val="es-ES"/>
    </w:rPr>
  </w:style>
  <w:style w:type="character" w:customStyle="1" w:styleId="CH2Char">
    <w:name w:val="CH2 Char"/>
    <w:link w:val="CH2"/>
    <w:locked/>
    <w:rsid w:val="00EC123B"/>
    <w:rPr>
      <w:b/>
      <w:sz w:val="24"/>
      <w:szCs w:val="24"/>
      <w:lang w:val="es-ES"/>
    </w:rPr>
  </w:style>
  <w:style w:type="character" w:customStyle="1" w:styleId="NormalnumberChar">
    <w:name w:val="Normal_number Char"/>
    <w:link w:val="Normalnumber"/>
    <w:locked/>
    <w:rsid w:val="00EC123B"/>
    <w:rPr>
      <w:lang w:val="es-ES"/>
    </w:rPr>
  </w:style>
  <w:style w:type="paragraph" w:styleId="ListParagraph">
    <w:name w:val="List Paragraph"/>
    <w:aliases w:val="(i) Indent 2,List Paragraph (numbered (a)) Char,List Paragraph Char Char Char,List Paragraph (numbered (a)),Use Case List Paragraph,List Paragraph2,Numbered List Paragraph,Main numbered paragraph,Bullet paras,ANNEX,列出段落YUAN"/>
    <w:basedOn w:val="Normal"/>
    <w:link w:val="ListParagraphChar"/>
    <w:uiPriority w:val="34"/>
    <w:qFormat/>
    <w:rsid w:val="00EC123B"/>
    <w:pPr>
      <w:spacing w:after="200" w:line="276" w:lineRule="auto"/>
      <w:ind w:left="720"/>
      <w:contextualSpacing/>
      <w:jc w:val="left"/>
    </w:pPr>
    <w:rPr>
      <w:rFonts w:ascii="Calibri" w:eastAsia="Calibri" w:hAnsi="Calibri" w:cs="Arial"/>
    </w:rPr>
  </w:style>
  <w:style w:type="paragraph" w:styleId="NormalWeb">
    <w:name w:val="Normal (Web)"/>
    <w:basedOn w:val="Normal"/>
    <w:unhideWhenUsed/>
    <w:rsid w:val="00EC123B"/>
    <w:pPr>
      <w:spacing w:before="100" w:beforeAutospacing="1" w:after="100" w:afterAutospacing="1"/>
      <w:jc w:val="left"/>
    </w:pPr>
    <w:rPr>
      <w:sz w:val="24"/>
      <w:szCs w:val="24"/>
      <w:lang w:eastAsia="zh-CN"/>
    </w:rPr>
  </w:style>
  <w:style w:type="character" w:styleId="Emphasis">
    <w:name w:val="Emphasis"/>
    <w:qFormat/>
    <w:rsid w:val="00EC123B"/>
    <w:rPr>
      <w:i/>
      <w:iCs/>
    </w:rPr>
  </w:style>
  <w:style w:type="character" w:styleId="FollowedHyperlink">
    <w:name w:val="FollowedHyperlink"/>
    <w:uiPriority w:val="99"/>
    <w:unhideWhenUsed/>
    <w:rsid w:val="00EC123B"/>
    <w:rPr>
      <w:color w:val="954F72"/>
      <w:u w:val="single"/>
    </w:rPr>
  </w:style>
  <w:style w:type="paragraph" w:customStyle="1" w:styleId="xl63">
    <w:name w:val="xl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4">
    <w:name w:val="xl64"/>
    <w:basedOn w:val="Normal"/>
    <w:rsid w:val="00EC123B"/>
    <w:pPr>
      <w:spacing w:before="100" w:beforeAutospacing="1" w:after="100" w:afterAutospacing="1"/>
      <w:jc w:val="left"/>
    </w:pPr>
    <w:rPr>
      <w:rFonts w:ascii="Roboto" w:hAnsi="Roboto"/>
      <w:sz w:val="16"/>
      <w:szCs w:val="16"/>
    </w:rPr>
  </w:style>
  <w:style w:type="paragraph" w:customStyle="1" w:styleId="xl65">
    <w:name w:val="xl65"/>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sz w:val="16"/>
      <w:szCs w:val="16"/>
    </w:rPr>
  </w:style>
  <w:style w:type="paragraph" w:customStyle="1" w:styleId="xl66">
    <w:name w:val="xl66"/>
    <w:basedOn w:val="Normal"/>
    <w:rsid w:val="00EC123B"/>
    <w:pPr>
      <w:spacing w:before="100" w:beforeAutospacing="1" w:after="100" w:afterAutospacing="1"/>
      <w:jc w:val="left"/>
    </w:pPr>
    <w:rPr>
      <w:rFonts w:ascii="Roboto" w:hAnsi="Roboto"/>
      <w:sz w:val="16"/>
      <w:szCs w:val="16"/>
    </w:rPr>
  </w:style>
  <w:style w:type="paragraph" w:customStyle="1" w:styleId="xl67">
    <w:name w:val="xl6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68">
    <w:name w:val="xl68"/>
    <w:basedOn w:val="Normal"/>
    <w:rsid w:val="00EC123B"/>
    <w:pPr>
      <w:spacing w:before="100" w:beforeAutospacing="1" w:after="100" w:afterAutospacing="1"/>
      <w:jc w:val="left"/>
    </w:pPr>
    <w:rPr>
      <w:rFonts w:ascii="Roboto" w:hAnsi="Roboto"/>
      <w:b/>
      <w:bCs/>
      <w:sz w:val="16"/>
      <w:szCs w:val="16"/>
    </w:rPr>
  </w:style>
  <w:style w:type="paragraph" w:customStyle="1" w:styleId="xl69">
    <w:name w:val="xl69"/>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0">
    <w:name w:val="xl70"/>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Roboto" w:hAnsi="Roboto"/>
      <w:sz w:val="16"/>
      <w:szCs w:val="16"/>
    </w:rPr>
  </w:style>
  <w:style w:type="paragraph" w:customStyle="1" w:styleId="xl71">
    <w:name w:val="xl71"/>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Roboto" w:hAnsi="Roboto"/>
      <w:b/>
      <w:bCs/>
      <w:sz w:val="16"/>
      <w:szCs w:val="16"/>
    </w:rPr>
  </w:style>
  <w:style w:type="paragraph" w:customStyle="1" w:styleId="xl72">
    <w:name w:val="xl72"/>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b/>
      <w:bCs/>
      <w:sz w:val="16"/>
      <w:szCs w:val="16"/>
    </w:rPr>
  </w:style>
  <w:style w:type="paragraph" w:customStyle="1" w:styleId="xl73">
    <w:name w:val="xl7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Roboto" w:hAnsi="Roboto"/>
      <w:sz w:val="16"/>
      <w:szCs w:val="16"/>
    </w:rPr>
  </w:style>
  <w:style w:type="paragraph" w:customStyle="1" w:styleId="xl74">
    <w:name w:val="xl74"/>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Roboto" w:hAnsi="Roboto"/>
      <w:sz w:val="16"/>
      <w:szCs w:val="16"/>
    </w:rPr>
  </w:style>
  <w:style w:type="paragraph" w:customStyle="1" w:styleId="xl75">
    <w:name w:val="xl75"/>
    <w:basedOn w:val="Normal"/>
    <w:rsid w:val="00EC123B"/>
    <w:pPr>
      <w:spacing w:before="100" w:beforeAutospacing="1" w:after="100" w:afterAutospacing="1"/>
      <w:jc w:val="center"/>
    </w:pPr>
    <w:rPr>
      <w:rFonts w:ascii="Roboto" w:hAnsi="Roboto"/>
      <w:sz w:val="16"/>
      <w:szCs w:val="16"/>
    </w:rPr>
  </w:style>
  <w:style w:type="paragraph" w:styleId="EndnoteText">
    <w:name w:val="endnote text"/>
    <w:basedOn w:val="Normal"/>
    <w:link w:val="EndnoteTextChar"/>
    <w:uiPriority w:val="99"/>
    <w:rsid w:val="00EC123B"/>
    <w:pPr>
      <w:widowControl w:val="0"/>
      <w:tabs>
        <w:tab w:val="left" w:pos="-720"/>
      </w:tabs>
      <w:suppressAutoHyphens/>
      <w:overflowPunct w:val="0"/>
      <w:autoSpaceDE w:val="0"/>
      <w:autoSpaceDN w:val="0"/>
      <w:adjustRightInd w:val="0"/>
      <w:jc w:val="left"/>
      <w:textAlignment w:val="baseline"/>
    </w:pPr>
    <w:rPr>
      <w:rFonts w:ascii="Courier" w:hAnsi="Courier"/>
      <w:sz w:val="24"/>
      <w:szCs w:val="20"/>
    </w:rPr>
  </w:style>
  <w:style w:type="character" w:customStyle="1" w:styleId="EndnoteTextChar">
    <w:name w:val="Endnote Text Char"/>
    <w:basedOn w:val="DefaultParagraphFont"/>
    <w:link w:val="EndnoteText"/>
    <w:uiPriority w:val="99"/>
    <w:rsid w:val="00EC123B"/>
    <w:rPr>
      <w:rFonts w:ascii="Courier" w:hAnsi="Courier"/>
      <w:sz w:val="24"/>
    </w:rPr>
  </w:style>
  <w:style w:type="character" w:styleId="EndnoteReference">
    <w:name w:val="endnote reference"/>
    <w:uiPriority w:val="99"/>
    <w:rsid w:val="00EC123B"/>
    <w:rPr>
      <w:vertAlign w:val="superscript"/>
    </w:rPr>
  </w:style>
  <w:style w:type="character" w:customStyle="1" w:styleId="DefaultPara">
    <w:name w:val="Default Para"/>
    <w:rsid w:val="00EC123B"/>
  </w:style>
  <w:style w:type="character" w:customStyle="1" w:styleId="endnoterefe">
    <w:name w:val="endnote refe"/>
    <w:rsid w:val="00EC123B"/>
    <w:rPr>
      <w:rFonts w:ascii="Courier" w:hAnsi="Courier"/>
      <w:noProof w:val="0"/>
      <w:sz w:val="24"/>
      <w:vertAlign w:val="superscript"/>
      <w:lang w:val="es-ES"/>
    </w:rPr>
  </w:style>
  <w:style w:type="paragraph" w:customStyle="1" w:styleId="footnotetex">
    <w:name w:val="footnote tex"/>
    <w:rsid w:val="00EC123B"/>
    <w:pPr>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footnoteref">
    <w:name w:val="footnote ref"/>
    <w:rsid w:val="00EC123B"/>
    <w:rPr>
      <w:rFonts w:ascii="Courier" w:hAnsi="Courier"/>
      <w:noProof w:val="0"/>
      <w:sz w:val="24"/>
      <w:vertAlign w:val="superscript"/>
      <w:lang w:val="es-ES"/>
    </w:rPr>
  </w:style>
  <w:style w:type="character" w:customStyle="1" w:styleId="EquationCa">
    <w:name w:val="_Equation Ca"/>
    <w:rsid w:val="00EC123B"/>
  </w:style>
  <w:style w:type="paragraph" w:customStyle="1" w:styleId="MSNormal">
    <w:name w:val="MSNormal"/>
    <w:rsid w:val="00EC123B"/>
    <w:pPr>
      <w:widowControl w:val="0"/>
      <w:tabs>
        <w:tab w:val="left" w:pos="0"/>
      </w:tabs>
      <w:suppressAutoHyphens/>
      <w:overflowPunct w:val="0"/>
      <w:autoSpaceDE w:val="0"/>
      <w:autoSpaceDN w:val="0"/>
      <w:adjustRightInd w:val="0"/>
      <w:textAlignment w:val="baseline"/>
    </w:pPr>
    <w:rPr>
      <w:rFonts w:ascii="Arial" w:hAnsi="Arial"/>
      <w:sz w:val="24"/>
    </w:rPr>
  </w:style>
  <w:style w:type="character" w:customStyle="1" w:styleId="a">
    <w:name w:val="•"/>
    <w:rsid w:val="00EC123B"/>
  </w:style>
  <w:style w:type="character" w:customStyle="1" w:styleId="Document8">
    <w:name w:val="Document 8"/>
    <w:rsid w:val="00EC123B"/>
  </w:style>
  <w:style w:type="character" w:customStyle="1" w:styleId="Document4">
    <w:name w:val="Document 4"/>
    <w:rsid w:val="00EC123B"/>
    <w:rPr>
      <w:b/>
      <w:i/>
      <w:sz w:val="24"/>
    </w:rPr>
  </w:style>
  <w:style w:type="character" w:customStyle="1" w:styleId="Document6">
    <w:name w:val="Document 6"/>
    <w:rsid w:val="00EC123B"/>
  </w:style>
  <w:style w:type="character" w:customStyle="1" w:styleId="Document5">
    <w:name w:val="Document 5"/>
    <w:rsid w:val="00EC123B"/>
  </w:style>
  <w:style w:type="character" w:customStyle="1" w:styleId="Document2">
    <w:name w:val="Document 2"/>
    <w:rsid w:val="00EC123B"/>
    <w:rPr>
      <w:rFonts w:ascii="Courier" w:hAnsi="Courier"/>
      <w:noProof w:val="0"/>
      <w:sz w:val="24"/>
      <w:lang w:val="es-ES"/>
    </w:rPr>
  </w:style>
  <w:style w:type="character" w:customStyle="1" w:styleId="Document7">
    <w:name w:val="Document 7"/>
    <w:rsid w:val="00EC123B"/>
  </w:style>
  <w:style w:type="character" w:customStyle="1" w:styleId="Bibliogrphy">
    <w:name w:val="Bibliogrphy"/>
    <w:rsid w:val="00EC123B"/>
  </w:style>
  <w:style w:type="character" w:customStyle="1" w:styleId="RightPar1">
    <w:name w:val="Right Par 1"/>
    <w:rsid w:val="00EC123B"/>
  </w:style>
  <w:style w:type="character" w:customStyle="1" w:styleId="RightPar2">
    <w:name w:val="Right Par 2"/>
    <w:rsid w:val="00EC123B"/>
  </w:style>
  <w:style w:type="character" w:customStyle="1" w:styleId="Document3">
    <w:name w:val="Document 3"/>
    <w:rsid w:val="00EC123B"/>
    <w:rPr>
      <w:rFonts w:ascii="Courier" w:hAnsi="Courier"/>
      <w:noProof w:val="0"/>
      <w:sz w:val="24"/>
      <w:lang w:val="es-ES"/>
    </w:rPr>
  </w:style>
  <w:style w:type="character" w:customStyle="1" w:styleId="RightPar3">
    <w:name w:val="Right Par 3"/>
    <w:rsid w:val="00EC123B"/>
  </w:style>
  <w:style w:type="character" w:customStyle="1" w:styleId="RightPar4">
    <w:name w:val="Right Par 4"/>
    <w:rsid w:val="00EC123B"/>
  </w:style>
  <w:style w:type="character" w:customStyle="1" w:styleId="RightPar5">
    <w:name w:val="Right Par 5"/>
    <w:rsid w:val="00EC123B"/>
  </w:style>
  <w:style w:type="character" w:customStyle="1" w:styleId="RightPar6">
    <w:name w:val="Right Par 6"/>
    <w:rsid w:val="00EC123B"/>
  </w:style>
  <w:style w:type="character" w:customStyle="1" w:styleId="RightPar7">
    <w:name w:val="Right Par 7"/>
    <w:rsid w:val="00EC123B"/>
  </w:style>
  <w:style w:type="character" w:customStyle="1" w:styleId="RightPar8">
    <w:name w:val="Right Par 8"/>
    <w:rsid w:val="00EC123B"/>
  </w:style>
  <w:style w:type="paragraph" w:customStyle="1" w:styleId="Document1">
    <w:name w:val="Document 1"/>
    <w:rsid w:val="00EC123B"/>
    <w:pPr>
      <w:keepNext/>
      <w:keepLines/>
      <w:widowControl w:val="0"/>
      <w:tabs>
        <w:tab w:val="left" w:pos="-720"/>
      </w:tabs>
      <w:suppressAutoHyphens/>
      <w:overflowPunct w:val="0"/>
      <w:autoSpaceDE w:val="0"/>
      <w:autoSpaceDN w:val="0"/>
      <w:adjustRightInd w:val="0"/>
      <w:textAlignment w:val="baseline"/>
    </w:pPr>
    <w:rPr>
      <w:rFonts w:ascii="Courier" w:hAnsi="Courier"/>
      <w:sz w:val="24"/>
    </w:rPr>
  </w:style>
  <w:style w:type="character" w:customStyle="1" w:styleId="DocInit">
    <w:name w:val="Doc Init"/>
    <w:rsid w:val="00EC123B"/>
  </w:style>
  <w:style w:type="character" w:customStyle="1" w:styleId="TechInit">
    <w:name w:val="Tech Init"/>
    <w:rsid w:val="00EC123B"/>
    <w:rPr>
      <w:rFonts w:ascii="Courier" w:hAnsi="Courier"/>
      <w:noProof w:val="0"/>
      <w:sz w:val="24"/>
      <w:lang w:val="es-ES"/>
    </w:rPr>
  </w:style>
  <w:style w:type="character" w:customStyle="1" w:styleId="Technical5">
    <w:name w:val="Technical 5"/>
    <w:rsid w:val="00EC123B"/>
  </w:style>
  <w:style w:type="character" w:customStyle="1" w:styleId="Technical6">
    <w:name w:val="Technical 6"/>
    <w:rsid w:val="00EC123B"/>
  </w:style>
  <w:style w:type="character" w:customStyle="1" w:styleId="Technical2">
    <w:name w:val="Technical 2"/>
    <w:rsid w:val="00EC123B"/>
    <w:rPr>
      <w:rFonts w:ascii="Courier" w:hAnsi="Courier"/>
      <w:noProof w:val="0"/>
      <w:sz w:val="24"/>
      <w:lang w:val="es-ES"/>
    </w:rPr>
  </w:style>
  <w:style w:type="character" w:customStyle="1" w:styleId="Technical3">
    <w:name w:val="Technical 3"/>
    <w:rsid w:val="00EC123B"/>
    <w:rPr>
      <w:rFonts w:ascii="Courier" w:hAnsi="Courier"/>
      <w:noProof w:val="0"/>
      <w:sz w:val="24"/>
      <w:lang w:val="es-ES"/>
    </w:rPr>
  </w:style>
  <w:style w:type="character" w:customStyle="1" w:styleId="Technical4">
    <w:name w:val="Technical 4"/>
    <w:rsid w:val="00EC123B"/>
  </w:style>
  <w:style w:type="character" w:customStyle="1" w:styleId="Technical1">
    <w:name w:val="Technical 1"/>
    <w:rsid w:val="00EC123B"/>
    <w:rPr>
      <w:rFonts w:ascii="Courier" w:hAnsi="Courier"/>
      <w:noProof w:val="0"/>
      <w:sz w:val="24"/>
      <w:lang w:val="es-ES"/>
    </w:rPr>
  </w:style>
  <w:style w:type="character" w:customStyle="1" w:styleId="Technical7">
    <w:name w:val="Technical 7"/>
    <w:rsid w:val="00EC123B"/>
  </w:style>
  <w:style w:type="character" w:customStyle="1" w:styleId="Technical8">
    <w:name w:val="Technical 8"/>
    <w:rsid w:val="00EC123B"/>
  </w:style>
  <w:style w:type="paragraph" w:styleId="Index1">
    <w:name w:val="index 1"/>
    <w:basedOn w:val="Normal"/>
    <w:next w:val="Normal"/>
    <w:rsid w:val="00EC123B"/>
    <w:pPr>
      <w:widowControl w:val="0"/>
      <w:tabs>
        <w:tab w:val="right" w:leader="dot" w:pos="9360"/>
      </w:tabs>
      <w:suppressAutoHyphens/>
      <w:overflowPunct w:val="0"/>
      <w:autoSpaceDE w:val="0"/>
      <w:autoSpaceDN w:val="0"/>
      <w:adjustRightInd w:val="0"/>
      <w:ind w:left="1440" w:right="720" w:hanging="1440"/>
      <w:jc w:val="left"/>
      <w:textAlignment w:val="baseline"/>
    </w:pPr>
    <w:rPr>
      <w:rFonts w:ascii="Courier" w:hAnsi="Courier"/>
      <w:sz w:val="24"/>
      <w:szCs w:val="20"/>
    </w:rPr>
  </w:style>
  <w:style w:type="paragraph" w:styleId="Index2">
    <w:name w:val="index 2"/>
    <w:basedOn w:val="Normal"/>
    <w:next w:val="Normal"/>
    <w:rsid w:val="00EC123B"/>
    <w:pPr>
      <w:widowControl w:val="0"/>
      <w:tabs>
        <w:tab w:val="right" w:leader="dot" w:pos="9360"/>
      </w:tabs>
      <w:suppressAutoHyphens/>
      <w:overflowPunct w:val="0"/>
      <w:autoSpaceDE w:val="0"/>
      <w:autoSpaceDN w:val="0"/>
      <w:adjustRightInd w:val="0"/>
      <w:ind w:left="1440" w:right="720" w:hanging="720"/>
      <w:jc w:val="left"/>
      <w:textAlignment w:val="baseline"/>
    </w:pPr>
    <w:rPr>
      <w:rFonts w:ascii="Courier" w:hAnsi="Courier"/>
      <w:sz w:val="24"/>
      <w:szCs w:val="20"/>
    </w:rPr>
  </w:style>
  <w:style w:type="paragraph" w:styleId="TOAHeading">
    <w:name w:val="toa heading"/>
    <w:basedOn w:val="Normal"/>
    <w:next w:val="Normal"/>
    <w:rsid w:val="00EC123B"/>
    <w:pPr>
      <w:widowControl w:val="0"/>
      <w:tabs>
        <w:tab w:val="right" w:pos="9360"/>
      </w:tabs>
      <w:suppressAutoHyphens/>
      <w:overflowPunct w:val="0"/>
      <w:autoSpaceDE w:val="0"/>
      <w:autoSpaceDN w:val="0"/>
      <w:adjustRightInd w:val="0"/>
      <w:jc w:val="left"/>
      <w:textAlignment w:val="baseline"/>
    </w:pPr>
    <w:rPr>
      <w:rFonts w:ascii="Courier" w:hAnsi="Courier"/>
      <w:sz w:val="24"/>
      <w:szCs w:val="20"/>
    </w:rPr>
  </w:style>
  <w:style w:type="paragraph" w:styleId="Caption">
    <w:name w:val="caption"/>
    <w:basedOn w:val="Normal"/>
    <w:next w:val="Normal"/>
    <w:qFormat/>
    <w:rsid w:val="00EC123B"/>
    <w:pPr>
      <w:widowControl w:val="0"/>
      <w:overflowPunct w:val="0"/>
      <w:autoSpaceDE w:val="0"/>
      <w:autoSpaceDN w:val="0"/>
      <w:adjustRightInd w:val="0"/>
      <w:jc w:val="left"/>
      <w:textAlignment w:val="baseline"/>
    </w:pPr>
    <w:rPr>
      <w:rFonts w:ascii="Courier" w:hAnsi="Courier"/>
      <w:sz w:val="24"/>
      <w:szCs w:val="20"/>
    </w:rPr>
  </w:style>
  <w:style w:type="character" w:customStyle="1" w:styleId="EquationCaption">
    <w:name w:val="_Equation Caption"/>
    <w:rsid w:val="00EC123B"/>
  </w:style>
  <w:style w:type="paragraph" w:styleId="Revision">
    <w:name w:val="Revision"/>
    <w:hidden/>
    <w:uiPriority w:val="99"/>
    <w:semiHidden/>
    <w:rsid w:val="00EC123B"/>
    <w:rPr>
      <w:rFonts w:ascii="Courier" w:hAnsi="Courier"/>
      <w:sz w:val="24"/>
    </w:rPr>
  </w:style>
  <w:style w:type="paragraph" w:customStyle="1" w:styleId="font0">
    <w:name w:val="font0"/>
    <w:basedOn w:val="Normal"/>
    <w:rsid w:val="00EC123B"/>
    <w:pPr>
      <w:spacing w:before="100" w:beforeAutospacing="1" w:after="100" w:afterAutospacing="1"/>
      <w:jc w:val="left"/>
    </w:pPr>
    <w:rPr>
      <w:rFonts w:ascii="Arial" w:hAnsi="Arial" w:cs="Arial"/>
      <w:sz w:val="18"/>
      <w:szCs w:val="18"/>
      <w:lang w:eastAsia="zh-CN"/>
    </w:rPr>
  </w:style>
  <w:style w:type="paragraph" w:customStyle="1" w:styleId="font5">
    <w:name w:val="font5"/>
    <w:basedOn w:val="Normal"/>
    <w:rsid w:val="00EC123B"/>
    <w:pPr>
      <w:spacing w:before="100" w:beforeAutospacing="1" w:after="100" w:afterAutospacing="1"/>
      <w:jc w:val="left"/>
    </w:pPr>
    <w:rPr>
      <w:rFonts w:ascii="Arial" w:hAnsi="Arial" w:cs="Arial"/>
      <w:b/>
      <w:bCs/>
      <w:sz w:val="18"/>
      <w:szCs w:val="18"/>
      <w:lang w:eastAsia="zh-CN"/>
    </w:rPr>
  </w:style>
  <w:style w:type="paragraph" w:customStyle="1" w:styleId="font6">
    <w:name w:val="font6"/>
    <w:basedOn w:val="Normal"/>
    <w:rsid w:val="00EC123B"/>
    <w:pPr>
      <w:spacing w:before="100" w:beforeAutospacing="1" w:after="100" w:afterAutospacing="1"/>
      <w:jc w:val="left"/>
    </w:pPr>
    <w:rPr>
      <w:rFonts w:ascii="Arial" w:hAnsi="Arial" w:cs="Arial"/>
      <w:sz w:val="18"/>
      <w:szCs w:val="18"/>
      <w:lang w:eastAsia="zh-CN"/>
    </w:rPr>
  </w:style>
  <w:style w:type="paragraph" w:customStyle="1" w:styleId="font7">
    <w:name w:val="font7"/>
    <w:basedOn w:val="Normal"/>
    <w:rsid w:val="00EC123B"/>
    <w:pPr>
      <w:spacing w:before="100" w:beforeAutospacing="1" w:after="100" w:afterAutospacing="1"/>
      <w:jc w:val="left"/>
    </w:pPr>
    <w:rPr>
      <w:rFonts w:ascii="Arial" w:hAnsi="Arial" w:cs="Arial"/>
      <w:sz w:val="18"/>
      <w:szCs w:val="18"/>
      <w:u w:val="single"/>
      <w:lang w:eastAsia="zh-CN"/>
    </w:rPr>
  </w:style>
  <w:style w:type="paragraph" w:customStyle="1" w:styleId="font8">
    <w:name w:val="font8"/>
    <w:basedOn w:val="Normal"/>
    <w:rsid w:val="00EC123B"/>
    <w:pPr>
      <w:spacing w:before="100" w:beforeAutospacing="1" w:after="100" w:afterAutospacing="1"/>
      <w:jc w:val="left"/>
    </w:pPr>
    <w:rPr>
      <w:rFonts w:ascii="Arial" w:hAnsi="Arial" w:cs="Arial"/>
      <w:b/>
      <w:bCs/>
      <w:sz w:val="18"/>
      <w:szCs w:val="18"/>
      <w:u w:val="single"/>
      <w:lang w:eastAsia="zh-CN"/>
    </w:rPr>
  </w:style>
  <w:style w:type="paragraph" w:customStyle="1" w:styleId="font9">
    <w:name w:val="font9"/>
    <w:basedOn w:val="Normal"/>
    <w:rsid w:val="00EC123B"/>
    <w:pPr>
      <w:spacing w:before="100" w:beforeAutospacing="1" w:after="100" w:afterAutospacing="1"/>
      <w:jc w:val="left"/>
    </w:pPr>
    <w:rPr>
      <w:rFonts w:ascii="Arial" w:hAnsi="Arial" w:cs="Arial"/>
      <w:b/>
      <w:bCs/>
      <w:color w:val="FF0000"/>
      <w:sz w:val="18"/>
      <w:szCs w:val="18"/>
      <w:lang w:eastAsia="zh-CN"/>
    </w:rPr>
  </w:style>
  <w:style w:type="paragraph" w:customStyle="1" w:styleId="font10">
    <w:name w:val="font10"/>
    <w:basedOn w:val="Normal"/>
    <w:rsid w:val="00EC123B"/>
    <w:pPr>
      <w:spacing w:before="100" w:beforeAutospacing="1" w:after="100" w:afterAutospacing="1"/>
      <w:jc w:val="left"/>
    </w:pPr>
    <w:rPr>
      <w:rFonts w:ascii="Arial" w:hAnsi="Arial" w:cs="Arial"/>
      <w:b/>
      <w:bCs/>
      <w:color w:val="FF0000"/>
      <w:sz w:val="18"/>
      <w:szCs w:val="18"/>
      <w:u w:val="single"/>
      <w:lang w:eastAsia="zh-CN"/>
    </w:rPr>
  </w:style>
  <w:style w:type="paragraph" w:customStyle="1" w:styleId="font11">
    <w:name w:val="font11"/>
    <w:basedOn w:val="Normal"/>
    <w:rsid w:val="00EC123B"/>
    <w:pPr>
      <w:spacing w:before="100" w:beforeAutospacing="1" w:after="100" w:afterAutospacing="1"/>
      <w:jc w:val="left"/>
    </w:pPr>
    <w:rPr>
      <w:rFonts w:ascii="Arial" w:hAnsi="Arial" w:cs="Arial"/>
      <w:color w:val="FF0000"/>
      <w:sz w:val="20"/>
      <w:szCs w:val="20"/>
      <w:lang w:eastAsia="zh-CN"/>
    </w:rPr>
  </w:style>
  <w:style w:type="paragraph" w:customStyle="1" w:styleId="font12">
    <w:name w:val="font12"/>
    <w:basedOn w:val="Normal"/>
    <w:rsid w:val="00EC123B"/>
    <w:pPr>
      <w:spacing w:before="100" w:beforeAutospacing="1" w:after="100" w:afterAutospacing="1"/>
      <w:jc w:val="left"/>
    </w:pPr>
    <w:rPr>
      <w:rFonts w:ascii="Arial" w:hAnsi="Arial" w:cs="Arial"/>
      <w:color w:val="FF0000"/>
      <w:sz w:val="20"/>
      <w:szCs w:val="20"/>
      <w:lang w:eastAsia="zh-CN"/>
    </w:rPr>
  </w:style>
  <w:style w:type="paragraph" w:customStyle="1" w:styleId="xl76">
    <w:name w:val="xl76"/>
    <w:basedOn w:val="Normal"/>
    <w:rsid w:val="00EC123B"/>
    <w:pPr>
      <w:pBdr>
        <w:bottom w:val="single" w:sz="8" w:space="0" w:color="auto"/>
        <w:right w:val="single" w:sz="4" w:space="0" w:color="auto"/>
      </w:pBdr>
      <w:spacing w:before="100" w:beforeAutospacing="1" w:after="100" w:afterAutospacing="1"/>
      <w:jc w:val="left"/>
    </w:pPr>
    <w:rPr>
      <w:sz w:val="24"/>
      <w:szCs w:val="24"/>
      <w:lang w:eastAsia="zh-CN"/>
    </w:rPr>
  </w:style>
  <w:style w:type="paragraph" w:customStyle="1" w:styleId="xl77">
    <w:name w:val="xl77"/>
    <w:basedOn w:val="Normal"/>
    <w:rsid w:val="00EC123B"/>
    <w:pPr>
      <w:pBdr>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78">
    <w:name w:val="xl78"/>
    <w:basedOn w:val="Normal"/>
    <w:rsid w:val="00EC123B"/>
    <w:pPr>
      <w:pBdr>
        <w:left w:val="single" w:sz="4" w:space="0" w:color="auto"/>
      </w:pBdr>
      <w:spacing w:before="100" w:beforeAutospacing="1" w:after="100" w:afterAutospacing="1"/>
      <w:jc w:val="left"/>
    </w:pPr>
    <w:rPr>
      <w:sz w:val="24"/>
      <w:szCs w:val="24"/>
      <w:lang w:eastAsia="zh-CN"/>
    </w:rPr>
  </w:style>
  <w:style w:type="table" w:customStyle="1" w:styleId="AATable">
    <w:name w:val="AA_Table"/>
    <w:basedOn w:val="TableNormal"/>
    <w:rsid w:val="00EC123B"/>
    <w:tblPr>
      <w:tblStyleRowBandSize w:val="1"/>
      <w:tblStyleColBandSize w:val="1"/>
      <w:jc w:val="right"/>
    </w:tblPr>
    <w:trPr>
      <w:jc w:val="right"/>
    </w:trPr>
    <w:tblStylePr w:type="firstRow">
      <w:pPr>
        <w:wordWrap/>
        <w:spacing w:beforeLines="0" w:before="0" w:beforeAutospacing="0" w:afterLines="0" w:after="0" w:afterAutospacing="0"/>
        <w:contextualSpacing w:val="0"/>
        <w:jc w:val="left"/>
      </w:pPr>
      <w:rPr>
        <w:rFonts w:ascii="Arial" w:hAnsi="Arial"/>
        <w:b/>
        <w:i w:val="0"/>
        <w:caps/>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AATitle">
    <w:name w:val="AA_Title"/>
    <w:basedOn w:val="Normalpool"/>
    <w:qFormat/>
    <w:rsid w:val="00EC123B"/>
    <w:pPr>
      <w:keepNext/>
      <w:keepLines/>
      <w:suppressAutoHyphens/>
      <w:ind w:right="5103"/>
    </w:pPr>
    <w:rPr>
      <w:b/>
    </w:rPr>
  </w:style>
  <w:style w:type="paragraph" w:customStyle="1" w:styleId="AATitle2">
    <w:name w:val="AA_Title2"/>
    <w:basedOn w:val="AATitle"/>
    <w:rsid w:val="00EC123B"/>
    <w:pPr>
      <w:tabs>
        <w:tab w:val="clear" w:pos="4082"/>
      </w:tabs>
      <w:spacing w:before="120" w:after="120"/>
      <w:ind w:right="4536"/>
    </w:pPr>
  </w:style>
  <w:style w:type="paragraph" w:customStyle="1" w:styleId="BBTitle">
    <w:name w:val="BB_Title"/>
    <w:basedOn w:val="Normalpool"/>
    <w:link w:val="BBTitleChar"/>
    <w:qFormat/>
    <w:rsid w:val="00EC123B"/>
    <w:pPr>
      <w:keepNext/>
      <w:keepLines/>
      <w:suppressAutoHyphens/>
      <w:spacing w:before="320" w:after="240"/>
      <w:ind w:left="1247" w:right="567"/>
    </w:pPr>
    <w:rPr>
      <w:b/>
      <w:sz w:val="28"/>
      <w:szCs w:val="28"/>
    </w:rPr>
  </w:style>
  <w:style w:type="character" w:customStyle="1" w:styleId="FooterChar1">
    <w:name w:val="Footer Char1"/>
    <w:basedOn w:val="DefaultParagraphFont"/>
    <w:uiPriority w:val="99"/>
    <w:semiHidden/>
    <w:rsid w:val="00EC123B"/>
    <w:rPr>
      <w:lang w:val="es-ES"/>
    </w:rPr>
  </w:style>
  <w:style w:type="character" w:customStyle="1" w:styleId="HeaderChar1">
    <w:name w:val="Header Char1"/>
    <w:basedOn w:val="DefaultParagraphFont"/>
    <w:uiPriority w:val="99"/>
    <w:semiHidden/>
    <w:rsid w:val="00EC123B"/>
    <w:rPr>
      <w:lang w:val="es-ES"/>
    </w:rPr>
  </w:style>
  <w:style w:type="character" w:styleId="Hyperlink">
    <w:name w:val="Hyperlink"/>
    <w:basedOn w:val="DefaultParagraphFont"/>
    <w:uiPriority w:val="99"/>
    <w:rsid w:val="00EC123B"/>
    <w:rPr>
      <w:rFonts w:ascii="Times New Roman" w:hAnsi="Times New Roman"/>
      <w:color w:val="auto"/>
      <w:sz w:val="20"/>
      <w:szCs w:val="20"/>
      <w:u w:val="none"/>
      <w:lang w:val="es-ES"/>
    </w:rPr>
  </w:style>
  <w:style w:type="numbering" w:customStyle="1" w:styleId="Normallist">
    <w:name w:val="Normal_list"/>
    <w:basedOn w:val="NoList"/>
    <w:rsid w:val="00EC123B"/>
    <w:pPr>
      <w:numPr>
        <w:numId w:val="7"/>
      </w:numPr>
    </w:pPr>
  </w:style>
  <w:style w:type="paragraph" w:customStyle="1" w:styleId="NormalNonumber">
    <w:name w:val="Normal_No_number"/>
    <w:basedOn w:val="Normalpool"/>
    <w:rsid w:val="00EC123B"/>
    <w:pPr>
      <w:spacing w:after="120"/>
      <w:ind w:left="1247"/>
    </w:pPr>
  </w:style>
  <w:style w:type="paragraph" w:customStyle="1" w:styleId="Normalnumber">
    <w:name w:val="Normal_number"/>
    <w:basedOn w:val="Normalpool"/>
    <w:link w:val="NormalnumberChar"/>
    <w:qFormat/>
    <w:rsid w:val="00EC123B"/>
    <w:pPr>
      <w:spacing w:after="120"/>
    </w:pPr>
  </w:style>
  <w:style w:type="paragraph" w:customStyle="1" w:styleId="Titletable">
    <w:name w:val="Title_table"/>
    <w:basedOn w:val="Normalpool"/>
    <w:rsid w:val="00EC123B"/>
    <w:pPr>
      <w:keepNext/>
      <w:keepLines/>
      <w:suppressAutoHyphens/>
      <w:spacing w:after="60"/>
      <w:ind w:left="1247"/>
    </w:pPr>
    <w:rPr>
      <w:b/>
      <w:bCs/>
    </w:rPr>
  </w:style>
  <w:style w:type="paragraph" w:styleId="TOC1">
    <w:name w:val="toc 1"/>
    <w:basedOn w:val="Normalpool"/>
    <w:next w:val="Normalpool"/>
    <w:rsid w:val="00EC123B"/>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rsid w:val="00EC123B"/>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rsid w:val="00EC123B"/>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EC123B"/>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EC123B"/>
    <w:pPr>
      <w:tabs>
        <w:tab w:val="left" w:pos="1247"/>
      </w:tabs>
      <w:ind w:left="800"/>
      <w:jc w:val="left"/>
    </w:pPr>
    <w:rPr>
      <w:sz w:val="18"/>
      <w:szCs w:val="18"/>
    </w:rPr>
  </w:style>
  <w:style w:type="paragraph" w:customStyle="1" w:styleId="ZZAnxheader">
    <w:name w:val="ZZ_Anx_header"/>
    <w:basedOn w:val="Normalpool"/>
    <w:rsid w:val="00EC123B"/>
    <w:rPr>
      <w:b/>
      <w:bCs/>
      <w:sz w:val="28"/>
      <w:szCs w:val="22"/>
    </w:rPr>
  </w:style>
  <w:style w:type="paragraph" w:customStyle="1" w:styleId="ZZAnxtitle">
    <w:name w:val="ZZ_Anx_title"/>
    <w:basedOn w:val="Normalpool"/>
    <w:rsid w:val="00EC123B"/>
    <w:pPr>
      <w:spacing w:before="360" w:after="120"/>
      <w:ind w:left="1247"/>
    </w:pPr>
    <w:rPr>
      <w:b/>
      <w:bCs/>
      <w:sz w:val="28"/>
      <w:szCs w:val="26"/>
    </w:rPr>
  </w:style>
  <w:style w:type="paragraph" w:customStyle="1" w:styleId="xl79">
    <w:name w:val="xl79"/>
    <w:basedOn w:val="Normal"/>
    <w:rsid w:val="00EC123B"/>
    <w:pPr>
      <w:pBdr>
        <w:top w:val="double" w:sz="6" w:space="0" w:color="auto"/>
        <w:left w:val="double" w:sz="6" w:space="0" w:color="auto"/>
        <w:right w:val="single" w:sz="4" w:space="0" w:color="auto"/>
      </w:pBdr>
      <w:spacing w:before="100" w:beforeAutospacing="1" w:after="100" w:afterAutospacing="1"/>
      <w:jc w:val="left"/>
    </w:pPr>
    <w:rPr>
      <w:sz w:val="24"/>
      <w:szCs w:val="24"/>
      <w:lang w:eastAsia="zh-CN"/>
    </w:rPr>
  </w:style>
  <w:style w:type="paragraph" w:customStyle="1" w:styleId="xl80">
    <w:name w:val="xl80"/>
    <w:basedOn w:val="Normal"/>
    <w:rsid w:val="00EC123B"/>
    <w:pPr>
      <w:pBdr>
        <w:top w:val="double" w:sz="6" w:space="0" w:color="auto"/>
      </w:pBdr>
      <w:spacing w:before="100" w:beforeAutospacing="1" w:after="100" w:afterAutospacing="1"/>
      <w:jc w:val="left"/>
    </w:pPr>
    <w:rPr>
      <w:sz w:val="24"/>
      <w:szCs w:val="24"/>
      <w:lang w:eastAsia="zh-CN"/>
    </w:rPr>
  </w:style>
  <w:style w:type="paragraph" w:customStyle="1" w:styleId="xl81">
    <w:name w:val="xl81"/>
    <w:basedOn w:val="Normal"/>
    <w:rsid w:val="00EC123B"/>
    <w:pPr>
      <w:pBdr>
        <w:top w:val="double" w:sz="6" w:space="0" w:color="auto"/>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82">
    <w:name w:val="xl82"/>
    <w:basedOn w:val="Normal"/>
    <w:rsid w:val="00EC123B"/>
    <w:pPr>
      <w:pBdr>
        <w:top w:val="double" w:sz="6" w:space="0" w:color="auto"/>
        <w:left w:val="single" w:sz="4" w:space="0" w:color="auto"/>
      </w:pBdr>
      <w:spacing w:before="100" w:beforeAutospacing="1" w:after="100" w:afterAutospacing="1"/>
      <w:jc w:val="left"/>
    </w:pPr>
    <w:rPr>
      <w:sz w:val="24"/>
      <w:szCs w:val="24"/>
      <w:lang w:eastAsia="zh-CN"/>
    </w:rPr>
  </w:style>
  <w:style w:type="paragraph" w:customStyle="1" w:styleId="xl83">
    <w:name w:val="xl83"/>
    <w:basedOn w:val="Normal"/>
    <w:rsid w:val="00EC123B"/>
    <w:pPr>
      <w:pBdr>
        <w:left w:val="double" w:sz="6" w:space="0" w:color="auto"/>
        <w:bottom w:val="double" w:sz="6" w:space="0" w:color="auto"/>
      </w:pBdr>
      <w:spacing w:before="100" w:beforeAutospacing="1" w:after="100" w:afterAutospacing="1"/>
      <w:jc w:val="left"/>
    </w:pPr>
    <w:rPr>
      <w:sz w:val="24"/>
      <w:szCs w:val="24"/>
      <w:lang w:eastAsia="zh-CN"/>
    </w:rPr>
  </w:style>
  <w:style w:type="paragraph" w:customStyle="1" w:styleId="xl84">
    <w:name w:val="xl84"/>
    <w:basedOn w:val="Normal"/>
    <w:rsid w:val="00EC123B"/>
    <w:pPr>
      <w:pBdr>
        <w:left w:val="single" w:sz="4" w:space="0" w:color="auto"/>
        <w:bottom w:val="double" w:sz="6" w:space="0" w:color="auto"/>
      </w:pBdr>
      <w:spacing w:before="100" w:beforeAutospacing="1" w:after="100" w:afterAutospacing="1"/>
      <w:jc w:val="left"/>
    </w:pPr>
    <w:rPr>
      <w:sz w:val="24"/>
      <w:szCs w:val="24"/>
      <w:lang w:eastAsia="zh-CN"/>
    </w:rPr>
  </w:style>
  <w:style w:type="paragraph" w:customStyle="1" w:styleId="xl85">
    <w:name w:val="xl85"/>
    <w:basedOn w:val="Normal"/>
    <w:rsid w:val="00EC123B"/>
    <w:pPr>
      <w:spacing w:before="100" w:beforeAutospacing="1" w:after="100" w:afterAutospacing="1"/>
      <w:jc w:val="left"/>
    </w:pPr>
    <w:rPr>
      <w:b/>
      <w:bCs/>
      <w:sz w:val="24"/>
      <w:szCs w:val="24"/>
      <w:lang w:eastAsia="zh-CN"/>
    </w:rPr>
  </w:style>
  <w:style w:type="paragraph" w:customStyle="1" w:styleId="xl86">
    <w:name w:val="xl86"/>
    <w:basedOn w:val="Normal"/>
    <w:rsid w:val="00EC123B"/>
    <w:pPr>
      <w:pBdr>
        <w:left w:val="double" w:sz="6" w:space="0" w:color="auto"/>
        <w:bottom w:val="single" w:sz="4" w:space="0" w:color="auto"/>
      </w:pBdr>
      <w:spacing w:before="100" w:beforeAutospacing="1" w:after="100" w:afterAutospacing="1"/>
      <w:jc w:val="left"/>
    </w:pPr>
    <w:rPr>
      <w:sz w:val="24"/>
      <w:szCs w:val="24"/>
      <w:lang w:eastAsia="zh-CN"/>
    </w:rPr>
  </w:style>
  <w:style w:type="paragraph" w:customStyle="1" w:styleId="xl87">
    <w:name w:val="xl87"/>
    <w:basedOn w:val="Normal"/>
    <w:rsid w:val="00EC123B"/>
    <w:pPr>
      <w:pBdr>
        <w:left w:val="double" w:sz="6" w:space="0" w:color="auto"/>
      </w:pBdr>
      <w:spacing w:before="100" w:beforeAutospacing="1" w:after="100" w:afterAutospacing="1"/>
      <w:jc w:val="left"/>
    </w:pPr>
    <w:rPr>
      <w:sz w:val="24"/>
      <w:szCs w:val="24"/>
      <w:lang w:eastAsia="zh-CN"/>
    </w:rPr>
  </w:style>
  <w:style w:type="paragraph" w:customStyle="1" w:styleId="xl88">
    <w:name w:val="xl88"/>
    <w:basedOn w:val="Normal"/>
    <w:rsid w:val="00EC123B"/>
    <w:pPr>
      <w:spacing w:before="100" w:beforeAutospacing="1" w:after="100" w:afterAutospacing="1"/>
      <w:jc w:val="center"/>
    </w:pPr>
    <w:rPr>
      <w:sz w:val="24"/>
      <w:szCs w:val="24"/>
      <w:lang w:eastAsia="zh-CN"/>
    </w:rPr>
  </w:style>
  <w:style w:type="paragraph" w:customStyle="1" w:styleId="xl89">
    <w:name w:val="xl89"/>
    <w:basedOn w:val="Normal"/>
    <w:rsid w:val="00EC123B"/>
    <w:pPr>
      <w:spacing w:before="100" w:beforeAutospacing="1" w:after="100" w:afterAutospacing="1"/>
      <w:jc w:val="center"/>
    </w:pPr>
    <w:rPr>
      <w:sz w:val="24"/>
      <w:szCs w:val="24"/>
      <w:u w:val="single"/>
      <w:lang w:eastAsia="zh-CN"/>
    </w:rPr>
  </w:style>
  <w:style w:type="paragraph" w:customStyle="1" w:styleId="xl90">
    <w:name w:val="xl90"/>
    <w:basedOn w:val="Normal"/>
    <w:rsid w:val="00EC123B"/>
    <w:pPr>
      <w:pBdr>
        <w:right w:val="double" w:sz="6" w:space="0" w:color="auto"/>
      </w:pBdr>
      <w:spacing w:before="100" w:beforeAutospacing="1" w:after="100" w:afterAutospacing="1"/>
      <w:jc w:val="left"/>
    </w:pPr>
    <w:rPr>
      <w:sz w:val="24"/>
      <w:szCs w:val="24"/>
      <w:lang w:eastAsia="zh-CN"/>
    </w:rPr>
  </w:style>
  <w:style w:type="paragraph" w:customStyle="1" w:styleId="xl91">
    <w:name w:val="xl91"/>
    <w:basedOn w:val="Normal"/>
    <w:rsid w:val="00EC123B"/>
    <w:pPr>
      <w:pBdr>
        <w:bottom w:val="double" w:sz="6" w:space="0" w:color="auto"/>
      </w:pBdr>
      <w:spacing w:before="100" w:beforeAutospacing="1" w:after="100" w:afterAutospacing="1"/>
      <w:jc w:val="left"/>
    </w:pPr>
    <w:rPr>
      <w:sz w:val="24"/>
      <w:szCs w:val="24"/>
      <w:lang w:eastAsia="zh-CN"/>
    </w:rPr>
  </w:style>
  <w:style w:type="paragraph" w:customStyle="1" w:styleId="xl92">
    <w:name w:val="xl92"/>
    <w:basedOn w:val="Normal"/>
    <w:rsid w:val="00EC123B"/>
    <w:pPr>
      <w:pBdr>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93">
    <w:name w:val="xl93"/>
    <w:basedOn w:val="Normal"/>
    <w:rsid w:val="00EC123B"/>
    <w:pPr>
      <w:pBdr>
        <w:left w:val="single" w:sz="4" w:space="0" w:color="auto"/>
        <w:bottom w:val="single" w:sz="8" w:space="0" w:color="auto"/>
        <w:right w:val="single" w:sz="4" w:space="0" w:color="auto"/>
      </w:pBdr>
      <w:spacing w:before="100" w:beforeAutospacing="1" w:after="100" w:afterAutospacing="1"/>
      <w:jc w:val="left"/>
    </w:pPr>
    <w:rPr>
      <w:sz w:val="24"/>
      <w:szCs w:val="24"/>
      <w:lang w:eastAsia="zh-CN"/>
    </w:rPr>
  </w:style>
  <w:style w:type="paragraph" w:customStyle="1" w:styleId="xl94">
    <w:name w:val="xl94"/>
    <w:basedOn w:val="Normal"/>
    <w:rsid w:val="00EC123B"/>
    <w:pPr>
      <w:pBdr>
        <w:left w:val="single" w:sz="4" w:space="0" w:color="auto"/>
        <w:bottom w:val="single" w:sz="8" w:space="0" w:color="auto"/>
        <w:right w:val="double" w:sz="6" w:space="0" w:color="auto"/>
      </w:pBdr>
      <w:spacing w:before="100" w:beforeAutospacing="1" w:after="100" w:afterAutospacing="1"/>
      <w:jc w:val="left"/>
    </w:pPr>
    <w:rPr>
      <w:sz w:val="24"/>
      <w:szCs w:val="24"/>
      <w:lang w:eastAsia="zh-CN"/>
    </w:rPr>
  </w:style>
  <w:style w:type="paragraph" w:customStyle="1" w:styleId="xl95">
    <w:name w:val="xl95"/>
    <w:basedOn w:val="Normal"/>
    <w:rsid w:val="00EC123B"/>
    <w:pPr>
      <w:pBdr>
        <w:top w:val="single" w:sz="8" w:space="0" w:color="auto"/>
        <w:left w:val="double" w:sz="6" w:space="0" w:color="auto"/>
        <w:bottom w:val="single" w:sz="4" w:space="0" w:color="auto"/>
      </w:pBdr>
      <w:spacing w:before="100" w:beforeAutospacing="1" w:after="100" w:afterAutospacing="1"/>
      <w:jc w:val="left"/>
    </w:pPr>
    <w:rPr>
      <w:sz w:val="24"/>
      <w:szCs w:val="24"/>
      <w:lang w:eastAsia="zh-CN"/>
    </w:rPr>
  </w:style>
  <w:style w:type="paragraph" w:customStyle="1" w:styleId="xl96">
    <w:name w:val="xl96"/>
    <w:basedOn w:val="Normal"/>
    <w:rsid w:val="00EC123B"/>
    <w:pPr>
      <w:pBdr>
        <w:top w:val="single" w:sz="4" w:space="0" w:color="auto"/>
        <w:left w:val="double" w:sz="6" w:space="0" w:color="auto"/>
      </w:pBdr>
      <w:spacing w:before="100" w:beforeAutospacing="1" w:after="100" w:afterAutospacing="1"/>
      <w:jc w:val="left"/>
    </w:pPr>
    <w:rPr>
      <w:sz w:val="24"/>
      <w:szCs w:val="24"/>
      <w:lang w:eastAsia="zh-CN"/>
    </w:rPr>
  </w:style>
  <w:style w:type="paragraph" w:customStyle="1" w:styleId="xl97">
    <w:name w:val="xl97"/>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98">
    <w:name w:val="xl98"/>
    <w:basedOn w:val="Normal"/>
    <w:rsid w:val="00EC123B"/>
    <w:pPr>
      <w:pBdr>
        <w:top w:val="double" w:sz="6" w:space="0" w:color="auto"/>
        <w:right w:val="single" w:sz="4" w:space="0" w:color="auto"/>
      </w:pBdr>
      <w:spacing w:before="100" w:beforeAutospacing="1" w:after="100" w:afterAutospacing="1"/>
      <w:jc w:val="left"/>
    </w:pPr>
    <w:rPr>
      <w:sz w:val="24"/>
      <w:szCs w:val="24"/>
      <w:lang w:eastAsia="zh-CN"/>
    </w:rPr>
  </w:style>
  <w:style w:type="paragraph" w:customStyle="1" w:styleId="xl99">
    <w:name w:val="xl99"/>
    <w:basedOn w:val="Normal"/>
    <w:rsid w:val="00EC123B"/>
    <w:pPr>
      <w:pBdr>
        <w:top w:val="double" w:sz="6" w:space="0" w:color="auto"/>
        <w:right w:val="double" w:sz="6" w:space="0" w:color="auto"/>
      </w:pBdr>
      <w:spacing w:before="100" w:beforeAutospacing="1" w:after="100" w:afterAutospacing="1"/>
      <w:jc w:val="left"/>
    </w:pPr>
    <w:rPr>
      <w:sz w:val="24"/>
      <w:szCs w:val="24"/>
      <w:lang w:eastAsia="zh-CN"/>
    </w:rPr>
  </w:style>
  <w:style w:type="paragraph" w:customStyle="1" w:styleId="xl100">
    <w:name w:val="xl100"/>
    <w:basedOn w:val="Normal"/>
    <w:rsid w:val="00EC123B"/>
    <w:pPr>
      <w:pBdr>
        <w:top w:val="double" w:sz="6" w:space="0" w:color="auto"/>
        <w:left w:val="double" w:sz="6" w:space="0" w:color="auto"/>
      </w:pBdr>
      <w:spacing w:before="100" w:beforeAutospacing="1" w:after="100" w:afterAutospacing="1"/>
      <w:jc w:val="left"/>
    </w:pPr>
    <w:rPr>
      <w:sz w:val="24"/>
      <w:szCs w:val="24"/>
      <w:lang w:eastAsia="zh-CN"/>
    </w:rPr>
  </w:style>
  <w:style w:type="paragraph" w:customStyle="1" w:styleId="xl101">
    <w:name w:val="xl101"/>
    <w:basedOn w:val="Normal"/>
    <w:rsid w:val="00EC123B"/>
    <w:pPr>
      <w:pBdr>
        <w:left w:val="single" w:sz="4" w:space="0" w:color="auto"/>
        <w:bottom w:val="single" w:sz="4" w:space="0" w:color="auto"/>
      </w:pBdr>
      <w:spacing w:before="100" w:beforeAutospacing="1" w:after="100" w:afterAutospacing="1"/>
      <w:jc w:val="left"/>
    </w:pPr>
    <w:rPr>
      <w:sz w:val="24"/>
      <w:szCs w:val="24"/>
      <w:lang w:eastAsia="zh-CN"/>
    </w:rPr>
  </w:style>
  <w:style w:type="paragraph" w:customStyle="1" w:styleId="xl102">
    <w:name w:val="xl102"/>
    <w:basedOn w:val="Normal"/>
    <w:rsid w:val="00EC123B"/>
    <w:pPr>
      <w:pBdr>
        <w:top w:val="double" w:sz="6" w:space="0" w:color="auto"/>
        <w:bottom w:val="single" w:sz="4" w:space="0" w:color="auto"/>
      </w:pBdr>
      <w:spacing w:before="100" w:beforeAutospacing="1" w:after="100" w:afterAutospacing="1"/>
      <w:jc w:val="left"/>
    </w:pPr>
    <w:rPr>
      <w:sz w:val="24"/>
      <w:szCs w:val="24"/>
      <w:lang w:eastAsia="zh-CN"/>
    </w:rPr>
  </w:style>
  <w:style w:type="paragraph" w:customStyle="1" w:styleId="xl103">
    <w:name w:val="xl103"/>
    <w:basedOn w:val="Normal"/>
    <w:rsid w:val="00EC123B"/>
    <w:pPr>
      <w:spacing w:before="100" w:beforeAutospacing="1" w:after="100" w:afterAutospacing="1"/>
      <w:jc w:val="center"/>
    </w:pPr>
    <w:rPr>
      <w:b/>
      <w:bCs/>
      <w:sz w:val="24"/>
      <w:szCs w:val="24"/>
      <w:lang w:eastAsia="zh-CN"/>
    </w:rPr>
  </w:style>
  <w:style w:type="paragraph" w:customStyle="1" w:styleId="xl104">
    <w:name w:val="xl104"/>
    <w:basedOn w:val="Normal"/>
    <w:rsid w:val="00EC123B"/>
    <w:pPr>
      <w:pBdr>
        <w:top w:val="double" w:sz="6" w:space="0" w:color="auto"/>
        <w:bottom w:val="double" w:sz="6" w:space="0" w:color="auto"/>
      </w:pBdr>
      <w:spacing w:before="100" w:beforeAutospacing="1" w:after="100" w:afterAutospacing="1"/>
      <w:jc w:val="left"/>
    </w:pPr>
    <w:rPr>
      <w:sz w:val="24"/>
      <w:szCs w:val="24"/>
      <w:lang w:eastAsia="zh-CN"/>
    </w:rPr>
  </w:style>
  <w:style w:type="paragraph" w:customStyle="1" w:styleId="xl105">
    <w:name w:val="xl105"/>
    <w:basedOn w:val="Normal"/>
    <w:rsid w:val="00EC123B"/>
    <w:pPr>
      <w:pBdr>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06">
    <w:name w:val="xl106"/>
    <w:basedOn w:val="Normal"/>
    <w:rsid w:val="00EC123B"/>
    <w:pPr>
      <w:pBdr>
        <w:top w:val="single" w:sz="4" w:space="0" w:color="auto"/>
        <w:left w:val="single" w:sz="4" w:space="0" w:color="auto"/>
      </w:pBdr>
      <w:spacing w:before="100" w:beforeAutospacing="1" w:after="100" w:afterAutospacing="1"/>
      <w:jc w:val="left"/>
    </w:pPr>
    <w:rPr>
      <w:sz w:val="24"/>
      <w:szCs w:val="24"/>
      <w:lang w:eastAsia="zh-CN"/>
    </w:rPr>
  </w:style>
  <w:style w:type="paragraph" w:customStyle="1" w:styleId="xl107">
    <w:name w:val="xl107"/>
    <w:basedOn w:val="Normal"/>
    <w:rsid w:val="00EC123B"/>
    <w:pPr>
      <w:pBdr>
        <w:top w:val="double" w:sz="6" w:space="0" w:color="auto"/>
        <w:left w:val="double" w:sz="6" w:space="0" w:color="auto"/>
        <w:bottom w:val="double" w:sz="6" w:space="0" w:color="auto"/>
      </w:pBdr>
      <w:spacing w:before="100" w:beforeAutospacing="1" w:after="100" w:afterAutospacing="1"/>
      <w:jc w:val="left"/>
    </w:pPr>
    <w:rPr>
      <w:sz w:val="24"/>
      <w:szCs w:val="24"/>
      <w:lang w:eastAsia="zh-CN"/>
    </w:rPr>
  </w:style>
  <w:style w:type="paragraph" w:customStyle="1" w:styleId="xl108">
    <w:name w:val="xl108"/>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09">
    <w:name w:val="xl109"/>
    <w:basedOn w:val="Normal"/>
    <w:rsid w:val="00EC123B"/>
    <w:pPr>
      <w:pBdr>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10">
    <w:name w:val="xl110"/>
    <w:basedOn w:val="Normal"/>
    <w:rsid w:val="00EC123B"/>
    <w:pPr>
      <w:pBdr>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11">
    <w:name w:val="xl111"/>
    <w:basedOn w:val="Normal"/>
    <w:rsid w:val="00EC123B"/>
    <w:pPr>
      <w:pBdr>
        <w:left w:val="double" w:sz="6"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12">
    <w:name w:val="xl112"/>
    <w:basedOn w:val="Normal"/>
    <w:rsid w:val="00EC123B"/>
    <w:pPr>
      <w:pBdr>
        <w:top w:val="double" w:sz="6" w:space="0" w:color="auto"/>
        <w:left w:val="double" w:sz="6" w:space="0" w:color="auto"/>
        <w:right w:val="single" w:sz="4" w:space="0" w:color="auto"/>
      </w:pBdr>
      <w:spacing w:before="100" w:beforeAutospacing="1" w:after="100" w:afterAutospacing="1"/>
      <w:jc w:val="left"/>
      <w:textAlignment w:val="center"/>
    </w:pPr>
    <w:rPr>
      <w:sz w:val="24"/>
      <w:szCs w:val="24"/>
      <w:lang w:eastAsia="zh-CN"/>
    </w:rPr>
  </w:style>
  <w:style w:type="paragraph" w:customStyle="1" w:styleId="xl113">
    <w:name w:val="xl113"/>
    <w:basedOn w:val="Normal"/>
    <w:rsid w:val="00EC123B"/>
    <w:pPr>
      <w:pBdr>
        <w:left w:val="double" w:sz="6" w:space="0" w:color="auto"/>
        <w:bottom w:val="double" w:sz="6" w:space="0" w:color="auto"/>
        <w:right w:val="single" w:sz="4" w:space="0" w:color="auto"/>
      </w:pBdr>
      <w:spacing w:before="100" w:beforeAutospacing="1" w:after="100" w:afterAutospacing="1"/>
      <w:jc w:val="center"/>
    </w:pPr>
    <w:rPr>
      <w:sz w:val="24"/>
      <w:szCs w:val="24"/>
      <w:lang w:eastAsia="zh-CN"/>
    </w:rPr>
  </w:style>
  <w:style w:type="paragraph" w:customStyle="1" w:styleId="xl114">
    <w:name w:val="xl114"/>
    <w:basedOn w:val="Normal"/>
    <w:rsid w:val="00EC123B"/>
    <w:pPr>
      <w:spacing w:before="100" w:beforeAutospacing="1" w:after="100" w:afterAutospacing="1"/>
      <w:jc w:val="right"/>
    </w:pPr>
    <w:rPr>
      <w:color w:val="FF0000"/>
      <w:sz w:val="24"/>
      <w:szCs w:val="24"/>
      <w:lang w:eastAsia="zh-CN"/>
    </w:rPr>
  </w:style>
  <w:style w:type="paragraph" w:customStyle="1" w:styleId="xl115">
    <w:name w:val="xl115"/>
    <w:basedOn w:val="Normal"/>
    <w:rsid w:val="00EC123B"/>
    <w:pPr>
      <w:pBdr>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16">
    <w:name w:val="xl116"/>
    <w:basedOn w:val="Normal"/>
    <w:rsid w:val="00EC123B"/>
    <w:pPr>
      <w:spacing w:before="100" w:beforeAutospacing="1" w:after="100" w:afterAutospacing="1"/>
      <w:jc w:val="left"/>
    </w:pPr>
    <w:rPr>
      <w:b/>
      <w:bCs/>
      <w:color w:val="FF0000"/>
      <w:sz w:val="24"/>
      <w:szCs w:val="24"/>
      <w:lang w:eastAsia="zh-CN"/>
    </w:rPr>
  </w:style>
  <w:style w:type="paragraph" w:customStyle="1" w:styleId="xl117">
    <w:name w:val="xl117"/>
    <w:basedOn w:val="Normal"/>
    <w:rsid w:val="00EC123B"/>
    <w:pPr>
      <w:spacing w:before="100" w:beforeAutospacing="1" w:after="100" w:afterAutospacing="1"/>
      <w:jc w:val="left"/>
    </w:pPr>
    <w:rPr>
      <w:color w:val="FF0000"/>
      <w:sz w:val="24"/>
      <w:szCs w:val="24"/>
      <w:lang w:eastAsia="zh-CN"/>
    </w:rPr>
  </w:style>
  <w:style w:type="paragraph" w:customStyle="1" w:styleId="xl118">
    <w:name w:val="xl118"/>
    <w:basedOn w:val="Normal"/>
    <w:rsid w:val="00EC123B"/>
    <w:pPr>
      <w:pBdr>
        <w:top w:val="double" w:sz="6" w:space="0" w:color="auto"/>
        <w:left w:val="double" w:sz="6" w:space="0" w:color="auto"/>
      </w:pBdr>
      <w:spacing w:before="100" w:beforeAutospacing="1" w:after="100" w:afterAutospacing="1"/>
      <w:jc w:val="left"/>
    </w:pPr>
    <w:rPr>
      <w:color w:val="FF0000"/>
      <w:sz w:val="24"/>
      <w:szCs w:val="24"/>
      <w:lang w:eastAsia="zh-CN"/>
    </w:rPr>
  </w:style>
  <w:style w:type="paragraph" w:customStyle="1" w:styleId="xl119">
    <w:name w:val="xl119"/>
    <w:basedOn w:val="Normal"/>
    <w:rsid w:val="00EC123B"/>
    <w:pPr>
      <w:pBdr>
        <w:top w:val="double" w:sz="6" w:space="0" w:color="auto"/>
        <w:left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0">
    <w:name w:val="xl120"/>
    <w:basedOn w:val="Normal"/>
    <w:rsid w:val="00EC123B"/>
    <w:pPr>
      <w:pBdr>
        <w:top w:val="double" w:sz="6" w:space="0" w:color="auto"/>
      </w:pBdr>
      <w:spacing w:before="100" w:beforeAutospacing="1" w:after="100" w:afterAutospacing="1"/>
      <w:jc w:val="left"/>
    </w:pPr>
    <w:rPr>
      <w:color w:val="FF0000"/>
      <w:sz w:val="24"/>
      <w:szCs w:val="24"/>
      <w:lang w:eastAsia="zh-CN"/>
    </w:rPr>
  </w:style>
  <w:style w:type="paragraph" w:customStyle="1" w:styleId="xl121">
    <w:name w:val="xl121"/>
    <w:basedOn w:val="Normal"/>
    <w:rsid w:val="00EC123B"/>
    <w:pPr>
      <w:pBdr>
        <w:top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2">
    <w:name w:val="xl122"/>
    <w:basedOn w:val="Normal"/>
    <w:rsid w:val="00EC123B"/>
    <w:pPr>
      <w:pBdr>
        <w:top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23">
    <w:name w:val="xl123"/>
    <w:basedOn w:val="Normal"/>
    <w:rsid w:val="00EC123B"/>
    <w:pPr>
      <w:pBdr>
        <w:left w:val="double" w:sz="6"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24">
    <w:name w:val="xl124"/>
    <w:basedOn w:val="Normal"/>
    <w:rsid w:val="00EC123B"/>
    <w:pPr>
      <w:pBdr>
        <w:right w:val="single" w:sz="4" w:space="0" w:color="auto"/>
      </w:pBdr>
      <w:spacing w:before="100" w:beforeAutospacing="1" w:after="100" w:afterAutospacing="1"/>
      <w:jc w:val="center"/>
    </w:pPr>
    <w:rPr>
      <w:color w:val="FF0000"/>
      <w:sz w:val="24"/>
      <w:szCs w:val="24"/>
      <w:lang w:eastAsia="zh-CN"/>
    </w:rPr>
  </w:style>
  <w:style w:type="paragraph" w:customStyle="1" w:styleId="xl125">
    <w:name w:val="xl125"/>
    <w:basedOn w:val="Normal"/>
    <w:rsid w:val="00EC123B"/>
    <w:pPr>
      <w:pBdr>
        <w:right w:val="single" w:sz="4" w:space="0" w:color="auto"/>
      </w:pBdr>
      <w:spacing w:before="100" w:beforeAutospacing="1" w:after="100" w:afterAutospacing="1"/>
      <w:jc w:val="left"/>
    </w:pPr>
    <w:rPr>
      <w:color w:val="FF0000"/>
      <w:sz w:val="24"/>
      <w:szCs w:val="24"/>
      <w:lang w:eastAsia="zh-CN"/>
    </w:rPr>
  </w:style>
  <w:style w:type="paragraph" w:customStyle="1" w:styleId="xl126">
    <w:name w:val="xl126"/>
    <w:basedOn w:val="Normal"/>
    <w:rsid w:val="00EC123B"/>
    <w:pPr>
      <w:pBdr>
        <w:left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7">
    <w:name w:val="xl127"/>
    <w:basedOn w:val="Normal"/>
    <w:rsid w:val="00EC123B"/>
    <w:pPr>
      <w:pBdr>
        <w:right w:val="single" w:sz="4" w:space="0" w:color="auto"/>
      </w:pBdr>
      <w:spacing w:before="100" w:beforeAutospacing="1" w:after="100" w:afterAutospacing="1"/>
      <w:jc w:val="left"/>
    </w:pPr>
    <w:rPr>
      <w:color w:val="FF0000"/>
      <w:sz w:val="24"/>
      <w:szCs w:val="24"/>
      <w:lang w:eastAsia="zh-CN"/>
    </w:rPr>
  </w:style>
  <w:style w:type="paragraph" w:customStyle="1" w:styleId="xl128">
    <w:name w:val="xl128"/>
    <w:basedOn w:val="Normal"/>
    <w:rsid w:val="00EC123B"/>
    <w:pPr>
      <w:pBdr>
        <w:left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29">
    <w:name w:val="xl129"/>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0">
    <w:name w:val="xl130"/>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31">
    <w:name w:val="xl131"/>
    <w:basedOn w:val="Normal"/>
    <w:rsid w:val="00EC123B"/>
    <w:pPr>
      <w:pBdr>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2">
    <w:name w:val="xl132"/>
    <w:basedOn w:val="Normal"/>
    <w:rsid w:val="00EC123B"/>
    <w:pPr>
      <w:pBdr>
        <w:left w:val="double" w:sz="6" w:space="0" w:color="auto"/>
      </w:pBdr>
      <w:spacing w:before="100" w:beforeAutospacing="1" w:after="100" w:afterAutospacing="1"/>
      <w:jc w:val="left"/>
    </w:pPr>
    <w:rPr>
      <w:color w:val="FF0000"/>
      <w:sz w:val="24"/>
      <w:szCs w:val="24"/>
      <w:lang w:eastAsia="zh-CN"/>
    </w:rPr>
  </w:style>
  <w:style w:type="paragraph" w:customStyle="1" w:styleId="xl133">
    <w:name w:val="xl133"/>
    <w:basedOn w:val="Normal"/>
    <w:rsid w:val="00EC123B"/>
    <w:pPr>
      <w:pBdr>
        <w:left w:val="single" w:sz="4" w:space="0" w:color="auto"/>
        <w:bottom w:val="single" w:sz="8"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4">
    <w:name w:val="xl134"/>
    <w:basedOn w:val="Normal"/>
    <w:rsid w:val="00EC123B"/>
    <w:pPr>
      <w:pBdr>
        <w:left w:val="single" w:sz="4" w:space="0" w:color="auto"/>
        <w:bottom w:val="single" w:sz="8"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35">
    <w:name w:val="xl135"/>
    <w:basedOn w:val="Normal"/>
    <w:rsid w:val="00EC123B"/>
    <w:pPr>
      <w:pBdr>
        <w:top w:val="single" w:sz="8" w:space="0" w:color="auto"/>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36">
    <w:name w:val="xl136"/>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7">
    <w:name w:val="xl137"/>
    <w:basedOn w:val="Normal"/>
    <w:rsid w:val="00EC123B"/>
    <w:pPr>
      <w:pBdr>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38">
    <w:name w:val="xl138"/>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39">
    <w:name w:val="xl139"/>
    <w:basedOn w:val="Normal"/>
    <w:rsid w:val="00EC123B"/>
    <w:pPr>
      <w:pBdr>
        <w:top w:val="single" w:sz="4" w:space="0" w:color="auto"/>
        <w:left w:val="double" w:sz="6"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140">
    <w:name w:val="xl140"/>
    <w:basedOn w:val="Normal"/>
    <w:rsid w:val="00EC123B"/>
    <w:pPr>
      <w:pBdr>
        <w:top w:val="single" w:sz="4" w:space="0" w:color="auto"/>
        <w:left w:val="double" w:sz="6" w:space="0" w:color="auto"/>
      </w:pBdr>
      <w:spacing w:before="100" w:beforeAutospacing="1" w:after="100" w:afterAutospacing="1"/>
      <w:jc w:val="left"/>
    </w:pPr>
    <w:rPr>
      <w:color w:val="FF0000"/>
      <w:sz w:val="24"/>
      <w:szCs w:val="24"/>
      <w:lang w:eastAsia="zh-CN"/>
    </w:rPr>
  </w:style>
  <w:style w:type="paragraph" w:customStyle="1" w:styleId="xl141">
    <w:name w:val="xl141"/>
    <w:basedOn w:val="Normal"/>
    <w:rsid w:val="00EC123B"/>
    <w:pPr>
      <w:pBdr>
        <w:top w:val="single" w:sz="4" w:space="0" w:color="auto"/>
        <w:left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2">
    <w:name w:val="xl142"/>
    <w:basedOn w:val="Normal"/>
    <w:rsid w:val="00EC123B"/>
    <w:pPr>
      <w:pBdr>
        <w:top w:val="single" w:sz="4" w:space="0" w:color="auto"/>
        <w:left w:val="single" w:sz="4"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3">
    <w:name w:val="xl143"/>
    <w:basedOn w:val="Normal"/>
    <w:rsid w:val="00EC123B"/>
    <w:pPr>
      <w:pBdr>
        <w:top w:val="double" w:sz="6" w:space="0" w:color="auto"/>
        <w:left w:val="double" w:sz="6" w:space="0" w:color="auto"/>
        <w:right w:val="single" w:sz="4" w:space="0" w:color="auto"/>
      </w:pBdr>
      <w:spacing w:before="100" w:beforeAutospacing="1" w:after="100" w:afterAutospacing="1"/>
      <w:jc w:val="left"/>
    </w:pPr>
    <w:rPr>
      <w:color w:val="FF0000"/>
      <w:sz w:val="24"/>
      <w:szCs w:val="24"/>
      <w:lang w:eastAsia="zh-CN"/>
    </w:rPr>
  </w:style>
  <w:style w:type="paragraph" w:customStyle="1" w:styleId="xl144">
    <w:name w:val="xl144"/>
    <w:basedOn w:val="Normal"/>
    <w:rsid w:val="00EC123B"/>
    <w:pPr>
      <w:pBdr>
        <w:right w:val="double" w:sz="6" w:space="0" w:color="auto"/>
      </w:pBdr>
      <w:spacing w:before="100" w:beforeAutospacing="1" w:after="100" w:afterAutospacing="1"/>
      <w:jc w:val="left"/>
    </w:pPr>
    <w:rPr>
      <w:color w:val="FF0000"/>
      <w:sz w:val="24"/>
      <w:szCs w:val="24"/>
      <w:lang w:eastAsia="zh-CN"/>
    </w:rPr>
  </w:style>
  <w:style w:type="paragraph" w:customStyle="1" w:styleId="xl145">
    <w:name w:val="xl145"/>
    <w:basedOn w:val="Normal"/>
    <w:rsid w:val="00EC123B"/>
    <w:pPr>
      <w:pBdr>
        <w:left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6">
    <w:name w:val="xl146"/>
    <w:basedOn w:val="Normal"/>
    <w:rsid w:val="00EC123B"/>
    <w:pPr>
      <w:pBdr>
        <w:left w:val="single" w:sz="4"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7">
    <w:name w:val="xl147"/>
    <w:basedOn w:val="Normal"/>
    <w:rsid w:val="00EC123B"/>
    <w:pPr>
      <w:pBdr>
        <w:bottom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48">
    <w:name w:val="xl148"/>
    <w:basedOn w:val="Normal"/>
    <w:rsid w:val="00EC123B"/>
    <w:pPr>
      <w:pBdr>
        <w:top w:val="double" w:sz="6" w:space="0" w:color="auto"/>
        <w:bottom w:val="double" w:sz="6" w:space="0" w:color="auto"/>
      </w:pBdr>
      <w:spacing w:before="100" w:beforeAutospacing="1" w:after="100" w:afterAutospacing="1"/>
      <w:jc w:val="left"/>
    </w:pPr>
    <w:rPr>
      <w:color w:val="FF0000"/>
      <w:sz w:val="24"/>
      <w:szCs w:val="24"/>
      <w:lang w:eastAsia="zh-CN"/>
    </w:rPr>
  </w:style>
  <w:style w:type="paragraph" w:customStyle="1" w:styleId="xl149">
    <w:name w:val="xl149"/>
    <w:basedOn w:val="Normal"/>
    <w:rsid w:val="00EC123B"/>
    <w:pPr>
      <w:pBdr>
        <w:bottom w:val="double" w:sz="6" w:space="0" w:color="auto"/>
      </w:pBdr>
      <w:spacing w:before="100" w:beforeAutospacing="1" w:after="100" w:afterAutospacing="1"/>
      <w:jc w:val="left"/>
    </w:pPr>
    <w:rPr>
      <w:color w:val="FF0000"/>
      <w:sz w:val="24"/>
      <w:szCs w:val="24"/>
      <w:lang w:eastAsia="zh-CN"/>
    </w:rPr>
  </w:style>
  <w:style w:type="paragraph" w:customStyle="1" w:styleId="xl150">
    <w:name w:val="xl150"/>
    <w:basedOn w:val="Normal"/>
    <w:rsid w:val="00EC123B"/>
    <w:pPr>
      <w:spacing w:before="100" w:beforeAutospacing="1" w:after="100" w:afterAutospacing="1"/>
      <w:jc w:val="right"/>
    </w:pPr>
    <w:rPr>
      <w:b/>
      <w:bCs/>
      <w:color w:val="FF0000"/>
      <w:sz w:val="24"/>
      <w:szCs w:val="24"/>
      <w:lang w:eastAsia="zh-CN"/>
    </w:rPr>
  </w:style>
  <w:style w:type="paragraph" w:customStyle="1" w:styleId="xl151">
    <w:name w:val="xl151"/>
    <w:basedOn w:val="Normal"/>
    <w:rsid w:val="00EC123B"/>
    <w:pPr>
      <w:pBdr>
        <w:top w:val="double" w:sz="6"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52">
    <w:name w:val="xl152"/>
    <w:basedOn w:val="Normal"/>
    <w:rsid w:val="00EC123B"/>
    <w:pPr>
      <w:pBdr>
        <w:top w:val="double" w:sz="6" w:space="0" w:color="auto"/>
      </w:pBdr>
      <w:spacing w:before="100" w:beforeAutospacing="1" w:after="100" w:afterAutospacing="1"/>
      <w:jc w:val="center"/>
    </w:pPr>
    <w:rPr>
      <w:color w:val="FF0000"/>
      <w:sz w:val="24"/>
      <w:szCs w:val="24"/>
      <w:lang w:eastAsia="zh-CN"/>
    </w:rPr>
  </w:style>
  <w:style w:type="paragraph" w:customStyle="1" w:styleId="xl153">
    <w:name w:val="xl153"/>
    <w:basedOn w:val="Normal"/>
    <w:rsid w:val="00EC123B"/>
    <w:pPr>
      <w:pBdr>
        <w:top w:val="single" w:sz="4" w:space="0" w:color="auto"/>
        <w:left w:val="single" w:sz="4" w:space="0" w:color="auto"/>
        <w:bottom w:val="single" w:sz="4" w:space="0" w:color="auto"/>
      </w:pBdr>
      <w:spacing w:before="100" w:beforeAutospacing="1" w:after="100" w:afterAutospacing="1"/>
      <w:jc w:val="center"/>
    </w:pPr>
    <w:rPr>
      <w:sz w:val="24"/>
      <w:szCs w:val="24"/>
      <w:lang w:eastAsia="zh-CN"/>
    </w:rPr>
  </w:style>
  <w:style w:type="paragraph" w:customStyle="1" w:styleId="xl154">
    <w:name w:val="xl154"/>
    <w:basedOn w:val="Normal"/>
    <w:rsid w:val="00EC123B"/>
    <w:pPr>
      <w:pBdr>
        <w:top w:val="single" w:sz="4" w:space="0" w:color="auto"/>
        <w:left w:val="single" w:sz="4" w:space="0" w:color="auto"/>
        <w:bottom w:val="double" w:sz="6" w:space="0" w:color="auto"/>
      </w:pBdr>
      <w:spacing w:before="100" w:beforeAutospacing="1" w:after="100" w:afterAutospacing="1"/>
      <w:jc w:val="center"/>
    </w:pPr>
    <w:rPr>
      <w:sz w:val="24"/>
      <w:szCs w:val="24"/>
      <w:lang w:eastAsia="zh-CN"/>
    </w:rPr>
  </w:style>
  <w:style w:type="paragraph" w:customStyle="1" w:styleId="xl155">
    <w:name w:val="xl155"/>
    <w:basedOn w:val="Normal"/>
    <w:rsid w:val="00EC123B"/>
    <w:pPr>
      <w:pBdr>
        <w:top w:val="double" w:sz="6"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56">
    <w:name w:val="xl156"/>
    <w:basedOn w:val="Normal"/>
    <w:rsid w:val="00EC123B"/>
    <w:pPr>
      <w:pBdr>
        <w:left w:val="single" w:sz="4" w:space="0" w:color="auto"/>
      </w:pBdr>
      <w:spacing w:before="100" w:beforeAutospacing="1" w:after="100" w:afterAutospacing="1"/>
      <w:jc w:val="center"/>
    </w:pPr>
    <w:rPr>
      <w:sz w:val="24"/>
      <w:szCs w:val="24"/>
      <w:lang w:eastAsia="zh-CN"/>
    </w:rPr>
  </w:style>
  <w:style w:type="paragraph" w:customStyle="1" w:styleId="xl157">
    <w:name w:val="xl157"/>
    <w:basedOn w:val="Normal"/>
    <w:rsid w:val="00EC123B"/>
    <w:pPr>
      <w:pBdr>
        <w:top w:val="double" w:sz="6" w:space="0" w:color="auto"/>
        <w:left w:val="single" w:sz="4" w:space="0" w:color="auto"/>
      </w:pBdr>
      <w:spacing w:before="100" w:beforeAutospacing="1" w:after="100" w:afterAutospacing="1"/>
      <w:jc w:val="center"/>
    </w:pPr>
    <w:rPr>
      <w:sz w:val="24"/>
      <w:szCs w:val="24"/>
      <w:lang w:eastAsia="zh-CN"/>
    </w:rPr>
  </w:style>
  <w:style w:type="paragraph" w:customStyle="1" w:styleId="xl158">
    <w:name w:val="xl158"/>
    <w:basedOn w:val="Normal"/>
    <w:rsid w:val="00EC123B"/>
    <w:pPr>
      <w:pBdr>
        <w:top w:val="single" w:sz="4" w:space="0" w:color="auto"/>
        <w:left w:val="single" w:sz="4" w:space="0" w:color="auto"/>
      </w:pBdr>
      <w:spacing w:before="100" w:beforeAutospacing="1" w:after="100" w:afterAutospacing="1"/>
      <w:jc w:val="center"/>
    </w:pPr>
    <w:rPr>
      <w:sz w:val="24"/>
      <w:szCs w:val="24"/>
      <w:lang w:eastAsia="zh-CN"/>
    </w:rPr>
  </w:style>
  <w:style w:type="paragraph" w:customStyle="1" w:styleId="xl159">
    <w:name w:val="xl159"/>
    <w:basedOn w:val="Normal"/>
    <w:rsid w:val="00EC123B"/>
    <w:pPr>
      <w:pBdr>
        <w:left w:val="single" w:sz="4" w:space="0" w:color="auto"/>
        <w:bottom w:val="double" w:sz="6" w:space="0" w:color="auto"/>
      </w:pBdr>
      <w:spacing w:before="100" w:beforeAutospacing="1" w:after="100" w:afterAutospacing="1"/>
      <w:jc w:val="center"/>
    </w:pPr>
    <w:rPr>
      <w:sz w:val="24"/>
      <w:szCs w:val="24"/>
      <w:lang w:eastAsia="zh-CN"/>
    </w:rPr>
  </w:style>
  <w:style w:type="paragraph" w:customStyle="1" w:styleId="xl160">
    <w:name w:val="xl160"/>
    <w:basedOn w:val="Normal"/>
    <w:rsid w:val="00EC123B"/>
    <w:pPr>
      <w:pBdr>
        <w:top w:val="single" w:sz="4" w:space="0" w:color="auto"/>
        <w:left w:val="single" w:sz="4" w:space="0" w:color="auto"/>
        <w:bottom w:val="single" w:sz="4" w:space="0" w:color="auto"/>
      </w:pBdr>
      <w:spacing w:before="100" w:beforeAutospacing="1" w:after="100" w:afterAutospacing="1"/>
      <w:jc w:val="center"/>
    </w:pPr>
    <w:rPr>
      <w:color w:val="FF0000"/>
      <w:sz w:val="24"/>
      <w:szCs w:val="24"/>
      <w:lang w:eastAsia="zh-CN"/>
    </w:rPr>
  </w:style>
  <w:style w:type="paragraph" w:customStyle="1" w:styleId="xl161">
    <w:name w:val="xl161"/>
    <w:basedOn w:val="Normal"/>
    <w:rsid w:val="00EC123B"/>
    <w:pPr>
      <w:pBdr>
        <w:top w:val="single" w:sz="4" w:space="0" w:color="auto"/>
        <w:left w:val="single" w:sz="4" w:space="0" w:color="auto"/>
        <w:bottom w:val="double" w:sz="6" w:space="0" w:color="auto"/>
      </w:pBdr>
      <w:spacing w:before="100" w:beforeAutospacing="1" w:after="100" w:afterAutospacing="1"/>
      <w:jc w:val="center"/>
    </w:pPr>
    <w:rPr>
      <w:color w:val="FF0000"/>
      <w:sz w:val="24"/>
      <w:szCs w:val="24"/>
      <w:lang w:eastAsia="zh-CN"/>
    </w:rPr>
  </w:style>
  <w:style w:type="paragraph" w:customStyle="1" w:styleId="xl162">
    <w:name w:val="xl162"/>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63">
    <w:name w:val="xl16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64">
    <w:name w:val="xl164"/>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center"/>
    </w:pPr>
    <w:rPr>
      <w:sz w:val="24"/>
      <w:szCs w:val="24"/>
      <w:lang w:eastAsia="zh-CN"/>
    </w:rPr>
  </w:style>
  <w:style w:type="paragraph" w:customStyle="1" w:styleId="xl165">
    <w:name w:val="xl165"/>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6">
    <w:name w:val="xl166"/>
    <w:basedOn w:val="Normal"/>
    <w:rsid w:val="00EC123B"/>
    <w:pPr>
      <w:pBdr>
        <w:top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7">
    <w:name w:val="xl167"/>
    <w:basedOn w:val="Normal"/>
    <w:rsid w:val="00EC123B"/>
    <w:pPr>
      <w:pBdr>
        <w:top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8">
    <w:name w:val="xl168"/>
    <w:basedOn w:val="Normal"/>
    <w:rsid w:val="00EC123B"/>
    <w:pPr>
      <w:pBdr>
        <w:top w:val="double" w:sz="6"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69">
    <w:name w:val="xl169"/>
    <w:basedOn w:val="Normal"/>
    <w:rsid w:val="00EC123B"/>
    <w:pPr>
      <w:pBdr>
        <w:top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0">
    <w:name w:val="xl170"/>
    <w:basedOn w:val="Normal"/>
    <w:rsid w:val="00EC123B"/>
    <w:pPr>
      <w:pBdr>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71">
    <w:name w:val="xl171"/>
    <w:basedOn w:val="Normal"/>
    <w:rsid w:val="00EC123B"/>
    <w:pPr>
      <w:pBdr>
        <w:top w:val="double" w:sz="6" w:space="0" w:color="auto"/>
        <w:left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2">
    <w:name w:val="xl172"/>
    <w:basedOn w:val="Normal"/>
    <w:rsid w:val="00EC123B"/>
    <w:pPr>
      <w:pBdr>
        <w:top w:val="single" w:sz="8"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73">
    <w:name w:val="xl173"/>
    <w:basedOn w:val="Normal"/>
    <w:rsid w:val="00EC123B"/>
    <w:pPr>
      <w:pBdr>
        <w:top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174">
    <w:name w:val="xl174"/>
    <w:basedOn w:val="Normal"/>
    <w:rsid w:val="00EC123B"/>
    <w:pPr>
      <w:pBdr>
        <w:left w:val="single" w:sz="4" w:space="0" w:color="auto"/>
        <w:bottom w:val="single" w:sz="4" w:space="0" w:color="auto"/>
      </w:pBdr>
      <w:spacing w:before="100" w:beforeAutospacing="1" w:after="100" w:afterAutospacing="1"/>
      <w:jc w:val="center"/>
    </w:pPr>
    <w:rPr>
      <w:sz w:val="24"/>
      <w:szCs w:val="24"/>
      <w:lang w:eastAsia="zh-CN"/>
    </w:rPr>
  </w:style>
  <w:style w:type="paragraph" w:customStyle="1" w:styleId="xl175">
    <w:name w:val="xl175"/>
    <w:basedOn w:val="Normal"/>
    <w:rsid w:val="00EC123B"/>
    <w:pPr>
      <w:pBdr>
        <w:top w:val="double" w:sz="6" w:space="0" w:color="auto"/>
        <w:left w:val="single" w:sz="4" w:space="0" w:color="auto"/>
        <w:bottom w:val="double" w:sz="6" w:space="0" w:color="auto"/>
        <w:right w:val="single" w:sz="4" w:space="0" w:color="auto"/>
      </w:pBdr>
      <w:spacing w:before="100" w:beforeAutospacing="1" w:after="100" w:afterAutospacing="1"/>
      <w:jc w:val="center"/>
    </w:pPr>
    <w:rPr>
      <w:sz w:val="16"/>
      <w:szCs w:val="16"/>
      <w:lang w:eastAsia="zh-CN"/>
    </w:rPr>
  </w:style>
  <w:style w:type="paragraph" w:customStyle="1" w:styleId="xl176">
    <w:name w:val="xl176"/>
    <w:basedOn w:val="Normal"/>
    <w:rsid w:val="00EC123B"/>
    <w:pPr>
      <w:pBdr>
        <w:top w:val="double" w:sz="6" w:space="0" w:color="auto"/>
        <w:left w:val="single" w:sz="4" w:space="0" w:color="auto"/>
        <w:bottom w:val="double" w:sz="6" w:space="0" w:color="auto"/>
      </w:pBdr>
      <w:spacing w:before="100" w:beforeAutospacing="1" w:after="100" w:afterAutospacing="1"/>
      <w:jc w:val="center"/>
    </w:pPr>
    <w:rPr>
      <w:sz w:val="16"/>
      <w:szCs w:val="16"/>
      <w:lang w:eastAsia="zh-CN"/>
    </w:rPr>
  </w:style>
  <w:style w:type="paragraph" w:customStyle="1" w:styleId="xl177">
    <w:name w:val="xl177"/>
    <w:basedOn w:val="Normal"/>
    <w:rsid w:val="00EC123B"/>
    <w:pPr>
      <w:pBdr>
        <w:top w:val="double" w:sz="6" w:space="0" w:color="auto"/>
      </w:pBdr>
      <w:spacing w:before="100" w:beforeAutospacing="1" w:after="100" w:afterAutospacing="1"/>
      <w:jc w:val="center"/>
    </w:pPr>
    <w:rPr>
      <w:sz w:val="24"/>
      <w:szCs w:val="24"/>
      <w:lang w:eastAsia="zh-CN"/>
    </w:rPr>
  </w:style>
  <w:style w:type="paragraph" w:customStyle="1" w:styleId="xl178">
    <w:name w:val="xl178"/>
    <w:basedOn w:val="Normal"/>
    <w:rsid w:val="00EC123B"/>
    <w:pPr>
      <w:pBdr>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79">
    <w:name w:val="xl179"/>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0">
    <w:name w:val="xl180"/>
    <w:basedOn w:val="Normal"/>
    <w:rsid w:val="00EC123B"/>
    <w:pPr>
      <w:pBdr>
        <w:top w:val="single" w:sz="4" w:space="0" w:color="auto"/>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1">
    <w:name w:val="xl181"/>
    <w:basedOn w:val="Normal"/>
    <w:rsid w:val="00EC123B"/>
    <w:pPr>
      <w:pBdr>
        <w:top w:val="double" w:sz="6" w:space="0" w:color="auto"/>
        <w:left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2">
    <w:name w:val="xl182"/>
    <w:basedOn w:val="Normal"/>
    <w:rsid w:val="00EC123B"/>
    <w:pPr>
      <w:pBdr>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183">
    <w:name w:val="xl183"/>
    <w:basedOn w:val="Normal"/>
    <w:rsid w:val="00EC123B"/>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84">
    <w:name w:val="xl184"/>
    <w:basedOn w:val="Normal"/>
    <w:rsid w:val="00EC123B"/>
    <w:pPr>
      <w:pBdr>
        <w:top w:val="single" w:sz="4" w:space="0" w:color="auto"/>
        <w:left w:val="single" w:sz="4" w:space="0" w:color="auto"/>
        <w:bottom w:val="double" w:sz="6" w:space="0" w:color="auto"/>
        <w:right w:val="double" w:sz="6" w:space="0" w:color="auto"/>
      </w:pBdr>
      <w:spacing w:before="100" w:beforeAutospacing="1" w:after="100" w:afterAutospacing="1"/>
      <w:jc w:val="left"/>
    </w:pPr>
    <w:rPr>
      <w:sz w:val="24"/>
      <w:szCs w:val="24"/>
      <w:lang w:eastAsia="zh-CN"/>
    </w:rPr>
  </w:style>
  <w:style w:type="paragraph" w:customStyle="1" w:styleId="xl185">
    <w:name w:val="xl185"/>
    <w:basedOn w:val="Normal"/>
    <w:rsid w:val="00EC123B"/>
    <w:pPr>
      <w:pBdr>
        <w:right w:val="double" w:sz="6" w:space="0" w:color="auto"/>
      </w:pBdr>
      <w:spacing w:before="100" w:beforeAutospacing="1" w:after="100" w:afterAutospacing="1"/>
      <w:jc w:val="left"/>
    </w:pPr>
    <w:rPr>
      <w:sz w:val="24"/>
      <w:szCs w:val="24"/>
      <w:lang w:eastAsia="zh-CN"/>
    </w:rPr>
  </w:style>
  <w:style w:type="paragraph" w:customStyle="1" w:styleId="xl186">
    <w:name w:val="xl186"/>
    <w:basedOn w:val="Normal"/>
    <w:rsid w:val="00EC123B"/>
    <w:pPr>
      <w:pBdr>
        <w:top w:val="single" w:sz="4" w:space="0" w:color="auto"/>
        <w:left w:val="single" w:sz="4"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187">
    <w:name w:val="xl187"/>
    <w:basedOn w:val="Normal"/>
    <w:rsid w:val="00EC123B"/>
    <w:pPr>
      <w:pBdr>
        <w:top w:val="single" w:sz="8"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88">
    <w:name w:val="xl188"/>
    <w:basedOn w:val="Normal"/>
    <w:rsid w:val="00EC123B"/>
    <w:pPr>
      <w:pBdr>
        <w:top w:val="single" w:sz="8" w:space="0" w:color="auto"/>
        <w:left w:val="single" w:sz="4"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89">
    <w:name w:val="xl189"/>
    <w:basedOn w:val="Normal"/>
    <w:rsid w:val="00EC123B"/>
    <w:pPr>
      <w:pBdr>
        <w:top w:val="single" w:sz="4" w:space="0" w:color="auto"/>
        <w:bottom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190">
    <w:name w:val="xl190"/>
    <w:basedOn w:val="Normal"/>
    <w:rsid w:val="00EC123B"/>
    <w:pPr>
      <w:pBdr>
        <w:top w:val="single" w:sz="4" w:space="0" w:color="auto"/>
        <w:left w:val="single" w:sz="4" w:space="0" w:color="auto"/>
      </w:pBdr>
      <w:spacing w:before="100" w:beforeAutospacing="1" w:after="100" w:afterAutospacing="1"/>
      <w:jc w:val="center"/>
    </w:pPr>
    <w:rPr>
      <w:color w:val="FF0000"/>
      <w:sz w:val="24"/>
      <w:szCs w:val="24"/>
      <w:lang w:eastAsia="zh-CN"/>
    </w:rPr>
  </w:style>
  <w:style w:type="paragraph" w:customStyle="1" w:styleId="xl191">
    <w:name w:val="xl191"/>
    <w:basedOn w:val="Normal"/>
    <w:rsid w:val="00EC123B"/>
    <w:pPr>
      <w:pBdr>
        <w:top w:val="double" w:sz="6" w:space="0" w:color="auto"/>
        <w:left w:val="single" w:sz="4" w:space="0" w:color="auto"/>
      </w:pBdr>
      <w:spacing w:before="100" w:beforeAutospacing="1" w:after="100" w:afterAutospacing="1"/>
      <w:jc w:val="center"/>
    </w:pPr>
    <w:rPr>
      <w:color w:val="FF0000"/>
      <w:sz w:val="24"/>
      <w:szCs w:val="24"/>
      <w:lang w:eastAsia="zh-CN"/>
    </w:rPr>
  </w:style>
  <w:style w:type="paragraph" w:customStyle="1" w:styleId="xl192">
    <w:name w:val="xl192"/>
    <w:basedOn w:val="Normal"/>
    <w:rsid w:val="00EC123B"/>
    <w:pPr>
      <w:pBdr>
        <w:left w:val="single" w:sz="4" w:space="0" w:color="auto"/>
        <w:bottom w:val="double" w:sz="6" w:space="0" w:color="auto"/>
      </w:pBdr>
      <w:spacing w:before="100" w:beforeAutospacing="1" w:after="100" w:afterAutospacing="1"/>
      <w:jc w:val="center"/>
    </w:pPr>
    <w:rPr>
      <w:color w:val="FF0000"/>
      <w:sz w:val="24"/>
      <w:szCs w:val="24"/>
      <w:lang w:eastAsia="zh-CN"/>
    </w:rPr>
  </w:style>
  <w:style w:type="paragraph" w:customStyle="1" w:styleId="xl193">
    <w:name w:val="xl193"/>
    <w:basedOn w:val="Normal"/>
    <w:rsid w:val="00EC123B"/>
    <w:pPr>
      <w:pBdr>
        <w:top w:val="single" w:sz="8"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4">
    <w:name w:val="xl194"/>
    <w:basedOn w:val="Normal"/>
    <w:rsid w:val="00EC123B"/>
    <w:pPr>
      <w:pBdr>
        <w:top w:val="single" w:sz="4" w:space="0" w:color="auto"/>
        <w:left w:val="single" w:sz="4" w:space="0" w:color="auto"/>
        <w:bottom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5">
    <w:name w:val="xl195"/>
    <w:basedOn w:val="Normal"/>
    <w:rsid w:val="00EC123B"/>
    <w:pPr>
      <w:pBdr>
        <w:top w:val="single" w:sz="4" w:space="0" w:color="auto"/>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6">
    <w:name w:val="xl196"/>
    <w:basedOn w:val="Normal"/>
    <w:rsid w:val="00EC123B"/>
    <w:pPr>
      <w:pBdr>
        <w:top w:val="double" w:sz="6" w:space="0" w:color="auto"/>
        <w:left w:val="single" w:sz="4"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7">
    <w:name w:val="xl197"/>
    <w:basedOn w:val="Normal"/>
    <w:rsid w:val="00EC123B"/>
    <w:pPr>
      <w:pBdr>
        <w:left w:val="single" w:sz="4" w:space="0" w:color="auto"/>
        <w:bottom w:val="double" w:sz="6" w:space="0" w:color="auto"/>
        <w:right w:val="double" w:sz="6" w:space="0" w:color="auto"/>
      </w:pBdr>
      <w:spacing w:before="100" w:beforeAutospacing="1" w:after="100" w:afterAutospacing="1"/>
      <w:jc w:val="left"/>
    </w:pPr>
    <w:rPr>
      <w:color w:val="FF0000"/>
      <w:sz w:val="24"/>
      <w:szCs w:val="24"/>
      <w:lang w:eastAsia="zh-CN"/>
    </w:rPr>
  </w:style>
  <w:style w:type="paragraph" w:customStyle="1" w:styleId="xl198">
    <w:name w:val="xl198"/>
    <w:basedOn w:val="Normal"/>
    <w:rsid w:val="00EC123B"/>
    <w:pPr>
      <w:pBdr>
        <w:top w:val="double" w:sz="6" w:space="0" w:color="auto"/>
        <w:left w:val="double" w:sz="6"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199">
    <w:name w:val="xl199"/>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0">
    <w:name w:val="xl200"/>
    <w:basedOn w:val="Normal"/>
    <w:rsid w:val="00EC123B"/>
    <w:pPr>
      <w:pBdr>
        <w:top w:val="single" w:sz="4" w:space="0" w:color="auto"/>
        <w:left w:val="double" w:sz="6" w:space="0" w:color="auto"/>
        <w:bottom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1">
    <w:name w:val="xl201"/>
    <w:basedOn w:val="Normal"/>
    <w:rsid w:val="00EC123B"/>
    <w:pPr>
      <w:pBdr>
        <w:top w:val="single" w:sz="4" w:space="0" w:color="auto"/>
        <w:left w:val="double" w:sz="6" w:space="0" w:color="auto"/>
        <w:bottom w:val="double" w:sz="6" w:space="0" w:color="auto"/>
        <w:right w:val="single" w:sz="4" w:space="0" w:color="auto"/>
      </w:pBdr>
      <w:spacing w:before="100" w:beforeAutospacing="1" w:after="100" w:afterAutospacing="1"/>
      <w:jc w:val="left"/>
    </w:pPr>
    <w:rPr>
      <w:sz w:val="24"/>
      <w:szCs w:val="24"/>
      <w:lang w:eastAsia="zh-CN"/>
    </w:rPr>
  </w:style>
  <w:style w:type="paragraph" w:customStyle="1" w:styleId="xl202">
    <w:name w:val="xl202"/>
    <w:basedOn w:val="Normal"/>
    <w:rsid w:val="00EC123B"/>
    <w:pPr>
      <w:pBdr>
        <w:top w:val="single" w:sz="4" w:space="0" w:color="auto"/>
        <w:left w:val="single" w:sz="4" w:space="0" w:color="auto"/>
        <w:right w:val="single" w:sz="4" w:space="0" w:color="auto"/>
      </w:pBdr>
      <w:spacing w:before="100" w:beforeAutospacing="1" w:after="100" w:afterAutospacing="1"/>
      <w:jc w:val="left"/>
    </w:pPr>
    <w:rPr>
      <w:sz w:val="24"/>
      <w:szCs w:val="24"/>
      <w:lang w:eastAsia="zh-CN"/>
    </w:rPr>
  </w:style>
  <w:style w:type="paragraph" w:customStyle="1" w:styleId="xl203">
    <w:name w:val="xl203"/>
    <w:basedOn w:val="Normal"/>
    <w:rsid w:val="00EC123B"/>
    <w:pPr>
      <w:pBdr>
        <w:top w:val="double" w:sz="6" w:space="0" w:color="auto"/>
        <w:left w:val="single" w:sz="4" w:space="0" w:color="auto"/>
        <w:bottom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04">
    <w:name w:val="xl204"/>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05">
    <w:name w:val="xl205"/>
    <w:basedOn w:val="Normal"/>
    <w:rsid w:val="00EC123B"/>
    <w:pPr>
      <w:pBdr>
        <w:top w:val="double" w:sz="6" w:space="0" w:color="auto"/>
        <w:left w:val="single" w:sz="4" w:space="0" w:color="auto"/>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206">
    <w:name w:val="xl206"/>
    <w:basedOn w:val="Normal"/>
    <w:rsid w:val="00EC123B"/>
    <w:pPr>
      <w:pBdr>
        <w:top w:val="single" w:sz="4" w:space="0" w:color="auto"/>
        <w:left w:val="single" w:sz="4"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207">
    <w:name w:val="xl207"/>
    <w:basedOn w:val="Normal"/>
    <w:rsid w:val="00EC123B"/>
    <w:pPr>
      <w:pBdr>
        <w:bottom w:val="single" w:sz="4" w:space="0" w:color="auto"/>
      </w:pBdr>
      <w:spacing w:before="100" w:beforeAutospacing="1" w:after="100" w:afterAutospacing="1"/>
      <w:jc w:val="left"/>
    </w:pPr>
    <w:rPr>
      <w:color w:val="FF0000"/>
      <w:sz w:val="24"/>
      <w:szCs w:val="24"/>
      <w:lang w:eastAsia="zh-CN"/>
    </w:rPr>
  </w:style>
  <w:style w:type="paragraph" w:customStyle="1" w:styleId="xl208">
    <w:name w:val="xl208"/>
    <w:basedOn w:val="Normal"/>
    <w:rsid w:val="00EC123B"/>
    <w:pPr>
      <w:pBdr>
        <w:top w:val="single" w:sz="4" w:space="0" w:color="auto"/>
        <w:bottom w:val="single" w:sz="4" w:space="0" w:color="auto"/>
      </w:pBdr>
      <w:spacing w:before="100" w:beforeAutospacing="1" w:after="100" w:afterAutospacing="1"/>
      <w:jc w:val="left"/>
    </w:pPr>
    <w:rPr>
      <w:color w:val="FF0000"/>
      <w:sz w:val="24"/>
      <w:szCs w:val="24"/>
      <w:lang w:eastAsia="zh-CN"/>
    </w:rPr>
  </w:style>
  <w:style w:type="paragraph" w:customStyle="1" w:styleId="xl209">
    <w:name w:val="xl209"/>
    <w:basedOn w:val="Normal"/>
    <w:rsid w:val="00EC123B"/>
    <w:pPr>
      <w:pBdr>
        <w:top w:val="single" w:sz="4" w:space="0" w:color="auto"/>
      </w:pBdr>
      <w:spacing w:before="100" w:beforeAutospacing="1" w:after="100" w:afterAutospacing="1"/>
      <w:jc w:val="left"/>
    </w:pPr>
    <w:rPr>
      <w:color w:val="FF0000"/>
      <w:sz w:val="24"/>
      <w:szCs w:val="24"/>
      <w:lang w:eastAsia="zh-CN"/>
    </w:rPr>
  </w:style>
  <w:style w:type="paragraph" w:customStyle="1" w:styleId="xl210">
    <w:name w:val="xl210"/>
    <w:basedOn w:val="Normal"/>
    <w:rsid w:val="00EC123B"/>
    <w:pPr>
      <w:pBdr>
        <w:left w:val="single" w:sz="4" w:space="0" w:color="auto"/>
      </w:pBdr>
      <w:spacing w:before="100" w:beforeAutospacing="1" w:after="100" w:afterAutospacing="1"/>
      <w:jc w:val="center"/>
      <w:textAlignment w:val="center"/>
    </w:pPr>
    <w:rPr>
      <w:sz w:val="24"/>
      <w:szCs w:val="24"/>
      <w:lang w:eastAsia="zh-CN"/>
    </w:rPr>
  </w:style>
  <w:style w:type="paragraph" w:customStyle="1" w:styleId="xl211">
    <w:name w:val="xl211"/>
    <w:basedOn w:val="Normal"/>
    <w:rsid w:val="00EC123B"/>
    <w:pPr>
      <w:pBdr>
        <w:right w:val="single" w:sz="4" w:space="0" w:color="auto"/>
      </w:pBdr>
      <w:spacing w:before="100" w:beforeAutospacing="1" w:after="100" w:afterAutospacing="1"/>
      <w:jc w:val="center"/>
      <w:textAlignment w:val="center"/>
    </w:pPr>
    <w:rPr>
      <w:sz w:val="24"/>
      <w:szCs w:val="24"/>
      <w:lang w:eastAsia="zh-CN"/>
    </w:rPr>
  </w:style>
  <w:style w:type="paragraph" w:customStyle="1" w:styleId="xl212">
    <w:name w:val="xl212"/>
    <w:basedOn w:val="Normal"/>
    <w:rsid w:val="00EC123B"/>
    <w:pPr>
      <w:pBdr>
        <w:left w:val="single" w:sz="4" w:space="0" w:color="auto"/>
        <w:bottom w:val="single" w:sz="4" w:space="0" w:color="auto"/>
      </w:pBdr>
      <w:spacing w:before="100" w:beforeAutospacing="1" w:after="100" w:afterAutospacing="1"/>
      <w:jc w:val="center"/>
      <w:textAlignment w:val="center"/>
    </w:pPr>
    <w:rPr>
      <w:sz w:val="24"/>
      <w:szCs w:val="24"/>
      <w:lang w:eastAsia="zh-CN"/>
    </w:rPr>
  </w:style>
  <w:style w:type="paragraph" w:customStyle="1" w:styleId="xl213">
    <w:name w:val="xl213"/>
    <w:basedOn w:val="Normal"/>
    <w:rsid w:val="00EC123B"/>
    <w:pPr>
      <w:pBdr>
        <w:bottom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14">
    <w:name w:val="xl214"/>
    <w:basedOn w:val="Normal"/>
    <w:rsid w:val="00EC123B"/>
    <w:pPr>
      <w:pBdr>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15">
    <w:name w:val="xl215"/>
    <w:basedOn w:val="Normal"/>
    <w:rsid w:val="00EC123B"/>
    <w:pPr>
      <w:pBdr>
        <w:top w:val="double" w:sz="6" w:space="0" w:color="auto"/>
      </w:pBdr>
      <w:spacing w:before="100" w:beforeAutospacing="1" w:after="100" w:afterAutospacing="1"/>
      <w:jc w:val="left"/>
    </w:pPr>
    <w:rPr>
      <w:b/>
      <w:bCs/>
      <w:color w:val="FF0000"/>
      <w:sz w:val="24"/>
      <w:szCs w:val="24"/>
      <w:lang w:eastAsia="zh-CN"/>
    </w:rPr>
  </w:style>
  <w:style w:type="paragraph" w:customStyle="1" w:styleId="xl216">
    <w:name w:val="xl216"/>
    <w:basedOn w:val="Normal"/>
    <w:rsid w:val="00EC123B"/>
    <w:pPr>
      <w:pBdr>
        <w:top w:val="single" w:sz="4" w:space="0" w:color="auto"/>
        <w:left w:val="single" w:sz="4" w:space="0" w:color="auto"/>
        <w:right w:val="double" w:sz="6" w:space="0" w:color="auto"/>
      </w:pBdr>
      <w:spacing w:before="100" w:beforeAutospacing="1" w:after="100" w:afterAutospacing="1"/>
      <w:jc w:val="center"/>
    </w:pPr>
    <w:rPr>
      <w:sz w:val="24"/>
      <w:szCs w:val="24"/>
      <w:lang w:eastAsia="zh-CN"/>
    </w:rPr>
  </w:style>
  <w:style w:type="paragraph" w:customStyle="1" w:styleId="xl217">
    <w:name w:val="xl217"/>
    <w:basedOn w:val="Normal"/>
    <w:rsid w:val="00EC123B"/>
    <w:pPr>
      <w:pBdr>
        <w:left w:val="single" w:sz="4" w:space="0" w:color="auto"/>
        <w:right w:val="double" w:sz="6" w:space="0" w:color="auto"/>
      </w:pBdr>
      <w:spacing w:before="100" w:beforeAutospacing="1" w:after="100" w:afterAutospacing="1"/>
      <w:jc w:val="center"/>
    </w:pPr>
    <w:rPr>
      <w:sz w:val="24"/>
      <w:szCs w:val="24"/>
      <w:lang w:eastAsia="zh-CN"/>
    </w:rPr>
  </w:style>
  <w:style w:type="paragraph" w:customStyle="1" w:styleId="xl218">
    <w:name w:val="xl218"/>
    <w:basedOn w:val="Normal"/>
    <w:rsid w:val="00EC123B"/>
    <w:pPr>
      <w:pBdr>
        <w:top w:val="single" w:sz="4" w:space="0" w:color="auto"/>
        <w:left w:val="single" w:sz="4" w:space="0" w:color="auto"/>
        <w:right w:val="single" w:sz="4" w:space="0" w:color="auto"/>
      </w:pBdr>
      <w:spacing w:before="100" w:beforeAutospacing="1" w:after="100" w:afterAutospacing="1"/>
      <w:jc w:val="center"/>
    </w:pPr>
    <w:rPr>
      <w:sz w:val="24"/>
      <w:szCs w:val="24"/>
      <w:lang w:eastAsia="zh-CN"/>
    </w:rPr>
  </w:style>
  <w:style w:type="paragraph" w:customStyle="1" w:styleId="xl219">
    <w:name w:val="xl219"/>
    <w:basedOn w:val="Normal"/>
    <w:rsid w:val="00EC123B"/>
    <w:pPr>
      <w:pBdr>
        <w:right w:val="double" w:sz="6" w:space="0" w:color="auto"/>
      </w:pBdr>
      <w:spacing w:before="100" w:beforeAutospacing="1" w:after="100" w:afterAutospacing="1"/>
      <w:jc w:val="center"/>
      <w:textAlignment w:val="center"/>
    </w:pPr>
    <w:rPr>
      <w:sz w:val="24"/>
      <w:szCs w:val="24"/>
      <w:lang w:eastAsia="zh-CN"/>
    </w:rPr>
  </w:style>
  <w:style w:type="paragraph" w:customStyle="1" w:styleId="xl220">
    <w:name w:val="xl220"/>
    <w:basedOn w:val="Normal"/>
    <w:rsid w:val="00EC123B"/>
    <w:pPr>
      <w:pBdr>
        <w:bottom w:val="single" w:sz="4" w:space="0" w:color="auto"/>
        <w:right w:val="double" w:sz="6" w:space="0" w:color="auto"/>
      </w:pBdr>
      <w:spacing w:before="100" w:beforeAutospacing="1" w:after="100" w:afterAutospacing="1"/>
      <w:jc w:val="center"/>
      <w:textAlignment w:val="center"/>
    </w:pPr>
    <w:rPr>
      <w:sz w:val="24"/>
      <w:szCs w:val="24"/>
      <w:lang w:eastAsia="zh-CN"/>
    </w:rPr>
  </w:style>
  <w:style w:type="paragraph" w:customStyle="1" w:styleId="xl221">
    <w:name w:val="xl221"/>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22">
    <w:name w:val="xl222"/>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23">
    <w:name w:val="xl223"/>
    <w:basedOn w:val="Normal"/>
    <w:rsid w:val="00EC123B"/>
    <w:pPr>
      <w:pBdr>
        <w:left w:val="single" w:sz="4"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24">
    <w:name w:val="xl224"/>
    <w:basedOn w:val="Normal"/>
    <w:rsid w:val="00EC123B"/>
    <w:pPr>
      <w:pBdr>
        <w:left w:val="double" w:sz="6"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25">
    <w:name w:val="xl225"/>
    <w:basedOn w:val="Normal"/>
    <w:rsid w:val="00EC123B"/>
    <w:pPr>
      <w:pBdr>
        <w:top w:val="double" w:sz="6" w:space="0" w:color="auto"/>
        <w:left w:val="single" w:sz="4" w:space="0" w:color="auto"/>
        <w:right w:val="single" w:sz="4" w:space="0" w:color="auto"/>
      </w:pBdr>
      <w:spacing w:before="100" w:beforeAutospacing="1" w:after="100" w:afterAutospacing="1"/>
      <w:jc w:val="left"/>
      <w:textAlignment w:val="top"/>
    </w:pPr>
    <w:rPr>
      <w:sz w:val="24"/>
      <w:szCs w:val="24"/>
      <w:lang w:eastAsia="zh-CN"/>
    </w:rPr>
  </w:style>
  <w:style w:type="paragraph" w:customStyle="1" w:styleId="xl226">
    <w:name w:val="xl226"/>
    <w:basedOn w:val="Normal"/>
    <w:rsid w:val="00EC123B"/>
    <w:pPr>
      <w:pBdr>
        <w:left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zh-CN"/>
    </w:rPr>
  </w:style>
  <w:style w:type="paragraph" w:customStyle="1" w:styleId="xl227">
    <w:name w:val="xl227"/>
    <w:basedOn w:val="Normal"/>
    <w:rsid w:val="00EC123B"/>
    <w:pPr>
      <w:pBdr>
        <w:top w:val="double" w:sz="6" w:space="0" w:color="auto"/>
      </w:pBdr>
      <w:spacing w:before="100" w:beforeAutospacing="1" w:after="100" w:afterAutospacing="1"/>
      <w:jc w:val="left"/>
    </w:pPr>
    <w:rPr>
      <w:sz w:val="24"/>
      <w:szCs w:val="24"/>
      <w:lang w:eastAsia="zh-CN"/>
    </w:rPr>
  </w:style>
  <w:style w:type="paragraph" w:customStyle="1" w:styleId="xl228">
    <w:name w:val="xl228"/>
    <w:basedOn w:val="Normal"/>
    <w:rsid w:val="00EC123B"/>
    <w:pPr>
      <w:spacing w:before="100" w:beforeAutospacing="1" w:after="100" w:afterAutospacing="1"/>
      <w:jc w:val="left"/>
    </w:pPr>
    <w:rPr>
      <w:sz w:val="24"/>
      <w:szCs w:val="24"/>
      <w:lang w:eastAsia="zh-CN"/>
    </w:rPr>
  </w:style>
  <w:style w:type="paragraph" w:customStyle="1" w:styleId="xl229">
    <w:name w:val="xl229"/>
    <w:basedOn w:val="Normal"/>
    <w:rsid w:val="00EC123B"/>
    <w:pPr>
      <w:pBdr>
        <w:lef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0">
    <w:name w:val="xl230"/>
    <w:basedOn w:val="Normal"/>
    <w:rsid w:val="00EC123B"/>
    <w:pPr>
      <w:pBdr>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1">
    <w:name w:val="xl231"/>
    <w:basedOn w:val="Normal"/>
    <w:rsid w:val="00EC123B"/>
    <w:pPr>
      <w:pBdr>
        <w:left w:val="single" w:sz="4" w:space="0" w:color="auto"/>
        <w:bottom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2">
    <w:name w:val="xl232"/>
    <w:basedOn w:val="Normal"/>
    <w:rsid w:val="00EC123B"/>
    <w:pPr>
      <w:pBdr>
        <w:bottom w:val="single" w:sz="4" w:space="0" w:color="auto"/>
        <w:right w:val="single" w:sz="4" w:space="0" w:color="auto"/>
      </w:pBdr>
      <w:spacing w:before="100" w:beforeAutospacing="1" w:after="100" w:afterAutospacing="1"/>
      <w:jc w:val="center"/>
      <w:textAlignment w:val="center"/>
    </w:pPr>
    <w:rPr>
      <w:color w:val="FF0000"/>
      <w:sz w:val="24"/>
      <w:szCs w:val="24"/>
      <w:lang w:eastAsia="zh-CN"/>
    </w:rPr>
  </w:style>
  <w:style w:type="paragraph" w:customStyle="1" w:styleId="xl233">
    <w:name w:val="xl233"/>
    <w:basedOn w:val="Normal"/>
    <w:rsid w:val="00EC123B"/>
    <w:pPr>
      <w:pBdr>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4">
    <w:name w:val="xl234"/>
    <w:basedOn w:val="Normal"/>
    <w:rsid w:val="00EC123B"/>
    <w:pPr>
      <w:pBdr>
        <w:right w:val="double" w:sz="6" w:space="0" w:color="auto"/>
      </w:pBdr>
      <w:spacing w:before="100" w:beforeAutospacing="1" w:after="100" w:afterAutospacing="1"/>
      <w:jc w:val="center"/>
      <w:textAlignment w:val="center"/>
    </w:pPr>
    <w:rPr>
      <w:color w:val="FF0000"/>
      <w:sz w:val="24"/>
      <w:szCs w:val="24"/>
      <w:lang w:eastAsia="zh-CN"/>
    </w:rPr>
  </w:style>
  <w:style w:type="paragraph" w:customStyle="1" w:styleId="xl235">
    <w:name w:val="xl235"/>
    <w:basedOn w:val="Normal"/>
    <w:rsid w:val="00EC123B"/>
    <w:pPr>
      <w:pBdr>
        <w:bottom w:val="single" w:sz="4" w:space="0" w:color="auto"/>
        <w:right w:val="double" w:sz="6" w:space="0" w:color="auto"/>
      </w:pBdr>
      <w:spacing w:before="100" w:beforeAutospacing="1" w:after="100" w:afterAutospacing="1"/>
      <w:jc w:val="center"/>
      <w:textAlignment w:val="center"/>
    </w:pPr>
    <w:rPr>
      <w:color w:val="FF0000"/>
      <w:sz w:val="24"/>
      <w:szCs w:val="24"/>
      <w:lang w:eastAsia="zh-CN"/>
    </w:rPr>
  </w:style>
  <w:style w:type="paragraph" w:customStyle="1" w:styleId="xl236">
    <w:name w:val="xl236"/>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7">
    <w:name w:val="xl237"/>
    <w:basedOn w:val="Normal"/>
    <w:rsid w:val="00EC123B"/>
    <w:pPr>
      <w:pBdr>
        <w:top w:val="single" w:sz="4" w:space="0" w:color="auto"/>
        <w:left w:val="single" w:sz="4" w:space="0" w:color="auto"/>
        <w:right w:val="single" w:sz="4" w:space="0" w:color="auto"/>
      </w:pBdr>
      <w:spacing w:before="100" w:beforeAutospacing="1" w:after="100" w:afterAutospacing="1"/>
      <w:jc w:val="center"/>
    </w:pPr>
    <w:rPr>
      <w:color w:val="FF0000"/>
      <w:sz w:val="24"/>
      <w:szCs w:val="24"/>
      <w:lang w:eastAsia="zh-CN"/>
    </w:rPr>
  </w:style>
  <w:style w:type="paragraph" w:customStyle="1" w:styleId="xl238">
    <w:name w:val="xl238"/>
    <w:basedOn w:val="Normal"/>
    <w:rsid w:val="00EC123B"/>
    <w:pPr>
      <w:pBdr>
        <w:top w:val="single" w:sz="4" w:space="0" w:color="auto"/>
        <w:left w:val="single" w:sz="4" w:space="0" w:color="auto"/>
        <w:right w:val="double" w:sz="6" w:space="0" w:color="auto"/>
      </w:pBdr>
      <w:spacing w:before="100" w:beforeAutospacing="1" w:after="100" w:afterAutospacing="1"/>
      <w:jc w:val="center"/>
    </w:pPr>
    <w:rPr>
      <w:color w:val="FF0000"/>
      <w:sz w:val="24"/>
      <w:szCs w:val="24"/>
      <w:lang w:eastAsia="zh-CN"/>
    </w:rPr>
  </w:style>
  <w:style w:type="paragraph" w:customStyle="1" w:styleId="xl239">
    <w:name w:val="xl239"/>
    <w:basedOn w:val="Normal"/>
    <w:rsid w:val="00EC123B"/>
    <w:pPr>
      <w:pBdr>
        <w:left w:val="single" w:sz="4" w:space="0" w:color="auto"/>
        <w:right w:val="double" w:sz="6" w:space="0" w:color="auto"/>
      </w:pBdr>
      <w:spacing w:before="100" w:beforeAutospacing="1" w:after="100" w:afterAutospacing="1"/>
      <w:jc w:val="center"/>
    </w:pPr>
    <w:rPr>
      <w:color w:val="FF0000"/>
      <w:sz w:val="24"/>
      <w:szCs w:val="24"/>
      <w:lang w:eastAsia="zh-CN"/>
    </w:rPr>
  </w:style>
  <w:style w:type="paragraph" w:customStyle="1" w:styleId="xl240">
    <w:name w:val="xl240"/>
    <w:basedOn w:val="Normal"/>
    <w:rsid w:val="00EC123B"/>
    <w:pPr>
      <w:pBdr>
        <w:top w:val="double" w:sz="6" w:space="0" w:color="auto"/>
      </w:pBdr>
      <w:spacing w:before="100" w:beforeAutospacing="1" w:after="100" w:afterAutospacing="1"/>
      <w:jc w:val="left"/>
    </w:pPr>
    <w:rPr>
      <w:color w:val="FF0000"/>
      <w:sz w:val="24"/>
      <w:szCs w:val="24"/>
      <w:lang w:eastAsia="zh-CN"/>
    </w:rPr>
  </w:style>
  <w:style w:type="paragraph" w:customStyle="1" w:styleId="xl241">
    <w:name w:val="xl241"/>
    <w:basedOn w:val="Normal"/>
    <w:rsid w:val="00EC123B"/>
    <w:pPr>
      <w:spacing w:before="100" w:beforeAutospacing="1" w:after="100" w:afterAutospacing="1"/>
      <w:jc w:val="left"/>
    </w:pPr>
    <w:rPr>
      <w:color w:val="FF0000"/>
      <w:sz w:val="24"/>
      <w:szCs w:val="24"/>
      <w:lang w:eastAsia="zh-CN"/>
    </w:rPr>
  </w:style>
  <w:style w:type="paragraph" w:customStyle="1" w:styleId="xl242">
    <w:name w:val="xl242"/>
    <w:basedOn w:val="Normal"/>
    <w:rsid w:val="00EC123B"/>
    <w:pPr>
      <w:pBdr>
        <w:top w:val="single" w:sz="4" w:space="0" w:color="auto"/>
        <w:left w:val="single" w:sz="4" w:space="0" w:color="auto"/>
      </w:pBdr>
      <w:spacing w:before="100" w:beforeAutospacing="1" w:after="100" w:afterAutospacing="1"/>
      <w:jc w:val="left"/>
    </w:pPr>
    <w:rPr>
      <w:sz w:val="24"/>
      <w:szCs w:val="24"/>
      <w:lang w:eastAsia="zh-CN"/>
    </w:rPr>
  </w:style>
  <w:style w:type="paragraph" w:customStyle="1" w:styleId="xl243">
    <w:name w:val="xl243"/>
    <w:basedOn w:val="Normal"/>
    <w:rsid w:val="00EC123B"/>
    <w:pPr>
      <w:pBdr>
        <w:top w:val="single" w:sz="4" w:space="0" w:color="auto"/>
        <w:right w:val="double" w:sz="6" w:space="0" w:color="auto"/>
      </w:pBdr>
      <w:spacing w:before="100" w:beforeAutospacing="1" w:after="100" w:afterAutospacing="1"/>
      <w:jc w:val="left"/>
    </w:pPr>
    <w:rPr>
      <w:sz w:val="24"/>
      <w:szCs w:val="24"/>
      <w:lang w:eastAsia="zh-CN"/>
    </w:rPr>
  </w:style>
  <w:style w:type="paragraph" w:customStyle="1" w:styleId="xl244">
    <w:name w:val="xl244"/>
    <w:basedOn w:val="Normal"/>
    <w:rsid w:val="00EC123B"/>
    <w:pPr>
      <w:pBdr>
        <w:left w:val="single" w:sz="4" w:space="0" w:color="auto"/>
      </w:pBdr>
      <w:spacing w:before="100" w:beforeAutospacing="1" w:after="100" w:afterAutospacing="1"/>
      <w:jc w:val="left"/>
    </w:pPr>
    <w:rPr>
      <w:sz w:val="24"/>
      <w:szCs w:val="24"/>
      <w:lang w:eastAsia="zh-CN"/>
    </w:rPr>
  </w:style>
  <w:style w:type="paragraph" w:customStyle="1" w:styleId="xl245">
    <w:name w:val="xl245"/>
    <w:basedOn w:val="Normal"/>
    <w:rsid w:val="00EC123B"/>
    <w:pPr>
      <w:pBdr>
        <w:right w:val="double" w:sz="6" w:space="0" w:color="auto"/>
      </w:pBdr>
      <w:spacing w:before="100" w:beforeAutospacing="1" w:after="100" w:afterAutospacing="1"/>
      <w:jc w:val="left"/>
    </w:pPr>
    <w:rPr>
      <w:sz w:val="24"/>
      <w:szCs w:val="24"/>
      <w:lang w:eastAsia="zh-CN"/>
    </w:rPr>
  </w:style>
  <w:style w:type="paragraph" w:customStyle="1" w:styleId="xl246">
    <w:name w:val="xl246"/>
    <w:basedOn w:val="Normal"/>
    <w:rsid w:val="00EC123B"/>
    <w:pPr>
      <w:pBdr>
        <w:left w:val="single" w:sz="4" w:space="0" w:color="auto"/>
        <w:bottom w:val="single" w:sz="4" w:space="0" w:color="auto"/>
      </w:pBdr>
      <w:spacing w:before="100" w:beforeAutospacing="1" w:after="100" w:afterAutospacing="1"/>
      <w:jc w:val="left"/>
    </w:pPr>
    <w:rPr>
      <w:sz w:val="24"/>
      <w:szCs w:val="24"/>
      <w:lang w:eastAsia="zh-CN"/>
    </w:rPr>
  </w:style>
  <w:style w:type="paragraph" w:customStyle="1" w:styleId="xl247">
    <w:name w:val="xl247"/>
    <w:basedOn w:val="Normal"/>
    <w:rsid w:val="00EC123B"/>
    <w:pPr>
      <w:pBdr>
        <w:bottom w:val="single" w:sz="4" w:space="0" w:color="auto"/>
        <w:right w:val="double" w:sz="6" w:space="0" w:color="auto"/>
      </w:pBdr>
      <w:spacing w:before="100" w:beforeAutospacing="1" w:after="100" w:afterAutospacing="1"/>
      <w:jc w:val="left"/>
    </w:pPr>
    <w:rPr>
      <w:sz w:val="24"/>
      <w:szCs w:val="24"/>
      <w:lang w:eastAsia="zh-CN"/>
    </w:rPr>
  </w:style>
  <w:style w:type="paragraph" w:customStyle="1" w:styleId="xl248">
    <w:name w:val="xl248"/>
    <w:basedOn w:val="Normal"/>
    <w:rsid w:val="00EC123B"/>
    <w:pPr>
      <w:pBdr>
        <w:left w:val="double" w:sz="6"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xl249">
    <w:name w:val="xl249"/>
    <w:basedOn w:val="Normal"/>
    <w:rsid w:val="00EC123B"/>
    <w:pPr>
      <w:pBdr>
        <w:left w:val="single" w:sz="4" w:space="0" w:color="auto"/>
        <w:right w:val="single" w:sz="4" w:space="0" w:color="auto"/>
      </w:pBdr>
      <w:spacing w:before="100" w:beforeAutospacing="1" w:after="100" w:afterAutospacing="1"/>
      <w:jc w:val="center"/>
      <w:textAlignment w:val="center"/>
    </w:pPr>
    <w:rPr>
      <w:sz w:val="24"/>
      <w:szCs w:val="24"/>
      <w:lang w:eastAsia="zh-CN"/>
    </w:rPr>
  </w:style>
  <w:style w:type="paragraph" w:customStyle="1" w:styleId="font13">
    <w:name w:val="font13"/>
    <w:basedOn w:val="Normal"/>
    <w:rsid w:val="00EC123B"/>
    <w:pPr>
      <w:spacing w:before="100" w:beforeAutospacing="1" w:after="100" w:afterAutospacing="1"/>
      <w:jc w:val="left"/>
    </w:pPr>
    <w:rPr>
      <w:rFonts w:ascii="Arial" w:hAnsi="Arial" w:cs="Arial"/>
      <w:color w:val="FF0000"/>
      <w:sz w:val="20"/>
      <w:szCs w:val="20"/>
      <w:lang w:eastAsia="zh-CN"/>
    </w:rPr>
  </w:style>
  <w:style w:type="paragraph" w:customStyle="1" w:styleId="font14">
    <w:name w:val="font14"/>
    <w:basedOn w:val="Normal"/>
    <w:rsid w:val="00EC123B"/>
    <w:pPr>
      <w:spacing w:before="100" w:beforeAutospacing="1" w:after="100" w:afterAutospacing="1"/>
      <w:jc w:val="left"/>
    </w:pPr>
    <w:rPr>
      <w:rFonts w:ascii="Arial" w:hAnsi="Arial" w:cs="Arial"/>
      <w:b/>
      <w:bCs/>
      <w:color w:val="FF0000"/>
      <w:sz w:val="18"/>
      <w:szCs w:val="18"/>
      <w:lang w:eastAsia="zh-CN"/>
    </w:rPr>
  </w:style>
  <w:style w:type="character" w:customStyle="1" w:styleId="BodyText3Char">
    <w:name w:val="Body Text 3 Char"/>
    <w:basedOn w:val="DefaultParagraphFont"/>
    <w:link w:val="BodyText3"/>
    <w:semiHidden/>
    <w:rsid w:val="00EC123B"/>
    <w:rPr>
      <w:sz w:val="16"/>
      <w:szCs w:val="16"/>
      <w:lang w:val="es-ES"/>
    </w:rPr>
  </w:style>
  <w:style w:type="character" w:customStyle="1" w:styleId="BodyTextIndent3Char">
    <w:name w:val="Body Text Indent 3 Char"/>
    <w:basedOn w:val="DefaultParagraphFont"/>
    <w:link w:val="BodyTextIndent3"/>
    <w:semiHidden/>
    <w:rsid w:val="00EC123B"/>
    <w:rPr>
      <w:sz w:val="16"/>
      <w:szCs w:val="16"/>
      <w:lang w:val="es-ES"/>
    </w:rPr>
  </w:style>
  <w:style w:type="character" w:customStyle="1" w:styleId="PlainTextChar">
    <w:name w:val="Plain Text Char"/>
    <w:basedOn w:val="DefaultParagraphFont"/>
    <w:link w:val="PlainText"/>
    <w:semiHidden/>
    <w:rsid w:val="00EC123B"/>
    <w:rPr>
      <w:rFonts w:ascii="Courier New" w:hAnsi="Courier New" w:cs="Courier New"/>
      <w:szCs w:val="22"/>
      <w:lang w:val="es-ES"/>
    </w:rPr>
  </w:style>
  <w:style w:type="character" w:customStyle="1" w:styleId="SubtitleChar">
    <w:name w:val="Subtitle Char"/>
    <w:basedOn w:val="DefaultParagraphFont"/>
    <w:link w:val="Subtitle"/>
    <w:rsid w:val="00EC123B"/>
    <w:rPr>
      <w:rFonts w:ascii="Arial" w:hAnsi="Arial" w:cs="Arial"/>
      <w:sz w:val="22"/>
      <w:szCs w:val="22"/>
      <w:lang w:val="es-ES"/>
    </w:rPr>
  </w:style>
  <w:style w:type="character" w:customStyle="1" w:styleId="TitleChar">
    <w:name w:val="Title Char"/>
    <w:basedOn w:val="DefaultParagraphFont"/>
    <w:link w:val="Title"/>
    <w:rsid w:val="00EC123B"/>
    <w:rPr>
      <w:rFonts w:ascii="Arial" w:hAnsi="Arial" w:cs="Arial"/>
      <w:b/>
      <w:bCs/>
      <w:kern w:val="28"/>
      <w:sz w:val="22"/>
      <w:szCs w:val="22"/>
      <w:lang w:val="es-ES"/>
    </w:rPr>
  </w:style>
  <w:style w:type="character" w:customStyle="1" w:styleId="DateChar">
    <w:name w:val="Date Char"/>
    <w:basedOn w:val="DefaultParagraphFont"/>
    <w:link w:val="Date"/>
    <w:rsid w:val="00EC123B"/>
    <w:rPr>
      <w:sz w:val="22"/>
      <w:szCs w:val="22"/>
      <w:lang w:val="es-ES"/>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rsid w:val="00EC123B"/>
    <w:rPr>
      <w:sz w:val="22"/>
      <w:szCs w:val="22"/>
      <w:lang w:val="es-ES"/>
    </w:rPr>
  </w:style>
  <w:style w:type="paragraph" w:customStyle="1" w:styleId="Default">
    <w:name w:val="Default"/>
    <w:rsid w:val="00EC123B"/>
    <w:pPr>
      <w:widowControl w:val="0"/>
      <w:autoSpaceDE w:val="0"/>
      <w:autoSpaceDN w:val="0"/>
      <w:adjustRightInd w:val="0"/>
    </w:pPr>
    <w:rPr>
      <w:color w:val="000000"/>
      <w:sz w:val="24"/>
      <w:szCs w:val="24"/>
    </w:rPr>
  </w:style>
  <w:style w:type="paragraph" w:customStyle="1" w:styleId="CM30">
    <w:name w:val="CM30"/>
    <w:basedOn w:val="Default"/>
    <w:next w:val="Default"/>
    <w:rsid w:val="00EC123B"/>
    <w:pPr>
      <w:spacing w:after="320"/>
    </w:pPr>
    <w:rPr>
      <w:color w:val="auto"/>
    </w:rPr>
  </w:style>
  <w:style w:type="paragraph" w:customStyle="1" w:styleId="CM33">
    <w:name w:val="CM33"/>
    <w:basedOn w:val="Default"/>
    <w:next w:val="Default"/>
    <w:rsid w:val="00EC123B"/>
    <w:pPr>
      <w:spacing w:after="435"/>
    </w:pPr>
    <w:rPr>
      <w:color w:val="auto"/>
    </w:rPr>
  </w:style>
  <w:style w:type="paragraph" w:customStyle="1" w:styleId="Anxhead">
    <w:name w:val="Anx head"/>
    <w:basedOn w:val="Normal"/>
    <w:link w:val="AnxheadChar"/>
    <w:rsid w:val="00EC123B"/>
    <w:pPr>
      <w:jc w:val="left"/>
    </w:pPr>
    <w:rPr>
      <w:b/>
      <w:bCs/>
      <w:sz w:val="28"/>
    </w:rPr>
  </w:style>
  <w:style w:type="character" w:customStyle="1" w:styleId="AnxheadChar">
    <w:name w:val="Anx head Char"/>
    <w:link w:val="Anxhead"/>
    <w:rsid w:val="00EC123B"/>
    <w:rPr>
      <w:b/>
      <w:bCs/>
      <w:sz w:val="28"/>
      <w:szCs w:val="22"/>
      <w:lang w:val="es-ES"/>
    </w:rPr>
  </w:style>
  <w:style w:type="paragraph" w:styleId="ListBullet5">
    <w:name w:val="List Bullet 5"/>
    <w:basedOn w:val="Normal"/>
    <w:autoRedefine/>
    <w:semiHidden/>
    <w:rsid w:val="00EC123B"/>
    <w:pPr>
      <w:tabs>
        <w:tab w:val="num" w:pos="1800"/>
      </w:tabs>
      <w:ind w:left="1800" w:hanging="360"/>
    </w:pPr>
  </w:style>
  <w:style w:type="paragraph" w:customStyle="1" w:styleId="CM28">
    <w:name w:val="CM28"/>
    <w:basedOn w:val="Default"/>
    <w:next w:val="Default"/>
    <w:rsid w:val="00EC123B"/>
    <w:pPr>
      <w:spacing w:after="223"/>
    </w:pPr>
    <w:rPr>
      <w:color w:val="auto"/>
    </w:rPr>
  </w:style>
  <w:style w:type="paragraph" w:customStyle="1" w:styleId="Subtitle0">
    <w:name w:val="Sub title"/>
    <w:basedOn w:val="Heading2"/>
    <w:rsid w:val="00EC123B"/>
    <w:pPr>
      <w:keepNext/>
      <w:widowControl/>
      <w:numPr>
        <w:ilvl w:val="0"/>
        <w:numId w:val="0"/>
      </w:numPr>
      <w:tabs>
        <w:tab w:val="num" w:pos="0"/>
      </w:tabs>
      <w:spacing w:before="240" w:after="60"/>
    </w:pPr>
    <w:rPr>
      <w:rFonts w:ascii="Arial" w:hAnsi="Arial" w:cs="Arial"/>
      <w:b/>
      <w:bCs/>
      <w:i/>
      <w:iCs/>
      <w:sz w:val="28"/>
      <w:szCs w:val="28"/>
    </w:rPr>
  </w:style>
  <w:style w:type="numbering" w:customStyle="1" w:styleId="CurrentList1">
    <w:name w:val="Current List1"/>
    <w:rsid w:val="00EC123B"/>
    <w:pPr>
      <w:numPr>
        <w:numId w:val="8"/>
      </w:numPr>
    </w:pPr>
  </w:style>
  <w:style w:type="paragraph" w:customStyle="1" w:styleId="Title2">
    <w:name w:val="Title2"/>
    <w:rsid w:val="00EC123B"/>
    <w:pPr>
      <w:jc w:val="center"/>
      <w:outlineLvl w:val="0"/>
    </w:pPr>
    <w:rPr>
      <w:b/>
      <w:caps/>
      <w:sz w:val="22"/>
      <w:szCs w:val="22"/>
    </w:rPr>
  </w:style>
  <w:style w:type="paragraph" w:styleId="BodyText">
    <w:name w:val="Body Text"/>
    <w:basedOn w:val="Normal"/>
    <w:link w:val="BodyTextChar"/>
    <w:semiHidden/>
    <w:rsid w:val="00EC123B"/>
    <w:pPr>
      <w:spacing w:after="120"/>
    </w:pPr>
  </w:style>
  <w:style w:type="character" w:customStyle="1" w:styleId="BodyTextChar">
    <w:name w:val="Body Text Char"/>
    <w:basedOn w:val="DefaultParagraphFont"/>
    <w:link w:val="BodyText"/>
    <w:semiHidden/>
    <w:rsid w:val="00EC123B"/>
    <w:rPr>
      <w:sz w:val="22"/>
      <w:szCs w:val="22"/>
      <w:lang w:val="es-ES"/>
    </w:rPr>
  </w:style>
  <w:style w:type="paragraph" w:styleId="BodyText2">
    <w:name w:val="Body Text 2"/>
    <w:basedOn w:val="Normal"/>
    <w:link w:val="BodyText2Char"/>
    <w:semiHidden/>
    <w:rsid w:val="00EC123B"/>
    <w:pPr>
      <w:spacing w:after="120" w:line="480" w:lineRule="auto"/>
    </w:pPr>
  </w:style>
  <w:style w:type="character" w:customStyle="1" w:styleId="BodyText2Char">
    <w:name w:val="Body Text 2 Char"/>
    <w:basedOn w:val="DefaultParagraphFont"/>
    <w:link w:val="BodyText2"/>
    <w:semiHidden/>
    <w:rsid w:val="00EC123B"/>
    <w:rPr>
      <w:sz w:val="22"/>
      <w:szCs w:val="22"/>
      <w:lang w:val="es-ES"/>
    </w:rPr>
  </w:style>
  <w:style w:type="paragraph" w:styleId="BodyTextFirstIndent">
    <w:name w:val="Body Text First Indent"/>
    <w:basedOn w:val="BodyText"/>
    <w:link w:val="BodyTextFirstIndentChar"/>
    <w:rsid w:val="00EC123B"/>
    <w:pPr>
      <w:ind w:firstLine="210"/>
    </w:pPr>
  </w:style>
  <w:style w:type="character" w:customStyle="1" w:styleId="BodyTextFirstIndentChar">
    <w:name w:val="Body Text First Indent Char"/>
    <w:basedOn w:val="BodyTextChar"/>
    <w:link w:val="BodyTextFirstIndent"/>
    <w:rsid w:val="00EC123B"/>
    <w:rPr>
      <w:sz w:val="22"/>
      <w:szCs w:val="22"/>
      <w:lang w:val="es-ES"/>
    </w:rPr>
  </w:style>
  <w:style w:type="paragraph" w:styleId="BodyTextIndent">
    <w:name w:val="Body Text Indent"/>
    <w:basedOn w:val="Normal"/>
    <w:link w:val="BodyTextIndentChar"/>
    <w:semiHidden/>
    <w:rsid w:val="00EC123B"/>
    <w:pPr>
      <w:spacing w:after="120"/>
      <w:ind w:left="360"/>
    </w:pPr>
  </w:style>
  <w:style w:type="character" w:customStyle="1" w:styleId="BodyTextIndentChar">
    <w:name w:val="Body Text Indent Char"/>
    <w:basedOn w:val="DefaultParagraphFont"/>
    <w:link w:val="BodyTextIndent"/>
    <w:semiHidden/>
    <w:rsid w:val="00EC123B"/>
    <w:rPr>
      <w:sz w:val="22"/>
      <w:szCs w:val="22"/>
      <w:lang w:val="es-ES"/>
    </w:rPr>
  </w:style>
  <w:style w:type="paragraph" w:styleId="BodyTextFirstIndent2">
    <w:name w:val="Body Text First Indent 2"/>
    <w:basedOn w:val="BodyTextIndent"/>
    <w:link w:val="BodyTextFirstIndent2Char"/>
    <w:semiHidden/>
    <w:rsid w:val="00EC123B"/>
    <w:pPr>
      <w:ind w:firstLine="210"/>
    </w:pPr>
  </w:style>
  <w:style w:type="character" w:customStyle="1" w:styleId="BodyTextFirstIndent2Char">
    <w:name w:val="Body Text First Indent 2 Char"/>
    <w:basedOn w:val="BodyTextIndentChar"/>
    <w:link w:val="BodyTextFirstIndent2"/>
    <w:semiHidden/>
    <w:rsid w:val="00EC123B"/>
    <w:rPr>
      <w:sz w:val="22"/>
      <w:szCs w:val="22"/>
      <w:lang w:val="es-ES"/>
    </w:rPr>
  </w:style>
  <w:style w:type="paragraph" w:styleId="BodyTextIndent2">
    <w:name w:val="Body Text Indent 2"/>
    <w:basedOn w:val="Normal"/>
    <w:link w:val="BodyTextIndent2Char"/>
    <w:semiHidden/>
    <w:rsid w:val="00EC123B"/>
    <w:pPr>
      <w:spacing w:after="120" w:line="480" w:lineRule="auto"/>
      <w:ind w:left="360"/>
    </w:pPr>
  </w:style>
  <w:style w:type="character" w:customStyle="1" w:styleId="BodyTextIndent2Char">
    <w:name w:val="Body Text Indent 2 Char"/>
    <w:basedOn w:val="DefaultParagraphFont"/>
    <w:link w:val="BodyTextIndent2"/>
    <w:semiHidden/>
    <w:rsid w:val="00EC123B"/>
    <w:rPr>
      <w:sz w:val="22"/>
      <w:szCs w:val="22"/>
      <w:lang w:val="es-ES"/>
    </w:rPr>
  </w:style>
  <w:style w:type="paragraph" w:styleId="Closing">
    <w:name w:val="Closing"/>
    <w:basedOn w:val="Normal"/>
    <w:link w:val="ClosingChar"/>
    <w:semiHidden/>
    <w:rsid w:val="00EC123B"/>
    <w:pPr>
      <w:ind w:left="4320"/>
    </w:pPr>
  </w:style>
  <w:style w:type="character" w:customStyle="1" w:styleId="ClosingChar">
    <w:name w:val="Closing Char"/>
    <w:basedOn w:val="DefaultParagraphFont"/>
    <w:link w:val="Closing"/>
    <w:semiHidden/>
    <w:rsid w:val="00EC123B"/>
    <w:rPr>
      <w:sz w:val="22"/>
      <w:szCs w:val="22"/>
      <w:lang w:val="es-ES"/>
    </w:rPr>
  </w:style>
  <w:style w:type="paragraph" w:styleId="E-mailSignature">
    <w:name w:val="E-mail Signature"/>
    <w:basedOn w:val="Normal"/>
    <w:link w:val="E-mailSignatureChar"/>
    <w:semiHidden/>
    <w:rsid w:val="00EC123B"/>
  </w:style>
  <w:style w:type="character" w:customStyle="1" w:styleId="E-mailSignatureChar">
    <w:name w:val="E-mail Signature Char"/>
    <w:basedOn w:val="DefaultParagraphFont"/>
    <w:link w:val="E-mailSignature"/>
    <w:semiHidden/>
    <w:rsid w:val="00EC123B"/>
    <w:rPr>
      <w:sz w:val="22"/>
      <w:szCs w:val="22"/>
      <w:lang w:val="es-ES"/>
    </w:rPr>
  </w:style>
  <w:style w:type="paragraph" w:styleId="EnvelopeAddress">
    <w:name w:val="envelope address"/>
    <w:basedOn w:val="Normal"/>
    <w:semiHidden/>
    <w:rsid w:val="00EC123B"/>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sid w:val="00EC123B"/>
    <w:rPr>
      <w:rFonts w:ascii="Arial" w:hAnsi="Arial" w:cs="Arial"/>
      <w:sz w:val="20"/>
    </w:rPr>
  </w:style>
  <w:style w:type="character" w:styleId="HTMLAcronym">
    <w:name w:val="HTML Acronym"/>
    <w:basedOn w:val="DefaultParagraphFont"/>
    <w:semiHidden/>
    <w:rsid w:val="00EC123B"/>
  </w:style>
  <w:style w:type="paragraph" w:styleId="HTMLAddress">
    <w:name w:val="HTML Address"/>
    <w:basedOn w:val="Normal"/>
    <w:link w:val="HTMLAddressChar"/>
    <w:semiHidden/>
    <w:rsid w:val="00EC123B"/>
    <w:rPr>
      <w:i/>
      <w:iCs/>
    </w:rPr>
  </w:style>
  <w:style w:type="character" w:customStyle="1" w:styleId="HTMLAddressChar">
    <w:name w:val="HTML Address Char"/>
    <w:basedOn w:val="DefaultParagraphFont"/>
    <w:link w:val="HTMLAddress"/>
    <w:semiHidden/>
    <w:rsid w:val="00EC123B"/>
    <w:rPr>
      <w:i/>
      <w:iCs/>
      <w:sz w:val="22"/>
      <w:szCs w:val="22"/>
      <w:lang w:val="es-ES"/>
    </w:rPr>
  </w:style>
  <w:style w:type="character" w:styleId="HTMLCite">
    <w:name w:val="HTML Cite"/>
    <w:semiHidden/>
    <w:rsid w:val="00EC123B"/>
    <w:rPr>
      <w:i/>
      <w:iCs/>
    </w:rPr>
  </w:style>
  <w:style w:type="character" w:styleId="HTMLCode">
    <w:name w:val="HTML Code"/>
    <w:semiHidden/>
    <w:rsid w:val="00EC123B"/>
    <w:rPr>
      <w:rFonts w:ascii="Courier New" w:hAnsi="Courier New" w:cs="Courier New"/>
      <w:sz w:val="20"/>
      <w:szCs w:val="20"/>
    </w:rPr>
  </w:style>
  <w:style w:type="character" w:styleId="HTMLDefinition">
    <w:name w:val="HTML Definition"/>
    <w:semiHidden/>
    <w:rsid w:val="00EC123B"/>
    <w:rPr>
      <w:i/>
      <w:iCs/>
    </w:rPr>
  </w:style>
  <w:style w:type="character" w:styleId="HTMLKeyboard">
    <w:name w:val="HTML Keyboard"/>
    <w:semiHidden/>
    <w:rsid w:val="00EC123B"/>
    <w:rPr>
      <w:rFonts w:ascii="Courier New" w:hAnsi="Courier New" w:cs="Courier New"/>
      <w:sz w:val="20"/>
      <w:szCs w:val="20"/>
    </w:rPr>
  </w:style>
  <w:style w:type="paragraph" w:styleId="HTMLPreformatted">
    <w:name w:val="HTML Preformatted"/>
    <w:basedOn w:val="Normal"/>
    <w:link w:val="HTMLPreformattedChar"/>
    <w:semiHidden/>
    <w:rsid w:val="00EC123B"/>
    <w:rPr>
      <w:rFonts w:ascii="Courier New" w:hAnsi="Courier New" w:cs="Courier New"/>
      <w:sz w:val="20"/>
    </w:rPr>
  </w:style>
  <w:style w:type="character" w:customStyle="1" w:styleId="HTMLPreformattedChar">
    <w:name w:val="HTML Preformatted Char"/>
    <w:basedOn w:val="DefaultParagraphFont"/>
    <w:link w:val="HTMLPreformatted"/>
    <w:semiHidden/>
    <w:rsid w:val="00EC123B"/>
    <w:rPr>
      <w:rFonts w:ascii="Courier New" w:hAnsi="Courier New" w:cs="Courier New"/>
      <w:szCs w:val="22"/>
      <w:lang w:val="es-ES"/>
    </w:rPr>
  </w:style>
  <w:style w:type="character" w:styleId="HTMLSample">
    <w:name w:val="HTML Sample"/>
    <w:semiHidden/>
    <w:rsid w:val="00EC123B"/>
    <w:rPr>
      <w:rFonts w:ascii="Courier New" w:hAnsi="Courier New" w:cs="Courier New"/>
    </w:rPr>
  </w:style>
  <w:style w:type="character" w:styleId="HTMLTypewriter">
    <w:name w:val="HTML Typewriter"/>
    <w:semiHidden/>
    <w:rsid w:val="00EC123B"/>
    <w:rPr>
      <w:rFonts w:ascii="Courier New" w:hAnsi="Courier New" w:cs="Courier New"/>
      <w:sz w:val="20"/>
      <w:szCs w:val="20"/>
    </w:rPr>
  </w:style>
  <w:style w:type="character" w:styleId="HTMLVariable">
    <w:name w:val="HTML Variable"/>
    <w:semiHidden/>
    <w:rsid w:val="00EC123B"/>
    <w:rPr>
      <w:i/>
      <w:iCs/>
    </w:rPr>
  </w:style>
  <w:style w:type="character" w:styleId="LineNumber">
    <w:name w:val="line number"/>
    <w:basedOn w:val="DefaultParagraphFont"/>
    <w:semiHidden/>
    <w:rsid w:val="00EC123B"/>
  </w:style>
  <w:style w:type="paragraph" w:styleId="List">
    <w:name w:val="List"/>
    <w:basedOn w:val="Normal"/>
    <w:semiHidden/>
    <w:rsid w:val="00EC123B"/>
    <w:pPr>
      <w:ind w:left="360" w:hanging="360"/>
    </w:pPr>
  </w:style>
  <w:style w:type="paragraph" w:styleId="List2">
    <w:name w:val="List 2"/>
    <w:basedOn w:val="Normal"/>
    <w:semiHidden/>
    <w:rsid w:val="00EC123B"/>
    <w:pPr>
      <w:ind w:left="720" w:hanging="360"/>
    </w:pPr>
  </w:style>
  <w:style w:type="paragraph" w:styleId="List3">
    <w:name w:val="List 3"/>
    <w:basedOn w:val="Normal"/>
    <w:semiHidden/>
    <w:rsid w:val="00EC123B"/>
    <w:pPr>
      <w:ind w:left="1080" w:hanging="360"/>
    </w:pPr>
  </w:style>
  <w:style w:type="paragraph" w:styleId="List4">
    <w:name w:val="List 4"/>
    <w:basedOn w:val="Normal"/>
    <w:rsid w:val="00EC123B"/>
    <w:pPr>
      <w:ind w:left="1440" w:hanging="360"/>
    </w:pPr>
  </w:style>
  <w:style w:type="paragraph" w:styleId="List5">
    <w:name w:val="List 5"/>
    <w:basedOn w:val="Normal"/>
    <w:rsid w:val="00EC123B"/>
    <w:pPr>
      <w:ind w:left="1800" w:hanging="360"/>
    </w:pPr>
  </w:style>
  <w:style w:type="paragraph" w:styleId="ListBullet">
    <w:name w:val="List Bullet"/>
    <w:basedOn w:val="Normal"/>
    <w:autoRedefine/>
    <w:semiHidden/>
    <w:rsid w:val="00EC123B"/>
    <w:pPr>
      <w:tabs>
        <w:tab w:val="num" w:pos="360"/>
      </w:tabs>
      <w:ind w:left="360" w:hanging="360"/>
    </w:pPr>
  </w:style>
  <w:style w:type="paragraph" w:styleId="ListBullet2">
    <w:name w:val="List Bullet 2"/>
    <w:basedOn w:val="Normal"/>
    <w:autoRedefine/>
    <w:semiHidden/>
    <w:rsid w:val="00EC123B"/>
    <w:pPr>
      <w:tabs>
        <w:tab w:val="num" w:pos="720"/>
      </w:tabs>
      <w:ind w:left="720" w:hanging="360"/>
    </w:pPr>
  </w:style>
  <w:style w:type="paragraph" w:styleId="ListBullet3">
    <w:name w:val="List Bullet 3"/>
    <w:basedOn w:val="Normal"/>
    <w:autoRedefine/>
    <w:semiHidden/>
    <w:rsid w:val="00EC123B"/>
    <w:pPr>
      <w:tabs>
        <w:tab w:val="num" w:pos="1080"/>
      </w:tabs>
      <w:ind w:left="1080" w:hanging="360"/>
    </w:pPr>
  </w:style>
  <w:style w:type="paragraph" w:styleId="ListBullet4">
    <w:name w:val="List Bullet 4"/>
    <w:basedOn w:val="Normal"/>
    <w:autoRedefine/>
    <w:semiHidden/>
    <w:rsid w:val="00EC123B"/>
    <w:pPr>
      <w:tabs>
        <w:tab w:val="num" w:pos="1440"/>
      </w:tabs>
      <w:ind w:left="1440" w:hanging="360"/>
    </w:pPr>
  </w:style>
  <w:style w:type="paragraph" w:styleId="ListContinue">
    <w:name w:val="List Continue"/>
    <w:basedOn w:val="Normal"/>
    <w:semiHidden/>
    <w:rsid w:val="00EC123B"/>
    <w:pPr>
      <w:spacing w:after="120"/>
      <w:ind w:left="360"/>
    </w:pPr>
  </w:style>
  <w:style w:type="paragraph" w:styleId="ListContinue2">
    <w:name w:val="List Continue 2"/>
    <w:basedOn w:val="Normal"/>
    <w:semiHidden/>
    <w:rsid w:val="00EC123B"/>
    <w:pPr>
      <w:spacing w:after="120"/>
      <w:ind w:left="720"/>
    </w:pPr>
  </w:style>
  <w:style w:type="paragraph" w:styleId="ListContinue3">
    <w:name w:val="List Continue 3"/>
    <w:basedOn w:val="Normal"/>
    <w:semiHidden/>
    <w:rsid w:val="00EC123B"/>
    <w:pPr>
      <w:spacing w:after="120"/>
      <w:ind w:left="1080"/>
    </w:pPr>
  </w:style>
  <w:style w:type="paragraph" w:styleId="ListContinue4">
    <w:name w:val="List Continue 4"/>
    <w:basedOn w:val="Normal"/>
    <w:semiHidden/>
    <w:rsid w:val="00EC123B"/>
    <w:pPr>
      <w:spacing w:after="120"/>
      <w:ind w:left="1440"/>
    </w:pPr>
  </w:style>
  <w:style w:type="paragraph" w:styleId="ListContinue5">
    <w:name w:val="List Continue 5"/>
    <w:basedOn w:val="Normal"/>
    <w:semiHidden/>
    <w:rsid w:val="00EC123B"/>
    <w:pPr>
      <w:spacing w:after="120"/>
      <w:ind w:left="1800"/>
    </w:pPr>
  </w:style>
  <w:style w:type="paragraph" w:styleId="ListNumber">
    <w:name w:val="List Number"/>
    <w:basedOn w:val="Normal"/>
    <w:rsid w:val="00EC123B"/>
    <w:pPr>
      <w:tabs>
        <w:tab w:val="num" w:pos="360"/>
      </w:tabs>
      <w:ind w:left="360" w:hanging="360"/>
    </w:pPr>
  </w:style>
  <w:style w:type="paragraph" w:styleId="ListNumber2">
    <w:name w:val="List Number 2"/>
    <w:basedOn w:val="Normal"/>
    <w:semiHidden/>
    <w:rsid w:val="00EC123B"/>
    <w:pPr>
      <w:tabs>
        <w:tab w:val="num" w:pos="720"/>
      </w:tabs>
      <w:ind w:left="720" w:hanging="360"/>
    </w:pPr>
  </w:style>
  <w:style w:type="paragraph" w:styleId="ListNumber3">
    <w:name w:val="List Number 3"/>
    <w:basedOn w:val="Normal"/>
    <w:semiHidden/>
    <w:rsid w:val="00EC123B"/>
    <w:pPr>
      <w:tabs>
        <w:tab w:val="num" w:pos="1080"/>
      </w:tabs>
      <w:ind w:left="1080" w:hanging="360"/>
    </w:pPr>
  </w:style>
  <w:style w:type="paragraph" w:styleId="ListNumber4">
    <w:name w:val="List Number 4"/>
    <w:basedOn w:val="Normal"/>
    <w:semiHidden/>
    <w:rsid w:val="00EC123B"/>
    <w:pPr>
      <w:tabs>
        <w:tab w:val="num" w:pos="1440"/>
      </w:tabs>
      <w:ind w:left="1440" w:hanging="360"/>
    </w:pPr>
  </w:style>
  <w:style w:type="paragraph" w:styleId="ListNumber5">
    <w:name w:val="List Number 5"/>
    <w:basedOn w:val="Normal"/>
    <w:semiHidden/>
    <w:rsid w:val="00EC123B"/>
    <w:pPr>
      <w:tabs>
        <w:tab w:val="num" w:pos="1800"/>
      </w:tabs>
      <w:ind w:left="1800" w:hanging="360"/>
    </w:pPr>
  </w:style>
  <w:style w:type="paragraph" w:styleId="MessageHeader">
    <w:name w:val="Message Header"/>
    <w:basedOn w:val="Normal"/>
    <w:link w:val="MessageHeaderChar"/>
    <w:semiHidden/>
    <w:rsid w:val="00EC123B"/>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character" w:customStyle="1" w:styleId="MessageHeaderChar">
    <w:name w:val="Message Header Char"/>
    <w:basedOn w:val="DefaultParagraphFont"/>
    <w:link w:val="MessageHeader"/>
    <w:semiHidden/>
    <w:rsid w:val="00EC123B"/>
    <w:rPr>
      <w:rFonts w:ascii="Arial" w:hAnsi="Arial" w:cs="Arial"/>
      <w:sz w:val="22"/>
      <w:szCs w:val="24"/>
      <w:shd w:val="pct20" w:color="auto" w:fill="auto"/>
      <w:lang w:val="es-ES"/>
    </w:rPr>
  </w:style>
  <w:style w:type="paragraph" w:styleId="NormalIndent">
    <w:name w:val="Normal Indent"/>
    <w:basedOn w:val="Normal"/>
    <w:semiHidden/>
    <w:rsid w:val="00EC123B"/>
    <w:pPr>
      <w:ind w:left="720"/>
    </w:pPr>
  </w:style>
  <w:style w:type="paragraph" w:styleId="NoteHeading">
    <w:name w:val="Note Heading"/>
    <w:basedOn w:val="Normal"/>
    <w:next w:val="Normal"/>
    <w:link w:val="NoteHeadingChar"/>
    <w:semiHidden/>
    <w:rsid w:val="00EC123B"/>
  </w:style>
  <w:style w:type="character" w:customStyle="1" w:styleId="NoteHeadingChar">
    <w:name w:val="Note Heading Char"/>
    <w:basedOn w:val="DefaultParagraphFont"/>
    <w:link w:val="NoteHeading"/>
    <w:semiHidden/>
    <w:rsid w:val="00EC123B"/>
    <w:rPr>
      <w:sz w:val="22"/>
      <w:szCs w:val="22"/>
      <w:lang w:val="es-ES"/>
    </w:rPr>
  </w:style>
  <w:style w:type="paragraph" w:styleId="Salutation">
    <w:name w:val="Salutation"/>
    <w:basedOn w:val="Normal"/>
    <w:next w:val="Normal"/>
    <w:link w:val="SalutationChar"/>
    <w:rsid w:val="00EC123B"/>
  </w:style>
  <w:style w:type="character" w:customStyle="1" w:styleId="SalutationChar">
    <w:name w:val="Salutation Char"/>
    <w:basedOn w:val="DefaultParagraphFont"/>
    <w:link w:val="Salutation"/>
    <w:rsid w:val="00EC123B"/>
    <w:rPr>
      <w:sz w:val="22"/>
      <w:szCs w:val="22"/>
      <w:lang w:val="es-ES"/>
    </w:rPr>
  </w:style>
  <w:style w:type="paragraph" w:styleId="Signature">
    <w:name w:val="Signature"/>
    <w:basedOn w:val="Normal"/>
    <w:link w:val="SignatureChar"/>
    <w:semiHidden/>
    <w:rsid w:val="00EC123B"/>
    <w:pPr>
      <w:ind w:left="4320"/>
    </w:pPr>
  </w:style>
  <w:style w:type="character" w:customStyle="1" w:styleId="SignatureChar">
    <w:name w:val="Signature Char"/>
    <w:basedOn w:val="DefaultParagraphFont"/>
    <w:link w:val="Signature"/>
    <w:semiHidden/>
    <w:rsid w:val="00EC123B"/>
    <w:rPr>
      <w:sz w:val="22"/>
      <w:szCs w:val="22"/>
      <w:lang w:val="es-ES"/>
    </w:rPr>
  </w:style>
  <w:style w:type="character" w:styleId="Strong">
    <w:name w:val="Strong"/>
    <w:qFormat/>
    <w:rsid w:val="00EC123B"/>
    <w:rPr>
      <w:b/>
      <w:bCs/>
    </w:rPr>
  </w:style>
  <w:style w:type="paragraph" w:customStyle="1" w:styleId="Level3">
    <w:name w:val="Level3"/>
    <w:basedOn w:val="Normal"/>
    <w:autoRedefine/>
    <w:rsid w:val="00EC123B"/>
    <w:pPr>
      <w:numPr>
        <w:numId w:val="9"/>
      </w:numPr>
      <w:tabs>
        <w:tab w:val="left" w:pos="578"/>
      </w:tabs>
      <w:spacing w:after="240" w:line="288" w:lineRule="auto"/>
      <w:jc w:val="left"/>
    </w:pPr>
    <w:rPr>
      <w:szCs w:val="20"/>
    </w:rPr>
  </w:style>
  <w:style w:type="paragraph" w:customStyle="1" w:styleId="Paralevel1">
    <w:name w:val="Para level1"/>
    <w:basedOn w:val="Normal"/>
    <w:link w:val="Paralevel1Char"/>
    <w:autoRedefine/>
    <w:uiPriority w:val="99"/>
    <w:rsid w:val="00EC123B"/>
    <w:pPr>
      <w:suppressAutoHyphens/>
      <w:spacing w:after="240"/>
      <w:jc w:val="right"/>
    </w:pPr>
    <w:rPr>
      <w:b/>
      <w:bCs/>
    </w:rPr>
  </w:style>
  <w:style w:type="character" w:customStyle="1" w:styleId="Paralevel1Char">
    <w:name w:val="Para level1 Char"/>
    <w:link w:val="Paralevel1"/>
    <w:uiPriority w:val="99"/>
    <w:rsid w:val="00EC123B"/>
    <w:rPr>
      <w:b/>
      <w:bCs/>
      <w:sz w:val="22"/>
      <w:szCs w:val="22"/>
      <w:lang w:val="es-ES"/>
    </w:rPr>
  </w:style>
  <w:style w:type="character" w:customStyle="1" w:styleId="Heading3Char3CharCharChar">
    <w:name w:val="Heading 3 Char3 Char Char Char"/>
    <w:rsid w:val="00EC123B"/>
    <w:rPr>
      <w:sz w:val="22"/>
      <w:szCs w:val="22"/>
      <w:lang w:val="es-ES" w:eastAsia="en-US" w:bidi="ar-SA"/>
    </w:rPr>
  </w:style>
  <w:style w:type="character" w:customStyle="1" w:styleId="Normal-poolChar">
    <w:name w:val="Normal-pool Char"/>
    <w:link w:val="Normal-pool"/>
    <w:locked/>
    <w:rsid w:val="00EC123B"/>
    <w:rPr>
      <w:lang w:val="es-ES"/>
    </w:rPr>
  </w:style>
  <w:style w:type="character" w:customStyle="1" w:styleId="bumpedfont15">
    <w:name w:val="bumpedfont15"/>
    <w:basedOn w:val="DefaultParagraphFont"/>
    <w:rsid w:val="00EC123B"/>
  </w:style>
  <w:style w:type="table" w:customStyle="1" w:styleId="Table3Deffects11">
    <w:name w:val="Table 3D effects 11"/>
    <w:basedOn w:val="TableNormal"/>
    <w:next w:val="Table3Deffects1"/>
    <w:semiHidden/>
    <w:rsid w:val="00EC123B"/>
    <w:pPr>
      <w:jc w:val="both"/>
    </w:pPr>
    <w:rPr>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3Deffects21">
    <w:name w:val="Table 3D effects 21"/>
    <w:basedOn w:val="TableNormal"/>
    <w:next w:val="Table3Deffects2"/>
    <w:semiHidden/>
    <w:rsid w:val="00EC123B"/>
    <w:pPr>
      <w:jc w:val="both"/>
    </w:pPr>
    <w:rPr>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3Deffects31">
    <w:name w:val="Table 3D effects 31"/>
    <w:basedOn w:val="TableNormal"/>
    <w:next w:val="Table3Deffects3"/>
    <w:semiHidden/>
    <w:rsid w:val="00EC123B"/>
    <w:pPr>
      <w:jc w:val="both"/>
    </w:pPr>
    <w:rPr>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
    <w:name w:val="Table Classic 11"/>
    <w:basedOn w:val="TableNormal"/>
    <w:next w:val="TableClassic1"/>
    <w:semiHidden/>
    <w:rsid w:val="00EC123B"/>
    <w:pPr>
      <w:jc w:val="both"/>
    </w:pPr>
    <w:rPr>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21">
    <w:name w:val="Table Classic 21"/>
    <w:basedOn w:val="TableNormal"/>
    <w:next w:val="TableClassic2"/>
    <w:semiHidden/>
    <w:rsid w:val="00EC123B"/>
    <w:pPr>
      <w:jc w:val="both"/>
    </w:pPr>
    <w:rPr>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eClassic31">
    <w:name w:val="Table Classic 31"/>
    <w:basedOn w:val="TableNormal"/>
    <w:next w:val="TableClassic3"/>
    <w:semiHidden/>
    <w:rsid w:val="00EC123B"/>
    <w:pPr>
      <w:jc w:val="both"/>
    </w:pPr>
    <w:rPr>
      <w:color w:val="00008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eClassic41">
    <w:name w:val="Table Classic 41"/>
    <w:basedOn w:val="TableNormal"/>
    <w:next w:val="TableClassic4"/>
    <w:semiHidden/>
    <w:rsid w:val="00EC123B"/>
    <w:pPr>
      <w:jc w:val="both"/>
    </w:pPr>
    <w:rPr>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eColorful11">
    <w:name w:val="Table Colorful 11"/>
    <w:basedOn w:val="TableNormal"/>
    <w:next w:val="TableColorful1"/>
    <w:semiHidden/>
    <w:rsid w:val="00EC123B"/>
    <w:pPr>
      <w:jc w:val="both"/>
    </w:pPr>
    <w:rPr>
      <w:color w:val="FFFFFF"/>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21">
    <w:name w:val="Table Colorful 21"/>
    <w:basedOn w:val="TableNormal"/>
    <w:next w:val="TableColorful2"/>
    <w:semiHidden/>
    <w:rsid w:val="00EC123B"/>
    <w:pPr>
      <w:jc w:val="both"/>
    </w:pPr>
    <w:rPr>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eColorful31">
    <w:name w:val="Table Colorful 31"/>
    <w:basedOn w:val="TableNormal"/>
    <w:next w:val="TableColorful3"/>
    <w:semiHidden/>
    <w:rsid w:val="00EC123B"/>
    <w:pPr>
      <w:jc w:val="both"/>
    </w:pPr>
    <w:rPr>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eColumns11">
    <w:name w:val="Table Columns 11"/>
    <w:basedOn w:val="TableNormal"/>
    <w:next w:val="TableColumns1"/>
    <w:semiHidden/>
    <w:rsid w:val="00EC123B"/>
    <w:pPr>
      <w:jc w:val="both"/>
    </w:pPr>
    <w:rPr>
      <w:b/>
      <w:bCs/>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21">
    <w:name w:val="Table Columns 21"/>
    <w:basedOn w:val="TableNormal"/>
    <w:next w:val="TableColumns2"/>
    <w:semiHidden/>
    <w:rsid w:val="00EC123B"/>
    <w:pPr>
      <w:jc w:val="both"/>
    </w:pPr>
    <w:rPr>
      <w:b/>
      <w:bCs/>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olumns31">
    <w:name w:val="Table Columns 31"/>
    <w:basedOn w:val="TableNormal"/>
    <w:next w:val="TableColumns3"/>
    <w:semiHidden/>
    <w:rsid w:val="00EC123B"/>
    <w:pPr>
      <w:jc w:val="both"/>
    </w:pPr>
    <w:rPr>
      <w:b/>
      <w:bCs/>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eColumns41">
    <w:name w:val="Table Columns 41"/>
    <w:basedOn w:val="TableNormal"/>
    <w:next w:val="TableColumns4"/>
    <w:semiHidden/>
    <w:rsid w:val="00EC123B"/>
    <w:pPr>
      <w:jc w:val="both"/>
    </w:pPr>
    <w:rPr>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eColumns51">
    <w:name w:val="Table Columns 51"/>
    <w:basedOn w:val="TableNormal"/>
    <w:next w:val="TableColumns5"/>
    <w:semiHidden/>
    <w:rsid w:val="00EC123B"/>
    <w:pPr>
      <w:jc w:val="both"/>
    </w:pPr>
    <w:rPr>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eContemporary1">
    <w:name w:val="Table Contemporary1"/>
    <w:basedOn w:val="TableNormal"/>
    <w:next w:val="TableContemporary"/>
    <w:semiHidden/>
    <w:rsid w:val="00EC123B"/>
    <w:pPr>
      <w:jc w:val="both"/>
    </w:pPr>
    <w:rPr>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eElegant1">
    <w:name w:val="Table Elegant1"/>
    <w:basedOn w:val="TableNormal"/>
    <w:next w:val="TableElegant"/>
    <w:semiHidden/>
    <w:rsid w:val="00EC123B"/>
    <w:pPr>
      <w:jc w:val="both"/>
    </w:pPr>
    <w:rPr>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leGrid10">
    <w:name w:val="Table Grid1"/>
    <w:basedOn w:val="TableNormal"/>
    <w:next w:val="TableGrid"/>
    <w:rsid w:val="00EC123B"/>
    <w:pPr>
      <w:jc w:val="both"/>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 11"/>
    <w:basedOn w:val="TableNormal"/>
    <w:next w:val="TableGrid1"/>
    <w:semiHidden/>
    <w:rsid w:val="00EC123B"/>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eGrid21">
    <w:name w:val="Table Grid 21"/>
    <w:basedOn w:val="TableNormal"/>
    <w:next w:val="TableGrid2"/>
    <w:semiHidden/>
    <w:rsid w:val="00EC123B"/>
    <w:pPr>
      <w:jc w:val="both"/>
    </w:pPr>
    <w:rPr>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31">
    <w:name w:val="Table Grid 31"/>
    <w:basedOn w:val="TableNormal"/>
    <w:next w:val="TableGrid3"/>
    <w:semiHidden/>
    <w:rsid w:val="00EC123B"/>
    <w:pPr>
      <w:jc w:val="both"/>
    </w:pPr>
    <w:rPr>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eGrid41">
    <w:name w:val="Table Grid 41"/>
    <w:basedOn w:val="TableNormal"/>
    <w:next w:val="TableGrid4"/>
    <w:semiHidden/>
    <w:rsid w:val="00EC123B"/>
    <w:pPr>
      <w:jc w:val="both"/>
    </w:pPr>
    <w:rPr>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eGrid51">
    <w:name w:val="Table Grid 51"/>
    <w:basedOn w:val="TableNormal"/>
    <w:next w:val="TableGrid5"/>
    <w:semiHidden/>
    <w:rsid w:val="00EC123B"/>
    <w:pPr>
      <w:jc w:val="both"/>
    </w:pPr>
    <w:rPr>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61">
    <w:name w:val="Table Grid 61"/>
    <w:basedOn w:val="TableNormal"/>
    <w:next w:val="TableGrid6"/>
    <w:semiHidden/>
    <w:rsid w:val="00EC123B"/>
    <w:pPr>
      <w:jc w:val="both"/>
    </w:pPr>
    <w:rPr>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71">
    <w:name w:val="Table Grid 71"/>
    <w:basedOn w:val="TableNormal"/>
    <w:next w:val="TableGrid7"/>
    <w:semiHidden/>
    <w:rsid w:val="00EC123B"/>
    <w:pPr>
      <w:jc w:val="both"/>
    </w:pPr>
    <w:rPr>
      <w:b/>
      <w:bCs/>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eGrid81">
    <w:name w:val="Table Grid 81"/>
    <w:basedOn w:val="TableNormal"/>
    <w:next w:val="TableGrid8"/>
    <w:semiHidden/>
    <w:rsid w:val="00EC123B"/>
    <w:pPr>
      <w:jc w:val="both"/>
    </w:pPr>
    <w:rPr>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List11">
    <w:name w:val="Table List 11"/>
    <w:basedOn w:val="TableNormal"/>
    <w:next w:val="TableList1"/>
    <w:semiHidden/>
    <w:rsid w:val="00EC123B"/>
    <w:pPr>
      <w:jc w:val="both"/>
    </w:pPr>
    <w:rPr>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21">
    <w:name w:val="Table List 21"/>
    <w:basedOn w:val="TableNormal"/>
    <w:next w:val="TableList2"/>
    <w:semiHidden/>
    <w:rsid w:val="00EC123B"/>
    <w:pPr>
      <w:jc w:val="both"/>
    </w:pPr>
    <w:rPr>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List31">
    <w:name w:val="Table List 31"/>
    <w:basedOn w:val="TableNormal"/>
    <w:next w:val="TableList3"/>
    <w:semiHidden/>
    <w:rsid w:val="00EC123B"/>
    <w:pPr>
      <w:jc w:val="both"/>
    </w:pPr>
    <w:rPr>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eList41">
    <w:name w:val="Table List 41"/>
    <w:basedOn w:val="TableNormal"/>
    <w:next w:val="TableList4"/>
    <w:semiHidden/>
    <w:rsid w:val="00EC123B"/>
    <w:pPr>
      <w:jc w:val="both"/>
    </w:pPr>
    <w:rPr>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eList51">
    <w:name w:val="Table List 51"/>
    <w:basedOn w:val="TableNormal"/>
    <w:next w:val="TableList5"/>
    <w:semiHidden/>
    <w:rsid w:val="00EC123B"/>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eList61">
    <w:name w:val="Table List 61"/>
    <w:basedOn w:val="TableNormal"/>
    <w:next w:val="TableList6"/>
    <w:semiHidden/>
    <w:rsid w:val="00EC123B"/>
    <w:pPr>
      <w:jc w:val="both"/>
    </w:pPr>
    <w:rPr>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eList71">
    <w:name w:val="Table List 71"/>
    <w:basedOn w:val="TableNormal"/>
    <w:next w:val="TableList7"/>
    <w:semiHidden/>
    <w:rsid w:val="00EC123B"/>
    <w:pPr>
      <w:jc w:val="both"/>
    </w:pPr>
    <w:rPr>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eList81">
    <w:name w:val="Table List 81"/>
    <w:basedOn w:val="TableNormal"/>
    <w:next w:val="TableList8"/>
    <w:semiHidden/>
    <w:rsid w:val="00EC123B"/>
    <w:pPr>
      <w:jc w:val="both"/>
    </w:pPr>
    <w:rPr>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eProfessional1">
    <w:name w:val="Table Professional1"/>
    <w:basedOn w:val="TableNormal"/>
    <w:next w:val="TableProfessional"/>
    <w:semiHidden/>
    <w:rsid w:val="00EC123B"/>
    <w:pPr>
      <w:jc w:val="both"/>
    </w:pPr>
    <w:rPr>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eSimple11">
    <w:name w:val="Table Simple 11"/>
    <w:basedOn w:val="TableNormal"/>
    <w:next w:val="TableSimple1"/>
    <w:semiHidden/>
    <w:rsid w:val="00EC123B"/>
    <w:pPr>
      <w:jc w:val="both"/>
    </w:pPr>
    <w:rPr>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eSimple21">
    <w:name w:val="Table Simple 21"/>
    <w:basedOn w:val="TableNormal"/>
    <w:next w:val="TableSimple2"/>
    <w:semiHidden/>
    <w:rsid w:val="00EC123B"/>
    <w:pPr>
      <w:jc w:val="both"/>
    </w:pPr>
    <w:rPr>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eSimple31">
    <w:name w:val="Table Simple 31"/>
    <w:basedOn w:val="TableNormal"/>
    <w:next w:val="TableSimple3"/>
    <w:semiHidden/>
    <w:rsid w:val="00EC123B"/>
    <w:pPr>
      <w:jc w:val="both"/>
    </w:pPr>
    <w:rPr>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eSubtle11">
    <w:name w:val="Table Subtle 11"/>
    <w:basedOn w:val="TableNormal"/>
    <w:next w:val="TableSubtle1"/>
    <w:semiHidden/>
    <w:rsid w:val="00EC123B"/>
    <w:pPr>
      <w:jc w:val="both"/>
    </w:pPr>
    <w:rPr>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Subtle21">
    <w:name w:val="Table Subtle 21"/>
    <w:basedOn w:val="TableNormal"/>
    <w:next w:val="TableSubtle2"/>
    <w:semiHidden/>
    <w:rsid w:val="00EC123B"/>
    <w:pPr>
      <w:jc w:val="both"/>
    </w:pPr>
    <w:rPr>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Theme1">
    <w:name w:val="Table Theme1"/>
    <w:basedOn w:val="TableNormal"/>
    <w:next w:val="TableTheme"/>
    <w:semiHidden/>
    <w:rsid w:val="00EC123B"/>
    <w:pPr>
      <w:jc w:val="both"/>
    </w:pPr>
    <w:rPr>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Web11">
    <w:name w:val="Table Web 11"/>
    <w:basedOn w:val="TableNormal"/>
    <w:next w:val="TableWeb1"/>
    <w:semiHidden/>
    <w:rsid w:val="00EC123B"/>
    <w:pPr>
      <w:jc w:val="both"/>
    </w:pPr>
    <w:rPr>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21">
    <w:name w:val="Table Web 21"/>
    <w:basedOn w:val="TableNormal"/>
    <w:next w:val="TableWeb2"/>
    <w:semiHidden/>
    <w:rsid w:val="00EC123B"/>
    <w:pPr>
      <w:jc w:val="both"/>
    </w:pPr>
    <w:rPr>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Web31">
    <w:name w:val="Table Web 31"/>
    <w:basedOn w:val="TableNormal"/>
    <w:next w:val="TableWeb3"/>
    <w:semiHidden/>
    <w:rsid w:val="00EC123B"/>
    <w:pPr>
      <w:jc w:val="both"/>
    </w:pPr>
    <w:rPr>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font15">
    <w:name w:val="font15"/>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6">
    <w:name w:val="font16"/>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7">
    <w:name w:val="font17"/>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18">
    <w:name w:val="font18"/>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19">
    <w:name w:val="font19"/>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0">
    <w:name w:val="font20"/>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1">
    <w:name w:val="font21"/>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2">
    <w:name w:val="font22"/>
    <w:basedOn w:val="Normal"/>
    <w:rsid w:val="00EC123B"/>
    <w:pPr>
      <w:spacing w:before="100" w:beforeAutospacing="1" w:after="100" w:afterAutospacing="1"/>
      <w:jc w:val="left"/>
    </w:pPr>
    <w:rPr>
      <w:rFonts w:ascii="Tahoma" w:hAnsi="Tahoma" w:cs="Tahoma"/>
      <w:b/>
      <w:bCs/>
      <w:color w:val="000000"/>
      <w:sz w:val="18"/>
      <w:szCs w:val="18"/>
      <w:lang w:eastAsia="en-CA"/>
    </w:rPr>
  </w:style>
  <w:style w:type="paragraph" w:customStyle="1" w:styleId="font23">
    <w:name w:val="font23"/>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StyleMarcellei">
    <w:name w:val="Style Marcelle (i)"/>
    <w:basedOn w:val="Heading3"/>
    <w:uiPriority w:val="99"/>
    <w:rsid w:val="00EC123B"/>
    <w:pPr>
      <w:numPr>
        <w:ilvl w:val="0"/>
        <w:numId w:val="0"/>
      </w:numPr>
      <w:tabs>
        <w:tab w:val="num" w:pos="0"/>
        <w:tab w:val="num" w:pos="1080"/>
      </w:tabs>
      <w:ind w:left="1080" w:hanging="360"/>
    </w:pPr>
    <w:rPr>
      <w:b/>
      <w:bCs/>
    </w:rPr>
  </w:style>
  <w:style w:type="character" w:customStyle="1" w:styleId="0Heading0Char">
    <w:name w:val="0 Heading 0 Char"/>
    <w:link w:val="0Heading0"/>
    <w:rsid w:val="00EC123B"/>
    <w:rPr>
      <w:sz w:val="22"/>
      <w:szCs w:val="22"/>
      <w:lang w:val="es-ES"/>
    </w:rPr>
  </w:style>
  <w:style w:type="paragraph" w:customStyle="1" w:styleId="Indent1">
    <w:name w:val="Indent 1"/>
    <w:basedOn w:val="Normal"/>
    <w:qFormat/>
    <w:rsid w:val="00EC123B"/>
    <w:pPr>
      <w:spacing w:after="240" w:line="360" w:lineRule="auto"/>
      <w:ind w:left="1440" w:hanging="720"/>
      <w:jc w:val="left"/>
    </w:pPr>
    <w:rPr>
      <w:sz w:val="24"/>
      <w:szCs w:val="24"/>
    </w:rPr>
  </w:style>
  <w:style w:type="paragraph" w:customStyle="1" w:styleId="msonormal0">
    <w:name w:val="msonormal"/>
    <w:basedOn w:val="Normal"/>
    <w:rsid w:val="00EC123B"/>
    <w:pPr>
      <w:spacing w:before="100" w:beforeAutospacing="1" w:after="100" w:afterAutospacing="1"/>
      <w:jc w:val="left"/>
    </w:pPr>
    <w:rPr>
      <w:sz w:val="24"/>
      <w:szCs w:val="24"/>
      <w:lang w:eastAsia="en-CA"/>
    </w:rPr>
  </w:style>
  <w:style w:type="paragraph" w:customStyle="1" w:styleId="Style3">
    <w:name w:val="Style3"/>
    <w:basedOn w:val="Heading1"/>
    <w:link w:val="Style3Char"/>
    <w:qFormat/>
    <w:rsid w:val="00EC123B"/>
    <w:pPr>
      <w:numPr>
        <w:numId w:val="0"/>
      </w:numPr>
      <w:ind w:firstLine="720"/>
    </w:pPr>
    <w:rPr>
      <w:rFonts w:eastAsiaTheme="minorEastAsia"/>
      <w:b/>
      <w:lang w:eastAsia="zh-CN"/>
    </w:rPr>
  </w:style>
  <w:style w:type="character" w:customStyle="1" w:styleId="Style3Char">
    <w:name w:val="Style3 Char"/>
    <w:basedOn w:val="Heading1Char1"/>
    <w:link w:val="Style3"/>
    <w:rsid w:val="00EC123B"/>
    <w:rPr>
      <w:rFonts w:eastAsiaTheme="minorEastAsia"/>
      <w:b/>
      <w:sz w:val="22"/>
      <w:szCs w:val="22"/>
      <w:lang w:val="es-ES" w:eastAsia="zh-CN"/>
    </w:rPr>
  </w:style>
  <w:style w:type="paragraph" w:customStyle="1" w:styleId="Style2">
    <w:name w:val="Style2"/>
    <w:basedOn w:val="Heading1"/>
    <w:link w:val="Style2Char"/>
    <w:qFormat/>
    <w:rsid w:val="00EC123B"/>
    <w:pPr>
      <w:numPr>
        <w:numId w:val="0"/>
      </w:numPr>
    </w:pPr>
    <w:rPr>
      <w:rFonts w:eastAsiaTheme="minorEastAsia"/>
      <w:b/>
      <w:lang w:eastAsia="zh-CN"/>
    </w:rPr>
  </w:style>
  <w:style w:type="character" w:customStyle="1" w:styleId="Style2Char">
    <w:name w:val="Style2 Char"/>
    <w:basedOn w:val="Heading1Char1"/>
    <w:link w:val="Style2"/>
    <w:rsid w:val="00EC123B"/>
    <w:rPr>
      <w:rFonts w:eastAsiaTheme="minorEastAsia"/>
      <w:b/>
      <w:sz w:val="22"/>
      <w:szCs w:val="22"/>
      <w:lang w:val="es-ES" w:eastAsia="zh-CN"/>
    </w:rPr>
  </w:style>
  <w:style w:type="paragraph" w:customStyle="1" w:styleId="Style1">
    <w:name w:val="Style1"/>
    <w:basedOn w:val="Heading1"/>
    <w:link w:val="Style1Char"/>
    <w:qFormat/>
    <w:rsid w:val="00EC123B"/>
    <w:pPr>
      <w:numPr>
        <w:numId w:val="0"/>
      </w:numPr>
    </w:pPr>
    <w:rPr>
      <w:rFonts w:eastAsiaTheme="minorEastAsia"/>
      <w:b/>
      <w:lang w:eastAsia="zh-CN"/>
    </w:rPr>
  </w:style>
  <w:style w:type="character" w:customStyle="1" w:styleId="Style1Char">
    <w:name w:val="Style1 Char"/>
    <w:basedOn w:val="Heading1Char1"/>
    <w:link w:val="Style1"/>
    <w:rsid w:val="00EC123B"/>
    <w:rPr>
      <w:rFonts w:eastAsiaTheme="minorEastAsia"/>
      <w:b/>
      <w:sz w:val="22"/>
      <w:szCs w:val="22"/>
      <w:lang w:val="es-ES" w:eastAsia="zh-CN"/>
    </w:rPr>
  </w:style>
  <w:style w:type="character" w:customStyle="1" w:styleId="ListParagraphChar">
    <w:name w:val="List Paragraph Char"/>
    <w:aliases w:val="(i) Indent 2 Char,List Paragraph (numbered (a)) Char Char,List Paragraph Char Char Char Char,List Paragraph (numbered (a)) Char1,Use Case List Paragraph Char,List Paragraph2 Char,Numbered List Paragraph Char,Bullet paras Char"/>
    <w:basedOn w:val="DefaultParagraphFont"/>
    <w:link w:val="ListParagraph"/>
    <w:uiPriority w:val="34"/>
    <w:rsid w:val="00EC123B"/>
    <w:rPr>
      <w:rFonts w:ascii="Calibri" w:eastAsia="Calibri" w:hAnsi="Calibri" w:cs="Arial"/>
      <w:sz w:val="22"/>
      <w:szCs w:val="22"/>
    </w:rPr>
  </w:style>
  <w:style w:type="numbering" w:customStyle="1" w:styleId="ArticleSection11">
    <w:name w:val="Article / Section11"/>
    <w:basedOn w:val="NoList"/>
    <w:next w:val="ArticleSection"/>
    <w:rsid w:val="00EC123B"/>
    <w:pPr>
      <w:numPr>
        <w:numId w:val="10"/>
      </w:numPr>
    </w:pPr>
  </w:style>
  <w:style w:type="character" w:customStyle="1" w:styleId="CH1Char">
    <w:name w:val="CH1 Char"/>
    <w:link w:val="CH1"/>
    <w:locked/>
    <w:rsid w:val="00EC123B"/>
    <w:rPr>
      <w:b/>
      <w:sz w:val="28"/>
      <w:szCs w:val="28"/>
      <w:lang w:val="es-ES"/>
    </w:rPr>
  </w:style>
  <w:style w:type="paragraph" w:customStyle="1" w:styleId="Listparagraph2">
    <w:name w:val="List paragraph 2"/>
    <w:basedOn w:val="Normal"/>
    <w:qFormat/>
    <w:rsid w:val="00EC123B"/>
    <w:pPr>
      <w:numPr>
        <w:numId w:val="12"/>
      </w:numPr>
      <w:spacing w:after="240" w:line="360" w:lineRule="auto"/>
      <w:jc w:val="left"/>
    </w:pPr>
    <w:rPr>
      <w:sz w:val="24"/>
      <w:szCs w:val="24"/>
    </w:rPr>
  </w:style>
  <w:style w:type="character" w:customStyle="1" w:styleId="normaltextrun">
    <w:name w:val="normaltextrun"/>
    <w:basedOn w:val="DefaultParagraphFont"/>
    <w:rsid w:val="00EC123B"/>
  </w:style>
  <w:style w:type="character" w:customStyle="1" w:styleId="spellingerror">
    <w:name w:val="spellingerror"/>
    <w:basedOn w:val="DefaultParagraphFont"/>
    <w:rsid w:val="00EC123B"/>
  </w:style>
  <w:style w:type="paragraph" w:customStyle="1" w:styleId="Projecthead">
    <w:name w:val="Project head"/>
    <w:basedOn w:val="Normal"/>
    <w:qFormat/>
    <w:rsid w:val="00EC123B"/>
    <w:pPr>
      <w:spacing w:after="240" w:line="360" w:lineRule="auto"/>
      <w:jc w:val="left"/>
    </w:pPr>
    <w:rPr>
      <w:i/>
      <w:sz w:val="24"/>
      <w:szCs w:val="24"/>
    </w:rPr>
  </w:style>
  <w:style w:type="paragraph" w:customStyle="1" w:styleId="letteredhead1">
    <w:name w:val="lettered head1"/>
    <w:basedOn w:val="Normal"/>
    <w:qFormat/>
    <w:rsid w:val="00EC123B"/>
    <w:pPr>
      <w:numPr>
        <w:numId w:val="13"/>
      </w:numPr>
      <w:spacing w:after="240" w:line="360" w:lineRule="auto"/>
    </w:pPr>
    <w:rPr>
      <w:sz w:val="24"/>
      <w:szCs w:val="24"/>
    </w:rPr>
  </w:style>
  <w:style w:type="paragraph" w:customStyle="1" w:styleId="font24">
    <w:name w:val="font24"/>
    <w:basedOn w:val="Normal"/>
    <w:rsid w:val="00EC123B"/>
    <w:pPr>
      <w:spacing w:before="100" w:beforeAutospacing="1" w:after="100" w:afterAutospacing="1"/>
      <w:jc w:val="left"/>
    </w:pPr>
    <w:rPr>
      <w:rFonts w:ascii="Tahoma" w:hAnsi="Tahoma" w:cs="Tahoma"/>
      <w:color w:val="000000"/>
      <w:sz w:val="18"/>
      <w:szCs w:val="18"/>
      <w:lang w:eastAsia="en-CA"/>
    </w:rPr>
  </w:style>
  <w:style w:type="paragraph" w:customStyle="1" w:styleId="font25">
    <w:name w:val="font25"/>
    <w:basedOn w:val="Normal"/>
    <w:rsid w:val="00EC123B"/>
    <w:pPr>
      <w:spacing w:before="100" w:beforeAutospacing="1" w:after="100" w:afterAutospacing="1"/>
      <w:jc w:val="left"/>
    </w:pPr>
    <w:rPr>
      <w:rFonts w:ascii="Tahoma" w:hAnsi="Tahoma" w:cs="Tahoma"/>
      <w:b/>
      <w:bCs/>
      <w:color w:val="000000"/>
      <w:sz w:val="18"/>
      <w:szCs w:val="18"/>
      <w:lang w:eastAsia="en-CA"/>
    </w:rPr>
  </w:style>
  <w:style w:type="character" w:customStyle="1" w:styleId="UnresolvedMention1">
    <w:name w:val="Unresolved Mention1"/>
    <w:basedOn w:val="DefaultParagraphFont"/>
    <w:uiPriority w:val="99"/>
    <w:semiHidden/>
    <w:unhideWhenUsed/>
    <w:rsid w:val="00D50372"/>
    <w:rPr>
      <w:color w:val="605E5C"/>
      <w:shd w:val="clear" w:color="auto" w:fill="E1DFDD"/>
    </w:rPr>
  </w:style>
  <w:style w:type="character" w:customStyle="1" w:styleId="NormalpoolChar">
    <w:name w:val="Normal_pool Char"/>
    <w:link w:val="Normalpool"/>
    <w:locked/>
    <w:rsid w:val="005222DD"/>
    <w:rPr>
      <w:lang w:val="es-ES"/>
    </w:rPr>
  </w:style>
  <w:style w:type="paragraph" w:customStyle="1" w:styleId="font26">
    <w:name w:val="font26"/>
    <w:basedOn w:val="Normal"/>
    <w:rsid w:val="00996A7B"/>
    <w:pPr>
      <w:spacing w:before="100" w:beforeAutospacing="1" w:after="100" w:afterAutospacing="1"/>
      <w:jc w:val="left"/>
    </w:pPr>
    <w:rPr>
      <w:rFonts w:ascii="Tahoma" w:hAnsi="Tahoma" w:cs="Tahoma"/>
      <w:color w:val="000000"/>
      <w:sz w:val="18"/>
      <w:szCs w:val="18"/>
      <w:lang w:eastAsia="en-CA"/>
    </w:rPr>
  </w:style>
  <w:style w:type="paragraph" w:customStyle="1" w:styleId="font27">
    <w:name w:val="font27"/>
    <w:basedOn w:val="Normal"/>
    <w:rsid w:val="00996A7B"/>
    <w:pPr>
      <w:spacing w:before="100" w:beforeAutospacing="1" w:after="100" w:afterAutospacing="1"/>
      <w:jc w:val="left"/>
    </w:pPr>
    <w:rPr>
      <w:rFonts w:ascii="Tahoma" w:hAnsi="Tahoma" w:cs="Tahoma"/>
      <w:b/>
      <w:bCs/>
      <w:color w:val="000000"/>
      <w:sz w:val="18"/>
      <w:szCs w:val="18"/>
      <w:lang w:eastAsia="en-CA"/>
    </w:rPr>
  </w:style>
  <w:style w:type="numbering" w:customStyle="1" w:styleId="CurrentList111">
    <w:name w:val="Current List111"/>
    <w:rsid w:val="00361A26"/>
    <w:pPr>
      <w:numPr>
        <w:numId w:val="14"/>
      </w:numPr>
    </w:pPr>
  </w:style>
  <w:style w:type="numbering" w:customStyle="1" w:styleId="ArticleSection12">
    <w:name w:val="Article / Section12"/>
    <w:basedOn w:val="NoList"/>
    <w:next w:val="ArticleSection"/>
    <w:semiHidden/>
    <w:rsid w:val="00361A26"/>
    <w:pPr>
      <w:numPr>
        <w:numId w:val="15"/>
      </w:numPr>
    </w:pPr>
  </w:style>
  <w:style w:type="numbering" w:customStyle="1" w:styleId="ArticleSection114">
    <w:name w:val="Article / Section114"/>
    <w:basedOn w:val="NoList"/>
    <w:next w:val="ArticleSection"/>
    <w:rsid w:val="00361A26"/>
    <w:pPr>
      <w:numPr>
        <w:numId w:val="1"/>
      </w:numPr>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91657F"/>
    <w:pPr>
      <w:spacing w:after="160" w:line="240" w:lineRule="exact"/>
    </w:pPr>
    <w:rPr>
      <w:sz w:val="20"/>
      <w:szCs w:val="20"/>
      <w:vertAlign w:val="superscript"/>
    </w:rPr>
  </w:style>
  <w:style w:type="character" w:customStyle="1" w:styleId="BBTitleChar">
    <w:name w:val="BB_Title Char"/>
    <w:link w:val="BBTitle"/>
    <w:rsid w:val="00193CCD"/>
    <w:rPr>
      <w:b/>
      <w:sz w:val="28"/>
      <w:szCs w:val="28"/>
      <w:lang w:val="es-ES"/>
    </w:rPr>
  </w:style>
  <w:style w:type="paragraph" w:customStyle="1" w:styleId="paragraph">
    <w:name w:val="paragraph"/>
    <w:basedOn w:val="Normal"/>
    <w:rsid w:val="00A048D7"/>
    <w:pPr>
      <w:spacing w:before="100" w:beforeAutospacing="1" w:after="100" w:afterAutospacing="1"/>
      <w:jc w:val="left"/>
    </w:pPr>
    <w:rPr>
      <w:sz w:val="24"/>
      <w:szCs w:val="24"/>
      <w:lang w:eastAsia="fr-FR"/>
    </w:rPr>
  </w:style>
  <w:style w:type="character" w:customStyle="1" w:styleId="eop">
    <w:name w:val="eop"/>
    <w:basedOn w:val="DefaultParagraphFont"/>
    <w:rsid w:val="00A048D7"/>
  </w:style>
  <w:style w:type="character" w:customStyle="1" w:styleId="tabchar">
    <w:name w:val="tabchar"/>
    <w:basedOn w:val="DefaultParagraphFont"/>
    <w:rsid w:val="00B01481"/>
  </w:style>
  <w:style w:type="paragraph" w:customStyle="1" w:styleId="Newheader4">
    <w:name w:val="New header 4"/>
    <w:basedOn w:val="Heading4"/>
    <w:next w:val="Normal"/>
    <w:qFormat/>
    <w:rsid w:val="001D4217"/>
    <w:pPr>
      <w:numPr>
        <w:numId w:val="4"/>
      </w:numPr>
    </w:pPr>
  </w:style>
  <w:style w:type="character" w:styleId="UnresolvedMention">
    <w:name w:val="Unresolved Mention"/>
    <w:basedOn w:val="DefaultParagraphFont"/>
    <w:uiPriority w:val="99"/>
    <w:semiHidden/>
    <w:unhideWhenUsed/>
    <w:rsid w:val="001D4217"/>
    <w:rPr>
      <w:color w:val="605E5C"/>
      <w:shd w:val="clear" w:color="auto" w:fill="E1DFDD"/>
    </w:rPr>
  </w:style>
  <w:style w:type="paragraph" w:customStyle="1" w:styleId="Underlinedheader">
    <w:name w:val="Underlined header"/>
    <w:basedOn w:val="Heading1"/>
    <w:qFormat/>
    <w:rsid w:val="001D4217"/>
    <w:pPr>
      <w:numPr>
        <w:numId w:val="0"/>
      </w:numPr>
      <w:spacing w:before="240"/>
      <w:ind w:firstLine="720"/>
    </w:pPr>
    <w:rPr>
      <w:u w:val="single"/>
    </w:rPr>
  </w:style>
  <w:style w:type="character" w:styleId="Mention">
    <w:name w:val="Mention"/>
    <w:basedOn w:val="DefaultParagraphFont"/>
    <w:uiPriority w:val="99"/>
    <w:unhideWhenUsed/>
    <w:rsid w:val="001D4217"/>
    <w:rPr>
      <w:color w:val="2B579A"/>
      <w:shd w:val="clear" w:color="auto" w:fill="E1DFDD"/>
    </w:rPr>
  </w:style>
  <w:style w:type="paragraph" w:customStyle="1" w:styleId="Listlettered">
    <w:name w:val="List lettered"/>
    <w:basedOn w:val="ListParagraph"/>
    <w:qFormat/>
    <w:rsid w:val="00F05C70"/>
    <w:pPr>
      <w:keepLines/>
      <w:widowControl w:val="0"/>
      <w:numPr>
        <w:numId w:val="17"/>
      </w:numPr>
      <w:spacing w:after="240" w:line="240" w:lineRule="auto"/>
      <w:contextualSpacing w:val="0"/>
      <w:jc w:val="both"/>
      <w:outlineLvl w:val="1"/>
    </w:pPr>
    <w:rPr>
      <w:rFonts w:ascii="Times New Roman" w:eastAsia="Times New Roman" w:hAnsi="Times New Roman" w:cs="Times New Roman"/>
    </w:rPr>
  </w:style>
  <w:style w:type="paragraph" w:customStyle="1" w:styleId="Numberedlist">
    <w:name w:val="Numbered list"/>
    <w:basedOn w:val="ListParagraph"/>
    <w:qFormat/>
    <w:rsid w:val="00D960F5"/>
    <w:pPr>
      <w:keepLines/>
      <w:widowControl w:val="0"/>
      <w:tabs>
        <w:tab w:val="num" w:pos="360"/>
      </w:tabs>
      <w:spacing w:after="240" w:line="240" w:lineRule="auto"/>
      <w:contextualSpacing w:val="0"/>
      <w:jc w:val="both"/>
      <w:outlineLvl w:val="1"/>
    </w:pPr>
    <w:rPr>
      <w:rFonts w:ascii="Times New Roman" w:eastAsia="Times New Roman" w:hAnsi="Times New Roman" w:cs="Times New Roman"/>
    </w:rPr>
  </w:style>
  <w:style w:type="paragraph" w:customStyle="1" w:styleId="Letteredlist">
    <w:name w:val="Lettered list"/>
    <w:basedOn w:val="ListParagraph"/>
    <w:qFormat/>
    <w:rsid w:val="000661B5"/>
    <w:pPr>
      <w:widowControl w:val="0"/>
      <w:numPr>
        <w:numId w:val="18"/>
      </w:numPr>
      <w:tabs>
        <w:tab w:val="num" w:pos="360"/>
      </w:tabs>
      <w:spacing w:after="240" w:line="240" w:lineRule="auto"/>
      <w:ind w:left="720" w:firstLine="0"/>
      <w:contextualSpacing w:val="0"/>
      <w:jc w:val="both"/>
      <w:outlineLvl w:val="2"/>
    </w:pPr>
    <w:rPr>
      <w:rFonts w:ascii="Times New Roman" w:eastAsia="Times New Roman" w:hAnsi="Times New Roman" w:cs="Times New Roman"/>
    </w:rPr>
  </w:style>
  <w:style w:type="paragraph" w:customStyle="1" w:styleId="newheader40">
    <w:name w:val="new header4"/>
    <w:basedOn w:val="Heading4"/>
    <w:next w:val="Normal"/>
    <w:qFormat/>
    <w:rsid w:val="00DC525E"/>
    <w:pPr>
      <w:keepNext w:val="0"/>
      <w:numPr>
        <w:ilvl w:val="0"/>
        <w:numId w:val="0"/>
      </w:numPr>
      <w:tabs>
        <w:tab w:val="num" w:pos="-90"/>
      </w:tabs>
      <w:spacing w:before="0" w:after="240"/>
      <w:ind w:left="2776" w:hanging="706"/>
    </w:pPr>
    <w:rPr>
      <w:rFonts w:eastAsiaTheme="minorEastAsia"/>
      <w:lang w:eastAsia="zh-CN"/>
    </w:rPr>
  </w:style>
  <w:style w:type="paragraph" w:customStyle="1" w:styleId="PlantillaESNormal">
    <w:name w:val="Plantilla ES Normal"/>
    <w:qFormat/>
    <w:rsid w:val="00A539A1"/>
    <w:pPr>
      <w:tabs>
        <w:tab w:val="left" w:pos="1247"/>
        <w:tab w:val="left" w:pos="1814"/>
        <w:tab w:val="left" w:pos="2381"/>
        <w:tab w:val="left" w:pos="2948"/>
        <w:tab w:val="left" w:pos="3515"/>
      </w:tabs>
    </w:pPr>
    <w:rPr>
      <w:lang w:val="en-GB"/>
    </w:rPr>
  </w:style>
  <w:style w:type="paragraph" w:customStyle="1" w:styleId="PlantillaESheading1">
    <w:name w:val="Plantilla ES heading 1"/>
    <w:basedOn w:val="PlantillaESCH1"/>
    <w:next w:val="PlantillaESNormalnumber"/>
    <w:link w:val="PlantillaESHeading1Char"/>
    <w:rsid w:val="00C20895"/>
    <w:pPr>
      <w:tabs>
        <w:tab w:val="clear" w:pos="851"/>
        <w:tab w:val="clear" w:pos="1247"/>
        <w:tab w:val="clear" w:pos="4990"/>
      </w:tabs>
      <w:ind w:left="1248" w:right="624" w:hanging="397"/>
      <w:outlineLvl w:val="0"/>
    </w:pPr>
  </w:style>
  <w:style w:type="paragraph" w:customStyle="1" w:styleId="PlantillaESheading2">
    <w:name w:val="Plantilla ES heading 2"/>
    <w:basedOn w:val="PlantillaESCH2"/>
    <w:next w:val="PlantillaESNormalnumber"/>
    <w:link w:val="PlantillaESHeading2Char"/>
    <w:rsid w:val="00C20895"/>
    <w:pPr>
      <w:tabs>
        <w:tab w:val="clear" w:pos="851"/>
        <w:tab w:val="clear" w:pos="1247"/>
        <w:tab w:val="clear" w:pos="4990"/>
      </w:tabs>
      <w:outlineLvl w:val="1"/>
    </w:pPr>
  </w:style>
  <w:style w:type="paragraph" w:customStyle="1" w:styleId="PlantillaESheading3">
    <w:name w:val="Plantilla ES heading 3"/>
    <w:basedOn w:val="PlantillaESCH3"/>
    <w:next w:val="PlantillaESNormalnumber"/>
    <w:link w:val="PlantillaESHeading3Char"/>
    <w:rsid w:val="00C20895"/>
    <w:pPr>
      <w:tabs>
        <w:tab w:val="clear" w:pos="851"/>
        <w:tab w:val="clear" w:pos="1247"/>
        <w:tab w:val="clear" w:pos="4990"/>
      </w:tabs>
      <w:outlineLvl w:val="2"/>
    </w:pPr>
  </w:style>
  <w:style w:type="paragraph" w:customStyle="1" w:styleId="PlantillaESheading4">
    <w:name w:val="Plantilla ES heading 4"/>
    <w:basedOn w:val="PlantillaESNormal"/>
    <w:next w:val="PlantillaESNormalnumber"/>
    <w:link w:val="PlantillaESHeading4Char"/>
    <w:rsid w:val="00C20895"/>
    <w:pPr>
      <w:keepNext/>
      <w:keepLines/>
      <w:tabs>
        <w:tab w:val="clear" w:pos="1247"/>
      </w:tabs>
      <w:suppressAutoHyphens/>
      <w:spacing w:before="120"/>
      <w:ind w:left="1248" w:right="624" w:hanging="397"/>
      <w:outlineLvl w:val="3"/>
    </w:pPr>
    <w:rPr>
      <w:b/>
    </w:rPr>
  </w:style>
  <w:style w:type="paragraph" w:customStyle="1" w:styleId="PlantillaESheading5">
    <w:name w:val="Plantilla ES heading 5"/>
    <w:basedOn w:val="PlantillaESCH5"/>
    <w:next w:val="PlantillaESNormalnumber"/>
    <w:link w:val="PlantillaESHeading5Char"/>
    <w:rsid w:val="00C20895"/>
    <w:pPr>
      <w:tabs>
        <w:tab w:val="clear" w:pos="851"/>
        <w:tab w:val="clear" w:pos="1247"/>
        <w:tab w:val="clear" w:pos="4990"/>
      </w:tabs>
      <w:ind w:left="1208" w:hanging="357"/>
      <w:outlineLvl w:val="4"/>
    </w:pPr>
  </w:style>
  <w:style w:type="paragraph" w:customStyle="1" w:styleId="PlantillaESheading6">
    <w:name w:val="Plantilla ES heading 6"/>
    <w:basedOn w:val="PlantillaESCH5"/>
    <w:next w:val="PlantillaESNormalnumber"/>
    <w:link w:val="PlantillaESHeading6Char"/>
    <w:semiHidden/>
    <w:rsid w:val="00C20895"/>
    <w:pPr>
      <w:tabs>
        <w:tab w:val="clear" w:pos="1247"/>
        <w:tab w:val="clear" w:pos="4990"/>
      </w:tabs>
      <w:outlineLvl w:val="5"/>
    </w:pPr>
    <w:rPr>
      <w:b w:val="0"/>
      <w:bCs/>
      <w:sz w:val="24"/>
    </w:rPr>
  </w:style>
  <w:style w:type="paragraph" w:customStyle="1" w:styleId="PlantillaESheading7">
    <w:name w:val="Plantilla ES heading 7"/>
    <w:basedOn w:val="PlantillaESCH5"/>
    <w:next w:val="PlantillaESNormalnumber"/>
    <w:link w:val="PlantillaESHeading7Char"/>
    <w:semiHidden/>
    <w:rsid w:val="00C20895"/>
    <w:pPr>
      <w:widowControl w:val="0"/>
      <w:tabs>
        <w:tab w:val="clear" w:pos="1247"/>
        <w:tab w:val="clear" w:pos="4990"/>
      </w:tabs>
      <w:jc w:val="center"/>
      <w:outlineLvl w:val="6"/>
    </w:pPr>
    <w:rPr>
      <w:snapToGrid w:val="0"/>
      <w:u w:val="single"/>
    </w:rPr>
  </w:style>
  <w:style w:type="paragraph" w:customStyle="1" w:styleId="PlantillaESheading8">
    <w:name w:val="Plantilla ES heading 8"/>
    <w:basedOn w:val="PlantillaESCH5"/>
    <w:next w:val="PlantillaESNormal"/>
    <w:link w:val="PlantillaESHeading8Char"/>
    <w:semiHidden/>
    <w:rsid w:val="00C20895"/>
    <w:pPr>
      <w:widowControl w:val="0"/>
      <w:tabs>
        <w:tab w:val="clear" w:pos="1247"/>
        <w:tab w:val="clear" w:pos="4990"/>
        <w:tab w:val="left" w:pos="-1440"/>
        <w:tab w:val="left" w:pos="-720"/>
      </w:tabs>
      <w:jc w:val="center"/>
      <w:outlineLvl w:val="7"/>
    </w:pPr>
    <w:rPr>
      <w:snapToGrid w:val="0"/>
      <w:u w:val="single"/>
    </w:rPr>
  </w:style>
  <w:style w:type="paragraph" w:customStyle="1" w:styleId="PlantillaESheading9">
    <w:name w:val="Plantilla ES heading 9"/>
    <w:basedOn w:val="PlantillaESNormal"/>
    <w:next w:val="PlantillaESNormal"/>
    <w:link w:val="PlantillaESHeading9Char"/>
    <w:semiHidden/>
    <w:rsid w:val="00C20895"/>
    <w:pPr>
      <w:keepNext/>
      <w:widowControl w:val="0"/>
      <w:tabs>
        <w:tab w:val="clear" w:pos="1247"/>
      </w:tabs>
      <w:suppressAutoHyphens/>
      <w:jc w:val="center"/>
      <w:outlineLvl w:val="8"/>
    </w:pPr>
    <w:rPr>
      <w:snapToGrid w:val="0"/>
      <w:u w:val="single"/>
    </w:rPr>
  </w:style>
  <w:style w:type="character" w:customStyle="1" w:styleId="PlantillaESDefaultParagraphFont">
    <w:name w:val="Plantilla ES Default Paragraph Font"/>
    <w:uiPriority w:val="1"/>
    <w:semiHidden/>
    <w:unhideWhenUsed/>
  </w:style>
  <w:style w:type="table" w:customStyle="1" w:styleId="PlantillaESNormalTable">
    <w:name w:val="Plantilla ES Normal Table"/>
    <w:uiPriority w:val="99"/>
    <w:semiHidden/>
    <w:unhideWhenUsed/>
    <w:tblPr>
      <w:tblInd w:w="0" w:type="dxa"/>
      <w:tblCellMar>
        <w:top w:w="0" w:type="dxa"/>
        <w:left w:w="108" w:type="dxa"/>
        <w:bottom w:w="0" w:type="dxa"/>
        <w:right w:w="108" w:type="dxa"/>
      </w:tblCellMar>
    </w:tblPr>
  </w:style>
  <w:style w:type="numbering" w:customStyle="1" w:styleId="PlantillaESNoList">
    <w:name w:val="Plantilla ES No List"/>
    <w:uiPriority w:val="99"/>
    <w:semiHidden/>
    <w:unhideWhenUsed/>
  </w:style>
  <w:style w:type="character" w:customStyle="1" w:styleId="PlantillaESpagenumber">
    <w:name w:val="Plantilla ES page number"/>
    <w:semiHidden/>
    <w:rsid w:val="00C20895"/>
    <w:rPr>
      <w:rFonts w:ascii="Times New Roman" w:hAnsi="Times New Roman"/>
      <w:b/>
      <w:sz w:val="18"/>
      <w:lang w:val="en-GB"/>
    </w:rPr>
  </w:style>
  <w:style w:type="table" w:customStyle="1" w:styleId="PlantillaESTabledocright">
    <w:name w:val="Plantilla ES Table_doc_right"/>
    <w:basedOn w:val="PlantillaESNormalTable"/>
    <w:rsid w:val="00C20895"/>
    <w:pPr>
      <w:spacing w:before="40" w:after="40"/>
    </w:pPr>
    <w:rPr>
      <w:sz w:val="18"/>
      <w:szCs w:val="18"/>
    </w:rPr>
    <w:tblPr/>
  </w:style>
  <w:style w:type="paragraph" w:customStyle="1" w:styleId="PlantillaEStoc6">
    <w:name w:val="Plantilla ES toc 6"/>
    <w:basedOn w:val="PlantillaESNormal"/>
    <w:next w:val="PlantillaESNormal"/>
    <w:semiHidden/>
    <w:rsid w:val="00C20895"/>
    <w:pPr>
      <w:ind w:left="1000"/>
    </w:pPr>
    <w:rPr>
      <w:sz w:val="18"/>
      <w:szCs w:val="18"/>
    </w:rPr>
  </w:style>
  <w:style w:type="paragraph" w:customStyle="1" w:styleId="PlantillaEStoc7">
    <w:name w:val="Plantilla ES toc 7"/>
    <w:basedOn w:val="PlantillaESNormal"/>
    <w:next w:val="PlantillaESNormal"/>
    <w:autoRedefine/>
    <w:semiHidden/>
    <w:rsid w:val="00C20895"/>
    <w:pPr>
      <w:ind w:left="1200"/>
    </w:pPr>
    <w:rPr>
      <w:sz w:val="18"/>
      <w:szCs w:val="18"/>
    </w:rPr>
  </w:style>
  <w:style w:type="paragraph" w:customStyle="1" w:styleId="PlantillaEStoc8">
    <w:name w:val="Plantilla ES toc 8"/>
    <w:basedOn w:val="PlantillaESNormal"/>
    <w:next w:val="PlantillaESNormal"/>
    <w:autoRedefine/>
    <w:semiHidden/>
    <w:rsid w:val="00C20895"/>
    <w:pPr>
      <w:ind w:left="1400"/>
    </w:pPr>
    <w:rPr>
      <w:sz w:val="18"/>
      <w:szCs w:val="18"/>
    </w:rPr>
  </w:style>
  <w:style w:type="paragraph" w:customStyle="1" w:styleId="PlantillaEStoc9">
    <w:name w:val="Plantilla ES toc 9"/>
    <w:basedOn w:val="PlantillaESNormal"/>
    <w:next w:val="PlantillaESNormal"/>
    <w:autoRedefine/>
    <w:semiHidden/>
    <w:rsid w:val="00C20895"/>
    <w:pPr>
      <w:ind w:left="1600"/>
    </w:pPr>
    <w:rPr>
      <w:sz w:val="18"/>
      <w:szCs w:val="18"/>
    </w:rPr>
  </w:style>
  <w:style w:type="paragraph" w:customStyle="1" w:styleId="PlantillaESTitlefigure">
    <w:name w:val="Plantilla ES Title_figure"/>
    <w:basedOn w:val="PlantillaESTitletable"/>
    <w:next w:val="PlantillaESNormalNonumber"/>
    <w:rsid w:val="00C20895"/>
    <w:pPr>
      <w:tabs>
        <w:tab w:val="clear" w:pos="4990"/>
      </w:tabs>
    </w:pPr>
    <w:rPr>
      <w:bCs w:val="0"/>
    </w:rPr>
  </w:style>
  <w:style w:type="paragraph" w:customStyle="1" w:styleId="PlantillaEStableoffigures">
    <w:name w:val="Plantilla ES table of figures"/>
    <w:basedOn w:val="PlantillaESNormal"/>
    <w:next w:val="PlantillaESNormal"/>
    <w:autoRedefine/>
    <w:semiHidden/>
    <w:rsid w:val="00C20895"/>
    <w:pPr>
      <w:ind w:left="1814" w:hanging="567"/>
    </w:pPr>
  </w:style>
  <w:style w:type="paragraph" w:customStyle="1" w:styleId="PlantillaESCH1">
    <w:name w:val="Plantilla ES CH1"/>
    <w:basedOn w:val="PlantillaESNormal-pool"/>
    <w:next w:val="PlantillaESCH2"/>
    <w:qFormat/>
    <w:rsid w:val="00C20895"/>
    <w:pPr>
      <w:keepNext/>
      <w:keepLines/>
      <w:tabs>
        <w:tab w:val="clear" w:pos="624"/>
        <w:tab w:val="right" w:pos="851"/>
      </w:tabs>
      <w:suppressAutoHyphens/>
      <w:spacing w:before="240" w:after="120"/>
      <w:ind w:left="1247" w:right="284" w:hanging="1247"/>
    </w:pPr>
    <w:rPr>
      <w:b/>
      <w:sz w:val="28"/>
      <w:szCs w:val="28"/>
    </w:rPr>
  </w:style>
  <w:style w:type="paragraph" w:customStyle="1" w:styleId="PlantillaESCH2">
    <w:name w:val="Plantilla ES CH2"/>
    <w:basedOn w:val="PlantillaESNormal-pool"/>
    <w:next w:val="PlantillaESNormalnumber"/>
    <w:link w:val="PlantillaESCH2Char"/>
    <w:qFormat/>
    <w:rsid w:val="00C20895"/>
    <w:pPr>
      <w:keepNext/>
      <w:keepLines/>
      <w:tabs>
        <w:tab w:val="clear" w:pos="624"/>
        <w:tab w:val="right" w:pos="851"/>
      </w:tabs>
      <w:suppressAutoHyphens/>
      <w:spacing w:before="240" w:after="120"/>
      <w:ind w:left="1247" w:right="624" w:hanging="1247"/>
    </w:pPr>
    <w:rPr>
      <w:b/>
      <w:sz w:val="24"/>
      <w:szCs w:val="24"/>
    </w:rPr>
  </w:style>
  <w:style w:type="paragraph" w:customStyle="1" w:styleId="PlantillaESCH3">
    <w:name w:val="Plantilla ES CH3"/>
    <w:basedOn w:val="PlantillaESNormal-pool"/>
    <w:next w:val="PlantillaESNormalnumber"/>
    <w:qFormat/>
    <w:rsid w:val="00C20895"/>
    <w:pPr>
      <w:keepNext/>
      <w:keepLines/>
      <w:tabs>
        <w:tab w:val="clear" w:pos="624"/>
        <w:tab w:val="right" w:pos="851"/>
      </w:tabs>
      <w:suppressAutoHyphens/>
      <w:spacing w:before="240" w:after="120"/>
      <w:ind w:left="1247" w:right="624" w:hanging="1247"/>
    </w:pPr>
    <w:rPr>
      <w:b/>
    </w:rPr>
  </w:style>
  <w:style w:type="table" w:customStyle="1" w:styleId="PlantillaESFootertable">
    <w:name w:val="Plantilla ES Footer_table"/>
    <w:basedOn w:val="PlantillaESNormalTable"/>
    <w:semiHidden/>
    <w:rsid w:val="00C20895"/>
    <w:rPr>
      <w:rFonts w:ascii="Arial" w:hAnsi="Arial"/>
      <w:sz w:val="16"/>
    </w:rPr>
    <w:tblPr/>
  </w:style>
  <w:style w:type="paragraph" w:customStyle="1" w:styleId="PlantillaESCH5">
    <w:name w:val="Plantilla ES CH5"/>
    <w:basedOn w:val="PlantillaESNormal-pool"/>
    <w:next w:val="PlantillaESNormalnumber"/>
    <w:unhideWhenUsed/>
    <w:rsid w:val="00C20895"/>
    <w:pPr>
      <w:keepNext/>
      <w:keepLines/>
      <w:tabs>
        <w:tab w:val="clear" w:pos="624"/>
        <w:tab w:val="right" w:pos="851"/>
        <w:tab w:val="left" w:pos="4082"/>
      </w:tabs>
      <w:suppressAutoHyphens/>
      <w:spacing w:after="120"/>
      <w:ind w:left="1247" w:right="624" w:hanging="1247"/>
    </w:pPr>
    <w:rPr>
      <w:b/>
    </w:rPr>
  </w:style>
  <w:style w:type="paragraph" w:customStyle="1" w:styleId="PlantillaESFooterpool">
    <w:name w:val="Plantilla ES Footer_pool"/>
    <w:basedOn w:val="PlantillaESNormal"/>
    <w:next w:val="PlantillaESNormal"/>
    <w:semiHidden/>
    <w:rsid w:val="00C20895"/>
    <w:pPr>
      <w:tabs>
        <w:tab w:val="left" w:pos="4321"/>
        <w:tab w:val="right" w:pos="8641"/>
      </w:tabs>
      <w:spacing w:before="60"/>
    </w:pPr>
    <w:rPr>
      <w:b/>
      <w:sz w:val="18"/>
    </w:rPr>
  </w:style>
  <w:style w:type="paragraph" w:customStyle="1" w:styleId="PlantillaESFooter-pool">
    <w:name w:val="Plantilla ES Footer-pool"/>
    <w:basedOn w:val="PlantillaESNormal-pool"/>
    <w:next w:val="PlantillaESNormal-pool"/>
    <w:rsid w:val="00C20895"/>
    <w:pPr>
      <w:tabs>
        <w:tab w:val="right" w:pos="8641"/>
      </w:tabs>
      <w:spacing w:after="120"/>
    </w:pPr>
    <w:rPr>
      <w:b/>
      <w:sz w:val="18"/>
    </w:rPr>
  </w:style>
  <w:style w:type="paragraph" w:customStyle="1" w:styleId="PlantillaESHeader-pool">
    <w:name w:val="Plantilla ES Header-pool"/>
    <w:basedOn w:val="PlantillaESNormal"/>
    <w:next w:val="PlantillaESNormal"/>
    <w:rsid w:val="00C20895"/>
    <w:pPr>
      <w:pBdr>
        <w:bottom w:val="single" w:sz="4" w:space="1" w:color="auto"/>
      </w:pBdr>
      <w:tabs>
        <w:tab w:val="right" w:pos="9072"/>
      </w:tabs>
    </w:pPr>
    <w:rPr>
      <w:b/>
      <w:sz w:val="18"/>
    </w:rPr>
  </w:style>
  <w:style w:type="character" w:customStyle="1" w:styleId="PlantillaESfootnotereference">
    <w:name w:val="Plantilla ES footnote reference"/>
    <w:uiPriority w:val="99"/>
    <w:unhideWhenUsed/>
    <w:qFormat/>
    <w:rsid w:val="00C20895"/>
    <w:rPr>
      <w:rFonts w:ascii="Times New Roman" w:hAnsi="Times New Roman"/>
      <w:color w:val="auto"/>
      <w:sz w:val="20"/>
      <w:szCs w:val="18"/>
      <w:vertAlign w:val="superscript"/>
      <w:lang w:val="en-GB"/>
    </w:rPr>
  </w:style>
  <w:style w:type="table" w:customStyle="1" w:styleId="PlantillaESAATable">
    <w:name w:val="Plantilla ES AA_Table"/>
    <w:basedOn w:val="PlantillaESNormalTable"/>
    <w:semiHidden/>
    <w:rsid w:val="00C20895"/>
    <w:tblPr>
      <w:tblStyleRowBandSize w:val="1"/>
      <w:tblStyleColBandSize w:val="1"/>
      <w:jc w:val="right"/>
    </w:tblPr>
    <w:trPr>
      <w:jc w:val="right"/>
    </w:trPr>
    <w:tcPr>
      <w:tcBorders>
        <w:bottom w:val="single" w:sz="4" w:space="0" w:color="auto"/>
      </w:tcBorders>
    </w:tcPr>
    <w:tblStylePr w:type="firstRow">
      <w:pPr>
        <w:wordWrap/>
        <w:spacing w:beforeLines="0" w:before="0" w:beforeAutospacing="0" w:afterLines="0" w:after="0" w:afterAutospacing="0"/>
        <w:contextualSpacing w:val="0"/>
        <w:jc w:val="left"/>
      </w:pPr>
      <w:rPr>
        <w:rFonts w:ascii="Arial" w:hAnsi="Arial"/>
        <w:b/>
        <w:i w:val="0"/>
        <w:smallCaps w:val="0"/>
        <w:color w:val="auto"/>
        <w:sz w:val="27"/>
        <w:szCs w:val="27"/>
      </w:rPr>
    </w:tblStylePr>
    <w:tblStylePr w:type="lastRow">
      <w:pPr>
        <w:wordWrap/>
        <w:spacing w:afterLines="0" w:after="24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0" w:beforeAutospacing="0" w:afterLines="0" w:after="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0" w:beforeAutospacing="0" w:afterLines="0" w:after="0" w:afterAutospacing="0"/>
        <w:contextualSpacing w:val="0"/>
        <w:jc w:val="right"/>
      </w:pPr>
      <w:rPr>
        <w:rFonts w:ascii="Arial" w:hAnsi="Arial"/>
        <w:b/>
        <w:i w:val="0"/>
        <w:color w:val="auto"/>
        <w:sz w:val="64"/>
        <w:szCs w:val="64"/>
      </w:rPr>
    </w:tblStylePr>
    <w:tblStylePr w:type="nwCell">
      <w:rPr>
        <w:rFonts w:ascii="Arial" w:hAnsi="Arial"/>
        <w:b/>
        <w:i w:val="0"/>
        <w:smallCaps w:val="0"/>
        <w:color w:val="auto"/>
        <w:sz w:val="27"/>
        <w:szCs w:val="27"/>
      </w:rPr>
    </w:tblStylePr>
    <w:tblStylePr w:type="seCell">
      <w:pPr>
        <w:wordWrap/>
        <w:spacing w:beforeLines="0" w:before="120" w:beforeAutospacing="0" w:afterLines="0" w:after="120" w:afterAutospacing="0"/>
        <w:ind w:leftChars="0" w:left="0" w:rightChars="0" w:right="0"/>
        <w:contextualSpacing w:val="0"/>
      </w:pPr>
      <w:rPr>
        <w:rFonts w:ascii="Times New Roman" w:hAnsi="Times New Roman"/>
        <w:b w:val="0"/>
        <w:sz w:val="20"/>
      </w:rPr>
    </w:tblStylePr>
    <w:tblStylePr w:type="swCell">
      <w:pPr>
        <w:wordWrap/>
        <w:spacing w:afterLines="0" w:after="360" w:afterAutospacing="0"/>
        <w:ind w:rightChars="0" w:right="0"/>
      </w:pPr>
      <w:rPr>
        <w:rFonts w:ascii="Times New Roman" w:hAnsi="Times New Roman"/>
      </w:rPr>
    </w:tblStylePr>
  </w:style>
  <w:style w:type="paragraph" w:customStyle="1" w:styleId="PlantillaESAATitle">
    <w:name w:val="Plantilla ES AA_Title"/>
    <w:basedOn w:val="PlantillaESNormal-pool"/>
    <w:qFormat/>
    <w:rsid w:val="00C20895"/>
    <w:pPr>
      <w:keepNext/>
      <w:keepLines/>
      <w:suppressAutoHyphens/>
    </w:pPr>
    <w:rPr>
      <w:b/>
    </w:rPr>
  </w:style>
  <w:style w:type="paragraph" w:customStyle="1" w:styleId="PlantillaESAATitle2">
    <w:name w:val="Plantilla ES AA_Title2"/>
    <w:basedOn w:val="PlantillaESAATitle"/>
    <w:qFormat/>
    <w:rsid w:val="00C20895"/>
    <w:pPr>
      <w:keepNext w:val="0"/>
      <w:keepLines w:val="0"/>
      <w:tabs>
        <w:tab w:val="clear" w:pos="4990"/>
      </w:tabs>
      <w:spacing w:before="120" w:after="120"/>
    </w:pPr>
  </w:style>
  <w:style w:type="paragraph" w:customStyle="1" w:styleId="PlantillaESBBTitle">
    <w:name w:val="Plantilla ES BB_Title"/>
    <w:basedOn w:val="PlantillaESNormal-pool"/>
    <w:link w:val="PlantillaESBBTitleChar"/>
    <w:qFormat/>
    <w:rsid w:val="00C20895"/>
    <w:pPr>
      <w:keepNext/>
      <w:keepLines/>
      <w:suppressAutoHyphens/>
      <w:spacing w:before="320" w:after="240"/>
      <w:ind w:left="1247" w:right="567"/>
    </w:pPr>
    <w:rPr>
      <w:b/>
      <w:sz w:val="28"/>
      <w:szCs w:val="28"/>
    </w:rPr>
  </w:style>
  <w:style w:type="paragraph" w:customStyle="1" w:styleId="PlantillaESCH4">
    <w:name w:val="Plantilla ES CH4"/>
    <w:basedOn w:val="PlantillaESNormal-pool"/>
    <w:next w:val="PlantillaESNormalnumber"/>
    <w:link w:val="PlantillaESFooterChar"/>
    <w:rsid w:val="00C20895"/>
    <w:pPr>
      <w:keepNext/>
      <w:keepLines/>
      <w:tabs>
        <w:tab w:val="clear" w:pos="624"/>
        <w:tab w:val="right" w:pos="851"/>
      </w:tabs>
      <w:suppressAutoHyphens/>
      <w:spacing w:before="120" w:after="120"/>
      <w:ind w:left="1247" w:right="284" w:hanging="1247"/>
    </w:pPr>
    <w:rPr>
      <w:b/>
    </w:rPr>
  </w:style>
  <w:style w:type="paragraph" w:customStyle="1" w:styleId="PlantillaESheader">
    <w:name w:val="Plantilla ES header"/>
    <w:basedOn w:val="PlantillaESNormal"/>
    <w:next w:val="PlantillaESHeader-pool"/>
    <w:link w:val="PlantillaESHeaderChar"/>
    <w:semiHidden/>
    <w:rsid w:val="00C20895"/>
    <w:pPr>
      <w:pBdr>
        <w:bottom w:val="single" w:sz="4" w:space="1" w:color="auto"/>
      </w:pBdr>
      <w:tabs>
        <w:tab w:val="center" w:pos="4536"/>
        <w:tab w:val="right" w:pos="9072"/>
      </w:tabs>
    </w:pPr>
    <w:rPr>
      <w:b/>
      <w:sz w:val="18"/>
    </w:rPr>
  </w:style>
  <w:style w:type="character" w:customStyle="1" w:styleId="PlantillaESHyperlink">
    <w:name w:val="Plantilla ES Hyperlink"/>
    <w:basedOn w:val="PlantillaESDefaultParagraphFont"/>
    <w:uiPriority w:val="99"/>
    <w:rsid w:val="00C20895"/>
    <w:rPr>
      <w:color w:val="0000FF"/>
      <w:u w:val="none"/>
      <w:lang w:val="en-GB"/>
    </w:rPr>
  </w:style>
  <w:style w:type="numbering" w:customStyle="1" w:styleId="PlantillaESNormallist">
    <w:name w:val="Plantilla ES Normal_list"/>
    <w:basedOn w:val="PlantillaESNoList"/>
    <w:rsid w:val="00C20895"/>
  </w:style>
  <w:style w:type="paragraph" w:customStyle="1" w:styleId="PlantillaESNormalNonumber">
    <w:name w:val="Plantilla ES Normal_No_number"/>
    <w:basedOn w:val="PlantillaESNormal-pool"/>
    <w:qFormat/>
    <w:rsid w:val="00C20895"/>
    <w:pPr>
      <w:spacing w:after="120"/>
      <w:ind w:left="1247"/>
    </w:pPr>
  </w:style>
  <w:style w:type="paragraph" w:customStyle="1" w:styleId="PlantillaESNormalnumber">
    <w:name w:val="Plantilla ES Normal_number"/>
    <w:basedOn w:val="PlantillaESNormal"/>
    <w:link w:val="PlantillaESNormalnumberChar"/>
    <w:qFormat/>
    <w:rsid w:val="00C20895"/>
    <w:pPr>
      <w:spacing w:after="120"/>
    </w:pPr>
  </w:style>
  <w:style w:type="paragraph" w:customStyle="1" w:styleId="PlantillaESTitletable">
    <w:name w:val="Plantilla ES Title_table"/>
    <w:basedOn w:val="PlantillaESNormal-pool"/>
    <w:next w:val="PlantillaESNormalNonumber"/>
    <w:rsid w:val="00C20895"/>
    <w:pPr>
      <w:keepNext/>
      <w:keepLines/>
      <w:suppressAutoHyphens/>
      <w:spacing w:after="60"/>
      <w:ind w:left="1247"/>
    </w:pPr>
    <w:rPr>
      <w:b/>
      <w:bCs/>
    </w:rPr>
  </w:style>
  <w:style w:type="paragraph" w:customStyle="1" w:styleId="PlantillaEStoc1">
    <w:name w:val="Plantilla ES toc 1"/>
    <w:basedOn w:val="PlantillaESNormal"/>
    <w:next w:val="PlantillaESNormal"/>
    <w:autoRedefine/>
    <w:uiPriority w:val="39"/>
    <w:unhideWhenUsed/>
    <w:rsid w:val="00C20895"/>
    <w:pPr>
      <w:tabs>
        <w:tab w:val="right" w:leader="dot" w:pos="9486"/>
      </w:tabs>
      <w:spacing w:before="240"/>
      <w:ind w:left="1984" w:hanging="737"/>
    </w:pPr>
    <w:rPr>
      <w:bCs/>
    </w:rPr>
  </w:style>
  <w:style w:type="paragraph" w:customStyle="1" w:styleId="PlantillaEStoc2">
    <w:name w:val="Plantilla ES toc 2"/>
    <w:basedOn w:val="PlantillaESNormal"/>
    <w:next w:val="PlantillaESNormal"/>
    <w:uiPriority w:val="39"/>
    <w:unhideWhenUsed/>
    <w:rsid w:val="00C20895"/>
    <w:pPr>
      <w:tabs>
        <w:tab w:val="right" w:leader="dot" w:pos="9486"/>
      </w:tabs>
      <w:spacing w:before="60"/>
      <w:ind w:left="2608" w:hanging="737"/>
    </w:pPr>
  </w:style>
  <w:style w:type="paragraph" w:customStyle="1" w:styleId="PlantillaEStoc3">
    <w:name w:val="Plantilla ES toc 3"/>
    <w:basedOn w:val="PlantillaESNormal"/>
    <w:next w:val="PlantillaESNormal"/>
    <w:uiPriority w:val="39"/>
    <w:unhideWhenUsed/>
    <w:rsid w:val="00C20895"/>
    <w:pPr>
      <w:tabs>
        <w:tab w:val="right" w:leader="dot" w:pos="9486"/>
      </w:tabs>
      <w:ind w:left="3232" w:hanging="737"/>
    </w:pPr>
    <w:rPr>
      <w:iCs/>
    </w:rPr>
  </w:style>
  <w:style w:type="paragraph" w:customStyle="1" w:styleId="PlantillaEStoc4">
    <w:name w:val="Plantilla ES toc 4"/>
    <w:basedOn w:val="PlantillaESNormal"/>
    <w:next w:val="PlantillaESNormal"/>
    <w:uiPriority w:val="39"/>
    <w:unhideWhenUsed/>
    <w:rsid w:val="00C20895"/>
    <w:pPr>
      <w:tabs>
        <w:tab w:val="left" w:pos="1000"/>
        <w:tab w:val="right" w:leader="dot" w:pos="9486"/>
      </w:tabs>
      <w:ind w:left="3856" w:hanging="737"/>
    </w:pPr>
    <w:rPr>
      <w:szCs w:val="18"/>
    </w:rPr>
  </w:style>
  <w:style w:type="paragraph" w:customStyle="1" w:styleId="PlantillaEStoc5">
    <w:name w:val="Plantilla ES toc 5"/>
    <w:basedOn w:val="PlantillaESNormal"/>
    <w:next w:val="PlantillaESNormal"/>
    <w:uiPriority w:val="39"/>
    <w:rsid w:val="00C20895"/>
    <w:pPr>
      <w:tabs>
        <w:tab w:val="right" w:leader="dot" w:pos="9486"/>
      </w:tabs>
      <w:ind w:left="4479" w:hanging="737"/>
    </w:pPr>
    <w:rPr>
      <w:sz w:val="18"/>
      <w:szCs w:val="18"/>
    </w:rPr>
  </w:style>
  <w:style w:type="paragraph" w:customStyle="1" w:styleId="PlantillaESZZAnxheader">
    <w:name w:val="Plantilla ES ZZ_Anx_header"/>
    <w:basedOn w:val="PlantillaESNormal-pool"/>
    <w:rsid w:val="00C20895"/>
    <w:rPr>
      <w:b/>
      <w:bCs/>
      <w:sz w:val="28"/>
      <w:szCs w:val="22"/>
    </w:rPr>
  </w:style>
  <w:style w:type="paragraph" w:customStyle="1" w:styleId="PlantillaESZZAnxtitle">
    <w:name w:val="Plantilla ES ZZ_Anx_title"/>
    <w:basedOn w:val="PlantillaESNormal-pool"/>
    <w:rsid w:val="00C20895"/>
    <w:pPr>
      <w:spacing w:before="360" w:after="120"/>
      <w:ind w:left="1247"/>
    </w:pPr>
    <w:rPr>
      <w:b/>
      <w:bCs/>
      <w:sz w:val="28"/>
      <w:szCs w:val="26"/>
    </w:rPr>
  </w:style>
  <w:style w:type="paragraph" w:customStyle="1" w:styleId="PlantillaESNormalWeb">
    <w:name w:val="Plantilla ES Normal (Web)"/>
    <w:basedOn w:val="PlantillaESNormal"/>
    <w:uiPriority w:val="99"/>
    <w:semiHidden/>
    <w:unhideWhenUsed/>
    <w:rsid w:val="00C20895"/>
    <w:pPr>
      <w:spacing w:before="100" w:beforeAutospacing="1" w:after="100" w:afterAutospacing="1"/>
    </w:pPr>
    <w:rPr>
      <w:rFonts w:eastAsiaTheme="minorEastAsia"/>
      <w:sz w:val="24"/>
      <w:szCs w:val="24"/>
    </w:rPr>
  </w:style>
  <w:style w:type="paragraph" w:customStyle="1" w:styleId="PlantillaESNormal-pool-Table">
    <w:name w:val="Plantilla ES Normal-pool-Table"/>
    <w:basedOn w:val="PlantillaESNormal-pool"/>
    <w:rsid w:val="00C20895"/>
    <w:pPr>
      <w:spacing w:before="40" w:after="40"/>
    </w:pPr>
    <w:rPr>
      <w:sz w:val="18"/>
    </w:rPr>
  </w:style>
  <w:style w:type="paragraph" w:customStyle="1" w:styleId="PlantillaESFootnote-Text">
    <w:name w:val="Plantilla ES Footnote-Text"/>
    <w:basedOn w:val="PlantillaESNormal-pool"/>
    <w:rsid w:val="00C20895"/>
    <w:pPr>
      <w:spacing w:before="20" w:after="40"/>
      <w:ind w:left="1247"/>
    </w:pPr>
    <w:rPr>
      <w:sz w:val="18"/>
    </w:rPr>
  </w:style>
  <w:style w:type="paragraph" w:customStyle="1" w:styleId="PlantillaESAConvName">
    <w:name w:val="Plantilla ES A_ConvName"/>
    <w:basedOn w:val="PlantillaESNormal-pool"/>
    <w:next w:val="PlantillaESNormal-pool"/>
    <w:rsid w:val="00C20895"/>
    <w:pPr>
      <w:spacing w:before="120" w:after="240"/>
    </w:pPr>
    <w:rPr>
      <w:rFonts w:ascii="Arial" w:hAnsi="Arial"/>
      <w:b/>
      <w:sz w:val="28"/>
    </w:rPr>
  </w:style>
  <w:style w:type="paragraph" w:customStyle="1" w:styleId="PlantillaESASymbol">
    <w:name w:val="Plantilla ES A_Symbol"/>
    <w:basedOn w:val="PlantillaESNormal-pool"/>
    <w:rsid w:val="00C20895"/>
    <w:pPr>
      <w:tabs>
        <w:tab w:val="clear" w:pos="624"/>
        <w:tab w:val="clear" w:pos="1247"/>
        <w:tab w:val="right" w:pos="2920"/>
      </w:tabs>
    </w:pPr>
    <w:rPr>
      <w:rFonts w:eastAsia="SimSun"/>
    </w:rPr>
  </w:style>
  <w:style w:type="paragraph" w:customStyle="1" w:styleId="PlantillaESAText">
    <w:name w:val="Plantilla ES A_Text"/>
    <w:basedOn w:val="PlantillaESNormal-pool"/>
    <w:rsid w:val="00C20895"/>
    <w:pPr>
      <w:spacing w:before="120"/>
    </w:pPr>
  </w:style>
  <w:style w:type="paragraph" w:customStyle="1" w:styleId="PlantillaESATwoLetters">
    <w:name w:val="Plantilla ES A_TwoLetters"/>
    <w:basedOn w:val="PlantillaESNormal-pool"/>
    <w:next w:val="PlantillaESNormal-pool"/>
    <w:rsid w:val="00C20895"/>
    <w:pPr>
      <w:tabs>
        <w:tab w:val="clear" w:pos="1247"/>
      </w:tabs>
      <w:jc w:val="right"/>
    </w:pPr>
    <w:rPr>
      <w:rFonts w:ascii="Arial" w:hAnsi="Arial" w:cs="Arial"/>
      <w:b/>
      <w:sz w:val="64"/>
      <w:szCs w:val="64"/>
    </w:rPr>
  </w:style>
  <w:style w:type="paragraph" w:customStyle="1" w:styleId="PlantillaESAUnitedNations">
    <w:name w:val="Plantilla ES A_United_Nations"/>
    <w:basedOn w:val="PlantillaESNormal-pool"/>
    <w:next w:val="PlantillaESNormal-pool"/>
    <w:rsid w:val="00C20895"/>
    <w:pPr>
      <w:tabs>
        <w:tab w:val="clear" w:pos="1247"/>
      </w:tabs>
      <w:spacing w:before="20" w:after="20"/>
    </w:pPr>
    <w:rPr>
      <w:rFonts w:ascii="Arial" w:hAnsi="Arial" w:cs="Times New Roman Bold"/>
      <w:b/>
      <w:color w:val="000000" w:themeColor="text1"/>
      <w:sz w:val="27"/>
    </w:rPr>
  </w:style>
  <w:style w:type="paragraph" w:customStyle="1" w:styleId="PlantillaESBalloonText">
    <w:name w:val="Plantilla ES Balloon Text"/>
    <w:basedOn w:val="PlantillaESNormal"/>
    <w:link w:val="PlantillaESBalloonTextChar"/>
    <w:unhideWhenUsed/>
    <w:rsid w:val="00C20895"/>
    <w:rPr>
      <w:rFonts w:ascii="Tahoma" w:hAnsi="Tahoma" w:cs="Tahoma"/>
      <w:sz w:val="16"/>
      <w:szCs w:val="16"/>
    </w:rPr>
  </w:style>
  <w:style w:type="character" w:customStyle="1" w:styleId="PlantillaESBalloonTextChar">
    <w:name w:val="Plantilla ES Balloon Text Char"/>
    <w:basedOn w:val="PlantillaESDefaultParagraphFont"/>
    <w:link w:val="PlantillaESBalloonText"/>
    <w:rsid w:val="00C20895"/>
    <w:rPr>
      <w:rFonts w:ascii="Tahoma" w:eastAsia="Times New Roman" w:hAnsi="Tahoma" w:cs="Tahoma"/>
      <w:sz w:val="16"/>
      <w:szCs w:val="16"/>
      <w:lang w:val="en-GB" w:eastAsia="en-US"/>
    </w:rPr>
  </w:style>
  <w:style w:type="character" w:customStyle="1" w:styleId="PlantillaESannotationreference">
    <w:name w:val="Plantilla ES annotation reference"/>
    <w:basedOn w:val="PlantillaESDefaultParagraphFont"/>
    <w:uiPriority w:val="99"/>
    <w:semiHidden/>
    <w:unhideWhenUsed/>
    <w:qFormat/>
    <w:rsid w:val="00C20895"/>
    <w:rPr>
      <w:sz w:val="16"/>
      <w:szCs w:val="16"/>
      <w:lang w:val="en-GB"/>
    </w:rPr>
  </w:style>
  <w:style w:type="paragraph" w:customStyle="1" w:styleId="PlantillaESannotationtext">
    <w:name w:val="Plantilla ES annotation text"/>
    <w:basedOn w:val="PlantillaESNormal"/>
    <w:link w:val="PlantillaESCommentTextChar"/>
    <w:uiPriority w:val="99"/>
    <w:unhideWhenUsed/>
    <w:qFormat/>
    <w:rsid w:val="00C20895"/>
  </w:style>
  <w:style w:type="character" w:customStyle="1" w:styleId="PlantillaESCommentTextChar">
    <w:name w:val="Plantilla ES Comment Text Char"/>
    <w:basedOn w:val="PlantillaESDefaultParagraphFont"/>
    <w:link w:val="PlantillaESannotationtext"/>
    <w:uiPriority w:val="99"/>
    <w:qFormat/>
    <w:rsid w:val="00C20895"/>
    <w:rPr>
      <w:rFonts w:eastAsia="Times New Roman"/>
      <w:lang w:val="en-GB" w:eastAsia="en-US"/>
    </w:rPr>
  </w:style>
  <w:style w:type="paragraph" w:customStyle="1" w:styleId="PlantillaESannotationsubject">
    <w:name w:val="Plantilla ES annotation subject"/>
    <w:basedOn w:val="PlantillaESannotationtext"/>
    <w:next w:val="PlantillaESannotationtext"/>
    <w:link w:val="PlantillaESCommentSubjectChar"/>
    <w:semiHidden/>
    <w:unhideWhenUsed/>
    <w:rsid w:val="00C20895"/>
    <w:rPr>
      <w:b/>
      <w:bCs/>
    </w:rPr>
  </w:style>
  <w:style w:type="character" w:customStyle="1" w:styleId="PlantillaESCommentSubjectChar">
    <w:name w:val="Plantilla ES Comment Subject Char"/>
    <w:basedOn w:val="PlantillaESCommentTextChar"/>
    <w:link w:val="PlantillaESannotationsubject"/>
    <w:semiHidden/>
    <w:rsid w:val="00C20895"/>
    <w:rPr>
      <w:rFonts w:eastAsia="Times New Roman"/>
      <w:b/>
      <w:bCs/>
      <w:lang w:val="en-GB" w:eastAsia="en-US"/>
    </w:rPr>
  </w:style>
  <w:style w:type="character" w:customStyle="1" w:styleId="PlantillaESFollowedHyperlink">
    <w:name w:val="Plantilla ES FollowedHyperlink"/>
    <w:uiPriority w:val="99"/>
    <w:semiHidden/>
    <w:rsid w:val="00C20895"/>
    <w:rPr>
      <w:color w:val="0000FF"/>
      <w:u w:val="none"/>
      <w:lang w:val="en-GB"/>
    </w:rPr>
  </w:style>
  <w:style w:type="character" w:customStyle="1" w:styleId="PlantillaESFooterChar">
    <w:name w:val="Plantilla ES Footer Char"/>
    <w:basedOn w:val="PlantillaESDefaultParagraphFont"/>
    <w:link w:val="PlantillaESCH4"/>
    <w:rsid w:val="00C20895"/>
    <w:rPr>
      <w:rFonts w:eastAsia="Times New Roman"/>
      <w:b/>
      <w:lang w:val="en-GB" w:eastAsia="en-US"/>
    </w:rPr>
  </w:style>
  <w:style w:type="character" w:customStyle="1" w:styleId="PlantillaESHeaderChar">
    <w:name w:val="Plantilla ES Header Char"/>
    <w:basedOn w:val="PlantillaESDefaultParagraphFont"/>
    <w:link w:val="PlantillaESheader"/>
    <w:semiHidden/>
    <w:rsid w:val="00C20895"/>
    <w:rPr>
      <w:rFonts w:eastAsia="Times New Roman"/>
      <w:b/>
      <w:sz w:val="18"/>
      <w:lang w:val="en-GB" w:eastAsia="en-US"/>
    </w:rPr>
  </w:style>
  <w:style w:type="character" w:customStyle="1" w:styleId="PlantillaESHeading1Char">
    <w:name w:val="Plantilla ES Heading 1 Char"/>
    <w:basedOn w:val="PlantillaESDefaultParagraphFont"/>
    <w:link w:val="PlantillaESheading1"/>
    <w:rsid w:val="00C20895"/>
    <w:rPr>
      <w:rFonts w:eastAsia="Times New Roman"/>
      <w:b/>
      <w:sz w:val="28"/>
      <w:szCs w:val="28"/>
      <w:lang w:val="en-GB" w:eastAsia="en-US"/>
    </w:rPr>
  </w:style>
  <w:style w:type="character" w:customStyle="1" w:styleId="PlantillaESHeading2Char">
    <w:name w:val="Plantilla ES Heading 2 Char"/>
    <w:basedOn w:val="PlantillaESDefaultParagraphFont"/>
    <w:link w:val="PlantillaESheading2"/>
    <w:rsid w:val="00C20895"/>
    <w:rPr>
      <w:rFonts w:eastAsia="Times New Roman"/>
      <w:b/>
      <w:sz w:val="24"/>
      <w:szCs w:val="24"/>
      <w:lang w:val="en-GB" w:eastAsia="en-US"/>
    </w:rPr>
  </w:style>
  <w:style w:type="character" w:customStyle="1" w:styleId="PlantillaESHeading3Char">
    <w:name w:val="Plantilla ES Heading 3 Char"/>
    <w:basedOn w:val="PlantillaESDefaultParagraphFont"/>
    <w:link w:val="PlantillaESheading3"/>
    <w:rsid w:val="00C20895"/>
    <w:rPr>
      <w:rFonts w:eastAsia="Times New Roman"/>
      <w:b/>
      <w:lang w:val="en-GB" w:eastAsia="en-US"/>
    </w:rPr>
  </w:style>
  <w:style w:type="character" w:customStyle="1" w:styleId="PlantillaESHeading4Char">
    <w:name w:val="Plantilla ES Heading 4 Char"/>
    <w:basedOn w:val="PlantillaESDefaultParagraphFont"/>
    <w:link w:val="PlantillaESheading4"/>
    <w:rsid w:val="00C20895"/>
    <w:rPr>
      <w:rFonts w:eastAsia="Times New Roman"/>
      <w:b/>
      <w:lang w:val="en-GB" w:eastAsia="en-US"/>
    </w:rPr>
  </w:style>
  <w:style w:type="character" w:customStyle="1" w:styleId="PlantillaESHeading5Char">
    <w:name w:val="Plantilla ES Heading 5 Char"/>
    <w:basedOn w:val="PlantillaESDefaultParagraphFont"/>
    <w:link w:val="PlantillaESheading5"/>
    <w:rsid w:val="00C20895"/>
    <w:rPr>
      <w:rFonts w:eastAsia="Times New Roman"/>
      <w:b/>
      <w:lang w:val="en-GB" w:eastAsia="en-US"/>
    </w:rPr>
  </w:style>
  <w:style w:type="character" w:customStyle="1" w:styleId="PlantillaESHeading6Char">
    <w:name w:val="Plantilla ES Heading 6 Char"/>
    <w:basedOn w:val="PlantillaESDefaultParagraphFont"/>
    <w:link w:val="PlantillaESheading6"/>
    <w:semiHidden/>
    <w:rsid w:val="00C20895"/>
    <w:rPr>
      <w:rFonts w:eastAsia="Times New Roman"/>
      <w:bCs/>
      <w:sz w:val="24"/>
      <w:lang w:val="en-GB" w:eastAsia="en-US"/>
    </w:rPr>
  </w:style>
  <w:style w:type="character" w:customStyle="1" w:styleId="PlantillaESHeading7Char">
    <w:name w:val="Plantilla ES Heading 7 Char"/>
    <w:basedOn w:val="PlantillaESDefaultParagraphFont"/>
    <w:link w:val="PlantillaESheading7"/>
    <w:semiHidden/>
    <w:rsid w:val="00C20895"/>
    <w:rPr>
      <w:rFonts w:eastAsia="Times New Roman"/>
      <w:b/>
      <w:snapToGrid w:val="0"/>
      <w:u w:val="single"/>
      <w:lang w:val="en-GB" w:eastAsia="en-US"/>
    </w:rPr>
  </w:style>
  <w:style w:type="character" w:customStyle="1" w:styleId="PlantillaESHeading8Char">
    <w:name w:val="Plantilla ES Heading 8 Char"/>
    <w:basedOn w:val="PlantillaESDefaultParagraphFont"/>
    <w:link w:val="PlantillaESheading8"/>
    <w:semiHidden/>
    <w:rsid w:val="00C20895"/>
    <w:rPr>
      <w:rFonts w:eastAsia="Times New Roman"/>
      <w:b/>
      <w:snapToGrid w:val="0"/>
      <w:u w:val="single"/>
      <w:lang w:val="en-GB" w:eastAsia="en-US"/>
    </w:rPr>
  </w:style>
  <w:style w:type="character" w:customStyle="1" w:styleId="PlantillaESHeading9Char">
    <w:name w:val="Plantilla ES Heading 9 Char"/>
    <w:basedOn w:val="PlantillaESDefaultParagraphFont"/>
    <w:link w:val="PlantillaESheading9"/>
    <w:semiHidden/>
    <w:rsid w:val="00C20895"/>
    <w:rPr>
      <w:rFonts w:eastAsia="Times New Roman"/>
      <w:snapToGrid w:val="0"/>
      <w:u w:val="single"/>
      <w:lang w:val="en-GB" w:eastAsia="en-US"/>
    </w:rPr>
  </w:style>
  <w:style w:type="paragraph" w:customStyle="1" w:styleId="PlantillaESListParagraph">
    <w:name w:val="Plantilla ES List Paragraph"/>
    <w:basedOn w:val="PlantillaESNormal"/>
    <w:link w:val="PlantillaESListParagraphChar"/>
    <w:uiPriority w:val="34"/>
    <w:qFormat/>
    <w:rsid w:val="00C20895"/>
    <w:pPr>
      <w:ind w:left="720"/>
      <w:contextualSpacing/>
    </w:pPr>
  </w:style>
  <w:style w:type="paragraph" w:customStyle="1" w:styleId="PlantillaESNoSpacing">
    <w:name w:val="Plantilla ES No Spacing"/>
    <w:uiPriority w:val="1"/>
    <w:semiHidden/>
    <w:qFormat/>
    <w:rsid w:val="00C20895"/>
    <w:rPr>
      <w:rFonts w:asciiTheme="minorHAnsi" w:eastAsiaTheme="minorHAnsi" w:hAnsiTheme="minorHAnsi" w:cstheme="minorBidi"/>
      <w:sz w:val="22"/>
      <w:szCs w:val="22"/>
      <w:lang w:val="en-GB"/>
    </w:rPr>
  </w:style>
  <w:style w:type="character" w:customStyle="1" w:styleId="PlantillaESNormalnumberChar">
    <w:name w:val="Plantilla ES Normal_number Char"/>
    <w:link w:val="PlantillaESNormalnumber"/>
    <w:rsid w:val="00C20895"/>
    <w:rPr>
      <w:rFonts w:eastAsia="Times New Roman"/>
      <w:lang w:val="en-GB" w:eastAsia="en-US"/>
    </w:rPr>
  </w:style>
  <w:style w:type="character" w:customStyle="1" w:styleId="PlantillaESPlaceholderText">
    <w:name w:val="Plantilla ES Placeholder Text"/>
    <w:basedOn w:val="PlantillaESDefaultParagraphFont"/>
    <w:uiPriority w:val="99"/>
    <w:semiHidden/>
    <w:rsid w:val="00C20895"/>
    <w:rPr>
      <w:color w:val="808080"/>
      <w:lang w:val="en-GB"/>
    </w:rPr>
  </w:style>
  <w:style w:type="table" w:customStyle="1" w:styleId="PlantillaESTableGrid">
    <w:name w:val="Plantilla ES Table Grid"/>
    <w:basedOn w:val="PlantillaESNormalTable"/>
    <w:rsid w:val="00C20895"/>
    <w:tblPr/>
  </w:style>
  <w:style w:type="paragraph" w:customStyle="1" w:styleId="PlantillaESALogo">
    <w:name w:val="Plantilla ES A_Logo"/>
    <w:basedOn w:val="PlantillaESNormal-pool"/>
    <w:link w:val="PlantillaESALogoChar"/>
    <w:rsid w:val="00C20895"/>
    <w:pPr>
      <w:spacing w:before="120" w:after="240"/>
    </w:pPr>
  </w:style>
  <w:style w:type="character" w:customStyle="1" w:styleId="PlantillaESALogoChar">
    <w:name w:val="Plantilla ES A_Logo Char"/>
    <w:basedOn w:val="PlantillaESDefaultParagraphFont"/>
    <w:link w:val="PlantillaESALogo"/>
    <w:rsid w:val="00C20895"/>
    <w:rPr>
      <w:rFonts w:eastAsia="Times New Roman"/>
      <w:lang w:val="en-GB" w:eastAsia="en-US"/>
    </w:rPr>
  </w:style>
  <w:style w:type="paragraph" w:customStyle="1" w:styleId="PlantillaESASpacer">
    <w:name w:val="Plantilla ES A_Spacer"/>
    <w:basedOn w:val="PlantillaESNormal-pool"/>
    <w:link w:val="PlantillaESASpacerChar"/>
    <w:qFormat/>
    <w:rsid w:val="00C20895"/>
    <w:rPr>
      <w:sz w:val="2"/>
    </w:rPr>
  </w:style>
  <w:style w:type="character" w:customStyle="1" w:styleId="PlantillaESASpacerChar">
    <w:name w:val="Plantilla ES A_Spacer Char"/>
    <w:basedOn w:val="PlantillaESDefaultParagraphFont"/>
    <w:link w:val="PlantillaESASpacer"/>
    <w:rsid w:val="00C20895"/>
    <w:rPr>
      <w:rFonts w:eastAsia="Times New Roman"/>
      <w:sz w:val="2"/>
      <w:lang w:val="en-GB" w:eastAsia="en-US"/>
    </w:rPr>
  </w:style>
  <w:style w:type="paragraph" w:customStyle="1" w:styleId="PlantillaESAATitle1">
    <w:name w:val="Plantilla ES AA_Title1"/>
    <w:basedOn w:val="PlantillaESNormal-pool"/>
    <w:rsid w:val="00C20895"/>
  </w:style>
  <w:style w:type="character" w:customStyle="1" w:styleId="PlantillaESUnresolvedMention1">
    <w:name w:val="Plantilla ES Unresolved Mention1"/>
    <w:basedOn w:val="PlantillaESDefaultParagraphFont"/>
    <w:uiPriority w:val="99"/>
    <w:semiHidden/>
    <w:rsid w:val="00C20895"/>
    <w:rPr>
      <w:color w:val="605E5C"/>
      <w:shd w:val="clear" w:color="auto" w:fill="E1DFDD"/>
      <w:lang w:val="en-GB"/>
    </w:rPr>
  </w:style>
  <w:style w:type="paragraph" w:customStyle="1" w:styleId="PlantillaESANormal">
    <w:name w:val="Plantilla ES A_Normal"/>
    <w:basedOn w:val="PlantillaESNormal-pool"/>
    <w:rsid w:val="00C20895"/>
  </w:style>
  <w:style w:type="paragraph" w:customStyle="1" w:styleId="PlantillaESAText0">
    <w:name w:val="Plantilla ES A_Text0"/>
    <w:basedOn w:val="PlantillaESAText"/>
    <w:next w:val="PlantillaESAText"/>
    <w:qFormat/>
    <w:rsid w:val="00C20895"/>
    <w:pPr>
      <w:tabs>
        <w:tab w:val="clear" w:pos="4990"/>
      </w:tabs>
      <w:spacing w:before="0" w:after="120"/>
    </w:pPr>
  </w:style>
  <w:style w:type="paragraph" w:customStyle="1" w:styleId="PlantillaESfooter">
    <w:name w:val="Plantilla ES footer"/>
    <w:basedOn w:val="PlantillaESNormal"/>
    <w:link w:val="PlantillaESFooterChar1"/>
    <w:unhideWhenUsed/>
    <w:rsid w:val="00C20895"/>
    <w:pPr>
      <w:tabs>
        <w:tab w:val="clear" w:pos="1247"/>
        <w:tab w:val="right" w:pos="8641"/>
      </w:tabs>
    </w:pPr>
    <w:rPr>
      <w:b/>
      <w:sz w:val="18"/>
    </w:rPr>
  </w:style>
  <w:style w:type="character" w:customStyle="1" w:styleId="PlantillaESFooterChar1">
    <w:name w:val="Plantilla ES Footer Char1"/>
    <w:basedOn w:val="PlantillaESDefaultParagraphFont"/>
    <w:link w:val="PlantillaESfooter"/>
    <w:rsid w:val="00C20895"/>
    <w:rPr>
      <w:rFonts w:eastAsia="Times New Roman"/>
      <w:b/>
      <w:sz w:val="18"/>
      <w:lang w:val="en-GB" w:eastAsia="en-US"/>
    </w:rPr>
  </w:style>
  <w:style w:type="paragraph" w:customStyle="1" w:styleId="PlantillaESNormal-pool">
    <w:name w:val="Plantilla ES Normal-pool"/>
    <w:link w:val="PlantillaESNormal-poolChar"/>
    <w:qFormat/>
    <w:rsid w:val="00C20895"/>
    <w:pPr>
      <w:tabs>
        <w:tab w:val="left" w:pos="624"/>
        <w:tab w:val="left" w:pos="1247"/>
        <w:tab w:val="left" w:pos="1871"/>
        <w:tab w:val="left" w:pos="2495"/>
        <w:tab w:val="left" w:pos="3119"/>
        <w:tab w:val="left" w:pos="3742"/>
        <w:tab w:val="left" w:pos="4366"/>
        <w:tab w:val="left" w:pos="4990"/>
      </w:tabs>
    </w:pPr>
    <w:rPr>
      <w:lang w:val="en-GB"/>
    </w:rPr>
  </w:style>
  <w:style w:type="paragraph" w:customStyle="1" w:styleId="PlantillaESFooter-jobnumber">
    <w:name w:val="Plantilla ES Footer-jobnumber"/>
    <w:basedOn w:val="PlantillaESNormal-pool"/>
    <w:qFormat/>
    <w:rsid w:val="00C20895"/>
    <w:pPr>
      <w:tabs>
        <w:tab w:val="clear" w:pos="624"/>
        <w:tab w:val="clear" w:pos="1247"/>
        <w:tab w:val="clear" w:pos="1871"/>
        <w:tab w:val="clear" w:pos="2495"/>
        <w:tab w:val="clear" w:pos="3119"/>
        <w:tab w:val="clear" w:pos="3742"/>
        <w:tab w:val="clear" w:pos="4366"/>
        <w:tab w:val="clear" w:pos="4990"/>
        <w:tab w:val="left" w:pos="1701"/>
      </w:tabs>
    </w:pPr>
  </w:style>
  <w:style w:type="paragraph" w:customStyle="1" w:styleId="PlantillaESFootnote-Separator">
    <w:name w:val="Plantilla ES Footnote-Separator"/>
    <w:basedOn w:val="PlantillaESNormal-pool"/>
    <w:next w:val="PlantillaESNormal"/>
    <w:unhideWhenUsed/>
    <w:rsid w:val="00C20895"/>
    <w:pPr>
      <w:spacing w:before="60"/>
      <w:ind w:left="624"/>
    </w:pPr>
    <w:rPr>
      <w:rFonts w:eastAsiaTheme="minorEastAsia"/>
      <w:sz w:val="18"/>
    </w:rPr>
  </w:style>
  <w:style w:type="paragraph" w:customStyle="1" w:styleId="PlantillaESBibliography">
    <w:name w:val="Plantilla ES Bibliography"/>
    <w:basedOn w:val="PlantillaESNormal"/>
    <w:next w:val="PlantillaESNormal"/>
    <w:uiPriority w:val="37"/>
    <w:semiHidden/>
    <w:rsid w:val="00C20895"/>
  </w:style>
  <w:style w:type="paragraph" w:customStyle="1" w:styleId="PlantillaESBlockText">
    <w:name w:val="Plantilla ES Block Text"/>
    <w:basedOn w:val="PlantillaESNormal"/>
    <w:semiHidden/>
    <w:unhideWhenUsed/>
    <w:rsid w:val="00C20895"/>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customStyle="1" w:styleId="PlantillaESBodyText">
    <w:name w:val="Plantilla ES Body Text"/>
    <w:basedOn w:val="PlantillaESNormal"/>
    <w:link w:val="PlantillaESBodyTextChar"/>
    <w:semiHidden/>
    <w:unhideWhenUsed/>
    <w:rsid w:val="00C20895"/>
    <w:pPr>
      <w:spacing w:after="120"/>
    </w:pPr>
  </w:style>
  <w:style w:type="character" w:customStyle="1" w:styleId="PlantillaESBodyTextChar">
    <w:name w:val="Plantilla ES Body Text Char"/>
    <w:basedOn w:val="PlantillaESDefaultParagraphFont"/>
    <w:link w:val="PlantillaESBodyText"/>
    <w:semiHidden/>
    <w:rsid w:val="00C20895"/>
    <w:rPr>
      <w:rFonts w:eastAsia="Times New Roman"/>
      <w:lang w:val="en-GB" w:eastAsia="en-US"/>
    </w:rPr>
  </w:style>
  <w:style w:type="paragraph" w:customStyle="1" w:styleId="PlantillaESBodyText2">
    <w:name w:val="Plantilla ES Body Text 2"/>
    <w:basedOn w:val="PlantillaESNormal"/>
    <w:link w:val="PlantillaESBodyText2Char"/>
    <w:semiHidden/>
    <w:unhideWhenUsed/>
    <w:rsid w:val="00C20895"/>
    <w:pPr>
      <w:spacing w:after="120" w:line="480" w:lineRule="auto"/>
    </w:pPr>
  </w:style>
  <w:style w:type="character" w:customStyle="1" w:styleId="PlantillaESBodyText2Char">
    <w:name w:val="Plantilla ES Body Text 2 Char"/>
    <w:basedOn w:val="PlantillaESDefaultParagraphFont"/>
    <w:link w:val="PlantillaESBodyText2"/>
    <w:semiHidden/>
    <w:rsid w:val="00C20895"/>
    <w:rPr>
      <w:rFonts w:eastAsia="Times New Roman"/>
      <w:lang w:val="en-GB" w:eastAsia="en-US"/>
    </w:rPr>
  </w:style>
  <w:style w:type="paragraph" w:customStyle="1" w:styleId="PlantillaESBodyText3">
    <w:name w:val="Plantilla ES Body Text 3"/>
    <w:basedOn w:val="PlantillaESNormal"/>
    <w:link w:val="PlantillaESBodyText3Char"/>
    <w:semiHidden/>
    <w:unhideWhenUsed/>
    <w:rsid w:val="00C20895"/>
    <w:pPr>
      <w:spacing w:after="120"/>
    </w:pPr>
    <w:rPr>
      <w:sz w:val="16"/>
      <w:szCs w:val="16"/>
    </w:rPr>
  </w:style>
  <w:style w:type="character" w:customStyle="1" w:styleId="PlantillaESBodyText3Char">
    <w:name w:val="Plantilla ES Body Text 3 Char"/>
    <w:basedOn w:val="PlantillaESDefaultParagraphFont"/>
    <w:link w:val="PlantillaESBodyText3"/>
    <w:semiHidden/>
    <w:rsid w:val="00C20895"/>
    <w:rPr>
      <w:rFonts w:eastAsia="Times New Roman"/>
      <w:sz w:val="16"/>
      <w:szCs w:val="16"/>
      <w:lang w:val="en-GB" w:eastAsia="en-US"/>
    </w:rPr>
  </w:style>
  <w:style w:type="paragraph" w:customStyle="1" w:styleId="PlantillaESBodyTextFirstIndent">
    <w:name w:val="Plantilla ES Body Text First Indent"/>
    <w:basedOn w:val="PlantillaESBodyText"/>
    <w:link w:val="PlantillaESBodyTextFirstIndentChar"/>
    <w:semiHidden/>
    <w:unhideWhenUsed/>
    <w:rsid w:val="00C20895"/>
    <w:pPr>
      <w:spacing w:after="0"/>
      <w:ind w:firstLine="360"/>
    </w:pPr>
  </w:style>
  <w:style w:type="character" w:customStyle="1" w:styleId="PlantillaESBodyTextFirstIndentChar">
    <w:name w:val="Plantilla ES Body Text First Indent Char"/>
    <w:basedOn w:val="PlantillaESBodyTextChar"/>
    <w:link w:val="PlantillaESBodyTextFirstIndent"/>
    <w:semiHidden/>
    <w:rsid w:val="00C20895"/>
    <w:rPr>
      <w:rFonts w:eastAsia="Times New Roman"/>
      <w:lang w:val="en-GB" w:eastAsia="en-US"/>
    </w:rPr>
  </w:style>
  <w:style w:type="paragraph" w:customStyle="1" w:styleId="PlantillaESBodyTextIndent">
    <w:name w:val="Plantilla ES Body Text Indent"/>
    <w:basedOn w:val="PlantillaESNormal"/>
    <w:link w:val="PlantillaESBodyTextIndentChar"/>
    <w:semiHidden/>
    <w:unhideWhenUsed/>
    <w:rsid w:val="00C20895"/>
    <w:pPr>
      <w:spacing w:after="120"/>
      <w:ind w:left="283"/>
    </w:pPr>
  </w:style>
  <w:style w:type="character" w:customStyle="1" w:styleId="PlantillaESBodyTextIndentChar">
    <w:name w:val="Plantilla ES Body Text Indent Char"/>
    <w:basedOn w:val="PlantillaESDefaultParagraphFont"/>
    <w:link w:val="PlantillaESBodyTextIndent"/>
    <w:semiHidden/>
    <w:rsid w:val="00C20895"/>
    <w:rPr>
      <w:rFonts w:eastAsia="Times New Roman"/>
      <w:lang w:val="en-GB" w:eastAsia="en-US"/>
    </w:rPr>
  </w:style>
  <w:style w:type="paragraph" w:customStyle="1" w:styleId="PlantillaESBodyTextFirstIndent2">
    <w:name w:val="Plantilla ES Body Text First Indent 2"/>
    <w:basedOn w:val="PlantillaESBodyTextIndent"/>
    <w:link w:val="PlantillaESBodyTextFirstIndent2Char"/>
    <w:semiHidden/>
    <w:unhideWhenUsed/>
    <w:rsid w:val="00C20895"/>
    <w:pPr>
      <w:spacing w:after="0"/>
      <w:ind w:left="360" w:firstLine="360"/>
    </w:pPr>
  </w:style>
  <w:style w:type="character" w:customStyle="1" w:styleId="PlantillaESBodyTextFirstIndent2Char">
    <w:name w:val="Plantilla ES Body Text First Indent 2 Char"/>
    <w:basedOn w:val="PlantillaESBodyTextIndentChar"/>
    <w:link w:val="PlantillaESBodyTextFirstIndent2"/>
    <w:semiHidden/>
    <w:rsid w:val="00C20895"/>
    <w:rPr>
      <w:rFonts w:eastAsia="Times New Roman"/>
      <w:lang w:val="en-GB" w:eastAsia="en-US"/>
    </w:rPr>
  </w:style>
  <w:style w:type="paragraph" w:customStyle="1" w:styleId="PlantillaESBodyTextIndent2">
    <w:name w:val="Plantilla ES Body Text Indent 2"/>
    <w:basedOn w:val="PlantillaESNormal"/>
    <w:link w:val="PlantillaESBodyTextIndent2Char"/>
    <w:semiHidden/>
    <w:unhideWhenUsed/>
    <w:rsid w:val="00C20895"/>
    <w:pPr>
      <w:spacing w:after="120" w:line="480" w:lineRule="auto"/>
      <w:ind w:left="283"/>
    </w:pPr>
  </w:style>
  <w:style w:type="character" w:customStyle="1" w:styleId="PlantillaESBodyTextIndent2Char">
    <w:name w:val="Plantilla ES Body Text Indent 2 Char"/>
    <w:basedOn w:val="PlantillaESDefaultParagraphFont"/>
    <w:link w:val="PlantillaESBodyTextIndent2"/>
    <w:semiHidden/>
    <w:rsid w:val="00C20895"/>
    <w:rPr>
      <w:rFonts w:eastAsia="Times New Roman"/>
      <w:lang w:val="en-GB" w:eastAsia="en-US"/>
    </w:rPr>
  </w:style>
  <w:style w:type="paragraph" w:customStyle="1" w:styleId="PlantillaESBodyTextIndent3">
    <w:name w:val="Plantilla ES Body Text Indent 3"/>
    <w:basedOn w:val="PlantillaESNormal"/>
    <w:link w:val="PlantillaESBodyTextIndent3Char"/>
    <w:semiHidden/>
    <w:unhideWhenUsed/>
    <w:rsid w:val="00C20895"/>
    <w:pPr>
      <w:spacing w:after="120"/>
      <w:ind w:left="283"/>
    </w:pPr>
    <w:rPr>
      <w:sz w:val="16"/>
      <w:szCs w:val="16"/>
    </w:rPr>
  </w:style>
  <w:style w:type="character" w:customStyle="1" w:styleId="PlantillaESBodyTextIndent3Char">
    <w:name w:val="Plantilla ES Body Text Indent 3 Char"/>
    <w:basedOn w:val="PlantillaESDefaultParagraphFont"/>
    <w:link w:val="PlantillaESBodyTextIndent3"/>
    <w:semiHidden/>
    <w:rsid w:val="00C20895"/>
    <w:rPr>
      <w:rFonts w:eastAsia="Times New Roman"/>
      <w:sz w:val="16"/>
      <w:szCs w:val="16"/>
      <w:lang w:val="en-GB" w:eastAsia="en-US"/>
    </w:rPr>
  </w:style>
  <w:style w:type="character" w:customStyle="1" w:styleId="PlantillaESBookTitle">
    <w:name w:val="Plantilla ES Book Title"/>
    <w:basedOn w:val="PlantillaESDefaultParagraphFont"/>
    <w:uiPriority w:val="33"/>
    <w:semiHidden/>
    <w:qFormat/>
    <w:rsid w:val="00C20895"/>
    <w:rPr>
      <w:b/>
      <w:bCs/>
      <w:i/>
      <w:iCs/>
      <w:spacing w:val="5"/>
      <w:lang w:val="en-GB"/>
    </w:rPr>
  </w:style>
  <w:style w:type="paragraph" w:customStyle="1" w:styleId="PlantillaEScaption">
    <w:name w:val="Plantilla ES caption"/>
    <w:basedOn w:val="PlantillaESNormal"/>
    <w:next w:val="PlantillaESNormal"/>
    <w:semiHidden/>
    <w:unhideWhenUsed/>
    <w:qFormat/>
    <w:rsid w:val="00C20895"/>
    <w:pPr>
      <w:spacing w:after="200"/>
    </w:pPr>
    <w:rPr>
      <w:i/>
      <w:iCs/>
      <w:color w:val="1F497D" w:themeColor="text2"/>
      <w:sz w:val="18"/>
      <w:szCs w:val="18"/>
    </w:rPr>
  </w:style>
  <w:style w:type="paragraph" w:customStyle="1" w:styleId="PlantillaESClosing">
    <w:name w:val="Plantilla ES Closing"/>
    <w:basedOn w:val="PlantillaESNormal"/>
    <w:link w:val="PlantillaESClosingChar"/>
    <w:semiHidden/>
    <w:unhideWhenUsed/>
    <w:rsid w:val="00C20895"/>
    <w:pPr>
      <w:ind w:left="4252"/>
    </w:pPr>
  </w:style>
  <w:style w:type="character" w:customStyle="1" w:styleId="PlantillaESClosingChar">
    <w:name w:val="Plantilla ES Closing Char"/>
    <w:basedOn w:val="PlantillaESDefaultParagraphFont"/>
    <w:link w:val="PlantillaESClosing"/>
    <w:semiHidden/>
    <w:rsid w:val="00C20895"/>
    <w:rPr>
      <w:rFonts w:eastAsia="Times New Roman"/>
      <w:lang w:val="en-GB" w:eastAsia="en-US"/>
    </w:rPr>
  </w:style>
  <w:style w:type="table" w:customStyle="1" w:styleId="PlantillaESColorfulGrid">
    <w:name w:val="Plantilla ES Colorful Grid"/>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GridAccent1">
    <w:name w:val="Plantilla ES Colorful Grid Accent 1"/>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GridAccent2">
    <w:name w:val="Plantilla ES Colorful Grid Accent 2"/>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GridAccent3">
    <w:name w:val="Plantilla ES Colorful Grid Accent 3"/>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GridAccent4">
    <w:name w:val="Plantilla ES Colorful Grid Accent 4"/>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GridAccent5">
    <w:name w:val="Plantilla ES Colorful Grid Accent 5"/>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GridAccent6">
    <w:name w:val="Plantilla ES Colorful Grid Accent 6"/>
    <w:basedOn w:val="PlantillaESNormalTable"/>
    <w:uiPriority w:val="73"/>
    <w:semiHidden/>
    <w:unhideWhenUsed/>
    <w:rsid w:val="00C20895"/>
    <w:rPr>
      <w:color w:val="000000" w:themeColor="text1"/>
    </w:rPr>
    <w:tblPr>
      <w:tblStyleColBandSize w:val="1"/>
    </w:tblPr>
    <w:tblStylePr w:type="firstRow">
      <w:rPr>
        <w:b/>
        <w:bCs/>
      </w:rPr>
    </w:tblStylePr>
    <w:tblStylePr w:type="lastRow">
      <w:rPr>
        <w:b/>
        <w:bCs/>
        <w:color w:val="000000" w:themeColor="text1"/>
      </w:rPr>
    </w:tblStylePr>
    <w:tblStylePr w:type="firstCol">
      <w:rPr>
        <w:color w:val="FFFFFF" w:themeColor="background1"/>
      </w:rPr>
    </w:tblStylePr>
    <w:tblStylePr w:type="lastCol">
      <w:rPr>
        <w:color w:val="FFFFFF" w:themeColor="background1"/>
      </w:rPr>
    </w:tblStylePr>
  </w:style>
  <w:style w:type="table" w:customStyle="1" w:styleId="PlantillaESColorfulList">
    <w:name w:val="Plantilla ES Colorful List"/>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customStyle="1" w:styleId="PlantillaESColorfulListAccent1">
    <w:name w:val="Plantilla ES Colorful List Accent 1"/>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customStyle="1" w:styleId="PlantillaESColorfulListAccent2">
    <w:name w:val="Plantilla ES Colorful List Accent 2"/>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color w:val="FFFFFF" w:themeColor="background1"/>
      </w:rPr>
    </w:tblStylePr>
    <w:tblStylePr w:type="lastRow">
      <w:rPr>
        <w:b/>
        <w:bCs/>
        <w:color w:val="9E3A38" w:themeColor="accent2" w:themeShade="CC"/>
      </w:rPr>
    </w:tblStylePr>
    <w:tblStylePr w:type="firstCol">
      <w:rPr>
        <w:b/>
        <w:bCs/>
      </w:rPr>
    </w:tblStylePr>
    <w:tblStylePr w:type="lastCol">
      <w:rPr>
        <w:b/>
        <w:bCs/>
      </w:rPr>
    </w:tblStylePr>
  </w:style>
  <w:style w:type="table" w:customStyle="1" w:styleId="PlantillaESColorfulListAccent3">
    <w:name w:val="Plantilla ES Colorful List Accent 3"/>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color w:val="FFFFFF" w:themeColor="background1"/>
      </w:rPr>
    </w:tblStylePr>
    <w:tblStylePr w:type="lastRow">
      <w:rPr>
        <w:b/>
        <w:bCs/>
        <w:color w:val="664E82" w:themeColor="accent4" w:themeShade="CC"/>
      </w:rPr>
    </w:tblStylePr>
    <w:tblStylePr w:type="firstCol">
      <w:rPr>
        <w:b/>
        <w:bCs/>
      </w:rPr>
    </w:tblStylePr>
    <w:tblStylePr w:type="lastCol">
      <w:rPr>
        <w:b/>
        <w:bCs/>
      </w:rPr>
    </w:tblStylePr>
  </w:style>
  <w:style w:type="table" w:customStyle="1" w:styleId="PlantillaESColorfulListAccent4">
    <w:name w:val="Plantilla ES Colorful List Accent 4"/>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customStyle="1" w:styleId="PlantillaESColorfulListAccent5">
    <w:name w:val="Plantilla ES Colorful List Accent 5"/>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customStyle="1" w:styleId="PlantillaESColorfulListAccent6">
    <w:name w:val="Plantilla ES Colorful List Accent 6"/>
    <w:basedOn w:val="PlantillaESNormalTable"/>
    <w:uiPriority w:val="72"/>
    <w:semiHidden/>
    <w:unhideWhenUsed/>
    <w:rsid w:val="00C20895"/>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style>
  <w:style w:type="table" w:customStyle="1" w:styleId="PlantillaESColorfulShading">
    <w:name w:val="Plantilla ES Colorful Shading"/>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customStyle="1" w:styleId="PlantillaESColorfulShadingAccent1">
    <w:name w:val="Plantilla ES Colorful Shading Accent 1"/>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customStyle="1" w:styleId="PlantillaESColorfulShadingAccent2">
    <w:name w:val="Plantilla ES Colorful Shading Accent 2"/>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customStyle="1" w:styleId="PlantillaESColorfulShadingAccent3">
    <w:name w:val="Plantilla ES Colorful Shading Accent 3"/>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StylePr>
  </w:style>
  <w:style w:type="table" w:customStyle="1" w:styleId="PlantillaESColorfulShadingAccent4">
    <w:name w:val="Plantilla ES Colorful Shading Accent 4"/>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customStyle="1" w:styleId="PlantillaESColorfulShadingAccent5">
    <w:name w:val="Plantilla ES Colorful Shading Accent 5"/>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customStyle="1" w:styleId="PlantillaESColorfulShadingAccent6">
    <w:name w:val="Plantilla ES Colorful Shading Accent 6"/>
    <w:basedOn w:val="PlantillaESNormalTable"/>
    <w:uiPriority w:val="71"/>
    <w:semiHidden/>
    <w:unhideWhenUsed/>
    <w:rsid w:val="00C20895"/>
    <w:rPr>
      <w:color w:val="000000" w:themeColor="text1"/>
    </w:rPr>
    <w:tblPr>
      <w:tblStyleRowBandSize w:val="1"/>
      <w:tblStyleColBandSize w:val="1"/>
    </w:tblPr>
    <w:tcPr>
      <w:tcBorders>
        <w:top w:val="nil"/>
        <w:left w:val="nil"/>
        <w:bottom w:val="nil"/>
        <w:right w:val="nil"/>
      </w:tcBorders>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StylePr>
    <w:tblStylePr w:type="neCell">
      <w:rPr>
        <w:color w:val="000000" w:themeColor="text1"/>
      </w:rPr>
    </w:tblStylePr>
    <w:tblStylePr w:type="nwCell">
      <w:rPr>
        <w:color w:val="000000" w:themeColor="text1"/>
      </w:rPr>
    </w:tblStylePr>
  </w:style>
  <w:style w:type="table" w:customStyle="1" w:styleId="PlantillaESDarkList">
    <w:name w:val="Plantilla ES Dark List"/>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style>
  <w:style w:type="table" w:customStyle="1" w:styleId="PlantillaESDarkListAccent1">
    <w:name w:val="Plantilla ES Dark List Accent 1"/>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style>
  <w:style w:type="table" w:customStyle="1" w:styleId="PlantillaESDarkListAccent2">
    <w:name w:val="Plantilla ES Dark List Accent 2"/>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style>
  <w:style w:type="table" w:customStyle="1" w:styleId="PlantillaESDarkListAccent3">
    <w:name w:val="Plantilla ES Dark List Accent 3"/>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style>
  <w:style w:type="table" w:customStyle="1" w:styleId="PlantillaESDarkListAccent4">
    <w:name w:val="Plantilla ES Dark List Accent 4"/>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style>
  <w:style w:type="table" w:customStyle="1" w:styleId="PlantillaESDarkListAccent5">
    <w:name w:val="Plantilla ES Dark List Accent 5"/>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style>
  <w:style w:type="table" w:customStyle="1" w:styleId="PlantillaESDarkListAccent6">
    <w:name w:val="Plantilla ES Dark List Accent 6"/>
    <w:basedOn w:val="PlantillaESNormalTable"/>
    <w:uiPriority w:val="70"/>
    <w:semiHidden/>
    <w:unhideWhenUsed/>
    <w:rsid w:val="00C20895"/>
    <w:rPr>
      <w:color w:val="FFFFFF" w:themeColor="background1"/>
    </w:rPr>
    <w:tblPr>
      <w:tblStyleRowBandSize w:val="1"/>
      <w:tblStyleColBandSize w:val="1"/>
    </w:tblPr>
    <w:tcPr>
      <w:tcBorders>
        <w:top w:val="nil"/>
        <w:left w:val="nil"/>
        <w:bottom w:val="nil"/>
        <w:right w:val="nil"/>
      </w:tcBorders>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style>
  <w:style w:type="paragraph" w:customStyle="1" w:styleId="PlantillaESDate">
    <w:name w:val="Plantilla ES Date"/>
    <w:basedOn w:val="PlantillaESNormal"/>
    <w:next w:val="PlantillaESNormal"/>
    <w:link w:val="PlantillaESDateChar"/>
    <w:semiHidden/>
    <w:unhideWhenUsed/>
    <w:rsid w:val="00C20895"/>
  </w:style>
  <w:style w:type="character" w:customStyle="1" w:styleId="PlantillaESDateChar">
    <w:name w:val="Plantilla ES Date Char"/>
    <w:basedOn w:val="PlantillaESDefaultParagraphFont"/>
    <w:link w:val="PlantillaESDate"/>
    <w:semiHidden/>
    <w:rsid w:val="00C20895"/>
    <w:rPr>
      <w:rFonts w:eastAsia="Times New Roman"/>
      <w:lang w:val="en-GB" w:eastAsia="en-US"/>
    </w:rPr>
  </w:style>
  <w:style w:type="paragraph" w:customStyle="1" w:styleId="PlantillaESDocumentMap">
    <w:name w:val="Plantilla ES Document Map"/>
    <w:basedOn w:val="PlantillaESNormal"/>
    <w:link w:val="PlantillaESDocumentMapChar"/>
    <w:semiHidden/>
    <w:unhideWhenUsed/>
    <w:rsid w:val="00C20895"/>
    <w:rPr>
      <w:rFonts w:ascii="Segoe UI" w:hAnsi="Segoe UI" w:cs="Segoe UI"/>
      <w:sz w:val="16"/>
      <w:szCs w:val="16"/>
    </w:rPr>
  </w:style>
  <w:style w:type="character" w:customStyle="1" w:styleId="PlantillaESDocumentMapChar">
    <w:name w:val="Plantilla ES Document Map Char"/>
    <w:basedOn w:val="PlantillaESDefaultParagraphFont"/>
    <w:link w:val="PlantillaESDocumentMap"/>
    <w:semiHidden/>
    <w:rsid w:val="00C20895"/>
    <w:rPr>
      <w:rFonts w:ascii="Segoe UI" w:eastAsia="Times New Roman" w:hAnsi="Segoe UI" w:cs="Segoe UI"/>
      <w:sz w:val="16"/>
      <w:szCs w:val="16"/>
      <w:lang w:val="en-GB" w:eastAsia="en-US"/>
    </w:rPr>
  </w:style>
  <w:style w:type="paragraph" w:customStyle="1" w:styleId="PlantillaESE-mailSignature">
    <w:name w:val="Plantilla ES E-mail Signature"/>
    <w:basedOn w:val="PlantillaESNormal"/>
    <w:link w:val="PlantillaESE-mailSignatureChar"/>
    <w:semiHidden/>
    <w:unhideWhenUsed/>
    <w:rsid w:val="00C20895"/>
  </w:style>
  <w:style w:type="character" w:customStyle="1" w:styleId="PlantillaESE-mailSignatureChar">
    <w:name w:val="Plantilla ES E-mail Signature Char"/>
    <w:basedOn w:val="PlantillaESDefaultParagraphFont"/>
    <w:link w:val="PlantillaESE-mailSignature"/>
    <w:semiHidden/>
    <w:rsid w:val="00C20895"/>
    <w:rPr>
      <w:rFonts w:eastAsia="Times New Roman"/>
      <w:lang w:val="en-GB" w:eastAsia="en-US"/>
    </w:rPr>
  </w:style>
  <w:style w:type="character" w:customStyle="1" w:styleId="PlantillaESEmphasis">
    <w:name w:val="Plantilla ES Emphasis"/>
    <w:basedOn w:val="PlantillaESDefaultParagraphFont"/>
    <w:semiHidden/>
    <w:qFormat/>
    <w:rsid w:val="00C20895"/>
    <w:rPr>
      <w:i/>
      <w:iCs/>
      <w:lang w:val="en-GB"/>
    </w:rPr>
  </w:style>
  <w:style w:type="character" w:customStyle="1" w:styleId="PlantillaESendnotereference">
    <w:name w:val="Plantilla ES endnote reference"/>
    <w:basedOn w:val="PlantillaESDefaultParagraphFont"/>
    <w:semiHidden/>
    <w:unhideWhenUsed/>
    <w:rsid w:val="00C20895"/>
    <w:rPr>
      <w:vertAlign w:val="superscript"/>
      <w:lang w:val="en-GB"/>
    </w:rPr>
  </w:style>
  <w:style w:type="paragraph" w:customStyle="1" w:styleId="PlantillaESendnotetext">
    <w:name w:val="Plantilla ES endnote text"/>
    <w:basedOn w:val="PlantillaESNormal"/>
    <w:link w:val="PlantillaESEndnoteTextChar"/>
    <w:semiHidden/>
    <w:unhideWhenUsed/>
    <w:rsid w:val="00C20895"/>
  </w:style>
  <w:style w:type="character" w:customStyle="1" w:styleId="PlantillaESEndnoteTextChar">
    <w:name w:val="Plantilla ES Endnote Text Char"/>
    <w:basedOn w:val="PlantillaESDefaultParagraphFont"/>
    <w:link w:val="PlantillaESendnotetext"/>
    <w:semiHidden/>
    <w:rsid w:val="00C20895"/>
    <w:rPr>
      <w:rFonts w:eastAsia="Times New Roman"/>
      <w:lang w:val="en-GB" w:eastAsia="en-US"/>
    </w:rPr>
  </w:style>
  <w:style w:type="paragraph" w:customStyle="1" w:styleId="PlantillaESenvelopeaddress">
    <w:name w:val="Plantilla ES envelope address"/>
    <w:basedOn w:val="PlantillaESNormal"/>
    <w:semiHidden/>
    <w:unhideWhenUsed/>
    <w:rsid w:val="00C20895"/>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customStyle="1" w:styleId="PlantillaESenvelopereturn">
    <w:name w:val="Plantilla ES envelope return"/>
    <w:basedOn w:val="PlantillaESNormal"/>
    <w:semiHidden/>
    <w:unhideWhenUsed/>
    <w:rsid w:val="00C20895"/>
    <w:rPr>
      <w:rFonts w:asciiTheme="majorHAnsi" w:eastAsiaTheme="majorEastAsia" w:hAnsiTheme="majorHAnsi" w:cstheme="majorBidi"/>
    </w:rPr>
  </w:style>
  <w:style w:type="paragraph" w:customStyle="1" w:styleId="PlantillaESfootnotetext">
    <w:name w:val="Plantilla ES footnote text"/>
    <w:basedOn w:val="PlantillaESNormal"/>
    <w:link w:val="PlantillaESFootnoteTextChar"/>
    <w:semiHidden/>
    <w:unhideWhenUsed/>
    <w:rsid w:val="00C20895"/>
  </w:style>
  <w:style w:type="character" w:customStyle="1" w:styleId="PlantillaESFootnoteTextChar">
    <w:name w:val="Plantilla ES Footnote Text Char"/>
    <w:basedOn w:val="PlantillaESDefaultParagraphFont"/>
    <w:link w:val="PlantillaESfootnotetext"/>
    <w:semiHidden/>
    <w:rsid w:val="00C20895"/>
    <w:rPr>
      <w:rFonts w:eastAsia="Times New Roman"/>
      <w:lang w:val="en-GB" w:eastAsia="en-US"/>
    </w:rPr>
  </w:style>
  <w:style w:type="table" w:customStyle="1" w:styleId="PlantillaESGridTable1Light">
    <w:name w:val="Plantilla ES Grid Table 1 Light"/>
    <w:basedOn w:val="PlantillaESNormalTable"/>
    <w:uiPriority w:val="46"/>
    <w:rsid w:val="00C20895"/>
    <w:tblPr>
      <w:tblStyleRowBandSize w:val="1"/>
      <w:tblStyleColBandSize w:val="1"/>
    </w:tblPr>
    <w:tcPr>
      <w:tcBorders>
        <w:top w:val="double" w:sz="2" w:space="0" w:color="666666" w:themeColor="text1" w:themeTint="99"/>
      </w:tcBorders>
    </w:tcPr>
    <w:tblStylePr w:type="firstRow">
      <w:rPr>
        <w:b/>
        <w:bCs/>
      </w:rPr>
      <w:tblPr/>
      <w:tcPr>
        <w:tcBorders>
          <w:bottom w:val="single" w:sz="12" w:space="0" w:color="666666" w:themeColor="text1" w:themeTint="99"/>
        </w:tcBorders>
      </w:tcPr>
    </w:tblStylePr>
    <w:tblStylePr w:type="lastRow">
      <w:rPr>
        <w:b/>
        <w:bCs/>
      </w:rPr>
    </w:tblStylePr>
    <w:tblStylePr w:type="firstCol">
      <w:rPr>
        <w:b/>
        <w:bCs/>
      </w:rPr>
    </w:tblStylePr>
    <w:tblStylePr w:type="lastCol">
      <w:rPr>
        <w:b/>
        <w:bCs/>
      </w:rPr>
    </w:tblStylePr>
  </w:style>
  <w:style w:type="table" w:customStyle="1" w:styleId="PlantillaESGridTable1LightAccent1">
    <w:name w:val="Plantilla ES Grid Table 1 Light Accent 1"/>
    <w:basedOn w:val="PlantillaESNormalTable"/>
    <w:uiPriority w:val="46"/>
    <w:rsid w:val="00C20895"/>
    <w:tblPr>
      <w:tblStyleRowBandSize w:val="1"/>
      <w:tblStyleColBandSize w:val="1"/>
    </w:tblPr>
    <w:tcPr>
      <w:tcBorders>
        <w:top w:val="double" w:sz="2" w:space="0" w:color="95B3D7" w:themeColor="accent1" w:themeTint="99"/>
      </w:tcBorders>
    </w:tcPr>
    <w:tblStylePr w:type="firstRow">
      <w:rPr>
        <w:b/>
        <w:bCs/>
      </w:rPr>
      <w:tblPr/>
      <w:tcPr>
        <w:tcBorders>
          <w:bottom w:val="single" w:sz="12" w:space="0" w:color="95B3D7" w:themeColor="accent1" w:themeTint="99"/>
        </w:tcBorders>
      </w:tcPr>
    </w:tblStylePr>
    <w:tblStylePr w:type="lastRow">
      <w:rPr>
        <w:b/>
        <w:bCs/>
      </w:rPr>
    </w:tblStylePr>
    <w:tblStylePr w:type="firstCol">
      <w:rPr>
        <w:b/>
        <w:bCs/>
      </w:rPr>
    </w:tblStylePr>
    <w:tblStylePr w:type="lastCol">
      <w:rPr>
        <w:b/>
        <w:bCs/>
      </w:rPr>
    </w:tblStylePr>
  </w:style>
  <w:style w:type="table" w:customStyle="1" w:styleId="PlantillaESGridTable1LightAccent2">
    <w:name w:val="Plantilla ES Grid Table 1 Light Accent 2"/>
    <w:basedOn w:val="PlantillaESNormalTable"/>
    <w:uiPriority w:val="46"/>
    <w:rsid w:val="00C20895"/>
    <w:tblPr>
      <w:tblStyleRowBandSize w:val="1"/>
      <w:tblStyleColBandSize w:val="1"/>
    </w:tblPr>
    <w:tcPr>
      <w:tcBorders>
        <w:top w:val="double" w:sz="2" w:space="0" w:color="D99594" w:themeColor="accent2" w:themeTint="99"/>
      </w:tcBorders>
    </w:tcPr>
    <w:tblStylePr w:type="firstRow">
      <w:rPr>
        <w:b/>
        <w:bCs/>
      </w:rPr>
      <w:tblPr/>
      <w:tcPr>
        <w:tcBorders>
          <w:bottom w:val="single" w:sz="12" w:space="0" w:color="D99594" w:themeColor="accent2" w:themeTint="99"/>
        </w:tcBorders>
      </w:tcPr>
    </w:tblStylePr>
    <w:tblStylePr w:type="lastRow">
      <w:rPr>
        <w:b/>
        <w:bCs/>
      </w:rPr>
    </w:tblStylePr>
    <w:tblStylePr w:type="firstCol">
      <w:rPr>
        <w:b/>
        <w:bCs/>
      </w:rPr>
    </w:tblStylePr>
    <w:tblStylePr w:type="lastCol">
      <w:rPr>
        <w:b/>
        <w:bCs/>
      </w:rPr>
    </w:tblStylePr>
  </w:style>
  <w:style w:type="table" w:customStyle="1" w:styleId="PlantillaESGridTable1LightAccent3">
    <w:name w:val="Plantilla ES Grid Table 1 Light Accent 3"/>
    <w:basedOn w:val="PlantillaESNormalTable"/>
    <w:uiPriority w:val="46"/>
    <w:rsid w:val="00C20895"/>
    <w:tblPr>
      <w:tblStyleRowBandSize w:val="1"/>
      <w:tblStyleColBandSize w:val="1"/>
    </w:tblPr>
    <w:tcPr>
      <w:tcBorders>
        <w:top w:val="double" w:sz="2" w:space="0" w:color="C2D69B" w:themeColor="accent3" w:themeTint="99"/>
      </w:tcBorders>
    </w:tcPr>
    <w:tblStylePr w:type="firstRow">
      <w:rPr>
        <w:b/>
        <w:bCs/>
      </w:rPr>
      <w:tblPr/>
      <w:tcPr>
        <w:tcBorders>
          <w:bottom w:val="single" w:sz="12" w:space="0" w:color="C2D69B" w:themeColor="accent3" w:themeTint="99"/>
        </w:tcBorders>
      </w:tcPr>
    </w:tblStylePr>
    <w:tblStylePr w:type="lastRow">
      <w:rPr>
        <w:b/>
        <w:bCs/>
      </w:rPr>
    </w:tblStylePr>
    <w:tblStylePr w:type="firstCol">
      <w:rPr>
        <w:b/>
        <w:bCs/>
      </w:rPr>
    </w:tblStylePr>
    <w:tblStylePr w:type="lastCol">
      <w:rPr>
        <w:b/>
        <w:bCs/>
      </w:rPr>
    </w:tblStylePr>
  </w:style>
  <w:style w:type="table" w:customStyle="1" w:styleId="PlantillaESGridTable1LightAccent4">
    <w:name w:val="Plantilla ES Grid Table 1 Light Accent 4"/>
    <w:basedOn w:val="PlantillaESNormalTable"/>
    <w:uiPriority w:val="46"/>
    <w:rsid w:val="00C20895"/>
    <w:tblPr>
      <w:tblStyleRowBandSize w:val="1"/>
      <w:tblStyleColBandSize w:val="1"/>
    </w:tblPr>
    <w:tcPr>
      <w:tcBorders>
        <w:top w:val="double" w:sz="2" w:space="0" w:color="B2A1C7" w:themeColor="accent4" w:themeTint="99"/>
      </w:tcBorders>
    </w:tcPr>
    <w:tblStylePr w:type="firstRow">
      <w:rPr>
        <w:b/>
        <w:bCs/>
      </w:rPr>
      <w:tblPr/>
      <w:tcPr>
        <w:tcBorders>
          <w:bottom w:val="single" w:sz="12" w:space="0" w:color="B2A1C7" w:themeColor="accent4" w:themeTint="99"/>
        </w:tcBorders>
      </w:tcPr>
    </w:tblStylePr>
    <w:tblStylePr w:type="lastRow">
      <w:rPr>
        <w:b/>
        <w:bCs/>
      </w:rPr>
    </w:tblStylePr>
    <w:tblStylePr w:type="firstCol">
      <w:rPr>
        <w:b/>
        <w:bCs/>
      </w:rPr>
    </w:tblStylePr>
    <w:tblStylePr w:type="lastCol">
      <w:rPr>
        <w:b/>
        <w:bCs/>
      </w:rPr>
    </w:tblStylePr>
  </w:style>
  <w:style w:type="table" w:customStyle="1" w:styleId="PlantillaESGridTable1LightAccent5">
    <w:name w:val="Plantilla ES Grid Table 1 Light Accent 5"/>
    <w:basedOn w:val="PlantillaESNormalTable"/>
    <w:uiPriority w:val="46"/>
    <w:rsid w:val="00C20895"/>
    <w:tblPr>
      <w:tblStyleRowBandSize w:val="1"/>
      <w:tblStyleColBandSize w:val="1"/>
    </w:tblPr>
    <w:tcPr>
      <w:tcBorders>
        <w:top w:val="double" w:sz="2" w:space="0" w:color="92CDDC" w:themeColor="accent5" w:themeTint="99"/>
      </w:tcBorders>
    </w:tcPr>
    <w:tblStylePr w:type="firstRow">
      <w:rPr>
        <w:b/>
        <w:bCs/>
      </w:rPr>
      <w:tblPr/>
      <w:tcPr>
        <w:tcBorders>
          <w:bottom w:val="single" w:sz="12" w:space="0" w:color="92CDDC" w:themeColor="accent5" w:themeTint="99"/>
        </w:tcBorders>
      </w:tcPr>
    </w:tblStylePr>
    <w:tblStylePr w:type="lastRow">
      <w:rPr>
        <w:b/>
        <w:bCs/>
      </w:rPr>
    </w:tblStylePr>
    <w:tblStylePr w:type="firstCol">
      <w:rPr>
        <w:b/>
        <w:bCs/>
      </w:rPr>
    </w:tblStylePr>
    <w:tblStylePr w:type="lastCol">
      <w:rPr>
        <w:b/>
        <w:bCs/>
      </w:rPr>
    </w:tblStylePr>
  </w:style>
  <w:style w:type="table" w:customStyle="1" w:styleId="PlantillaESGridTable1LightAccent6">
    <w:name w:val="Plantilla ES Grid Table 1 Light Accent 6"/>
    <w:basedOn w:val="PlantillaESNormalTable"/>
    <w:uiPriority w:val="46"/>
    <w:rsid w:val="00C20895"/>
    <w:tblPr>
      <w:tblStyleRowBandSize w:val="1"/>
      <w:tblStyleColBandSize w:val="1"/>
    </w:tblPr>
    <w:tcPr>
      <w:tcBorders>
        <w:top w:val="double" w:sz="2" w:space="0" w:color="FABF8F" w:themeColor="accent6" w:themeTint="99"/>
      </w:tcBorders>
    </w:tcPr>
    <w:tblStylePr w:type="firstRow">
      <w:rPr>
        <w:b/>
        <w:bCs/>
      </w:rPr>
      <w:tblPr/>
      <w:tcPr>
        <w:tcBorders>
          <w:bottom w:val="single" w:sz="12" w:space="0" w:color="FABF8F" w:themeColor="accent6" w:themeTint="99"/>
        </w:tcBorders>
      </w:tcPr>
    </w:tblStylePr>
    <w:tblStylePr w:type="lastRow">
      <w:rPr>
        <w:b/>
        <w:bCs/>
      </w:rPr>
    </w:tblStylePr>
    <w:tblStylePr w:type="firstCol">
      <w:rPr>
        <w:b/>
        <w:bCs/>
      </w:rPr>
    </w:tblStylePr>
    <w:tblStylePr w:type="lastCol">
      <w:rPr>
        <w:b/>
        <w:bCs/>
      </w:rPr>
    </w:tblStylePr>
  </w:style>
  <w:style w:type="table" w:customStyle="1" w:styleId="PlantillaESGridTable2">
    <w:name w:val="Plantilla ES Grid Table 2"/>
    <w:basedOn w:val="PlantillaESNormalTable"/>
    <w:uiPriority w:val="47"/>
    <w:rsid w:val="00C20895"/>
    <w:tblPr>
      <w:tblStyleRowBandSize w:val="1"/>
      <w:tblStyleColBandSize w:val="1"/>
    </w:tblPr>
    <w:tcPr>
      <w:tcBorders>
        <w:top w:val="double" w:sz="2" w:space="0" w:color="666666" w:themeColor="text1" w:themeTint="99"/>
        <w:bottom w:val="nil"/>
      </w:tcBorders>
      <w:shd w:val="clear" w:color="auto" w:fill="CCCCCC" w:themeFill="text1" w:themeFillTint="33"/>
    </w:tc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2Accent1">
    <w:name w:val="Plantilla ES Grid Table 2 Accent 1"/>
    <w:basedOn w:val="PlantillaESNormalTable"/>
    <w:uiPriority w:val="47"/>
    <w:rsid w:val="00C20895"/>
    <w:tblPr>
      <w:tblStyleRowBandSize w:val="1"/>
      <w:tblStyleColBandSize w:val="1"/>
    </w:tblPr>
    <w:tcPr>
      <w:tcBorders>
        <w:top w:val="double" w:sz="2" w:space="0" w:color="95B3D7" w:themeColor="accent1" w:themeTint="99"/>
        <w:bottom w:val="nil"/>
      </w:tcBorders>
      <w:shd w:val="clear" w:color="auto" w:fill="DBE5F1" w:themeFill="accent1" w:themeFillTint="33"/>
    </w:tc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2Accent2">
    <w:name w:val="Plantilla ES Grid Table 2 Accent 2"/>
    <w:basedOn w:val="PlantillaESNormalTable"/>
    <w:uiPriority w:val="47"/>
    <w:rsid w:val="00C20895"/>
    <w:tblPr>
      <w:tblStyleRowBandSize w:val="1"/>
      <w:tblStyleColBandSize w:val="1"/>
    </w:tblPr>
    <w:tcPr>
      <w:tcBorders>
        <w:top w:val="double" w:sz="2" w:space="0" w:color="D99594" w:themeColor="accent2" w:themeTint="99"/>
        <w:bottom w:val="nil"/>
      </w:tcBorders>
      <w:shd w:val="clear" w:color="auto" w:fill="F2DBDB" w:themeFill="accent2" w:themeFillTint="33"/>
    </w:tc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2Accent3">
    <w:name w:val="Plantilla ES Grid Table 2 Accent 3"/>
    <w:basedOn w:val="PlantillaESNormalTable"/>
    <w:uiPriority w:val="47"/>
    <w:rsid w:val="00C20895"/>
    <w:tblPr>
      <w:tblStyleRowBandSize w:val="1"/>
      <w:tblStyleColBandSize w:val="1"/>
    </w:tblPr>
    <w:tcPr>
      <w:tcBorders>
        <w:top w:val="double" w:sz="2" w:space="0" w:color="C2D69B" w:themeColor="accent3" w:themeTint="99"/>
        <w:bottom w:val="nil"/>
      </w:tcBorders>
      <w:shd w:val="clear" w:color="auto" w:fill="EAF1DD" w:themeFill="accent3" w:themeFillTint="33"/>
    </w:tc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2Accent4">
    <w:name w:val="Plantilla ES Grid Table 2 Accent 4"/>
    <w:basedOn w:val="PlantillaESNormalTable"/>
    <w:uiPriority w:val="47"/>
    <w:rsid w:val="00C20895"/>
    <w:tblPr>
      <w:tblStyleRowBandSize w:val="1"/>
      <w:tblStyleColBandSize w:val="1"/>
    </w:tblPr>
    <w:tcPr>
      <w:tcBorders>
        <w:top w:val="double" w:sz="2" w:space="0" w:color="B2A1C7" w:themeColor="accent4" w:themeTint="99"/>
        <w:bottom w:val="nil"/>
      </w:tcBorders>
      <w:shd w:val="clear" w:color="auto" w:fill="E5DFEC" w:themeFill="accent4" w:themeFillTint="33"/>
    </w:tc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2Accent5">
    <w:name w:val="Plantilla ES Grid Table 2 Accent 5"/>
    <w:basedOn w:val="PlantillaESNormalTable"/>
    <w:uiPriority w:val="47"/>
    <w:rsid w:val="00C20895"/>
    <w:tblPr>
      <w:tblStyleRowBandSize w:val="1"/>
      <w:tblStyleColBandSize w:val="1"/>
    </w:tblPr>
    <w:tcPr>
      <w:tcBorders>
        <w:top w:val="double" w:sz="2" w:space="0" w:color="92CDDC" w:themeColor="accent5" w:themeTint="99"/>
        <w:bottom w:val="nil"/>
      </w:tcBorders>
      <w:shd w:val="clear" w:color="auto" w:fill="DAEEF3" w:themeFill="accent5" w:themeFillTint="33"/>
    </w:tc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2Accent6">
    <w:name w:val="Plantilla ES Grid Table 2 Accent 6"/>
    <w:basedOn w:val="PlantillaESNormalTable"/>
    <w:uiPriority w:val="47"/>
    <w:rsid w:val="00C20895"/>
    <w:tblPr>
      <w:tblStyleRowBandSize w:val="1"/>
      <w:tblStyleColBandSize w:val="1"/>
    </w:tblPr>
    <w:tcPr>
      <w:tcBorders>
        <w:top w:val="double" w:sz="2" w:space="0" w:color="FABF8F" w:themeColor="accent6" w:themeTint="99"/>
        <w:bottom w:val="nil"/>
      </w:tcBorders>
      <w:shd w:val="clear" w:color="auto" w:fill="FDE9D9" w:themeFill="accent6" w:themeFillTint="33"/>
    </w:tc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StylePr>
    <w:tblStylePr w:type="firstCol">
      <w:rPr>
        <w:b/>
        <w:bCs/>
      </w:rPr>
    </w:tblStylePr>
    <w:tblStylePr w:type="lastCol">
      <w:rPr>
        <w:b/>
        <w:bCs/>
      </w:rPr>
    </w:tblStylePr>
  </w:style>
  <w:style w:type="table" w:customStyle="1" w:styleId="PlantillaESGridTable3">
    <w:name w:val="Plantilla ES Grid Table 3"/>
    <w:basedOn w:val="PlantillaESNormalTable"/>
    <w:uiPriority w:val="48"/>
    <w:rsid w:val="00C20895"/>
    <w:tblPr>
      <w:tblStyleRowBandSize w:val="1"/>
      <w:tblStyleColBandSize w:val="1"/>
    </w:tblPr>
    <w:tcPr>
      <w:tcBorders>
        <w:top w:val="nil"/>
        <w:bottom w:val="nil"/>
        <w:right w:val="nil"/>
      </w:tcBorders>
      <w:shd w:val="clear" w:color="auto" w:fill="CCCCCC" w:themeFill="tex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ntillaESGridTable3Accent1">
    <w:name w:val="Plantilla ES Grid Table 3 Accent 1"/>
    <w:basedOn w:val="PlantillaESNormalTable"/>
    <w:uiPriority w:val="48"/>
    <w:rsid w:val="00C20895"/>
    <w:tblPr>
      <w:tblStyleRowBandSize w:val="1"/>
      <w:tblStyleColBandSize w:val="1"/>
    </w:tblPr>
    <w:tcPr>
      <w:tcBorders>
        <w:top w:val="nil"/>
        <w:bottom w:val="nil"/>
        <w:right w:val="nil"/>
      </w:tcBorders>
      <w:shd w:val="clear" w:color="auto" w:fill="DBE5F1" w:themeFill="accent1"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PlantillaESGridTable3Accent2">
    <w:name w:val="Plantilla ES Grid Table 3 Accent 2"/>
    <w:basedOn w:val="PlantillaESNormalTable"/>
    <w:uiPriority w:val="48"/>
    <w:rsid w:val="00C20895"/>
    <w:tblPr>
      <w:tblStyleRowBandSize w:val="1"/>
      <w:tblStyleColBandSize w:val="1"/>
    </w:tblPr>
    <w:tcPr>
      <w:tcBorders>
        <w:top w:val="nil"/>
        <w:bottom w:val="nil"/>
        <w:right w:val="nil"/>
      </w:tcBorders>
      <w:shd w:val="clear" w:color="auto" w:fill="F2DBDB" w:themeFill="accent2"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PlantillaESGridTable3Accent3">
    <w:name w:val="Plantilla ES Grid Table 3 Accent 3"/>
    <w:basedOn w:val="PlantillaESNormalTable"/>
    <w:uiPriority w:val="48"/>
    <w:rsid w:val="00C20895"/>
    <w:tblPr>
      <w:tblStyleRowBandSize w:val="1"/>
      <w:tblStyleColBandSize w:val="1"/>
    </w:tblPr>
    <w:tcPr>
      <w:tcBorders>
        <w:top w:val="nil"/>
        <w:bottom w:val="nil"/>
        <w:right w:val="nil"/>
      </w:tcBorders>
      <w:shd w:val="clear" w:color="auto" w:fill="EAF1DD" w:themeFill="accent3"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PlantillaESGridTable3Accent4">
    <w:name w:val="Plantilla ES Grid Table 3 Accent 4"/>
    <w:basedOn w:val="PlantillaESNormalTable"/>
    <w:uiPriority w:val="48"/>
    <w:rsid w:val="00C20895"/>
    <w:tblPr>
      <w:tblStyleRowBandSize w:val="1"/>
      <w:tblStyleColBandSize w:val="1"/>
    </w:tblPr>
    <w:tcPr>
      <w:tcBorders>
        <w:top w:val="nil"/>
        <w:bottom w:val="nil"/>
        <w:right w:val="nil"/>
      </w:tcBorders>
      <w:shd w:val="clear" w:color="auto" w:fill="E5DFEC" w:themeFill="accent4"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PlantillaESGridTable3Accent5">
    <w:name w:val="Plantilla ES Grid Table 3 Accent 5"/>
    <w:basedOn w:val="PlantillaESNormalTable"/>
    <w:uiPriority w:val="48"/>
    <w:rsid w:val="00C20895"/>
    <w:tblPr>
      <w:tblStyleRowBandSize w:val="1"/>
      <w:tblStyleColBandSize w:val="1"/>
    </w:tblPr>
    <w:tcPr>
      <w:tcBorders>
        <w:top w:val="nil"/>
        <w:bottom w:val="nil"/>
        <w:right w:val="nil"/>
      </w:tcBorders>
      <w:shd w:val="clear" w:color="auto" w:fill="DAEEF3" w:themeFill="accent5"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PlantillaESGridTable3Accent6">
    <w:name w:val="Plantilla ES Grid Table 3 Accent 6"/>
    <w:basedOn w:val="PlantillaESNormalTable"/>
    <w:uiPriority w:val="48"/>
    <w:rsid w:val="00C20895"/>
    <w:tblPr>
      <w:tblStyleRowBandSize w:val="1"/>
      <w:tblStyleColBandSize w:val="1"/>
    </w:tblPr>
    <w:tcPr>
      <w:tcBorders>
        <w:top w:val="nil"/>
        <w:bottom w:val="nil"/>
        <w:right w:val="nil"/>
      </w:tcBorders>
      <w:shd w:val="clear" w:color="auto" w:fill="FDE9D9" w:themeFill="accent6" w:themeFillTint="33"/>
    </w:tc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PlantillaESGridTable4">
    <w:name w:val="Plantilla ES Grid Table 4"/>
    <w:basedOn w:val="PlantillaESNormalTable"/>
    <w:uiPriority w:val="49"/>
    <w:rsid w:val="00C20895"/>
    <w:tblPr>
      <w:tblStyleRowBandSize w:val="1"/>
      <w:tblStyleColBandSize w:val="1"/>
    </w:tblPr>
    <w:tcPr>
      <w:tcBorders>
        <w:right w:val="single" w:sz="4" w:space="0" w:color="000000" w:themeColor="text1"/>
      </w:tcBorders>
      <w:shd w:val="clear" w:color="auto" w:fill="CCCCCC" w:themeFill="tex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4Accent1">
    <w:name w:val="Plantilla ES Grid Table 4 Accent 1"/>
    <w:basedOn w:val="PlantillaESNormalTable"/>
    <w:uiPriority w:val="49"/>
    <w:rsid w:val="00C20895"/>
    <w:tblPr>
      <w:tblStyleRowBandSize w:val="1"/>
      <w:tblStyleColBandSize w:val="1"/>
    </w:tblPr>
    <w:tcPr>
      <w:tcBorders>
        <w:right w:val="single" w:sz="4" w:space="0" w:color="4F81BD" w:themeColor="accent1"/>
      </w:tcBorders>
      <w:shd w:val="clear" w:color="auto" w:fill="DBE5F1" w:themeFill="accent1"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4Accent2">
    <w:name w:val="Plantilla ES Grid Table 4 Accent 2"/>
    <w:basedOn w:val="PlantillaESNormalTable"/>
    <w:uiPriority w:val="49"/>
    <w:rsid w:val="00C20895"/>
    <w:tblPr>
      <w:tblStyleRowBandSize w:val="1"/>
      <w:tblStyleColBandSize w:val="1"/>
    </w:tblPr>
    <w:tcPr>
      <w:tcBorders>
        <w:right w:val="single" w:sz="4" w:space="0" w:color="C0504D" w:themeColor="accent2"/>
      </w:tcBorders>
      <w:shd w:val="clear" w:color="auto" w:fill="F2DBDB" w:themeFill="accent2"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4Accent3">
    <w:name w:val="Plantilla ES Grid Table 4 Accent 3"/>
    <w:basedOn w:val="PlantillaESNormalTable"/>
    <w:uiPriority w:val="49"/>
    <w:rsid w:val="00C20895"/>
    <w:tblPr>
      <w:tblStyleRowBandSize w:val="1"/>
      <w:tblStyleColBandSize w:val="1"/>
    </w:tblPr>
    <w:tcPr>
      <w:tcBorders>
        <w:right w:val="single" w:sz="4" w:space="0" w:color="9BBB59" w:themeColor="accent3"/>
      </w:tcBorders>
      <w:shd w:val="clear" w:color="auto" w:fill="EAF1DD" w:themeFill="accent3"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4Accent4">
    <w:name w:val="Plantilla ES Grid Table 4 Accent 4"/>
    <w:basedOn w:val="PlantillaESNormalTable"/>
    <w:uiPriority w:val="49"/>
    <w:rsid w:val="00C20895"/>
    <w:tblPr>
      <w:tblStyleRowBandSize w:val="1"/>
      <w:tblStyleColBandSize w:val="1"/>
    </w:tblPr>
    <w:tcPr>
      <w:tcBorders>
        <w:right w:val="single" w:sz="4" w:space="0" w:color="8064A2" w:themeColor="accent4"/>
      </w:tcBorders>
      <w:shd w:val="clear" w:color="auto" w:fill="E5DFEC" w:themeFill="accent4"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4Accent5">
    <w:name w:val="Plantilla ES Grid Table 4 Accent 5"/>
    <w:basedOn w:val="PlantillaESNormalTable"/>
    <w:uiPriority w:val="49"/>
    <w:rsid w:val="00C20895"/>
    <w:tblPr>
      <w:tblStyleRowBandSize w:val="1"/>
      <w:tblStyleColBandSize w:val="1"/>
    </w:tblPr>
    <w:tcPr>
      <w:tcBorders>
        <w:right w:val="single" w:sz="4" w:space="0" w:color="4BACC6" w:themeColor="accent5"/>
      </w:tcBorders>
      <w:shd w:val="clear" w:color="auto" w:fill="DAEEF3" w:themeFill="accent5"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4Accent6">
    <w:name w:val="Plantilla ES Grid Table 4 Accent 6"/>
    <w:basedOn w:val="PlantillaESNormalTable"/>
    <w:uiPriority w:val="49"/>
    <w:rsid w:val="00C20895"/>
    <w:tblPr>
      <w:tblStyleRowBandSize w:val="1"/>
      <w:tblStyleColBandSize w:val="1"/>
    </w:tblPr>
    <w:tcPr>
      <w:tcBorders>
        <w:right w:val="single" w:sz="4" w:space="0" w:color="F79646" w:themeColor="accent6"/>
      </w:tcBorders>
      <w:shd w:val="clear" w:color="auto" w:fill="FDE9D9" w:themeFill="accent6" w:themeFillTint="33"/>
    </w:tcPr>
    <w:tblStylePr w:type="firstRow">
      <w:rPr>
        <w:b/>
        <w:bCs/>
        <w:color w:val="FFFFFF" w:themeColor="background1"/>
      </w:rPr>
    </w:tblStylePr>
    <w:tblStylePr w:type="lastRow">
      <w:rPr>
        <w:b/>
        <w:bCs/>
      </w:rPr>
    </w:tblStylePr>
    <w:tblStylePr w:type="firstCol">
      <w:rPr>
        <w:b/>
        <w:bCs/>
      </w:rPr>
    </w:tblStylePr>
    <w:tblStylePr w:type="lastCol">
      <w:rPr>
        <w:b/>
        <w:bCs/>
      </w:rPr>
    </w:tblStylePr>
  </w:style>
  <w:style w:type="table" w:customStyle="1" w:styleId="PlantillaESGridTable5Dark">
    <w:name w:val="Plantilla ES Grid Table 5 Dark"/>
    <w:basedOn w:val="PlantillaESNormalTable"/>
    <w:uiPriority w:val="50"/>
    <w:rsid w:val="00C20895"/>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tcBorders>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StylePr>
    <w:tblStylePr w:type="lastCol">
      <w:rPr>
        <w:b/>
        <w:bCs/>
        <w:color w:val="FFFFFF" w:themeColor="background1"/>
      </w:rPr>
    </w:tblStylePr>
  </w:style>
  <w:style w:type="table" w:customStyle="1" w:styleId="PlantillaESGridTable5DarkAccent1">
    <w:name w:val="Plantilla ES Grid Table 5 Dark Accent 1"/>
    <w:basedOn w:val="PlantillaESNormalTable"/>
    <w:uiPriority w:val="50"/>
    <w:rsid w:val="00C20895"/>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tcBorders>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StylePr>
    <w:tblStylePr w:type="lastCol">
      <w:rPr>
        <w:b/>
        <w:bCs/>
        <w:color w:val="FFFFFF" w:themeColor="background1"/>
      </w:rPr>
    </w:tblStylePr>
  </w:style>
  <w:style w:type="table" w:customStyle="1" w:styleId="PlantillaESGridTable5DarkAccent2">
    <w:name w:val="Plantilla ES Grid Table 5 Dark Accent 2"/>
    <w:basedOn w:val="PlantillaESNormalTable"/>
    <w:uiPriority w:val="50"/>
    <w:rsid w:val="00C20895"/>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tcBorders>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StylePr>
    <w:tblStylePr w:type="lastCol">
      <w:rPr>
        <w:b/>
        <w:bCs/>
        <w:color w:val="FFFFFF" w:themeColor="background1"/>
      </w:rPr>
    </w:tblStylePr>
  </w:style>
  <w:style w:type="table" w:customStyle="1" w:styleId="PlantillaESGridTable5DarkAccent3">
    <w:name w:val="Plantilla ES Grid Table 5 Dark Accent 3"/>
    <w:basedOn w:val="PlantillaESNormalTable"/>
    <w:uiPriority w:val="50"/>
    <w:rsid w:val="00C20895"/>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tcBorders>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StylePr>
    <w:tblStylePr w:type="lastCol">
      <w:rPr>
        <w:b/>
        <w:bCs/>
        <w:color w:val="FFFFFF" w:themeColor="background1"/>
      </w:rPr>
    </w:tblStylePr>
  </w:style>
  <w:style w:type="table" w:customStyle="1" w:styleId="PlantillaESGridTable5DarkAccent4">
    <w:name w:val="Plantilla ES Grid Table 5 Dark Accent 4"/>
    <w:basedOn w:val="PlantillaESNormalTable"/>
    <w:uiPriority w:val="50"/>
    <w:rsid w:val="00C20895"/>
    <w:tblPr>
      <w:tblStyleRowBandSize w:val="1"/>
      <w:tblStyleColBandSize w:val="1"/>
    </w:tblPr>
    <w:tcPr>
      <w:tcBorders>
        <w:top w:val="single" w:sz="4" w:space="0" w:color="FFFFFF" w:themeColor="background1"/>
        <w:left w:val="single" w:sz="4" w:space="0" w:color="FFFFFF" w:themeColor="background1"/>
        <w:bottom w:val="single" w:sz="4" w:space="0" w:color="FFFFFF" w:themeColor="background1"/>
      </w:tcBorders>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StylePr>
    <w:tblStylePr w:type="lastCol">
      <w:rPr>
        <w:b/>
        <w:bCs/>
        <w:color w:val="FFFFFF" w:themeColor="background1"/>
      </w:rPr>
    </w:tblStylePr>
  </w:style>
  <w:style w:type="table" w:customStyle="1" w:styleId="PlantillaESGridTable5DarkAccent5">
    <w:name w:val="Plantilla ES Grid Table 5 Dark Accent 5"/>
    <w:basedOn w:val="PlantillaESNormalTable"/>
    <w:uiPriority w:val="50"/>
    <w:rsid w:val="00C20895"/>
    <w:tblPr>
      <w:tblStyleRowBandSize w:val="1"/>
      <w:tblStyleColBandSize w:val="1"/>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style>
  <w:style w:type="table" w:customStyle="1" w:styleId="PlantillaESGridTable5DarkAccent6">
    <w:name w:val="Plantilla ES Grid Table 5 Dark Accent 6"/>
    <w:basedOn w:val="PlantillaESNormalTable"/>
    <w:uiPriority w:val="50"/>
    <w:rsid w:val="00C20895"/>
    <w:tblPr>
      <w:tblStyleRowBandSize w:val="1"/>
      <w:tblStyleColBandSize w:val="1"/>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style>
  <w:style w:type="table" w:customStyle="1" w:styleId="PlantillaESGridTable6Colorful">
    <w:name w:val="Plantilla ES Grid Table 6 Colorful"/>
    <w:basedOn w:val="PlantillaESNormalTable"/>
    <w:uiPriority w:val="51"/>
    <w:rsid w:val="00C208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ntillaESGridTable6ColorfulAccent1">
    <w:name w:val="Plantilla ES Grid Table 6 Colorful Accent 1"/>
    <w:basedOn w:val="PlantillaESNormalTable"/>
    <w:uiPriority w:val="51"/>
    <w:rsid w:val="00C20895"/>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ntillaESGridTable6ColorfulAccent2">
    <w:name w:val="Plantilla ES Grid Table 6 Colorful Accent 2"/>
    <w:basedOn w:val="PlantillaESNormalTable"/>
    <w:uiPriority w:val="51"/>
    <w:rsid w:val="00C20895"/>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PlantillaESGridTable6ColorfulAccent3">
    <w:name w:val="Plantilla ES Grid Table 6 Colorful Accent 3"/>
    <w:basedOn w:val="PlantillaESNormalTable"/>
    <w:uiPriority w:val="51"/>
    <w:rsid w:val="00C20895"/>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ntillaESGridTable6ColorfulAccent4">
    <w:name w:val="Plantilla ES Grid Table 6 Colorful Accent 4"/>
    <w:basedOn w:val="PlantillaESNormalTable"/>
    <w:uiPriority w:val="51"/>
    <w:rsid w:val="00C20895"/>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PlantillaESGridTable6ColorfulAccent5">
    <w:name w:val="Plantilla ES Grid Table 6 Colorful Accent 5"/>
    <w:basedOn w:val="PlantillaESNormalTable"/>
    <w:uiPriority w:val="51"/>
    <w:rsid w:val="00C20895"/>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ntillaESGridTable6ColorfulAccent6">
    <w:name w:val="Plantilla ES Grid Table 6 Colorful Accent 6"/>
    <w:basedOn w:val="PlantillaESNormalTable"/>
    <w:uiPriority w:val="51"/>
    <w:rsid w:val="00C20895"/>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ntillaESGridTable7Colorful">
    <w:name w:val="Plantilla ES Grid Table 7 Colorful"/>
    <w:basedOn w:val="PlantillaESNormalTable"/>
    <w:uiPriority w:val="52"/>
    <w:rsid w:val="00C20895"/>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PlantillaESGridTable7ColorfulAccent1">
    <w:name w:val="Plantilla ES Grid Table 7 Colorful Accent 1"/>
    <w:basedOn w:val="PlantillaESNormalTable"/>
    <w:uiPriority w:val="52"/>
    <w:rsid w:val="00C20895"/>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customStyle="1" w:styleId="PlantillaESGridTable7ColorfulAccent2">
    <w:name w:val="Plantilla ES Grid Table 7 Colorful Accent 2"/>
    <w:basedOn w:val="PlantillaESNormalTable"/>
    <w:uiPriority w:val="52"/>
    <w:rsid w:val="00C20895"/>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customStyle="1" w:styleId="PlantillaESGridTable7ColorfulAccent3">
    <w:name w:val="Plantilla ES Grid Table 7 Colorful Accent 3"/>
    <w:basedOn w:val="PlantillaESNormalTable"/>
    <w:uiPriority w:val="52"/>
    <w:rsid w:val="00C20895"/>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customStyle="1" w:styleId="PlantillaESGridTable7ColorfulAccent4">
    <w:name w:val="Plantilla ES Grid Table 7 Colorful Accent 4"/>
    <w:basedOn w:val="PlantillaESNormalTable"/>
    <w:uiPriority w:val="52"/>
    <w:rsid w:val="00C20895"/>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customStyle="1" w:styleId="PlantillaESGridTable7ColorfulAccent5">
    <w:name w:val="Plantilla ES Grid Table 7 Colorful Accent 5"/>
    <w:basedOn w:val="PlantillaESNormalTable"/>
    <w:uiPriority w:val="52"/>
    <w:rsid w:val="00C20895"/>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PlantillaESGridTable7ColorfulAccent6">
    <w:name w:val="Plantilla ES Grid Table 7 Colorful Accent 6"/>
    <w:basedOn w:val="PlantillaESNormalTable"/>
    <w:uiPriority w:val="52"/>
    <w:rsid w:val="00C20895"/>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PlantillaESHashtag1">
    <w:name w:val="Plantilla ES Hashtag1"/>
    <w:basedOn w:val="PlantillaESDefaultParagraphFont"/>
    <w:uiPriority w:val="99"/>
    <w:semiHidden/>
    <w:rsid w:val="00C20895"/>
    <w:rPr>
      <w:color w:val="2B579A"/>
      <w:shd w:val="clear" w:color="auto" w:fill="E1DFDD"/>
      <w:lang w:val="en-GB"/>
    </w:rPr>
  </w:style>
  <w:style w:type="character" w:customStyle="1" w:styleId="PlantillaESHTMLAcronym">
    <w:name w:val="Plantilla ES HTML Acronym"/>
    <w:basedOn w:val="PlantillaESDefaultParagraphFont"/>
    <w:semiHidden/>
    <w:unhideWhenUsed/>
    <w:rsid w:val="00C20895"/>
    <w:rPr>
      <w:lang w:val="en-GB"/>
    </w:rPr>
  </w:style>
  <w:style w:type="paragraph" w:customStyle="1" w:styleId="PlantillaESHTMLAddress">
    <w:name w:val="Plantilla ES HTML Address"/>
    <w:basedOn w:val="PlantillaESNormal"/>
    <w:link w:val="PlantillaESHTMLAddressChar"/>
    <w:semiHidden/>
    <w:unhideWhenUsed/>
    <w:rsid w:val="00C20895"/>
    <w:rPr>
      <w:i/>
      <w:iCs/>
    </w:rPr>
  </w:style>
  <w:style w:type="character" w:customStyle="1" w:styleId="PlantillaESHTMLAddressChar">
    <w:name w:val="Plantilla ES HTML Address Char"/>
    <w:basedOn w:val="PlantillaESDefaultParagraphFont"/>
    <w:link w:val="PlantillaESHTMLAddress"/>
    <w:semiHidden/>
    <w:rsid w:val="00C20895"/>
    <w:rPr>
      <w:rFonts w:eastAsia="Times New Roman"/>
      <w:i/>
      <w:iCs/>
      <w:lang w:val="en-GB" w:eastAsia="en-US"/>
    </w:rPr>
  </w:style>
  <w:style w:type="character" w:customStyle="1" w:styleId="PlantillaESHTMLCite">
    <w:name w:val="Plantilla ES HTML Cite"/>
    <w:basedOn w:val="PlantillaESDefaultParagraphFont"/>
    <w:semiHidden/>
    <w:unhideWhenUsed/>
    <w:rsid w:val="00C20895"/>
    <w:rPr>
      <w:i/>
      <w:iCs/>
      <w:lang w:val="en-GB"/>
    </w:rPr>
  </w:style>
  <w:style w:type="character" w:customStyle="1" w:styleId="PlantillaESHTMLCode">
    <w:name w:val="Plantilla ES HTML Code"/>
    <w:basedOn w:val="PlantillaESDefaultParagraphFont"/>
    <w:semiHidden/>
    <w:unhideWhenUsed/>
    <w:rsid w:val="00C20895"/>
    <w:rPr>
      <w:rFonts w:ascii="Consolas" w:hAnsi="Consolas"/>
      <w:sz w:val="20"/>
      <w:szCs w:val="20"/>
      <w:lang w:val="en-GB"/>
    </w:rPr>
  </w:style>
  <w:style w:type="character" w:customStyle="1" w:styleId="PlantillaESHTMLDefinition">
    <w:name w:val="Plantilla ES HTML Definition"/>
    <w:basedOn w:val="PlantillaESDefaultParagraphFont"/>
    <w:semiHidden/>
    <w:unhideWhenUsed/>
    <w:rsid w:val="00C20895"/>
    <w:rPr>
      <w:i/>
      <w:iCs/>
      <w:lang w:val="en-GB"/>
    </w:rPr>
  </w:style>
  <w:style w:type="character" w:customStyle="1" w:styleId="PlantillaESHTMLKeyboard">
    <w:name w:val="Plantilla ES HTML Keyboard"/>
    <w:basedOn w:val="PlantillaESDefaultParagraphFont"/>
    <w:semiHidden/>
    <w:unhideWhenUsed/>
    <w:rsid w:val="00C20895"/>
    <w:rPr>
      <w:rFonts w:ascii="Consolas" w:hAnsi="Consolas"/>
      <w:sz w:val="20"/>
      <w:szCs w:val="20"/>
      <w:lang w:val="en-GB"/>
    </w:rPr>
  </w:style>
  <w:style w:type="paragraph" w:customStyle="1" w:styleId="PlantillaESHTMLPreformatted">
    <w:name w:val="Plantilla ES HTML Preformatted"/>
    <w:basedOn w:val="PlantillaESNormal"/>
    <w:link w:val="PlantillaESHTMLPreformattedChar"/>
    <w:semiHidden/>
    <w:unhideWhenUsed/>
    <w:rsid w:val="00C20895"/>
    <w:rPr>
      <w:rFonts w:ascii="Consolas" w:hAnsi="Consolas"/>
    </w:rPr>
  </w:style>
  <w:style w:type="character" w:customStyle="1" w:styleId="PlantillaESHTMLPreformattedChar">
    <w:name w:val="Plantilla ES HTML Preformatted Char"/>
    <w:basedOn w:val="PlantillaESDefaultParagraphFont"/>
    <w:link w:val="PlantillaESHTMLPreformatted"/>
    <w:semiHidden/>
    <w:rsid w:val="00C20895"/>
    <w:rPr>
      <w:rFonts w:ascii="Consolas" w:eastAsia="Times New Roman" w:hAnsi="Consolas"/>
      <w:lang w:val="en-GB" w:eastAsia="en-US"/>
    </w:rPr>
  </w:style>
  <w:style w:type="character" w:customStyle="1" w:styleId="PlantillaESHTMLSample">
    <w:name w:val="Plantilla ES HTML Sample"/>
    <w:basedOn w:val="PlantillaESDefaultParagraphFont"/>
    <w:semiHidden/>
    <w:unhideWhenUsed/>
    <w:rsid w:val="00C20895"/>
    <w:rPr>
      <w:rFonts w:ascii="Consolas" w:hAnsi="Consolas"/>
      <w:sz w:val="24"/>
      <w:szCs w:val="24"/>
      <w:lang w:val="en-GB"/>
    </w:rPr>
  </w:style>
  <w:style w:type="character" w:customStyle="1" w:styleId="PlantillaESHTMLTypewriter">
    <w:name w:val="Plantilla ES HTML Typewriter"/>
    <w:basedOn w:val="PlantillaESDefaultParagraphFont"/>
    <w:semiHidden/>
    <w:unhideWhenUsed/>
    <w:rsid w:val="00C20895"/>
    <w:rPr>
      <w:rFonts w:ascii="Consolas" w:hAnsi="Consolas"/>
      <w:sz w:val="20"/>
      <w:szCs w:val="20"/>
      <w:lang w:val="en-GB"/>
    </w:rPr>
  </w:style>
  <w:style w:type="character" w:customStyle="1" w:styleId="PlantillaESHTMLVariable">
    <w:name w:val="Plantilla ES HTML Variable"/>
    <w:basedOn w:val="PlantillaESDefaultParagraphFont"/>
    <w:semiHidden/>
    <w:unhideWhenUsed/>
    <w:rsid w:val="00C20895"/>
    <w:rPr>
      <w:i/>
      <w:iCs/>
      <w:lang w:val="en-GB"/>
    </w:rPr>
  </w:style>
  <w:style w:type="paragraph" w:customStyle="1" w:styleId="PlantillaESindex1">
    <w:name w:val="Plantilla ES index 1"/>
    <w:basedOn w:val="PlantillaESNormal"/>
    <w:next w:val="PlantillaESNormal"/>
    <w:autoRedefine/>
    <w:semiHidden/>
    <w:unhideWhenUsed/>
    <w:rsid w:val="00C20895"/>
    <w:pPr>
      <w:tabs>
        <w:tab w:val="clear" w:pos="1247"/>
      </w:tabs>
      <w:ind w:left="200" w:hanging="200"/>
    </w:pPr>
  </w:style>
  <w:style w:type="paragraph" w:customStyle="1" w:styleId="PlantillaESindex2">
    <w:name w:val="Plantilla ES index 2"/>
    <w:basedOn w:val="PlantillaESNormal"/>
    <w:next w:val="PlantillaESNormal"/>
    <w:autoRedefine/>
    <w:semiHidden/>
    <w:unhideWhenUsed/>
    <w:rsid w:val="00C20895"/>
    <w:pPr>
      <w:tabs>
        <w:tab w:val="clear" w:pos="1247"/>
      </w:tabs>
      <w:ind w:left="400" w:hanging="200"/>
    </w:pPr>
  </w:style>
  <w:style w:type="paragraph" w:customStyle="1" w:styleId="PlantillaESindex3">
    <w:name w:val="Plantilla ES index 3"/>
    <w:basedOn w:val="PlantillaESNormal"/>
    <w:next w:val="PlantillaESNormal"/>
    <w:autoRedefine/>
    <w:semiHidden/>
    <w:unhideWhenUsed/>
    <w:rsid w:val="00C20895"/>
    <w:pPr>
      <w:tabs>
        <w:tab w:val="clear" w:pos="1247"/>
      </w:tabs>
      <w:ind w:left="600" w:hanging="200"/>
    </w:pPr>
  </w:style>
  <w:style w:type="paragraph" w:customStyle="1" w:styleId="PlantillaESindex4">
    <w:name w:val="Plantilla ES index 4"/>
    <w:basedOn w:val="PlantillaESNormal"/>
    <w:next w:val="PlantillaESNormal"/>
    <w:autoRedefine/>
    <w:semiHidden/>
    <w:unhideWhenUsed/>
    <w:rsid w:val="00C20895"/>
    <w:pPr>
      <w:tabs>
        <w:tab w:val="clear" w:pos="1247"/>
      </w:tabs>
      <w:ind w:left="800" w:hanging="200"/>
    </w:pPr>
  </w:style>
  <w:style w:type="paragraph" w:customStyle="1" w:styleId="PlantillaESindex5">
    <w:name w:val="Plantilla ES index 5"/>
    <w:basedOn w:val="PlantillaESNormal"/>
    <w:next w:val="PlantillaESNormal"/>
    <w:autoRedefine/>
    <w:semiHidden/>
    <w:unhideWhenUsed/>
    <w:rsid w:val="00C20895"/>
    <w:pPr>
      <w:tabs>
        <w:tab w:val="clear" w:pos="1247"/>
      </w:tabs>
      <w:ind w:left="1000" w:hanging="200"/>
    </w:pPr>
  </w:style>
  <w:style w:type="paragraph" w:customStyle="1" w:styleId="PlantillaESindex6">
    <w:name w:val="Plantilla ES index 6"/>
    <w:basedOn w:val="PlantillaESNormal"/>
    <w:next w:val="PlantillaESNormal"/>
    <w:autoRedefine/>
    <w:semiHidden/>
    <w:unhideWhenUsed/>
    <w:rsid w:val="00C20895"/>
    <w:pPr>
      <w:tabs>
        <w:tab w:val="clear" w:pos="1247"/>
      </w:tabs>
      <w:ind w:left="1200" w:hanging="200"/>
    </w:pPr>
  </w:style>
  <w:style w:type="paragraph" w:customStyle="1" w:styleId="PlantillaESindex7">
    <w:name w:val="Plantilla ES index 7"/>
    <w:basedOn w:val="PlantillaESNormal"/>
    <w:next w:val="PlantillaESNormal"/>
    <w:autoRedefine/>
    <w:semiHidden/>
    <w:unhideWhenUsed/>
    <w:rsid w:val="00C20895"/>
    <w:pPr>
      <w:tabs>
        <w:tab w:val="clear" w:pos="1247"/>
      </w:tabs>
      <w:ind w:left="1400" w:hanging="200"/>
    </w:pPr>
  </w:style>
  <w:style w:type="paragraph" w:customStyle="1" w:styleId="PlantillaESindex8">
    <w:name w:val="Plantilla ES index 8"/>
    <w:basedOn w:val="PlantillaESNormal"/>
    <w:next w:val="PlantillaESNormal"/>
    <w:autoRedefine/>
    <w:semiHidden/>
    <w:unhideWhenUsed/>
    <w:rsid w:val="00C20895"/>
    <w:pPr>
      <w:tabs>
        <w:tab w:val="clear" w:pos="1247"/>
      </w:tabs>
      <w:ind w:left="1600" w:hanging="200"/>
    </w:pPr>
  </w:style>
  <w:style w:type="paragraph" w:customStyle="1" w:styleId="PlantillaESindex9">
    <w:name w:val="Plantilla ES index 9"/>
    <w:basedOn w:val="PlantillaESNormal"/>
    <w:next w:val="PlantillaESNormal"/>
    <w:autoRedefine/>
    <w:semiHidden/>
    <w:unhideWhenUsed/>
    <w:rsid w:val="00C20895"/>
    <w:pPr>
      <w:tabs>
        <w:tab w:val="clear" w:pos="1247"/>
      </w:tabs>
      <w:ind w:left="1800" w:hanging="200"/>
    </w:pPr>
  </w:style>
  <w:style w:type="paragraph" w:customStyle="1" w:styleId="PlantillaESindexheading">
    <w:name w:val="Plantilla ES index heading"/>
    <w:basedOn w:val="PlantillaESNormal"/>
    <w:next w:val="PlantillaESindex1"/>
    <w:semiHidden/>
    <w:unhideWhenUsed/>
    <w:rsid w:val="00C20895"/>
    <w:rPr>
      <w:rFonts w:asciiTheme="majorHAnsi" w:eastAsiaTheme="majorEastAsia" w:hAnsiTheme="majorHAnsi" w:cstheme="majorBidi"/>
      <w:b/>
      <w:bCs/>
    </w:rPr>
  </w:style>
  <w:style w:type="character" w:customStyle="1" w:styleId="PlantillaESIntenseEmphasis">
    <w:name w:val="Plantilla ES Intense Emphasis"/>
    <w:basedOn w:val="PlantillaESDefaultParagraphFont"/>
    <w:uiPriority w:val="21"/>
    <w:semiHidden/>
    <w:qFormat/>
    <w:rsid w:val="00C20895"/>
    <w:rPr>
      <w:i/>
      <w:iCs/>
      <w:color w:val="4F81BD" w:themeColor="accent1"/>
      <w:lang w:val="en-GB"/>
    </w:rPr>
  </w:style>
  <w:style w:type="paragraph" w:customStyle="1" w:styleId="PlantillaESIntenseQuote">
    <w:name w:val="Plantilla ES Intense Quote"/>
    <w:basedOn w:val="PlantillaESNormal"/>
    <w:next w:val="PlantillaESNormal"/>
    <w:link w:val="PlantillaESIntenseQuoteChar"/>
    <w:uiPriority w:val="30"/>
    <w:semiHidden/>
    <w:qFormat/>
    <w:rsid w:val="00C2089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PlantillaESIntenseQuoteChar">
    <w:name w:val="Plantilla ES Intense Quote Char"/>
    <w:basedOn w:val="PlantillaESDefaultParagraphFont"/>
    <w:link w:val="PlantillaESIntenseQuote"/>
    <w:uiPriority w:val="30"/>
    <w:semiHidden/>
    <w:rsid w:val="00C20895"/>
    <w:rPr>
      <w:rFonts w:eastAsia="Times New Roman"/>
      <w:i/>
      <w:iCs/>
      <w:color w:val="4F81BD" w:themeColor="accent1"/>
      <w:lang w:val="en-GB" w:eastAsia="en-US"/>
    </w:rPr>
  </w:style>
  <w:style w:type="character" w:customStyle="1" w:styleId="PlantillaESIntenseReference">
    <w:name w:val="Plantilla ES Intense Reference"/>
    <w:basedOn w:val="PlantillaESDefaultParagraphFont"/>
    <w:uiPriority w:val="32"/>
    <w:semiHidden/>
    <w:qFormat/>
    <w:rsid w:val="00C20895"/>
    <w:rPr>
      <w:b/>
      <w:bCs/>
      <w:smallCaps/>
      <w:color w:val="4F81BD" w:themeColor="accent1"/>
      <w:spacing w:val="5"/>
      <w:lang w:val="en-GB"/>
    </w:rPr>
  </w:style>
  <w:style w:type="table" w:customStyle="1" w:styleId="PlantillaESLightGrid">
    <w:name w:val="Plantilla ES Light Grid"/>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PlantillaESLightGridAccent1">
    <w:name w:val="Plantilla ES Light Grid Accent 1"/>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PlantillaESLightGridAccent2">
    <w:name w:val="Plantilla ES Light Grid Accent 2"/>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PlantillaESLightGridAccent3">
    <w:name w:val="Plantilla ES Light Grid Accent 3"/>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PlantillaESLightGridAccent4">
    <w:name w:val="Plantilla ES Light Grid Accent 4"/>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PlantillaESLightGridAccent5">
    <w:name w:val="Plantilla ES Light Grid Accent 5"/>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PlantillaESLightGridAccent6">
    <w:name w:val="Plantilla ES Light Grid Accent 6"/>
    <w:basedOn w:val="PlantillaESNormalTable"/>
    <w:uiPriority w:val="62"/>
    <w:semiHidden/>
    <w:unhideWhenUsed/>
    <w:rsid w:val="00C20895"/>
    <w:tblPr>
      <w:tblStyleRowBandSize w:val="1"/>
      <w:tblStyleColBandSize w:val="1"/>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PlantillaESLightList">
    <w:name w:val="Plantilla ES Light List"/>
    <w:basedOn w:val="PlantillaESNormalTable"/>
    <w:uiPriority w:val="61"/>
    <w:semiHidden/>
    <w:unhideWhenUsed/>
    <w:rsid w:val="00C20895"/>
    <w:tblPr>
      <w:tblStyleRowBandSize w:val="1"/>
      <w:tblStyleColBandSize w:val="1"/>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ListAccent1">
    <w:name w:val="Plantilla ES Light List Accent 1"/>
    <w:basedOn w:val="PlantillaESNormalTable"/>
    <w:uiPriority w:val="61"/>
    <w:semiHidden/>
    <w:unhideWhenUsed/>
    <w:rsid w:val="00C20895"/>
    <w:tblPr>
      <w:tblStyleRowBandSize w:val="1"/>
      <w:tblStyleColBandSize w:val="1"/>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ListAccent2">
    <w:name w:val="Plantilla ES Light List Accent 2"/>
    <w:basedOn w:val="PlantillaESNormalTable"/>
    <w:uiPriority w:val="61"/>
    <w:semiHidden/>
    <w:unhideWhenUsed/>
    <w:rsid w:val="00C20895"/>
    <w:tblPr>
      <w:tblStyleRowBandSize w:val="1"/>
      <w:tblStyleColBandSize w:val="1"/>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ListAccent3">
    <w:name w:val="Plantilla ES Light List Accent 3"/>
    <w:basedOn w:val="PlantillaESNormalTable"/>
    <w:uiPriority w:val="61"/>
    <w:semiHidden/>
    <w:unhideWhenUsed/>
    <w:rsid w:val="00C20895"/>
    <w:tblPr>
      <w:tblStyleRowBandSize w:val="1"/>
      <w:tblStyleColBandSize w:val="1"/>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ListAccent4">
    <w:name w:val="Plantilla ES Light List Accent 4"/>
    <w:basedOn w:val="PlantillaESNormalTable"/>
    <w:uiPriority w:val="61"/>
    <w:semiHidden/>
    <w:unhideWhenUsed/>
    <w:rsid w:val="00C20895"/>
    <w:tblPr>
      <w:tblStyleRowBandSize w:val="1"/>
      <w:tblStyleColBandSize w:val="1"/>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ListAccent5">
    <w:name w:val="Plantilla ES Light List Accent 5"/>
    <w:basedOn w:val="PlantillaESNormalTable"/>
    <w:uiPriority w:val="61"/>
    <w:semiHidden/>
    <w:unhideWhenUsed/>
    <w:rsid w:val="00C20895"/>
    <w:tblPr>
      <w:tblStyleRowBandSize w:val="1"/>
      <w:tblStyleColBandSize w:val="1"/>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ListAccent6">
    <w:name w:val="Plantilla ES Light List Accent 6"/>
    <w:basedOn w:val="PlantillaESNormalTable"/>
    <w:uiPriority w:val="61"/>
    <w:semiHidden/>
    <w:unhideWhenUsed/>
    <w:rsid w:val="00C20895"/>
    <w:tblPr>
      <w:tblStyleRowBandSize w:val="1"/>
      <w:tblStyleColBandSize w:val="1"/>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LightShading">
    <w:name w:val="Plantilla ES Light Shading"/>
    <w:basedOn w:val="PlantillaESNormalTable"/>
    <w:uiPriority w:val="60"/>
    <w:semiHidden/>
    <w:unhideWhenUsed/>
    <w:rsid w:val="00C20895"/>
    <w:rPr>
      <w:color w:val="000000" w:themeColor="text1" w:themeShade="BF"/>
    </w:rPr>
    <w:tblPr>
      <w:tblStyleRowBandSize w:val="1"/>
      <w:tblStyleColBandSize w:val="1"/>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PlantillaESLightShadingAccent1">
    <w:name w:val="Plantilla ES Light Shading Accent 1"/>
    <w:basedOn w:val="PlantillaESNormalTable"/>
    <w:uiPriority w:val="60"/>
    <w:semiHidden/>
    <w:unhideWhenUsed/>
    <w:rsid w:val="00C20895"/>
    <w:rPr>
      <w:color w:val="365F91" w:themeColor="accent1" w:themeShade="BF"/>
    </w:rPr>
    <w:tblPr>
      <w:tblStyleRowBandSize w:val="1"/>
      <w:tblStyleColBandSize w:val="1"/>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PlantillaESLightShadingAccent2">
    <w:name w:val="Plantilla ES Light Shading Accent 2"/>
    <w:basedOn w:val="PlantillaESNormalTable"/>
    <w:uiPriority w:val="60"/>
    <w:semiHidden/>
    <w:unhideWhenUsed/>
    <w:rsid w:val="00C20895"/>
    <w:rPr>
      <w:color w:val="943634" w:themeColor="accent2" w:themeShade="BF"/>
    </w:rPr>
    <w:tblPr>
      <w:tblStyleRowBandSize w:val="1"/>
      <w:tblStyleColBandSize w:val="1"/>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PlantillaESLightShadingAccent3">
    <w:name w:val="Plantilla ES Light Shading Accent 3"/>
    <w:basedOn w:val="PlantillaESNormalTable"/>
    <w:uiPriority w:val="60"/>
    <w:semiHidden/>
    <w:unhideWhenUsed/>
    <w:rsid w:val="00C20895"/>
    <w:rPr>
      <w:color w:val="76923C" w:themeColor="accent3" w:themeShade="BF"/>
    </w:rPr>
    <w:tblPr>
      <w:tblStyleRowBandSize w:val="1"/>
      <w:tblStyleColBandSize w:val="1"/>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PlantillaESLightShadingAccent4">
    <w:name w:val="Plantilla ES Light Shading Accent 4"/>
    <w:basedOn w:val="PlantillaESNormalTable"/>
    <w:uiPriority w:val="60"/>
    <w:semiHidden/>
    <w:unhideWhenUsed/>
    <w:rsid w:val="00C20895"/>
    <w:rPr>
      <w:color w:val="5F497A" w:themeColor="accent4" w:themeShade="BF"/>
    </w:rPr>
    <w:tblPr>
      <w:tblStyleRowBandSize w:val="1"/>
      <w:tblStyleColBandSize w:val="1"/>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PlantillaESLightShadingAccent5">
    <w:name w:val="Plantilla ES Light Shading Accent 5"/>
    <w:basedOn w:val="PlantillaESNormalTable"/>
    <w:uiPriority w:val="60"/>
    <w:semiHidden/>
    <w:unhideWhenUsed/>
    <w:rsid w:val="00C20895"/>
    <w:rPr>
      <w:color w:val="31849B" w:themeColor="accent5" w:themeShade="BF"/>
    </w:rPr>
    <w:tblPr>
      <w:tblStyleRowBandSize w:val="1"/>
      <w:tblStyleColBandSize w:val="1"/>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PlantillaESLightShadingAccent6">
    <w:name w:val="Plantilla ES Light Shading Accent 6"/>
    <w:basedOn w:val="PlantillaESNormalTable"/>
    <w:uiPriority w:val="60"/>
    <w:semiHidden/>
    <w:unhideWhenUsed/>
    <w:rsid w:val="00C20895"/>
    <w:rPr>
      <w:color w:val="E36C0A" w:themeColor="accent6" w:themeShade="BF"/>
    </w:rPr>
    <w:tblPr>
      <w:tblStyleRowBandSize w:val="1"/>
      <w:tblStyleColBandSize w:val="1"/>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customStyle="1" w:styleId="PlantillaESlinenumber">
    <w:name w:val="Plantilla ES line number"/>
    <w:basedOn w:val="PlantillaESDefaultParagraphFont"/>
    <w:semiHidden/>
    <w:unhideWhenUsed/>
    <w:rsid w:val="00C20895"/>
    <w:rPr>
      <w:lang w:val="en-GB"/>
    </w:rPr>
  </w:style>
  <w:style w:type="paragraph" w:customStyle="1" w:styleId="PlantillaESList">
    <w:name w:val="Plantilla ES List"/>
    <w:basedOn w:val="PlantillaESNormal"/>
    <w:semiHidden/>
    <w:unhideWhenUsed/>
    <w:rsid w:val="00C20895"/>
    <w:pPr>
      <w:ind w:left="283" w:hanging="283"/>
      <w:contextualSpacing/>
    </w:pPr>
  </w:style>
  <w:style w:type="paragraph" w:customStyle="1" w:styleId="PlantillaESList2">
    <w:name w:val="Plantilla ES List 2"/>
    <w:basedOn w:val="PlantillaESNormal"/>
    <w:semiHidden/>
    <w:unhideWhenUsed/>
    <w:rsid w:val="00C20895"/>
    <w:pPr>
      <w:ind w:left="566" w:hanging="283"/>
      <w:contextualSpacing/>
    </w:pPr>
  </w:style>
  <w:style w:type="paragraph" w:customStyle="1" w:styleId="PlantillaESList3">
    <w:name w:val="Plantilla ES List 3"/>
    <w:basedOn w:val="PlantillaESNormal"/>
    <w:semiHidden/>
    <w:unhideWhenUsed/>
    <w:rsid w:val="00C20895"/>
    <w:pPr>
      <w:ind w:left="849" w:hanging="283"/>
      <w:contextualSpacing/>
    </w:pPr>
  </w:style>
  <w:style w:type="paragraph" w:customStyle="1" w:styleId="PlantillaESList4">
    <w:name w:val="Plantilla ES List 4"/>
    <w:basedOn w:val="PlantillaESNormal"/>
    <w:semiHidden/>
    <w:unhideWhenUsed/>
    <w:rsid w:val="00C20895"/>
    <w:pPr>
      <w:ind w:left="1132" w:hanging="283"/>
      <w:contextualSpacing/>
    </w:pPr>
  </w:style>
  <w:style w:type="paragraph" w:customStyle="1" w:styleId="PlantillaESList5">
    <w:name w:val="Plantilla ES List 5"/>
    <w:basedOn w:val="PlantillaESNormal"/>
    <w:semiHidden/>
    <w:unhideWhenUsed/>
    <w:rsid w:val="00C20895"/>
    <w:pPr>
      <w:ind w:left="1415" w:hanging="283"/>
      <w:contextualSpacing/>
    </w:pPr>
  </w:style>
  <w:style w:type="paragraph" w:customStyle="1" w:styleId="PlantillaESListBullet">
    <w:name w:val="Plantilla ES List Bullet"/>
    <w:basedOn w:val="PlantillaESNormal"/>
    <w:semiHidden/>
    <w:rsid w:val="00C20895"/>
    <w:pPr>
      <w:contextualSpacing/>
    </w:pPr>
  </w:style>
  <w:style w:type="paragraph" w:customStyle="1" w:styleId="PlantillaESListBullet2">
    <w:name w:val="Plantilla ES List Bullet 2"/>
    <w:basedOn w:val="PlantillaESNormal"/>
    <w:semiHidden/>
    <w:unhideWhenUsed/>
    <w:rsid w:val="00C20895"/>
    <w:pPr>
      <w:contextualSpacing/>
    </w:pPr>
  </w:style>
  <w:style w:type="paragraph" w:customStyle="1" w:styleId="PlantillaESListBullet3">
    <w:name w:val="Plantilla ES List Bullet 3"/>
    <w:basedOn w:val="PlantillaESNormal"/>
    <w:semiHidden/>
    <w:unhideWhenUsed/>
    <w:rsid w:val="00C20895"/>
    <w:pPr>
      <w:contextualSpacing/>
    </w:pPr>
  </w:style>
  <w:style w:type="paragraph" w:customStyle="1" w:styleId="PlantillaESListBullet4">
    <w:name w:val="Plantilla ES List Bullet 4"/>
    <w:basedOn w:val="PlantillaESNormal"/>
    <w:semiHidden/>
    <w:unhideWhenUsed/>
    <w:rsid w:val="00C20895"/>
    <w:pPr>
      <w:contextualSpacing/>
    </w:pPr>
  </w:style>
  <w:style w:type="paragraph" w:customStyle="1" w:styleId="PlantillaESListBullet5">
    <w:name w:val="Plantilla ES List Bullet 5"/>
    <w:basedOn w:val="PlantillaESNormal"/>
    <w:semiHidden/>
    <w:unhideWhenUsed/>
    <w:rsid w:val="00C20895"/>
    <w:pPr>
      <w:contextualSpacing/>
    </w:pPr>
  </w:style>
  <w:style w:type="paragraph" w:customStyle="1" w:styleId="PlantillaESListContinue">
    <w:name w:val="Plantilla ES List Continue"/>
    <w:basedOn w:val="PlantillaESNormal"/>
    <w:semiHidden/>
    <w:unhideWhenUsed/>
    <w:rsid w:val="00C20895"/>
    <w:pPr>
      <w:spacing w:after="120"/>
      <w:ind w:left="283"/>
      <w:contextualSpacing/>
    </w:pPr>
  </w:style>
  <w:style w:type="paragraph" w:customStyle="1" w:styleId="PlantillaESListContinue2">
    <w:name w:val="Plantilla ES List Continue 2"/>
    <w:basedOn w:val="PlantillaESNormal"/>
    <w:semiHidden/>
    <w:unhideWhenUsed/>
    <w:rsid w:val="00C20895"/>
    <w:pPr>
      <w:spacing w:after="120"/>
      <w:ind w:left="566"/>
      <w:contextualSpacing/>
    </w:pPr>
  </w:style>
  <w:style w:type="paragraph" w:customStyle="1" w:styleId="PlantillaESListContinue3">
    <w:name w:val="Plantilla ES List Continue 3"/>
    <w:basedOn w:val="PlantillaESNormal"/>
    <w:semiHidden/>
    <w:rsid w:val="00C20895"/>
    <w:pPr>
      <w:spacing w:after="120"/>
      <w:ind w:left="849"/>
      <w:contextualSpacing/>
    </w:pPr>
  </w:style>
  <w:style w:type="paragraph" w:customStyle="1" w:styleId="PlantillaESListContinue4">
    <w:name w:val="Plantilla ES List Continue 4"/>
    <w:basedOn w:val="PlantillaESNormal"/>
    <w:semiHidden/>
    <w:rsid w:val="00C20895"/>
    <w:pPr>
      <w:spacing w:after="120"/>
      <w:ind w:left="1132"/>
      <w:contextualSpacing/>
    </w:pPr>
  </w:style>
  <w:style w:type="paragraph" w:customStyle="1" w:styleId="PlantillaESListContinue5">
    <w:name w:val="Plantilla ES List Continue 5"/>
    <w:basedOn w:val="PlantillaESNormal"/>
    <w:semiHidden/>
    <w:rsid w:val="00C20895"/>
    <w:pPr>
      <w:spacing w:after="120"/>
      <w:ind w:left="1415"/>
      <w:contextualSpacing/>
    </w:pPr>
  </w:style>
  <w:style w:type="paragraph" w:customStyle="1" w:styleId="PlantillaESListNumber">
    <w:name w:val="Plantilla ES List Number"/>
    <w:basedOn w:val="PlantillaESNormal"/>
    <w:semiHidden/>
    <w:rsid w:val="00C20895"/>
    <w:pPr>
      <w:contextualSpacing/>
    </w:pPr>
  </w:style>
  <w:style w:type="paragraph" w:customStyle="1" w:styleId="PlantillaESListNumber2">
    <w:name w:val="Plantilla ES List Number 2"/>
    <w:basedOn w:val="PlantillaESNormal"/>
    <w:semiHidden/>
    <w:unhideWhenUsed/>
    <w:rsid w:val="00C20895"/>
    <w:pPr>
      <w:contextualSpacing/>
    </w:pPr>
  </w:style>
  <w:style w:type="paragraph" w:customStyle="1" w:styleId="PlantillaESListNumber3">
    <w:name w:val="Plantilla ES List Number 3"/>
    <w:basedOn w:val="PlantillaESNormal"/>
    <w:semiHidden/>
    <w:unhideWhenUsed/>
    <w:rsid w:val="00C20895"/>
    <w:pPr>
      <w:contextualSpacing/>
    </w:pPr>
  </w:style>
  <w:style w:type="paragraph" w:customStyle="1" w:styleId="PlantillaESListNumber4">
    <w:name w:val="Plantilla ES List Number 4"/>
    <w:basedOn w:val="PlantillaESNormal"/>
    <w:semiHidden/>
    <w:unhideWhenUsed/>
    <w:rsid w:val="00C20895"/>
    <w:pPr>
      <w:contextualSpacing/>
    </w:pPr>
  </w:style>
  <w:style w:type="paragraph" w:customStyle="1" w:styleId="PlantillaESListNumber5">
    <w:name w:val="Plantilla ES List Number 5"/>
    <w:basedOn w:val="PlantillaESNormal"/>
    <w:semiHidden/>
    <w:unhideWhenUsed/>
    <w:rsid w:val="00C20895"/>
    <w:pPr>
      <w:contextualSpacing/>
    </w:pPr>
  </w:style>
  <w:style w:type="table" w:customStyle="1" w:styleId="PlantillaESListTable1Light">
    <w:name w:val="Plantilla ES List Table 1 Light"/>
    <w:basedOn w:val="PlantillaESNormalTable"/>
    <w:uiPriority w:val="46"/>
    <w:rsid w:val="00C20895"/>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ntillaESListTable1LightAccent1">
    <w:name w:val="Plantilla ES List Table 1 Light Accent 1"/>
    <w:basedOn w:val="PlantillaESNormalTable"/>
    <w:uiPriority w:val="46"/>
    <w:rsid w:val="00C20895"/>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ntillaESListTable1LightAccent2">
    <w:name w:val="Plantilla ES List Table 1 Light Accent 2"/>
    <w:basedOn w:val="PlantillaESNormalTable"/>
    <w:uiPriority w:val="46"/>
    <w:rsid w:val="00C20895"/>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PlantillaESListTable1LightAccent3">
    <w:name w:val="Plantilla ES List Table 1 Light Accent 3"/>
    <w:basedOn w:val="PlantillaESNormalTable"/>
    <w:uiPriority w:val="46"/>
    <w:rsid w:val="00C20895"/>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ntillaESListTable1LightAccent4">
    <w:name w:val="Plantilla ES List Table 1 Light Accent 4"/>
    <w:basedOn w:val="PlantillaESNormalTable"/>
    <w:uiPriority w:val="46"/>
    <w:rsid w:val="00C20895"/>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PlantillaESListTable1LightAccent5">
    <w:name w:val="Plantilla ES List Table 1 Light Accent 5"/>
    <w:basedOn w:val="PlantillaESNormalTable"/>
    <w:uiPriority w:val="46"/>
    <w:rsid w:val="00C20895"/>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ntillaESListTable1LightAccent6">
    <w:name w:val="Plantilla ES List Table 1 Light Accent 6"/>
    <w:basedOn w:val="PlantillaESNormalTable"/>
    <w:uiPriority w:val="46"/>
    <w:rsid w:val="00C20895"/>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ntillaESListTable2">
    <w:name w:val="Plantilla ES List Table 2"/>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2Accent1">
    <w:name w:val="Plantilla ES List Table 2 Accent 1"/>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2Accent2">
    <w:name w:val="Plantilla ES List Table 2 Accent 2"/>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2Accent3">
    <w:name w:val="Plantilla ES List Table 2 Accent 3"/>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2Accent4">
    <w:name w:val="Plantilla ES List Table 2 Accent 4"/>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2Accent5">
    <w:name w:val="Plantilla ES List Table 2 Accent 5"/>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2Accent6">
    <w:name w:val="Plantilla ES List Table 2 Accent 6"/>
    <w:basedOn w:val="PlantillaESNormalTable"/>
    <w:uiPriority w:val="47"/>
    <w:rsid w:val="00C20895"/>
    <w:tblPr>
      <w:tblStyleColBandSize w:val="1"/>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ListTable3">
    <w:name w:val="Plantilla ES List Table 3"/>
    <w:basedOn w:val="PlantillaESNormalTable"/>
    <w:uiPriority w:val="48"/>
    <w:rsid w:val="00C20895"/>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PlantillaESListTable3Accent1">
    <w:name w:val="Plantilla ES List Table 3 Accent 1"/>
    <w:basedOn w:val="PlantillaESNormalTable"/>
    <w:uiPriority w:val="48"/>
    <w:rsid w:val="00C20895"/>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PlantillaESListTable3Accent2">
    <w:name w:val="Plantilla ES List Table 3 Accent 2"/>
    <w:basedOn w:val="PlantillaESNormalTable"/>
    <w:uiPriority w:val="48"/>
    <w:rsid w:val="00C20895"/>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customStyle="1" w:styleId="PlantillaESListTable3Accent3">
    <w:name w:val="Plantilla ES List Table 3 Accent 3"/>
    <w:basedOn w:val="PlantillaESNormalTable"/>
    <w:uiPriority w:val="48"/>
    <w:rsid w:val="00C20895"/>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customStyle="1" w:styleId="PlantillaESListTable3Accent4">
    <w:name w:val="Plantilla ES List Table 3 Accent 4"/>
    <w:basedOn w:val="PlantillaESNormalTable"/>
    <w:uiPriority w:val="48"/>
    <w:rsid w:val="00C20895"/>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customStyle="1" w:styleId="PlantillaESListTable3Accent5">
    <w:name w:val="Plantilla ES List Table 3 Accent 5"/>
    <w:basedOn w:val="PlantillaESNormalTable"/>
    <w:uiPriority w:val="48"/>
    <w:rsid w:val="00C20895"/>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customStyle="1" w:styleId="PlantillaESListTable3Accent6">
    <w:name w:val="Plantilla ES List Table 3 Accent 6"/>
    <w:basedOn w:val="PlantillaESNormalTable"/>
    <w:uiPriority w:val="48"/>
    <w:rsid w:val="00C20895"/>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customStyle="1" w:styleId="PlantillaESListTable4">
    <w:name w:val="Plantilla ES List Table 4"/>
    <w:basedOn w:val="PlantillaESNormalTable"/>
    <w:uiPriority w:val="49"/>
    <w:rsid w:val="00C20895"/>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ntillaESListTable4Accent1">
    <w:name w:val="Plantilla ES List Table 4 Accent 1"/>
    <w:basedOn w:val="PlantillaESNormalTable"/>
    <w:uiPriority w:val="49"/>
    <w:rsid w:val="00C20895"/>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ntillaESListTable4Accent2">
    <w:name w:val="Plantilla ES List Table 4 Accent 2"/>
    <w:basedOn w:val="PlantillaESNormalTable"/>
    <w:uiPriority w:val="49"/>
    <w:rsid w:val="00C20895"/>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PlantillaESListTable4Accent3">
    <w:name w:val="Plantilla ES List Table 4 Accent 3"/>
    <w:basedOn w:val="PlantillaESNormalTable"/>
    <w:uiPriority w:val="49"/>
    <w:rsid w:val="00C20895"/>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ntillaESListTable4Accent4">
    <w:name w:val="Plantilla ES List Table 4 Accent 4"/>
    <w:basedOn w:val="PlantillaESNormalTable"/>
    <w:uiPriority w:val="49"/>
    <w:rsid w:val="00C20895"/>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PlantillaESListTable4Accent5">
    <w:name w:val="Plantilla ES List Table 4 Accent 5"/>
    <w:basedOn w:val="PlantillaESNormalTable"/>
    <w:uiPriority w:val="49"/>
    <w:rsid w:val="00C20895"/>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ntillaESListTable4Accent6">
    <w:name w:val="Plantilla ES List Table 4 Accent 6"/>
    <w:basedOn w:val="PlantillaESNormalTable"/>
    <w:uiPriority w:val="49"/>
    <w:rsid w:val="00C20895"/>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ntillaESListTable5Dark">
    <w:name w:val="Plantilla ES List Table 5 Dark"/>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5DarkAccent1">
    <w:name w:val="Plantilla ES List Table 5 Dark Accent 1"/>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5DarkAccent2">
    <w:name w:val="Plantilla ES List Table 5 Dark Accent 2"/>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5DarkAccent3">
    <w:name w:val="Plantilla ES List Table 5 Dark Accent 3"/>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5DarkAccent4">
    <w:name w:val="Plantilla ES List Table 5 Dark Accent 4"/>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5DarkAccent5">
    <w:name w:val="Plantilla ES List Table 5 Dark Accent 5"/>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5DarkAccent6">
    <w:name w:val="Plantilla ES List Table 5 Dark Accent 6"/>
    <w:basedOn w:val="PlantillaESNormalTable"/>
    <w:uiPriority w:val="50"/>
    <w:rsid w:val="00C20895"/>
    <w:rPr>
      <w:color w:val="FFFFFF" w:themeColor="background1"/>
    </w:rPr>
    <w:tblPr>
      <w:tblStyleRowBandSize w:val="1"/>
      <w:tblStyleColBandSize w:val="1"/>
    </w:tblPr>
    <w:tcPr>
      <w:tcBorders>
        <w:top w:val="single" w:sz="4" w:space="0" w:color="FFFFFF" w:themeColor="background1"/>
        <w:bottom w:val="single" w:sz="4" w:space="0" w:color="FFFFFF" w:themeColor="background1"/>
      </w:tcBorders>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PlantillaESListTable6Colorful">
    <w:name w:val="Plantilla ES List Table 6 Colorful"/>
    <w:basedOn w:val="PlantillaESNormalTable"/>
    <w:uiPriority w:val="51"/>
    <w:rsid w:val="00C20895"/>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PlantillaESListTable6ColorfulAccent1">
    <w:name w:val="Plantilla ES List Table 6 Colorful Accent 1"/>
    <w:basedOn w:val="PlantillaESNormalTable"/>
    <w:uiPriority w:val="51"/>
    <w:rsid w:val="00C20895"/>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PlantillaESListTable6ColorfulAccent2">
    <w:name w:val="Plantilla ES List Table 6 Colorful Accent 2"/>
    <w:basedOn w:val="PlantillaESNormalTable"/>
    <w:uiPriority w:val="51"/>
    <w:rsid w:val="00C20895"/>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customStyle="1" w:styleId="PlantillaESListTable6ColorfulAccent3">
    <w:name w:val="Plantilla ES List Table 6 Colorful Accent 3"/>
    <w:basedOn w:val="PlantillaESNormalTable"/>
    <w:uiPriority w:val="51"/>
    <w:rsid w:val="00C20895"/>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PlantillaESListTable6ColorfulAccent4">
    <w:name w:val="Plantilla ES List Table 6 Colorful Accent 4"/>
    <w:basedOn w:val="PlantillaESNormalTable"/>
    <w:uiPriority w:val="51"/>
    <w:rsid w:val="00C20895"/>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PlantillaESListTable6ColorfulAccent5">
    <w:name w:val="Plantilla ES List Table 6 Colorful Accent 5"/>
    <w:basedOn w:val="PlantillaESNormalTable"/>
    <w:uiPriority w:val="51"/>
    <w:rsid w:val="00C20895"/>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PlantillaESListTable6ColorfulAccent6">
    <w:name w:val="Plantilla ES List Table 6 Colorful Accent 6"/>
    <w:basedOn w:val="PlantillaESNormalTable"/>
    <w:uiPriority w:val="51"/>
    <w:rsid w:val="00C20895"/>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customStyle="1" w:styleId="PlantillaESListTable7Colorful">
    <w:name w:val="Plantilla ES List Table 7 Colorful"/>
    <w:basedOn w:val="PlantillaESNormalTable"/>
    <w:uiPriority w:val="52"/>
    <w:rsid w:val="00C20895"/>
    <w:rPr>
      <w:color w:val="000000" w:themeColor="text1"/>
    </w:rPr>
    <w:tblPr>
      <w:tblStyleRowBandSize w:val="1"/>
      <w:tblStyleColBandSize w:val="1"/>
    </w:tblPr>
    <w:tcPr>
      <w:tcBorders>
        <w:left w:val="single" w:sz="4" w:space="0" w:color="000000" w:themeColor="text1"/>
        <w:right w:val="single" w:sz="4" w:space="0" w:color="000000" w:themeColor="text1"/>
      </w:tcBorders>
      <w:shd w:val="clear" w:color="auto" w:fill="CCCCCC" w:themeFill="text1" w:themeFillTint="33"/>
    </w:tc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ntillaESListTable7ColorfulAccent1">
    <w:name w:val="Plantilla ES List Table 7 Colorful Accent 1"/>
    <w:basedOn w:val="PlantillaESNormalTable"/>
    <w:uiPriority w:val="52"/>
    <w:rsid w:val="00C20895"/>
    <w:rPr>
      <w:color w:val="365F91" w:themeColor="accent1" w:themeShade="BF"/>
    </w:rPr>
    <w:tblPr>
      <w:tblStyleRowBandSize w:val="1"/>
      <w:tblStyleColBandSize w:val="1"/>
    </w:tblPr>
    <w:tcPr>
      <w:tcBorders>
        <w:top w:val="single" w:sz="4" w:space="0" w:color="4F81BD" w:themeColor="accent1"/>
        <w:left w:val="single" w:sz="4" w:space="0" w:color="4F81BD" w:themeColor="accent1"/>
      </w:tcBorders>
      <w:shd w:val="clear" w:color="auto" w:fill="DBE5F1" w:themeFill="accent1" w:themeFillTint="33"/>
    </w:tc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ntillaESListTable7ColorfulAccent2">
    <w:name w:val="Plantilla ES List Table 7 Colorful Accent 2"/>
    <w:basedOn w:val="PlantillaESNormalTable"/>
    <w:uiPriority w:val="52"/>
    <w:rsid w:val="00C20895"/>
    <w:rPr>
      <w:color w:val="943634" w:themeColor="accent2" w:themeShade="BF"/>
    </w:rPr>
    <w:tblPr>
      <w:tblStyleRowBandSize w:val="1"/>
      <w:tblStyleColBandSize w:val="1"/>
    </w:tblPr>
    <w:tcPr>
      <w:tcBorders>
        <w:top w:val="single" w:sz="4" w:space="0" w:color="C0504D" w:themeColor="accent2"/>
        <w:left w:val="single" w:sz="4" w:space="0" w:color="C0504D" w:themeColor="accent2"/>
      </w:tcBorders>
      <w:shd w:val="clear" w:color="auto" w:fill="F2DBDB" w:themeFill="accent2" w:themeFillTint="33"/>
    </w:tc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ntillaESListTable7ColorfulAccent3">
    <w:name w:val="Plantilla ES List Table 7 Colorful Accent 3"/>
    <w:basedOn w:val="PlantillaESNormalTable"/>
    <w:uiPriority w:val="52"/>
    <w:rsid w:val="00C20895"/>
    <w:rPr>
      <w:color w:val="76923C" w:themeColor="accent3" w:themeShade="BF"/>
    </w:rPr>
    <w:tblPr>
      <w:tblStyleRowBandSize w:val="1"/>
      <w:tblStyleColBandSize w:val="1"/>
    </w:tblPr>
    <w:tcPr>
      <w:tcBorders>
        <w:top w:val="single" w:sz="4" w:space="0" w:color="9BBB59" w:themeColor="accent3"/>
        <w:left w:val="single" w:sz="4" w:space="0" w:color="9BBB59" w:themeColor="accent3"/>
      </w:tcBorders>
      <w:shd w:val="clear" w:color="auto" w:fill="EAF1DD" w:themeFill="accent3" w:themeFillTint="33"/>
    </w:tc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ntillaESListTable7ColorfulAccent4">
    <w:name w:val="Plantilla ES List Table 7 Colorful Accent 4"/>
    <w:basedOn w:val="PlantillaESNormalTable"/>
    <w:uiPriority w:val="52"/>
    <w:rsid w:val="00C20895"/>
    <w:rPr>
      <w:color w:val="5F497A" w:themeColor="accent4" w:themeShade="BF"/>
    </w:rPr>
    <w:tblPr>
      <w:tblStyleRowBandSize w:val="1"/>
      <w:tblStyleColBandSize w:val="1"/>
    </w:tblPr>
    <w:tcPr>
      <w:tcBorders>
        <w:top w:val="single" w:sz="4" w:space="0" w:color="8064A2" w:themeColor="accent4"/>
        <w:left w:val="single" w:sz="4" w:space="0" w:color="8064A2" w:themeColor="accent4"/>
      </w:tcBorders>
      <w:shd w:val="clear" w:color="auto" w:fill="E5DFEC" w:themeFill="accent4" w:themeFillTint="33"/>
    </w:tc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ntillaESListTable7ColorfulAccent5">
    <w:name w:val="Plantilla ES List Table 7 Colorful Accent 5"/>
    <w:basedOn w:val="PlantillaESNormalTable"/>
    <w:uiPriority w:val="52"/>
    <w:rsid w:val="00C20895"/>
    <w:rPr>
      <w:color w:val="31849B" w:themeColor="accent5" w:themeShade="BF"/>
    </w:rPr>
    <w:tblPr>
      <w:tblStyleRowBandSize w:val="1"/>
      <w:tblStyleColBandSize w:val="1"/>
    </w:tblPr>
    <w:tcPr>
      <w:tcBorders>
        <w:top w:val="single" w:sz="4" w:space="0" w:color="4BACC6" w:themeColor="accent5"/>
        <w:left w:val="single" w:sz="4" w:space="0" w:color="4BACC6" w:themeColor="accent5"/>
      </w:tcBorders>
      <w:shd w:val="clear" w:color="auto" w:fill="DAEEF3" w:themeFill="accent5" w:themeFillTint="33"/>
    </w:tc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PlantillaESListTable7ColorfulAccent6">
    <w:name w:val="Plantilla ES List Table 7 Colorful Accent 6"/>
    <w:basedOn w:val="PlantillaESNormalTable"/>
    <w:uiPriority w:val="52"/>
    <w:rsid w:val="00C20895"/>
    <w:rPr>
      <w:color w:val="E36C0A" w:themeColor="accent6" w:themeShade="BF"/>
    </w:rPr>
    <w:tblPr>
      <w:tblStyleRowBandSize w:val="1"/>
      <w:tblStyleColBandSize w:val="1"/>
    </w:tblPr>
    <w:tcPr>
      <w:tcBorders>
        <w:top w:val="single" w:sz="4" w:space="0" w:color="F79646" w:themeColor="accent6"/>
        <w:left w:val="single" w:sz="4" w:space="0" w:color="F79646" w:themeColor="accent6"/>
      </w:tcBorders>
      <w:shd w:val="clear" w:color="auto" w:fill="FDE9D9" w:themeFill="accent6" w:themeFillTint="33"/>
    </w:tc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lantillaESmacro">
    <w:name w:val="Plantilla ES macro"/>
    <w:link w:val="PlantillaESMacroTextChar"/>
    <w:semiHidden/>
    <w:rsid w:val="00C20895"/>
    <w:pPr>
      <w:tabs>
        <w:tab w:val="left" w:pos="480"/>
        <w:tab w:val="left" w:pos="960"/>
        <w:tab w:val="left" w:pos="1440"/>
        <w:tab w:val="left" w:pos="1920"/>
        <w:tab w:val="left" w:pos="2400"/>
        <w:tab w:val="left" w:pos="2880"/>
        <w:tab w:val="left" w:pos="3360"/>
        <w:tab w:val="left" w:pos="3840"/>
        <w:tab w:val="left" w:pos="4320"/>
      </w:tabs>
      <w:adjustRightInd w:val="0"/>
      <w:snapToGrid w:val="0"/>
    </w:pPr>
    <w:rPr>
      <w:rFonts w:ascii="Consolas" w:hAnsi="Consolas"/>
      <w:lang w:val="en-GB"/>
    </w:rPr>
  </w:style>
  <w:style w:type="character" w:customStyle="1" w:styleId="PlantillaESMacroTextChar">
    <w:name w:val="Plantilla ES Macro Text Char"/>
    <w:basedOn w:val="PlantillaESDefaultParagraphFont"/>
    <w:link w:val="PlantillaESmacro"/>
    <w:semiHidden/>
    <w:rsid w:val="00C20895"/>
    <w:rPr>
      <w:rFonts w:ascii="Consolas" w:eastAsia="Times New Roman" w:hAnsi="Consolas"/>
      <w:lang w:val="en-GB" w:eastAsia="en-US"/>
    </w:rPr>
  </w:style>
  <w:style w:type="table" w:customStyle="1" w:styleId="PlantillaESMediumGrid1">
    <w:name w:val="Plantilla ES Medium Grid 1"/>
    <w:basedOn w:val="PlantillaESNormalTable"/>
    <w:uiPriority w:val="67"/>
    <w:semiHidden/>
    <w:unhideWhenUsed/>
    <w:rsid w:val="00C20895"/>
    <w:tblPr>
      <w:tblStyleRowBandSize w:val="1"/>
      <w:tblStyleColBandSize w:val="1"/>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style>
  <w:style w:type="table" w:customStyle="1" w:styleId="PlantillaESMediumGrid1Accent1">
    <w:name w:val="Plantilla ES Medium Grid 1 Accent 1"/>
    <w:basedOn w:val="PlantillaESNormalTable"/>
    <w:uiPriority w:val="67"/>
    <w:semiHidden/>
    <w:unhideWhenUsed/>
    <w:rsid w:val="00C20895"/>
    <w:tblPr>
      <w:tblStyleRowBandSize w:val="1"/>
      <w:tblStyleColBandSize w:val="1"/>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style>
  <w:style w:type="table" w:customStyle="1" w:styleId="PlantillaESMediumGrid1Accent2">
    <w:name w:val="Plantilla ES Medium Grid 1 Accent 2"/>
    <w:basedOn w:val="PlantillaESNormalTable"/>
    <w:uiPriority w:val="67"/>
    <w:semiHidden/>
    <w:unhideWhenUsed/>
    <w:rsid w:val="00C20895"/>
    <w:tblPr>
      <w:tblStyleRowBandSize w:val="1"/>
      <w:tblStyleColBandSize w:val="1"/>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style>
  <w:style w:type="table" w:customStyle="1" w:styleId="PlantillaESMediumGrid1Accent3">
    <w:name w:val="Plantilla ES Medium Grid 1 Accent 3"/>
    <w:basedOn w:val="PlantillaESNormalTable"/>
    <w:uiPriority w:val="67"/>
    <w:semiHidden/>
    <w:unhideWhenUsed/>
    <w:rsid w:val="00C20895"/>
    <w:tblPr>
      <w:tblStyleRowBandSize w:val="1"/>
      <w:tblStyleColBandSize w:val="1"/>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style>
  <w:style w:type="table" w:customStyle="1" w:styleId="PlantillaESMediumGrid1Accent4">
    <w:name w:val="Plantilla ES Medium Grid 1 Accent 4"/>
    <w:basedOn w:val="PlantillaESNormalTable"/>
    <w:uiPriority w:val="67"/>
    <w:semiHidden/>
    <w:unhideWhenUsed/>
    <w:rsid w:val="00C20895"/>
    <w:tblPr>
      <w:tblStyleRowBandSize w:val="1"/>
      <w:tblStyleColBandSize w:val="1"/>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style>
  <w:style w:type="table" w:customStyle="1" w:styleId="PlantillaESMediumGrid1Accent5">
    <w:name w:val="Plantilla ES Medium Grid 1 Accent 5"/>
    <w:basedOn w:val="PlantillaESNormalTable"/>
    <w:uiPriority w:val="67"/>
    <w:semiHidden/>
    <w:unhideWhenUsed/>
    <w:rsid w:val="00C20895"/>
    <w:tblPr>
      <w:tblStyleRowBandSize w:val="1"/>
      <w:tblStyleColBandSize w:val="1"/>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style>
  <w:style w:type="table" w:customStyle="1" w:styleId="PlantillaESMediumGrid1Accent6">
    <w:name w:val="Plantilla ES Medium Grid 1 Accent 6"/>
    <w:basedOn w:val="PlantillaESNormalTable"/>
    <w:uiPriority w:val="67"/>
    <w:semiHidden/>
    <w:unhideWhenUsed/>
    <w:rsid w:val="00C20895"/>
    <w:tblPr>
      <w:tblStyleRowBandSize w:val="1"/>
      <w:tblStyleColBandSize w:val="1"/>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style>
  <w:style w:type="table" w:customStyle="1" w:styleId="PlantillaESMediumGrid2">
    <w:name w:val="Plantilla ES Medium Grid 2"/>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nwCell">
      <w:tblPr/>
      <w:tcPr>
        <w:shd w:val="clear" w:color="auto" w:fill="FFFFFF" w:themeFill="background1"/>
      </w:tcPr>
    </w:tblStylePr>
  </w:style>
  <w:style w:type="table" w:customStyle="1" w:styleId="PlantillaESMediumGrid2Accent1">
    <w:name w:val="Plantilla ES Medium Grid 2 Accent 1"/>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nwCell">
      <w:tblPr/>
      <w:tcPr>
        <w:shd w:val="clear" w:color="auto" w:fill="FFFFFF" w:themeFill="background1"/>
      </w:tcPr>
    </w:tblStylePr>
  </w:style>
  <w:style w:type="table" w:customStyle="1" w:styleId="PlantillaESMediumGrid2Accent2">
    <w:name w:val="Plantilla ES Medium Grid 2 Accent 2"/>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nwCell">
      <w:tblPr/>
      <w:tcPr>
        <w:shd w:val="clear" w:color="auto" w:fill="FFFFFF" w:themeFill="background1"/>
      </w:tcPr>
    </w:tblStylePr>
  </w:style>
  <w:style w:type="table" w:customStyle="1" w:styleId="PlantillaESMediumGrid2Accent3">
    <w:name w:val="Plantilla ES Medium Grid 2 Accent 3"/>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nwCell">
      <w:tblPr/>
      <w:tcPr>
        <w:shd w:val="clear" w:color="auto" w:fill="FFFFFF" w:themeFill="background1"/>
      </w:tcPr>
    </w:tblStylePr>
  </w:style>
  <w:style w:type="table" w:customStyle="1" w:styleId="PlantillaESMediumGrid2Accent4">
    <w:name w:val="Plantilla ES Medium Grid 2 Accent 4"/>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nwCell">
      <w:tblPr/>
      <w:tcPr>
        <w:shd w:val="clear" w:color="auto" w:fill="FFFFFF" w:themeFill="background1"/>
      </w:tcPr>
    </w:tblStylePr>
  </w:style>
  <w:style w:type="table" w:customStyle="1" w:styleId="PlantillaESMediumGrid2Accent5">
    <w:name w:val="Plantilla ES Medium Grid 2 Accent 5"/>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nwCell">
      <w:tblPr/>
      <w:tcPr>
        <w:shd w:val="clear" w:color="auto" w:fill="FFFFFF" w:themeFill="background1"/>
      </w:tcPr>
    </w:tblStylePr>
  </w:style>
  <w:style w:type="table" w:customStyle="1" w:styleId="PlantillaESMediumGrid2Accent6">
    <w:name w:val="Plantilla ES Medium Grid 2 Accent 6"/>
    <w:basedOn w:val="PlantillaESNormalTable"/>
    <w:uiPriority w:val="68"/>
    <w:semiHidden/>
    <w:unhideWhenUsed/>
    <w:rsid w:val="00C20895"/>
    <w:rPr>
      <w:rFonts w:asciiTheme="majorHAnsi" w:eastAsiaTheme="majorEastAsia" w:hAnsiTheme="majorHAnsi" w:cstheme="majorBidi"/>
      <w:color w:val="000000" w:themeColor="text1"/>
    </w:rPr>
    <w:tblPr>
      <w:tblStyleRowBandSize w:val="1"/>
      <w:tblStyleColBandSize w:val="1"/>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nwCell">
      <w:tblPr/>
      <w:tcPr>
        <w:shd w:val="clear" w:color="auto" w:fill="FFFFFF" w:themeFill="background1"/>
      </w:tcPr>
    </w:tblStylePr>
  </w:style>
  <w:style w:type="table" w:customStyle="1" w:styleId="PlantillaESMediumGrid3">
    <w:name w:val="Plantilla ES Medium Grid 3"/>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style>
  <w:style w:type="table" w:customStyle="1" w:styleId="PlantillaESMediumGrid3Accent1">
    <w:name w:val="Plantilla ES Medium Grid 3 Accent 1"/>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style>
  <w:style w:type="table" w:customStyle="1" w:styleId="PlantillaESMediumGrid3Accent2">
    <w:name w:val="Plantilla ES Medium Grid 3 Accent 2"/>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style>
  <w:style w:type="table" w:customStyle="1" w:styleId="PlantillaESMediumGrid3Accent3">
    <w:name w:val="Plantilla ES Medium Grid 3 Accent 3"/>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style>
  <w:style w:type="table" w:customStyle="1" w:styleId="PlantillaESMediumGrid3Accent4">
    <w:name w:val="Plantilla ES Medium Grid 3 Accent 4"/>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style>
  <w:style w:type="table" w:customStyle="1" w:styleId="PlantillaESMediumGrid3Accent5">
    <w:name w:val="Plantilla ES Medium Grid 3 Accent 5"/>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style>
  <w:style w:type="table" w:customStyle="1" w:styleId="PlantillaESMediumGrid3Accent6">
    <w:name w:val="Plantilla ES Medium Grid 3 Accent 6"/>
    <w:basedOn w:val="PlantillaESNormalTable"/>
    <w:uiPriority w:val="69"/>
    <w:semiHidden/>
    <w:unhideWhenUsed/>
    <w:rsid w:val="00C20895"/>
    <w:tblPr>
      <w:tblStyleRowBandSize w:val="1"/>
      <w:tblStyleColBandSize w:val="1"/>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style>
  <w:style w:type="table" w:customStyle="1" w:styleId="PlantillaESMediumList1">
    <w:name w:val="Plantilla ES Medium List 1"/>
    <w:basedOn w:val="PlantillaESNormalTable"/>
    <w:uiPriority w:val="65"/>
    <w:semiHidden/>
    <w:unhideWhenUsed/>
    <w:rsid w:val="00C20895"/>
    <w:rPr>
      <w:color w:val="000000" w:themeColor="text1"/>
    </w:rPr>
    <w:tblPr>
      <w:tblStyleRowBandSize w:val="1"/>
      <w:tblStyleColBandSize w:val="1"/>
    </w:tblPr>
    <w:tcPr>
      <w:tcBorders>
        <w:top w:val="single" w:sz="8" w:space="0" w:color="000000" w:themeColor="text1"/>
        <w:bottom w:val="single" w:sz="8" w:space="0" w:color="000000" w:themeColor="text1"/>
      </w:tcBorders>
      <w:shd w:val="clear" w:color="auto" w:fill="C0C0C0" w:themeFill="tex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1Accent1">
    <w:name w:val="Plantilla ES Medium List 1 Accent 1"/>
    <w:basedOn w:val="PlantillaESNormalTable"/>
    <w:uiPriority w:val="65"/>
    <w:semiHidden/>
    <w:unhideWhenUsed/>
    <w:rsid w:val="00C20895"/>
    <w:rPr>
      <w:color w:val="000000" w:themeColor="text1"/>
    </w:rPr>
    <w:tblPr>
      <w:tblStyleRowBandSize w:val="1"/>
      <w:tblStyleColBandSize w:val="1"/>
    </w:tblPr>
    <w:tcPr>
      <w:tcBorders>
        <w:top w:val="single" w:sz="8" w:space="0" w:color="4F81BD" w:themeColor="accent1"/>
        <w:bottom w:val="single" w:sz="8" w:space="0" w:color="4F81BD" w:themeColor="accent1"/>
      </w:tcBorders>
      <w:shd w:val="clear" w:color="auto" w:fill="D3DFEE" w:themeFill="accent1"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1Accent2">
    <w:name w:val="Plantilla ES Medium List 1 Accent 2"/>
    <w:basedOn w:val="PlantillaESNormalTable"/>
    <w:uiPriority w:val="65"/>
    <w:semiHidden/>
    <w:unhideWhenUsed/>
    <w:rsid w:val="00C20895"/>
    <w:rPr>
      <w:color w:val="000000" w:themeColor="text1"/>
    </w:rPr>
    <w:tblPr>
      <w:tblStyleRowBandSize w:val="1"/>
      <w:tblStyleColBandSize w:val="1"/>
    </w:tblPr>
    <w:tcPr>
      <w:tcBorders>
        <w:top w:val="single" w:sz="8" w:space="0" w:color="C0504D" w:themeColor="accent2"/>
        <w:bottom w:val="single" w:sz="8" w:space="0" w:color="C0504D" w:themeColor="accent2"/>
      </w:tcBorders>
      <w:shd w:val="clear" w:color="auto" w:fill="EFD3D2" w:themeFill="accent2" w:themeFillTint="3F"/>
    </w:tcPr>
    <w:tblStylePr w:type="firstRow">
      <w:rPr>
        <w:rFonts w:asciiTheme="majorHAnsi" w:eastAsiaTheme="majorEastAsia" w:hAnsiTheme="majorHAnsi" w:cstheme="majorBidi"/>
      </w:r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1Accent3">
    <w:name w:val="Plantilla ES Medium List 1 Accent 3"/>
    <w:basedOn w:val="PlantillaESNormalTable"/>
    <w:uiPriority w:val="65"/>
    <w:semiHidden/>
    <w:unhideWhenUsed/>
    <w:rsid w:val="00C20895"/>
    <w:rPr>
      <w:color w:val="000000" w:themeColor="text1"/>
    </w:rPr>
    <w:tblPr>
      <w:tblStyleRowBandSize w:val="1"/>
      <w:tblStyleColBandSize w:val="1"/>
    </w:tblPr>
    <w:tcPr>
      <w:tcBorders>
        <w:top w:val="single" w:sz="8" w:space="0" w:color="9BBB59" w:themeColor="accent3"/>
        <w:bottom w:val="single" w:sz="8" w:space="0" w:color="9BBB59" w:themeColor="accent3"/>
      </w:tcBorders>
      <w:shd w:val="clear" w:color="auto" w:fill="E6EED5" w:themeFill="accent3" w:themeFillTint="3F"/>
    </w:tc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1Accent4">
    <w:name w:val="Plantilla ES Medium List 1 Accent 4"/>
    <w:basedOn w:val="PlantillaESNormalTable"/>
    <w:uiPriority w:val="65"/>
    <w:semiHidden/>
    <w:unhideWhenUsed/>
    <w:rsid w:val="00C20895"/>
    <w:rPr>
      <w:color w:val="000000" w:themeColor="text1"/>
    </w:rPr>
    <w:tblPr>
      <w:tblStyleRowBandSize w:val="1"/>
      <w:tblStyleColBandSize w:val="1"/>
    </w:tblPr>
    <w:tcPr>
      <w:tcBorders>
        <w:top w:val="single" w:sz="8" w:space="0" w:color="8064A2" w:themeColor="accent4"/>
        <w:bottom w:val="single" w:sz="8" w:space="0" w:color="8064A2" w:themeColor="accent4"/>
      </w:tcBorders>
      <w:shd w:val="clear" w:color="auto" w:fill="DFD8E8" w:themeFill="accent4" w:themeFillTint="3F"/>
    </w:tc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1Accent5">
    <w:name w:val="Plantilla ES Medium List 1 Accent 5"/>
    <w:basedOn w:val="PlantillaESNormalTable"/>
    <w:uiPriority w:val="65"/>
    <w:semiHidden/>
    <w:unhideWhenUsed/>
    <w:rsid w:val="00C20895"/>
    <w:rPr>
      <w:color w:val="000000" w:themeColor="text1"/>
    </w:rPr>
    <w:tblPr>
      <w:tblStyleRowBandSize w:val="1"/>
      <w:tblStyleColBandSize w:val="1"/>
    </w:tblPr>
    <w:tcPr>
      <w:tcBorders>
        <w:top w:val="single" w:sz="8" w:space="0" w:color="4BACC6" w:themeColor="accent5"/>
        <w:bottom w:val="single" w:sz="8" w:space="0" w:color="4BACC6" w:themeColor="accent5"/>
      </w:tcBorders>
      <w:shd w:val="clear" w:color="auto" w:fill="D2EAF1" w:themeFill="accent5" w:themeFillTint="3F"/>
    </w:tc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1Accent6">
    <w:name w:val="Plantilla ES Medium List 1 Accent 6"/>
    <w:basedOn w:val="PlantillaESNormalTable"/>
    <w:uiPriority w:val="65"/>
    <w:semiHidden/>
    <w:unhideWhenUsed/>
    <w:rsid w:val="00C20895"/>
    <w:rPr>
      <w:color w:val="000000" w:themeColor="text1"/>
    </w:rPr>
    <w:tblPr>
      <w:tblStyleRowBandSize w:val="1"/>
      <w:tblStyleColBandSize w:val="1"/>
    </w:tblPr>
    <w:tcPr>
      <w:tcBorders>
        <w:top w:val="single" w:sz="8" w:space="0" w:color="F79646" w:themeColor="accent6"/>
        <w:bottom w:val="single" w:sz="8" w:space="0" w:color="F79646" w:themeColor="accent6"/>
      </w:tcBorders>
      <w:shd w:val="clear" w:color="auto" w:fill="FDE4D0" w:themeFill="accent6" w:themeFillTint="3F"/>
    </w:tc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StylePr>
    <w:tblStylePr w:type="firstCol">
      <w:rPr>
        <w:b/>
        <w:bCs/>
      </w:rPr>
    </w:tblStylePr>
    <w:tblStylePr w:type="lastCol">
      <w:rPr>
        <w:b/>
        <w:bCs/>
      </w:rPr>
    </w:tblStylePr>
  </w:style>
  <w:style w:type="table" w:customStyle="1" w:styleId="PlantillaESMediumList2">
    <w:name w:val="Plantilla ES Medium List 2"/>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C0C0C0" w:themeFill="text1" w:themeFillTint="3F"/>
    </w:tc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List2Accent1">
    <w:name w:val="Plantilla ES Medium List 2 Accent 1"/>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D3DFEE" w:themeFill="accent1" w:themeFillTint="3F"/>
    </w:tc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List2Accent2">
    <w:name w:val="Plantilla ES Medium List 2 Accent 2"/>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top w:val="nil"/>
        <w:left w:val="nil"/>
        <w:bottom w:val="nil"/>
        <w:right w:val="nil"/>
      </w:tcBorders>
      <w:shd w:val="clear" w:color="auto" w:fill="EFD3D2" w:themeFill="accent2" w:themeFillTint="3F"/>
    </w:tc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List2Accent3">
    <w:name w:val="Plantilla ES Medium List 2 Accent 3"/>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E6EED5" w:themeFill="accent3" w:themeFillTint="3F"/>
    </w:tc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List2Accent4">
    <w:name w:val="Plantilla ES Medium List 2 Accent 4"/>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DFD8E8" w:themeFill="accent4" w:themeFillTint="3F"/>
    </w:tc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List2Accent5">
    <w:name w:val="Plantilla ES Medium List 2 Accent 5"/>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D2EAF1" w:themeFill="accent5" w:themeFillTint="3F"/>
    </w:tc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List2Accent6">
    <w:name w:val="Plantilla ES Medium List 2 Accent 6"/>
    <w:basedOn w:val="PlantillaESNormalTable"/>
    <w:uiPriority w:val="66"/>
    <w:semiHidden/>
    <w:unhideWhenUsed/>
    <w:rsid w:val="00C20895"/>
    <w:rPr>
      <w:rFonts w:asciiTheme="majorHAnsi" w:eastAsiaTheme="majorEastAsia" w:hAnsiTheme="majorHAnsi" w:cstheme="majorBidi"/>
      <w:color w:val="000000" w:themeColor="text1"/>
    </w:rPr>
    <w:tblPr>
      <w:tblStyleRowBandSize w:val="1"/>
      <w:tblStyleColBandSize w:val="1"/>
    </w:tblPr>
    <w:tcPr>
      <w:tcBorders>
        <w:left w:val="nil"/>
        <w:right w:val="nil"/>
      </w:tcBorders>
      <w:shd w:val="clear" w:color="auto" w:fill="FDE4D0" w:themeFill="accent6" w:themeFillTint="3F"/>
    </w:tc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nwCell">
      <w:tblPr/>
      <w:tcPr>
        <w:shd w:val="clear" w:color="auto" w:fill="FFFFFF" w:themeFill="background1"/>
      </w:tcPr>
    </w:tblStylePr>
    <w:tblStylePr w:type="swCell">
      <w:tblPr/>
      <w:tcPr>
        <w:tcBorders>
          <w:top w:val="nil"/>
        </w:tcBorders>
      </w:tcPr>
    </w:tblStylePr>
  </w:style>
  <w:style w:type="table" w:customStyle="1" w:styleId="PlantillaESMediumShading1">
    <w:name w:val="Plantilla ES Medium Shading 1"/>
    <w:basedOn w:val="PlantillaESNormalTable"/>
    <w:uiPriority w:val="63"/>
    <w:semiHidden/>
    <w:unhideWhenUsed/>
    <w:rsid w:val="00C20895"/>
    <w:tblPr>
      <w:tblStyleRowBandSize w:val="1"/>
      <w:tblStyleColBandSize w:val="1"/>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tcBorders>
      <w:shd w:val="clear" w:color="auto" w:fill="C0C0C0" w:themeFill="tex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1Accent1">
    <w:name w:val="Plantilla ES Medium Shading 1 Accent 1"/>
    <w:basedOn w:val="PlantillaESNormalTable"/>
    <w:uiPriority w:val="63"/>
    <w:semiHidden/>
    <w:unhideWhenUsed/>
    <w:rsid w:val="00C20895"/>
    <w:tblPr>
      <w:tblStyleRowBandSize w:val="1"/>
      <w:tblStyleColBandSize w:val="1"/>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tcBorders>
      <w:shd w:val="clear" w:color="auto" w:fill="D3DFEE" w:themeFill="accent1"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1Accent2">
    <w:name w:val="Plantilla ES Medium Shading 1 Accent 2"/>
    <w:basedOn w:val="PlantillaESNormalTable"/>
    <w:uiPriority w:val="63"/>
    <w:semiHidden/>
    <w:unhideWhenUsed/>
    <w:rsid w:val="00C20895"/>
    <w:tblPr>
      <w:tblStyleRowBandSize w:val="1"/>
      <w:tblStyleColBandSize w:val="1"/>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tcBorders>
      <w:shd w:val="clear" w:color="auto" w:fill="EFD3D2" w:themeFill="accent2"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1Accent3">
    <w:name w:val="Plantilla ES Medium Shading 1 Accent 3"/>
    <w:basedOn w:val="PlantillaESNormalTable"/>
    <w:uiPriority w:val="63"/>
    <w:semiHidden/>
    <w:unhideWhenUsed/>
    <w:rsid w:val="00C20895"/>
    <w:tblPr>
      <w:tblStyleRowBandSize w:val="1"/>
      <w:tblStyleColBandSize w:val="1"/>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tcBorders>
      <w:shd w:val="clear" w:color="auto" w:fill="E6EED5" w:themeFill="accent3"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1Accent4">
    <w:name w:val="Plantilla ES Medium Shading 1 Accent 4"/>
    <w:basedOn w:val="PlantillaESNormalTable"/>
    <w:uiPriority w:val="63"/>
    <w:semiHidden/>
    <w:unhideWhenUsed/>
    <w:rsid w:val="00C20895"/>
    <w:tblPr>
      <w:tblStyleRowBandSize w:val="1"/>
      <w:tblStyleColBandSize w:val="1"/>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tcBorders>
      <w:shd w:val="clear" w:color="auto" w:fill="DFD8E8" w:themeFill="accent4"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1Accent5">
    <w:name w:val="Plantilla ES Medium Shading 1 Accent 5"/>
    <w:basedOn w:val="PlantillaESNormalTable"/>
    <w:uiPriority w:val="63"/>
    <w:semiHidden/>
    <w:unhideWhenUsed/>
    <w:rsid w:val="00C20895"/>
    <w:tblPr>
      <w:tblStyleRowBandSize w:val="1"/>
      <w:tblStyleColBandSize w:val="1"/>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tcBorders>
      <w:shd w:val="clear" w:color="auto" w:fill="D2EAF1" w:themeFill="accent5"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1Accent6">
    <w:name w:val="Plantilla ES Medium Shading 1 Accent 6"/>
    <w:basedOn w:val="PlantillaESNormalTable"/>
    <w:uiPriority w:val="63"/>
    <w:semiHidden/>
    <w:unhideWhenUsed/>
    <w:rsid w:val="00C20895"/>
    <w:tblPr>
      <w:tblStyleRowBandSize w:val="1"/>
      <w:tblStyleColBandSize w:val="1"/>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tcBorders>
      <w:shd w:val="clear" w:color="auto" w:fill="FDE4D0" w:themeFill="accent6" w:themeFillTint="3F"/>
    </w:tcPr>
    <w:tblStylePr w:type="firstRow">
      <w:pPr>
        <w:spacing w:before="0" w:after="0" w:line="240" w:lineRule="auto"/>
      </w:pPr>
      <w:rPr>
        <w:b/>
        <w:bCs/>
        <w:color w:val="FFFFFF" w:themeColor="background1"/>
      </w:rPr>
    </w:tblStylePr>
    <w:tblStylePr w:type="lastRow">
      <w:pPr>
        <w:spacing w:before="0" w:after="0" w:line="240" w:lineRule="auto"/>
      </w:pPr>
      <w:rPr>
        <w:b/>
        <w:bCs/>
      </w:rPr>
    </w:tblStylePr>
    <w:tblStylePr w:type="firstCol">
      <w:rPr>
        <w:b/>
        <w:bCs/>
      </w:rPr>
    </w:tblStylePr>
    <w:tblStylePr w:type="lastCol">
      <w:rPr>
        <w:b/>
        <w:bCs/>
      </w:rPr>
    </w:tblStylePr>
  </w:style>
  <w:style w:type="table" w:customStyle="1" w:styleId="PlantillaESMediumShading2">
    <w:name w:val="Plantilla ES Medium Shading 2"/>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ntillaESMediumShading2Accent1">
    <w:name w:val="Plantilla ES Medium Shading 2 Accent 1"/>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ntillaESMediumShading2Accent2">
    <w:name w:val="Plantilla ES Medium Shading 2 Accent 2"/>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ntillaESMediumShading2Accent3">
    <w:name w:val="Plantilla ES Medium Shading 2 Accent 3"/>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ntillaESMediumShading2Accent4">
    <w:name w:val="Plantilla ES Medium Shading 2 Accent 4"/>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ntillaESMediumShading2Accent5">
    <w:name w:val="Plantilla ES Medium Shading 2 Accent 5"/>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ntillaESMediumShading2Accent6">
    <w:name w:val="Plantilla ES Medium Shading 2 Accent 6"/>
    <w:basedOn w:val="PlantillaESNormalTable"/>
    <w:uiPriority w:val="64"/>
    <w:semiHidden/>
    <w:unhideWhenUsed/>
    <w:rsid w:val="00C20895"/>
    <w:tblPr>
      <w:tblStyleRowBandSize w:val="1"/>
      <w:tblStyleColBandSize w:val="1"/>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PlantillaESMention1">
    <w:name w:val="Plantilla ES Mention1"/>
    <w:basedOn w:val="PlantillaESDefaultParagraphFont"/>
    <w:uiPriority w:val="99"/>
    <w:semiHidden/>
    <w:rsid w:val="00C20895"/>
    <w:rPr>
      <w:color w:val="2B579A"/>
      <w:shd w:val="clear" w:color="auto" w:fill="E1DFDD"/>
      <w:lang w:val="en-GB"/>
    </w:rPr>
  </w:style>
  <w:style w:type="paragraph" w:customStyle="1" w:styleId="PlantillaESMessageHeader">
    <w:name w:val="Plantilla ES Message Header"/>
    <w:basedOn w:val="PlantillaESNormal"/>
    <w:link w:val="PlantillaESMessageHeaderChar"/>
    <w:semiHidden/>
    <w:rsid w:val="00C20895"/>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PlantillaESMessageHeaderChar">
    <w:name w:val="Plantilla ES Message Header Char"/>
    <w:basedOn w:val="PlantillaESDefaultParagraphFont"/>
    <w:link w:val="PlantillaESMessageHeader"/>
    <w:semiHidden/>
    <w:rsid w:val="00C20895"/>
    <w:rPr>
      <w:rFonts w:asciiTheme="majorHAnsi" w:eastAsiaTheme="majorEastAsia" w:hAnsiTheme="majorHAnsi" w:cstheme="majorBidi"/>
      <w:sz w:val="24"/>
      <w:szCs w:val="24"/>
      <w:shd w:val="pct20" w:color="auto" w:fill="auto"/>
      <w:lang w:val="en-GB" w:eastAsia="en-US"/>
    </w:rPr>
  </w:style>
  <w:style w:type="paragraph" w:customStyle="1" w:styleId="PlantillaESNormalIndent">
    <w:name w:val="Plantilla ES Normal Indent"/>
    <w:basedOn w:val="PlantillaESNormal"/>
    <w:semiHidden/>
    <w:unhideWhenUsed/>
    <w:rsid w:val="00C20895"/>
    <w:pPr>
      <w:ind w:left="720"/>
    </w:pPr>
  </w:style>
  <w:style w:type="paragraph" w:customStyle="1" w:styleId="PlantillaESNoteHeading">
    <w:name w:val="Plantilla ES Note Heading"/>
    <w:basedOn w:val="PlantillaESNormal"/>
    <w:next w:val="PlantillaESNormal"/>
    <w:link w:val="PlantillaESNoteHeadingChar"/>
    <w:semiHidden/>
    <w:unhideWhenUsed/>
    <w:rsid w:val="00C20895"/>
  </w:style>
  <w:style w:type="character" w:customStyle="1" w:styleId="PlantillaESNoteHeadingChar">
    <w:name w:val="Plantilla ES Note Heading Char"/>
    <w:basedOn w:val="PlantillaESDefaultParagraphFont"/>
    <w:link w:val="PlantillaESNoteHeading"/>
    <w:semiHidden/>
    <w:rsid w:val="00C20895"/>
    <w:rPr>
      <w:rFonts w:eastAsia="Times New Roman"/>
      <w:lang w:val="en-GB" w:eastAsia="en-US"/>
    </w:rPr>
  </w:style>
  <w:style w:type="table" w:customStyle="1" w:styleId="PlantillaESPlainTable1">
    <w:name w:val="Plantilla ES Plain Table 1"/>
    <w:basedOn w:val="PlantillaESNormalTable"/>
    <w:uiPriority w:val="41"/>
    <w:rsid w:val="00C20895"/>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PlainTable2">
    <w:name w:val="Plantilla ES Plain Table 2"/>
    <w:basedOn w:val="PlantillaESNormalTable"/>
    <w:uiPriority w:val="42"/>
    <w:rsid w:val="00C20895"/>
    <w:tblPr>
      <w:tblStyleRowBandSize w:val="1"/>
      <w:tblStyleColBandSize w:val="1"/>
    </w:tblPr>
    <w:tcPr>
      <w:tcBorders>
        <w:top w:val="single" w:sz="4" w:space="0" w:color="7F7F7F" w:themeColor="text1" w:themeTint="80"/>
        <w:bottom w:val="single" w:sz="4" w:space="0" w:color="7F7F7F" w:themeColor="text1" w:themeTint="80"/>
      </w:tcBorders>
    </w:tc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style>
  <w:style w:type="table" w:customStyle="1" w:styleId="PlantillaESPlainTable3">
    <w:name w:val="Plantilla ES Plain Table 3"/>
    <w:basedOn w:val="PlantillaESNormalTable"/>
    <w:uiPriority w:val="43"/>
    <w:rsid w:val="00C20895"/>
    <w:tblPr>
      <w:tblStyleRowBandSize w:val="1"/>
      <w:tblStyleColBandSize w:val="1"/>
    </w:tblPr>
    <w:tcPr>
      <w:tcBorders>
        <w:bottom w:val="single" w:sz="4" w:space="0" w:color="7F7F7F" w:themeColor="text1" w:themeTint="80"/>
        <w:right w:val="single" w:sz="4" w:space="0" w:color="7F7F7F" w:themeColor="text1" w:themeTint="80"/>
      </w:tcBorders>
    </w:tcPr>
    <w:tblStylePr w:type="firstRow">
      <w:rPr>
        <w:b/>
        <w:bCs/>
      </w:rPr>
    </w:tblStylePr>
    <w:tblStylePr w:type="lastRow">
      <w:rPr>
        <w:b/>
        <w:bCs/>
      </w:rPr>
    </w:tblStylePr>
    <w:tblStylePr w:type="firstCol">
      <w:rPr>
        <w:b/>
        <w:bCs/>
      </w:rPr>
    </w:tblStylePr>
    <w:tblStylePr w:type="lastCol">
      <w:rPr>
        <w:b/>
        <w:bCs/>
      </w:rPr>
    </w:tblStylePr>
    <w:tblStylePr w:type="neCell">
      <w:tblPr/>
      <w:tcPr>
        <w:tcBorders>
          <w:left w:val="nil"/>
        </w:tcBorders>
      </w:tcPr>
    </w:tblStylePr>
    <w:tblStylePr w:type="nwCell">
      <w:tblPr/>
      <w:tcPr>
        <w:tcBorders>
          <w:right w:val="nil"/>
        </w:tcBorders>
      </w:tcPr>
    </w:tblStylePr>
  </w:style>
  <w:style w:type="table" w:customStyle="1" w:styleId="PlantillaESPlainTable4">
    <w:name w:val="Plantilla ES Plain Table 4"/>
    <w:basedOn w:val="PlantillaESNormalTable"/>
    <w:uiPriority w:val="44"/>
    <w:rsid w:val="00C20895"/>
    <w:tbl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PlainTable5">
    <w:name w:val="Plantilla ES Plain Table 5"/>
    <w:basedOn w:val="PlantillaESNormalTable"/>
    <w:uiPriority w:val="45"/>
    <w:rsid w:val="00C20895"/>
    <w:tblPr>
      <w:tblStyleRowBandSize w:val="1"/>
      <w:tblStyleColBandSize w:val="1"/>
    </w:tblPr>
    <w:tcPr>
      <w:tcBorders>
        <w:top w:val="single" w:sz="4" w:space="0" w:color="7F7F7F" w:themeColor="text1" w:themeTint="80"/>
        <w:right w:val="single" w:sz="4" w:space="0" w:color="7F7F7F" w:themeColor="text1" w:themeTint="80"/>
      </w:tcBorders>
      <w:shd w:val="clear" w:color="auto" w:fill="FFFFFF" w:themeFill="background1"/>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StylePr>
    <w:tblStylePr w:type="firstCol">
      <w:pPr>
        <w:jc w:val="right"/>
      </w:pPr>
      <w:rPr>
        <w:rFonts w:asciiTheme="majorHAnsi" w:eastAsiaTheme="majorEastAsia" w:hAnsiTheme="majorHAnsi" w:cstheme="majorBidi"/>
        <w:i/>
        <w:iCs/>
        <w:sz w:val="26"/>
      </w:rPr>
    </w:tblStylePr>
    <w:tblStylePr w:type="lastCol">
      <w:rPr>
        <w:rFonts w:asciiTheme="majorHAnsi" w:eastAsiaTheme="majorEastAsia" w:hAnsiTheme="majorHAnsi" w:cstheme="majorBidi"/>
        <w:i/>
        <w:iCs/>
        <w:sz w:val="26"/>
      </w:r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PlantillaESPlainText">
    <w:name w:val="Plantilla ES Plain Text"/>
    <w:basedOn w:val="PlantillaESNormal"/>
    <w:link w:val="PlantillaESPlainTextChar"/>
    <w:semiHidden/>
    <w:unhideWhenUsed/>
    <w:rsid w:val="00C20895"/>
    <w:rPr>
      <w:rFonts w:ascii="Consolas" w:hAnsi="Consolas"/>
      <w:sz w:val="21"/>
      <w:szCs w:val="21"/>
    </w:rPr>
  </w:style>
  <w:style w:type="character" w:customStyle="1" w:styleId="PlantillaESPlainTextChar">
    <w:name w:val="Plantilla ES Plain Text Char"/>
    <w:basedOn w:val="PlantillaESDefaultParagraphFont"/>
    <w:link w:val="PlantillaESPlainText"/>
    <w:semiHidden/>
    <w:rsid w:val="00C20895"/>
    <w:rPr>
      <w:rFonts w:ascii="Consolas" w:eastAsia="Times New Roman" w:hAnsi="Consolas"/>
      <w:sz w:val="21"/>
      <w:szCs w:val="21"/>
      <w:lang w:val="en-GB" w:eastAsia="en-US"/>
    </w:rPr>
  </w:style>
  <w:style w:type="paragraph" w:customStyle="1" w:styleId="PlantillaESQuote">
    <w:name w:val="Plantilla ES Quote"/>
    <w:basedOn w:val="PlantillaESNormal"/>
    <w:next w:val="PlantillaESNormal"/>
    <w:link w:val="PlantillaESQuoteChar"/>
    <w:uiPriority w:val="29"/>
    <w:semiHidden/>
    <w:qFormat/>
    <w:rsid w:val="00C20895"/>
    <w:pPr>
      <w:spacing w:before="200" w:after="160"/>
      <w:ind w:left="864" w:right="864"/>
      <w:jc w:val="center"/>
    </w:pPr>
    <w:rPr>
      <w:i/>
      <w:iCs/>
      <w:color w:val="404040" w:themeColor="text1" w:themeTint="BF"/>
    </w:rPr>
  </w:style>
  <w:style w:type="character" w:customStyle="1" w:styleId="PlantillaESQuoteChar">
    <w:name w:val="Plantilla ES Quote Char"/>
    <w:basedOn w:val="PlantillaESDefaultParagraphFont"/>
    <w:link w:val="PlantillaESQuote"/>
    <w:uiPriority w:val="29"/>
    <w:semiHidden/>
    <w:rsid w:val="00C20895"/>
    <w:rPr>
      <w:rFonts w:eastAsia="Times New Roman"/>
      <w:i/>
      <w:iCs/>
      <w:color w:val="404040" w:themeColor="text1" w:themeTint="BF"/>
      <w:lang w:val="en-GB" w:eastAsia="en-US"/>
    </w:rPr>
  </w:style>
  <w:style w:type="paragraph" w:customStyle="1" w:styleId="PlantillaESSalutation">
    <w:name w:val="Plantilla ES Salutation"/>
    <w:basedOn w:val="PlantillaESNormal"/>
    <w:next w:val="PlantillaESNormal"/>
    <w:link w:val="PlantillaESSalutationChar"/>
    <w:semiHidden/>
    <w:unhideWhenUsed/>
    <w:rsid w:val="00C20895"/>
  </w:style>
  <w:style w:type="character" w:customStyle="1" w:styleId="PlantillaESSalutationChar">
    <w:name w:val="Plantilla ES Salutation Char"/>
    <w:basedOn w:val="PlantillaESDefaultParagraphFont"/>
    <w:link w:val="PlantillaESSalutation"/>
    <w:semiHidden/>
    <w:rsid w:val="00C20895"/>
    <w:rPr>
      <w:rFonts w:eastAsia="Times New Roman"/>
      <w:lang w:val="en-GB" w:eastAsia="en-US"/>
    </w:rPr>
  </w:style>
  <w:style w:type="paragraph" w:customStyle="1" w:styleId="PlantillaESSignature">
    <w:name w:val="Plantilla ES Signature"/>
    <w:basedOn w:val="PlantillaESNormal"/>
    <w:link w:val="PlantillaESSignatureChar"/>
    <w:semiHidden/>
    <w:unhideWhenUsed/>
    <w:rsid w:val="00C20895"/>
    <w:pPr>
      <w:ind w:left="4252"/>
    </w:pPr>
  </w:style>
  <w:style w:type="character" w:customStyle="1" w:styleId="PlantillaESSignatureChar">
    <w:name w:val="Plantilla ES Signature Char"/>
    <w:basedOn w:val="PlantillaESDefaultParagraphFont"/>
    <w:link w:val="PlantillaESSignature"/>
    <w:semiHidden/>
    <w:rsid w:val="00C20895"/>
    <w:rPr>
      <w:rFonts w:eastAsia="Times New Roman"/>
      <w:lang w:val="en-GB" w:eastAsia="en-US"/>
    </w:rPr>
  </w:style>
  <w:style w:type="character" w:customStyle="1" w:styleId="PlantillaESSmartHyperlink1">
    <w:name w:val="Plantilla ES Smart Hyperlink1"/>
    <w:basedOn w:val="PlantillaESDefaultParagraphFont"/>
    <w:uiPriority w:val="99"/>
    <w:semiHidden/>
    <w:rsid w:val="00C20895"/>
    <w:rPr>
      <w:u w:val="dotted"/>
      <w:lang w:val="en-GB"/>
    </w:rPr>
  </w:style>
  <w:style w:type="character" w:customStyle="1" w:styleId="PlantillaESSmartLink1">
    <w:name w:val="Plantilla ES SmartLink1"/>
    <w:basedOn w:val="PlantillaESDefaultParagraphFont"/>
    <w:uiPriority w:val="99"/>
    <w:semiHidden/>
    <w:unhideWhenUsed/>
    <w:rsid w:val="00C20895"/>
    <w:rPr>
      <w:color w:val="0000FF"/>
      <w:u w:val="single"/>
      <w:shd w:val="clear" w:color="auto" w:fill="F3F2F1"/>
      <w:lang w:val="en-GB"/>
    </w:rPr>
  </w:style>
  <w:style w:type="character" w:customStyle="1" w:styleId="PlantillaESStrong">
    <w:name w:val="Plantilla ES Strong"/>
    <w:basedOn w:val="PlantillaESDefaultParagraphFont"/>
    <w:semiHidden/>
    <w:qFormat/>
    <w:rsid w:val="00C20895"/>
    <w:rPr>
      <w:b/>
      <w:bCs/>
      <w:lang w:val="en-GB"/>
    </w:rPr>
  </w:style>
  <w:style w:type="paragraph" w:customStyle="1" w:styleId="PlantillaESSubtitle">
    <w:name w:val="Plantilla ES Subtitle"/>
    <w:basedOn w:val="PlantillaESNormal"/>
    <w:next w:val="PlantillaESNormal"/>
    <w:link w:val="PlantillaESSubtitleChar"/>
    <w:semiHidden/>
    <w:qFormat/>
    <w:rsid w:val="00C20895"/>
    <w:pPr>
      <w:spacing w:after="160"/>
    </w:pPr>
    <w:rPr>
      <w:rFonts w:asciiTheme="minorHAnsi" w:eastAsiaTheme="minorEastAsia" w:hAnsiTheme="minorHAnsi" w:cstheme="minorBidi"/>
      <w:color w:val="5A5A5A" w:themeColor="text1" w:themeTint="A5"/>
      <w:spacing w:val="15"/>
      <w:sz w:val="22"/>
      <w:szCs w:val="22"/>
    </w:rPr>
  </w:style>
  <w:style w:type="character" w:customStyle="1" w:styleId="PlantillaESSubtitleChar">
    <w:name w:val="Plantilla ES Subtitle Char"/>
    <w:basedOn w:val="PlantillaESDefaultParagraphFont"/>
    <w:link w:val="PlantillaESSubtitle"/>
    <w:semiHidden/>
    <w:rsid w:val="00C20895"/>
    <w:rPr>
      <w:rFonts w:asciiTheme="minorHAnsi" w:eastAsiaTheme="minorEastAsia" w:hAnsiTheme="minorHAnsi" w:cstheme="minorBidi"/>
      <w:color w:val="5A5A5A" w:themeColor="text1" w:themeTint="A5"/>
      <w:spacing w:val="15"/>
      <w:sz w:val="22"/>
      <w:szCs w:val="22"/>
      <w:lang w:val="en-GB" w:eastAsia="en-US"/>
    </w:rPr>
  </w:style>
  <w:style w:type="character" w:customStyle="1" w:styleId="PlantillaESSubtleEmphasis">
    <w:name w:val="Plantilla ES Subtle Emphasis"/>
    <w:basedOn w:val="PlantillaESDefaultParagraphFont"/>
    <w:uiPriority w:val="19"/>
    <w:semiHidden/>
    <w:qFormat/>
    <w:rsid w:val="00C20895"/>
    <w:rPr>
      <w:i/>
      <w:iCs/>
      <w:color w:val="404040" w:themeColor="text1" w:themeTint="BF"/>
      <w:lang w:val="en-GB"/>
    </w:rPr>
  </w:style>
  <w:style w:type="character" w:customStyle="1" w:styleId="PlantillaESSubtleReference">
    <w:name w:val="Plantilla ES Subtle Reference"/>
    <w:basedOn w:val="PlantillaESDefaultParagraphFont"/>
    <w:uiPriority w:val="31"/>
    <w:semiHidden/>
    <w:qFormat/>
    <w:rsid w:val="00C20895"/>
    <w:rPr>
      <w:smallCaps/>
      <w:color w:val="5A5A5A" w:themeColor="text1" w:themeTint="A5"/>
      <w:lang w:val="en-GB"/>
    </w:rPr>
  </w:style>
  <w:style w:type="table" w:customStyle="1" w:styleId="PlantillaESTable3Deffects1">
    <w:name w:val="Plantilla ES Table 3D effects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top w:val="single" w:sz="6" w:space="0" w:color="FFFFFF"/>
        <w:right w:val="single" w:sz="6" w:space="0" w:color="808080"/>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firstCol">
      <w:rPr>
        <w:b/>
        <w:bCs/>
      </w:r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PlantillaESTable3Deffects2">
    <w:name w:val="Plantilla ES Table 3D effects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Pr>
    <w:tcPr>
      <w:tcBorders>
        <w:bottom w:val="single" w:sz="6" w:space="0" w:color="FFFFFF"/>
        <w:right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ntillaESTable3Deffects3">
    <w:name w:val="Plantilla ES Table 3D effects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StylePr>
    <w:tblStylePr w:type="swCell">
      <w:rPr>
        <w:b/>
        <w:bCs/>
      </w:rPr>
      <w:tblPr/>
      <w:tcPr>
        <w:tcBorders>
          <w:tl2br w:val="none" w:sz="0" w:space="0" w:color="auto"/>
          <w:tr2bl w:val="none" w:sz="0" w:space="0" w:color="auto"/>
        </w:tcBorders>
      </w:tcPr>
    </w:tblStylePr>
  </w:style>
  <w:style w:type="table" w:customStyle="1" w:styleId="PlantillaESTableClassic1">
    <w:name w:val="Plantilla ES Table Classic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right w:val="single" w:sz="6" w:space="0" w:color="000000"/>
      </w:tcBorders>
      <w:shd w:val="clear" w:color="auto" w:fill="auto"/>
    </w:tcPr>
    <w:tblStylePr w:type="firstRow">
      <w:rPr>
        <w:i/>
        <w:iCs/>
      </w:rPr>
    </w:tblStylePr>
    <w:tblStylePr w:type="lastRow">
      <w:rPr>
        <w:color w:val="auto"/>
      </w:rPr>
    </w:tblStylePr>
    <w:tblStylePr w:type="neCell">
      <w:rPr>
        <w:b/>
        <w:bCs/>
        <w:i w:val="0"/>
        <w:iCs w:val="0"/>
      </w:rPr>
    </w:tblStylePr>
    <w:tblStylePr w:type="swCell">
      <w:rPr>
        <w:b/>
        <w:bCs/>
      </w:rPr>
    </w:tblStylePr>
  </w:style>
  <w:style w:type="table" w:customStyle="1" w:styleId="PlantillaESTableClassic2">
    <w:name w:val="Plantilla ES Table Classic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PlantillaESTableClassic3">
    <w:name w:val="Plantilla ES Table Classic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rPr>
      <w:color w:val="000080"/>
    </w:rPr>
    <w:tblPr/>
    <w:tcPr>
      <w:tcBorders>
        <w:top w:val="single" w:sz="12" w:space="0" w:color="000000"/>
      </w:tcBorders>
      <w:shd w:val="solid" w:color="C0C0C0" w:fill="FFFFFF"/>
    </w:tcPr>
    <w:tblStylePr w:type="firstRow">
      <w:rPr>
        <w:b/>
        <w:bCs/>
        <w:i/>
        <w:iCs/>
        <w:color w:val="FFFFFF"/>
      </w:rPr>
    </w:tblStylePr>
    <w:tblStylePr w:type="lastRow">
      <w:rPr>
        <w:color w:val="000080"/>
      </w:rPr>
    </w:tblStylePr>
    <w:tblStylePr w:type="firstCol">
      <w:rPr>
        <w:b/>
        <w:bCs/>
        <w:color w:val="000000"/>
      </w:rPr>
    </w:tblStylePr>
  </w:style>
  <w:style w:type="table" w:customStyle="1" w:styleId="PlantillaESTableClassic4">
    <w:name w:val="Plantilla ES Table Classic 4"/>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bottom w:val="single" w:sz="6" w:space="0" w:color="000000"/>
      </w:tcBorders>
      <w:shd w:val="clear" w:color="auto" w:fill="auto"/>
    </w:tcPr>
    <w:tblStylePr w:type="firstRow">
      <w:rPr>
        <w:b/>
        <w:bCs/>
        <w:i/>
        <w:iCs/>
        <w:color w:val="FFFFFF"/>
      </w:rPr>
    </w:tblStylePr>
    <w:tblStylePr w:type="lastRow">
      <w:rPr>
        <w:color w:val="000080"/>
      </w:rPr>
    </w:tblStylePr>
    <w:tblStylePr w:type="firstCol">
      <w:rPr>
        <w:b/>
        <w:bCs/>
      </w:r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PlantillaESTableColorful1">
    <w:name w:val="Plantilla ES Table Colorful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rPr>
      <w:color w:val="FFFFFF"/>
    </w:rPr>
    <w:tblPr/>
    <w:tblStylePr w:type="firstRow">
      <w:rPr>
        <w:b/>
        <w:bCs/>
        <w:i/>
        <w:iCs/>
      </w:rPr>
    </w:tblStylePr>
    <w:tblStylePr w:type="firstCol">
      <w:rPr>
        <w:b/>
        <w:bCs/>
        <w:i/>
        <w:iCs/>
      </w:rPr>
    </w:tblStylePr>
    <w:tblStylePr w:type="swCell">
      <w:rPr>
        <w:b/>
        <w:bCs/>
        <w:i w:val="0"/>
        <w:iCs w:val="0"/>
      </w:rPr>
    </w:tblStylePr>
  </w:style>
  <w:style w:type="table" w:customStyle="1" w:styleId="PlantillaESTableColorful2">
    <w:name w:val="Plantilla ES Table Colorful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swCell">
      <w:rPr>
        <w:b/>
        <w:bCs/>
        <w:i w:val="0"/>
        <w:iCs w:val="0"/>
      </w:rPr>
      <w:tblPr/>
      <w:tcPr>
        <w:tcBorders>
          <w:tl2br w:val="none" w:sz="0" w:space="0" w:color="auto"/>
          <w:tr2bl w:val="none" w:sz="0" w:space="0" w:color="auto"/>
        </w:tcBorders>
      </w:tcPr>
    </w:tblStylePr>
  </w:style>
  <w:style w:type="table" w:customStyle="1" w:styleId="PlantillaESTableColorful3">
    <w:name w:val="Plantilla ES Table Colorful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nwCell">
      <w:rPr>
        <w:b/>
        <w:bCs/>
        <w:color w:val="FFFFFF"/>
      </w:rPr>
    </w:tblStylePr>
  </w:style>
  <w:style w:type="table" w:customStyle="1" w:styleId="PlantillaESTableColumns1">
    <w:name w:val="Plantilla ES Table Columns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cPr>
      <w:shd w:val="pct25" w:color="000000" w:fill="FFFFFF"/>
    </w:tc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ntillaESTableColumns2">
    <w:name w:val="Plantilla ES Table Columns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rPr>
      <w:b/>
      <w:bCs/>
    </w:rPr>
    <w:tblPr>
      <w:tblStyleColBandSize w:val="1"/>
    </w:tblPr>
    <w:tcPr>
      <w:shd w:val="solid" w:color="000080" w:fill="FFFFFF"/>
    </w:tcPr>
    <w:tblStylePr w:type="firstRow">
      <w:rPr>
        <w:color w:val="FFFFFF"/>
      </w:rPr>
    </w:tblStylePr>
    <w:tblStylePr w:type="lastRow">
      <w:rPr>
        <w:b w:val="0"/>
        <w:bCs w:val="0"/>
      </w:rPr>
    </w:tblStylePr>
    <w:tblStylePr w:type="firstCol">
      <w:rPr>
        <w:b w:val="0"/>
        <w:bCs w:val="0"/>
        <w:color w:val="000000"/>
      </w:rPr>
    </w:tblStylePr>
    <w:tblStylePr w:type="lastCol">
      <w:rPr>
        <w:b w:val="0"/>
        <w:bCs w:val="0"/>
      </w:rPr>
    </w:tblStylePr>
    <w:tblStylePr w:type="band1Vert">
      <w:rPr>
        <w:color w:val="auto"/>
      </w:rPr>
    </w:tblStylePr>
    <w:tblStylePr w:type="band2Vert">
      <w:rPr>
        <w:color w:val="auto"/>
      </w:r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ntillaESTableColumns3">
    <w:name w:val="Plantilla ES Table Columns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customStyle="1" w:styleId="PlantillaESTableColumns4">
    <w:name w:val="Plantilla ES Table Columns 4"/>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ColBandSize w:val="1"/>
    </w:tblPr>
    <w:tcPr>
      <w:shd w:val="pct10" w:color="00000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StylePr>
    <w:tblStylePr w:type="lastCol">
      <w:rPr>
        <w:b/>
        <w:bCs/>
      </w:rPr>
    </w:tblStylePr>
    <w:tblStylePr w:type="band1Vert">
      <w:rPr>
        <w:color w:val="auto"/>
      </w:rPr>
    </w:tblStylePr>
    <w:tblStylePr w:type="band2Vert">
      <w:rPr>
        <w:color w:val="auto"/>
      </w:rPr>
    </w:tblStylePr>
  </w:style>
  <w:style w:type="table" w:customStyle="1" w:styleId="PlantillaESTableColumns5">
    <w:name w:val="Plantilla ES Table Columns 5"/>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ColBandSize w:val="1"/>
    </w:tblPr>
    <w:tcPr>
      <w:shd w:val="solid" w:color="C0C0C0" w:fill="FFFFFF"/>
    </w:tc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StylePr>
    <w:tblStylePr w:type="lastCol">
      <w:rPr>
        <w:b/>
        <w:bCs/>
      </w:rPr>
    </w:tblStylePr>
    <w:tblStylePr w:type="band1Vert">
      <w:rPr>
        <w:color w:val="auto"/>
      </w:rPr>
    </w:tblStylePr>
    <w:tblStylePr w:type="band2Vert">
      <w:rPr>
        <w:color w:val="auto"/>
      </w:rPr>
    </w:tblStylePr>
  </w:style>
  <w:style w:type="table" w:customStyle="1" w:styleId="PlantillaESTableContemporary">
    <w:name w:val="Plantilla ES Table Contemporary"/>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b/>
        <w:bCs/>
        <w:color w:val="auto"/>
      </w:rPr>
    </w:tblStylePr>
    <w:tblStylePr w:type="band1Horz">
      <w:rPr>
        <w:color w:val="auto"/>
      </w:rPr>
    </w:tblStylePr>
    <w:tblStylePr w:type="band2Horz">
      <w:rPr>
        <w:color w:val="auto"/>
      </w:rPr>
    </w:tblStylePr>
  </w:style>
  <w:style w:type="table" w:customStyle="1" w:styleId="PlantillaESTableElegant">
    <w:name w:val="Plantilla ES Table Elegant"/>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color w:val="auto"/>
      </w:rPr>
    </w:tblStylePr>
  </w:style>
  <w:style w:type="table" w:customStyle="1" w:styleId="PlantillaESTableGrid1">
    <w:name w:val="Plantilla ES Table Grid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lastRow">
      <w:rPr>
        <w:i/>
        <w:iCs/>
      </w:rPr>
    </w:tblStylePr>
    <w:tblStylePr w:type="lastCol">
      <w:rPr>
        <w:i/>
        <w:iCs/>
      </w:rPr>
    </w:tblStylePr>
  </w:style>
  <w:style w:type="table" w:customStyle="1" w:styleId="PlantillaESTableGrid2">
    <w:name w:val="Plantilla ES Table Grid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rPr>
    </w:tblStylePr>
    <w:tblStylePr w:type="lastRow">
      <w:rPr>
        <w:b/>
        <w:bCs/>
      </w:rPr>
    </w:tblStylePr>
    <w:tblStylePr w:type="firstCol">
      <w:rPr>
        <w:b/>
        <w:bCs/>
      </w:rPr>
    </w:tblStylePr>
    <w:tblStylePr w:type="lastCol">
      <w:rPr>
        <w:b/>
        <w:bCs/>
      </w:rPr>
    </w:tblStylePr>
  </w:style>
  <w:style w:type="table" w:customStyle="1" w:styleId="PlantillaESTableGrid3">
    <w:name w:val="Plantilla ES Table Grid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bottom w:val="single" w:sz="6" w:space="0" w:color="000000"/>
      </w:tcBorders>
      <w:shd w:val="clear" w:color="auto" w:fill="auto"/>
    </w:tcPr>
    <w:tblStylePr w:type="lastRow">
      <w:rPr>
        <w:b/>
        <w:bCs/>
      </w:rPr>
    </w:tblStylePr>
    <w:tblStylePr w:type="lastCol">
      <w:rPr>
        <w:b/>
        <w:bCs/>
      </w:rPr>
    </w:tblStylePr>
  </w:style>
  <w:style w:type="table" w:customStyle="1" w:styleId="PlantillaESTableGrid4">
    <w:name w:val="Plantilla ES Table Grid 4"/>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color w:val="auto"/>
      </w:rPr>
    </w:tblStylePr>
    <w:tblStylePr w:type="lastRow">
      <w:rPr>
        <w:b/>
        <w:bCs/>
        <w:color w:val="auto"/>
      </w:rPr>
    </w:tblStylePr>
    <w:tblStylePr w:type="lastCol">
      <w:rPr>
        <w:b/>
        <w:bCs/>
        <w:color w:val="auto"/>
      </w:rPr>
    </w:tblStylePr>
  </w:style>
  <w:style w:type="table" w:customStyle="1" w:styleId="PlantillaESTableGrid5">
    <w:name w:val="Plantilla ES Table Grid 5"/>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lastRow">
      <w:rPr>
        <w:b/>
        <w:bCs/>
      </w:rPr>
    </w:tblStylePr>
    <w:tblStylePr w:type="lastCol">
      <w:rPr>
        <w:b/>
        <w:bCs/>
      </w:rPr>
    </w:tblStylePr>
  </w:style>
  <w:style w:type="table" w:customStyle="1" w:styleId="PlantillaESTableGrid6">
    <w:name w:val="Plantilla ES Table Grid 6"/>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StylePr>
    <w:tblStylePr w:type="nwCell">
      <w:tblPr/>
      <w:tcPr>
        <w:tcBorders>
          <w:tl2br w:val="single" w:sz="6" w:space="0" w:color="000000"/>
          <w:tr2bl w:val="none" w:sz="0" w:space="0" w:color="auto"/>
        </w:tcBorders>
      </w:tcPr>
    </w:tblStylePr>
  </w:style>
  <w:style w:type="table" w:customStyle="1" w:styleId="PlantillaESTableGrid7">
    <w:name w:val="Plantilla ES Table Grid 7"/>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rPr>
      <w:b/>
      <w:bCs/>
    </w:rP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StylePr>
    <w:tblStylePr w:type="lastCol">
      <w:rPr>
        <w:b w:val="0"/>
        <w:bCs w:val="0"/>
      </w:rPr>
    </w:tblStylePr>
    <w:tblStylePr w:type="nwCell">
      <w:tblPr/>
      <w:tcPr>
        <w:tcBorders>
          <w:tl2br w:val="single" w:sz="6" w:space="0" w:color="000000"/>
          <w:tr2bl w:val="none" w:sz="0" w:space="0" w:color="auto"/>
        </w:tcBorders>
      </w:tcPr>
    </w:tblStylePr>
  </w:style>
  <w:style w:type="table" w:customStyle="1" w:styleId="PlantillaESTableGrid8">
    <w:name w:val="Plantilla ES Table Grid 8"/>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StylePr>
    <w:tblStylePr w:type="lastCol">
      <w:rPr>
        <w:b/>
        <w:bCs/>
        <w:color w:val="auto"/>
      </w:rPr>
    </w:tblStylePr>
  </w:style>
  <w:style w:type="table" w:customStyle="1" w:styleId="PlantillaESGridTableLight">
    <w:name w:val="Plantilla ES Grid Table Light"/>
    <w:basedOn w:val="PlantillaESNormalTable"/>
    <w:uiPriority w:val="40"/>
    <w:rsid w:val="00C20895"/>
    <w:tblPr/>
  </w:style>
  <w:style w:type="table" w:customStyle="1" w:styleId="PlantillaESTableList1">
    <w:name w:val="Plantilla ES Table List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customStyle="1" w:styleId="PlantillaESTableList2">
    <w:name w:val="Plantilla ES Table List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customStyle="1" w:styleId="PlantillaESTableList3">
    <w:name w:val="Plantilla ES Table List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top w:val="single" w:sz="12" w:space="0" w:color="000000"/>
      </w:tcBorders>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PlantillaESTableList4">
    <w:name w:val="Plantilla ES Table List 4"/>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b/>
        <w:bCs/>
        <w:color w:val="FFFFFF"/>
      </w:rPr>
    </w:tblStylePr>
  </w:style>
  <w:style w:type="table" w:customStyle="1" w:styleId="PlantillaESTableList5">
    <w:name w:val="Plantilla ES Table List 5"/>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b/>
        <w:bCs/>
      </w:rPr>
    </w:tblStylePr>
    <w:tblStylePr w:type="firstCol">
      <w:rPr>
        <w:b/>
        <w:bCs/>
      </w:rPr>
    </w:tblStylePr>
  </w:style>
  <w:style w:type="table" w:customStyle="1" w:styleId="PlantillaESTableList6">
    <w:name w:val="Plantilla ES Table List 6"/>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Pr>
    <w:tcPr>
      <w:tcBorders>
        <w:bottom w:val="single" w:sz="12" w:space="0" w:color="000000"/>
        <w:right w:val="single" w:sz="12" w:space="0" w:color="000000"/>
      </w:tcBorders>
      <w:shd w:val="pct50" w:color="000000" w:fill="FFFFFF"/>
    </w:tcPr>
    <w:tblStylePr w:type="firstRow">
      <w:rPr>
        <w:b/>
        <w:bCs/>
      </w:rPr>
    </w:tblStylePr>
    <w:tblStylePr w:type="firstCol">
      <w:rPr>
        <w:b/>
        <w:bCs/>
      </w:rPr>
    </w:tblStylePr>
  </w:style>
  <w:style w:type="table" w:customStyle="1" w:styleId="PlantillaESTableList7">
    <w:name w:val="Plantilla ES Table List 7"/>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Pr>
    <w:tcPr>
      <w:shd w:val="pct20" w:color="000000" w:fill="FFFFFF"/>
    </w:tc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table" w:customStyle="1" w:styleId="PlantillaESTableList8">
    <w:name w:val="Plantilla ES Table List 8"/>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Pr>
    <w:tcPr>
      <w:shd w:val="pct25" w:color="FFFF00" w:fill="FFFFFF"/>
    </w:tc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tblStylePr w:type="band1Horz">
      <w:rPr>
        <w:color w:val="auto"/>
      </w:rPr>
    </w:tblStylePr>
  </w:style>
  <w:style w:type="paragraph" w:customStyle="1" w:styleId="PlantillaEStableofauthorities">
    <w:name w:val="Plantilla ES table of authorities"/>
    <w:basedOn w:val="PlantillaESNormal"/>
    <w:next w:val="PlantillaESNormal"/>
    <w:semiHidden/>
    <w:unhideWhenUsed/>
    <w:rsid w:val="00C20895"/>
    <w:pPr>
      <w:tabs>
        <w:tab w:val="clear" w:pos="1247"/>
      </w:tabs>
      <w:ind w:left="200" w:hanging="200"/>
    </w:pPr>
  </w:style>
  <w:style w:type="table" w:customStyle="1" w:styleId="PlantillaESTableProfessional">
    <w:name w:val="Plantilla ES Table Professional"/>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b/>
        <w:bCs/>
        <w:color w:val="auto"/>
      </w:rPr>
    </w:tblStylePr>
  </w:style>
  <w:style w:type="table" w:customStyle="1" w:styleId="PlantillaESTableSimple1">
    <w:name w:val="Plantilla ES Table Simple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top w:val="single" w:sz="6" w:space="0" w:color="008000"/>
      </w:tcBorders>
      <w:shd w:val="clear" w:color="auto" w:fill="auto"/>
    </w:tcPr>
    <w:tblStylePr w:type="firstRow">
      <w:tblPr/>
      <w:tcPr>
        <w:tcBorders>
          <w:bottom w:val="single" w:sz="6" w:space="0" w:color="008000"/>
          <w:tl2br w:val="none" w:sz="0" w:space="0" w:color="auto"/>
          <w:tr2bl w:val="none" w:sz="0" w:space="0" w:color="auto"/>
        </w:tcBorders>
      </w:tcPr>
    </w:tblStylePr>
  </w:style>
  <w:style w:type="table" w:customStyle="1" w:styleId="PlantillaESTableSimple2">
    <w:name w:val="Plantilla ES Table Simple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customStyle="1" w:styleId="PlantillaESTableSimple3">
    <w:name w:val="Plantilla ES Table Simple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shd w:val="clear" w:color="auto" w:fill="auto"/>
    </w:tcPr>
    <w:tblStylePr w:type="firstRow">
      <w:rPr>
        <w:b/>
        <w:bCs/>
        <w:color w:val="FFFFFF"/>
      </w:rPr>
    </w:tblStylePr>
  </w:style>
  <w:style w:type="table" w:customStyle="1" w:styleId="PlantillaESTableSubtle1">
    <w:name w:val="Plantilla ES Table Subtle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RowBandSize w:val="1"/>
    </w:tblPr>
    <w:tcPr>
      <w:tcBorders>
        <w:left w:val="single" w:sz="12" w:space="0" w:color="000000"/>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ntillaESTableSubtle2">
    <w:name w:val="Plantilla ES Table Subtle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cPr>
      <w:tcBorders>
        <w:left w:val="single" w:sz="12" w:space="0" w:color="000000"/>
        <w:bottom w:val="single" w:sz="12" w:space="0" w:color="000000"/>
        <w:right w:val="single" w:sz="12" w:space="0" w:color="000000"/>
      </w:tcBorders>
      <w:shd w:val="pct25" w:color="808000" w:fill="FFFFFF"/>
    </w:tc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PlantillaESTableTheme">
    <w:name w:val="Plantilla ES Table Theme"/>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style>
  <w:style w:type="table" w:customStyle="1" w:styleId="PlantillaESTableWeb1">
    <w:name w:val="Plantilla ES Table Web 1"/>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color w:val="auto"/>
      </w:rPr>
    </w:tblStylePr>
  </w:style>
  <w:style w:type="table" w:customStyle="1" w:styleId="PlantillaESTableWeb2">
    <w:name w:val="Plantilla ES Table Web 2"/>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color w:val="auto"/>
      </w:rPr>
    </w:tblStylePr>
  </w:style>
  <w:style w:type="table" w:customStyle="1" w:styleId="PlantillaESTableWeb3">
    <w:name w:val="Plantilla ES Table Web 3"/>
    <w:basedOn w:val="PlantillaESNormalTable"/>
    <w:semiHidden/>
    <w:unhideWhenUsed/>
    <w:rsid w:val="00C20895"/>
    <w:pPr>
      <w:tabs>
        <w:tab w:val="left" w:pos="624"/>
        <w:tab w:val="left" w:pos="1247"/>
        <w:tab w:val="left" w:pos="1871"/>
        <w:tab w:val="left" w:pos="2495"/>
        <w:tab w:val="left" w:pos="3119"/>
        <w:tab w:val="left" w:pos="3742"/>
        <w:tab w:val="left" w:pos="4366"/>
      </w:tabs>
      <w:adjustRightInd w:val="0"/>
      <w:snapToGrid w:val="0"/>
    </w:pPr>
    <w:tblPr/>
    <w:tblStylePr w:type="firstRow">
      <w:rPr>
        <w:color w:val="auto"/>
      </w:rPr>
    </w:tblStylePr>
  </w:style>
  <w:style w:type="paragraph" w:customStyle="1" w:styleId="PlantillaESTitle">
    <w:name w:val="Plantilla ES Title"/>
    <w:basedOn w:val="PlantillaESNormal"/>
    <w:next w:val="PlantillaESNormal"/>
    <w:link w:val="PlantillaESTitleChar"/>
    <w:semiHidden/>
    <w:qFormat/>
    <w:rsid w:val="00C20895"/>
    <w:pPr>
      <w:contextualSpacing/>
    </w:pPr>
    <w:rPr>
      <w:rFonts w:asciiTheme="majorHAnsi" w:eastAsiaTheme="majorEastAsia" w:hAnsiTheme="majorHAnsi" w:cstheme="majorBidi"/>
      <w:spacing w:val="-10"/>
      <w:kern w:val="28"/>
      <w:sz w:val="56"/>
      <w:szCs w:val="56"/>
    </w:rPr>
  </w:style>
  <w:style w:type="character" w:customStyle="1" w:styleId="PlantillaESTitleChar">
    <w:name w:val="Plantilla ES Title Char"/>
    <w:basedOn w:val="PlantillaESDefaultParagraphFont"/>
    <w:link w:val="PlantillaESTitle"/>
    <w:semiHidden/>
    <w:rsid w:val="00C20895"/>
    <w:rPr>
      <w:rFonts w:asciiTheme="majorHAnsi" w:eastAsiaTheme="majorEastAsia" w:hAnsiTheme="majorHAnsi" w:cstheme="majorBidi"/>
      <w:spacing w:val="-10"/>
      <w:kern w:val="28"/>
      <w:sz w:val="56"/>
      <w:szCs w:val="56"/>
      <w:lang w:val="en-GB" w:eastAsia="en-US"/>
    </w:rPr>
  </w:style>
  <w:style w:type="paragraph" w:customStyle="1" w:styleId="PlantillaEStoaheading">
    <w:name w:val="Plantilla ES toa heading"/>
    <w:basedOn w:val="PlantillaESNormal"/>
    <w:next w:val="PlantillaESNormal"/>
    <w:semiHidden/>
    <w:unhideWhenUsed/>
    <w:rsid w:val="00C20895"/>
    <w:pPr>
      <w:spacing w:before="120"/>
    </w:pPr>
    <w:rPr>
      <w:rFonts w:asciiTheme="majorHAnsi" w:eastAsiaTheme="majorEastAsia" w:hAnsiTheme="majorHAnsi" w:cstheme="majorBidi"/>
      <w:b/>
      <w:bCs/>
      <w:sz w:val="24"/>
      <w:szCs w:val="24"/>
    </w:rPr>
  </w:style>
  <w:style w:type="paragraph" w:customStyle="1" w:styleId="PlantillaESTOCHeading">
    <w:name w:val="Plantilla ES TOC Heading"/>
    <w:basedOn w:val="PlantillaESheading1"/>
    <w:next w:val="PlantillaESNormal"/>
    <w:uiPriority w:val="39"/>
    <w:semiHidden/>
    <w:unhideWhenUsed/>
    <w:qFormat/>
    <w:rsid w:val="00C20895"/>
    <w:pPr>
      <w:tabs>
        <w:tab w:val="left" w:pos="624"/>
        <w:tab w:val="left" w:pos="1247"/>
      </w:tabs>
      <w:suppressAutoHyphens w:val="0"/>
      <w:adjustRightInd w:val="0"/>
      <w:snapToGrid w:val="0"/>
      <w:spacing w:after="0"/>
      <w:ind w:right="0"/>
      <w:outlineLvl w:val="9"/>
    </w:pPr>
    <w:rPr>
      <w:rFonts w:asciiTheme="majorHAnsi" w:eastAsiaTheme="majorEastAsia" w:hAnsiTheme="majorHAnsi" w:cstheme="majorBidi"/>
      <w:b w:val="0"/>
      <w:color w:val="365F91" w:themeColor="accent1" w:themeShade="BF"/>
      <w:sz w:val="32"/>
      <w:szCs w:val="32"/>
    </w:rPr>
  </w:style>
  <w:style w:type="character" w:customStyle="1" w:styleId="PlantillaESNormal-poolChar">
    <w:name w:val="Plantilla ES Normal-pool Char"/>
    <w:link w:val="PlantillaESNormal-pool"/>
    <w:locked/>
    <w:rsid w:val="00C20895"/>
    <w:rPr>
      <w:rFonts w:eastAsia="Times New Roman"/>
      <w:lang w:val="en-GB" w:eastAsia="en-US"/>
    </w:rPr>
  </w:style>
  <w:style w:type="character" w:customStyle="1" w:styleId="PlantillaESBBTitleChar">
    <w:name w:val="Plantilla ES BB_Title Char"/>
    <w:link w:val="PlantillaESBBTitle"/>
    <w:rsid w:val="00C20895"/>
    <w:rPr>
      <w:rFonts w:eastAsia="Times New Roman"/>
      <w:b/>
      <w:sz w:val="28"/>
      <w:szCs w:val="28"/>
      <w:lang w:val="en-GB" w:eastAsia="en-US"/>
    </w:rPr>
  </w:style>
  <w:style w:type="paragraph" w:customStyle="1" w:styleId="PlantillaESRevision">
    <w:name w:val="Plantilla ES Revision"/>
    <w:hidden/>
    <w:uiPriority w:val="99"/>
    <w:semiHidden/>
    <w:rsid w:val="00C20895"/>
    <w:rPr>
      <w:lang w:val="en-GB"/>
    </w:rPr>
  </w:style>
  <w:style w:type="character" w:customStyle="1" w:styleId="PlantillaESCH2Char">
    <w:name w:val="Plantilla ES CH2 Char"/>
    <w:link w:val="PlantillaESCH2"/>
    <w:locked/>
    <w:rsid w:val="00706937"/>
    <w:rPr>
      <w:rFonts w:eastAsia="Times New Roman"/>
      <w:b/>
      <w:sz w:val="24"/>
      <w:szCs w:val="24"/>
      <w:lang w:val="en-GB" w:eastAsia="en-US"/>
    </w:rPr>
  </w:style>
  <w:style w:type="character" w:customStyle="1" w:styleId="PlantillaESListParagraphChar">
    <w:name w:val="Plantilla ES List Paragraph Char"/>
    <w:basedOn w:val="PlantillaESDefaultParagraphFont"/>
    <w:link w:val="PlantillaESListParagraph"/>
    <w:uiPriority w:val="34"/>
    <w:rsid w:val="00687603"/>
    <w:rPr>
      <w:rFonts w:eastAsia="Times New Roman"/>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831197">
      <w:bodyDiv w:val="1"/>
      <w:marLeft w:val="0"/>
      <w:marRight w:val="0"/>
      <w:marTop w:val="0"/>
      <w:marBottom w:val="0"/>
      <w:divBdr>
        <w:top w:val="none" w:sz="0" w:space="0" w:color="auto"/>
        <w:left w:val="none" w:sz="0" w:space="0" w:color="auto"/>
        <w:bottom w:val="none" w:sz="0" w:space="0" w:color="auto"/>
        <w:right w:val="none" w:sz="0" w:space="0" w:color="auto"/>
      </w:divBdr>
    </w:div>
    <w:div w:id="109513210">
      <w:bodyDiv w:val="1"/>
      <w:marLeft w:val="0"/>
      <w:marRight w:val="0"/>
      <w:marTop w:val="0"/>
      <w:marBottom w:val="0"/>
      <w:divBdr>
        <w:top w:val="none" w:sz="0" w:space="0" w:color="auto"/>
        <w:left w:val="none" w:sz="0" w:space="0" w:color="auto"/>
        <w:bottom w:val="none" w:sz="0" w:space="0" w:color="auto"/>
        <w:right w:val="none" w:sz="0" w:space="0" w:color="auto"/>
      </w:divBdr>
    </w:div>
    <w:div w:id="201484193">
      <w:bodyDiv w:val="1"/>
      <w:marLeft w:val="0"/>
      <w:marRight w:val="0"/>
      <w:marTop w:val="0"/>
      <w:marBottom w:val="0"/>
      <w:divBdr>
        <w:top w:val="none" w:sz="0" w:space="0" w:color="auto"/>
        <w:left w:val="none" w:sz="0" w:space="0" w:color="auto"/>
        <w:bottom w:val="none" w:sz="0" w:space="0" w:color="auto"/>
        <w:right w:val="none" w:sz="0" w:space="0" w:color="auto"/>
      </w:divBdr>
    </w:div>
    <w:div w:id="245920281">
      <w:bodyDiv w:val="1"/>
      <w:marLeft w:val="0"/>
      <w:marRight w:val="0"/>
      <w:marTop w:val="0"/>
      <w:marBottom w:val="0"/>
      <w:divBdr>
        <w:top w:val="none" w:sz="0" w:space="0" w:color="auto"/>
        <w:left w:val="none" w:sz="0" w:space="0" w:color="auto"/>
        <w:bottom w:val="none" w:sz="0" w:space="0" w:color="auto"/>
        <w:right w:val="none" w:sz="0" w:space="0" w:color="auto"/>
      </w:divBdr>
    </w:div>
    <w:div w:id="288362181">
      <w:bodyDiv w:val="1"/>
      <w:marLeft w:val="0"/>
      <w:marRight w:val="0"/>
      <w:marTop w:val="0"/>
      <w:marBottom w:val="0"/>
      <w:divBdr>
        <w:top w:val="none" w:sz="0" w:space="0" w:color="auto"/>
        <w:left w:val="none" w:sz="0" w:space="0" w:color="auto"/>
        <w:bottom w:val="none" w:sz="0" w:space="0" w:color="auto"/>
        <w:right w:val="none" w:sz="0" w:space="0" w:color="auto"/>
      </w:divBdr>
    </w:div>
    <w:div w:id="296179820">
      <w:bodyDiv w:val="1"/>
      <w:marLeft w:val="0"/>
      <w:marRight w:val="0"/>
      <w:marTop w:val="0"/>
      <w:marBottom w:val="0"/>
      <w:divBdr>
        <w:top w:val="none" w:sz="0" w:space="0" w:color="auto"/>
        <w:left w:val="none" w:sz="0" w:space="0" w:color="auto"/>
        <w:bottom w:val="none" w:sz="0" w:space="0" w:color="auto"/>
        <w:right w:val="none" w:sz="0" w:space="0" w:color="auto"/>
      </w:divBdr>
    </w:div>
    <w:div w:id="336268294">
      <w:bodyDiv w:val="1"/>
      <w:marLeft w:val="0"/>
      <w:marRight w:val="0"/>
      <w:marTop w:val="0"/>
      <w:marBottom w:val="0"/>
      <w:divBdr>
        <w:top w:val="none" w:sz="0" w:space="0" w:color="auto"/>
        <w:left w:val="none" w:sz="0" w:space="0" w:color="auto"/>
        <w:bottom w:val="none" w:sz="0" w:space="0" w:color="auto"/>
        <w:right w:val="none" w:sz="0" w:space="0" w:color="auto"/>
      </w:divBdr>
    </w:div>
    <w:div w:id="355035618">
      <w:bodyDiv w:val="1"/>
      <w:marLeft w:val="0"/>
      <w:marRight w:val="0"/>
      <w:marTop w:val="0"/>
      <w:marBottom w:val="0"/>
      <w:divBdr>
        <w:top w:val="none" w:sz="0" w:space="0" w:color="auto"/>
        <w:left w:val="none" w:sz="0" w:space="0" w:color="auto"/>
        <w:bottom w:val="none" w:sz="0" w:space="0" w:color="auto"/>
        <w:right w:val="none" w:sz="0" w:space="0" w:color="auto"/>
      </w:divBdr>
    </w:div>
    <w:div w:id="397869437">
      <w:bodyDiv w:val="1"/>
      <w:marLeft w:val="0"/>
      <w:marRight w:val="0"/>
      <w:marTop w:val="0"/>
      <w:marBottom w:val="0"/>
      <w:divBdr>
        <w:top w:val="none" w:sz="0" w:space="0" w:color="auto"/>
        <w:left w:val="none" w:sz="0" w:space="0" w:color="auto"/>
        <w:bottom w:val="none" w:sz="0" w:space="0" w:color="auto"/>
        <w:right w:val="none" w:sz="0" w:space="0" w:color="auto"/>
      </w:divBdr>
    </w:div>
    <w:div w:id="519204554">
      <w:bodyDiv w:val="1"/>
      <w:marLeft w:val="0"/>
      <w:marRight w:val="0"/>
      <w:marTop w:val="0"/>
      <w:marBottom w:val="0"/>
      <w:divBdr>
        <w:top w:val="none" w:sz="0" w:space="0" w:color="auto"/>
        <w:left w:val="none" w:sz="0" w:space="0" w:color="auto"/>
        <w:bottom w:val="none" w:sz="0" w:space="0" w:color="auto"/>
        <w:right w:val="none" w:sz="0" w:space="0" w:color="auto"/>
      </w:divBdr>
    </w:div>
    <w:div w:id="561868104">
      <w:bodyDiv w:val="1"/>
      <w:marLeft w:val="0"/>
      <w:marRight w:val="0"/>
      <w:marTop w:val="0"/>
      <w:marBottom w:val="0"/>
      <w:divBdr>
        <w:top w:val="none" w:sz="0" w:space="0" w:color="auto"/>
        <w:left w:val="none" w:sz="0" w:space="0" w:color="auto"/>
        <w:bottom w:val="none" w:sz="0" w:space="0" w:color="auto"/>
        <w:right w:val="none" w:sz="0" w:space="0" w:color="auto"/>
      </w:divBdr>
    </w:div>
    <w:div w:id="581598690">
      <w:bodyDiv w:val="1"/>
      <w:marLeft w:val="0"/>
      <w:marRight w:val="0"/>
      <w:marTop w:val="0"/>
      <w:marBottom w:val="0"/>
      <w:divBdr>
        <w:top w:val="none" w:sz="0" w:space="0" w:color="auto"/>
        <w:left w:val="none" w:sz="0" w:space="0" w:color="auto"/>
        <w:bottom w:val="none" w:sz="0" w:space="0" w:color="auto"/>
        <w:right w:val="none" w:sz="0" w:space="0" w:color="auto"/>
      </w:divBdr>
    </w:div>
    <w:div w:id="589895156">
      <w:bodyDiv w:val="1"/>
      <w:marLeft w:val="0"/>
      <w:marRight w:val="0"/>
      <w:marTop w:val="0"/>
      <w:marBottom w:val="0"/>
      <w:divBdr>
        <w:top w:val="none" w:sz="0" w:space="0" w:color="auto"/>
        <w:left w:val="none" w:sz="0" w:space="0" w:color="auto"/>
        <w:bottom w:val="none" w:sz="0" w:space="0" w:color="auto"/>
        <w:right w:val="none" w:sz="0" w:space="0" w:color="auto"/>
      </w:divBdr>
    </w:div>
    <w:div w:id="601961685">
      <w:bodyDiv w:val="1"/>
      <w:marLeft w:val="0"/>
      <w:marRight w:val="0"/>
      <w:marTop w:val="0"/>
      <w:marBottom w:val="0"/>
      <w:divBdr>
        <w:top w:val="none" w:sz="0" w:space="0" w:color="auto"/>
        <w:left w:val="none" w:sz="0" w:space="0" w:color="auto"/>
        <w:bottom w:val="none" w:sz="0" w:space="0" w:color="auto"/>
        <w:right w:val="none" w:sz="0" w:space="0" w:color="auto"/>
      </w:divBdr>
    </w:div>
    <w:div w:id="687171452">
      <w:bodyDiv w:val="1"/>
      <w:marLeft w:val="0"/>
      <w:marRight w:val="0"/>
      <w:marTop w:val="0"/>
      <w:marBottom w:val="0"/>
      <w:divBdr>
        <w:top w:val="none" w:sz="0" w:space="0" w:color="auto"/>
        <w:left w:val="none" w:sz="0" w:space="0" w:color="auto"/>
        <w:bottom w:val="none" w:sz="0" w:space="0" w:color="auto"/>
        <w:right w:val="none" w:sz="0" w:space="0" w:color="auto"/>
      </w:divBdr>
    </w:div>
    <w:div w:id="718288506">
      <w:bodyDiv w:val="1"/>
      <w:marLeft w:val="0"/>
      <w:marRight w:val="0"/>
      <w:marTop w:val="0"/>
      <w:marBottom w:val="0"/>
      <w:divBdr>
        <w:top w:val="none" w:sz="0" w:space="0" w:color="auto"/>
        <w:left w:val="none" w:sz="0" w:space="0" w:color="auto"/>
        <w:bottom w:val="none" w:sz="0" w:space="0" w:color="auto"/>
        <w:right w:val="none" w:sz="0" w:space="0" w:color="auto"/>
      </w:divBdr>
    </w:div>
    <w:div w:id="908005732">
      <w:bodyDiv w:val="1"/>
      <w:marLeft w:val="0"/>
      <w:marRight w:val="0"/>
      <w:marTop w:val="0"/>
      <w:marBottom w:val="0"/>
      <w:divBdr>
        <w:top w:val="none" w:sz="0" w:space="0" w:color="auto"/>
        <w:left w:val="none" w:sz="0" w:space="0" w:color="auto"/>
        <w:bottom w:val="none" w:sz="0" w:space="0" w:color="auto"/>
        <w:right w:val="none" w:sz="0" w:space="0" w:color="auto"/>
      </w:divBdr>
    </w:div>
    <w:div w:id="915018338">
      <w:bodyDiv w:val="1"/>
      <w:marLeft w:val="0"/>
      <w:marRight w:val="0"/>
      <w:marTop w:val="0"/>
      <w:marBottom w:val="0"/>
      <w:divBdr>
        <w:top w:val="none" w:sz="0" w:space="0" w:color="auto"/>
        <w:left w:val="none" w:sz="0" w:space="0" w:color="auto"/>
        <w:bottom w:val="none" w:sz="0" w:space="0" w:color="auto"/>
        <w:right w:val="none" w:sz="0" w:space="0" w:color="auto"/>
      </w:divBdr>
    </w:div>
    <w:div w:id="915360906">
      <w:bodyDiv w:val="1"/>
      <w:marLeft w:val="0"/>
      <w:marRight w:val="0"/>
      <w:marTop w:val="0"/>
      <w:marBottom w:val="0"/>
      <w:divBdr>
        <w:top w:val="none" w:sz="0" w:space="0" w:color="auto"/>
        <w:left w:val="none" w:sz="0" w:space="0" w:color="auto"/>
        <w:bottom w:val="none" w:sz="0" w:space="0" w:color="auto"/>
        <w:right w:val="none" w:sz="0" w:space="0" w:color="auto"/>
      </w:divBdr>
    </w:div>
    <w:div w:id="1096636468">
      <w:bodyDiv w:val="1"/>
      <w:marLeft w:val="0"/>
      <w:marRight w:val="0"/>
      <w:marTop w:val="0"/>
      <w:marBottom w:val="0"/>
      <w:divBdr>
        <w:top w:val="none" w:sz="0" w:space="0" w:color="auto"/>
        <w:left w:val="none" w:sz="0" w:space="0" w:color="auto"/>
        <w:bottom w:val="none" w:sz="0" w:space="0" w:color="auto"/>
        <w:right w:val="none" w:sz="0" w:space="0" w:color="auto"/>
      </w:divBdr>
    </w:div>
    <w:div w:id="1143233072">
      <w:bodyDiv w:val="1"/>
      <w:marLeft w:val="0"/>
      <w:marRight w:val="0"/>
      <w:marTop w:val="0"/>
      <w:marBottom w:val="0"/>
      <w:divBdr>
        <w:top w:val="none" w:sz="0" w:space="0" w:color="auto"/>
        <w:left w:val="none" w:sz="0" w:space="0" w:color="auto"/>
        <w:bottom w:val="none" w:sz="0" w:space="0" w:color="auto"/>
        <w:right w:val="none" w:sz="0" w:space="0" w:color="auto"/>
      </w:divBdr>
    </w:div>
    <w:div w:id="1259869633">
      <w:bodyDiv w:val="1"/>
      <w:marLeft w:val="0"/>
      <w:marRight w:val="0"/>
      <w:marTop w:val="0"/>
      <w:marBottom w:val="0"/>
      <w:divBdr>
        <w:top w:val="none" w:sz="0" w:space="0" w:color="auto"/>
        <w:left w:val="none" w:sz="0" w:space="0" w:color="auto"/>
        <w:bottom w:val="none" w:sz="0" w:space="0" w:color="auto"/>
        <w:right w:val="none" w:sz="0" w:space="0" w:color="auto"/>
      </w:divBdr>
    </w:div>
    <w:div w:id="1349528718">
      <w:bodyDiv w:val="1"/>
      <w:marLeft w:val="0"/>
      <w:marRight w:val="0"/>
      <w:marTop w:val="0"/>
      <w:marBottom w:val="0"/>
      <w:divBdr>
        <w:top w:val="none" w:sz="0" w:space="0" w:color="auto"/>
        <w:left w:val="none" w:sz="0" w:space="0" w:color="auto"/>
        <w:bottom w:val="none" w:sz="0" w:space="0" w:color="auto"/>
        <w:right w:val="none" w:sz="0" w:space="0" w:color="auto"/>
      </w:divBdr>
    </w:div>
    <w:div w:id="1349990279">
      <w:bodyDiv w:val="1"/>
      <w:marLeft w:val="0"/>
      <w:marRight w:val="0"/>
      <w:marTop w:val="0"/>
      <w:marBottom w:val="0"/>
      <w:divBdr>
        <w:top w:val="none" w:sz="0" w:space="0" w:color="auto"/>
        <w:left w:val="none" w:sz="0" w:space="0" w:color="auto"/>
        <w:bottom w:val="none" w:sz="0" w:space="0" w:color="auto"/>
        <w:right w:val="none" w:sz="0" w:space="0" w:color="auto"/>
      </w:divBdr>
    </w:div>
    <w:div w:id="1591623443">
      <w:bodyDiv w:val="1"/>
      <w:marLeft w:val="0"/>
      <w:marRight w:val="0"/>
      <w:marTop w:val="0"/>
      <w:marBottom w:val="0"/>
      <w:divBdr>
        <w:top w:val="none" w:sz="0" w:space="0" w:color="auto"/>
        <w:left w:val="none" w:sz="0" w:space="0" w:color="auto"/>
        <w:bottom w:val="none" w:sz="0" w:space="0" w:color="auto"/>
        <w:right w:val="none" w:sz="0" w:space="0" w:color="auto"/>
      </w:divBdr>
    </w:div>
    <w:div w:id="1702824462">
      <w:bodyDiv w:val="1"/>
      <w:marLeft w:val="0"/>
      <w:marRight w:val="0"/>
      <w:marTop w:val="0"/>
      <w:marBottom w:val="0"/>
      <w:divBdr>
        <w:top w:val="none" w:sz="0" w:space="0" w:color="auto"/>
        <w:left w:val="none" w:sz="0" w:space="0" w:color="auto"/>
        <w:bottom w:val="none" w:sz="0" w:space="0" w:color="auto"/>
        <w:right w:val="none" w:sz="0" w:space="0" w:color="auto"/>
      </w:divBdr>
    </w:div>
    <w:div w:id="1824925697">
      <w:bodyDiv w:val="1"/>
      <w:marLeft w:val="0"/>
      <w:marRight w:val="0"/>
      <w:marTop w:val="0"/>
      <w:marBottom w:val="0"/>
      <w:divBdr>
        <w:top w:val="none" w:sz="0" w:space="0" w:color="auto"/>
        <w:left w:val="none" w:sz="0" w:space="0" w:color="auto"/>
        <w:bottom w:val="none" w:sz="0" w:space="0" w:color="auto"/>
        <w:right w:val="none" w:sz="0" w:space="0" w:color="auto"/>
      </w:divBdr>
    </w:div>
    <w:div w:id="1826160641">
      <w:bodyDiv w:val="1"/>
      <w:marLeft w:val="0"/>
      <w:marRight w:val="0"/>
      <w:marTop w:val="0"/>
      <w:marBottom w:val="0"/>
      <w:divBdr>
        <w:top w:val="none" w:sz="0" w:space="0" w:color="auto"/>
        <w:left w:val="none" w:sz="0" w:space="0" w:color="auto"/>
        <w:bottom w:val="none" w:sz="0" w:space="0" w:color="auto"/>
        <w:right w:val="none" w:sz="0" w:space="0" w:color="auto"/>
      </w:divBdr>
    </w:div>
    <w:div w:id="1858544178">
      <w:bodyDiv w:val="1"/>
      <w:marLeft w:val="0"/>
      <w:marRight w:val="0"/>
      <w:marTop w:val="0"/>
      <w:marBottom w:val="0"/>
      <w:divBdr>
        <w:top w:val="none" w:sz="0" w:space="0" w:color="auto"/>
        <w:left w:val="none" w:sz="0" w:space="0" w:color="auto"/>
        <w:bottom w:val="none" w:sz="0" w:space="0" w:color="auto"/>
        <w:right w:val="none" w:sz="0" w:space="0" w:color="auto"/>
      </w:divBdr>
    </w:div>
    <w:div w:id="186150191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12831098">
      <w:bodyDiv w:val="1"/>
      <w:marLeft w:val="0"/>
      <w:marRight w:val="0"/>
      <w:marTop w:val="0"/>
      <w:marBottom w:val="0"/>
      <w:divBdr>
        <w:top w:val="none" w:sz="0" w:space="0" w:color="auto"/>
        <w:left w:val="none" w:sz="0" w:space="0" w:color="auto"/>
        <w:bottom w:val="none" w:sz="0" w:space="0" w:color="auto"/>
        <w:right w:val="none" w:sz="0" w:space="0" w:color="auto"/>
      </w:divBdr>
    </w:div>
    <w:div w:id="2023507756">
      <w:bodyDiv w:val="1"/>
      <w:marLeft w:val="0"/>
      <w:marRight w:val="0"/>
      <w:marTop w:val="0"/>
      <w:marBottom w:val="0"/>
      <w:divBdr>
        <w:top w:val="none" w:sz="0" w:space="0" w:color="auto"/>
        <w:left w:val="none" w:sz="0" w:space="0" w:color="auto"/>
        <w:bottom w:val="none" w:sz="0" w:space="0" w:color="auto"/>
        <w:right w:val="none" w:sz="0" w:space="0" w:color="auto"/>
      </w:divBdr>
    </w:div>
    <w:div w:id="2099787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arke\Downloads\Eec8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1f027ecfec9634dc720f040c2427a9af">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712025cbba6f4e5f1826e577f3ddda2d"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9FFE94-26B8-4041-8A7B-96825C30E20A}">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0287C24D-77C1-4188-BCA1-51BF972A0484}">
  <ds:schemaRefs>
    <ds:schemaRef ds:uri="http://schemas.microsoft.com/sharepoint/v3/contenttype/forms"/>
  </ds:schemaRefs>
</ds:datastoreItem>
</file>

<file path=customXml/itemProps3.xml><?xml version="1.0" encoding="utf-8"?>
<ds:datastoreItem xmlns:ds="http://schemas.openxmlformats.org/officeDocument/2006/customXml" ds:itemID="{4CE15F07-3966-404E-8118-C07532E59B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563E98A-E856-44D2-B370-F21218D912D3}">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Eec87G</Template>
  <TotalTime>39</TotalTime>
  <Pages>17</Pages>
  <Words>8883</Words>
  <Characters>50638</Characters>
  <Application>Microsoft Office Word</Application>
  <DocSecurity>0</DocSecurity>
  <Lines>421</Lines>
  <Paragraphs>118</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ExCom report to MOP37</vt:lpstr>
      <vt:lpstr>        The present report contains two sections and an annex as follows:</vt:lpstr>
      <vt:lpstr>        During the reporting period, the Executive Committee held its 97th and 98th meet</vt:lpstr>
      <vt:lpstr>        The 98th meeting was held in Montreal from 22 to 26 June 2026. The work of the 9</vt:lpstr>
      <vt:lpstr>        The reports of the 97th and 98th meetings  are available on the Multilateral Fun</vt:lpstr>
      <vt:lpstr>    A.	Policy matters related to the Kigali Amendment</vt:lpstr>
      <vt:lpstr>    1.	Strategic approaches to implementation of the Kigali Amendment</vt:lpstr>
      <vt:lpstr>        At the 98th meeting, the Executive Committee considered a document on strategic </vt:lpstr>
      <vt:lpstr>    Types of activities to facilitate transition in the refrigeration servicing and </vt:lpstr>
      <vt:lpstr>    Types of activities to facilitate manufacturing sector transition in the refrige</vt:lpstr>
      <vt:lpstr>    Possible elements to consider for future stages of the KIPs that would be part o</vt:lpstr>
      <vt:lpstr>    Lessons learned regarding the use of concessional funding by the Multilateral Fu</vt:lpstr>
      <vt:lpstr>    An update to the mapping of relevant activities undertaken by other funding inst</vt:lpstr>
      <vt:lpstr>        The Fund Secretariat was also requested to prepare, for the 102nd meeting, takin</vt:lpstr>
      <vt:lpstr>2.	Local installation and assembly subsector</vt:lpstr>
      <vt:lpstr>        Pursuant to decision 95/89, at the 98th meeting, the Executive Committee conside</vt:lpstr>
      <vt:lpstr>    3.	Deduction from the starting point for HFC consumption where Kigali HFC implem</vt:lpstr>
      <vt:lpstr>        At its 98th meeting, the Executive Committee considered the issue of the deducti</vt:lpstr>
      <vt:lpstr>    4.	Issues related to projects submitted under the operational framework on energ</vt:lpstr>
      <vt:lpstr>        At the 97th and 98th meetings, the Executive Committee discussed a number of mat</vt:lpstr>
      <vt:lpstr>    (a)	Proportion of equipment manufactured by an enterprise qualifying for the add</vt:lpstr>
      <vt:lpstr>        At the 97th meeting, the Executive Committee decided, for projects submitted und</vt:lpstr>
      <vt:lpstr>    (b)	Energy-efficiency projects under decision 94/60 for enterprises with convers</vt:lpstr>
      <vt:lpstr>        At its 98th meeting, after considering the issue of energy-efficiency projects u</vt:lpstr>
      <vt:lpstr>    (c)	Manufacturing volumes to be considered while evaluating additional component</vt:lpstr>
      <vt:lpstr>        At the 97th meeting, the Executive Committee decided to note that, for projects </vt:lpstr>
      <vt:lpstr>    (d)	Provision of additional capital costs to manufacturers that use complete kno</vt:lpstr>
      <vt:lpstr>        Also at the 97th meeting, following a discussion, the Executive Committee agreed</vt:lpstr>
      <vt:lpstr>    5.	Issues related to the energy-efficiency funding window established in decisio</vt:lpstr>
      <vt:lpstr>    (a)	Preparatory requests for projects related to energy efficiency pursuant to d</vt:lpstr>
      <vt:lpstr>        At its 98th meeting, the Executive Committee considered the issue of preparatory</vt:lpstr>
      <vt:lpstr>    (b)	Assessment of the funding window for energy efficiency established under dec</vt:lpstr>
      <vt:lpstr>        At the 98th meeting, an Executive Committee member said that there was a desire </vt:lpstr>
      <vt:lpstr>    6.	Operationalization of centres of excellence for sustainable cooling and testi</vt:lpstr>
      <vt:lpstr>    (a)	Operationalization of centres of excellence for sustainable cooling</vt:lpstr>
      <vt:lpstr>        At the 97th meeting, pursuant to decision 95/87(e), the Executive Committee cons</vt:lpstr>
      <vt:lpstr>        The Committee requested the Fund Secretariat to prepare, for the 99th meeting, t</vt:lpstr>
      <vt:lpstr>    (b)	Operationalization of testing centres for energy efficiency</vt:lpstr>
      <vt:lpstr>        At the 97th meeting, also pursuant to decision 95/87(e), the Executive Committee</vt:lpstr>
      <vt:lpstr>        At the 98th meeting, the Executive Committee considered the requested informatio</vt:lpstr>
      <vt:lpstr>        At the 98th meeting, while considering requests for funding for projects submitt</vt:lpstr>
      <vt:lpstr>8.	Consideration of the establishment of a funding window in line with decision </vt:lpstr>
      <vt:lpstr>        At its 97th meeting, the Executive Committee considered a report prepared pursua</vt:lpstr>
      <vt:lpstr>        At its 97th meeting, the Executive Committee also examined whether to extend the</vt:lpstr>
      <vt:lpstr>8.	Challenges in implementing conversion projects in the refrigeration, air-cond</vt:lpstr>
      <vt:lpstr>        Pursuant to decision 96/59, at its 98th meeting, the Executive Committee conside</vt:lpstr>
      <vt:lpstr>9.	Methodology used to calculate the climate impacts from the implementation of </vt:lpstr>
      <vt:lpstr>        At its 97th meeting, the Executive Committee discussed the methodology used to c</vt:lpstr>
      <vt:lpstr>        At the 98th meeting, the Executive Committee continued its consideration of the </vt:lpstr>
      <vt:lpstr>    10.	Verification issues</vt:lpstr>
      <vt:lpstr>    (a)	Funding withheld in cases of non-submission of the verification report with </vt:lpstr>
      <vt:lpstr>        At its 98th meeting, after considering the issue of funding withheld in cases of</vt:lpstr>
      <vt:lpstr>    (b)	Verification of compliance of selected low-volume-consuming countries with t</vt:lpstr>
      <vt:lpstr>        At the 98th meeting, the Executive Committee noted  that relevant bilateral and </vt:lpstr>
      <vt:lpstr>B.	All other policy matters</vt:lpstr>
      <vt:lpstr>1.	Matters relating to pilot projects to enhance regional atmospheric monitoring</vt:lpstr>
      <vt:lpstr>        Pursuant to decision 96/56, at the 98th meeting, the Executive Committee conside</vt:lpstr>
      <vt:lpstr>        Following discussions in plenary and in a contact group, the Executive Committee</vt:lpstr>
      <vt:lpstr>        The Executive Committee encouraged Article 5 countries to make use of the expert</vt:lpstr>
      <vt:lpstr>        The Committee noted that bilateral and implementing agencies of pilot projects t</vt:lpstr>
      <vt:lpstr>        The bilateral and implementing agencies were requested to include, in their rele</vt:lpstr>
      <vt:lpstr>2.	Alternatives in polyurethane-foam manufacturing, with a focus on small and me</vt:lpstr>
      <vt:lpstr>        At its 98th meeting, pursuant to decision 96/53(c), the Executive Committee cons</vt:lpstr>
      <vt:lpstr>3.	Implementation of decision XXXV/13 on the import and export of prohibited coo</vt:lpstr>
      <vt:lpstr>        At the 98th meeting, the Executive Committee, taking into account decision XXXV/</vt:lpstr>
      <vt:lpstr>4.	Review of the possibility of integration of reporting through project complet</vt:lpstr>
      <vt:lpstr>        At the 97th meeting, pursuant to decision 95/91(e), the Executive Committee cons</vt:lpstr>
      <vt:lpstr>5.	Midterm progress report on the implementation of the results framework</vt:lpstr>
      <vt:lpstr>        At the 97th meeting, the Executive Committee considered, pursuant to decision 93</vt:lpstr>
      <vt:lpstr>6.	Sub-group on the Production Sector</vt:lpstr>
      <vt:lpstr>        The Sub-group on the Production Sector met on the margins of the 97th meeting, p</vt:lpstr>
      <vt:lpstr>        Owing to time constraints, however, there was no meeting of the Sub-group on the</vt:lpstr>
      <vt:lpstr>7.	Assessment of the implementation of the Multilateral Fund gender mainstreamin</vt:lpstr>
      <vt:lpstr>        At the 98th meeting, during the adoption of the agenda, the Executive Committee </vt:lpstr>
      <vt:lpstr>    C.	Projects, implementation, and monitoring</vt:lpstr>
      <vt:lpstr>    1.	Approvals made during the reporting period</vt:lpstr>
      <vt:lpstr>        During the reporting period, the Executive Committee approved a total of ?? addi</vt:lpstr>
      <vt:lpstr>        At the 97th and 98th meetings, after consideration of the documents on projects </vt:lpstr>
      <vt:lpstr>(a)	Investment projects</vt:lpstr>
      <vt:lpstr>HCFC phase-out management plans</vt:lpstr>
      <vt:lpstr>        At the 97th meeting, the Executive Committee approved tranches of HPMPs for 19 c</vt:lpstr>
      <vt:lpstr>        Also at the 97th meeting, the Executive Committee approved individual project pr</vt:lpstr>
      <vt:lpstr>        At the 98th meeting, the Executive Committee approved tranches of HPMPs for 17 c</vt:lpstr>
      <vt:lpstr>        Also at the 98th meeting, the Executive Committee approved individual project pr</vt:lpstr>
      <vt:lpstr>        At the 97th meeting, the Executive Committee approved, in principle, stage I of </vt:lpstr>
      <vt:lpstr>        Also at the 97th meeting, in terms of stand-alone pilot projects related to main</vt:lpstr>
      <vt:lpstr>        At the 98th meeting, the Executive Committee approved, in principle, stage I of </vt:lpstr>
      <vt:lpstr>        Also at the 98th meeting, in terms of stand-alone pilot projects related to main</vt:lpstr>
      <vt:lpstr>(b)	Non-investment activities</vt:lpstr>
      <vt:lpstr>        At the 97th meeting, the Executive Committee approved all but one of the non-inv</vt:lpstr>
      <vt:lpstr>        At the 98th meeting, the Executive Committee approved all but five of the non-in</vt:lpstr>
      <vt:lpstr>(c)	2025 UNEP Compliance Assistance Programme budget </vt:lpstr>
      <vt:lpstr>        At the 97th meeting, the Executive Committee noted the 2025 progress report and </vt:lpstr>
      <vt:lpstr>(d)	Core unit costs for UNDP, UNIDO and the World Bank</vt:lpstr>
      <vt:lpstr>        At the 97th meeting, the Executive Committee approved the 2026 core unit budgets</vt:lpstr>
      <vt:lpstr>    2.	Implementation and reporting</vt:lpstr>
      <vt:lpstr>        (a)	Country programme data and prospects for compliance</vt:lpstr>
      <vt:lpstr>        At the 97th meeting  and the 98th meeting,  the Executive Committee considered d</vt:lpstr>
      <vt:lpstr>        (b)	Tranche submission delays</vt:lpstr>
      <vt:lpstr>        At the 98th meeting, the Executive Committee considered a report on tranche subm</vt:lpstr>
      <vt:lpstr>        (c)	Progress reports</vt:lpstr>
    </vt:vector>
  </TitlesOfParts>
  <Company>UNMFS</Company>
  <LinksUpToDate>false</LinksUpToDate>
  <CharactersWithSpaces>59403</CharactersWithSpaces>
  <SharedDoc>false</SharedDoc>
  <HLinks>
    <vt:vector size="6" baseType="variant">
      <vt:variant>
        <vt:i4>5242953</vt:i4>
      </vt:variant>
      <vt:variant>
        <vt:i4>0</vt:i4>
      </vt:variant>
      <vt:variant>
        <vt:i4>0</vt:i4>
      </vt:variant>
      <vt:variant>
        <vt:i4>5</vt:i4>
      </vt:variant>
      <vt:variant>
        <vt:lpwstr>https://www.multilateralfund.org/meetings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ExCom report to MOP37</dc:title>
  <dc:subject/>
  <dc:creator>Natalie Barker</dc:creator>
  <cp:keywords/>
  <cp:lastModifiedBy>Angela Xue He Yan</cp:lastModifiedBy>
  <cp:revision>47</cp:revision>
  <cp:lastPrinted>2001-05-27T04:40:00Z</cp:lastPrinted>
  <dcterms:created xsi:type="dcterms:W3CDTF">2026-09-10T08:35:00Z</dcterms:created>
  <dcterms:modified xsi:type="dcterms:W3CDTF">2026-09-11T18:01:00Z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vision date">
    <vt:lpwstr>8 de septiembre de 2026</vt:lpwstr>
  </property>
  <property fmtid="{D5CDD505-2E9C-101B-9397-08002B2CF9AE}" pid="3" name="ContentTypeId">
    <vt:lpwstr>0x010100C5F60F8E60516143877F7AC30EFBB2F3</vt:lpwstr>
  </property>
  <property fmtid="{D5CDD505-2E9C-101B-9397-08002B2CF9AE}" pid="4" name="MediaServiceImageTags">
    <vt:lpwstr/>
  </property>
  <property fmtid="{D5CDD505-2E9C-101B-9397-08002B2CF9AE}" pid="5" name="Document number">
    <vt:lpwstr>UNEP/OzL.Pro.38/8</vt:lpwstr>
  </property>
</Properties>
</file>