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701"/>
        <w:gridCol w:w="6378"/>
        <w:gridCol w:w="1417"/>
      </w:tblGrid>
      <w:tr w:rsidR="00532475" w:rsidRPr="00E664AB" w14:paraId="06CBF09C" w14:textId="77777777" w:rsidTr="00C627B0">
        <w:trPr>
          <w:trHeight w:val="850"/>
        </w:trPr>
        <w:tc>
          <w:tcPr>
            <w:tcW w:w="1701" w:type="dxa"/>
          </w:tcPr>
          <w:p w14:paraId="0C1FF14B" w14:textId="21746650" w:rsidR="00532475" w:rsidRPr="00E664AB" w:rsidRDefault="00532475" w:rsidP="00C627B0">
            <w:pPr>
              <w:pStyle w:val="AUnitedNations"/>
              <w:rPr>
                <w:lang w:val="es-ES_tradnl"/>
              </w:rPr>
            </w:pPr>
            <w:r w:rsidRPr="00E664AB">
              <w:rPr>
                <w:lang w:val="es-ES_tradnl"/>
              </w:rPr>
              <w:t xml:space="preserve">NACIONES </w:t>
            </w:r>
            <w:r w:rsidRPr="00E664AB">
              <w:rPr>
                <w:lang w:val="es-ES_tradnl"/>
              </w:rPr>
              <w:br/>
              <w:t>UNIDAS</w:t>
            </w:r>
          </w:p>
        </w:tc>
        <w:tc>
          <w:tcPr>
            <w:tcW w:w="6378" w:type="dxa"/>
          </w:tcPr>
          <w:p w14:paraId="4078710F" w14:textId="77777777" w:rsidR="00532475" w:rsidRPr="00E664AB" w:rsidRDefault="00532475" w:rsidP="00C627B0">
            <w:pPr>
              <w:pStyle w:val="Normal-pool"/>
              <w:rPr>
                <w:lang w:val="es-ES_tradnl"/>
              </w:rPr>
            </w:pPr>
            <w:r w:rsidRPr="00E664AB">
              <w:rPr>
                <w:noProof/>
                <w:lang w:val="es-ES_tradnl"/>
                <w14:ligatures w14:val="standardContextual"/>
              </w:rPr>
              <w:drawing>
                <wp:anchor distT="0" distB="0" distL="114300" distR="114300" simplePos="0" relativeHeight="251660288" behindDoc="0" locked="0" layoutInCell="1" allowOverlap="1" wp14:anchorId="345ABE67" wp14:editId="184735EF">
                  <wp:simplePos x="0" y="0"/>
                  <wp:positionH relativeFrom="column">
                    <wp:posOffset>-1270</wp:posOffset>
                  </wp:positionH>
                  <wp:positionV relativeFrom="paragraph">
                    <wp:posOffset>-4445</wp:posOffset>
                  </wp:positionV>
                  <wp:extent cx="1305763" cy="573559"/>
                  <wp:effectExtent l="0" t="0" r="8890" b="0"/>
                  <wp:wrapNone/>
                  <wp:docPr id="1793912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12069" name=""/>
                          <pic:cNvPicPr/>
                        </pic:nvPicPr>
                        <pic:blipFill>
                          <a:blip r:embed="rId12">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679629BC" w14:textId="77777777" w:rsidR="00532475" w:rsidRPr="00E664AB" w:rsidRDefault="00532475" w:rsidP="00C627B0">
            <w:pPr>
              <w:pStyle w:val="Normal-pool"/>
              <w:rPr>
                <w:lang w:val="es-ES_tradnl"/>
              </w:rPr>
            </w:pPr>
          </w:p>
        </w:tc>
      </w:tr>
    </w:tbl>
    <w:p w14:paraId="58DA45F2" w14:textId="77777777" w:rsidR="00532475" w:rsidRPr="00E664AB" w:rsidRDefault="00532475" w:rsidP="00532475">
      <w:pPr>
        <w:pStyle w:val="ASpacer"/>
        <w:rPr>
          <w:lang w:val="es-ES_tradnl"/>
        </w:rPr>
      </w:pPr>
    </w:p>
    <w:tbl>
      <w:tblPr>
        <w:tblW w:w="9496" w:type="dxa"/>
        <w:tblLook w:val="0000" w:firstRow="0" w:lastRow="0" w:firstColumn="0" w:lastColumn="0" w:noHBand="0" w:noVBand="0"/>
      </w:tblPr>
      <w:tblGrid>
        <w:gridCol w:w="6378"/>
        <w:gridCol w:w="3118"/>
      </w:tblGrid>
      <w:tr w:rsidR="00532475" w:rsidRPr="00E664AB" w14:paraId="5A27C535" w14:textId="77777777" w:rsidTr="00C627B0">
        <w:trPr>
          <w:trHeight w:val="340"/>
        </w:trPr>
        <w:tc>
          <w:tcPr>
            <w:tcW w:w="3358" w:type="pct"/>
            <w:vAlign w:val="bottom"/>
          </w:tcPr>
          <w:p w14:paraId="48BA345F" w14:textId="77777777" w:rsidR="00532475" w:rsidRPr="00E664AB" w:rsidRDefault="00532475" w:rsidP="00C627B0">
            <w:pPr>
              <w:pStyle w:val="Normal-pool"/>
              <w:rPr>
                <w:lang w:val="es-ES_tradnl"/>
              </w:rPr>
            </w:pPr>
          </w:p>
        </w:tc>
        <w:tc>
          <w:tcPr>
            <w:tcW w:w="1642" w:type="pct"/>
            <w:noWrap/>
            <w:vAlign w:val="bottom"/>
          </w:tcPr>
          <w:p w14:paraId="2A780A16" w14:textId="599C9036" w:rsidR="00532475" w:rsidRPr="00E664AB" w:rsidRDefault="00532475" w:rsidP="00C627B0">
            <w:pPr>
              <w:pStyle w:val="ASymbol"/>
              <w:rPr>
                <w:lang w:val="es-ES_tradnl"/>
              </w:rPr>
            </w:pPr>
            <w:r w:rsidRPr="00E664AB">
              <w:rPr>
                <w:b/>
                <w:sz w:val="28"/>
                <w:lang w:val="es-ES_tradnl"/>
              </w:rPr>
              <w:t>UNEP</w:t>
            </w:r>
            <w:r w:rsidRPr="00E664AB">
              <w:rPr>
                <w:lang w:val="es-ES_tradnl"/>
              </w:rPr>
              <w:t>/OzL.Pro.38/3</w:t>
            </w:r>
          </w:p>
        </w:tc>
      </w:tr>
    </w:tbl>
    <w:p w14:paraId="42C56C94" w14:textId="77777777" w:rsidR="00532475" w:rsidRPr="00E664AB" w:rsidRDefault="00532475" w:rsidP="00532475">
      <w:pPr>
        <w:pStyle w:val="ASpacer"/>
        <w:rPr>
          <w:lang w:val="es-ES_tradnl"/>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532475" w:rsidRPr="00E664AB" w14:paraId="4A39A892" w14:textId="77777777" w:rsidTr="00C627B0">
        <w:trPr>
          <w:trHeight w:val="2098"/>
        </w:trPr>
        <w:tc>
          <w:tcPr>
            <w:tcW w:w="5386" w:type="dxa"/>
          </w:tcPr>
          <w:p w14:paraId="2AE339F1" w14:textId="77777777" w:rsidR="00532475" w:rsidRPr="00E664AB" w:rsidRDefault="00532475" w:rsidP="00C627B0">
            <w:pPr>
              <w:pStyle w:val="AConvName"/>
              <w:rPr>
                <w:lang w:val="es-ES_tradnl"/>
              </w:rPr>
            </w:pPr>
            <w:r w:rsidRPr="00E664AB">
              <w:rPr>
                <w:lang w:val="es-ES_tradnl"/>
              </w:rPr>
              <w:t xml:space="preserve">Protocolo de Montreal relativo </w:t>
            </w:r>
            <w:r w:rsidRPr="00E664AB">
              <w:rPr>
                <w:lang w:val="es-ES_tradnl"/>
              </w:rPr>
              <w:br/>
              <w:t xml:space="preserve">a las Sustancias que Agotan </w:t>
            </w:r>
            <w:r w:rsidRPr="00E664AB">
              <w:rPr>
                <w:lang w:val="es-ES_tradnl"/>
              </w:rPr>
              <w:br/>
              <w:t>la Capa de Ozono</w:t>
            </w:r>
          </w:p>
        </w:tc>
        <w:tc>
          <w:tcPr>
            <w:tcW w:w="992" w:type="dxa"/>
          </w:tcPr>
          <w:p w14:paraId="6A3293A9" w14:textId="77777777" w:rsidR="00532475" w:rsidRPr="00E664AB" w:rsidRDefault="00532475" w:rsidP="00C627B0">
            <w:pPr>
              <w:pStyle w:val="Normal-pool"/>
              <w:rPr>
                <w:lang w:val="es-ES_tradnl"/>
              </w:rPr>
            </w:pPr>
          </w:p>
        </w:tc>
        <w:tc>
          <w:tcPr>
            <w:tcW w:w="3118" w:type="dxa"/>
          </w:tcPr>
          <w:p w14:paraId="6E9D2EA8" w14:textId="77777777" w:rsidR="00532475" w:rsidRPr="00E664AB" w:rsidRDefault="00532475" w:rsidP="00532475">
            <w:pPr>
              <w:pStyle w:val="AText"/>
              <w:rPr>
                <w:rFonts w:eastAsiaTheme="minorEastAsia"/>
                <w:lang w:val="es-ES_tradnl"/>
              </w:rPr>
            </w:pPr>
            <w:r w:rsidRPr="00E664AB">
              <w:rPr>
                <w:color w:val="000000"/>
                <w:lang w:val="es-ES_tradnl"/>
              </w:rPr>
              <w:t xml:space="preserve">Distr. general </w:t>
            </w:r>
          </w:p>
          <w:p w14:paraId="1F13DEBD" w14:textId="77777777" w:rsidR="00532475" w:rsidRPr="00E664AB" w:rsidRDefault="00532475" w:rsidP="00532475">
            <w:pPr>
              <w:pStyle w:val="AText0"/>
              <w:rPr>
                <w:rFonts w:eastAsiaTheme="minorEastAsia"/>
                <w:lang w:val="es-ES_tradnl"/>
              </w:rPr>
            </w:pPr>
            <w:r w:rsidRPr="00E664AB">
              <w:rPr>
                <w:color w:val="000000"/>
                <w:lang w:val="es-ES_tradnl"/>
              </w:rPr>
              <w:t xml:space="preserve">12 de agosto de 2026 </w:t>
            </w:r>
          </w:p>
          <w:p w14:paraId="05E556A5" w14:textId="77777777" w:rsidR="00532475" w:rsidRPr="00E664AB" w:rsidRDefault="00532475" w:rsidP="00C627B0">
            <w:pPr>
              <w:pStyle w:val="AText"/>
              <w:rPr>
                <w:lang w:val="es-ES_tradnl"/>
              </w:rPr>
            </w:pPr>
            <w:r w:rsidRPr="00E664AB">
              <w:rPr>
                <w:lang w:val="es-ES_tradnl"/>
              </w:rPr>
              <w:t xml:space="preserve">Español </w:t>
            </w:r>
            <w:r w:rsidRPr="00E664AB">
              <w:rPr>
                <w:lang w:val="es-ES_tradnl"/>
              </w:rPr>
              <w:br/>
              <w:t>Original: inglés</w:t>
            </w:r>
          </w:p>
        </w:tc>
      </w:tr>
    </w:tbl>
    <w:p w14:paraId="2104BE76" w14:textId="77777777" w:rsidR="00532475" w:rsidRPr="00E664AB" w:rsidRDefault="00532475" w:rsidP="00532475">
      <w:pPr>
        <w:pStyle w:val="ASpacer"/>
        <w:rPr>
          <w:lang w:val="es-ES_tradnl"/>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532475" w:rsidRPr="00811BAB" w14:paraId="70BD971A" w14:textId="77777777" w:rsidTr="00C627B0">
        <w:trPr>
          <w:trHeight w:val="57"/>
        </w:trPr>
        <w:tc>
          <w:tcPr>
            <w:tcW w:w="5301" w:type="dxa"/>
          </w:tcPr>
          <w:p w14:paraId="4E0B6B0A" w14:textId="77777777" w:rsidR="00532475" w:rsidRPr="00E664AB" w:rsidRDefault="00532475" w:rsidP="00C627B0">
            <w:pPr>
              <w:pStyle w:val="AATitle"/>
              <w:rPr>
                <w:lang w:val="es-ES_tradnl"/>
              </w:rPr>
            </w:pPr>
            <w:r w:rsidRPr="00E664AB">
              <w:rPr>
                <w:lang w:val="es-ES_tradnl"/>
              </w:rPr>
              <w:t xml:space="preserve">38ª Reunión de las Partes en el Protocolo </w:t>
            </w:r>
            <w:r w:rsidRPr="00E664AB">
              <w:rPr>
                <w:lang w:val="es-ES_tradnl"/>
              </w:rPr>
              <w:br/>
              <w:t xml:space="preserve">de Montreal relativo a las Sustancias que Agotan </w:t>
            </w:r>
            <w:r w:rsidRPr="00E664AB">
              <w:rPr>
                <w:lang w:val="es-ES_tradnl"/>
              </w:rPr>
              <w:br/>
              <w:t xml:space="preserve">la Capa de Ozono </w:t>
            </w:r>
          </w:p>
          <w:p w14:paraId="5D2E4C9E" w14:textId="3DEF297F" w:rsidR="00532475" w:rsidRPr="00E664AB" w:rsidRDefault="00532475" w:rsidP="00532475">
            <w:pPr>
              <w:pStyle w:val="AATitle1"/>
              <w:rPr>
                <w:lang w:val="es-ES_tradnl"/>
              </w:rPr>
            </w:pPr>
            <w:r w:rsidRPr="00E664AB">
              <w:rPr>
                <w:lang w:val="es-ES_tradnl"/>
              </w:rPr>
              <w:t xml:space="preserve">Kigali, 2 a 6 de noviembre de 2026 </w:t>
            </w:r>
          </w:p>
        </w:tc>
        <w:tc>
          <w:tcPr>
            <w:tcW w:w="4195" w:type="dxa"/>
          </w:tcPr>
          <w:p w14:paraId="543E2FD3" w14:textId="77777777" w:rsidR="00532475" w:rsidRPr="00E664AB" w:rsidRDefault="00532475" w:rsidP="00C627B0">
            <w:pPr>
              <w:pStyle w:val="Normal-pool"/>
              <w:rPr>
                <w:lang w:val="es-ES_tradnl"/>
              </w:rPr>
            </w:pPr>
          </w:p>
        </w:tc>
      </w:tr>
    </w:tbl>
    <w:p w14:paraId="0612F650" w14:textId="6D8671A2" w:rsidR="000F20E5" w:rsidRPr="00E664AB" w:rsidRDefault="000F20E5" w:rsidP="008777AF">
      <w:pPr>
        <w:pStyle w:val="BBTitle"/>
        <w:rPr>
          <w:lang w:val="es-ES_tradnl"/>
        </w:rPr>
      </w:pPr>
      <w:r w:rsidRPr="00E664AB">
        <w:rPr>
          <w:bCs/>
          <w:lang w:val="es-ES_tradnl"/>
        </w:rPr>
        <w:t>Proyectos de decisión para su examen por la 38ª Reunión de las Partes en el Protocolo de Montreal</w:t>
      </w:r>
    </w:p>
    <w:p w14:paraId="20801DD3" w14:textId="77777777" w:rsidR="000F20E5" w:rsidRPr="00E664AB" w:rsidRDefault="000F20E5" w:rsidP="008777AF">
      <w:pPr>
        <w:pStyle w:val="CH2"/>
        <w:rPr>
          <w:lang w:val="es-ES_tradnl"/>
        </w:rPr>
      </w:pPr>
      <w:r w:rsidRPr="00E664AB">
        <w:rPr>
          <w:lang w:val="es-ES_tradnl"/>
        </w:rPr>
        <w:tab/>
      </w:r>
      <w:r w:rsidRPr="00E664AB">
        <w:rPr>
          <w:lang w:val="es-ES_tradnl"/>
        </w:rPr>
        <w:tab/>
      </w:r>
      <w:r w:rsidRPr="00E664AB">
        <w:rPr>
          <w:bCs/>
          <w:lang w:val="es-ES_tradnl"/>
        </w:rPr>
        <w:t>Nota de la Secretaría</w:t>
      </w:r>
    </w:p>
    <w:p w14:paraId="6E04FB6B" w14:textId="470F4BB9" w:rsidR="000F20E5" w:rsidRPr="00E664AB" w:rsidRDefault="00E4102D" w:rsidP="00433289">
      <w:pPr>
        <w:pStyle w:val="CH1"/>
        <w:rPr>
          <w:lang w:val="es-ES_tradnl"/>
        </w:rPr>
      </w:pPr>
      <w:r w:rsidRPr="00E664AB">
        <w:rPr>
          <w:bCs/>
          <w:lang w:val="es-ES_tradnl"/>
        </w:rPr>
        <w:tab/>
      </w:r>
      <w:r w:rsidR="000F20E5" w:rsidRPr="00E664AB">
        <w:rPr>
          <w:bCs/>
          <w:lang w:val="es-ES_tradnl"/>
        </w:rPr>
        <w:t>I.</w:t>
      </w:r>
      <w:r w:rsidR="000F20E5" w:rsidRPr="00E664AB">
        <w:rPr>
          <w:lang w:val="es-ES_tradnl"/>
        </w:rPr>
        <w:tab/>
      </w:r>
      <w:r w:rsidR="000F20E5" w:rsidRPr="00E664AB">
        <w:rPr>
          <w:bCs/>
          <w:lang w:val="es-ES_tradnl"/>
        </w:rPr>
        <w:t>Introducción</w:t>
      </w:r>
    </w:p>
    <w:p w14:paraId="502E3AEC" w14:textId="7B168C88" w:rsidR="000F20E5" w:rsidRPr="00E664AB" w:rsidRDefault="000F20E5" w:rsidP="008777AF">
      <w:pPr>
        <w:pStyle w:val="Normalnumber"/>
        <w:tabs>
          <w:tab w:val="clear" w:pos="1247"/>
          <w:tab w:val="clear" w:pos="1814"/>
          <w:tab w:val="clear" w:pos="2381"/>
          <w:tab w:val="clear" w:pos="2948"/>
          <w:tab w:val="clear" w:pos="3515"/>
          <w:tab w:val="left" w:pos="624"/>
        </w:tabs>
        <w:rPr>
          <w:lang w:val="es-ES_tradnl"/>
        </w:rPr>
      </w:pPr>
      <w:r w:rsidRPr="00E664AB">
        <w:rPr>
          <w:lang w:val="es-ES_tradnl"/>
        </w:rPr>
        <w:t>La presente nota tiene por objeto ayudar a las Partes en el debate de los temas del programa de</w:t>
      </w:r>
      <w:r w:rsidR="00532475" w:rsidRPr="00E664AB">
        <w:rPr>
          <w:lang w:val="es-ES_tradnl"/>
        </w:rPr>
        <w:t> </w:t>
      </w:r>
      <w:r w:rsidRPr="00E664AB">
        <w:rPr>
          <w:lang w:val="es-ES_tradnl"/>
        </w:rPr>
        <w:t>la 38ª Reunión de las Partes en el Protocolo de Montreal relativo a las Sustancias que Agotan la Capa de Ozono mediante la presentación, en un solo documento, de proyectos de decisión sobre determinadas cuestiones que se prevé examinar durante la reunión.</w:t>
      </w:r>
    </w:p>
    <w:p w14:paraId="18973DBD" w14:textId="77777777" w:rsidR="000F20E5" w:rsidRPr="00E664AB" w:rsidRDefault="000F20E5" w:rsidP="008777AF">
      <w:pPr>
        <w:pStyle w:val="Normalnumber"/>
        <w:tabs>
          <w:tab w:val="clear" w:pos="1247"/>
          <w:tab w:val="clear" w:pos="1814"/>
          <w:tab w:val="clear" w:pos="2381"/>
          <w:tab w:val="clear" w:pos="2948"/>
          <w:tab w:val="clear" w:pos="3515"/>
          <w:tab w:val="left" w:pos="624"/>
        </w:tabs>
        <w:rPr>
          <w:lang w:val="es-ES_tradnl"/>
        </w:rPr>
      </w:pPr>
      <w:r w:rsidRPr="00E664AB">
        <w:rPr>
          <w:lang w:val="es-ES_tradnl"/>
        </w:rPr>
        <w:t>En la sección II se expone un proyecto de decisión que fue examinado por el Grupo de Trabajo de composición abierta de las Partes en el Protocolo de Montreal en su 48ª reunión para su posible adopción por la 38ª Reunión de las Partes.</w:t>
      </w:r>
    </w:p>
    <w:p w14:paraId="7D283281" w14:textId="27198E3F" w:rsidR="000F20E5" w:rsidRPr="00E664AB" w:rsidRDefault="000F20E5" w:rsidP="008777AF">
      <w:pPr>
        <w:pStyle w:val="Normalnumber"/>
        <w:tabs>
          <w:tab w:val="clear" w:pos="1247"/>
          <w:tab w:val="clear" w:pos="1814"/>
          <w:tab w:val="clear" w:pos="2381"/>
          <w:tab w:val="clear" w:pos="2948"/>
          <w:tab w:val="clear" w:pos="3515"/>
          <w:tab w:val="left" w:pos="624"/>
        </w:tabs>
        <w:rPr>
          <w:lang w:val="es-ES_tradnl"/>
        </w:rPr>
      </w:pPr>
      <w:r w:rsidRPr="00E664AB">
        <w:rPr>
          <w:lang w:val="es-ES_tradnl"/>
        </w:rPr>
        <w:t>En la sección III se exponen los proyectos de decisiones que el Grupo de Trabajo de composición abierta examinó en sus reuniones 47ª y 48ª</w:t>
      </w:r>
      <w:r w:rsidR="00E4102D" w:rsidRPr="00E664AB">
        <w:rPr>
          <w:lang w:val="es-ES_tradnl"/>
        </w:rPr>
        <w:t xml:space="preserve"> </w:t>
      </w:r>
      <w:r w:rsidRPr="00E664AB">
        <w:rPr>
          <w:lang w:val="es-ES_tradnl"/>
        </w:rPr>
        <w:t>y presentó a la 38ª Reunión de las Partes para</w:t>
      </w:r>
      <w:r w:rsidR="00532475" w:rsidRPr="00E664AB">
        <w:rPr>
          <w:lang w:val="es-ES_tradnl"/>
        </w:rPr>
        <w:t> </w:t>
      </w:r>
      <w:r w:rsidRPr="00E664AB">
        <w:rPr>
          <w:lang w:val="es-ES_tradnl"/>
        </w:rPr>
        <w:t>su examen.</w:t>
      </w:r>
    </w:p>
    <w:p w14:paraId="0A267D92" w14:textId="43B9B607" w:rsidR="000F20E5" w:rsidRPr="00E664AB" w:rsidRDefault="000F20E5" w:rsidP="008777AF">
      <w:pPr>
        <w:pStyle w:val="Normalnumber"/>
        <w:tabs>
          <w:tab w:val="clear" w:pos="1247"/>
          <w:tab w:val="clear" w:pos="1814"/>
          <w:tab w:val="clear" w:pos="2381"/>
          <w:tab w:val="clear" w:pos="2948"/>
          <w:tab w:val="clear" w:pos="3515"/>
          <w:tab w:val="left" w:pos="624"/>
        </w:tabs>
        <w:rPr>
          <w:lang w:val="es-ES_tradnl"/>
        </w:rPr>
      </w:pPr>
      <w:r w:rsidRPr="00E664AB">
        <w:rPr>
          <w:lang w:val="es-ES_tradnl"/>
        </w:rPr>
        <w:t>En la sección IV figuran proyectos de decisión con elementos aún por definir preparados por la</w:t>
      </w:r>
      <w:r w:rsidR="00532475" w:rsidRPr="00E664AB">
        <w:rPr>
          <w:lang w:val="es-ES_tradnl"/>
        </w:rPr>
        <w:t> </w:t>
      </w:r>
      <w:r w:rsidRPr="00E664AB">
        <w:rPr>
          <w:lang w:val="es-ES_tradnl"/>
        </w:rPr>
        <w:t>Secretaría del Ozono sobre cuestiones relacionadas con el Protocolo de Montreal respecto de las cuales las Partes han adoptado históricamente decisiones en sus reuniones anuales.</w:t>
      </w:r>
    </w:p>
    <w:p w14:paraId="01AC0383" w14:textId="4D65693D" w:rsidR="000F20E5" w:rsidRPr="00E664AB" w:rsidRDefault="000F20E5" w:rsidP="008777AF">
      <w:pPr>
        <w:pStyle w:val="Normalnumber"/>
        <w:tabs>
          <w:tab w:val="clear" w:pos="1247"/>
          <w:tab w:val="clear" w:pos="1814"/>
          <w:tab w:val="clear" w:pos="2381"/>
          <w:tab w:val="clear" w:pos="2948"/>
          <w:tab w:val="clear" w:pos="3515"/>
          <w:tab w:val="left" w:pos="624"/>
        </w:tabs>
        <w:rPr>
          <w:lang w:val="es-ES_tradnl"/>
        </w:rPr>
      </w:pPr>
      <w:r w:rsidRPr="00E664AB">
        <w:rPr>
          <w:lang w:val="es-ES_tradnl"/>
        </w:rPr>
        <w:t>Los proyectos de decisión remitidos por el Grupo de Trabajo de composición abierta y el conjunto íntegro de proyectos de decisión con elementos aún por definir aparecen entre corchetes para indicar que está previsto que la 3</w:t>
      </w:r>
      <w:r w:rsidR="00E4102D" w:rsidRPr="00E664AB">
        <w:rPr>
          <w:lang w:val="es-ES_tradnl"/>
        </w:rPr>
        <w:t>8</w:t>
      </w:r>
      <w:r w:rsidRPr="00E664AB">
        <w:rPr>
          <w:lang w:val="es-ES_tradnl"/>
        </w:rPr>
        <w:t>ª Reunión de las Partes los examine, revise y apruebe, según lo considere oportuno. La presentación de estos proyectos de decisión no impide a las Partes proponer revisiones de estos ni nuevos proyectos de decisión sobre cualesquiera de los temas del programa. Otros proyectos de decisión propuestos por las Partes sobre temas del programa se presentarán en documentos separados, según proceda.</w:t>
      </w:r>
    </w:p>
    <w:p w14:paraId="3F0F7847" w14:textId="46833116" w:rsidR="000F20E5" w:rsidRPr="00E664AB" w:rsidRDefault="00E4102D" w:rsidP="00123076">
      <w:pPr>
        <w:pStyle w:val="CH1"/>
        <w:rPr>
          <w:lang w:val="es-ES_tradnl"/>
        </w:rPr>
      </w:pPr>
      <w:r w:rsidRPr="00E664AB">
        <w:rPr>
          <w:bCs/>
          <w:lang w:val="es-ES_tradnl"/>
        </w:rPr>
        <w:lastRenderedPageBreak/>
        <w:tab/>
      </w:r>
      <w:r w:rsidR="000F20E5" w:rsidRPr="00E664AB">
        <w:rPr>
          <w:bCs/>
          <w:lang w:val="es-ES_tradnl"/>
        </w:rPr>
        <w:t>II.</w:t>
      </w:r>
      <w:r w:rsidR="000F20E5" w:rsidRPr="00E664AB">
        <w:rPr>
          <w:lang w:val="es-ES_tradnl"/>
        </w:rPr>
        <w:tab/>
      </w:r>
      <w:r w:rsidR="000F20E5" w:rsidRPr="00E664AB">
        <w:rPr>
          <w:bCs/>
          <w:lang w:val="es-ES_tradnl"/>
        </w:rPr>
        <w:t>Proyecto de decisión que fue examinado por el Grupo de Trabajo de composición abierta de las Partes en el Protocolo de Montreal en su 48ª reunión para su posible adopción por la 38ª Reunión de las Partes</w:t>
      </w:r>
    </w:p>
    <w:p w14:paraId="4F8624C5" w14:textId="77777777" w:rsidR="000F20E5" w:rsidRPr="00E664AB" w:rsidRDefault="000F20E5" w:rsidP="00123076">
      <w:pPr>
        <w:pStyle w:val="CH2"/>
        <w:rPr>
          <w:lang w:val="es-ES_tradnl"/>
        </w:rPr>
      </w:pPr>
      <w:r w:rsidRPr="00E664AB">
        <w:rPr>
          <w:lang w:val="es-ES_tradnl"/>
        </w:rPr>
        <w:tab/>
      </w:r>
      <w:r w:rsidRPr="00E664AB">
        <w:rPr>
          <w:bCs/>
          <w:lang w:val="es-ES_tradnl"/>
        </w:rPr>
        <w:t>[A.</w:t>
      </w:r>
      <w:r w:rsidRPr="00E664AB">
        <w:rPr>
          <w:lang w:val="es-ES_tradnl"/>
        </w:rPr>
        <w:tab/>
      </w:r>
      <w:r w:rsidRPr="00E664AB">
        <w:rPr>
          <w:bCs/>
          <w:lang w:val="es-ES_tradnl"/>
        </w:rPr>
        <w:t>Proyecto de decisión XXXVIII/[A]: tecnologías de destrucción de sustancias controladas</w:t>
      </w:r>
    </w:p>
    <w:p w14:paraId="683D7667" w14:textId="77777777" w:rsidR="000F20E5" w:rsidRPr="00E664AB" w:rsidRDefault="000F20E5" w:rsidP="00123076">
      <w:pPr>
        <w:pStyle w:val="Normal-pool"/>
        <w:keepNext/>
        <w:keepLines/>
        <w:tabs>
          <w:tab w:val="clear" w:pos="1247"/>
          <w:tab w:val="clear" w:pos="1871"/>
          <w:tab w:val="clear" w:pos="2495"/>
          <w:tab w:val="clear" w:pos="3119"/>
          <w:tab w:val="clear" w:pos="3742"/>
          <w:tab w:val="clear" w:pos="4366"/>
          <w:tab w:val="clear" w:pos="4990"/>
        </w:tabs>
        <w:spacing w:after="120"/>
        <w:ind w:left="1247" w:firstLine="624"/>
        <w:rPr>
          <w:i/>
          <w:iCs/>
          <w:lang w:val="es-ES_tradnl"/>
        </w:rPr>
      </w:pPr>
      <w:r w:rsidRPr="00E664AB">
        <w:rPr>
          <w:i/>
          <w:iCs/>
          <w:lang w:val="es-ES_tradnl"/>
        </w:rPr>
        <w:t>La 38ª Reunión de las Partes,</w:t>
      </w:r>
    </w:p>
    <w:p w14:paraId="18F42948" w14:textId="77777777" w:rsidR="000F20E5" w:rsidRPr="00E664AB" w:rsidRDefault="000F20E5" w:rsidP="00123076">
      <w:pPr>
        <w:pStyle w:val="NormalNonumber"/>
        <w:keepNext/>
        <w:keepLines/>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Recordando </w:t>
      </w:r>
      <w:r w:rsidRPr="00E664AB">
        <w:rPr>
          <w:lang w:val="es-ES_tradnl"/>
        </w:rPr>
        <w:t>que, en la decisión IV/11, se solicitó al Grupo de Evaluación Tecnológica y Económica que evaluase las nuevas tecnologías propuestas de tecnologías emergentes y preparase recomendaciones para someterlas al examen de las Partes en el Protocolo de Montreal relativo a las Sustancias que Agotan la Capa de Ozono en su reunión anual,</w:t>
      </w:r>
    </w:p>
    <w:p w14:paraId="69E07D28" w14:textId="77777777"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Tomando nota con aprecio</w:t>
      </w:r>
      <w:r w:rsidRPr="00E664AB">
        <w:rPr>
          <w:lang w:val="es-ES_tradnl"/>
        </w:rPr>
        <w:t xml:space="preserve"> del informe sobre la marcha de los trabajos correspondiente a 2026 del Comité de opciones técnicas médicas y sobre productos químicos del Grupo de Evaluación Tecnológica y Económica, que incluye una evaluación de una tecnología de destrucción presentada por el Canadá,</w:t>
      </w:r>
    </w:p>
    <w:p w14:paraId="642E44BD" w14:textId="77777777"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Tomando nota con aprecio también</w:t>
      </w:r>
      <w:r w:rsidRPr="00E664AB">
        <w:rPr>
          <w:lang w:val="es-ES_tradnl"/>
        </w:rPr>
        <w:t xml:space="preserve"> de la evaluación llevada a cabo por el Grupo de Evaluación Tecnológica y Económica de la tecnología de destrucción en lo que respecta a su eficacia de eliminación mediante destrucción, así como de la recomendación de que se incluya esa tecnología en la lista de tecnologías de destrucción aprobadas por las Partes,</w:t>
      </w:r>
    </w:p>
    <w:p w14:paraId="5E10055D" w14:textId="77777777"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bCs/>
          <w:i/>
          <w:iCs/>
          <w:lang w:val="es-ES_tradnl"/>
        </w:rPr>
      </w:pPr>
      <w:r w:rsidRPr="00E664AB">
        <w:rPr>
          <w:i/>
          <w:iCs/>
          <w:lang w:val="es-ES_tradnl"/>
        </w:rPr>
        <w:t>Decide:</w:t>
      </w:r>
    </w:p>
    <w:p w14:paraId="27AAA08C" w14:textId="77777777" w:rsidR="000F20E5" w:rsidRPr="00E664AB" w:rsidRDefault="000F20E5" w:rsidP="000F20E5">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Aprobar la siguiente tecnología de destrucción, según se recoge en el anexo de la presente decisión, a los efectos del párrafo 5 del artículo 1 del Protocolo de Montreal, como adición a las tecnologías enumeradas en el anexo VI del informe</w:t>
      </w:r>
      <w:r w:rsidRPr="00E664AB">
        <w:rPr>
          <w:rStyle w:val="FootnoteReference"/>
          <w:lang w:val="es-ES_tradnl"/>
        </w:rPr>
        <w:footnoteReference w:id="2"/>
      </w:r>
      <w:r w:rsidRPr="00E664AB">
        <w:rPr>
          <w:lang w:val="es-ES_tradnl"/>
        </w:rPr>
        <w:t xml:space="preserve"> de la cuarta Reunión de las Partes y modificadas por las decisiones V/26, VII/35, XIV/6, XXIX/4, XXX/6 y XXXV/5, para fuentes concentradas de sustancias del grupo I del anexo A, el grupo I del anexo C y el grupo I del anexo F: plasma de vapor;</w:t>
      </w:r>
    </w:p>
    <w:p w14:paraId="57DDD394" w14:textId="77777777" w:rsidR="000F20E5" w:rsidRPr="00E664AB" w:rsidRDefault="000F20E5" w:rsidP="000F20E5">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Invitar a las Partes a que sigan presentando a la Secretaría información pertinente para el examen de las tecnologías de destrucción.]</w:t>
      </w:r>
    </w:p>
    <w:p w14:paraId="740AC1DC" w14:textId="77777777"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left="0"/>
        <w:rPr>
          <w:lang w:val="es-ES_tradnl" w:eastAsia="zh-CN"/>
        </w:rPr>
      </w:pPr>
    </w:p>
    <w:p w14:paraId="5BBC00BE" w14:textId="77777777" w:rsidR="000F20E5" w:rsidRPr="00E664AB" w:rsidRDefault="000F20E5" w:rsidP="000F20E5">
      <w:pPr>
        <w:pStyle w:val="Normal-pool"/>
        <w:rPr>
          <w:rFonts w:eastAsiaTheme="minorEastAsia"/>
          <w:lang w:val="es-ES_tradnl"/>
        </w:rPr>
        <w:sectPr w:rsidR="000F20E5" w:rsidRPr="00E664AB" w:rsidSect="000F20E5">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pPr>
    </w:p>
    <w:p w14:paraId="5675618C" w14:textId="77777777" w:rsidR="000F20E5" w:rsidRPr="00E664AB" w:rsidRDefault="000F20E5" w:rsidP="008777AF">
      <w:pPr>
        <w:pStyle w:val="ZZAnxheader"/>
        <w:rPr>
          <w:lang w:val="es-ES_tradnl"/>
        </w:rPr>
      </w:pPr>
      <w:r w:rsidRPr="00E664AB">
        <w:rPr>
          <w:lang w:val="es-ES_tradnl"/>
        </w:rPr>
        <w:lastRenderedPageBreak/>
        <w:t>Anexo</w:t>
      </w:r>
    </w:p>
    <w:p w14:paraId="702C209B" w14:textId="77777777" w:rsidR="000F20E5" w:rsidRPr="00E664AB" w:rsidRDefault="000F20E5" w:rsidP="008777AF">
      <w:pPr>
        <w:pStyle w:val="ZZAnxtitle"/>
        <w:rPr>
          <w:lang w:val="es-ES_tradnl"/>
        </w:rPr>
      </w:pPr>
      <w:r w:rsidRPr="00E664AB">
        <w:rPr>
          <w:lang w:val="es-ES_tradnl"/>
        </w:rPr>
        <w:t>Tecnologías de destrucción y estado de aprobación de estas</w:t>
      </w:r>
    </w:p>
    <w:tbl>
      <w:tblPr>
        <w:tblW w:w="5082" w:type="pct"/>
        <w:jc w:val="right"/>
        <w:tblLayout w:type="fixed"/>
        <w:tblLook w:val="06A0" w:firstRow="1" w:lastRow="0" w:firstColumn="1" w:lastColumn="0" w:noHBand="1" w:noVBand="1"/>
      </w:tblPr>
      <w:tblGrid>
        <w:gridCol w:w="1843"/>
        <w:gridCol w:w="1205"/>
        <w:gridCol w:w="1146"/>
        <w:gridCol w:w="1168"/>
        <w:gridCol w:w="1366"/>
        <w:gridCol w:w="1216"/>
        <w:gridCol w:w="1270"/>
        <w:gridCol w:w="1066"/>
        <w:gridCol w:w="1168"/>
        <w:gridCol w:w="1168"/>
        <w:gridCol w:w="992"/>
        <w:gridCol w:w="1058"/>
      </w:tblGrid>
      <w:tr w:rsidR="000F20E5" w:rsidRPr="00E664AB" w14:paraId="7FBBA450" w14:textId="77777777" w:rsidTr="00123076">
        <w:trPr>
          <w:trHeight w:val="302"/>
          <w:tblHeader/>
          <w:jc w:val="right"/>
        </w:trPr>
        <w:tc>
          <w:tcPr>
            <w:tcW w:w="1843" w:type="dxa"/>
            <w:vMerge w:val="restart"/>
            <w:tcBorders>
              <w:top w:val="single" w:sz="4" w:space="0" w:color="auto"/>
            </w:tcBorders>
            <w:tcMar>
              <w:left w:w="108" w:type="dxa"/>
              <w:right w:w="108" w:type="dxa"/>
            </w:tcMar>
            <w:vAlign w:val="bottom"/>
          </w:tcPr>
          <w:p w14:paraId="67EBD7F6" w14:textId="77777777" w:rsidR="000F20E5" w:rsidRPr="00E664AB" w:rsidRDefault="000F20E5" w:rsidP="000220FC">
            <w:pPr>
              <w:pStyle w:val="Normal-pool-Table"/>
              <w:rPr>
                <w:i/>
                <w:iCs/>
                <w:szCs w:val="18"/>
                <w:lang w:val="es-ES_tradnl"/>
              </w:rPr>
            </w:pPr>
            <w:r w:rsidRPr="00E664AB">
              <w:rPr>
                <w:i/>
                <w:iCs/>
                <w:color w:val="000000"/>
                <w:szCs w:val="18"/>
                <w:lang w:val="es-ES_tradnl"/>
              </w:rPr>
              <w:t>Tecnología</w:t>
            </w:r>
          </w:p>
        </w:tc>
        <w:tc>
          <w:tcPr>
            <w:tcW w:w="12823" w:type="dxa"/>
            <w:gridSpan w:val="11"/>
            <w:tcBorders>
              <w:top w:val="single" w:sz="4" w:space="0" w:color="auto"/>
              <w:bottom w:val="single" w:sz="4" w:space="0" w:color="auto"/>
            </w:tcBorders>
            <w:tcMar>
              <w:left w:w="108" w:type="dxa"/>
              <w:right w:w="108" w:type="dxa"/>
            </w:tcMar>
            <w:vAlign w:val="bottom"/>
          </w:tcPr>
          <w:p w14:paraId="5DC8E9BB" w14:textId="77777777" w:rsidR="000F20E5" w:rsidRPr="00E664AB" w:rsidRDefault="000F20E5" w:rsidP="000220FC">
            <w:pPr>
              <w:pStyle w:val="Normal-pool-Table"/>
              <w:jc w:val="center"/>
              <w:rPr>
                <w:i/>
                <w:iCs/>
                <w:szCs w:val="18"/>
                <w:lang w:val="es-ES_tradnl"/>
              </w:rPr>
            </w:pPr>
            <w:r w:rsidRPr="00E664AB">
              <w:rPr>
                <w:i/>
                <w:iCs/>
                <w:color w:val="000000"/>
                <w:szCs w:val="18"/>
                <w:lang w:val="es-ES_tradnl"/>
              </w:rPr>
              <w:t>Ámbito de aplicación</w:t>
            </w:r>
          </w:p>
        </w:tc>
      </w:tr>
      <w:tr w:rsidR="000F20E5" w:rsidRPr="00E664AB" w14:paraId="3B5FF696" w14:textId="77777777" w:rsidTr="00123076">
        <w:trPr>
          <w:trHeight w:val="300"/>
          <w:tblHeader/>
          <w:jc w:val="right"/>
        </w:trPr>
        <w:tc>
          <w:tcPr>
            <w:tcW w:w="1843" w:type="dxa"/>
            <w:vMerge/>
            <w:vAlign w:val="bottom"/>
          </w:tcPr>
          <w:p w14:paraId="5C9B9B27" w14:textId="77777777" w:rsidR="000F20E5" w:rsidRPr="00E664AB" w:rsidRDefault="000F20E5" w:rsidP="000220FC">
            <w:pPr>
              <w:pStyle w:val="Normal-pool-Table"/>
              <w:rPr>
                <w:szCs w:val="18"/>
                <w:lang w:val="es-ES_tradnl"/>
              </w:rPr>
            </w:pPr>
          </w:p>
        </w:tc>
        <w:tc>
          <w:tcPr>
            <w:tcW w:w="10773" w:type="dxa"/>
            <w:gridSpan w:val="9"/>
            <w:tcBorders>
              <w:top w:val="single" w:sz="4" w:space="0" w:color="auto"/>
              <w:bottom w:val="single" w:sz="4" w:space="0" w:color="auto"/>
            </w:tcBorders>
            <w:tcMar>
              <w:left w:w="108" w:type="dxa"/>
              <w:right w:w="108" w:type="dxa"/>
            </w:tcMar>
            <w:vAlign w:val="bottom"/>
          </w:tcPr>
          <w:p w14:paraId="589C1E61" w14:textId="73619E9A" w:rsidR="000F20E5" w:rsidRPr="00E664AB" w:rsidRDefault="000F20E5" w:rsidP="000220FC">
            <w:pPr>
              <w:pStyle w:val="Normal-pool-Table"/>
              <w:jc w:val="center"/>
              <w:rPr>
                <w:i/>
                <w:iCs/>
                <w:szCs w:val="18"/>
                <w:lang w:val="es-ES_tradnl"/>
              </w:rPr>
            </w:pPr>
            <w:r w:rsidRPr="00E664AB">
              <w:rPr>
                <w:i/>
                <w:iCs/>
                <w:color w:val="000000"/>
                <w:szCs w:val="18"/>
                <w:lang w:val="es-ES_tradnl"/>
              </w:rPr>
              <w:t>Fuentes concentradas</w:t>
            </w:r>
          </w:p>
        </w:tc>
        <w:tc>
          <w:tcPr>
            <w:tcW w:w="2050" w:type="dxa"/>
            <w:gridSpan w:val="2"/>
            <w:tcBorders>
              <w:top w:val="single" w:sz="4" w:space="0" w:color="auto"/>
              <w:bottom w:val="single" w:sz="4" w:space="0" w:color="auto"/>
            </w:tcBorders>
            <w:tcMar>
              <w:left w:w="108" w:type="dxa"/>
              <w:right w:w="108" w:type="dxa"/>
            </w:tcMar>
            <w:vAlign w:val="bottom"/>
          </w:tcPr>
          <w:p w14:paraId="784648B3" w14:textId="030E786E" w:rsidR="000F20E5" w:rsidRPr="00E664AB" w:rsidRDefault="000F20E5" w:rsidP="000220FC">
            <w:pPr>
              <w:pStyle w:val="Normal-pool-Table"/>
              <w:jc w:val="center"/>
              <w:rPr>
                <w:i/>
                <w:iCs/>
                <w:szCs w:val="18"/>
                <w:lang w:val="es-ES_tradnl"/>
              </w:rPr>
            </w:pPr>
            <w:r w:rsidRPr="00E664AB">
              <w:rPr>
                <w:i/>
                <w:iCs/>
                <w:color w:val="000000"/>
                <w:szCs w:val="18"/>
                <w:lang w:val="es-ES_tradnl"/>
              </w:rPr>
              <w:t>Fuentes diluidas</w:t>
            </w:r>
          </w:p>
        </w:tc>
      </w:tr>
      <w:tr w:rsidR="00123076" w:rsidRPr="00E664AB" w14:paraId="7A55F76A" w14:textId="77777777" w:rsidTr="001D3785">
        <w:trPr>
          <w:trHeight w:val="300"/>
          <w:tblHeader/>
          <w:jc w:val="right"/>
        </w:trPr>
        <w:tc>
          <w:tcPr>
            <w:tcW w:w="1843" w:type="dxa"/>
            <w:vMerge/>
            <w:vAlign w:val="bottom"/>
          </w:tcPr>
          <w:p w14:paraId="6B83A032" w14:textId="77777777" w:rsidR="00123076" w:rsidRPr="00E664AB" w:rsidRDefault="00123076" w:rsidP="000220FC">
            <w:pPr>
              <w:pStyle w:val="Normal-pool-Table"/>
              <w:rPr>
                <w:szCs w:val="18"/>
                <w:lang w:val="es-ES_tradnl"/>
              </w:rPr>
            </w:pPr>
          </w:p>
        </w:tc>
        <w:tc>
          <w:tcPr>
            <w:tcW w:w="2351" w:type="dxa"/>
            <w:gridSpan w:val="2"/>
            <w:tcBorders>
              <w:top w:val="single" w:sz="4" w:space="0" w:color="auto"/>
              <w:bottom w:val="single" w:sz="4" w:space="0" w:color="auto"/>
            </w:tcBorders>
            <w:tcMar>
              <w:left w:w="108" w:type="dxa"/>
              <w:right w:w="108" w:type="dxa"/>
            </w:tcMar>
            <w:vAlign w:val="bottom"/>
          </w:tcPr>
          <w:p w14:paraId="33A597D9" w14:textId="77777777" w:rsidR="00123076" w:rsidRPr="00E664AB" w:rsidRDefault="00123076" w:rsidP="000220FC">
            <w:pPr>
              <w:pStyle w:val="Normal-pool-Table"/>
              <w:jc w:val="center"/>
              <w:rPr>
                <w:i/>
                <w:iCs/>
                <w:szCs w:val="18"/>
                <w:lang w:val="es-ES_tradnl"/>
              </w:rPr>
            </w:pPr>
            <w:r w:rsidRPr="00E664AB">
              <w:rPr>
                <w:i/>
                <w:iCs/>
                <w:color w:val="000000"/>
                <w:szCs w:val="18"/>
                <w:lang w:val="es-ES_tradnl"/>
              </w:rPr>
              <w:t>Anexo A</w:t>
            </w:r>
          </w:p>
        </w:tc>
        <w:tc>
          <w:tcPr>
            <w:tcW w:w="3750" w:type="dxa"/>
            <w:gridSpan w:val="3"/>
            <w:tcBorders>
              <w:top w:val="single" w:sz="4" w:space="0" w:color="auto"/>
              <w:bottom w:val="single" w:sz="4" w:space="0" w:color="auto"/>
            </w:tcBorders>
            <w:tcMar>
              <w:left w:w="108" w:type="dxa"/>
              <w:right w:w="108" w:type="dxa"/>
            </w:tcMar>
            <w:vAlign w:val="bottom"/>
          </w:tcPr>
          <w:p w14:paraId="72BF3912" w14:textId="77777777" w:rsidR="00123076" w:rsidRPr="00E664AB" w:rsidRDefault="00123076" w:rsidP="000220FC">
            <w:pPr>
              <w:pStyle w:val="Normal-pool-Table"/>
              <w:jc w:val="center"/>
              <w:rPr>
                <w:i/>
                <w:iCs/>
                <w:szCs w:val="18"/>
                <w:lang w:val="es-ES_tradnl"/>
              </w:rPr>
            </w:pPr>
            <w:r w:rsidRPr="00E664AB">
              <w:rPr>
                <w:i/>
                <w:iCs/>
                <w:color w:val="000000"/>
                <w:szCs w:val="18"/>
                <w:lang w:val="es-ES_tradnl"/>
              </w:rPr>
              <w:t>Anexo B</w:t>
            </w:r>
          </w:p>
        </w:tc>
        <w:tc>
          <w:tcPr>
            <w:tcW w:w="1270" w:type="dxa"/>
            <w:tcBorders>
              <w:top w:val="single" w:sz="4" w:space="0" w:color="auto"/>
              <w:bottom w:val="single" w:sz="4" w:space="0" w:color="auto"/>
            </w:tcBorders>
            <w:tcMar>
              <w:left w:w="108" w:type="dxa"/>
              <w:right w:w="108" w:type="dxa"/>
            </w:tcMar>
            <w:vAlign w:val="bottom"/>
          </w:tcPr>
          <w:p w14:paraId="2CFD4E31" w14:textId="77777777" w:rsidR="00123076" w:rsidRPr="00E664AB" w:rsidRDefault="00123076" w:rsidP="000220FC">
            <w:pPr>
              <w:pStyle w:val="Normal-pool-Table"/>
              <w:jc w:val="center"/>
              <w:rPr>
                <w:i/>
                <w:iCs/>
                <w:szCs w:val="18"/>
                <w:lang w:val="es-ES_tradnl"/>
              </w:rPr>
            </w:pPr>
            <w:r w:rsidRPr="00E664AB">
              <w:rPr>
                <w:i/>
                <w:iCs/>
                <w:color w:val="000000"/>
                <w:szCs w:val="18"/>
                <w:lang w:val="es-ES_tradnl"/>
              </w:rPr>
              <w:t>Anexo C</w:t>
            </w:r>
          </w:p>
        </w:tc>
        <w:tc>
          <w:tcPr>
            <w:tcW w:w="1066" w:type="dxa"/>
            <w:tcBorders>
              <w:top w:val="single" w:sz="4" w:space="0" w:color="auto"/>
              <w:bottom w:val="single" w:sz="4" w:space="0" w:color="auto"/>
            </w:tcBorders>
            <w:tcMar>
              <w:left w:w="108" w:type="dxa"/>
              <w:right w:w="108" w:type="dxa"/>
            </w:tcMar>
            <w:vAlign w:val="bottom"/>
          </w:tcPr>
          <w:p w14:paraId="0CAD81F3" w14:textId="77777777" w:rsidR="00123076" w:rsidRPr="00E664AB" w:rsidRDefault="00123076" w:rsidP="000220FC">
            <w:pPr>
              <w:pStyle w:val="Normal-pool-Table"/>
              <w:jc w:val="center"/>
              <w:rPr>
                <w:i/>
                <w:iCs/>
                <w:szCs w:val="18"/>
                <w:lang w:val="es-ES_tradnl"/>
              </w:rPr>
            </w:pPr>
            <w:r w:rsidRPr="00E664AB">
              <w:rPr>
                <w:i/>
                <w:iCs/>
                <w:color w:val="000000"/>
                <w:szCs w:val="18"/>
                <w:lang w:val="es-ES_tradnl"/>
              </w:rPr>
              <w:t>Anexo E</w:t>
            </w:r>
          </w:p>
        </w:tc>
        <w:tc>
          <w:tcPr>
            <w:tcW w:w="2336" w:type="dxa"/>
            <w:gridSpan w:val="2"/>
            <w:tcBorders>
              <w:top w:val="single" w:sz="4" w:space="0" w:color="auto"/>
              <w:bottom w:val="single" w:sz="4" w:space="0" w:color="auto"/>
            </w:tcBorders>
            <w:tcMar>
              <w:left w:w="108" w:type="dxa"/>
              <w:right w:w="108" w:type="dxa"/>
            </w:tcMar>
            <w:vAlign w:val="bottom"/>
          </w:tcPr>
          <w:p w14:paraId="775EFA13" w14:textId="77777777" w:rsidR="00123076" w:rsidRPr="00E664AB" w:rsidRDefault="00123076" w:rsidP="000220FC">
            <w:pPr>
              <w:pStyle w:val="Normal-pool-Table"/>
              <w:jc w:val="center"/>
              <w:rPr>
                <w:i/>
                <w:iCs/>
                <w:szCs w:val="18"/>
                <w:lang w:val="es-ES_tradnl"/>
              </w:rPr>
            </w:pPr>
            <w:r w:rsidRPr="00E664AB">
              <w:rPr>
                <w:i/>
                <w:iCs/>
                <w:color w:val="000000"/>
                <w:szCs w:val="18"/>
                <w:lang w:val="es-ES_tradnl"/>
              </w:rPr>
              <w:t>Anexo F</w:t>
            </w:r>
          </w:p>
        </w:tc>
        <w:tc>
          <w:tcPr>
            <w:tcW w:w="2050" w:type="dxa"/>
            <w:gridSpan w:val="2"/>
            <w:tcBorders>
              <w:top w:val="single" w:sz="4" w:space="0" w:color="auto"/>
              <w:bottom w:val="single" w:sz="4" w:space="0" w:color="auto"/>
            </w:tcBorders>
            <w:tcMar>
              <w:left w:w="108" w:type="dxa"/>
              <w:right w:w="108" w:type="dxa"/>
            </w:tcMar>
            <w:vAlign w:val="bottom"/>
          </w:tcPr>
          <w:p w14:paraId="290D3278" w14:textId="77777777" w:rsidR="00123076" w:rsidRPr="00E664AB" w:rsidRDefault="00123076" w:rsidP="00123076">
            <w:pPr>
              <w:pStyle w:val="Normal-pool-Table"/>
              <w:jc w:val="center"/>
              <w:rPr>
                <w:i/>
                <w:iCs/>
                <w:szCs w:val="18"/>
                <w:lang w:val="es-ES_tradnl"/>
              </w:rPr>
            </w:pPr>
            <w:r w:rsidRPr="00E664AB">
              <w:rPr>
                <w:i/>
                <w:iCs/>
                <w:color w:val="000000"/>
                <w:szCs w:val="18"/>
                <w:lang w:val="es-ES_tradnl"/>
              </w:rPr>
              <w:t>Anexo F</w:t>
            </w:r>
          </w:p>
        </w:tc>
      </w:tr>
      <w:tr w:rsidR="00123076" w:rsidRPr="00E664AB" w14:paraId="380B0721" w14:textId="77777777" w:rsidTr="001D3785">
        <w:trPr>
          <w:trHeight w:val="300"/>
          <w:tblHeader/>
          <w:jc w:val="right"/>
        </w:trPr>
        <w:tc>
          <w:tcPr>
            <w:tcW w:w="1843" w:type="dxa"/>
            <w:vMerge/>
            <w:vAlign w:val="bottom"/>
          </w:tcPr>
          <w:p w14:paraId="4F0184D5" w14:textId="77777777" w:rsidR="00123076" w:rsidRPr="00E664AB" w:rsidRDefault="00123076" w:rsidP="000220FC">
            <w:pPr>
              <w:pStyle w:val="Normal-pool-Table"/>
              <w:rPr>
                <w:szCs w:val="18"/>
                <w:lang w:val="es-ES_tradnl"/>
              </w:rPr>
            </w:pPr>
          </w:p>
        </w:tc>
        <w:tc>
          <w:tcPr>
            <w:tcW w:w="1205" w:type="dxa"/>
            <w:tcBorders>
              <w:top w:val="single" w:sz="4" w:space="0" w:color="auto"/>
              <w:bottom w:val="single" w:sz="4" w:space="0" w:color="auto"/>
            </w:tcBorders>
            <w:tcMar>
              <w:left w:w="108" w:type="dxa"/>
              <w:right w:w="108" w:type="dxa"/>
            </w:tcMar>
            <w:vAlign w:val="bottom"/>
          </w:tcPr>
          <w:p w14:paraId="0851CBCE" w14:textId="77777777" w:rsidR="00123076" w:rsidRPr="00E664AB" w:rsidRDefault="00123076" w:rsidP="000220FC">
            <w:pPr>
              <w:pStyle w:val="Normal-pool-Table"/>
              <w:rPr>
                <w:i/>
                <w:iCs/>
                <w:szCs w:val="18"/>
                <w:lang w:val="es-ES_tradnl"/>
              </w:rPr>
            </w:pPr>
            <w:r w:rsidRPr="00E664AB">
              <w:rPr>
                <w:i/>
                <w:iCs/>
                <w:color w:val="000000"/>
                <w:szCs w:val="18"/>
                <w:lang w:val="es-ES_tradnl"/>
              </w:rPr>
              <w:t>Grupo 1</w:t>
            </w:r>
          </w:p>
        </w:tc>
        <w:tc>
          <w:tcPr>
            <w:tcW w:w="1146" w:type="dxa"/>
            <w:tcBorders>
              <w:top w:val="single" w:sz="4" w:space="0" w:color="auto"/>
              <w:bottom w:val="single" w:sz="4" w:space="0" w:color="auto"/>
            </w:tcBorders>
            <w:tcMar>
              <w:left w:w="108" w:type="dxa"/>
              <w:right w:w="108" w:type="dxa"/>
            </w:tcMar>
            <w:vAlign w:val="bottom"/>
          </w:tcPr>
          <w:p w14:paraId="45044AF1" w14:textId="77777777" w:rsidR="00123076" w:rsidRPr="00E664AB" w:rsidRDefault="00123076" w:rsidP="000220FC">
            <w:pPr>
              <w:pStyle w:val="Normal-pool-Table"/>
              <w:rPr>
                <w:i/>
                <w:iCs/>
                <w:szCs w:val="18"/>
                <w:lang w:val="es-ES_tradnl"/>
              </w:rPr>
            </w:pPr>
            <w:r w:rsidRPr="00E664AB">
              <w:rPr>
                <w:i/>
                <w:iCs/>
                <w:color w:val="000000"/>
                <w:szCs w:val="18"/>
                <w:lang w:val="es-ES_tradnl"/>
              </w:rPr>
              <w:t>Grupo 2</w:t>
            </w:r>
          </w:p>
        </w:tc>
        <w:tc>
          <w:tcPr>
            <w:tcW w:w="1168" w:type="dxa"/>
            <w:tcBorders>
              <w:top w:val="single" w:sz="4" w:space="0" w:color="auto"/>
              <w:bottom w:val="single" w:sz="4" w:space="0" w:color="auto"/>
            </w:tcBorders>
            <w:tcMar>
              <w:left w:w="108" w:type="dxa"/>
              <w:right w:w="108" w:type="dxa"/>
            </w:tcMar>
            <w:vAlign w:val="bottom"/>
          </w:tcPr>
          <w:p w14:paraId="50BBE6BA" w14:textId="77777777" w:rsidR="00123076" w:rsidRPr="00E664AB" w:rsidRDefault="00123076" w:rsidP="000220FC">
            <w:pPr>
              <w:pStyle w:val="Normal-pool-Table"/>
              <w:rPr>
                <w:i/>
                <w:iCs/>
                <w:szCs w:val="18"/>
                <w:lang w:val="es-ES_tradnl"/>
              </w:rPr>
            </w:pPr>
            <w:r w:rsidRPr="00E664AB">
              <w:rPr>
                <w:i/>
                <w:iCs/>
                <w:color w:val="000000"/>
                <w:szCs w:val="18"/>
                <w:lang w:val="es-ES_tradnl"/>
              </w:rPr>
              <w:t>Grupo 1</w:t>
            </w:r>
          </w:p>
        </w:tc>
        <w:tc>
          <w:tcPr>
            <w:tcW w:w="1366" w:type="dxa"/>
            <w:tcBorders>
              <w:top w:val="single" w:sz="4" w:space="0" w:color="auto"/>
              <w:bottom w:val="single" w:sz="4" w:space="0" w:color="auto"/>
            </w:tcBorders>
            <w:tcMar>
              <w:left w:w="108" w:type="dxa"/>
              <w:right w:w="108" w:type="dxa"/>
            </w:tcMar>
            <w:vAlign w:val="bottom"/>
          </w:tcPr>
          <w:p w14:paraId="538F4BFB" w14:textId="77777777" w:rsidR="00123076" w:rsidRPr="00E664AB" w:rsidRDefault="00123076" w:rsidP="000220FC">
            <w:pPr>
              <w:pStyle w:val="Normal-pool-Table"/>
              <w:rPr>
                <w:i/>
                <w:iCs/>
                <w:szCs w:val="18"/>
                <w:lang w:val="es-ES_tradnl"/>
              </w:rPr>
            </w:pPr>
            <w:r w:rsidRPr="00E664AB">
              <w:rPr>
                <w:i/>
                <w:iCs/>
                <w:color w:val="000000"/>
                <w:szCs w:val="18"/>
                <w:lang w:val="es-ES_tradnl"/>
              </w:rPr>
              <w:t>Grupo 2</w:t>
            </w:r>
          </w:p>
        </w:tc>
        <w:tc>
          <w:tcPr>
            <w:tcW w:w="1216" w:type="dxa"/>
            <w:tcBorders>
              <w:top w:val="single" w:sz="4" w:space="0" w:color="auto"/>
              <w:bottom w:val="single" w:sz="4" w:space="0" w:color="auto"/>
            </w:tcBorders>
            <w:tcMar>
              <w:left w:w="108" w:type="dxa"/>
              <w:right w:w="108" w:type="dxa"/>
            </w:tcMar>
            <w:vAlign w:val="bottom"/>
          </w:tcPr>
          <w:p w14:paraId="3B62B0EE" w14:textId="77777777" w:rsidR="00123076" w:rsidRPr="00E664AB" w:rsidRDefault="00123076" w:rsidP="000220FC">
            <w:pPr>
              <w:pStyle w:val="Normal-pool-Table"/>
              <w:rPr>
                <w:i/>
                <w:iCs/>
                <w:szCs w:val="18"/>
                <w:lang w:val="es-ES_tradnl"/>
              </w:rPr>
            </w:pPr>
            <w:r w:rsidRPr="00E664AB">
              <w:rPr>
                <w:i/>
                <w:iCs/>
                <w:color w:val="000000"/>
                <w:szCs w:val="18"/>
                <w:lang w:val="es-ES_tradnl"/>
              </w:rPr>
              <w:t>Grupo 3</w:t>
            </w:r>
          </w:p>
        </w:tc>
        <w:tc>
          <w:tcPr>
            <w:tcW w:w="1270" w:type="dxa"/>
            <w:tcBorders>
              <w:top w:val="single" w:sz="4" w:space="0" w:color="auto"/>
              <w:bottom w:val="single" w:sz="4" w:space="0" w:color="auto"/>
            </w:tcBorders>
            <w:tcMar>
              <w:left w:w="108" w:type="dxa"/>
              <w:right w:w="108" w:type="dxa"/>
            </w:tcMar>
            <w:vAlign w:val="bottom"/>
          </w:tcPr>
          <w:p w14:paraId="542A5EA5" w14:textId="77777777" w:rsidR="00123076" w:rsidRPr="00E664AB" w:rsidRDefault="00123076" w:rsidP="000220FC">
            <w:pPr>
              <w:pStyle w:val="Normal-pool-Table"/>
              <w:rPr>
                <w:i/>
                <w:iCs/>
                <w:szCs w:val="18"/>
                <w:lang w:val="es-ES_tradnl"/>
              </w:rPr>
            </w:pPr>
            <w:r w:rsidRPr="00E664AB">
              <w:rPr>
                <w:i/>
                <w:iCs/>
                <w:color w:val="000000"/>
                <w:szCs w:val="18"/>
                <w:lang w:val="es-ES_tradnl"/>
              </w:rPr>
              <w:t>Grupo 1</w:t>
            </w:r>
          </w:p>
        </w:tc>
        <w:tc>
          <w:tcPr>
            <w:tcW w:w="1066" w:type="dxa"/>
            <w:tcBorders>
              <w:top w:val="single" w:sz="4" w:space="0" w:color="auto"/>
              <w:bottom w:val="single" w:sz="4" w:space="0" w:color="auto"/>
            </w:tcBorders>
            <w:tcMar>
              <w:left w:w="108" w:type="dxa"/>
              <w:right w:w="108" w:type="dxa"/>
            </w:tcMar>
            <w:vAlign w:val="bottom"/>
          </w:tcPr>
          <w:p w14:paraId="787DC504" w14:textId="77777777" w:rsidR="00123076" w:rsidRPr="00E664AB" w:rsidRDefault="00123076" w:rsidP="000220FC">
            <w:pPr>
              <w:pStyle w:val="Normal-pool-Table"/>
              <w:rPr>
                <w:i/>
                <w:iCs/>
                <w:szCs w:val="18"/>
                <w:lang w:val="es-ES_tradnl"/>
              </w:rPr>
            </w:pPr>
            <w:r w:rsidRPr="00E664AB">
              <w:rPr>
                <w:i/>
                <w:iCs/>
                <w:color w:val="000000"/>
                <w:szCs w:val="18"/>
                <w:lang w:val="es-ES_tradnl"/>
              </w:rPr>
              <w:t>Grupo 1</w:t>
            </w:r>
          </w:p>
        </w:tc>
        <w:tc>
          <w:tcPr>
            <w:tcW w:w="1168" w:type="dxa"/>
            <w:tcBorders>
              <w:top w:val="single" w:sz="4" w:space="0" w:color="auto"/>
              <w:bottom w:val="single" w:sz="4" w:space="0" w:color="auto"/>
            </w:tcBorders>
            <w:tcMar>
              <w:left w:w="108" w:type="dxa"/>
              <w:right w:w="108" w:type="dxa"/>
            </w:tcMar>
            <w:vAlign w:val="bottom"/>
          </w:tcPr>
          <w:p w14:paraId="0BFC2BEF" w14:textId="77777777" w:rsidR="00123076" w:rsidRPr="00E664AB" w:rsidRDefault="00123076" w:rsidP="000220FC">
            <w:pPr>
              <w:pStyle w:val="Normal-pool-Table"/>
              <w:rPr>
                <w:i/>
                <w:iCs/>
                <w:szCs w:val="18"/>
                <w:lang w:val="es-ES_tradnl"/>
              </w:rPr>
            </w:pPr>
            <w:r w:rsidRPr="00E664AB">
              <w:rPr>
                <w:i/>
                <w:iCs/>
                <w:color w:val="000000"/>
                <w:szCs w:val="18"/>
                <w:lang w:val="es-ES_tradnl"/>
              </w:rPr>
              <w:t>Grupo 1</w:t>
            </w:r>
          </w:p>
        </w:tc>
        <w:tc>
          <w:tcPr>
            <w:tcW w:w="1168" w:type="dxa"/>
            <w:tcBorders>
              <w:top w:val="single" w:sz="4" w:space="0" w:color="auto"/>
              <w:bottom w:val="single" w:sz="4" w:space="0" w:color="auto"/>
            </w:tcBorders>
            <w:tcMar>
              <w:left w:w="108" w:type="dxa"/>
              <w:right w:w="108" w:type="dxa"/>
            </w:tcMar>
            <w:vAlign w:val="bottom"/>
          </w:tcPr>
          <w:p w14:paraId="642E1E81" w14:textId="77777777" w:rsidR="00123076" w:rsidRPr="00E664AB" w:rsidRDefault="00123076" w:rsidP="000220FC">
            <w:pPr>
              <w:pStyle w:val="Normal-pool-Table"/>
              <w:rPr>
                <w:i/>
                <w:iCs/>
                <w:szCs w:val="18"/>
                <w:lang w:val="es-ES_tradnl"/>
              </w:rPr>
            </w:pPr>
            <w:r w:rsidRPr="00E664AB">
              <w:rPr>
                <w:i/>
                <w:iCs/>
                <w:color w:val="000000"/>
                <w:szCs w:val="18"/>
                <w:lang w:val="es-ES_tradnl"/>
              </w:rPr>
              <w:t>Grupo 2</w:t>
            </w:r>
          </w:p>
        </w:tc>
        <w:tc>
          <w:tcPr>
            <w:tcW w:w="2050" w:type="dxa"/>
            <w:gridSpan w:val="2"/>
            <w:tcBorders>
              <w:top w:val="single" w:sz="4" w:space="0" w:color="auto"/>
              <w:bottom w:val="single" w:sz="4" w:space="0" w:color="auto"/>
            </w:tcBorders>
            <w:tcMar>
              <w:left w:w="108" w:type="dxa"/>
              <w:right w:w="108" w:type="dxa"/>
            </w:tcMar>
            <w:vAlign w:val="bottom"/>
          </w:tcPr>
          <w:p w14:paraId="53F6A454" w14:textId="77777777" w:rsidR="00123076" w:rsidRPr="00E664AB" w:rsidRDefault="00123076" w:rsidP="00123076">
            <w:pPr>
              <w:pStyle w:val="Normal-pool-Table"/>
              <w:jc w:val="center"/>
              <w:rPr>
                <w:i/>
                <w:iCs/>
                <w:szCs w:val="18"/>
                <w:lang w:val="es-ES_tradnl"/>
              </w:rPr>
            </w:pPr>
            <w:r w:rsidRPr="00E664AB">
              <w:rPr>
                <w:i/>
                <w:iCs/>
                <w:color w:val="000000"/>
                <w:szCs w:val="18"/>
                <w:lang w:val="es-ES_tradnl"/>
              </w:rPr>
              <w:t>Grupo 1</w:t>
            </w:r>
          </w:p>
        </w:tc>
      </w:tr>
      <w:tr w:rsidR="000F20E5" w:rsidRPr="00E664AB" w14:paraId="3CFB9350" w14:textId="77777777" w:rsidTr="001D3785">
        <w:trPr>
          <w:trHeight w:val="300"/>
          <w:tblHeader/>
          <w:jc w:val="right"/>
        </w:trPr>
        <w:tc>
          <w:tcPr>
            <w:tcW w:w="1843" w:type="dxa"/>
            <w:vMerge/>
            <w:tcBorders>
              <w:bottom w:val="single" w:sz="12" w:space="0" w:color="auto"/>
            </w:tcBorders>
            <w:vAlign w:val="bottom"/>
          </w:tcPr>
          <w:p w14:paraId="1A1D43F3" w14:textId="77777777" w:rsidR="000F20E5" w:rsidRPr="00E664AB" w:rsidRDefault="000F20E5" w:rsidP="000220FC">
            <w:pPr>
              <w:pStyle w:val="Normal-pool-Table"/>
              <w:rPr>
                <w:szCs w:val="18"/>
                <w:lang w:val="es-ES_tradnl"/>
              </w:rPr>
            </w:pPr>
          </w:p>
        </w:tc>
        <w:tc>
          <w:tcPr>
            <w:tcW w:w="1205" w:type="dxa"/>
            <w:tcBorders>
              <w:top w:val="single" w:sz="4" w:space="0" w:color="auto"/>
              <w:bottom w:val="single" w:sz="12" w:space="0" w:color="auto"/>
            </w:tcBorders>
            <w:tcMar>
              <w:left w:w="108" w:type="dxa"/>
              <w:right w:w="108" w:type="dxa"/>
            </w:tcMar>
            <w:vAlign w:val="bottom"/>
          </w:tcPr>
          <w:p w14:paraId="6FC47546" w14:textId="3FCE9F4E" w:rsidR="000F20E5" w:rsidRPr="00E664AB" w:rsidRDefault="000F20E5" w:rsidP="000220FC">
            <w:pPr>
              <w:pStyle w:val="Normal-pool-Table"/>
              <w:rPr>
                <w:i/>
                <w:iCs/>
                <w:szCs w:val="18"/>
                <w:lang w:val="es-ES_tradnl"/>
              </w:rPr>
            </w:pPr>
            <w:r w:rsidRPr="00E664AB">
              <w:rPr>
                <w:i/>
                <w:iCs/>
                <w:color w:val="000000"/>
                <w:szCs w:val="18"/>
                <w:lang w:val="es-ES_tradnl"/>
              </w:rPr>
              <w:t>Clorofluoro</w:t>
            </w:r>
            <w:r w:rsidR="001D3785" w:rsidRPr="00E664AB">
              <w:rPr>
                <w:i/>
                <w:iCs/>
                <w:color w:val="000000"/>
                <w:szCs w:val="18"/>
                <w:lang w:val="es-ES_tradnl"/>
              </w:rPr>
              <w:t>-</w:t>
            </w:r>
            <w:r w:rsidR="001D3785" w:rsidRPr="00E664AB">
              <w:rPr>
                <w:i/>
                <w:iCs/>
                <w:color w:val="000000"/>
                <w:szCs w:val="18"/>
                <w:lang w:val="es-ES_tradnl"/>
              </w:rPr>
              <w:br/>
            </w:r>
            <w:r w:rsidRPr="00E664AB">
              <w:rPr>
                <w:i/>
                <w:iCs/>
                <w:color w:val="000000"/>
                <w:szCs w:val="18"/>
                <w:lang w:val="es-ES_tradnl"/>
              </w:rPr>
              <w:t>carbonos principales</w:t>
            </w:r>
          </w:p>
        </w:tc>
        <w:tc>
          <w:tcPr>
            <w:tcW w:w="1146" w:type="dxa"/>
            <w:tcBorders>
              <w:top w:val="single" w:sz="4" w:space="0" w:color="auto"/>
              <w:bottom w:val="single" w:sz="12" w:space="0" w:color="auto"/>
            </w:tcBorders>
            <w:tcMar>
              <w:left w:w="108" w:type="dxa"/>
              <w:right w:w="108" w:type="dxa"/>
            </w:tcMar>
            <w:vAlign w:val="bottom"/>
          </w:tcPr>
          <w:p w14:paraId="5ED400E1" w14:textId="77777777" w:rsidR="000F20E5" w:rsidRPr="00E664AB" w:rsidRDefault="000F20E5" w:rsidP="000220FC">
            <w:pPr>
              <w:pStyle w:val="Normal-pool-Table"/>
              <w:rPr>
                <w:i/>
                <w:iCs/>
                <w:szCs w:val="18"/>
                <w:lang w:val="es-ES_tradnl"/>
              </w:rPr>
            </w:pPr>
            <w:r w:rsidRPr="00E664AB">
              <w:rPr>
                <w:i/>
                <w:iCs/>
                <w:color w:val="000000"/>
                <w:szCs w:val="18"/>
                <w:lang w:val="es-ES_tradnl"/>
              </w:rPr>
              <w:t>Halones</w:t>
            </w:r>
          </w:p>
        </w:tc>
        <w:tc>
          <w:tcPr>
            <w:tcW w:w="1168" w:type="dxa"/>
            <w:tcBorders>
              <w:top w:val="single" w:sz="4" w:space="0" w:color="auto"/>
              <w:bottom w:val="single" w:sz="12" w:space="0" w:color="auto"/>
            </w:tcBorders>
            <w:tcMar>
              <w:left w:w="108" w:type="dxa"/>
              <w:right w:w="108" w:type="dxa"/>
            </w:tcMar>
            <w:vAlign w:val="bottom"/>
          </w:tcPr>
          <w:p w14:paraId="06329AB9" w14:textId="77777777" w:rsidR="000F20E5" w:rsidRPr="00E664AB" w:rsidRDefault="000F20E5" w:rsidP="000220FC">
            <w:pPr>
              <w:pStyle w:val="Normal-pool-Table"/>
              <w:rPr>
                <w:i/>
                <w:iCs/>
                <w:szCs w:val="18"/>
                <w:lang w:val="es-ES_tradnl"/>
              </w:rPr>
            </w:pPr>
            <w:r w:rsidRPr="00E664AB">
              <w:rPr>
                <w:i/>
                <w:iCs/>
                <w:color w:val="000000"/>
                <w:szCs w:val="18"/>
                <w:lang w:val="es-ES_tradnl"/>
              </w:rPr>
              <w:t>Otros clorofluoro-carbonos</w:t>
            </w:r>
          </w:p>
        </w:tc>
        <w:tc>
          <w:tcPr>
            <w:tcW w:w="1366" w:type="dxa"/>
            <w:tcBorders>
              <w:top w:val="single" w:sz="4" w:space="0" w:color="auto"/>
              <w:bottom w:val="single" w:sz="12" w:space="0" w:color="auto"/>
            </w:tcBorders>
            <w:tcMar>
              <w:left w:w="108" w:type="dxa"/>
              <w:right w:w="108" w:type="dxa"/>
            </w:tcMar>
            <w:vAlign w:val="bottom"/>
          </w:tcPr>
          <w:p w14:paraId="5E665CA8" w14:textId="5D2EB873" w:rsidR="000F20E5" w:rsidRPr="00E664AB" w:rsidRDefault="000F20E5" w:rsidP="000220FC">
            <w:pPr>
              <w:pStyle w:val="Normal-pool-Table"/>
              <w:rPr>
                <w:i/>
                <w:iCs/>
                <w:szCs w:val="18"/>
                <w:lang w:val="es-ES_tradnl"/>
              </w:rPr>
            </w:pPr>
            <w:r w:rsidRPr="00E664AB">
              <w:rPr>
                <w:i/>
                <w:iCs/>
                <w:color w:val="000000"/>
                <w:szCs w:val="18"/>
                <w:lang w:val="es-ES_tradnl"/>
              </w:rPr>
              <w:t>Tetracloruro de carbono</w:t>
            </w:r>
          </w:p>
        </w:tc>
        <w:tc>
          <w:tcPr>
            <w:tcW w:w="1216" w:type="dxa"/>
            <w:tcBorders>
              <w:top w:val="single" w:sz="4" w:space="0" w:color="auto"/>
              <w:bottom w:val="single" w:sz="12" w:space="0" w:color="auto"/>
            </w:tcBorders>
            <w:tcMar>
              <w:left w:w="108" w:type="dxa"/>
              <w:right w:w="108" w:type="dxa"/>
            </w:tcMar>
            <w:vAlign w:val="bottom"/>
          </w:tcPr>
          <w:p w14:paraId="17FD94BE" w14:textId="6466FF3A" w:rsidR="000F20E5" w:rsidRPr="0011298F" w:rsidRDefault="000F20E5" w:rsidP="0011298F">
            <w:pPr>
              <w:pStyle w:val="Normal-pool-Table"/>
              <w:ind w:left="-57"/>
              <w:rPr>
                <w:i/>
                <w:iCs/>
                <w:spacing w:val="-10"/>
                <w:szCs w:val="18"/>
                <w:lang w:val="es-ES_tradnl"/>
              </w:rPr>
            </w:pPr>
            <w:r w:rsidRPr="0011298F">
              <w:rPr>
                <w:i/>
                <w:iCs/>
                <w:color w:val="000000"/>
                <w:spacing w:val="-10"/>
                <w:szCs w:val="18"/>
                <w:lang w:val="es-ES_tradnl"/>
              </w:rPr>
              <w:t>Metilcloroformo</w:t>
            </w:r>
          </w:p>
        </w:tc>
        <w:tc>
          <w:tcPr>
            <w:tcW w:w="1270" w:type="dxa"/>
            <w:tcBorders>
              <w:top w:val="single" w:sz="4" w:space="0" w:color="auto"/>
              <w:bottom w:val="single" w:sz="12" w:space="0" w:color="auto"/>
            </w:tcBorders>
            <w:tcMar>
              <w:left w:w="108" w:type="dxa"/>
              <w:right w:w="108" w:type="dxa"/>
            </w:tcMar>
            <w:vAlign w:val="bottom"/>
          </w:tcPr>
          <w:p w14:paraId="763FEC3A" w14:textId="62F0C792" w:rsidR="000F20E5" w:rsidRPr="00E664AB" w:rsidRDefault="000F20E5" w:rsidP="000220FC">
            <w:pPr>
              <w:pStyle w:val="Normal-pool-Table"/>
              <w:rPr>
                <w:i/>
                <w:iCs/>
                <w:szCs w:val="18"/>
                <w:lang w:val="es-ES_tradnl"/>
              </w:rPr>
            </w:pPr>
            <w:r w:rsidRPr="00E664AB">
              <w:rPr>
                <w:i/>
                <w:iCs/>
                <w:color w:val="000000"/>
                <w:szCs w:val="18"/>
                <w:lang w:val="es-ES_tradnl"/>
              </w:rPr>
              <w:t>Hidrocloro</w:t>
            </w:r>
            <w:r w:rsidR="001D3785" w:rsidRPr="00E664AB">
              <w:rPr>
                <w:i/>
                <w:iCs/>
                <w:color w:val="000000"/>
                <w:szCs w:val="18"/>
                <w:lang w:val="es-ES_tradnl"/>
              </w:rPr>
              <w:t>-</w:t>
            </w:r>
            <w:r w:rsidRPr="00E664AB">
              <w:rPr>
                <w:i/>
                <w:iCs/>
                <w:color w:val="000000"/>
                <w:szCs w:val="18"/>
                <w:lang w:val="es-ES_tradnl"/>
              </w:rPr>
              <w:t>fluorocarbono</w:t>
            </w:r>
          </w:p>
        </w:tc>
        <w:tc>
          <w:tcPr>
            <w:tcW w:w="1066" w:type="dxa"/>
            <w:tcBorders>
              <w:top w:val="single" w:sz="4" w:space="0" w:color="auto"/>
              <w:bottom w:val="single" w:sz="12" w:space="0" w:color="auto"/>
            </w:tcBorders>
            <w:tcMar>
              <w:left w:w="108" w:type="dxa"/>
              <w:right w:w="108" w:type="dxa"/>
            </w:tcMar>
            <w:vAlign w:val="bottom"/>
          </w:tcPr>
          <w:p w14:paraId="0D56578C" w14:textId="5E5A30AE" w:rsidR="000F20E5" w:rsidRPr="00E664AB" w:rsidRDefault="000F20E5" w:rsidP="000220FC">
            <w:pPr>
              <w:pStyle w:val="Normal-pool-Table"/>
              <w:rPr>
                <w:i/>
                <w:iCs/>
                <w:szCs w:val="18"/>
                <w:lang w:val="es-ES_tradnl"/>
              </w:rPr>
            </w:pPr>
            <w:r w:rsidRPr="00E664AB">
              <w:rPr>
                <w:i/>
                <w:iCs/>
                <w:color w:val="000000"/>
                <w:szCs w:val="18"/>
                <w:lang w:val="es-ES_tradnl"/>
              </w:rPr>
              <w:t>Bromuro de metilo</w:t>
            </w:r>
          </w:p>
        </w:tc>
        <w:tc>
          <w:tcPr>
            <w:tcW w:w="1168" w:type="dxa"/>
            <w:tcBorders>
              <w:top w:val="single" w:sz="4" w:space="0" w:color="auto"/>
              <w:bottom w:val="single" w:sz="12" w:space="0" w:color="auto"/>
            </w:tcBorders>
            <w:tcMar>
              <w:left w:w="108" w:type="dxa"/>
              <w:right w:w="108" w:type="dxa"/>
            </w:tcMar>
            <w:vAlign w:val="bottom"/>
          </w:tcPr>
          <w:p w14:paraId="44694DAE" w14:textId="77777777" w:rsidR="000F20E5" w:rsidRPr="00E664AB" w:rsidRDefault="000F20E5" w:rsidP="000220FC">
            <w:pPr>
              <w:pStyle w:val="Normal-pool-Table"/>
              <w:rPr>
                <w:i/>
                <w:iCs/>
                <w:szCs w:val="18"/>
                <w:lang w:val="es-ES_tradnl"/>
              </w:rPr>
            </w:pPr>
            <w:r w:rsidRPr="00E664AB">
              <w:rPr>
                <w:i/>
                <w:iCs/>
                <w:color w:val="000000"/>
                <w:szCs w:val="18"/>
                <w:lang w:val="es-ES_tradnl"/>
              </w:rPr>
              <w:t>Hidrofluoro-carbono</w:t>
            </w:r>
          </w:p>
        </w:tc>
        <w:tc>
          <w:tcPr>
            <w:tcW w:w="1168" w:type="dxa"/>
            <w:tcBorders>
              <w:top w:val="single" w:sz="4" w:space="0" w:color="auto"/>
              <w:bottom w:val="single" w:sz="12" w:space="0" w:color="auto"/>
            </w:tcBorders>
            <w:tcMar>
              <w:left w:w="108" w:type="dxa"/>
              <w:right w:w="108" w:type="dxa"/>
            </w:tcMar>
            <w:vAlign w:val="bottom"/>
          </w:tcPr>
          <w:p w14:paraId="16D5F26A" w14:textId="77777777" w:rsidR="000F20E5" w:rsidRPr="00E664AB" w:rsidRDefault="000F20E5" w:rsidP="000220FC">
            <w:pPr>
              <w:pStyle w:val="Normal-pool-Table"/>
              <w:rPr>
                <w:i/>
                <w:iCs/>
                <w:szCs w:val="18"/>
                <w:lang w:val="es-ES_tradnl"/>
              </w:rPr>
            </w:pPr>
            <w:r w:rsidRPr="00E664AB">
              <w:rPr>
                <w:i/>
                <w:iCs/>
                <w:color w:val="000000"/>
                <w:szCs w:val="18"/>
                <w:lang w:val="es-ES_tradnl"/>
              </w:rPr>
              <w:t>HFC-23</w:t>
            </w:r>
          </w:p>
        </w:tc>
        <w:tc>
          <w:tcPr>
            <w:tcW w:w="992" w:type="dxa"/>
            <w:tcBorders>
              <w:top w:val="single" w:sz="4" w:space="0" w:color="auto"/>
              <w:bottom w:val="single" w:sz="12" w:space="0" w:color="auto"/>
            </w:tcBorders>
            <w:tcMar>
              <w:left w:w="108" w:type="dxa"/>
              <w:right w:w="108" w:type="dxa"/>
            </w:tcMar>
            <w:vAlign w:val="bottom"/>
          </w:tcPr>
          <w:p w14:paraId="28C19D0F" w14:textId="77777777" w:rsidR="000F20E5" w:rsidRPr="00E664AB" w:rsidRDefault="000F20E5" w:rsidP="000220FC">
            <w:pPr>
              <w:pStyle w:val="Normal-pool-Table"/>
              <w:rPr>
                <w:i/>
                <w:iCs/>
                <w:szCs w:val="18"/>
                <w:lang w:val="es-ES_tradnl"/>
              </w:rPr>
            </w:pPr>
            <w:r w:rsidRPr="00E664AB">
              <w:rPr>
                <w:i/>
                <w:iCs/>
                <w:color w:val="000000"/>
                <w:szCs w:val="18"/>
                <w:lang w:val="es-ES_tradnl"/>
              </w:rPr>
              <w:t>Sustancias que destruyen el ozono</w:t>
            </w:r>
          </w:p>
        </w:tc>
        <w:tc>
          <w:tcPr>
            <w:tcW w:w="1058" w:type="dxa"/>
            <w:tcBorders>
              <w:top w:val="single" w:sz="4" w:space="0" w:color="auto"/>
              <w:bottom w:val="single" w:sz="12" w:space="0" w:color="auto"/>
            </w:tcBorders>
            <w:tcMar>
              <w:left w:w="108" w:type="dxa"/>
              <w:right w:w="108" w:type="dxa"/>
            </w:tcMar>
            <w:vAlign w:val="bottom"/>
          </w:tcPr>
          <w:p w14:paraId="26B3060B" w14:textId="7BA3FAC2" w:rsidR="000F20E5" w:rsidRPr="00E664AB" w:rsidRDefault="000F20E5" w:rsidP="000220FC">
            <w:pPr>
              <w:pStyle w:val="Normal-pool-Table"/>
              <w:rPr>
                <w:i/>
                <w:iCs/>
                <w:szCs w:val="18"/>
                <w:lang w:val="es-ES_tradnl"/>
              </w:rPr>
            </w:pPr>
            <w:r w:rsidRPr="00E664AB">
              <w:rPr>
                <w:i/>
                <w:iCs/>
                <w:color w:val="000000"/>
                <w:szCs w:val="18"/>
                <w:lang w:val="es-ES_tradnl"/>
              </w:rPr>
              <w:t>Hidrofluo</w:t>
            </w:r>
            <w:r w:rsidR="001D3785" w:rsidRPr="00E664AB">
              <w:rPr>
                <w:i/>
                <w:iCs/>
                <w:color w:val="000000"/>
                <w:szCs w:val="18"/>
                <w:lang w:val="es-ES_tradnl"/>
              </w:rPr>
              <w:t>-ro</w:t>
            </w:r>
            <w:r w:rsidRPr="00E664AB">
              <w:rPr>
                <w:i/>
                <w:iCs/>
                <w:color w:val="000000"/>
                <w:szCs w:val="18"/>
                <w:lang w:val="es-ES_tradnl"/>
              </w:rPr>
              <w:t>carbono</w:t>
            </w:r>
          </w:p>
        </w:tc>
      </w:tr>
      <w:tr w:rsidR="000F20E5" w:rsidRPr="00E664AB" w14:paraId="6D97A31B" w14:textId="77777777" w:rsidTr="001D3785">
        <w:trPr>
          <w:trHeight w:val="300"/>
          <w:jc w:val="right"/>
        </w:trPr>
        <w:tc>
          <w:tcPr>
            <w:tcW w:w="1843" w:type="dxa"/>
            <w:tcBorders>
              <w:top w:val="single" w:sz="12" w:space="0" w:color="auto"/>
            </w:tcBorders>
            <w:tcMar>
              <w:left w:w="108" w:type="dxa"/>
              <w:right w:w="108" w:type="dxa"/>
            </w:tcMar>
          </w:tcPr>
          <w:p w14:paraId="1A4F2A33" w14:textId="77777777" w:rsidR="000F20E5" w:rsidRPr="00E664AB" w:rsidRDefault="000F20E5" w:rsidP="000220FC">
            <w:pPr>
              <w:pStyle w:val="Normal-pool-Table"/>
              <w:rPr>
                <w:szCs w:val="18"/>
                <w:lang w:val="es-ES_tradnl"/>
              </w:rPr>
            </w:pPr>
            <w:r w:rsidRPr="00E664AB">
              <w:rPr>
                <w:i/>
                <w:iCs/>
                <w:color w:val="000000"/>
                <w:szCs w:val="18"/>
                <w:lang w:val="es-ES_tradnl"/>
              </w:rPr>
              <w:t>Eficacia de eliminación mediante destrucción</w:t>
            </w:r>
          </w:p>
        </w:tc>
        <w:tc>
          <w:tcPr>
            <w:tcW w:w="1205" w:type="dxa"/>
            <w:tcBorders>
              <w:top w:val="single" w:sz="12" w:space="0" w:color="auto"/>
            </w:tcBorders>
            <w:tcMar>
              <w:left w:w="108" w:type="dxa"/>
              <w:right w:w="108" w:type="dxa"/>
            </w:tcMar>
          </w:tcPr>
          <w:p w14:paraId="6A129A9A" w14:textId="76EAE639" w:rsidR="000F20E5" w:rsidRPr="00E664AB" w:rsidRDefault="000F20E5" w:rsidP="000220FC">
            <w:pPr>
              <w:pStyle w:val="Normal-pool-Table"/>
              <w:rPr>
                <w:szCs w:val="18"/>
                <w:lang w:val="es-ES_tradnl"/>
              </w:rPr>
            </w:pPr>
            <w:r w:rsidRPr="00E664AB">
              <w:rPr>
                <w:color w:val="000000"/>
                <w:szCs w:val="18"/>
                <w:lang w:val="es-ES_tradnl"/>
              </w:rPr>
              <w:t>99,99</w:t>
            </w:r>
            <w:r w:rsidR="00E4102D" w:rsidRPr="00E664AB">
              <w:rPr>
                <w:color w:val="000000"/>
                <w:szCs w:val="18"/>
                <w:lang w:val="es-ES_tradnl"/>
              </w:rPr>
              <w:t> %</w:t>
            </w:r>
          </w:p>
        </w:tc>
        <w:tc>
          <w:tcPr>
            <w:tcW w:w="1146" w:type="dxa"/>
            <w:tcBorders>
              <w:top w:val="single" w:sz="12" w:space="0" w:color="auto"/>
            </w:tcBorders>
            <w:tcMar>
              <w:left w:w="108" w:type="dxa"/>
              <w:right w:w="108" w:type="dxa"/>
            </w:tcMar>
          </w:tcPr>
          <w:p w14:paraId="66C1E900" w14:textId="09FD65E9" w:rsidR="000F20E5" w:rsidRPr="00E664AB" w:rsidRDefault="000F20E5" w:rsidP="000220FC">
            <w:pPr>
              <w:pStyle w:val="Normal-pool-Table"/>
              <w:rPr>
                <w:szCs w:val="18"/>
                <w:lang w:val="es-ES_tradnl"/>
              </w:rPr>
            </w:pPr>
            <w:r w:rsidRPr="00E664AB">
              <w:rPr>
                <w:color w:val="000000"/>
                <w:szCs w:val="18"/>
                <w:lang w:val="es-ES_tradnl"/>
              </w:rPr>
              <w:t>99,99</w:t>
            </w:r>
            <w:r w:rsidR="00E4102D" w:rsidRPr="00E664AB">
              <w:rPr>
                <w:color w:val="000000"/>
                <w:szCs w:val="18"/>
                <w:lang w:val="es-ES_tradnl"/>
              </w:rPr>
              <w:t> %</w:t>
            </w:r>
          </w:p>
        </w:tc>
        <w:tc>
          <w:tcPr>
            <w:tcW w:w="1168" w:type="dxa"/>
            <w:tcBorders>
              <w:top w:val="single" w:sz="12" w:space="0" w:color="auto"/>
            </w:tcBorders>
            <w:tcMar>
              <w:left w:w="108" w:type="dxa"/>
              <w:right w:w="108" w:type="dxa"/>
            </w:tcMar>
          </w:tcPr>
          <w:p w14:paraId="381483C9" w14:textId="542340C0" w:rsidR="000F20E5" w:rsidRPr="00E664AB" w:rsidRDefault="000F20E5" w:rsidP="000220FC">
            <w:pPr>
              <w:pStyle w:val="Normal-pool-Table"/>
              <w:rPr>
                <w:szCs w:val="18"/>
                <w:lang w:val="es-ES_tradnl"/>
              </w:rPr>
            </w:pPr>
            <w:r w:rsidRPr="00E664AB">
              <w:rPr>
                <w:color w:val="000000"/>
                <w:szCs w:val="18"/>
                <w:lang w:val="es-ES_tradnl"/>
              </w:rPr>
              <w:t>99,99</w:t>
            </w:r>
            <w:r w:rsidR="00E4102D" w:rsidRPr="00E664AB">
              <w:rPr>
                <w:color w:val="000000"/>
                <w:szCs w:val="18"/>
                <w:lang w:val="es-ES_tradnl"/>
              </w:rPr>
              <w:t> %</w:t>
            </w:r>
          </w:p>
        </w:tc>
        <w:tc>
          <w:tcPr>
            <w:tcW w:w="1366" w:type="dxa"/>
            <w:tcBorders>
              <w:top w:val="single" w:sz="12" w:space="0" w:color="auto"/>
            </w:tcBorders>
            <w:tcMar>
              <w:left w:w="108" w:type="dxa"/>
              <w:right w:w="108" w:type="dxa"/>
            </w:tcMar>
          </w:tcPr>
          <w:p w14:paraId="0610873F" w14:textId="7EDD3D99" w:rsidR="000F20E5" w:rsidRPr="00E664AB" w:rsidRDefault="000F20E5" w:rsidP="000220FC">
            <w:pPr>
              <w:pStyle w:val="Normal-pool-Table"/>
              <w:rPr>
                <w:szCs w:val="18"/>
                <w:lang w:val="es-ES_tradnl"/>
              </w:rPr>
            </w:pPr>
            <w:r w:rsidRPr="00E664AB">
              <w:rPr>
                <w:color w:val="000000"/>
                <w:szCs w:val="18"/>
                <w:lang w:val="es-ES_tradnl"/>
              </w:rPr>
              <w:t>99,99</w:t>
            </w:r>
            <w:r w:rsidR="00E4102D" w:rsidRPr="00E664AB">
              <w:rPr>
                <w:color w:val="000000"/>
                <w:szCs w:val="18"/>
                <w:lang w:val="es-ES_tradnl"/>
              </w:rPr>
              <w:t> %</w:t>
            </w:r>
          </w:p>
        </w:tc>
        <w:tc>
          <w:tcPr>
            <w:tcW w:w="1216" w:type="dxa"/>
            <w:tcBorders>
              <w:top w:val="single" w:sz="12" w:space="0" w:color="auto"/>
            </w:tcBorders>
            <w:tcMar>
              <w:left w:w="108" w:type="dxa"/>
              <w:right w:w="108" w:type="dxa"/>
            </w:tcMar>
          </w:tcPr>
          <w:p w14:paraId="43212B77" w14:textId="41CD8736" w:rsidR="000F20E5" w:rsidRPr="00E664AB" w:rsidRDefault="000F20E5" w:rsidP="000220FC">
            <w:pPr>
              <w:pStyle w:val="Normal-pool-Table"/>
              <w:rPr>
                <w:szCs w:val="18"/>
                <w:lang w:val="es-ES_tradnl"/>
              </w:rPr>
            </w:pPr>
            <w:r w:rsidRPr="00E664AB">
              <w:rPr>
                <w:color w:val="000000"/>
                <w:szCs w:val="18"/>
                <w:lang w:val="es-ES_tradnl"/>
              </w:rPr>
              <w:t>99,99</w:t>
            </w:r>
            <w:r w:rsidR="00E4102D" w:rsidRPr="00E664AB">
              <w:rPr>
                <w:color w:val="000000"/>
                <w:szCs w:val="18"/>
                <w:lang w:val="es-ES_tradnl"/>
              </w:rPr>
              <w:t> %</w:t>
            </w:r>
          </w:p>
        </w:tc>
        <w:tc>
          <w:tcPr>
            <w:tcW w:w="1270" w:type="dxa"/>
            <w:tcBorders>
              <w:top w:val="single" w:sz="12" w:space="0" w:color="auto"/>
            </w:tcBorders>
            <w:tcMar>
              <w:left w:w="108" w:type="dxa"/>
              <w:right w:w="108" w:type="dxa"/>
            </w:tcMar>
          </w:tcPr>
          <w:p w14:paraId="6A8D5B2E" w14:textId="2D9E0546" w:rsidR="000F20E5" w:rsidRPr="00E664AB" w:rsidRDefault="000F20E5" w:rsidP="000220FC">
            <w:pPr>
              <w:pStyle w:val="Normal-pool-Table"/>
              <w:rPr>
                <w:szCs w:val="18"/>
                <w:lang w:val="es-ES_tradnl"/>
              </w:rPr>
            </w:pPr>
            <w:r w:rsidRPr="00E664AB">
              <w:rPr>
                <w:color w:val="000000"/>
                <w:szCs w:val="18"/>
                <w:lang w:val="es-ES_tradnl"/>
              </w:rPr>
              <w:t>99,99</w:t>
            </w:r>
            <w:r w:rsidR="00E4102D" w:rsidRPr="00E664AB">
              <w:rPr>
                <w:color w:val="000000"/>
                <w:szCs w:val="18"/>
                <w:lang w:val="es-ES_tradnl"/>
              </w:rPr>
              <w:t> %</w:t>
            </w:r>
          </w:p>
        </w:tc>
        <w:tc>
          <w:tcPr>
            <w:tcW w:w="1066" w:type="dxa"/>
            <w:tcBorders>
              <w:top w:val="single" w:sz="12" w:space="0" w:color="auto"/>
            </w:tcBorders>
            <w:tcMar>
              <w:left w:w="108" w:type="dxa"/>
              <w:right w:w="108" w:type="dxa"/>
            </w:tcMar>
          </w:tcPr>
          <w:p w14:paraId="4BEFE394" w14:textId="1ADAC34F" w:rsidR="000F20E5" w:rsidRPr="00E664AB" w:rsidRDefault="000F20E5" w:rsidP="000220FC">
            <w:pPr>
              <w:pStyle w:val="Normal-pool-Table"/>
              <w:rPr>
                <w:szCs w:val="18"/>
                <w:lang w:val="es-ES_tradnl"/>
              </w:rPr>
            </w:pPr>
            <w:r w:rsidRPr="00E664AB">
              <w:rPr>
                <w:color w:val="000000"/>
                <w:szCs w:val="18"/>
                <w:lang w:val="es-ES_tradnl"/>
              </w:rPr>
              <w:t>99,99</w:t>
            </w:r>
            <w:r w:rsidR="00E4102D" w:rsidRPr="00E664AB">
              <w:rPr>
                <w:color w:val="000000"/>
                <w:szCs w:val="18"/>
                <w:lang w:val="es-ES_tradnl"/>
              </w:rPr>
              <w:t> %</w:t>
            </w:r>
          </w:p>
        </w:tc>
        <w:tc>
          <w:tcPr>
            <w:tcW w:w="1168" w:type="dxa"/>
            <w:tcBorders>
              <w:top w:val="single" w:sz="12" w:space="0" w:color="auto"/>
            </w:tcBorders>
            <w:tcMar>
              <w:left w:w="108" w:type="dxa"/>
              <w:right w:w="108" w:type="dxa"/>
            </w:tcMar>
          </w:tcPr>
          <w:p w14:paraId="4CFA85DF" w14:textId="2C256DAB" w:rsidR="000F20E5" w:rsidRPr="00E664AB" w:rsidRDefault="000F20E5" w:rsidP="000220FC">
            <w:pPr>
              <w:pStyle w:val="Normal-pool-Table"/>
              <w:rPr>
                <w:szCs w:val="18"/>
                <w:lang w:val="es-ES_tradnl"/>
              </w:rPr>
            </w:pPr>
            <w:r w:rsidRPr="00E664AB">
              <w:rPr>
                <w:color w:val="000000"/>
                <w:szCs w:val="18"/>
                <w:lang w:val="es-ES_tradnl"/>
              </w:rPr>
              <w:t>99,99</w:t>
            </w:r>
            <w:r w:rsidR="00E4102D" w:rsidRPr="00E664AB">
              <w:rPr>
                <w:color w:val="000000"/>
                <w:szCs w:val="18"/>
                <w:lang w:val="es-ES_tradnl"/>
              </w:rPr>
              <w:t> %</w:t>
            </w:r>
          </w:p>
        </w:tc>
        <w:tc>
          <w:tcPr>
            <w:tcW w:w="1168" w:type="dxa"/>
            <w:tcBorders>
              <w:top w:val="single" w:sz="12" w:space="0" w:color="auto"/>
            </w:tcBorders>
            <w:tcMar>
              <w:left w:w="108" w:type="dxa"/>
              <w:right w:w="108" w:type="dxa"/>
            </w:tcMar>
          </w:tcPr>
          <w:p w14:paraId="41EEA570" w14:textId="4942B877" w:rsidR="000F20E5" w:rsidRPr="00E664AB" w:rsidRDefault="000F20E5" w:rsidP="000220FC">
            <w:pPr>
              <w:pStyle w:val="Normal-pool-Table"/>
              <w:rPr>
                <w:szCs w:val="18"/>
                <w:lang w:val="es-ES_tradnl"/>
              </w:rPr>
            </w:pPr>
            <w:r w:rsidRPr="00E664AB">
              <w:rPr>
                <w:color w:val="000000"/>
                <w:szCs w:val="18"/>
                <w:lang w:val="es-ES_tradnl"/>
              </w:rPr>
              <w:t>99,99</w:t>
            </w:r>
            <w:r w:rsidR="00E4102D" w:rsidRPr="00E664AB">
              <w:rPr>
                <w:color w:val="000000"/>
                <w:szCs w:val="18"/>
                <w:lang w:val="es-ES_tradnl"/>
              </w:rPr>
              <w:t> %</w:t>
            </w:r>
          </w:p>
        </w:tc>
        <w:tc>
          <w:tcPr>
            <w:tcW w:w="992" w:type="dxa"/>
            <w:tcBorders>
              <w:top w:val="single" w:sz="12" w:space="0" w:color="auto"/>
            </w:tcBorders>
            <w:tcMar>
              <w:left w:w="108" w:type="dxa"/>
              <w:right w:w="108" w:type="dxa"/>
            </w:tcMar>
          </w:tcPr>
          <w:p w14:paraId="7B4D82F7" w14:textId="12F0A923" w:rsidR="000F20E5" w:rsidRPr="00E664AB" w:rsidRDefault="000F20E5" w:rsidP="000220FC">
            <w:pPr>
              <w:pStyle w:val="Normal-pool-Table"/>
              <w:rPr>
                <w:szCs w:val="18"/>
                <w:lang w:val="es-ES_tradnl"/>
              </w:rPr>
            </w:pPr>
            <w:r w:rsidRPr="00E664AB">
              <w:rPr>
                <w:color w:val="000000"/>
                <w:szCs w:val="18"/>
                <w:lang w:val="es-ES_tradnl"/>
              </w:rPr>
              <w:t>95</w:t>
            </w:r>
            <w:r w:rsidR="00E4102D" w:rsidRPr="00E664AB">
              <w:rPr>
                <w:color w:val="000000"/>
                <w:szCs w:val="18"/>
                <w:lang w:val="es-ES_tradnl"/>
              </w:rPr>
              <w:t> %</w:t>
            </w:r>
          </w:p>
        </w:tc>
        <w:tc>
          <w:tcPr>
            <w:tcW w:w="1058" w:type="dxa"/>
            <w:tcBorders>
              <w:top w:val="single" w:sz="12" w:space="0" w:color="auto"/>
            </w:tcBorders>
            <w:tcMar>
              <w:left w:w="108" w:type="dxa"/>
              <w:right w:w="108" w:type="dxa"/>
            </w:tcMar>
          </w:tcPr>
          <w:p w14:paraId="67A6304B" w14:textId="3CE5A87B" w:rsidR="000F20E5" w:rsidRPr="00E664AB" w:rsidRDefault="000F20E5" w:rsidP="000220FC">
            <w:pPr>
              <w:pStyle w:val="Normal-pool-Table"/>
              <w:rPr>
                <w:szCs w:val="18"/>
                <w:lang w:val="es-ES_tradnl"/>
              </w:rPr>
            </w:pPr>
            <w:r w:rsidRPr="00E664AB">
              <w:rPr>
                <w:color w:val="000000"/>
                <w:szCs w:val="18"/>
                <w:lang w:val="es-ES_tradnl"/>
              </w:rPr>
              <w:t>95</w:t>
            </w:r>
            <w:r w:rsidR="00E4102D" w:rsidRPr="00E664AB">
              <w:rPr>
                <w:color w:val="000000"/>
                <w:szCs w:val="18"/>
                <w:lang w:val="es-ES_tradnl"/>
              </w:rPr>
              <w:t> %</w:t>
            </w:r>
          </w:p>
        </w:tc>
      </w:tr>
      <w:tr w:rsidR="000F20E5" w:rsidRPr="00E664AB" w14:paraId="3C98A085" w14:textId="77777777" w:rsidTr="001D3785">
        <w:trPr>
          <w:trHeight w:val="300"/>
          <w:jc w:val="right"/>
        </w:trPr>
        <w:tc>
          <w:tcPr>
            <w:tcW w:w="1843" w:type="dxa"/>
            <w:tcMar>
              <w:left w:w="108" w:type="dxa"/>
              <w:right w:w="108" w:type="dxa"/>
            </w:tcMar>
          </w:tcPr>
          <w:p w14:paraId="6D59384B" w14:textId="450A7088" w:rsidR="000F20E5" w:rsidRPr="00E664AB" w:rsidRDefault="000F20E5" w:rsidP="000220FC">
            <w:pPr>
              <w:pStyle w:val="Normal-pool-Table"/>
              <w:rPr>
                <w:szCs w:val="18"/>
                <w:lang w:val="es-ES_tradnl"/>
              </w:rPr>
            </w:pPr>
            <w:r w:rsidRPr="00E664AB">
              <w:rPr>
                <w:color w:val="000000"/>
                <w:szCs w:val="18"/>
                <w:lang w:val="es-ES_tradnl"/>
              </w:rPr>
              <w:t>Hornos de cemento</w:t>
            </w:r>
          </w:p>
        </w:tc>
        <w:tc>
          <w:tcPr>
            <w:tcW w:w="1205" w:type="dxa"/>
            <w:tcMar>
              <w:left w:w="108" w:type="dxa"/>
              <w:right w:w="108" w:type="dxa"/>
            </w:tcMar>
            <w:vAlign w:val="bottom"/>
          </w:tcPr>
          <w:p w14:paraId="12D18E42"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shd w:val="clear" w:color="auto" w:fill="F2DBDB" w:themeFill="accent2" w:themeFillTint="33"/>
            <w:tcMar>
              <w:left w:w="108" w:type="dxa"/>
              <w:right w:w="108" w:type="dxa"/>
            </w:tcMar>
            <w:vAlign w:val="bottom"/>
          </w:tcPr>
          <w:p w14:paraId="0C4B3AF1" w14:textId="77777777" w:rsidR="000F20E5" w:rsidRPr="00E664AB" w:rsidRDefault="000F20E5" w:rsidP="000220FC">
            <w:pPr>
              <w:pStyle w:val="Normal-pool-Table"/>
              <w:rPr>
                <w:szCs w:val="18"/>
                <w:lang w:val="es-ES_tradnl"/>
              </w:rPr>
            </w:pPr>
            <w:r w:rsidRPr="00E664AB">
              <w:rPr>
                <w:color w:val="000000"/>
                <w:szCs w:val="18"/>
                <w:lang w:val="es-ES_tradnl"/>
              </w:rPr>
              <w:t>No Aprobado</w:t>
            </w:r>
          </w:p>
        </w:tc>
        <w:tc>
          <w:tcPr>
            <w:tcW w:w="1168" w:type="dxa"/>
            <w:tcMar>
              <w:left w:w="108" w:type="dxa"/>
              <w:right w:w="108" w:type="dxa"/>
            </w:tcMar>
            <w:vAlign w:val="bottom"/>
          </w:tcPr>
          <w:p w14:paraId="3D20F589"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34785546"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076C235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5A9584D2"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3515448E"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0BF3D461"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shd w:val="clear" w:color="auto" w:fill="F2DBDB" w:themeFill="accent2" w:themeFillTint="33"/>
            <w:tcMar>
              <w:left w:w="108" w:type="dxa"/>
              <w:right w:w="108" w:type="dxa"/>
            </w:tcMar>
            <w:vAlign w:val="bottom"/>
          </w:tcPr>
          <w:p w14:paraId="24274A15"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992" w:type="dxa"/>
            <w:tcMar>
              <w:left w:w="108" w:type="dxa"/>
              <w:right w:w="108" w:type="dxa"/>
            </w:tcMar>
          </w:tcPr>
          <w:p w14:paraId="1251CDFD" w14:textId="5E6D1225" w:rsidR="000F20E5" w:rsidRPr="00E664AB" w:rsidRDefault="000F20E5" w:rsidP="000220FC">
            <w:pPr>
              <w:pStyle w:val="Normal-pool-Table"/>
              <w:rPr>
                <w:szCs w:val="18"/>
                <w:lang w:val="es-ES_tradnl"/>
              </w:rPr>
            </w:pPr>
          </w:p>
        </w:tc>
        <w:tc>
          <w:tcPr>
            <w:tcW w:w="1058" w:type="dxa"/>
            <w:tcMar>
              <w:left w:w="108" w:type="dxa"/>
              <w:right w:w="108" w:type="dxa"/>
            </w:tcMar>
          </w:tcPr>
          <w:p w14:paraId="67582BE3"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1677020E" w14:textId="77777777" w:rsidTr="001D3785">
        <w:trPr>
          <w:trHeight w:val="300"/>
          <w:jc w:val="right"/>
        </w:trPr>
        <w:tc>
          <w:tcPr>
            <w:tcW w:w="1843" w:type="dxa"/>
            <w:tcMar>
              <w:left w:w="108" w:type="dxa"/>
              <w:right w:w="108" w:type="dxa"/>
            </w:tcMar>
          </w:tcPr>
          <w:p w14:paraId="4652EE39" w14:textId="3C8BEBC5" w:rsidR="000F20E5" w:rsidRPr="00E664AB" w:rsidRDefault="000F20E5" w:rsidP="000220FC">
            <w:pPr>
              <w:pStyle w:val="Normal-pool-Table"/>
              <w:rPr>
                <w:szCs w:val="18"/>
                <w:lang w:val="es-ES_tradnl"/>
              </w:rPr>
            </w:pPr>
            <w:r w:rsidRPr="00E664AB">
              <w:rPr>
                <w:color w:val="000000"/>
                <w:szCs w:val="18"/>
                <w:lang w:val="es-ES_tradnl"/>
              </w:rPr>
              <w:t>Oxidación de gases/humos</w:t>
            </w:r>
          </w:p>
        </w:tc>
        <w:tc>
          <w:tcPr>
            <w:tcW w:w="1205" w:type="dxa"/>
            <w:tcMar>
              <w:left w:w="108" w:type="dxa"/>
              <w:right w:w="108" w:type="dxa"/>
            </w:tcMar>
            <w:vAlign w:val="bottom"/>
          </w:tcPr>
          <w:p w14:paraId="7689EDBA"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shd w:val="clear" w:color="auto" w:fill="F2DBDB" w:themeFill="accent2" w:themeFillTint="33"/>
            <w:tcMar>
              <w:left w:w="108" w:type="dxa"/>
              <w:right w:w="108" w:type="dxa"/>
            </w:tcMar>
            <w:vAlign w:val="bottom"/>
          </w:tcPr>
          <w:p w14:paraId="2471DD6D"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3F4864F5"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5755D3FC"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12B2413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5B7DA111"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7D98F631"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7029C104"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0CDEA32D"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992" w:type="dxa"/>
            <w:tcMar>
              <w:left w:w="108" w:type="dxa"/>
              <w:right w:w="108" w:type="dxa"/>
            </w:tcMar>
            <w:vAlign w:val="bottom"/>
          </w:tcPr>
          <w:p w14:paraId="5426BE67" w14:textId="40093ACC" w:rsidR="000F20E5" w:rsidRPr="00E664AB" w:rsidRDefault="000F20E5" w:rsidP="000220FC">
            <w:pPr>
              <w:pStyle w:val="Normal-pool-Table"/>
              <w:rPr>
                <w:szCs w:val="18"/>
                <w:lang w:val="es-ES_tradnl"/>
              </w:rPr>
            </w:pPr>
          </w:p>
        </w:tc>
        <w:tc>
          <w:tcPr>
            <w:tcW w:w="1058" w:type="dxa"/>
            <w:tcMar>
              <w:left w:w="108" w:type="dxa"/>
              <w:right w:w="108" w:type="dxa"/>
            </w:tcMar>
            <w:vAlign w:val="bottom"/>
          </w:tcPr>
          <w:p w14:paraId="6D635313"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16FB744A" w14:textId="77777777" w:rsidTr="001D3785">
        <w:trPr>
          <w:trHeight w:val="300"/>
          <w:jc w:val="right"/>
        </w:trPr>
        <w:tc>
          <w:tcPr>
            <w:tcW w:w="1843" w:type="dxa"/>
            <w:tcMar>
              <w:left w:w="108" w:type="dxa"/>
              <w:right w:w="108" w:type="dxa"/>
            </w:tcMar>
          </w:tcPr>
          <w:p w14:paraId="6E969A31" w14:textId="6F4BA992" w:rsidR="000F20E5" w:rsidRPr="00E664AB" w:rsidRDefault="000F20E5" w:rsidP="000220FC">
            <w:pPr>
              <w:pStyle w:val="Normal-pool-Table"/>
              <w:rPr>
                <w:szCs w:val="18"/>
                <w:lang w:val="es-ES_tradnl"/>
              </w:rPr>
            </w:pPr>
            <w:r w:rsidRPr="00E664AB">
              <w:rPr>
                <w:color w:val="000000"/>
                <w:szCs w:val="18"/>
                <w:lang w:val="es-ES_tradnl"/>
              </w:rPr>
              <w:t>Incineración por inyección de líquido</w:t>
            </w:r>
          </w:p>
        </w:tc>
        <w:tc>
          <w:tcPr>
            <w:tcW w:w="1205" w:type="dxa"/>
            <w:tcMar>
              <w:left w:w="108" w:type="dxa"/>
              <w:right w:w="108" w:type="dxa"/>
            </w:tcMar>
            <w:vAlign w:val="bottom"/>
          </w:tcPr>
          <w:p w14:paraId="22A6321A"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tcMar>
              <w:left w:w="108" w:type="dxa"/>
              <w:right w:w="108" w:type="dxa"/>
            </w:tcMar>
            <w:vAlign w:val="bottom"/>
          </w:tcPr>
          <w:p w14:paraId="5CDCE34A"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2108718A"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5BF884F0"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6810C1CD"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65E7D4C6"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09DAA113"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23621405"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04A6CD8D"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992" w:type="dxa"/>
            <w:tcMar>
              <w:left w:w="108" w:type="dxa"/>
              <w:right w:w="108" w:type="dxa"/>
            </w:tcMar>
            <w:vAlign w:val="bottom"/>
          </w:tcPr>
          <w:p w14:paraId="0E284383"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c>
          <w:tcPr>
            <w:tcW w:w="1058" w:type="dxa"/>
            <w:tcMar>
              <w:left w:w="108" w:type="dxa"/>
              <w:right w:w="108" w:type="dxa"/>
            </w:tcMar>
            <w:vAlign w:val="bottom"/>
          </w:tcPr>
          <w:p w14:paraId="39B2AF4A"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3D013B69" w14:textId="77777777" w:rsidTr="001D3785">
        <w:trPr>
          <w:trHeight w:val="300"/>
          <w:jc w:val="right"/>
        </w:trPr>
        <w:tc>
          <w:tcPr>
            <w:tcW w:w="1843" w:type="dxa"/>
            <w:tcMar>
              <w:left w:w="108" w:type="dxa"/>
              <w:right w:w="108" w:type="dxa"/>
            </w:tcMar>
          </w:tcPr>
          <w:p w14:paraId="47A8FC85" w14:textId="0A47B68C" w:rsidR="000F20E5" w:rsidRPr="00E664AB" w:rsidRDefault="000F20E5" w:rsidP="000220FC">
            <w:pPr>
              <w:pStyle w:val="Normal-pool-Table"/>
              <w:rPr>
                <w:szCs w:val="18"/>
                <w:lang w:val="es-ES_tradnl"/>
              </w:rPr>
            </w:pPr>
            <w:r w:rsidRPr="00E664AB">
              <w:rPr>
                <w:color w:val="000000"/>
                <w:szCs w:val="18"/>
                <w:lang w:val="es-ES_tradnl"/>
              </w:rPr>
              <w:t>Incineración de desechos municipales sólidos</w:t>
            </w:r>
          </w:p>
        </w:tc>
        <w:tc>
          <w:tcPr>
            <w:tcW w:w="1205" w:type="dxa"/>
            <w:tcMar>
              <w:left w:w="108" w:type="dxa"/>
              <w:right w:w="108" w:type="dxa"/>
            </w:tcMar>
            <w:vAlign w:val="bottom"/>
          </w:tcPr>
          <w:p w14:paraId="38EC58A7" w14:textId="69944D16" w:rsidR="000F20E5" w:rsidRPr="00E664AB" w:rsidRDefault="000F20E5" w:rsidP="000220FC">
            <w:pPr>
              <w:pStyle w:val="Normal-pool-Table"/>
              <w:rPr>
                <w:szCs w:val="18"/>
                <w:lang w:val="es-ES_tradnl"/>
              </w:rPr>
            </w:pPr>
          </w:p>
        </w:tc>
        <w:tc>
          <w:tcPr>
            <w:tcW w:w="1146" w:type="dxa"/>
            <w:tcMar>
              <w:left w:w="108" w:type="dxa"/>
              <w:right w:w="108" w:type="dxa"/>
            </w:tcMar>
            <w:vAlign w:val="bottom"/>
          </w:tcPr>
          <w:p w14:paraId="5E11CC71" w14:textId="57658037" w:rsidR="000F20E5" w:rsidRPr="00E664AB" w:rsidRDefault="000F20E5" w:rsidP="000220FC">
            <w:pPr>
              <w:pStyle w:val="Normal-pool-Table"/>
              <w:rPr>
                <w:szCs w:val="18"/>
                <w:lang w:val="es-ES_tradnl"/>
              </w:rPr>
            </w:pPr>
          </w:p>
        </w:tc>
        <w:tc>
          <w:tcPr>
            <w:tcW w:w="1168" w:type="dxa"/>
            <w:tcMar>
              <w:left w:w="108" w:type="dxa"/>
              <w:right w:w="108" w:type="dxa"/>
            </w:tcMar>
            <w:vAlign w:val="bottom"/>
          </w:tcPr>
          <w:p w14:paraId="6BDCF9B8" w14:textId="079BD3D7" w:rsidR="000F20E5" w:rsidRPr="00E664AB" w:rsidRDefault="000F20E5" w:rsidP="000220FC">
            <w:pPr>
              <w:pStyle w:val="Normal-pool-Table"/>
              <w:rPr>
                <w:szCs w:val="18"/>
                <w:lang w:val="es-ES_tradnl"/>
              </w:rPr>
            </w:pPr>
          </w:p>
        </w:tc>
        <w:tc>
          <w:tcPr>
            <w:tcW w:w="1366" w:type="dxa"/>
            <w:tcMar>
              <w:left w:w="108" w:type="dxa"/>
              <w:right w:w="108" w:type="dxa"/>
            </w:tcMar>
            <w:vAlign w:val="bottom"/>
          </w:tcPr>
          <w:p w14:paraId="1764EC8D" w14:textId="1A23C0BB" w:rsidR="000F20E5" w:rsidRPr="00E664AB" w:rsidRDefault="000F20E5" w:rsidP="000220FC">
            <w:pPr>
              <w:pStyle w:val="Normal-pool-Table"/>
              <w:rPr>
                <w:szCs w:val="18"/>
                <w:lang w:val="es-ES_tradnl"/>
              </w:rPr>
            </w:pPr>
          </w:p>
        </w:tc>
        <w:tc>
          <w:tcPr>
            <w:tcW w:w="1216" w:type="dxa"/>
            <w:tcMar>
              <w:left w:w="108" w:type="dxa"/>
              <w:right w:w="108" w:type="dxa"/>
            </w:tcMar>
            <w:vAlign w:val="bottom"/>
          </w:tcPr>
          <w:p w14:paraId="15D3957F" w14:textId="1900BDC0" w:rsidR="000F20E5" w:rsidRPr="00E664AB" w:rsidRDefault="000F20E5" w:rsidP="000220FC">
            <w:pPr>
              <w:pStyle w:val="Normal-pool-Table"/>
              <w:rPr>
                <w:szCs w:val="18"/>
                <w:lang w:val="es-ES_tradnl"/>
              </w:rPr>
            </w:pPr>
          </w:p>
        </w:tc>
        <w:tc>
          <w:tcPr>
            <w:tcW w:w="1270" w:type="dxa"/>
            <w:tcMar>
              <w:left w:w="108" w:type="dxa"/>
              <w:right w:w="108" w:type="dxa"/>
            </w:tcMar>
            <w:vAlign w:val="bottom"/>
          </w:tcPr>
          <w:p w14:paraId="711AEC6B" w14:textId="5DCB1E1C" w:rsidR="000F20E5" w:rsidRPr="00E664AB" w:rsidRDefault="000F20E5" w:rsidP="000220FC">
            <w:pPr>
              <w:pStyle w:val="Normal-pool-Table"/>
              <w:rPr>
                <w:szCs w:val="18"/>
                <w:lang w:val="es-ES_tradnl"/>
              </w:rPr>
            </w:pPr>
          </w:p>
        </w:tc>
        <w:tc>
          <w:tcPr>
            <w:tcW w:w="1066" w:type="dxa"/>
            <w:tcMar>
              <w:left w:w="108" w:type="dxa"/>
              <w:right w:w="108" w:type="dxa"/>
            </w:tcMar>
            <w:vAlign w:val="bottom"/>
          </w:tcPr>
          <w:p w14:paraId="30ECC96C" w14:textId="780B974D" w:rsidR="000F20E5" w:rsidRPr="00E664AB" w:rsidRDefault="000F20E5" w:rsidP="000220FC">
            <w:pPr>
              <w:pStyle w:val="Normal-pool-Table"/>
              <w:rPr>
                <w:szCs w:val="18"/>
                <w:lang w:val="es-ES_tradnl"/>
              </w:rPr>
            </w:pPr>
          </w:p>
        </w:tc>
        <w:tc>
          <w:tcPr>
            <w:tcW w:w="1168" w:type="dxa"/>
            <w:tcMar>
              <w:left w:w="108" w:type="dxa"/>
              <w:right w:w="108" w:type="dxa"/>
            </w:tcMar>
            <w:vAlign w:val="bottom"/>
          </w:tcPr>
          <w:p w14:paraId="06F7F427"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c>
          <w:tcPr>
            <w:tcW w:w="1168" w:type="dxa"/>
            <w:tcMar>
              <w:left w:w="108" w:type="dxa"/>
              <w:right w:w="108" w:type="dxa"/>
            </w:tcMar>
            <w:vAlign w:val="bottom"/>
          </w:tcPr>
          <w:p w14:paraId="715E2D51" w14:textId="7E2B6FAB" w:rsidR="000F20E5" w:rsidRPr="00E664AB" w:rsidRDefault="000F20E5" w:rsidP="000220FC">
            <w:pPr>
              <w:pStyle w:val="Normal-pool-Table"/>
              <w:rPr>
                <w:szCs w:val="18"/>
                <w:lang w:val="es-ES_tradnl"/>
              </w:rPr>
            </w:pPr>
          </w:p>
        </w:tc>
        <w:tc>
          <w:tcPr>
            <w:tcW w:w="992" w:type="dxa"/>
            <w:tcMar>
              <w:left w:w="108" w:type="dxa"/>
              <w:right w:w="108" w:type="dxa"/>
            </w:tcMar>
            <w:vAlign w:val="bottom"/>
          </w:tcPr>
          <w:p w14:paraId="44FD829F"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58" w:type="dxa"/>
            <w:tcMar>
              <w:left w:w="108" w:type="dxa"/>
              <w:right w:w="108" w:type="dxa"/>
            </w:tcMar>
            <w:vAlign w:val="bottom"/>
          </w:tcPr>
          <w:p w14:paraId="4C88F3E3" w14:textId="77777777" w:rsidR="000F20E5" w:rsidRPr="00E664AB" w:rsidRDefault="000F20E5" w:rsidP="000220FC">
            <w:pPr>
              <w:pStyle w:val="Normal-pool-Table"/>
              <w:rPr>
                <w:szCs w:val="18"/>
                <w:lang w:val="es-ES_tradnl"/>
              </w:rPr>
            </w:pPr>
            <w:r w:rsidRPr="00E664AB">
              <w:rPr>
                <w:color w:val="000000"/>
                <w:szCs w:val="18"/>
                <w:lang w:val="es-ES_tradnl"/>
              </w:rPr>
              <w:t>Aprobado</w:t>
            </w:r>
          </w:p>
        </w:tc>
      </w:tr>
      <w:tr w:rsidR="000F20E5" w:rsidRPr="00E664AB" w14:paraId="03B2EA76" w14:textId="77777777" w:rsidTr="001D3785">
        <w:trPr>
          <w:trHeight w:val="660"/>
          <w:jc w:val="right"/>
        </w:trPr>
        <w:tc>
          <w:tcPr>
            <w:tcW w:w="1843" w:type="dxa"/>
            <w:tcMar>
              <w:left w:w="108" w:type="dxa"/>
              <w:right w:w="108" w:type="dxa"/>
            </w:tcMar>
          </w:tcPr>
          <w:p w14:paraId="7350ECDB" w14:textId="4642B4FB" w:rsidR="000F20E5" w:rsidRPr="00E664AB" w:rsidRDefault="000F20E5" w:rsidP="000220FC">
            <w:pPr>
              <w:pStyle w:val="Normal-pool-Table"/>
              <w:rPr>
                <w:szCs w:val="18"/>
                <w:lang w:val="es-ES_tradnl"/>
              </w:rPr>
            </w:pPr>
            <w:r w:rsidRPr="00E664AB">
              <w:rPr>
                <w:color w:val="000000"/>
                <w:szCs w:val="18"/>
                <w:lang w:val="es-ES_tradnl"/>
              </w:rPr>
              <w:t>Reactor térmico poroso</w:t>
            </w:r>
          </w:p>
        </w:tc>
        <w:tc>
          <w:tcPr>
            <w:tcW w:w="1205" w:type="dxa"/>
            <w:tcMar>
              <w:left w:w="108" w:type="dxa"/>
              <w:right w:w="108" w:type="dxa"/>
            </w:tcMar>
            <w:vAlign w:val="bottom"/>
          </w:tcPr>
          <w:p w14:paraId="029B72D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shd w:val="clear" w:color="auto" w:fill="F2DBDB" w:themeFill="accent2" w:themeFillTint="33"/>
            <w:tcMar>
              <w:left w:w="108" w:type="dxa"/>
              <w:right w:w="108" w:type="dxa"/>
            </w:tcMar>
            <w:vAlign w:val="bottom"/>
          </w:tcPr>
          <w:p w14:paraId="209251F1"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285E533C"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45ABF69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7120F2B9"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180C8F8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34EC073D"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5DDE8208"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shd w:val="clear" w:color="auto" w:fill="F2DBDB" w:themeFill="accent2" w:themeFillTint="33"/>
            <w:tcMar>
              <w:left w:w="108" w:type="dxa"/>
              <w:right w:w="108" w:type="dxa"/>
            </w:tcMar>
            <w:vAlign w:val="bottom"/>
          </w:tcPr>
          <w:p w14:paraId="3C2F42B3"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992" w:type="dxa"/>
            <w:tcMar>
              <w:left w:w="108" w:type="dxa"/>
              <w:right w:w="108" w:type="dxa"/>
            </w:tcMar>
            <w:vAlign w:val="bottom"/>
          </w:tcPr>
          <w:p w14:paraId="7C1EA60A" w14:textId="611780BD" w:rsidR="000F20E5" w:rsidRPr="00E664AB" w:rsidRDefault="000F20E5" w:rsidP="000220FC">
            <w:pPr>
              <w:pStyle w:val="Normal-pool-Table"/>
              <w:rPr>
                <w:szCs w:val="18"/>
                <w:lang w:val="es-ES_tradnl"/>
              </w:rPr>
            </w:pPr>
          </w:p>
        </w:tc>
        <w:tc>
          <w:tcPr>
            <w:tcW w:w="1058" w:type="dxa"/>
            <w:tcMar>
              <w:left w:w="108" w:type="dxa"/>
              <w:right w:w="108" w:type="dxa"/>
            </w:tcMar>
            <w:vAlign w:val="bottom"/>
          </w:tcPr>
          <w:p w14:paraId="3ED4C5BE"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525B4D45" w14:textId="77777777" w:rsidTr="001D3785">
        <w:trPr>
          <w:trHeight w:val="300"/>
          <w:jc w:val="right"/>
        </w:trPr>
        <w:tc>
          <w:tcPr>
            <w:tcW w:w="1843" w:type="dxa"/>
            <w:tcMar>
              <w:left w:w="108" w:type="dxa"/>
              <w:right w:w="108" w:type="dxa"/>
            </w:tcMar>
          </w:tcPr>
          <w:p w14:paraId="01D95B95" w14:textId="0825D2EF" w:rsidR="000F20E5" w:rsidRPr="00E664AB" w:rsidRDefault="000F20E5" w:rsidP="000220FC">
            <w:pPr>
              <w:pStyle w:val="Normal-pool-Table"/>
              <w:rPr>
                <w:szCs w:val="18"/>
                <w:lang w:val="es-ES_tradnl"/>
              </w:rPr>
            </w:pPr>
            <w:r w:rsidRPr="00E664AB">
              <w:rPr>
                <w:color w:val="000000"/>
                <w:szCs w:val="18"/>
                <w:lang w:val="es-ES_tradnl"/>
              </w:rPr>
              <w:t>Craqueo en reactor</w:t>
            </w:r>
          </w:p>
        </w:tc>
        <w:tc>
          <w:tcPr>
            <w:tcW w:w="1205" w:type="dxa"/>
            <w:tcMar>
              <w:left w:w="108" w:type="dxa"/>
              <w:right w:w="108" w:type="dxa"/>
            </w:tcMar>
            <w:vAlign w:val="bottom"/>
          </w:tcPr>
          <w:p w14:paraId="0A9B04C6"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shd w:val="clear" w:color="auto" w:fill="F2DBDB" w:themeFill="accent2" w:themeFillTint="33"/>
            <w:tcMar>
              <w:left w:w="108" w:type="dxa"/>
              <w:right w:w="108" w:type="dxa"/>
            </w:tcMar>
            <w:vAlign w:val="bottom"/>
          </w:tcPr>
          <w:p w14:paraId="7812E8C2" w14:textId="77777777" w:rsidR="000F20E5" w:rsidRPr="00E664AB" w:rsidRDefault="000F20E5" w:rsidP="000220FC">
            <w:pPr>
              <w:pStyle w:val="Normal-pool-Table"/>
              <w:rPr>
                <w:szCs w:val="18"/>
                <w:lang w:val="es-ES_tradnl"/>
              </w:rPr>
            </w:pPr>
            <w:r w:rsidRPr="00E664AB">
              <w:rPr>
                <w:color w:val="000000"/>
                <w:szCs w:val="18"/>
                <w:lang w:val="es-ES_tradnl"/>
              </w:rPr>
              <w:t>No Aprobado</w:t>
            </w:r>
          </w:p>
        </w:tc>
        <w:tc>
          <w:tcPr>
            <w:tcW w:w="1168" w:type="dxa"/>
            <w:tcMar>
              <w:left w:w="108" w:type="dxa"/>
              <w:right w:w="108" w:type="dxa"/>
            </w:tcMar>
            <w:vAlign w:val="bottom"/>
          </w:tcPr>
          <w:p w14:paraId="08786098"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0D1E50CF"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5F0EC168"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541E9310"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33FCB650"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00EAEB51"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4F522425"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992" w:type="dxa"/>
            <w:tcMar>
              <w:left w:w="108" w:type="dxa"/>
              <w:right w:w="108" w:type="dxa"/>
            </w:tcMar>
            <w:vAlign w:val="bottom"/>
          </w:tcPr>
          <w:p w14:paraId="1D416F3E" w14:textId="197FDB9D" w:rsidR="000F20E5" w:rsidRPr="00E664AB" w:rsidRDefault="000F20E5" w:rsidP="000220FC">
            <w:pPr>
              <w:pStyle w:val="Normal-pool-Table"/>
              <w:rPr>
                <w:szCs w:val="18"/>
                <w:lang w:val="es-ES_tradnl"/>
              </w:rPr>
            </w:pPr>
          </w:p>
        </w:tc>
        <w:tc>
          <w:tcPr>
            <w:tcW w:w="1058" w:type="dxa"/>
            <w:tcMar>
              <w:left w:w="108" w:type="dxa"/>
              <w:right w:w="108" w:type="dxa"/>
            </w:tcMar>
            <w:vAlign w:val="bottom"/>
          </w:tcPr>
          <w:p w14:paraId="72556D9E"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23BB5B91" w14:textId="77777777" w:rsidTr="001D3785">
        <w:trPr>
          <w:trHeight w:val="300"/>
          <w:jc w:val="right"/>
        </w:trPr>
        <w:tc>
          <w:tcPr>
            <w:tcW w:w="1843" w:type="dxa"/>
            <w:tcMar>
              <w:left w:w="108" w:type="dxa"/>
              <w:right w:w="108" w:type="dxa"/>
            </w:tcMar>
          </w:tcPr>
          <w:p w14:paraId="13B0281C" w14:textId="30064665" w:rsidR="000F20E5" w:rsidRPr="00E664AB" w:rsidRDefault="000F20E5" w:rsidP="000220FC">
            <w:pPr>
              <w:pStyle w:val="Normal-pool-Table"/>
              <w:rPr>
                <w:szCs w:val="18"/>
                <w:lang w:val="es-ES_tradnl"/>
              </w:rPr>
            </w:pPr>
            <w:r w:rsidRPr="00E664AB">
              <w:rPr>
                <w:color w:val="000000"/>
                <w:szCs w:val="18"/>
                <w:lang w:val="es-ES_tradnl"/>
              </w:rPr>
              <w:t>Incineración en horno rotatorio</w:t>
            </w:r>
          </w:p>
        </w:tc>
        <w:tc>
          <w:tcPr>
            <w:tcW w:w="1205" w:type="dxa"/>
            <w:tcMar>
              <w:left w:w="108" w:type="dxa"/>
              <w:right w:w="108" w:type="dxa"/>
            </w:tcMar>
            <w:vAlign w:val="bottom"/>
          </w:tcPr>
          <w:p w14:paraId="67FF7E0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tcMar>
              <w:left w:w="108" w:type="dxa"/>
              <w:right w:w="108" w:type="dxa"/>
            </w:tcMar>
            <w:vAlign w:val="bottom"/>
          </w:tcPr>
          <w:p w14:paraId="4F93CEA7"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746BC843"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65EEAC3F"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1052DB1C"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55AC7C11"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5520692C"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576FA462"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710236EA"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992" w:type="dxa"/>
            <w:tcMar>
              <w:left w:w="108" w:type="dxa"/>
              <w:right w:w="108" w:type="dxa"/>
            </w:tcMar>
            <w:vAlign w:val="bottom"/>
          </w:tcPr>
          <w:p w14:paraId="7D019DC0"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58" w:type="dxa"/>
            <w:tcMar>
              <w:left w:w="108" w:type="dxa"/>
              <w:right w:w="108" w:type="dxa"/>
            </w:tcMar>
            <w:vAlign w:val="bottom"/>
          </w:tcPr>
          <w:p w14:paraId="420DBA92" w14:textId="77777777" w:rsidR="000F20E5" w:rsidRPr="00E664AB" w:rsidRDefault="000F20E5" w:rsidP="000220FC">
            <w:pPr>
              <w:pStyle w:val="Normal-pool-Table"/>
              <w:rPr>
                <w:szCs w:val="18"/>
                <w:lang w:val="es-ES_tradnl"/>
              </w:rPr>
            </w:pPr>
            <w:r w:rsidRPr="00E664AB">
              <w:rPr>
                <w:color w:val="000000"/>
                <w:szCs w:val="18"/>
                <w:lang w:val="es-ES_tradnl"/>
              </w:rPr>
              <w:t>Aprobado</w:t>
            </w:r>
          </w:p>
        </w:tc>
      </w:tr>
      <w:tr w:rsidR="000F20E5" w:rsidRPr="00E664AB" w14:paraId="4A687AB3" w14:textId="77777777" w:rsidTr="001D3785">
        <w:trPr>
          <w:trHeight w:val="300"/>
          <w:jc w:val="right"/>
        </w:trPr>
        <w:tc>
          <w:tcPr>
            <w:tcW w:w="1843" w:type="dxa"/>
            <w:tcMar>
              <w:left w:w="108" w:type="dxa"/>
              <w:right w:w="108" w:type="dxa"/>
            </w:tcMar>
          </w:tcPr>
          <w:p w14:paraId="65B48C0F" w14:textId="0E2FE7BE" w:rsidR="000F20E5" w:rsidRPr="00E664AB" w:rsidRDefault="000F20E5" w:rsidP="000220FC">
            <w:pPr>
              <w:pStyle w:val="Normal-pool-Table"/>
              <w:rPr>
                <w:szCs w:val="18"/>
                <w:lang w:val="es-ES_tradnl"/>
              </w:rPr>
            </w:pPr>
            <w:r w:rsidRPr="00E664AB">
              <w:rPr>
                <w:color w:val="000000"/>
                <w:szCs w:val="18"/>
                <w:lang w:val="es-ES_tradnl"/>
              </w:rPr>
              <w:t>Degradación térmica del bromuro de metilo</w:t>
            </w:r>
          </w:p>
        </w:tc>
        <w:tc>
          <w:tcPr>
            <w:tcW w:w="1205" w:type="dxa"/>
            <w:shd w:val="clear" w:color="auto" w:fill="F2DBDB" w:themeFill="accent2" w:themeFillTint="33"/>
            <w:tcMar>
              <w:left w:w="108" w:type="dxa"/>
              <w:right w:w="108" w:type="dxa"/>
            </w:tcMar>
            <w:vAlign w:val="bottom"/>
          </w:tcPr>
          <w:p w14:paraId="5A6E191A"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46" w:type="dxa"/>
            <w:shd w:val="clear" w:color="auto" w:fill="F2DBDB" w:themeFill="accent2" w:themeFillTint="33"/>
            <w:tcMar>
              <w:left w:w="108" w:type="dxa"/>
              <w:right w:w="108" w:type="dxa"/>
            </w:tcMar>
            <w:vAlign w:val="bottom"/>
          </w:tcPr>
          <w:p w14:paraId="4CC5EBBD"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shd w:val="clear" w:color="auto" w:fill="F2DBDB" w:themeFill="accent2" w:themeFillTint="33"/>
            <w:tcMar>
              <w:left w:w="108" w:type="dxa"/>
              <w:right w:w="108" w:type="dxa"/>
            </w:tcMar>
            <w:vAlign w:val="bottom"/>
          </w:tcPr>
          <w:p w14:paraId="5FF17DB6"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366" w:type="dxa"/>
            <w:shd w:val="clear" w:color="auto" w:fill="F2DBDB" w:themeFill="accent2" w:themeFillTint="33"/>
            <w:tcMar>
              <w:left w:w="108" w:type="dxa"/>
              <w:right w:w="108" w:type="dxa"/>
            </w:tcMar>
            <w:vAlign w:val="bottom"/>
          </w:tcPr>
          <w:p w14:paraId="4E7096F8"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216" w:type="dxa"/>
            <w:shd w:val="clear" w:color="auto" w:fill="F2DBDB" w:themeFill="accent2" w:themeFillTint="33"/>
            <w:tcMar>
              <w:left w:w="108" w:type="dxa"/>
              <w:right w:w="108" w:type="dxa"/>
            </w:tcMar>
            <w:vAlign w:val="bottom"/>
          </w:tcPr>
          <w:p w14:paraId="505C787E"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270" w:type="dxa"/>
            <w:shd w:val="clear" w:color="auto" w:fill="F2DBDB" w:themeFill="accent2" w:themeFillTint="33"/>
            <w:tcMar>
              <w:left w:w="108" w:type="dxa"/>
              <w:right w:w="108" w:type="dxa"/>
            </w:tcMar>
            <w:vAlign w:val="bottom"/>
          </w:tcPr>
          <w:p w14:paraId="06874FCC"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066" w:type="dxa"/>
            <w:tcMar>
              <w:left w:w="108" w:type="dxa"/>
              <w:right w:w="108" w:type="dxa"/>
            </w:tcMar>
            <w:vAlign w:val="bottom"/>
          </w:tcPr>
          <w:p w14:paraId="100CE64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shd w:val="clear" w:color="auto" w:fill="F2DBDB" w:themeFill="accent2" w:themeFillTint="33"/>
            <w:tcMar>
              <w:left w:w="108" w:type="dxa"/>
              <w:right w:w="108" w:type="dxa"/>
            </w:tcMar>
            <w:vAlign w:val="bottom"/>
          </w:tcPr>
          <w:p w14:paraId="59EC03B8"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shd w:val="clear" w:color="auto" w:fill="F2DBDB" w:themeFill="accent2" w:themeFillTint="33"/>
            <w:tcMar>
              <w:left w:w="108" w:type="dxa"/>
              <w:right w:w="108" w:type="dxa"/>
            </w:tcMar>
            <w:vAlign w:val="bottom"/>
          </w:tcPr>
          <w:p w14:paraId="4E578B53"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992" w:type="dxa"/>
            <w:tcMar>
              <w:left w:w="108" w:type="dxa"/>
              <w:right w:w="108" w:type="dxa"/>
            </w:tcMar>
            <w:vAlign w:val="bottom"/>
          </w:tcPr>
          <w:p w14:paraId="0F88D50F" w14:textId="2A484034" w:rsidR="000F20E5" w:rsidRPr="00E664AB" w:rsidRDefault="000F20E5" w:rsidP="000220FC">
            <w:pPr>
              <w:pStyle w:val="Normal-pool-Table"/>
              <w:rPr>
                <w:szCs w:val="18"/>
                <w:lang w:val="es-ES_tradnl"/>
              </w:rPr>
            </w:pPr>
          </w:p>
        </w:tc>
        <w:tc>
          <w:tcPr>
            <w:tcW w:w="1058" w:type="dxa"/>
            <w:tcMar>
              <w:left w:w="108" w:type="dxa"/>
              <w:right w:w="108" w:type="dxa"/>
            </w:tcMar>
            <w:vAlign w:val="bottom"/>
          </w:tcPr>
          <w:p w14:paraId="0F625521"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561E3385" w14:textId="77777777" w:rsidTr="001D3785">
        <w:trPr>
          <w:trHeight w:val="300"/>
          <w:jc w:val="right"/>
        </w:trPr>
        <w:tc>
          <w:tcPr>
            <w:tcW w:w="1843" w:type="dxa"/>
            <w:tcMar>
              <w:left w:w="108" w:type="dxa"/>
              <w:right w:w="108" w:type="dxa"/>
            </w:tcMar>
          </w:tcPr>
          <w:p w14:paraId="25380935" w14:textId="704B7517" w:rsidR="000F20E5" w:rsidRPr="00E664AB" w:rsidRDefault="000F20E5" w:rsidP="000220FC">
            <w:pPr>
              <w:pStyle w:val="Normal-pool-Table"/>
              <w:rPr>
                <w:szCs w:val="18"/>
                <w:lang w:val="es-ES_tradnl"/>
              </w:rPr>
            </w:pPr>
            <w:r w:rsidRPr="00E664AB">
              <w:rPr>
                <w:color w:val="000000"/>
                <w:szCs w:val="18"/>
                <w:lang w:val="es-ES_tradnl"/>
              </w:rPr>
              <w:t>Arco de plasma de argón</w:t>
            </w:r>
          </w:p>
        </w:tc>
        <w:tc>
          <w:tcPr>
            <w:tcW w:w="1205" w:type="dxa"/>
            <w:tcMar>
              <w:left w:w="108" w:type="dxa"/>
              <w:right w:w="108" w:type="dxa"/>
            </w:tcMar>
            <w:vAlign w:val="bottom"/>
          </w:tcPr>
          <w:p w14:paraId="71C60A78"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tcMar>
              <w:left w:w="108" w:type="dxa"/>
              <w:right w:w="108" w:type="dxa"/>
            </w:tcMar>
            <w:vAlign w:val="bottom"/>
          </w:tcPr>
          <w:p w14:paraId="558CA417"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0F7FE1FF"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380DACBC"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7FA86B81"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7B313171"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2942A660"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7CF5811F"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716770B4"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992" w:type="dxa"/>
            <w:tcMar>
              <w:left w:w="108" w:type="dxa"/>
              <w:right w:w="108" w:type="dxa"/>
            </w:tcMar>
            <w:vAlign w:val="bottom"/>
          </w:tcPr>
          <w:p w14:paraId="285B9FB4" w14:textId="24B16285" w:rsidR="000F20E5" w:rsidRPr="00E664AB" w:rsidRDefault="000F20E5" w:rsidP="000220FC">
            <w:pPr>
              <w:pStyle w:val="Normal-pool-Table"/>
              <w:rPr>
                <w:szCs w:val="18"/>
                <w:lang w:val="es-ES_tradnl"/>
              </w:rPr>
            </w:pPr>
          </w:p>
        </w:tc>
        <w:tc>
          <w:tcPr>
            <w:tcW w:w="1058" w:type="dxa"/>
            <w:tcMar>
              <w:left w:w="108" w:type="dxa"/>
              <w:right w:w="108" w:type="dxa"/>
            </w:tcMar>
            <w:vAlign w:val="bottom"/>
          </w:tcPr>
          <w:p w14:paraId="5E0A8F09"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4D98AEF9" w14:textId="77777777" w:rsidTr="001D3785">
        <w:trPr>
          <w:trHeight w:val="300"/>
          <w:jc w:val="right"/>
        </w:trPr>
        <w:tc>
          <w:tcPr>
            <w:tcW w:w="1843" w:type="dxa"/>
            <w:tcMar>
              <w:left w:w="108" w:type="dxa"/>
              <w:right w:w="108" w:type="dxa"/>
            </w:tcMar>
          </w:tcPr>
          <w:p w14:paraId="5FAB5AB1" w14:textId="0C4E6AA2" w:rsidR="000F20E5" w:rsidRPr="00E664AB" w:rsidRDefault="000F20E5" w:rsidP="000220FC">
            <w:pPr>
              <w:pStyle w:val="Normal-pool-Table"/>
              <w:rPr>
                <w:szCs w:val="18"/>
                <w:lang w:val="es-ES_tradnl"/>
              </w:rPr>
            </w:pPr>
            <w:r w:rsidRPr="00E664AB">
              <w:rPr>
                <w:color w:val="000000"/>
                <w:szCs w:val="18"/>
                <w:lang w:val="es-ES_tradnl"/>
              </w:rPr>
              <w:t>Plasma de vapor</w:t>
            </w:r>
          </w:p>
        </w:tc>
        <w:tc>
          <w:tcPr>
            <w:tcW w:w="1205" w:type="dxa"/>
            <w:tcMar>
              <w:left w:w="108" w:type="dxa"/>
              <w:right w:w="108" w:type="dxa"/>
            </w:tcMar>
            <w:vAlign w:val="bottom"/>
          </w:tcPr>
          <w:p w14:paraId="4BC32F49"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shd w:val="clear" w:color="auto" w:fill="F2DBDB" w:themeFill="accent2" w:themeFillTint="33"/>
            <w:tcMar>
              <w:left w:w="108" w:type="dxa"/>
              <w:right w:w="108" w:type="dxa"/>
            </w:tcMar>
            <w:vAlign w:val="bottom"/>
          </w:tcPr>
          <w:p w14:paraId="19F9EE72"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shd w:val="clear" w:color="auto" w:fill="F2DBDB" w:themeFill="accent2" w:themeFillTint="33"/>
            <w:tcMar>
              <w:left w:w="108" w:type="dxa"/>
              <w:right w:w="108" w:type="dxa"/>
            </w:tcMar>
            <w:vAlign w:val="bottom"/>
          </w:tcPr>
          <w:p w14:paraId="243D469C"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366" w:type="dxa"/>
            <w:shd w:val="clear" w:color="auto" w:fill="F2DBDB" w:themeFill="accent2" w:themeFillTint="33"/>
            <w:tcMar>
              <w:left w:w="108" w:type="dxa"/>
              <w:right w:w="108" w:type="dxa"/>
            </w:tcMar>
            <w:vAlign w:val="bottom"/>
          </w:tcPr>
          <w:p w14:paraId="5DCA952E"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216" w:type="dxa"/>
            <w:shd w:val="clear" w:color="auto" w:fill="F2DBDB" w:themeFill="accent2" w:themeFillTint="33"/>
            <w:tcMar>
              <w:left w:w="108" w:type="dxa"/>
              <w:right w:w="108" w:type="dxa"/>
            </w:tcMar>
            <w:vAlign w:val="bottom"/>
          </w:tcPr>
          <w:p w14:paraId="3FC9DCA1"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270" w:type="dxa"/>
            <w:tcMar>
              <w:left w:w="108" w:type="dxa"/>
              <w:right w:w="108" w:type="dxa"/>
            </w:tcMar>
            <w:vAlign w:val="bottom"/>
          </w:tcPr>
          <w:p w14:paraId="3E21DAF0"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33D909D9"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285B8973"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shd w:val="clear" w:color="auto" w:fill="F2DBDB" w:themeFill="accent2" w:themeFillTint="33"/>
            <w:tcMar>
              <w:left w:w="108" w:type="dxa"/>
              <w:right w:w="108" w:type="dxa"/>
            </w:tcMar>
            <w:vAlign w:val="bottom"/>
          </w:tcPr>
          <w:p w14:paraId="5AB4BC6B"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992" w:type="dxa"/>
            <w:tcMar>
              <w:left w:w="108" w:type="dxa"/>
              <w:right w:w="108" w:type="dxa"/>
            </w:tcMar>
            <w:vAlign w:val="bottom"/>
          </w:tcPr>
          <w:p w14:paraId="62AD4530" w14:textId="1276AC06" w:rsidR="000F20E5" w:rsidRPr="00E664AB" w:rsidRDefault="000F20E5" w:rsidP="000220FC">
            <w:pPr>
              <w:pStyle w:val="Normal-pool-Table"/>
              <w:rPr>
                <w:szCs w:val="18"/>
                <w:lang w:val="es-ES_tradnl"/>
              </w:rPr>
            </w:pPr>
          </w:p>
        </w:tc>
        <w:tc>
          <w:tcPr>
            <w:tcW w:w="1058" w:type="dxa"/>
            <w:tcMar>
              <w:left w:w="108" w:type="dxa"/>
              <w:right w:w="108" w:type="dxa"/>
            </w:tcMar>
            <w:vAlign w:val="bottom"/>
          </w:tcPr>
          <w:p w14:paraId="2C4426FE"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2B3157E1" w14:textId="77777777" w:rsidTr="001D3785">
        <w:trPr>
          <w:trHeight w:val="300"/>
          <w:jc w:val="right"/>
        </w:trPr>
        <w:tc>
          <w:tcPr>
            <w:tcW w:w="1843" w:type="dxa"/>
            <w:tcMar>
              <w:left w:w="108" w:type="dxa"/>
              <w:right w:w="108" w:type="dxa"/>
            </w:tcMar>
          </w:tcPr>
          <w:p w14:paraId="757D51FB" w14:textId="77777777" w:rsidR="000F20E5" w:rsidRPr="00E664AB" w:rsidRDefault="000F20E5" w:rsidP="000220FC">
            <w:pPr>
              <w:pStyle w:val="Normal-pool-Table"/>
              <w:rPr>
                <w:szCs w:val="18"/>
                <w:lang w:val="es-ES_tradnl"/>
              </w:rPr>
            </w:pPr>
            <w:r w:rsidRPr="00E664AB">
              <w:rPr>
                <w:color w:val="000000"/>
                <w:szCs w:val="18"/>
                <w:lang w:val="es-ES_tradnl"/>
              </w:rPr>
              <w:lastRenderedPageBreak/>
              <w:t>Plasma de radiofrecuencia acoplado inductivamente</w:t>
            </w:r>
          </w:p>
        </w:tc>
        <w:tc>
          <w:tcPr>
            <w:tcW w:w="1205" w:type="dxa"/>
            <w:tcMar>
              <w:left w:w="108" w:type="dxa"/>
              <w:right w:w="108" w:type="dxa"/>
            </w:tcMar>
            <w:vAlign w:val="bottom"/>
          </w:tcPr>
          <w:p w14:paraId="63BF0DFB"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tcMar>
              <w:left w:w="108" w:type="dxa"/>
              <w:right w:w="108" w:type="dxa"/>
            </w:tcMar>
            <w:vAlign w:val="bottom"/>
          </w:tcPr>
          <w:p w14:paraId="33884381"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0D92863B"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49343B28"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73CE506F"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4CF0A989"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47A4C64F"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shd w:val="clear" w:color="auto" w:fill="F2DBDB" w:themeFill="accent2" w:themeFillTint="33"/>
            <w:tcMar>
              <w:left w:w="108" w:type="dxa"/>
              <w:right w:w="108" w:type="dxa"/>
            </w:tcMar>
            <w:vAlign w:val="bottom"/>
          </w:tcPr>
          <w:p w14:paraId="1758A0DD"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shd w:val="clear" w:color="auto" w:fill="F2DBDB" w:themeFill="accent2" w:themeFillTint="33"/>
            <w:tcMar>
              <w:left w:w="108" w:type="dxa"/>
              <w:right w:w="108" w:type="dxa"/>
            </w:tcMar>
            <w:vAlign w:val="bottom"/>
          </w:tcPr>
          <w:p w14:paraId="3E2001CC"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992" w:type="dxa"/>
            <w:tcMar>
              <w:left w:w="108" w:type="dxa"/>
              <w:right w:w="108" w:type="dxa"/>
            </w:tcMar>
            <w:vAlign w:val="bottom"/>
          </w:tcPr>
          <w:p w14:paraId="6CF1BBD5" w14:textId="7DE14A21" w:rsidR="000F20E5" w:rsidRPr="00E664AB" w:rsidRDefault="000F20E5" w:rsidP="000220FC">
            <w:pPr>
              <w:pStyle w:val="Normal-pool-Table"/>
              <w:rPr>
                <w:szCs w:val="18"/>
                <w:lang w:val="es-ES_tradnl"/>
              </w:rPr>
            </w:pPr>
          </w:p>
        </w:tc>
        <w:tc>
          <w:tcPr>
            <w:tcW w:w="1058" w:type="dxa"/>
            <w:tcMar>
              <w:left w:w="108" w:type="dxa"/>
              <w:right w:w="108" w:type="dxa"/>
            </w:tcMar>
            <w:vAlign w:val="bottom"/>
          </w:tcPr>
          <w:p w14:paraId="10BFDA96"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6AE236C8" w14:textId="77777777" w:rsidTr="001D3785">
        <w:trPr>
          <w:trHeight w:val="300"/>
          <w:jc w:val="right"/>
        </w:trPr>
        <w:tc>
          <w:tcPr>
            <w:tcW w:w="1843" w:type="dxa"/>
            <w:tcMar>
              <w:left w:w="108" w:type="dxa"/>
              <w:right w:w="108" w:type="dxa"/>
            </w:tcMar>
          </w:tcPr>
          <w:p w14:paraId="1F050CBC" w14:textId="375D888B" w:rsidR="000F20E5" w:rsidRPr="00E664AB" w:rsidRDefault="000F20E5" w:rsidP="000220FC">
            <w:pPr>
              <w:pStyle w:val="Normal-pool-Table"/>
              <w:rPr>
                <w:szCs w:val="18"/>
                <w:lang w:val="es-ES_tradnl"/>
              </w:rPr>
            </w:pPr>
            <w:r w:rsidRPr="00E664AB">
              <w:rPr>
                <w:color w:val="000000"/>
                <w:szCs w:val="18"/>
                <w:lang w:val="es-ES_tradnl"/>
              </w:rPr>
              <w:t>Plasma de microondas</w:t>
            </w:r>
          </w:p>
        </w:tc>
        <w:tc>
          <w:tcPr>
            <w:tcW w:w="1205" w:type="dxa"/>
            <w:tcMar>
              <w:left w:w="108" w:type="dxa"/>
              <w:right w:w="108" w:type="dxa"/>
            </w:tcMar>
            <w:vAlign w:val="bottom"/>
          </w:tcPr>
          <w:p w14:paraId="1FC65267"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shd w:val="clear" w:color="auto" w:fill="F2DBDB" w:themeFill="accent2" w:themeFillTint="33"/>
            <w:tcMar>
              <w:left w:w="108" w:type="dxa"/>
              <w:right w:w="108" w:type="dxa"/>
            </w:tcMar>
            <w:vAlign w:val="bottom"/>
          </w:tcPr>
          <w:p w14:paraId="1654058C"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30659451"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43F7B3B4"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10B5D6C9"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2AFDA10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5F186D3A"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shd w:val="clear" w:color="auto" w:fill="F2DBDB" w:themeFill="accent2" w:themeFillTint="33"/>
            <w:tcMar>
              <w:left w:w="108" w:type="dxa"/>
              <w:right w:w="108" w:type="dxa"/>
            </w:tcMar>
            <w:vAlign w:val="bottom"/>
          </w:tcPr>
          <w:p w14:paraId="47232D6D"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shd w:val="clear" w:color="auto" w:fill="F2DBDB" w:themeFill="accent2" w:themeFillTint="33"/>
            <w:tcMar>
              <w:left w:w="108" w:type="dxa"/>
              <w:right w:w="108" w:type="dxa"/>
            </w:tcMar>
            <w:vAlign w:val="bottom"/>
          </w:tcPr>
          <w:p w14:paraId="2B9282E5"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992" w:type="dxa"/>
            <w:tcMar>
              <w:left w:w="108" w:type="dxa"/>
              <w:right w:w="108" w:type="dxa"/>
            </w:tcMar>
            <w:vAlign w:val="bottom"/>
          </w:tcPr>
          <w:p w14:paraId="2EB44BEE"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c>
          <w:tcPr>
            <w:tcW w:w="1058" w:type="dxa"/>
            <w:tcMar>
              <w:left w:w="108" w:type="dxa"/>
              <w:right w:w="108" w:type="dxa"/>
            </w:tcMar>
            <w:vAlign w:val="bottom"/>
          </w:tcPr>
          <w:p w14:paraId="55D1C0E7"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58E4D2C2" w14:textId="77777777" w:rsidTr="001D3785">
        <w:trPr>
          <w:trHeight w:val="300"/>
          <w:jc w:val="right"/>
        </w:trPr>
        <w:tc>
          <w:tcPr>
            <w:tcW w:w="1843" w:type="dxa"/>
            <w:tcMar>
              <w:left w:w="108" w:type="dxa"/>
              <w:right w:w="108" w:type="dxa"/>
            </w:tcMar>
          </w:tcPr>
          <w:p w14:paraId="035C80D5" w14:textId="70869B01" w:rsidR="000F20E5" w:rsidRPr="00E664AB" w:rsidRDefault="000F20E5" w:rsidP="000220FC">
            <w:pPr>
              <w:pStyle w:val="Normal-pool-Table"/>
              <w:rPr>
                <w:szCs w:val="18"/>
                <w:lang w:val="es-ES_tradnl"/>
              </w:rPr>
            </w:pPr>
            <w:r w:rsidRPr="00E664AB">
              <w:rPr>
                <w:color w:val="000000"/>
                <w:szCs w:val="18"/>
                <w:lang w:val="es-ES_tradnl"/>
              </w:rPr>
              <w:t>Arco de plasma de nitrógeno</w:t>
            </w:r>
          </w:p>
        </w:tc>
        <w:tc>
          <w:tcPr>
            <w:tcW w:w="1205" w:type="dxa"/>
            <w:tcMar>
              <w:left w:w="108" w:type="dxa"/>
              <w:right w:w="108" w:type="dxa"/>
            </w:tcMar>
            <w:vAlign w:val="bottom"/>
          </w:tcPr>
          <w:p w14:paraId="0EC72DB2"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shd w:val="clear" w:color="auto" w:fill="F2DBDB" w:themeFill="accent2" w:themeFillTint="33"/>
            <w:tcMar>
              <w:left w:w="108" w:type="dxa"/>
              <w:right w:w="108" w:type="dxa"/>
            </w:tcMar>
            <w:vAlign w:val="bottom"/>
          </w:tcPr>
          <w:p w14:paraId="0A30AFA1"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08CE5C2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6FB2F606"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3F952F8D"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594E194D"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242D7A16"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7FB17308"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55970054"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992" w:type="dxa"/>
            <w:tcMar>
              <w:left w:w="108" w:type="dxa"/>
              <w:right w:w="108" w:type="dxa"/>
            </w:tcMar>
            <w:vAlign w:val="bottom"/>
          </w:tcPr>
          <w:p w14:paraId="1CF46B43"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c>
          <w:tcPr>
            <w:tcW w:w="1058" w:type="dxa"/>
            <w:tcMar>
              <w:left w:w="108" w:type="dxa"/>
              <w:right w:w="108" w:type="dxa"/>
            </w:tcMar>
          </w:tcPr>
          <w:p w14:paraId="67C3AD86"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192AC07B" w14:textId="77777777" w:rsidTr="001D3785">
        <w:trPr>
          <w:trHeight w:val="300"/>
          <w:jc w:val="right"/>
        </w:trPr>
        <w:tc>
          <w:tcPr>
            <w:tcW w:w="1843" w:type="dxa"/>
            <w:tcMar>
              <w:left w:w="108" w:type="dxa"/>
              <w:right w:w="108" w:type="dxa"/>
            </w:tcMar>
          </w:tcPr>
          <w:p w14:paraId="5D763797" w14:textId="76F55A4A" w:rsidR="000F20E5" w:rsidRPr="00E664AB" w:rsidRDefault="000F20E5" w:rsidP="000220FC">
            <w:pPr>
              <w:pStyle w:val="Normal-pool-Table"/>
              <w:rPr>
                <w:szCs w:val="18"/>
                <w:vertAlign w:val="subscript"/>
                <w:lang w:val="es-ES_tradnl"/>
              </w:rPr>
            </w:pPr>
            <w:r w:rsidRPr="00E664AB">
              <w:rPr>
                <w:color w:val="000000"/>
                <w:szCs w:val="18"/>
                <w:lang w:val="es-ES_tradnl"/>
              </w:rPr>
              <w:t>Reacción química con H₂ y CO₂</w:t>
            </w:r>
          </w:p>
        </w:tc>
        <w:tc>
          <w:tcPr>
            <w:tcW w:w="1205" w:type="dxa"/>
            <w:tcMar>
              <w:left w:w="108" w:type="dxa"/>
              <w:right w:w="108" w:type="dxa"/>
            </w:tcMar>
            <w:vAlign w:val="bottom"/>
          </w:tcPr>
          <w:p w14:paraId="1B3F70E7"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tcMar>
              <w:left w:w="108" w:type="dxa"/>
              <w:right w:w="108" w:type="dxa"/>
            </w:tcMar>
            <w:vAlign w:val="bottom"/>
          </w:tcPr>
          <w:p w14:paraId="6BDB079C"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4CBFE6A1"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78FF8B2C"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7E8B0B45"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373C52AC"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203C6D06"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492F3F2B"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3497331B"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992" w:type="dxa"/>
            <w:tcMar>
              <w:left w:w="108" w:type="dxa"/>
              <w:right w:w="108" w:type="dxa"/>
            </w:tcMar>
            <w:vAlign w:val="bottom"/>
          </w:tcPr>
          <w:p w14:paraId="27906E86"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c>
          <w:tcPr>
            <w:tcW w:w="1058" w:type="dxa"/>
            <w:tcMar>
              <w:left w:w="108" w:type="dxa"/>
              <w:right w:w="108" w:type="dxa"/>
            </w:tcMar>
          </w:tcPr>
          <w:p w14:paraId="6AECCABE"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2398C52A" w14:textId="77777777" w:rsidTr="001D3785">
        <w:trPr>
          <w:trHeight w:val="300"/>
          <w:jc w:val="right"/>
        </w:trPr>
        <w:tc>
          <w:tcPr>
            <w:tcW w:w="1843" w:type="dxa"/>
            <w:tcMar>
              <w:left w:w="108" w:type="dxa"/>
              <w:right w:w="108" w:type="dxa"/>
            </w:tcMar>
          </w:tcPr>
          <w:p w14:paraId="1826E010" w14:textId="5D1C0F63" w:rsidR="000F20E5" w:rsidRPr="00E664AB" w:rsidRDefault="000F20E5" w:rsidP="000220FC">
            <w:pPr>
              <w:pStyle w:val="Normal-pool-Table"/>
              <w:rPr>
                <w:szCs w:val="18"/>
                <w:lang w:val="es-ES_tradnl"/>
              </w:rPr>
            </w:pPr>
            <w:r w:rsidRPr="00E664AB">
              <w:rPr>
                <w:color w:val="000000"/>
                <w:szCs w:val="18"/>
                <w:lang w:val="es-ES_tradnl"/>
              </w:rPr>
              <w:t>Deshalogenación catalítica en fase gaseosa</w:t>
            </w:r>
          </w:p>
        </w:tc>
        <w:tc>
          <w:tcPr>
            <w:tcW w:w="1205" w:type="dxa"/>
            <w:tcMar>
              <w:left w:w="108" w:type="dxa"/>
              <w:right w:w="108" w:type="dxa"/>
            </w:tcMar>
            <w:vAlign w:val="bottom"/>
          </w:tcPr>
          <w:p w14:paraId="266E9430"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shd w:val="clear" w:color="auto" w:fill="F2DBDB" w:themeFill="accent2" w:themeFillTint="33"/>
            <w:tcMar>
              <w:left w:w="108" w:type="dxa"/>
              <w:right w:w="108" w:type="dxa"/>
            </w:tcMar>
            <w:vAlign w:val="bottom"/>
          </w:tcPr>
          <w:p w14:paraId="7B37CF20"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2711E8BA"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7519E2D6"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7D201F94"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54686A13"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44BA37BD"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36F92986"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shd w:val="clear" w:color="auto" w:fill="F2DBDB" w:themeFill="accent2" w:themeFillTint="33"/>
            <w:tcMar>
              <w:left w:w="108" w:type="dxa"/>
              <w:right w:w="108" w:type="dxa"/>
            </w:tcMar>
            <w:vAlign w:val="bottom"/>
          </w:tcPr>
          <w:p w14:paraId="0FBAC7AF"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992" w:type="dxa"/>
            <w:tcMar>
              <w:left w:w="108" w:type="dxa"/>
              <w:right w:w="108" w:type="dxa"/>
            </w:tcMar>
            <w:vAlign w:val="bottom"/>
          </w:tcPr>
          <w:p w14:paraId="0B8B3B6D"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c>
          <w:tcPr>
            <w:tcW w:w="1058" w:type="dxa"/>
            <w:tcMar>
              <w:left w:w="108" w:type="dxa"/>
              <w:right w:w="108" w:type="dxa"/>
            </w:tcMar>
          </w:tcPr>
          <w:p w14:paraId="77737692"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7724B163" w14:textId="77777777" w:rsidTr="001D3785">
        <w:trPr>
          <w:trHeight w:val="300"/>
          <w:jc w:val="right"/>
        </w:trPr>
        <w:tc>
          <w:tcPr>
            <w:tcW w:w="1843" w:type="dxa"/>
            <w:tcMar>
              <w:left w:w="108" w:type="dxa"/>
              <w:right w:w="108" w:type="dxa"/>
            </w:tcMar>
          </w:tcPr>
          <w:p w14:paraId="36D09521" w14:textId="77777777" w:rsidR="000F20E5" w:rsidRPr="00E664AB" w:rsidRDefault="000F20E5" w:rsidP="000220FC">
            <w:pPr>
              <w:pStyle w:val="Normal-pool-Table"/>
              <w:rPr>
                <w:szCs w:val="18"/>
                <w:lang w:val="es-ES_tradnl"/>
              </w:rPr>
            </w:pPr>
            <w:r w:rsidRPr="00E664AB">
              <w:rPr>
                <w:color w:val="000000"/>
                <w:szCs w:val="18"/>
                <w:lang w:val="es-ES_tradnl"/>
              </w:rPr>
              <w:t>Reactor de vapor supercalentado</w:t>
            </w:r>
          </w:p>
        </w:tc>
        <w:tc>
          <w:tcPr>
            <w:tcW w:w="1205" w:type="dxa"/>
            <w:tcMar>
              <w:left w:w="108" w:type="dxa"/>
              <w:right w:w="108" w:type="dxa"/>
            </w:tcMar>
            <w:vAlign w:val="bottom"/>
          </w:tcPr>
          <w:p w14:paraId="7AF5E7A7"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shd w:val="clear" w:color="auto" w:fill="F2DBDB" w:themeFill="accent2" w:themeFillTint="33"/>
            <w:tcMar>
              <w:left w:w="108" w:type="dxa"/>
              <w:right w:w="108" w:type="dxa"/>
            </w:tcMar>
            <w:vAlign w:val="bottom"/>
          </w:tcPr>
          <w:p w14:paraId="46C4FB9C"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0DF578F3"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1D2DBD9F"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7ED05134"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18C82CE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527075CF"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Mar>
              <w:left w:w="108" w:type="dxa"/>
              <w:right w:w="108" w:type="dxa"/>
            </w:tcMar>
            <w:vAlign w:val="bottom"/>
          </w:tcPr>
          <w:p w14:paraId="3F646DC0"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0AD339A4"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992" w:type="dxa"/>
            <w:tcMar>
              <w:left w:w="108" w:type="dxa"/>
              <w:right w:w="108" w:type="dxa"/>
            </w:tcMar>
            <w:vAlign w:val="bottom"/>
          </w:tcPr>
          <w:p w14:paraId="645708B7"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c>
          <w:tcPr>
            <w:tcW w:w="1058" w:type="dxa"/>
            <w:tcMar>
              <w:left w:w="108" w:type="dxa"/>
              <w:right w:w="108" w:type="dxa"/>
            </w:tcMar>
          </w:tcPr>
          <w:p w14:paraId="79F640E6"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2B847F96" w14:textId="77777777" w:rsidTr="001D3785">
        <w:trPr>
          <w:trHeight w:val="300"/>
          <w:jc w:val="right"/>
        </w:trPr>
        <w:tc>
          <w:tcPr>
            <w:tcW w:w="1843" w:type="dxa"/>
            <w:tcMar>
              <w:left w:w="108" w:type="dxa"/>
              <w:right w:w="108" w:type="dxa"/>
            </w:tcMar>
          </w:tcPr>
          <w:p w14:paraId="55B60A4A" w14:textId="13044DE0" w:rsidR="000F20E5" w:rsidRPr="00E664AB" w:rsidRDefault="000F20E5" w:rsidP="000220FC">
            <w:pPr>
              <w:pStyle w:val="Normal-pool-Table"/>
              <w:rPr>
                <w:szCs w:val="18"/>
                <w:lang w:val="es-ES_tradnl"/>
              </w:rPr>
            </w:pPr>
            <w:r w:rsidRPr="00E664AB">
              <w:rPr>
                <w:color w:val="000000"/>
                <w:szCs w:val="18"/>
                <w:lang w:val="es-ES_tradnl"/>
              </w:rPr>
              <w:t>Reacción térmica con metano</w:t>
            </w:r>
          </w:p>
        </w:tc>
        <w:tc>
          <w:tcPr>
            <w:tcW w:w="1205" w:type="dxa"/>
            <w:tcMar>
              <w:left w:w="108" w:type="dxa"/>
              <w:right w:w="108" w:type="dxa"/>
            </w:tcMar>
            <w:vAlign w:val="bottom"/>
          </w:tcPr>
          <w:p w14:paraId="43B5A54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46" w:type="dxa"/>
            <w:tcMar>
              <w:left w:w="108" w:type="dxa"/>
              <w:right w:w="108" w:type="dxa"/>
            </w:tcMar>
            <w:vAlign w:val="bottom"/>
          </w:tcPr>
          <w:p w14:paraId="2A9374CF"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Mar>
              <w:left w:w="108" w:type="dxa"/>
              <w:right w:w="108" w:type="dxa"/>
            </w:tcMar>
            <w:vAlign w:val="bottom"/>
          </w:tcPr>
          <w:p w14:paraId="75F4EA02"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366" w:type="dxa"/>
            <w:tcMar>
              <w:left w:w="108" w:type="dxa"/>
              <w:right w:w="108" w:type="dxa"/>
            </w:tcMar>
            <w:vAlign w:val="bottom"/>
          </w:tcPr>
          <w:p w14:paraId="4FC25380"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16" w:type="dxa"/>
            <w:tcMar>
              <w:left w:w="108" w:type="dxa"/>
              <w:right w:w="108" w:type="dxa"/>
            </w:tcMar>
            <w:vAlign w:val="bottom"/>
          </w:tcPr>
          <w:p w14:paraId="6D0A2A3E"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270" w:type="dxa"/>
            <w:tcMar>
              <w:left w:w="108" w:type="dxa"/>
              <w:right w:w="108" w:type="dxa"/>
            </w:tcMar>
            <w:vAlign w:val="bottom"/>
          </w:tcPr>
          <w:p w14:paraId="3A037712"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066" w:type="dxa"/>
            <w:shd w:val="clear" w:color="auto" w:fill="F2DBDB" w:themeFill="accent2" w:themeFillTint="33"/>
            <w:tcMar>
              <w:left w:w="108" w:type="dxa"/>
              <w:right w:w="108" w:type="dxa"/>
            </w:tcMar>
            <w:vAlign w:val="bottom"/>
          </w:tcPr>
          <w:p w14:paraId="31FBD2C5"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shd w:val="clear" w:color="auto" w:fill="F2DBDB" w:themeFill="accent2" w:themeFillTint="33"/>
            <w:tcMar>
              <w:left w:w="108" w:type="dxa"/>
              <w:right w:w="108" w:type="dxa"/>
            </w:tcMar>
            <w:vAlign w:val="bottom"/>
          </w:tcPr>
          <w:p w14:paraId="24D19241"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shd w:val="clear" w:color="auto" w:fill="F2DBDB" w:themeFill="accent2" w:themeFillTint="33"/>
            <w:tcMar>
              <w:left w:w="108" w:type="dxa"/>
              <w:right w:w="108" w:type="dxa"/>
            </w:tcMar>
            <w:vAlign w:val="bottom"/>
          </w:tcPr>
          <w:p w14:paraId="16E4946B"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992" w:type="dxa"/>
            <w:tcMar>
              <w:left w:w="108" w:type="dxa"/>
              <w:right w:w="108" w:type="dxa"/>
            </w:tcMar>
            <w:vAlign w:val="bottom"/>
          </w:tcPr>
          <w:p w14:paraId="5A1E8750"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c>
          <w:tcPr>
            <w:tcW w:w="1058" w:type="dxa"/>
            <w:tcMar>
              <w:left w:w="108" w:type="dxa"/>
              <w:right w:w="108" w:type="dxa"/>
            </w:tcMar>
          </w:tcPr>
          <w:p w14:paraId="6039FBFA"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r w:rsidR="000F20E5" w:rsidRPr="00E664AB" w14:paraId="30B7EAE3" w14:textId="77777777" w:rsidTr="001D3785">
        <w:trPr>
          <w:trHeight w:val="458"/>
          <w:jc w:val="right"/>
        </w:trPr>
        <w:tc>
          <w:tcPr>
            <w:tcW w:w="1843" w:type="dxa"/>
            <w:tcBorders>
              <w:bottom w:val="single" w:sz="12" w:space="0" w:color="auto"/>
            </w:tcBorders>
            <w:tcMar>
              <w:left w:w="108" w:type="dxa"/>
              <w:right w:w="108" w:type="dxa"/>
            </w:tcMar>
          </w:tcPr>
          <w:p w14:paraId="151F6833" w14:textId="77777777" w:rsidR="000F20E5" w:rsidRPr="00E664AB" w:rsidRDefault="000F20E5" w:rsidP="000220FC">
            <w:pPr>
              <w:pStyle w:val="Normal-pool-Table"/>
              <w:rPr>
                <w:szCs w:val="18"/>
                <w:lang w:val="es-ES_tradnl"/>
              </w:rPr>
            </w:pPr>
            <w:r w:rsidRPr="00E664AB">
              <w:rPr>
                <w:color w:val="000000"/>
                <w:szCs w:val="18"/>
                <w:lang w:val="es-ES_tradnl"/>
              </w:rPr>
              <w:t>Degradación térmica del bromuro de metilo</w:t>
            </w:r>
          </w:p>
        </w:tc>
        <w:tc>
          <w:tcPr>
            <w:tcW w:w="1205" w:type="dxa"/>
            <w:tcBorders>
              <w:bottom w:val="single" w:sz="12" w:space="0" w:color="auto"/>
            </w:tcBorders>
            <w:shd w:val="clear" w:color="auto" w:fill="FAE2D5"/>
            <w:tcMar>
              <w:left w:w="108" w:type="dxa"/>
              <w:right w:w="108" w:type="dxa"/>
            </w:tcMar>
            <w:vAlign w:val="bottom"/>
          </w:tcPr>
          <w:p w14:paraId="70ED23AC"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46" w:type="dxa"/>
            <w:tcBorders>
              <w:bottom w:val="single" w:sz="12" w:space="0" w:color="auto"/>
            </w:tcBorders>
            <w:shd w:val="clear" w:color="auto" w:fill="FAE2D5"/>
            <w:tcMar>
              <w:left w:w="108" w:type="dxa"/>
              <w:right w:w="108" w:type="dxa"/>
            </w:tcMar>
            <w:vAlign w:val="bottom"/>
          </w:tcPr>
          <w:p w14:paraId="547E71B2"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Borders>
              <w:bottom w:val="single" w:sz="12" w:space="0" w:color="auto"/>
            </w:tcBorders>
            <w:shd w:val="clear" w:color="auto" w:fill="FAE2D5"/>
            <w:tcMar>
              <w:left w:w="108" w:type="dxa"/>
              <w:right w:w="108" w:type="dxa"/>
            </w:tcMar>
            <w:vAlign w:val="bottom"/>
          </w:tcPr>
          <w:p w14:paraId="11DCAF61"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366" w:type="dxa"/>
            <w:tcBorders>
              <w:bottom w:val="single" w:sz="12" w:space="0" w:color="auto"/>
            </w:tcBorders>
            <w:shd w:val="clear" w:color="auto" w:fill="FAE2D5"/>
            <w:tcMar>
              <w:left w:w="108" w:type="dxa"/>
              <w:right w:w="108" w:type="dxa"/>
            </w:tcMar>
            <w:vAlign w:val="bottom"/>
          </w:tcPr>
          <w:p w14:paraId="5A40DD6D"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216" w:type="dxa"/>
            <w:tcBorders>
              <w:bottom w:val="single" w:sz="12" w:space="0" w:color="auto"/>
            </w:tcBorders>
            <w:shd w:val="clear" w:color="auto" w:fill="FAE2D5"/>
            <w:tcMar>
              <w:left w:w="108" w:type="dxa"/>
              <w:right w:w="108" w:type="dxa"/>
            </w:tcMar>
            <w:vAlign w:val="bottom"/>
          </w:tcPr>
          <w:p w14:paraId="057B797D"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270" w:type="dxa"/>
            <w:tcBorders>
              <w:bottom w:val="single" w:sz="12" w:space="0" w:color="auto"/>
            </w:tcBorders>
            <w:shd w:val="clear" w:color="auto" w:fill="FAE2D5"/>
            <w:tcMar>
              <w:left w:w="108" w:type="dxa"/>
              <w:right w:w="108" w:type="dxa"/>
            </w:tcMar>
            <w:vAlign w:val="bottom"/>
          </w:tcPr>
          <w:p w14:paraId="6CF0708C"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066" w:type="dxa"/>
            <w:tcBorders>
              <w:bottom w:val="single" w:sz="12" w:space="0" w:color="auto"/>
            </w:tcBorders>
            <w:tcMar>
              <w:left w:w="108" w:type="dxa"/>
              <w:right w:w="108" w:type="dxa"/>
            </w:tcMar>
            <w:vAlign w:val="bottom"/>
          </w:tcPr>
          <w:p w14:paraId="5F1A9747" w14:textId="77777777" w:rsidR="000F20E5" w:rsidRPr="00E664AB" w:rsidRDefault="000F20E5" w:rsidP="000220FC">
            <w:pPr>
              <w:pStyle w:val="Normal-pool-Table"/>
              <w:rPr>
                <w:szCs w:val="18"/>
                <w:lang w:val="es-ES_tradnl"/>
              </w:rPr>
            </w:pPr>
            <w:r w:rsidRPr="00E664AB">
              <w:rPr>
                <w:color w:val="000000"/>
                <w:szCs w:val="18"/>
                <w:lang w:val="es-ES_tradnl"/>
              </w:rPr>
              <w:t>Aprobado</w:t>
            </w:r>
          </w:p>
        </w:tc>
        <w:tc>
          <w:tcPr>
            <w:tcW w:w="1168" w:type="dxa"/>
            <w:tcBorders>
              <w:bottom w:val="single" w:sz="12" w:space="0" w:color="auto"/>
            </w:tcBorders>
            <w:shd w:val="clear" w:color="auto" w:fill="F2DBDB" w:themeFill="accent2" w:themeFillTint="33"/>
            <w:tcMar>
              <w:left w:w="108" w:type="dxa"/>
              <w:right w:w="108" w:type="dxa"/>
            </w:tcMar>
            <w:vAlign w:val="bottom"/>
          </w:tcPr>
          <w:p w14:paraId="1A2A78B4"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1168" w:type="dxa"/>
            <w:tcBorders>
              <w:bottom w:val="single" w:sz="12" w:space="0" w:color="auto"/>
            </w:tcBorders>
            <w:shd w:val="clear" w:color="auto" w:fill="F2DBDB" w:themeFill="accent2" w:themeFillTint="33"/>
            <w:tcMar>
              <w:left w:w="108" w:type="dxa"/>
              <w:right w:w="108" w:type="dxa"/>
            </w:tcMar>
            <w:vAlign w:val="bottom"/>
          </w:tcPr>
          <w:p w14:paraId="6A65592B" w14:textId="77777777" w:rsidR="000F20E5" w:rsidRPr="00E664AB" w:rsidRDefault="000F20E5" w:rsidP="000220FC">
            <w:pPr>
              <w:pStyle w:val="Normal-pool-Table"/>
              <w:rPr>
                <w:szCs w:val="18"/>
                <w:lang w:val="es-ES_tradnl"/>
              </w:rPr>
            </w:pPr>
            <w:r w:rsidRPr="00E664AB">
              <w:rPr>
                <w:color w:val="000000"/>
                <w:szCs w:val="18"/>
                <w:lang w:val="es-ES_tradnl"/>
              </w:rPr>
              <w:t>Sin determinar</w:t>
            </w:r>
          </w:p>
        </w:tc>
        <w:tc>
          <w:tcPr>
            <w:tcW w:w="992" w:type="dxa"/>
            <w:tcBorders>
              <w:bottom w:val="single" w:sz="12" w:space="0" w:color="auto"/>
            </w:tcBorders>
            <w:tcMar>
              <w:left w:w="108" w:type="dxa"/>
              <w:right w:w="108" w:type="dxa"/>
            </w:tcMar>
            <w:vAlign w:val="bottom"/>
          </w:tcPr>
          <w:p w14:paraId="4D1AC746"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c>
          <w:tcPr>
            <w:tcW w:w="1058" w:type="dxa"/>
            <w:tcBorders>
              <w:bottom w:val="single" w:sz="12" w:space="0" w:color="auto"/>
            </w:tcBorders>
            <w:tcMar>
              <w:left w:w="108" w:type="dxa"/>
              <w:right w:w="108" w:type="dxa"/>
            </w:tcMar>
          </w:tcPr>
          <w:p w14:paraId="175B9D8D" w14:textId="77777777" w:rsidR="000F20E5" w:rsidRPr="00E664AB" w:rsidRDefault="000F20E5" w:rsidP="000220FC">
            <w:pPr>
              <w:pStyle w:val="Normal-pool-Table"/>
              <w:rPr>
                <w:szCs w:val="18"/>
                <w:lang w:val="es-ES_tradnl"/>
              </w:rPr>
            </w:pPr>
            <w:r w:rsidRPr="00E664AB">
              <w:rPr>
                <w:color w:val="000000"/>
                <w:szCs w:val="18"/>
                <w:lang w:val="es-ES_tradnl"/>
              </w:rPr>
              <w:t xml:space="preserve"> </w:t>
            </w:r>
          </w:p>
        </w:tc>
      </w:tr>
    </w:tbl>
    <w:p w14:paraId="0B4A3955" w14:textId="5931FFF5" w:rsidR="00823FE1" w:rsidRPr="00E664AB" w:rsidRDefault="00823FE1" w:rsidP="00823FE1">
      <w:pPr>
        <w:pStyle w:val="NormalNonumber"/>
        <w:tabs>
          <w:tab w:val="clear" w:pos="1247"/>
          <w:tab w:val="clear" w:pos="1871"/>
          <w:tab w:val="clear" w:pos="2495"/>
          <w:tab w:val="clear" w:pos="3119"/>
          <w:tab w:val="clear" w:pos="3742"/>
          <w:tab w:val="clear" w:pos="4366"/>
          <w:tab w:val="clear" w:pos="4990"/>
        </w:tabs>
        <w:spacing w:before="60" w:after="0"/>
        <w:rPr>
          <w:lang w:val="es-ES_tradnl"/>
        </w:rPr>
      </w:pPr>
      <w:r w:rsidRPr="00E664AB">
        <w:rPr>
          <w:lang w:val="es-ES_tradnl"/>
        </w:rPr>
        <w:tab/>
      </w:r>
      <w:r w:rsidRPr="00E664AB">
        <w:rPr>
          <w:lang w:val="es-ES_tradnl"/>
        </w:rPr>
        <w:tab/>
      </w:r>
      <w:r w:rsidR="00E4102D" w:rsidRPr="00E664AB">
        <w:rPr>
          <w:lang w:val="es-ES_tradnl"/>
        </w:rPr>
        <w:t xml:space="preserve"> </w:t>
      </w:r>
      <w:r w:rsidRPr="00E664AB">
        <w:rPr>
          <w:lang w:val="es-ES_tradnl"/>
        </w:rPr>
        <w:t xml:space="preserve"> </w:t>
      </w:r>
      <w:r w:rsidRPr="00E664AB">
        <w:rPr>
          <w:i/>
          <w:iCs/>
          <w:lang w:val="es-ES_tradnl"/>
        </w:rPr>
        <w:t>Abreviación</w:t>
      </w:r>
      <w:r w:rsidRPr="00E664AB">
        <w:rPr>
          <w:lang w:val="es-ES_tradnl"/>
        </w:rPr>
        <w:t xml:space="preserve">: HFC-23 = fluoroformo. </w:t>
      </w:r>
    </w:p>
    <w:p w14:paraId="1ABAD6F1" w14:textId="77777777" w:rsidR="000F20E5" w:rsidRPr="00E664AB" w:rsidRDefault="000F20E5" w:rsidP="003B487E">
      <w:pPr>
        <w:pStyle w:val="Normal-pool"/>
        <w:rPr>
          <w:lang w:val="es-ES_tradnl"/>
        </w:rPr>
      </w:pPr>
    </w:p>
    <w:p w14:paraId="50CC1FFA" w14:textId="77777777" w:rsidR="000F20E5" w:rsidRPr="00E664AB" w:rsidRDefault="000F20E5" w:rsidP="000F20E5">
      <w:pPr>
        <w:pStyle w:val="CH1"/>
        <w:ind w:left="0" w:firstLine="0"/>
        <w:rPr>
          <w:lang w:val="es-ES_tradnl"/>
        </w:rPr>
      </w:pPr>
    </w:p>
    <w:p w14:paraId="51F88BC8" w14:textId="77777777" w:rsidR="000C05CF" w:rsidRPr="00E664AB" w:rsidRDefault="000C05CF" w:rsidP="000E5F7C">
      <w:pPr>
        <w:pStyle w:val="CH2"/>
        <w:rPr>
          <w:lang w:val="es-ES_tradnl"/>
        </w:rPr>
        <w:sectPr w:rsidR="000C05CF" w:rsidRPr="00E664AB" w:rsidSect="003B487E">
          <w:headerReference w:type="first" r:id="rId18"/>
          <w:pgSz w:w="16839" w:h="11907" w:orient="landscape" w:code="9"/>
          <w:pgMar w:top="907" w:right="992" w:bottom="1418" w:left="1418" w:header="539" w:footer="975" w:gutter="0"/>
          <w:cols w:space="539"/>
          <w:docGrid w:linePitch="360"/>
        </w:sectPr>
      </w:pPr>
    </w:p>
    <w:p w14:paraId="471763C7" w14:textId="6640D97D" w:rsidR="000F20E5" w:rsidRPr="00E664AB" w:rsidRDefault="00E4102D" w:rsidP="00370D9D">
      <w:pPr>
        <w:pStyle w:val="CH1"/>
        <w:rPr>
          <w:lang w:val="es-ES_tradnl"/>
        </w:rPr>
      </w:pPr>
      <w:r w:rsidRPr="00E664AB">
        <w:rPr>
          <w:bCs/>
          <w:lang w:val="es-ES_tradnl"/>
        </w:rPr>
        <w:lastRenderedPageBreak/>
        <w:tab/>
      </w:r>
      <w:r w:rsidR="000F20E5" w:rsidRPr="00E664AB">
        <w:rPr>
          <w:bCs/>
          <w:lang w:val="es-ES_tradnl"/>
        </w:rPr>
        <w:t>III.</w:t>
      </w:r>
      <w:r w:rsidR="000F20E5" w:rsidRPr="00E664AB">
        <w:rPr>
          <w:lang w:val="es-ES_tradnl"/>
        </w:rPr>
        <w:tab/>
      </w:r>
      <w:r w:rsidR="000F20E5" w:rsidRPr="00E664AB">
        <w:rPr>
          <w:bCs/>
          <w:lang w:val="es-ES_tradnl"/>
        </w:rPr>
        <w:t>Proyectos de decisiones que el Grupo de Trabajo de composición abierta examinó en sus reuniones 47ª y 48ª</w:t>
      </w:r>
      <w:r w:rsidRPr="00E664AB">
        <w:rPr>
          <w:bCs/>
          <w:lang w:val="es-ES_tradnl"/>
        </w:rPr>
        <w:t xml:space="preserve"> </w:t>
      </w:r>
      <w:r w:rsidR="000F20E5" w:rsidRPr="00E664AB">
        <w:rPr>
          <w:bCs/>
          <w:lang w:val="es-ES_tradnl"/>
        </w:rPr>
        <w:t>y presentó a la 38ª Reunión de las Partes para su examen</w:t>
      </w:r>
    </w:p>
    <w:p w14:paraId="675BA740" w14:textId="77777777" w:rsidR="000F20E5" w:rsidRPr="00E664AB" w:rsidRDefault="000F20E5" w:rsidP="00370D9D">
      <w:pPr>
        <w:pStyle w:val="CH2"/>
        <w:rPr>
          <w:lang w:val="es-ES_tradnl"/>
        </w:rPr>
      </w:pPr>
      <w:r w:rsidRPr="00E664AB">
        <w:rPr>
          <w:lang w:val="es-ES_tradnl"/>
        </w:rPr>
        <w:tab/>
      </w:r>
      <w:r w:rsidRPr="00E664AB">
        <w:rPr>
          <w:bCs/>
          <w:lang w:val="es-ES_tradnl"/>
        </w:rPr>
        <w:t>[A.</w:t>
      </w:r>
      <w:r w:rsidRPr="00E664AB">
        <w:rPr>
          <w:lang w:val="es-ES_tradnl"/>
        </w:rPr>
        <w:tab/>
      </w:r>
      <w:r w:rsidRPr="00E664AB">
        <w:rPr>
          <w:bCs/>
          <w:lang w:val="es-ES_tradnl"/>
        </w:rPr>
        <w:t>Proyecto de decisión XXXVIII/[AA]: fortalecimiento de las operaciones del Protocolo de Montreal</w:t>
      </w:r>
    </w:p>
    <w:p w14:paraId="422C39E9" w14:textId="77777777" w:rsidR="000F20E5" w:rsidRPr="00E664AB" w:rsidRDefault="000F20E5" w:rsidP="001F75E6">
      <w:pPr>
        <w:pStyle w:val="CH2"/>
        <w:rPr>
          <w:lang w:val="es-ES_tradnl"/>
        </w:rPr>
      </w:pPr>
      <w:r w:rsidRPr="00E664AB">
        <w:rPr>
          <w:lang w:val="es-ES_tradnl"/>
        </w:rPr>
        <w:tab/>
      </w:r>
      <w:r w:rsidRPr="00E664AB">
        <w:rPr>
          <w:lang w:val="es-ES_tradnl"/>
        </w:rPr>
        <w:tab/>
      </w:r>
      <w:r w:rsidRPr="00E664AB">
        <w:rPr>
          <w:bCs/>
          <w:lang w:val="es-ES_tradnl"/>
        </w:rPr>
        <w:t>Presentación del Camerún en nombre del Grupo de los Estados de África</w:t>
      </w:r>
    </w:p>
    <w:p w14:paraId="35B67C8E"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w:t>
      </w:r>
    </w:p>
    <w:p w14:paraId="34D5366B" w14:textId="77777777" w:rsidR="000F20E5" w:rsidRPr="00E664AB" w:rsidRDefault="000F20E5" w:rsidP="008777AF">
      <w:pPr>
        <w:pStyle w:val="NormalNonumber"/>
        <w:tabs>
          <w:tab w:val="clear" w:pos="1247"/>
          <w:tab w:val="clear" w:pos="1871"/>
          <w:tab w:val="clear" w:pos="2495"/>
          <w:tab w:val="clear" w:pos="3119"/>
          <w:tab w:val="clear" w:pos="3742"/>
          <w:tab w:val="clear" w:pos="4366"/>
          <w:tab w:val="clear" w:pos="4990"/>
        </w:tabs>
        <w:ind w:firstLine="624"/>
        <w:rPr>
          <w:b/>
          <w:bCs/>
          <w:lang w:val="es-ES_tradnl"/>
        </w:rPr>
      </w:pPr>
      <w:r w:rsidRPr="00E664AB">
        <w:rPr>
          <w:i/>
          <w:iCs/>
          <w:lang w:val="es-ES_tradnl"/>
        </w:rPr>
        <w:t xml:space="preserve">Recordando </w:t>
      </w:r>
      <w:r w:rsidRPr="00E664AB">
        <w:rPr>
          <w:lang w:val="es-ES_tradnl"/>
        </w:rPr>
        <w:t>las decisiones XIV/7, XXXI/3, XXXIV/8, XXXV/12 y XXXVI/9,</w:t>
      </w:r>
    </w:p>
    <w:p w14:paraId="729570BF" w14:textId="6FA4124A" w:rsidR="000F20E5" w:rsidRPr="00E664AB" w:rsidRDefault="000F20E5" w:rsidP="008777AF">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Teniendo en cuenta</w:t>
      </w:r>
      <w:r w:rsidRPr="00E664AB">
        <w:rPr>
          <w:lang w:val="es-ES_tradnl"/>
        </w:rPr>
        <w:t xml:space="preserve"> la reunión oficiosa de un día de duración sobre la facilitación de la aplicación del Protocolo de Montreal relativo a las Sustancias que Agotan la Capa de Ozono, celebrada de forma consecutiva a la 37ª Reunión de las Partes, y recordando la nota de la Secretaría</w:t>
      </w:r>
      <w:r w:rsidR="0011298F">
        <w:rPr>
          <w:lang w:val="es-ES_tradnl"/>
        </w:rPr>
        <w:t> </w:t>
      </w:r>
      <w:r w:rsidRPr="00E664AB">
        <w:rPr>
          <w:lang w:val="es-ES_tradnl"/>
        </w:rPr>
        <w:t>del Ozono sobre los resultados de esa reunión oficiosa</w:t>
      </w:r>
      <w:r w:rsidRPr="00E664AB">
        <w:rPr>
          <w:rStyle w:val="FootnoteReference"/>
          <w:lang w:val="es-ES_tradnl"/>
        </w:rPr>
        <w:footnoteReference w:id="3"/>
      </w:r>
      <w:r w:rsidRPr="00E664AB">
        <w:rPr>
          <w:lang w:val="es-ES_tradnl"/>
        </w:rPr>
        <w:t>,</w:t>
      </w:r>
    </w:p>
    <w:p w14:paraId="6A135355" w14:textId="77777777" w:rsidR="000F20E5" w:rsidRPr="00E664AB" w:rsidRDefault="000F20E5" w:rsidP="00370D9D">
      <w:pPr>
        <w:pStyle w:val="NormalNonumber"/>
        <w:tabs>
          <w:tab w:val="clear" w:pos="1247"/>
          <w:tab w:val="clear" w:pos="1871"/>
          <w:tab w:val="clear" w:pos="2495"/>
          <w:tab w:val="clear" w:pos="3119"/>
          <w:tab w:val="clear" w:pos="3742"/>
          <w:tab w:val="clear" w:pos="4366"/>
          <w:tab w:val="clear" w:pos="4990"/>
        </w:tabs>
        <w:ind w:firstLine="624"/>
        <w:rPr>
          <w:b/>
          <w:bCs/>
          <w:i/>
          <w:iCs/>
          <w:lang w:val="es-ES_tradnl"/>
        </w:rPr>
      </w:pPr>
      <w:r w:rsidRPr="00E664AB">
        <w:rPr>
          <w:i/>
          <w:iCs/>
          <w:lang w:val="es-ES_tradnl"/>
        </w:rPr>
        <w:t>Decide:</w:t>
      </w:r>
    </w:p>
    <w:p w14:paraId="0270DF24" w14:textId="272C3576" w:rsidR="000F20E5" w:rsidRPr="00E664AB" w:rsidRDefault="000F20E5" w:rsidP="00370D9D">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Solicitar a la Secretaría del Ozono que elabore un informe sobre los instrumentos disponibles que podrían utilizarse para mejorar el rastreo y la vigilancia de las sustancias reguladas a lo largo de toda la cadena de suministro, incluidos los mercados en línea y las plataformas de comercio electrónico, para su examen en la 49ª reunión del Grupo de Trabajo de composición abierta del Protocolo de Montreal;</w:t>
      </w:r>
    </w:p>
    <w:p w14:paraId="3F2D13D6" w14:textId="77777777" w:rsidR="000F20E5" w:rsidRPr="00E664AB" w:rsidRDefault="000F20E5" w:rsidP="00370D9D">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Solicitar también a la Secretaría del Protocolo del Ozono que elabore procedimientos operativos estándar que respalden un enfoque armonizado para la detección del comercio ilícito, la tramitación de los casos, la gestión de las incautaciones, la presentación de informes y las sanciones, para su examen por la 39ª Reunión de las Partes;</w:t>
      </w:r>
    </w:p>
    <w:p w14:paraId="3F5ED595" w14:textId="6F1B763E" w:rsidR="000F20E5" w:rsidRPr="00E664AB" w:rsidRDefault="000F20E5" w:rsidP="00370D9D">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Solicitar además a la Secretaría del Ozono que elabore una lista de verificación en la que se definan las características fundamentales de los sistemas de concesión de licencias eficaces, teniendo en cuenta el artículo 4B del Protocolo de Montreal y las decisiones e informes pertinentes, incluido el resumen</w:t>
      </w:r>
      <w:r w:rsidRPr="00E664AB">
        <w:rPr>
          <w:rStyle w:val="FootnoteReference"/>
          <w:lang w:val="es-ES_tradnl"/>
        </w:rPr>
        <w:footnoteReference w:id="4"/>
      </w:r>
      <w:r w:rsidRPr="00E664AB">
        <w:rPr>
          <w:lang w:val="es-ES_tradnl"/>
        </w:rPr>
        <w:t xml:space="preserve"> de las características comunes de los sistemas de concesión de licencias elaborado en respuesta al párrafo 1 de la decisión XXXVI/9, para su examen por la 39ª Reunión de</w:t>
      </w:r>
      <w:r w:rsidR="0011298F">
        <w:rPr>
          <w:lang w:val="es-ES_tradnl"/>
        </w:rPr>
        <w:t> </w:t>
      </w:r>
      <w:r w:rsidRPr="00E664AB">
        <w:rPr>
          <w:lang w:val="es-ES_tradnl"/>
        </w:rPr>
        <w:t>las</w:t>
      </w:r>
      <w:r w:rsidR="0011298F">
        <w:rPr>
          <w:lang w:val="es-ES_tradnl"/>
        </w:rPr>
        <w:t> </w:t>
      </w:r>
      <w:r w:rsidRPr="00E664AB">
        <w:rPr>
          <w:lang w:val="es-ES_tradnl"/>
        </w:rPr>
        <w:t>Partes;</w:t>
      </w:r>
    </w:p>
    <w:p w14:paraId="343481A2" w14:textId="77777777" w:rsidR="000F20E5" w:rsidRPr="00E664AB" w:rsidRDefault="000F20E5" w:rsidP="00370D9D">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Solicitar a la Secretaría del Protocolo del Ozono que estudie la viabilidad y el coste del desarrollo de software con licencia de código abierto que pueda integrarse en los sistemas aduaneros y de ventanilla única, para su examen en la 39ª Reunión de las Partes;</w:t>
      </w:r>
    </w:p>
    <w:p w14:paraId="5D5DE8C9" w14:textId="77B89795" w:rsidR="000F20E5" w:rsidRPr="00E664AB" w:rsidRDefault="000F20E5" w:rsidP="00370D9D">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Solicitar al Comité Ejecutivo del Fondo Multilateral para la Aplicación del Protocolo de Montreal que, en consulta con los responsables nacionales del ozono y el Programa de Asistencia para el Cumplimiento y, según proceda, la Organización Mundial de Aduanas, evalúe las necesidades adicionales de formación y capacidad de las Partes que operan al amparo del párrafo 1 del artículo 5 del Protocolo de Montreal en lo relativo al comercio ilícito, los sistemas de concesión de licencias y la</w:t>
      </w:r>
      <w:r w:rsidR="0011298F">
        <w:rPr>
          <w:lang w:val="es-ES_tradnl"/>
        </w:rPr>
        <w:t> </w:t>
      </w:r>
      <w:r w:rsidRPr="00E664AB">
        <w:rPr>
          <w:lang w:val="es-ES_tradnl"/>
        </w:rPr>
        <w:t>presentación de datos, para su examen por el Grupo de Trabajo de composición abierta en su 49ª reunión.</w:t>
      </w:r>
    </w:p>
    <w:p w14:paraId="76B8450D" w14:textId="77777777" w:rsidR="000F20E5" w:rsidRPr="00E664AB" w:rsidRDefault="000F20E5" w:rsidP="008777AF">
      <w:pPr>
        <w:pStyle w:val="CH2"/>
        <w:rPr>
          <w:lang w:val="es-ES_tradnl"/>
        </w:rPr>
      </w:pPr>
      <w:r w:rsidRPr="00E664AB">
        <w:rPr>
          <w:lang w:val="es-ES_tradnl"/>
        </w:rPr>
        <w:tab/>
      </w:r>
      <w:r w:rsidRPr="00E664AB">
        <w:rPr>
          <w:bCs/>
          <w:lang w:val="es-ES_tradnl"/>
        </w:rPr>
        <w:t>[B.</w:t>
      </w:r>
      <w:r w:rsidRPr="00E664AB">
        <w:rPr>
          <w:lang w:val="es-ES_tradnl"/>
        </w:rPr>
        <w:tab/>
      </w:r>
      <w:r w:rsidRPr="00E664AB">
        <w:rPr>
          <w:bCs/>
          <w:lang w:val="es-ES_tradnl"/>
        </w:rPr>
        <w:t>Proyecto de decisión XXXVII/[BB]: refuerzo de los sistemas de concesión de licencias y de presentación de datos para prevenir el comercio ilícito</w:t>
      </w:r>
    </w:p>
    <w:p w14:paraId="163E025B" w14:textId="123FA2B8" w:rsidR="000F20E5" w:rsidRPr="00E664AB" w:rsidRDefault="000F20E5" w:rsidP="00370D9D">
      <w:pPr>
        <w:pStyle w:val="CH2"/>
        <w:rPr>
          <w:lang w:val="es-ES_tradnl"/>
        </w:rPr>
      </w:pPr>
      <w:r w:rsidRPr="00E664AB">
        <w:rPr>
          <w:lang w:val="es-ES_tradnl"/>
        </w:rPr>
        <w:tab/>
      </w:r>
      <w:r w:rsidRPr="00E664AB">
        <w:rPr>
          <w:lang w:val="es-ES_tradnl"/>
        </w:rPr>
        <w:tab/>
      </w:r>
      <w:r w:rsidRPr="00E664AB">
        <w:rPr>
          <w:bCs/>
          <w:lang w:val="es-ES_tradnl"/>
        </w:rPr>
        <w:t>Presentación de Australia, el Canadá, Noruega</w:t>
      </w:r>
      <w:r w:rsidR="00BA361A">
        <w:rPr>
          <w:bCs/>
          <w:lang w:val="es-ES_tradnl"/>
        </w:rPr>
        <w:t>,</w:t>
      </w:r>
      <w:r w:rsidRPr="00E664AB">
        <w:rPr>
          <w:bCs/>
          <w:lang w:val="es-ES_tradnl"/>
        </w:rPr>
        <w:t xml:space="preserve"> Suiza</w:t>
      </w:r>
      <w:r w:rsidR="00BA361A">
        <w:rPr>
          <w:bCs/>
          <w:lang w:val="es-ES_tradnl"/>
        </w:rPr>
        <w:t xml:space="preserve"> y la Unión Europea</w:t>
      </w:r>
    </w:p>
    <w:p w14:paraId="63ED0FA2"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w:t>
      </w:r>
    </w:p>
    <w:p w14:paraId="187DAAFF" w14:textId="77777777" w:rsidR="000F20E5" w:rsidRPr="00E664AB" w:rsidRDefault="000F20E5" w:rsidP="00370D9D">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Recordando </w:t>
      </w:r>
      <w:r w:rsidRPr="00E664AB">
        <w:rPr>
          <w:lang w:val="es-ES_tradnl"/>
        </w:rPr>
        <w:t>las decisiones VII/9, IX/8, XIV/7, XVII/16, XIX/12, XXIV/12, XXX/12, XXXI/3, XXXIV/8, XXXV/12 y XXXVI/9,</w:t>
      </w:r>
    </w:p>
    <w:p w14:paraId="2815B6C1" w14:textId="77777777" w:rsidR="000F20E5" w:rsidRPr="00E664AB" w:rsidRDefault="000F20E5" w:rsidP="00370D9D">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Recordando también</w:t>
      </w:r>
      <w:r w:rsidRPr="00E664AB">
        <w:rPr>
          <w:lang w:val="es-ES_tradnl"/>
        </w:rPr>
        <w:t xml:space="preserve"> el artículo 4B del Protocolo de Montreal relativo a las Sustancias que Agotan la Capa de Ozono, en virtud del cual las Partes deben establecer y aplicar un sistema de </w:t>
      </w:r>
      <w:r w:rsidRPr="00E664AB">
        <w:rPr>
          <w:lang w:val="es-ES_tradnl"/>
        </w:rPr>
        <w:lastRenderedPageBreak/>
        <w:t>concesión de licencias para la importación y exportación de las sustancias controladas nuevas, usadas, recicladas y regeneradas,</w:t>
      </w:r>
    </w:p>
    <w:p w14:paraId="6410D3D7" w14:textId="77777777"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Reconociendo </w:t>
      </w:r>
      <w:r w:rsidRPr="00E664AB">
        <w:rPr>
          <w:lang w:val="es-ES_tradnl"/>
        </w:rPr>
        <w:t>la importancia de contar con sistemas eficaces de concesión de licencias de importación y exportación para prevenir el comercio ilícito de sustancias controladas y facilitar el cumplimiento del Protocolo de Montreal,</w:t>
      </w:r>
    </w:p>
    <w:p w14:paraId="749BD51D" w14:textId="77777777"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Reconociendo </w:t>
      </w:r>
      <w:r w:rsidRPr="00E664AB">
        <w:rPr>
          <w:lang w:val="es-ES_tradnl"/>
        </w:rPr>
        <w:t>que el refuerzo de las prácticas de verificación y la mejora de la calidad y la exhaustividad de la información relativa a la importación y exportación de sustancias reguladas pueden contribuir a una aplicación y un cumplimiento más eficaces del Protocolo de Montreal,</w:t>
      </w:r>
    </w:p>
    <w:p w14:paraId="194BBCF6" w14:textId="3293556C"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Tomando nota </w:t>
      </w:r>
      <w:r w:rsidRPr="00E664AB">
        <w:rPr>
          <w:lang w:val="es-ES_tradnl"/>
        </w:rPr>
        <w:t>de la información elaborada por la Secretaría del Ozono sobre las características comunes de los sistemas de concesión de licencias, en particular la que figura en el documento UNEP/OzL.Pro.WG.1/47/4, y sobre las prácticas de comercio ilícito y los enfoques adoptados por</w:t>
      </w:r>
      <w:r w:rsidR="0011298F">
        <w:rPr>
          <w:lang w:val="es-ES_tradnl"/>
        </w:rPr>
        <w:t> </w:t>
      </w:r>
      <w:r w:rsidRPr="00E664AB">
        <w:rPr>
          <w:lang w:val="es-ES_tradnl"/>
        </w:rPr>
        <w:t>las</w:t>
      </w:r>
      <w:r w:rsidR="0011298F">
        <w:rPr>
          <w:lang w:val="es-ES_tradnl"/>
        </w:rPr>
        <w:t> </w:t>
      </w:r>
      <w:r w:rsidRPr="00E664AB">
        <w:rPr>
          <w:lang w:val="es-ES_tradnl"/>
        </w:rPr>
        <w:t>autoridades nacionales para identificar y abordar esos casos, recopilados en el documento UNEP/OzL.Pro.WG.1/47/5 y actualizados en el documento UNEP/OzL.Pro.WG.1/48/3,</w:t>
      </w:r>
    </w:p>
    <w:p w14:paraId="099CF3ED" w14:textId="60ECAE56"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Tomando nota también</w:t>
      </w:r>
      <w:r w:rsidRPr="00E664AB">
        <w:rPr>
          <w:lang w:val="es-ES_tradnl"/>
        </w:rPr>
        <w:t xml:space="preserve"> de los resultados de la reunión oficiosa de un día de duración sobre la facilitación de la aplicación del Protocolo de Montreal, celebrada con anterioridad a la 37ª Reunión de las Partes, así como del documento de información de antecedentes correspondiente a esa reunión</w:t>
      </w:r>
      <w:r w:rsidR="003A4592" w:rsidRPr="00E664AB">
        <w:rPr>
          <w:rStyle w:val="FootnoteReference"/>
          <w:lang w:val="es-ES_tradnl"/>
        </w:rPr>
        <w:footnoteReference w:id="5"/>
      </w:r>
      <w:r w:rsidR="00E4102D" w:rsidRPr="00E664AB">
        <w:rPr>
          <w:lang w:val="es-ES_tradnl"/>
        </w:rPr>
        <w:t xml:space="preserve"> </w:t>
      </w:r>
      <w:r w:rsidRPr="00E664AB">
        <w:rPr>
          <w:lang w:val="es-ES_tradnl"/>
        </w:rPr>
        <w:t>y del resumen de los resultados de la reunión</w:t>
      </w:r>
      <w:r w:rsidR="00BE4681" w:rsidRPr="00E664AB">
        <w:rPr>
          <w:rStyle w:val="FootnoteReference"/>
          <w:lang w:val="es-ES_tradnl"/>
        </w:rPr>
        <w:footnoteReference w:id="6"/>
      </w:r>
      <w:r w:rsidRPr="00E664AB">
        <w:rPr>
          <w:lang w:val="es-ES_tradnl"/>
        </w:rPr>
        <w:t xml:space="preserve">elaborado por la Secretaría del Ozono, </w:t>
      </w:r>
    </w:p>
    <w:p w14:paraId="6546744E" w14:textId="77777777"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Tomando nota además </w:t>
      </w:r>
      <w:r w:rsidRPr="00E664AB">
        <w:rPr>
          <w:lang w:val="es-ES_tradnl"/>
        </w:rPr>
        <w:t>del análisis realizado por la Secretaría del Ozono sobre las cuestiones sistémicas en relación con el cumplimiento basado en los casos examinados por el Comité de Aplicación establecido con arreglo al Procedimiento relativo al Incumplimiento del Protocolo de Montreal que figura en el anexo II del informe</w:t>
      </w:r>
      <w:r w:rsidRPr="00E664AB">
        <w:rPr>
          <w:rStyle w:val="FootnoteReference"/>
          <w:lang w:val="es-ES_tradnl"/>
        </w:rPr>
        <w:footnoteReference w:id="7"/>
      </w:r>
      <w:r w:rsidRPr="00E664AB">
        <w:rPr>
          <w:lang w:val="es-ES_tradnl"/>
        </w:rPr>
        <w:t>de la 74ª reunión del Comité de Aplicación,</w:t>
      </w:r>
    </w:p>
    <w:p w14:paraId="5AE8D0CA" w14:textId="29B9F414"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Recordando</w:t>
      </w:r>
      <w:r w:rsidRPr="00E664AB">
        <w:rPr>
          <w:lang w:val="es-ES_tradnl"/>
        </w:rPr>
        <w:t xml:space="preserve"> que, en virtud de las decisiones VII/9 y XXX/12, las Partes deben comunicar a la</w:t>
      </w:r>
      <w:r w:rsidR="0011298F">
        <w:rPr>
          <w:lang w:val="es-ES_tradnl"/>
        </w:rPr>
        <w:t> </w:t>
      </w:r>
      <w:r w:rsidRPr="00E664AB">
        <w:rPr>
          <w:lang w:val="es-ES_tradnl"/>
        </w:rPr>
        <w:t xml:space="preserve">Secretaría del Ozono los destinos de sus exportaciones de sustancias controladas, pero que la notificación de las fuentes de importación es voluntaria y muchas Partes no comunican esa información, </w:t>
      </w:r>
    </w:p>
    <w:p w14:paraId="309ECA46" w14:textId="77777777" w:rsidR="000F20E5" w:rsidRPr="00E664AB" w:rsidRDefault="000F20E5" w:rsidP="00370D9D">
      <w:pPr>
        <w:pStyle w:val="NormalNonumber"/>
        <w:keepNext/>
        <w:keepLines/>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Decide:</w:t>
      </w:r>
    </w:p>
    <w:p w14:paraId="56C2A0B1" w14:textId="77777777" w:rsidR="000F20E5" w:rsidRPr="00E664AB" w:rsidRDefault="000F20E5" w:rsidP="00370D9D">
      <w:pPr>
        <w:pStyle w:val="NormalNonumber"/>
        <w:keepNext/>
        <w:keepLines/>
        <w:numPr>
          <w:ilvl w:val="0"/>
          <w:numId w:val="24"/>
        </w:numPr>
        <w:tabs>
          <w:tab w:val="clear" w:pos="1247"/>
          <w:tab w:val="clear" w:pos="1871"/>
          <w:tab w:val="clear" w:pos="2495"/>
          <w:tab w:val="clear" w:pos="3119"/>
          <w:tab w:val="clear" w:pos="3742"/>
          <w:tab w:val="clear" w:pos="4366"/>
          <w:tab w:val="clear" w:pos="4990"/>
        </w:tabs>
        <w:ind w:left="1247" w:firstLine="624"/>
        <w:rPr>
          <w:color w:val="000000" w:themeColor="text1"/>
          <w:lang w:val="es-ES_tradnl"/>
        </w:rPr>
      </w:pPr>
      <w:r w:rsidRPr="00E664AB">
        <w:rPr>
          <w:lang w:val="es-ES_tradnl"/>
        </w:rPr>
        <w:t>Solicitar a la Secretaría del Ozono que, a efectos informativos, prepare una lista de las características fundamentales de los sistemas de concesión de licencias, basada en el artículo 4B del Protocolo de Montreal y las decisiones pertinentes de la Reunión de las Partes sobre sistemas de concesión de licencias;</w:t>
      </w:r>
    </w:p>
    <w:p w14:paraId="039B8829" w14:textId="77777777" w:rsidR="000F20E5" w:rsidRPr="00E664AB" w:rsidRDefault="000F20E5" w:rsidP="00370D9D">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 xml:space="preserve">Instar a las Partes que aún no lo hayan hecho a que pongan en conocimiento de la Secretaría del Ozono lo antes posible si sus sistemas de licencias de importación y exportación establecidos de conformidad con el artículo 4B del Protocolo de Montreal abarcan sustancias controladas usadas, recicladas y regeneradas, así como sustancias controladas nuevas; </w:t>
      </w:r>
    </w:p>
    <w:p w14:paraId="00C348EB" w14:textId="5DAF7A36" w:rsidR="000F20E5" w:rsidRPr="00E664AB" w:rsidRDefault="000F20E5" w:rsidP="00370D9D">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 xml:space="preserve">Alentar a las Partes a velar por que sus sistemas de concesión de licencias de importación y exportación abarquen, según proceda, las sustancias controladas que sean objeto de transbordo o reexportación, teniendo en cuenta las aclaraciones sobre los conceptos de </w:t>
      </w:r>
      <w:r w:rsidR="00E4102D" w:rsidRPr="00E664AB">
        <w:rPr>
          <w:lang w:val="es-ES_tradnl"/>
        </w:rPr>
        <w:t>“</w:t>
      </w:r>
      <w:r w:rsidRPr="00E664AB">
        <w:rPr>
          <w:lang w:val="es-ES_tradnl"/>
        </w:rPr>
        <w:t>transbordo</w:t>
      </w:r>
      <w:r w:rsidR="00E4102D" w:rsidRPr="00E664AB">
        <w:rPr>
          <w:lang w:val="es-ES_tradnl"/>
        </w:rPr>
        <w:t>”</w:t>
      </w:r>
      <w:r w:rsidRPr="00E664AB">
        <w:rPr>
          <w:lang w:val="es-ES_tradnl"/>
        </w:rPr>
        <w:t xml:space="preserve"> y</w:t>
      </w:r>
      <w:r w:rsidR="0011298F">
        <w:rPr>
          <w:lang w:val="es-ES_tradnl"/>
        </w:rPr>
        <w:t> </w:t>
      </w:r>
      <w:r w:rsidR="00E4102D" w:rsidRPr="00E664AB">
        <w:rPr>
          <w:lang w:val="es-ES_tradnl"/>
        </w:rPr>
        <w:t>“</w:t>
      </w:r>
      <w:r w:rsidRPr="00E664AB">
        <w:rPr>
          <w:lang w:val="es-ES_tradnl"/>
        </w:rPr>
        <w:t>reexportación</w:t>
      </w:r>
      <w:r w:rsidR="00E4102D" w:rsidRPr="00E664AB">
        <w:rPr>
          <w:lang w:val="es-ES_tradnl"/>
        </w:rPr>
        <w:t>”</w:t>
      </w:r>
      <w:r w:rsidRPr="00E664AB">
        <w:rPr>
          <w:lang w:val="es-ES_tradnl"/>
        </w:rPr>
        <w:t xml:space="preserve"> recogidas en las decisiones IV/14 y IX/34;</w:t>
      </w:r>
    </w:p>
    <w:p w14:paraId="5ED0FF70" w14:textId="77777777" w:rsidR="000F20E5" w:rsidRPr="00E664AB" w:rsidRDefault="000F20E5" w:rsidP="00370D9D">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Solicitar a las Partes que garanticen que sus sistemas de importación y concesión de licencias controlan y rastrean de forma precisa el comercio de sustancias controladas en las zonas francas, y que informen sobre esas importaciones y exportaciones en el transcurso de la presentación de información con arreglo al artículo 7 del Protocolo de Montreal,</w:t>
      </w:r>
    </w:p>
    <w:p w14:paraId="12E46201" w14:textId="4BC550A3" w:rsidR="000F20E5" w:rsidRPr="00E664AB" w:rsidRDefault="000F20E5" w:rsidP="00370D9D">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Alentar a las dependencias nacionales del ozono y a los funcionarios de aduanas de las</w:t>
      </w:r>
      <w:r w:rsidR="0011298F">
        <w:rPr>
          <w:lang w:val="es-ES_tradnl"/>
        </w:rPr>
        <w:t> </w:t>
      </w:r>
      <w:r w:rsidRPr="00E664AB">
        <w:rPr>
          <w:lang w:val="es-ES_tradnl"/>
        </w:rPr>
        <w:t>Partes a que estudien formas de compartir datos de manera eficiente, a fin de mejorar el rastreo y la</w:t>
      </w:r>
      <w:r w:rsidR="0011298F">
        <w:rPr>
          <w:lang w:val="es-ES_tradnl"/>
        </w:rPr>
        <w:t> </w:t>
      </w:r>
      <w:r w:rsidRPr="00E664AB">
        <w:rPr>
          <w:lang w:val="es-ES_tradnl"/>
        </w:rPr>
        <w:t>vigilancia de las importaciones de sustancias controladas, lo que incluye la coordinación de bases de datos;</w:t>
      </w:r>
    </w:p>
    <w:p w14:paraId="5E907809" w14:textId="5D80BED4" w:rsidR="000F20E5" w:rsidRPr="00E664AB" w:rsidRDefault="000F20E5" w:rsidP="00370D9D">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color w:val="000000" w:themeColor="text1"/>
          <w:lang w:val="es-ES_tradnl"/>
        </w:rPr>
      </w:pPr>
      <w:r w:rsidRPr="00E664AB">
        <w:rPr>
          <w:lang w:val="es-ES_tradnl"/>
        </w:rPr>
        <w:t>Alentar a las Partes a reforzar las prácticas de verificación de las importaciones y exportaciones de sustancias controladas, en particular (cuando resulte factible y adecuado) mediante el</w:t>
      </w:r>
      <w:r w:rsidR="0011298F">
        <w:rPr>
          <w:lang w:val="es-ES_tradnl"/>
        </w:rPr>
        <w:t> </w:t>
      </w:r>
      <w:r w:rsidRPr="00E664AB">
        <w:rPr>
          <w:lang w:val="es-ES_tradnl"/>
        </w:rPr>
        <w:t>establecimiento de sistemas automatizados y procedimientos normalizados que permitan cotejar la información facilitada por la industria con los datos aduaneros;</w:t>
      </w:r>
    </w:p>
    <w:p w14:paraId="6759C988" w14:textId="77777777" w:rsidR="000F20E5" w:rsidRPr="00E664AB" w:rsidRDefault="000F20E5" w:rsidP="00370D9D">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color w:val="000000" w:themeColor="text1"/>
          <w:lang w:val="es-ES_tradnl"/>
        </w:rPr>
      </w:pPr>
      <w:r w:rsidRPr="00E664AB">
        <w:rPr>
          <w:lang w:val="es-ES_tradnl"/>
        </w:rPr>
        <w:lastRenderedPageBreak/>
        <w:t>Recordar a las Partes que operan al amparo del párrafo 1 del artículo 5 del Protocolo de Montreal que pueden solicitar asistencia al Programa de Asistencia para el Cumplimiento del Programa de las Naciones Unidas para el Medio Ambiente en relación con el diseño y la aplicación de sus sistemas nacionales de concesión de licencias;</w:t>
      </w:r>
    </w:p>
    <w:p w14:paraId="7A95658E" w14:textId="3C1A0293" w:rsidR="000F20E5" w:rsidRPr="00E664AB" w:rsidRDefault="000F20E5" w:rsidP="00370D9D">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Solicitar a las Partes que, en el marco de la presentación de informes con arreglo al artículo 7, comuniquen las fuentes de las importaciones y de las sustancias controladas, y que sigan informando sobre el destino de las exportaciones de esas sustancias, con el fin de ayudar a la Secretaría del Ozono a identificar las diferencias entre las cantidades comunicadas por una Parte como importaciones y por otra como exportaciones y viceversa;</w:t>
      </w:r>
    </w:p>
    <w:p w14:paraId="50660227" w14:textId="77777777" w:rsidR="000F20E5" w:rsidRPr="00E664AB" w:rsidRDefault="000F20E5" w:rsidP="00370D9D">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Alentar a las Partes a utilizar el sistema de presentación de informes en línea para los datos comunicados con arreglo al artículo 7;</w:t>
      </w:r>
    </w:p>
    <w:p w14:paraId="746D7EE3" w14:textId="55F80BC7" w:rsidR="000F20E5" w:rsidRPr="00E664AB" w:rsidRDefault="000F20E5" w:rsidP="000F20E5">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Solicitar a la Secretaría del Ozono que ponga a disposición de las Partes la información relativa a aquellas Partes que no hayan comunicado los datos exigidos en virtud del artículo 7 antes del</w:t>
      </w:r>
      <w:r w:rsidR="0011298F">
        <w:rPr>
          <w:lang w:val="es-ES_tradnl"/>
        </w:rPr>
        <w:t> </w:t>
      </w:r>
      <w:r w:rsidRPr="00E664AB">
        <w:rPr>
          <w:lang w:val="es-ES_tradnl"/>
        </w:rPr>
        <w:t>30 de septiembre de cada año;</w:t>
      </w:r>
    </w:p>
    <w:p w14:paraId="27A9B9CF" w14:textId="77777777" w:rsidR="000F20E5" w:rsidRPr="00E664AB" w:rsidRDefault="000F20E5" w:rsidP="000F20E5">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Solicitar también a la Secretaría del Ozono que colabore con la Secretaría del Fondo Multilateral para la Aplicación del Protocolo de Montreal a fin de estudiar posibles opciones que permitan establecer un enfoque coordinado en la presentación de los datos presentados en virtud del artículo 7 y los datos de los programas nacionales.]</w:t>
      </w:r>
    </w:p>
    <w:p w14:paraId="354A110B" w14:textId="77777777" w:rsidR="000F20E5" w:rsidRPr="00E664AB" w:rsidRDefault="000F20E5" w:rsidP="000F20E5">
      <w:pPr>
        <w:pStyle w:val="CH2"/>
        <w:rPr>
          <w:lang w:val="es-ES_tradnl"/>
        </w:rPr>
      </w:pPr>
      <w:r w:rsidRPr="00E664AB">
        <w:rPr>
          <w:lang w:val="es-ES_tradnl"/>
        </w:rPr>
        <w:tab/>
      </w:r>
      <w:r w:rsidRPr="00E664AB">
        <w:rPr>
          <w:bCs/>
          <w:lang w:val="es-ES_tradnl"/>
        </w:rPr>
        <w:t>[C.</w:t>
      </w:r>
      <w:r w:rsidRPr="00E664AB">
        <w:rPr>
          <w:lang w:val="es-ES_tradnl"/>
        </w:rPr>
        <w:tab/>
      </w:r>
      <w:r w:rsidRPr="00E664AB">
        <w:rPr>
          <w:bCs/>
          <w:lang w:val="es-ES_tradnl"/>
        </w:rPr>
        <w:t>Proyecto de decisión XXXVIII/[CC]: examen de la aplicación de los párrafos 2 y 4 del artículo 2J del Protocolo de Montreal en el caso de Azerbaiyán</w:t>
      </w:r>
    </w:p>
    <w:p w14:paraId="757C9A7A" w14:textId="77777777" w:rsidR="000F20E5" w:rsidRPr="00E664AB" w:rsidRDefault="000F20E5" w:rsidP="000F20E5">
      <w:pPr>
        <w:pStyle w:val="CH2"/>
        <w:rPr>
          <w:lang w:val="es-ES_tradnl"/>
        </w:rPr>
      </w:pPr>
      <w:r w:rsidRPr="00E664AB">
        <w:rPr>
          <w:lang w:val="es-ES_tradnl"/>
        </w:rPr>
        <w:tab/>
      </w:r>
      <w:r w:rsidRPr="00E664AB">
        <w:rPr>
          <w:lang w:val="es-ES_tradnl"/>
        </w:rPr>
        <w:tab/>
      </w:r>
      <w:r w:rsidRPr="00E664AB">
        <w:rPr>
          <w:bCs/>
          <w:lang w:val="es-ES_tradnl"/>
        </w:rPr>
        <w:t>Presentación de Azerbaiyán</w:t>
      </w:r>
    </w:p>
    <w:p w14:paraId="483F1F19"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w:t>
      </w:r>
    </w:p>
    <w:p w14:paraId="3898E7C3" w14:textId="027005B1" w:rsidR="000F20E5" w:rsidRPr="00E664AB" w:rsidRDefault="0046410B" w:rsidP="002474F9">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Tomando nota </w:t>
      </w:r>
      <w:r w:rsidRPr="00E664AB">
        <w:rPr>
          <w:lang w:val="es-ES_tradnl"/>
        </w:rPr>
        <w:t>de que Azerbaiyán ha ratificado la Enmienda de Kigali al Protocolo de Montreal relativo a las Sustancias que Agotan la Capa de Ozono, que entró en vigor para Azerbaiyán el 22 de febrero de 2026,</w:t>
      </w:r>
    </w:p>
    <w:p w14:paraId="5CFFE9F9" w14:textId="222ABE5A"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Observando </w:t>
      </w:r>
      <w:r w:rsidRPr="00E664AB">
        <w:rPr>
          <w:lang w:val="es-ES_tradnl"/>
        </w:rPr>
        <w:t>que la Enmienda de Kigali entró en vigor para Azerbaiyán en un momento en que el marco de eliminación gradual en virtud del el artículo 2J del Protocolo de Montreal ya estaba en funcionamiento,</w:t>
      </w:r>
    </w:p>
    <w:p w14:paraId="60BFCFE5" w14:textId="689ECEC1"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Reconociendo </w:t>
      </w:r>
      <w:r w:rsidRPr="00E664AB">
        <w:rPr>
          <w:lang w:val="es-ES_tradnl"/>
        </w:rPr>
        <w:t>que en el artículo 2J se establecen vías para la reducción gradual y diferenciada de los hidrofluorocarbonos, en particular en la forma que figura en los párrafos 2 y 4 de ese artículo,</w:t>
      </w:r>
    </w:p>
    <w:p w14:paraId="3997673F"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Recordando </w:t>
      </w:r>
      <w:r w:rsidRPr="00E664AB">
        <w:rPr>
          <w:lang w:val="es-ES_tradnl"/>
        </w:rPr>
        <w:t xml:space="preserve">el párrafo 1 de la decisión XXVIII/2, en el que la Reunión de las Partes examinó la aplicación de los párrafos 2 y 4 del artículo 2J a determinadas Partes, </w:t>
      </w:r>
    </w:p>
    <w:p w14:paraId="0060BAAD"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rStyle w:val="Strong"/>
          <w:b w:val="0"/>
          <w:iCs/>
          <w:lang w:val="es-ES_tradnl"/>
        </w:rPr>
      </w:pPr>
      <w:r w:rsidRPr="00E664AB">
        <w:rPr>
          <w:i/>
          <w:iCs/>
          <w:lang w:val="es-ES_tradnl"/>
        </w:rPr>
        <w:t xml:space="preserve">Reconociendo </w:t>
      </w:r>
      <w:r w:rsidRPr="00E664AB">
        <w:rPr>
          <w:lang w:val="es-ES_tradnl"/>
        </w:rPr>
        <w:t xml:space="preserve">el contexto de la aplicación nacional de Azerbaiyán, incluida la secuenciación de las medidas de control y la aplicación de las vías para la reducción gradual diferenciada establecidas en virtud del artículo 2J, </w:t>
      </w:r>
    </w:p>
    <w:p w14:paraId="19E629B6"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rStyle w:val="Strong"/>
          <w:b w:val="0"/>
          <w:i/>
          <w:iCs/>
          <w:lang w:val="es-ES_tradnl"/>
        </w:rPr>
      </w:pPr>
      <w:r w:rsidRPr="00E664AB">
        <w:rPr>
          <w:i/>
          <w:iCs/>
          <w:lang w:val="es-ES_tradnl"/>
        </w:rPr>
        <w:t>Decide:</w:t>
      </w:r>
      <w:r w:rsidRPr="00E664AB">
        <w:rPr>
          <w:lang w:val="es-ES_tradnl"/>
        </w:rPr>
        <w:t xml:space="preserve"> </w:t>
      </w:r>
    </w:p>
    <w:p w14:paraId="2DDADAB3"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lang w:val="es-ES_tradnl"/>
        </w:rPr>
        <w:t>Confirmar que los calendarios de reducción gradual establecidos en los párrafos 2 y 4 del artículo 2J del Protocolo de Montreal son aplicables en el caso de Azerbaiyán.]</w:t>
      </w:r>
    </w:p>
    <w:p w14:paraId="4004D3FC" w14:textId="48D6D6B4" w:rsidR="000F20E5" w:rsidRPr="00E664AB" w:rsidRDefault="000F20E5" w:rsidP="00370D9D">
      <w:pPr>
        <w:pStyle w:val="CH2"/>
        <w:rPr>
          <w:lang w:val="es-ES_tradnl"/>
        </w:rPr>
      </w:pPr>
      <w:r w:rsidRPr="00E664AB">
        <w:rPr>
          <w:lang w:val="es-ES_tradnl"/>
        </w:rPr>
        <w:tab/>
      </w:r>
      <w:r w:rsidRPr="00E664AB">
        <w:rPr>
          <w:bCs/>
          <w:lang w:val="es-ES_tradnl"/>
        </w:rPr>
        <w:t>[D.</w:t>
      </w:r>
      <w:r w:rsidRPr="00E664AB">
        <w:rPr>
          <w:lang w:val="es-ES_tradnl"/>
        </w:rPr>
        <w:tab/>
      </w:r>
      <w:r w:rsidRPr="00E664AB">
        <w:rPr>
          <w:bCs/>
          <w:lang w:val="es-ES_tradnl"/>
        </w:rPr>
        <w:t>Proyecto de decisión XXXVIII/[DD]: clasificación del Estado de Palestina como Parte que opera al amparo del párrafo 1 del artículo 5 del Protocolo de Montreal y posibilidad de que acceda a la ayuda del Fondo Multilateral</w:t>
      </w:r>
    </w:p>
    <w:p w14:paraId="14453720" w14:textId="77777777" w:rsidR="000F20E5" w:rsidRPr="00E664AB" w:rsidRDefault="000F20E5" w:rsidP="00370D9D">
      <w:pPr>
        <w:pStyle w:val="CH2"/>
        <w:rPr>
          <w:lang w:val="es-ES_tradnl"/>
        </w:rPr>
      </w:pPr>
      <w:r w:rsidRPr="00E664AB">
        <w:rPr>
          <w:lang w:val="es-ES_tradnl"/>
        </w:rPr>
        <w:tab/>
      </w:r>
      <w:r w:rsidRPr="00E664AB">
        <w:rPr>
          <w:lang w:val="es-ES_tradnl"/>
        </w:rPr>
        <w:tab/>
      </w:r>
      <w:r w:rsidRPr="00E664AB">
        <w:rPr>
          <w:bCs/>
          <w:lang w:val="es-ES_tradnl"/>
        </w:rPr>
        <w:t>Presentación del Estado de Palestina</w:t>
      </w:r>
    </w:p>
    <w:p w14:paraId="3E609287" w14:textId="77777777" w:rsidR="000F20E5" w:rsidRPr="00E664AB" w:rsidRDefault="000F20E5" w:rsidP="000F20E5">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 decide:</w:t>
      </w:r>
    </w:p>
    <w:p w14:paraId="19E21EF6" w14:textId="1A873B5A" w:rsidR="000F20E5" w:rsidRPr="00E664AB" w:rsidRDefault="000F20E5" w:rsidP="000F20E5">
      <w:pPr>
        <w:pStyle w:val="NormalNonumber"/>
        <w:numPr>
          <w:ilvl w:val="0"/>
          <w:numId w:val="17"/>
        </w:numPr>
        <w:tabs>
          <w:tab w:val="clear" w:pos="1247"/>
          <w:tab w:val="clear" w:pos="1871"/>
          <w:tab w:val="clear" w:pos="2495"/>
          <w:tab w:val="clear" w:pos="3119"/>
          <w:tab w:val="clear" w:pos="3742"/>
          <w:tab w:val="clear" w:pos="4366"/>
          <w:tab w:val="clear" w:pos="4990"/>
          <w:tab w:val="left" w:pos="2552"/>
        </w:tabs>
        <w:ind w:left="1247" w:firstLine="624"/>
        <w:rPr>
          <w:lang w:val="es-ES_tradnl"/>
        </w:rPr>
      </w:pPr>
      <w:r w:rsidRPr="00E664AB">
        <w:rPr>
          <w:lang w:val="es-ES_tradnl"/>
        </w:rPr>
        <w:t>Reconocer el Estado de Palestina como Parte que opera al amparo del párrafo 1 del</w:t>
      </w:r>
      <w:r w:rsidR="0011298F">
        <w:rPr>
          <w:lang w:val="es-ES_tradnl"/>
        </w:rPr>
        <w:t> </w:t>
      </w:r>
      <w:r w:rsidRPr="00E664AB">
        <w:rPr>
          <w:lang w:val="es-ES_tradnl"/>
        </w:rPr>
        <w:t>artículo 5 del Protocolo de Montreal relativo a las Sustancias que Agotan la Capa de Ozono;</w:t>
      </w:r>
    </w:p>
    <w:p w14:paraId="12CA75A6" w14:textId="2F6EB641" w:rsidR="000F20E5" w:rsidRPr="00E664AB" w:rsidRDefault="000F20E5" w:rsidP="000F20E5">
      <w:pPr>
        <w:pStyle w:val="NormalNonumber"/>
        <w:numPr>
          <w:ilvl w:val="0"/>
          <w:numId w:val="17"/>
        </w:numPr>
        <w:tabs>
          <w:tab w:val="clear" w:pos="1247"/>
          <w:tab w:val="clear" w:pos="1871"/>
          <w:tab w:val="clear" w:pos="2495"/>
          <w:tab w:val="clear" w:pos="3119"/>
          <w:tab w:val="clear" w:pos="3742"/>
          <w:tab w:val="clear" w:pos="4366"/>
          <w:tab w:val="clear" w:pos="4990"/>
          <w:tab w:val="left" w:pos="2552"/>
        </w:tabs>
        <w:ind w:left="1247" w:firstLine="624"/>
        <w:rPr>
          <w:lang w:val="es-ES_tradnl"/>
        </w:rPr>
      </w:pPr>
      <w:r w:rsidRPr="00E664AB">
        <w:rPr>
          <w:lang w:val="es-ES_tradnl"/>
        </w:rPr>
        <w:t>Solicitar al Comité Ejecutivo del Fondo Multilateral para la Aplicación del Protocolo de Montreal que el Estado de Palestina pueda recibir asistencia en los mismos términos y condiciones que otras Partes que operan al amparo del artículo 5;</w:t>
      </w:r>
    </w:p>
    <w:p w14:paraId="7C101035" w14:textId="3508D825" w:rsidR="000F20E5" w:rsidRPr="00E664AB" w:rsidRDefault="000F20E5" w:rsidP="000F20E5">
      <w:pPr>
        <w:pStyle w:val="NormalNonumber"/>
        <w:numPr>
          <w:ilvl w:val="0"/>
          <w:numId w:val="17"/>
        </w:numPr>
        <w:tabs>
          <w:tab w:val="clear" w:pos="1247"/>
          <w:tab w:val="clear" w:pos="1871"/>
          <w:tab w:val="clear" w:pos="2495"/>
          <w:tab w:val="clear" w:pos="3119"/>
          <w:tab w:val="clear" w:pos="3742"/>
          <w:tab w:val="clear" w:pos="4366"/>
          <w:tab w:val="clear" w:pos="4990"/>
          <w:tab w:val="left" w:pos="2552"/>
        </w:tabs>
        <w:ind w:left="1247" w:firstLine="624"/>
        <w:rPr>
          <w:lang w:val="es-ES_tradnl"/>
        </w:rPr>
      </w:pPr>
      <w:r w:rsidRPr="00E664AB">
        <w:rPr>
          <w:lang w:val="es-ES_tradnl"/>
        </w:rPr>
        <w:lastRenderedPageBreak/>
        <w:t>Invitar a la Secretaría del Ozono y al Comité Ejecutivo a que proporcionen orientación y apoyo institucional para la plena integración del Estado de Palestina en los mecanismos del Protocolo de Montreal;</w:t>
      </w:r>
    </w:p>
    <w:p w14:paraId="0F4AB638" w14:textId="77777777" w:rsidR="000F20E5" w:rsidRPr="00E664AB" w:rsidRDefault="000F20E5" w:rsidP="000F20E5">
      <w:pPr>
        <w:pStyle w:val="NormalNonumber"/>
        <w:numPr>
          <w:ilvl w:val="0"/>
          <w:numId w:val="17"/>
        </w:numPr>
        <w:tabs>
          <w:tab w:val="clear" w:pos="1247"/>
          <w:tab w:val="clear" w:pos="1871"/>
          <w:tab w:val="clear" w:pos="2495"/>
          <w:tab w:val="clear" w:pos="3119"/>
          <w:tab w:val="clear" w:pos="3742"/>
          <w:tab w:val="clear" w:pos="4366"/>
          <w:tab w:val="clear" w:pos="4990"/>
          <w:tab w:val="left" w:pos="2552"/>
        </w:tabs>
        <w:ind w:left="1247" w:firstLine="624"/>
        <w:rPr>
          <w:lang w:val="es-ES_tradnl"/>
        </w:rPr>
      </w:pPr>
      <w:r w:rsidRPr="00E664AB">
        <w:rPr>
          <w:lang w:val="es-ES_tradnl"/>
        </w:rPr>
        <w:t>Alentar a los organismos bilaterales y de ejecución a que colaboren con el Estado de Palestina en la elaboración de su programa para el país y las actividades preparatorias conexas.]</w:t>
      </w:r>
    </w:p>
    <w:p w14:paraId="403D4AA6" w14:textId="241A1EB8" w:rsidR="000F20E5" w:rsidRPr="00E664AB" w:rsidRDefault="00E4102D" w:rsidP="002474F9">
      <w:pPr>
        <w:pStyle w:val="CH1"/>
        <w:rPr>
          <w:lang w:val="es-ES_tradnl"/>
        </w:rPr>
      </w:pPr>
      <w:r w:rsidRPr="00E664AB">
        <w:rPr>
          <w:bCs/>
          <w:lang w:val="es-ES_tradnl"/>
        </w:rPr>
        <w:tab/>
      </w:r>
      <w:r w:rsidR="000F20E5" w:rsidRPr="00E664AB">
        <w:rPr>
          <w:bCs/>
          <w:lang w:val="es-ES_tradnl"/>
        </w:rPr>
        <w:t>IV.</w:t>
      </w:r>
      <w:r w:rsidR="000F20E5" w:rsidRPr="00E664AB">
        <w:rPr>
          <w:lang w:val="es-ES_tradnl"/>
        </w:rPr>
        <w:tab/>
      </w:r>
      <w:r w:rsidR="000F20E5" w:rsidRPr="00E664AB">
        <w:rPr>
          <w:bCs/>
          <w:lang w:val="es-ES_tradnl"/>
        </w:rPr>
        <w:t>Proyectos de decisión con elementos aún por definir preparados por la Secretaría para su examen por la 38ª Reunión de las Partes</w:t>
      </w:r>
    </w:p>
    <w:p w14:paraId="0A65A703" w14:textId="4552A3EB" w:rsidR="000F20E5" w:rsidRPr="00E664AB" w:rsidRDefault="000F20E5" w:rsidP="002474F9">
      <w:pPr>
        <w:pStyle w:val="CH2"/>
        <w:rPr>
          <w:lang w:val="es-ES_tradnl"/>
        </w:rPr>
      </w:pPr>
      <w:bookmarkStart w:id="1" w:name="_Hlk48581227"/>
      <w:r w:rsidRPr="00E664AB">
        <w:rPr>
          <w:lang w:val="es-ES_tradnl"/>
        </w:rPr>
        <w:tab/>
      </w:r>
      <w:r w:rsidRPr="00E664AB">
        <w:rPr>
          <w:bCs/>
          <w:lang w:val="es-ES_tradnl"/>
        </w:rPr>
        <w:t>[A.</w:t>
      </w:r>
      <w:r w:rsidRPr="00E664AB">
        <w:rPr>
          <w:lang w:val="es-ES_tradnl"/>
        </w:rPr>
        <w:tab/>
      </w:r>
      <w:r w:rsidRPr="00E664AB">
        <w:rPr>
          <w:bCs/>
          <w:lang w:val="es-ES_tradnl"/>
        </w:rPr>
        <w:t>Proyecto de decisión XXXVIII/[AAA]: informes financieros y presupuestos del Protocolo de Montreal</w:t>
      </w:r>
    </w:p>
    <w:p w14:paraId="78C4D65C" w14:textId="77777777" w:rsidR="000F20E5" w:rsidRPr="00E664AB" w:rsidRDefault="000F20E5" w:rsidP="002474F9">
      <w:pPr>
        <w:pStyle w:val="NormalNonumber"/>
        <w:keepNext/>
        <w:keepLines/>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w:t>
      </w:r>
    </w:p>
    <w:p w14:paraId="32607112" w14:textId="71044E21" w:rsidR="000F20E5" w:rsidRPr="00E664AB" w:rsidRDefault="000F20E5" w:rsidP="002474F9">
      <w:pPr>
        <w:pStyle w:val="NormalNonumber"/>
        <w:keepNext/>
        <w:keepLines/>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Recordando </w:t>
      </w:r>
      <w:r w:rsidRPr="00E664AB">
        <w:rPr>
          <w:lang w:val="es-ES_tradnl"/>
        </w:rPr>
        <w:t>la decisión XXXVII/23 relativa a los informes financieros y presupuestos para</w:t>
      </w:r>
      <w:r w:rsidR="0011298F">
        <w:rPr>
          <w:lang w:val="es-ES_tradnl"/>
        </w:rPr>
        <w:t> </w:t>
      </w:r>
      <w:r w:rsidRPr="00E664AB">
        <w:rPr>
          <w:lang w:val="es-ES_tradnl"/>
        </w:rPr>
        <w:t>el</w:t>
      </w:r>
      <w:r w:rsidR="0011298F">
        <w:rPr>
          <w:lang w:val="es-ES_tradnl"/>
        </w:rPr>
        <w:t> </w:t>
      </w:r>
      <w:r w:rsidRPr="00E664AB">
        <w:rPr>
          <w:lang w:val="es-ES_tradnl"/>
        </w:rPr>
        <w:t>Protocolo de Montreal relativo a las Sustancias que Agotan la Capa de Ozono,</w:t>
      </w:r>
    </w:p>
    <w:p w14:paraId="38DE9DE0"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Tomando nota</w:t>
      </w:r>
      <w:r w:rsidRPr="00E664AB">
        <w:rPr>
          <w:lang w:val="es-ES_tradnl"/>
        </w:rPr>
        <w:t xml:space="preserve"> del informe financiero del fondo fiduciario para el Protocolo de Montreal correspondiente al ejercicio económico de 2025</w:t>
      </w:r>
      <w:r w:rsidRPr="00E664AB">
        <w:rPr>
          <w:vertAlign w:val="superscript"/>
          <w:lang w:val="es-ES_tradnl"/>
        </w:rPr>
        <w:footnoteReference w:id="8"/>
      </w:r>
      <w:r w:rsidRPr="00E664AB">
        <w:rPr>
          <w:lang w:val="es-ES_tradnl"/>
        </w:rPr>
        <w:t>,</w:t>
      </w:r>
    </w:p>
    <w:p w14:paraId="4F5B6826"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i/>
          <w:lang w:val="es-ES_tradnl"/>
        </w:rPr>
      </w:pPr>
      <w:r w:rsidRPr="00E664AB">
        <w:rPr>
          <w:i/>
          <w:iCs/>
          <w:lang w:val="es-ES_tradnl"/>
        </w:rPr>
        <w:t xml:space="preserve">Reconociendo </w:t>
      </w:r>
      <w:r w:rsidRPr="00E664AB">
        <w:rPr>
          <w:lang w:val="es-ES_tradnl"/>
        </w:rPr>
        <w:t>que las contribuciones voluntarias de las Partes son un complemento indispensable para una aplicación eficaz del Protocolo de Montreal,</w:t>
      </w:r>
    </w:p>
    <w:p w14:paraId="00B7687A" w14:textId="0E675314"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E664AB">
        <w:rPr>
          <w:i/>
          <w:iCs/>
          <w:lang w:val="es-ES_tradnl"/>
        </w:rPr>
        <w:t xml:space="preserve">Acogiendo con beneplácito </w:t>
      </w:r>
      <w:r w:rsidRPr="00E664AB">
        <w:rPr>
          <w:lang w:val="es-ES_tradnl"/>
        </w:rPr>
        <w:t>la constante eficacia en la gestión de las finanzas del fondo fiduciario demostrada por la Secretaría del Ozono,</w:t>
      </w:r>
    </w:p>
    <w:p w14:paraId="172FCEAA" w14:textId="77777777" w:rsidR="000F20E5" w:rsidRPr="00E664AB" w:rsidRDefault="000F20E5" w:rsidP="002474F9">
      <w:pPr>
        <w:pStyle w:val="NormalNonumber"/>
        <w:tabs>
          <w:tab w:val="clear" w:pos="1247"/>
          <w:tab w:val="clear" w:pos="1871"/>
          <w:tab w:val="clear" w:pos="2495"/>
          <w:tab w:val="clear" w:pos="3119"/>
          <w:tab w:val="clear" w:pos="3742"/>
          <w:tab w:val="clear" w:pos="4366"/>
          <w:tab w:val="clear" w:pos="4990"/>
        </w:tabs>
        <w:ind w:firstLine="624"/>
        <w:rPr>
          <w:rFonts w:eastAsia="SimSun"/>
          <w:lang w:val="es-ES_tradnl"/>
        </w:rPr>
      </w:pPr>
      <w:r w:rsidRPr="00E664AB">
        <w:rPr>
          <w:i/>
          <w:iCs/>
          <w:lang w:val="es-ES_tradnl"/>
        </w:rPr>
        <w:t>Decide:</w:t>
      </w:r>
    </w:p>
    <w:p w14:paraId="20180808" w14:textId="073D2772" w:rsidR="000F20E5" w:rsidRPr="00E664AB" w:rsidRDefault="000F20E5" w:rsidP="000F20E5">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 xml:space="preserve">Aprobar el presupuesto del fondo fiduciario para el Protocolo de Montreal relativo a las Sustancias que Agotan la Capa de Ozono </w:t>
      </w:r>
      <w:r w:rsidR="003A5221" w:rsidRPr="00E664AB">
        <w:rPr>
          <w:lang w:val="es-ES_tradnl"/>
        </w:rPr>
        <w:t xml:space="preserve">en la cantidad </w:t>
      </w:r>
      <w:r w:rsidRPr="00E664AB">
        <w:rPr>
          <w:lang w:val="es-ES_tradnl"/>
        </w:rPr>
        <w:t>de [--] dólares de los Estados Unidos para</w:t>
      </w:r>
      <w:r w:rsidR="0011298F">
        <w:rPr>
          <w:lang w:val="es-ES_tradnl"/>
        </w:rPr>
        <w:t> </w:t>
      </w:r>
      <w:r w:rsidRPr="00E664AB">
        <w:rPr>
          <w:lang w:val="es-ES_tradnl"/>
        </w:rPr>
        <w:t>2027 y tomar nota del presupuesto indicativo para 2028, recogido en el cuadro 1 del anexo de la</w:t>
      </w:r>
      <w:r w:rsidR="0011298F">
        <w:rPr>
          <w:lang w:val="es-ES_tradnl"/>
        </w:rPr>
        <w:t> </w:t>
      </w:r>
      <w:r w:rsidRPr="00E664AB">
        <w:rPr>
          <w:lang w:val="es-ES_tradnl"/>
        </w:rPr>
        <w:t>presente decisión, para su examen por la 39ª Reunión de las Partes en el Protocolo de Montreal;</w:t>
      </w:r>
    </w:p>
    <w:p w14:paraId="54F8E9B1" w14:textId="32F2F6DC" w:rsidR="000F20E5" w:rsidRPr="00E664AB" w:rsidRDefault="000F20E5" w:rsidP="000F20E5">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rFonts w:eastAsia="SimSun"/>
          <w:lang w:val="es-ES_tradnl"/>
        </w:rPr>
      </w:pPr>
      <w:r w:rsidRPr="00E664AB">
        <w:rPr>
          <w:lang w:val="es-ES_tradnl"/>
        </w:rPr>
        <w:t>[Autorizar a la Secretaria Ejecutiva a que, con carácter excepcional, utilice el saldo de caja disponible para 2027 por un monto máximo de [--] dólares para actividades concretas que figuran en el cuadro 1 del anexo de la presente decisión, siempre que el saldo de caja no se reduzca por debajo de la reserva operacional;]</w:t>
      </w:r>
    </w:p>
    <w:p w14:paraId="6C2A1822" w14:textId="77777777" w:rsidR="000F20E5" w:rsidRPr="00E664AB" w:rsidRDefault="000F20E5" w:rsidP="000F20E5">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Aprobar las cuotas que han de pagar las Partes en 2027 por la suma de [--] dólares y tomar nota de las cuotas para 2028, que se recogen en el cuadro 2 del anexo de la presente decisión;</w:t>
      </w:r>
    </w:p>
    <w:p w14:paraId="25ECB701" w14:textId="77777777" w:rsidR="000F20E5" w:rsidRPr="00E664AB" w:rsidRDefault="000F20E5" w:rsidP="000F20E5">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Autorizar a la Secretaria Ejecutiva a que retire del saldo de caja los fondos necesarios para cubrir el déficit entre el volumen de cuotas convenidas en el párrafo 3 precedente y el presupuesto aprobado para 2027, que figura en el párrafo 1 anterior;</w:t>
      </w:r>
    </w:p>
    <w:p w14:paraId="05357583" w14:textId="515B8145" w:rsidR="000F20E5" w:rsidRPr="00E664AB" w:rsidRDefault="000F20E5" w:rsidP="000F20E5">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Reafirmar que la reserva operacional se mantendrá al nivel del 15</w:t>
      </w:r>
      <w:r w:rsidR="00E4102D" w:rsidRPr="00E664AB">
        <w:rPr>
          <w:lang w:val="es-ES_tradnl"/>
        </w:rPr>
        <w:t> %</w:t>
      </w:r>
      <w:r w:rsidRPr="00E664AB">
        <w:rPr>
          <w:lang w:val="es-ES_tradnl"/>
        </w:rPr>
        <w:t xml:space="preserve"> del presupuesto anual para sufragar los gastos finales con cargo al fondo fiduciario para el Protocolo de Montreal, haciendo notar que la reserva operacional se obtendrá del saldo de caja existente;</w:t>
      </w:r>
    </w:p>
    <w:p w14:paraId="6EE9D564" w14:textId="77777777" w:rsidR="000F20E5" w:rsidRPr="00E664AB" w:rsidRDefault="000F20E5" w:rsidP="000F20E5">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Alentar a las Partes y otros interesados a que aporten contribuciones financieras y presten asistencia por otros medios a los miembros de los tres grupos de evaluación y sus órganos subsidiarios para garantizar que sigan participando en las actividades de evaluación previstas en el Protocolo de Montreal;</w:t>
      </w:r>
    </w:p>
    <w:p w14:paraId="1BAC3D04" w14:textId="77777777" w:rsidR="000F20E5" w:rsidRPr="00E664AB" w:rsidRDefault="000F20E5" w:rsidP="000F20E5">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Expresar su aprecio por el hecho de que algunas Partes hayan pagado sus cuotas correspondientes a 2026 y años anteriores, e instar a las Partes que aún no lo hayan hecho a que paguen sus cuotas pendientes con prontitud e íntegramente, y a todas las Partes a que paguen sus cuotas futuras con prontitud e íntegramente;</w:t>
      </w:r>
    </w:p>
    <w:p w14:paraId="39AD7448" w14:textId="77777777" w:rsidR="000F20E5" w:rsidRPr="00E664AB" w:rsidRDefault="000F20E5" w:rsidP="000F20E5">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Solicitar a la Secretaria Ejecutiva que:</w:t>
      </w:r>
    </w:p>
    <w:p w14:paraId="4E52BFFA" w14:textId="77777777" w:rsidR="000F20E5" w:rsidRPr="00E664AB" w:rsidRDefault="000F20E5" w:rsidP="000F20E5">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Inicie conversaciones con las Partes que lleven dos años o más sin pagar sus cuotas con miras a hallar una solución, e informe a la 39ª Reunión de las Partes sobre el resultado de esas conversaciones a fin de que las Partes puedan seguir examinando la manera de abordar la cuestión;</w:t>
      </w:r>
    </w:p>
    <w:p w14:paraId="579BC125" w14:textId="4968176B" w:rsidR="000F20E5" w:rsidRPr="00E664AB" w:rsidRDefault="000F20E5" w:rsidP="000F20E5">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rPr>
          <w:color w:val="000000" w:themeColor="text1"/>
          <w:lang w:val="es-ES_tradnl"/>
        </w:rPr>
      </w:pPr>
      <w:r w:rsidRPr="00E664AB">
        <w:rPr>
          <w:lang w:val="es-ES_tradnl"/>
        </w:rPr>
        <w:lastRenderedPageBreak/>
        <w:t>Siga aportando información periódica sobre las contribuciones afectadas y que incluya esa información, cuando proceda, en los proyectos de presupuesto del fondo fiduciario para consignar con más transparencia sus ingresos y gastos reales;</w:t>
      </w:r>
    </w:p>
    <w:p w14:paraId="0D4D94CB" w14:textId="77777777" w:rsidR="000F20E5" w:rsidRPr="00E664AB" w:rsidRDefault="000F20E5" w:rsidP="000F20E5">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rPr>
          <w:color w:val="000000" w:themeColor="text1"/>
          <w:lang w:val="es-ES_tradnl"/>
        </w:rPr>
      </w:pPr>
      <w:r w:rsidRPr="00E664AB">
        <w:rPr>
          <w:lang w:val="es-ES_tradnl"/>
        </w:rPr>
        <w:t>Siga preparando notas descriptivas para la presentación de los presupuestos en el futuro;</w:t>
      </w:r>
    </w:p>
    <w:p w14:paraId="7451D5E2" w14:textId="4E6A1348" w:rsidR="000F20E5" w:rsidRPr="00E664AB" w:rsidRDefault="000F20E5" w:rsidP="000F20E5">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rPr>
          <w:color w:val="000000" w:themeColor="text1"/>
          <w:lang w:val="es-ES_tradnl"/>
        </w:rPr>
      </w:pPr>
      <w:r w:rsidRPr="00E664AB">
        <w:rPr>
          <w:lang w:val="es-ES_tradnl"/>
        </w:rPr>
        <w:t>Asegure la plena utilización de los recursos de apoyo a los programas que la Secretaría del Ozono tendrá a su disposición en 2027 y años subsiguientes y, cuando sea posible, compense esos recursos de apoyo a los programas con los componentes administrativos del presupuesto aprobado;</w:t>
      </w:r>
    </w:p>
    <w:p w14:paraId="02872A67" w14:textId="638DF949" w:rsidR="000F20E5" w:rsidRPr="00E664AB" w:rsidRDefault="000F20E5" w:rsidP="000F20E5">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rPr>
          <w:color w:val="000000" w:themeColor="text1"/>
          <w:lang w:val="es-ES_tradnl"/>
        </w:rPr>
      </w:pPr>
      <w:r w:rsidRPr="00E664AB">
        <w:rPr>
          <w:lang w:val="es-ES_tradnl"/>
        </w:rPr>
        <w:t>Indique en los futuros informes financieros del fondo fiduciario el monto del saldo de caja y el estado de las cuotas al fondo fiduciario;</w:t>
      </w:r>
    </w:p>
    <w:p w14:paraId="16726918" w14:textId="58A15C6E" w:rsidR="000F20E5" w:rsidRPr="00E664AB" w:rsidRDefault="000F20E5" w:rsidP="000F20E5">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Solicitar también a la Secretaria Ejecutiva que prepare presupuestos y programas de trabajo para los años 2028 y 2029, basados en las necesidades previstas, para dos hipótesis presupuestarias:</w:t>
      </w:r>
    </w:p>
    <w:p w14:paraId="3E366FA0" w14:textId="3CAD5824" w:rsidR="000F20E5" w:rsidRPr="00E664AB" w:rsidRDefault="000F20E5" w:rsidP="000F20E5">
      <w:pPr>
        <w:numPr>
          <w:ilvl w:val="1"/>
          <w:numId w:val="16"/>
        </w:numPr>
        <w:tabs>
          <w:tab w:val="clear" w:pos="1247"/>
          <w:tab w:val="clear" w:pos="1814"/>
          <w:tab w:val="clear" w:pos="2381"/>
          <w:tab w:val="clear" w:pos="2948"/>
          <w:tab w:val="clear" w:pos="3515"/>
          <w:tab w:val="left" w:pos="624"/>
        </w:tabs>
        <w:spacing w:after="120"/>
        <w:ind w:left="1247" w:firstLine="624"/>
        <w:rPr>
          <w:color w:val="000000" w:themeColor="text1"/>
          <w:lang w:val="es-ES_tradnl"/>
        </w:rPr>
      </w:pPr>
      <w:r w:rsidRPr="00E664AB">
        <w:rPr>
          <w:lang w:val="es-ES_tradnl"/>
        </w:rPr>
        <w:t>Una hipótesis de crecimiento nominal nulo basada en el presupuesto aprobado para</w:t>
      </w:r>
      <w:r w:rsidR="0011298F">
        <w:rPr>
          <w:lang w:val="es-ES_tradnl"/>
        </w:rPr>
        <w:t> </w:t>
      </w:r>
      <w:r w:rsidRPr="00E664AB">
        <w:rPr>
          <w:lang w:val="es-ES_tradnl"/>
        </w:rPr>
        <w:t>2027;</w:t>
      </w:r>
    </w:p>
    <w:p w14:paraId="4965168E" w14:textId="4163CBEA" w:rsidR="000F20E5" w:rsidRPr="00E664AB" w:rsidRDefault="000F20E5" w:rsidP="000F20E5">
      <w:pPr>
        <w:numPr>
          <w:ilvl w:val="1"/>
          <w:numId w:val="16"/>
        </w:numPr>
        <w:tabs>
          <w:tab w:val="clear" w:pos="1247"/>
          <w:tab w:val="clear" w:pos="1814"/>
          <w:tab w:val="clear" w:pos="2381"/>
          <w:tab w:val="clear" w:pos="2948"/>
          <w:tab w:val="clear" w:pos="3515"/>
          <w:tab w:val="left" w:pos="624"/>
        </w:tabs>
        <w:spacing w:after="120"/>
        <w:ind w:left="1247" w:firstLine="624"/>
        <w:rPr>
          <w:color w:val="000000" w:themeColor="text1"/>
          <w:lang w:val="es-ES_tradnl"/>
        </w:rPr>
      </w:pPr>
      <w:r w:rsidRPr="00E664AB">
        <w:rPr>
          <w:lang w:val="es-ES_tradnl"/>
        </w:rPr>
        <w:t>Una hipótesis basada en recomendaciones de ajustes a la hipótesis de crecimiento nominal nulo, en la que se indiquen los consiguientes costos y ahorros conexos;</w:t>
      </w:r>
    </w:p>
    <w:p w14:paraId="461F1FBA" w14:textId="2C92B5B0" w:rsidR="000F20E5" w:rsidRPr="00E664AB" w:rsidRDefault="000F20E5" w:rsidP="000F20E5">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000000" w:themeColor="text1"/>
          <w:lang w:val="es-ES_tradnl"/>
        </w:rPr>
      </w:pPr>
      <w:r w:rsidRPr="00E664AB">
        <w:rPr>
          <w:lang w:val="es-ES_tradnl"/>
        </w:rPr>
        <w:t>Destaque la necesidad de seguir velando por que las propuestas presupuestarias sean realistas y representen las prioridades acordadas por todas las Partes para garantizar la sostenibilidad y la estabilidad del fondo y su saldo de caja, incluidas las cuotas.</w:t>
      </w:r>
    </w:p>
    <w:p w14:paraId="3310E9C1" w14:textId="77777777" w:rsidR="000F20E5" w:rsidRPr="00E664AB" w:rsidRDefault="000F20E5" w:rsidP="003039C2">
      <w:pPr>
        <w:pStyle w:val="CH2"/>
        <w:rPr>
          <w:lang w:val="es-ES_tradnl"/>
        </w:rPr>
      </w:pPr>
      <w:r w:rsidRPr="00E664AB">
        <w:rPr>
          <w:lang w:val="es-ES_tradnl"/>
        </w:rPr>
        <w:tab/>
      </w:r>
      <w:r w:rsidRPr="00E664AB">
        <w:rPr>
          <w:lang w:val="es-ES_tradnl"/>
        </w:rPr>
        <w:tab/>
      </w:r>
      <w:r w:rsidRPr="00E664AB">
        <w:rPr>
          <w:bCs/>
          <w:lang w:val="es-ES_tradnl"/>
        </w:rPr>
        <w:t>Anexo del proyecto de decisión XXXVIII/[AAA]</w:t>
      </w:r>
    </w:p>
    <w:p w14:paraId="2AE45A05" w14:textId="375BEFAF" w:rsidR="000F20E5" w:rsidRPr="00E664AB" w:rsidRDefault="000F20E5" w:rsidP="000F20E5">
      <w:pPr>
        <w:pStyle w:val="CH2"/>
        <w:rPr>
          <w:lang w:val="es-ES_tradnl"/>
        </w:rPr>
      </w:pPr>
      <w:r w:rsidRPr="00E664AB">
        <w:rPr>
          <w:lang w:val="es-ES_tradnl"/>
        </w:rPr>
        <w:tab/>
      </w:r>
      <w:r w:rsidRPr="00E664AB">
        <w:rPr>
          <w:lang w:val="es-ES_tradnl"/>
        </w:rPr>
        <w:tab/>
      </w:r>
      <w:r w:rsidRPr="00E664AB">
        <w:rPr>
          <w:bCs/>
          <w:lang w:val="es-ES_tradnl"/>
        </w:rPr>
        <w:t>Presupuesto aprobado para 2027 y presupuesto indicativo para 2028 del fondo fiduciario para el Protocolo de Montrea</w:t>
      </w:r>
      <w:r w:rsidR="00E664AB" w:rsidRPr="00E664AB">
        <w:rPr>
          <w:bCs/>
          <w:lang w:val="es-ES_tradnl"/>
        </w:rPr>
        <w:t>l</w:t>
      </w:r>
      <w:r w:rsidRPr="00E664AB">
        <w:rPr>
          <w:bCs/>
          <w:lang w:val="es-ES_tradnl"/>
        </w:rPr>
        <w:t xml:space="preserve"> y contribuciones de las Partes al fondo fiduciario</w:t>
      </w:r>
    </w:p>
    <w:p w14:paraId="155E418B" w14:textId="6969A8B7" w:rsidR="000F20E5" w:rsidRPr="00E664AB" w:rsidRDefault="000F20E5" w:rsidP="007921BB">
      <w:pPr>
        <w:pStyle w:val="NormalNonumber"/>
        <w:spacing w:before="120"/>
        <w:rPr>
          <w:b/>
          <w:bCs/>
          <w:sz w:val="18"/>
          <w:lang w:val="es-ES_tradnl"/>
        </w:rPr>
      </w:pPr>
      <w:r w:rsidRPr="00E664AB">
        <w:rPr>
          <w:sz w:val="18"/>
          <w:lang w:val="es-ES_tradnl"/>
        </w:rPr>
        <w:t xml:space="preserve">Cuadro 1 </w:t>
      </w:r>
      <w:r w:rsidR="00385DBA" w:rsidRPr="00E664AB">
        <w:rPr>
          <w:sz w:val="18"/>
          <w:lang w:val="es-ES_tradnl"/>
        </w:rPr>
        <w:br/>
      </w:r>
      <w:r w:rsidRPr="00E664AB">
        <w:rPr>
          <w:b/>
          <w:bCs/>
          <w:sz w:val="18"/>
          <w:lang w:val="es-ES_tradnl"/>
        </w:rPr>
        <w:t>Presupuesto aprobado para 2027 y presupuesto indicativo para 2028 del fondo fiduciario para el Protocolo</w:t>
      </w:r>
      <w:r w:rsidR="00E664AB" w:rsidRPr="00E664AB">
        <w:rPr>
          <w:b/>
          <w:bCs/>
          <w:sz w:val="18"/>
          <w:lang w:val="es-ES_tradnl"/>
        </w:rPr>
        <w:t> </w:t>
      </w:r>
      <w:r w:rsidRPr="00E664AB">
        <w:rPr>
          <w:b/>
          <w:bCs/>
          <w:sz w:val="18"/>
          <w:lang w:val="es-ES_tradnl"/>
        </w:rPr>
        <w:t>de Montreal (dólares de los Estados Unidos)</w:t>
      </w:r>
    </w:p>
    <w:p w14:paraId="5C052F29" w14:textId="77777777" w:rsidR="000F20E5" w:rsidRPr="00E664AB" w:rsidRDefault="000F20E5" w:rsidP="000F20E5">
      <w:pPr>
        <w:pStyle w:val="NormalNonumber"/>
        <w:rPr>
          <w:lang w:val="es-ES_tradnl"/>
        </w:rPr>
      </w:pPr>
      <w:r w:rsidRPr="00E664AB">
        <w:rPr>
          <w:lang w:val="es-ES_tradnl"/>
        </w:rPr>
        <w:t>[--]</w:t>
      </w:r>
    </w:p>
    <w:p w14:paraId="4DEF248A" w14:textId="77777777" w:rsidR="000F20E5" w:rsidRPr="00E664AB" w:rsidRDefault="000F20E5" w:rsidP="000F20E5">
      <w:pPr>
        <w:pStyle w:val="CH3"/>
        <w:rPr>
          <w:lang w:val="es-ES_tradnl"/>
        </w:rPr>
      </w:pPr>
      <w:r w:rsidRPr="00E664AB">
        <w:rPr>
          <w:lang w:val="es-ES_tradnl"/>
        </w:rPr>
        <w:tab/>
      </w:r>
      <w:r w:rsidRPr="00E664AB">
        <w:rPr>
          <w:lang w:val="es-ES_tradnl"/>
        </w:rPr>
        <w:tab/>
      </w:r>
      <w:r w:rsidRPr="00E664AB">
        <w:rPr>
          <w:bCs/>
          <w:lang w:val="es-ES_tradnl"/>
        </w:rPr>
        <w:t>Apéndice del cuadro 1</w:t>
      </w:r>
    </w:p>
    <w:p w14:paraId="6A59AA81" w14:textId="4A749C47" w:rsidR="000F20E5" w:rsidRPr="00E664AB" w:rsidRDefault="000F20E5" w:rsidP="000F20E5">
      <w:pPr>
        <w:pStyle w:val="NormalNonumber"/>
        <w:rPr>
          <w:b/>
          <w:bCs/>
          <w:lang w:val="es-ES_tradnl"/>
        </w:rPr>
      </w:pPr>
      <w:r w:rsidRPr="00E664AB">
        <w:rPr>
          <w:b/>
          <w:bCs/>
          <w:lang w:val="es-ES_tradnl"/>
        </w:rPr>
        <w:t>Notas explicativas del presupuesto de 2027 del fondo fiduciario del Protocolo de Montreal</w:t>
      </w:r>
      <w:r w:rsidRPr="00E664AB">
        <w:rPr>
          <w:lang w:val="es-ES_tradnl"/>
        </w:rPr>
        <w:t xml:space="preserve"> </w:t>
      </w:r>
    </w:p>
    <w:p w14:paraId="0CEF180B" w14:textId="77777777" w:rsidR="000F20E5" w:rsidRPr="00E664AB" w:rsidRDefault="000F20E5" w:rsidP="000F20E5">
      <w:pPr>
        <w:pStyle w:val="NormalNonumber"/>
        <w:rPr>
          <w:lang w:val="es-ES_tradnl"/>
        </w:rPr>
      </w:pPr>
      <w:r w:rsidRPr="00E664AB">
        <w:rPr>
          <w:lang w:val="es-ES_tradnl"/>
        </w:rPr>
        <w:t>[--]</w:t>
      </w:r>
    </w:p>
    <w:p w14:paraId="4B7A172A" w14:textId="15DB2F40" w:rsidR="000F20E5" w:rsidRPr="00E664AB" w:rsidRDefault="000F20E5" w:rsidP="000F20E5">
      <w:pPr>
        <w:pStyle w:val="NormalNonumber"/>
        <w:spacing w:before="120"/>
        <w:rPr>
          <w:sz w:val="18"/>
          <w:szCs w:val="18"/>
          <w:lang w:val="es-ES_tradnl"/>
        </w:rPr>
      </w:pPr>
      <w:r w:rsidRPr="00E664AB">
        <w:rPr>
          <w:sz w:val="18"/>
          <w:szCs w:val="18"/>
          <w:lang w:val="es-ES_tradnl"/>
        </w:rPr>
        <w:t>Cuadro 2</w:t>
      </w:r>
      <w:r w:rsidRPr="00E664AB">
        <w:rPr>
          <w:b/>
          <w:bCs/>
          <w:sz w:val="18"/>
          <w:szCs w:val="18"/>
          <w:lang w:val="es-ES_tradnl"/>
        </w:rPr>
        <w:t xml:space="preserve"> </w:t>
      </w:r>
      <w:r w:rsidR="00385DBA" w:rsidRPr="00E664AB">
        <w:rPr>
          <w:b/>
          <w:bCs/>
          <w:sz w:val="18"/>
          <w:szCs w:val="18"/>
          <w:lang w:val="es-ES_tradnl"/>
        </w:rPr>
        <w:br/>
      </w:r>
      <w:r w:rsidRPr="00E664AB">
        <w:rPr>
          <w:b/>
          <w:bCs/>
          <w:sz w:val="18"/>
          <w:szCs w:val="18"/>
          <w:lang w:val="es-ES_tradnl"/>
        </w:rPr>
        <w:t>Contribuciones de las Partes al fondo fiduciario para el Protocolo de Montreal (dólares de los Estados</w:t>
      </w:r>
      <w:r w:rsidR="00E664AB" w:rsidRPr="00E664AB">
        <w:rPr>
          <w:b/>
          <w:bCs/>
          <w:sz w:val="18"/>
          <w:szCs w:val="18"/>
          <w:lang w:val="es-ES_tradnl"/>
        </w:rPr>
        <w:t> </w:t>
      </w:r>
      <w:r w:rsidRPr="00E664AB">
        <w:rPr>
          <w:b/>
          <w:bCs/>
          <w:sz w:val="18"/>
          <w:szCs w:val="18"/>
          <w:lang w:val="es-ES_tradnl"/>
        </w:rPr>
        <w:t>Unidos)</w:t>
      </w:r>
    </w:p>
    <w:p w14:paraId="25D796CD" w14:textId="77777777" w:rsidR="000F20E5" w:rsidRPr="00E664AB" w:rsidRDefault="000F20E5" w:rsidP="000F20E5">
      <w:pPr>
        <w:pStyle w:val="NormalNonumber"/>
        <w:rPr>
          <w:lang w:val="es-ES_tradnl"/>
        </w:rPr>
      </w:pPr>
      <w:r w:rsidRPr="00E664AB">
        <w:rPr>
          <w:lang w:val="es-ES_tradnl"/>
        </w:rPr>
        <w:t>[--]]</w:t>
      </w:r>
      <w:bookmarkEnd w:id="1"/>
    </w:p>
    <w:p w14:paraId="5AC10991" w14:textId="0717D821" w:rsidR="000F20E5" w:rsidRPr="00E664AB" w:rsidRDefault="007921BB" w:rsidP="007921BB">
      <w:pPr>
        <w:pStyle w:val="CH2"/>
        <w:rPr>
          <w:lang w:val="es-ES_tradnl"/>
        </w:rPr>
      </w:pPr>
      <w:r w:rsidRPr="00E664AB">
        <w:rPr>
          <w:lang w:val="es-ES_tradnl"/>
        </w:rPr>
        <w:tab/>
      </w:r>
      <w:r w:rsidRPr="00E664AB">
        <w:rPr>
          <w:bCs/>
          <w:lang w:val="es-ES_tradnl"/>
        </w:rPr>
        <w:t>[B.</w:t>
      </w:r>
      <w:r w:rsidRPr="00E664AB">
        <w:rPr>
          <w:lang w:val="es-ES_tradnl"/>
        </w:rPr>
        <w:tab/>
      </w:r>
      <w:r w:rsidRPr="00E664AB">
        <w:rPr>
          <w:bCs/>
          <w:lang w:val="es-ES_tradnl"/>
        </w:rPr>
        <w:t>[Proyecto de decisión XXXVIII/[BB]: reposición del Fondo Multilateral para la Aplicación del Protocolo de Montreal para el trienio 2027-2029</w:t>
      </w:r>
    </w:p>
    <w:p w14:paraId="3A98EA60" w14:textId="77777777" w:rsidR="000F20E5" w:rsidRPr="00E664AB" w:rsidRDefault="000F20E5" w:rsidP="00B32177">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 decide:</w:t>
      </w:r>
    </w:p>
    <w:p w14:paraId="17643188" w14:textId="6B5C7F04" w:rsidR="000F20E5" w:rsidRPr="00E664AB" w:rsidRDefault="000F20E5" w:rsidP="00B32177">
      <w:pPr>
        <w:pStyle w:val="NormalNonumber"/>
        <w:numPr>
          <w:ilvl w:val="0"/>
          <w:numId w:val="28"/>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Aprobar un presupuesto para el Fondo Multilateral para la Aplicación del Protocolo de Montreal relativo a las Sustancias que Agotan la Capa de Ozono para el trienio 2027-2029 de [--] millones de dólares de los Estados Unidos, en el entendimiento de que [--] dólares de ese presupuesto procederán de contribuciones anticipadas adeudadas al Fondo Multilateral y otras fuentes correspondientes al trienio 2024-2026 y que [--]dólares procederán de intereses devengados por</w:t>
      </w:r>
      <w:r w:rsidR="00E664AB" w:rsidRPr="00E664AB">
        <w:rPr>
          <w:lang w:val="es-ES_tradnl"/>
        </w:rPr>
        <w:t> </w:t>
      </w:r>
      <w:r w:rsidRPr="00E664AB">
        <w:rPr>
          <w:lang w:val="es-ES_tradnl"/>
        </w:rPr>
        <w:t>el</w:t>
      </w:r>
      <w:r w:rsidR="00E664AB" w:rsidRPr="00E664AB">
        <w:rPr>
          <w:lang w:val="es-ES_tradnl"/>
        </w:rPr>
        <w:t> </w:t>
      </w:r>
      <w:r w:rsidRPr="00E664AB">
        <w:rPr>
          <w:lang w:val="es-ES_tradnl"/>
        </w:rPr>
        <w:t>Fondo durante el trienio 2027-2029;</w:t>
      </w:r>
    </w:p>
    <w:p w14:paraId="79CCDAE9" w14:textId="5DA8326F" w:rsidR="000F20E5" w:rsidRPr="00E664AB" w:rsidRDefault="000F20E5" w:rsidP="00B32177">
      <w:pPr>
        <w:pStyle w:val="NormalNonumber"/>
        <w:numPr>
          <w:ilvl w:val="0"/>
          <w:numId w:val="28"/>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Adoptar la escala de cuotas para el Fondo Multilateral sobre la base de la reposición de</w:t>
      </w:r>
      <w:r w:rsidR="00E664AB" w:rsidRPr="00E664AB">
        <w:rPr>
          <w:lang w:val="es-ES_tradnl"/>
        </w:rPr>
        <w:t> </w:t>
      </w:r>
      <w:r w:rsidRPr="00E664AB">
        <w:rPr>
          <w:lang w:val="es-ES_tradnl"/>
        </w:rPr>
        <w:t>[--] millones de dólares para 2027, [--] millones de dólares para 2028 y [--] millones de dólares para</w:t>
      </w:r>
      <w:r w:rsidR="0011298F">
        <w:rPr>
          <w:lang w:val="es-ES_tradnl"/>
        </w:rPr>
        <w:t> </w:t>
      </w:r>
      <w:r w:rsidRPr="00E664AB">
        <w:rPr>
          <w:lang w:val="es-ES_tradnl"/>
        </w:rPr>
        <w:t>2029, como figura en el anexo [--] de la presente decisión;</w:t>
      </w:r>
    </w:p>
    <w:p w14:paraId="42F718CD" w14:textId="4DA36A46" w:rsidR="000F20E5" w:rsidRPr="00E664AB" w:rsidRDefault="000F20E5" w:rsidP="00B32177">
      <w:pPr>
        <w:pStyle w:val="NormalNonumber"/>
        <w:numPr>
          <w:ilvl w:val="0"/>
          <w:numId w:val="28"/>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 xml:space="preserve">Que el Comité Ejecutivo del Fondo Multilateral adopte medidas para asegurar que, siempre que sea posible, la totalidad del presupuesto para el trienio 2027-2029 se haya comprometido </w:t>
      </w:r>
      <w:r w:rsidRPr="00E664AB">
        <w:rPr>
          <w:lang w:val="es-ES_tradnl"/>
        </w:rPr>
        <w:lastRenderedPageBreak/>
        <w:t>a finales de 2029, y que las Partes que no operan al amparo del párrafo 1 del artículo 5 hagan efectivos sus pagos puntualmente, de conformidad con lo estipulado en el párrafo 7 de la decisión XI/6.]</w:t>
      </w:r>
    </w:p>
    <w:p w14:paraId="1C7F4991" w14:textId="5BA53633" w:rsidR="000F20E5" w:rsidRPr="00E664AB" w:rsidRDefault="000F20E5" w:rsidP="000E79B5">
      <w:pPr>
        <w:pStyle w:val="CH2"/>
        <w:rPr>
          <w:lang w:val="es-ES_tradnl"/>
        </w:rPr>
      </w:pPr>
      <w:r w:rsidRPr="00E664AB">
        <w:rPr>
          <w:lang w:val="es-ES_tradnl"/>
        </w:rPr>
        <w:tab/>
      </w:r>
      <w:r w:rsidRPr="00E664AB">
        <w:rPr>
          <w:bCs/>
          <w:lang w:val="es-ES_tradnl"/>
        </w:rPr>
        <w:t>[C.</w:t>
      </w:r>
      <w:r w:rsidRPr="00E664AB">
        <w:rPr>
          <w:lang w:val="es-ES_tradnl"/>
        </w:rPr>
        <w:tab/>
      </w:r>
      <w:r w:rsidRPr="00E664AB">
        <w:rPr>
          <w:bCs/>
          <w:lang w:val="es-ES_tradnl"/>
        </w:rPr>
        <w:t>Proyecto de decisión XXXVIII/[CC]: prórroga del mecanismo de tipo de</w:t>
      </w:r>
      <w:r w:rsidR="0011298F">
        <w:rPr>
          <w:bCs/>
          <w:lang w:val="es-ES_tradnl"/>
        </w:rPr>
        <w:t> </w:t>
      </w:r>
      <w:r w:rsidRPr="00E664AB">
        <w:rPr>
          <w:bCs/>
          <w:lang w:val="es-ES_tradnl"/>
        </w:rPr>
        <w:t>cambio fijo hasta la reposición del Fondo Multilateral para el trienio</w:t>
      </w:r>
      <w:r w:rsidR="0011298F">
        <w:rPr>
          <w:bCs/>
          <w:lang w:val="es-ES_tradnl"/>
        </w:rPr>
        <w:t> </w:t>
      </w:r>
      <w:r w:rsidRPr="00E664AB">
        <w:rPr>
          <w:bCs/>
          <w:lang w:val="es-ES_tradnl"/>
        </w:rPr>
        <w:t>2027-2029</w:t>
      </w:r>
    </w:p>
    <w:p w14:paraId="5A35F207" w14:textId="77777777" w:rsidR="000F20E5" w:rsidRPr="00E664AB" w:rsidRDefault="000F20E5" w:rsidP="000E79B5">
      <w:pPr>
        <w:pStyle w:val="NormalNonumber"/>
        <w:keepNext/>
        <w:keepLines/>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 decide:</w:t>
      </w:r>
    </w:p>
    <w:p w14:paraId="6292D2C7" w14:textId="2C9442B0" w:rsidR="000F20E5" w:rsidRPr="00E664AB" w:rsidRDefault="000F20E5" w:rsidP="000E79B5">
      <w:pPr>
        <w:pStyle w:val="NormalNonumber"/>
        <w:keepNext/>
        <w:keepLines/>
        <w:numPr>
          <w:ilvl w:val="0"/>
          <w:numId w:val="2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Instruir al Tesorero para que prorrogue el mecanismo de tipo de cambio fijo hasta el trienio 2027-2029;</w:t>
      </w:r>
    </w:p>
    <w:p w14:paraId="35AD0D23" w14:textId="7B2AEBAE" w:rsidR="000F20E5" w:rsidRPr="00E664AB" w:rsidRDefault="000F20E5" w:rsidP="006570A0">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Que las Partes que opten por pagar sus cuotas al Fondo Multilateral para la Aplicación del Protocolo de Montreal en su moneda nacional calculen sus aportaciones sobre la base del tipo de cambio medio de las Naciones Unidas durante el semestre que comenzó el 1 de enero de 2026;</w:t>
      </w:r>
    </w:p>
    <w:p w14:paraId="4ADDC052" w14:textId="77777777" w:rsidR="000F20E5" w:rsidRPr="00E664AB" w:rsidRDefault="000F20E5" w:rsidP="006570A0">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Que, con sujeción a lo dispuesto en el párrafo 4 de la presente decisión, las Partes que no opten por pagar en su moneda nacional según lo establecido en el mecanismo de tipo de cambio fijo sigan efectuando sus pagos en dólares de los Estados Unidos;</w:t>
      </w:r>
    </w:p>
    <w:p w14:paraId="3827E401" w14:textId="77777777" w:rsidR="000F20E5" w:rsidRPr="00E664AB" w:rsidRDefault="000F20E5" w:rsidP="006570A0">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Que ninguna Parte podrá cambiar la moneda seleccionada para efectuar sus pagos durante el trienio 2027-2029;</w:t>
      </w:r>
    </w:p>
    <w:p w14:paraId="6D62C883" w14:textId="7C442E0A" w:rsidR="000F20E5" w:rsidRPr="00E664AB" w:rsidRDefault="000F20E5" w:rsidP="006570A0">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Que solo las Partes con fluctuaciones de la tasa de inflación inferiores al 10</w:t>
      </w:r>
      <w:r w:rsidR="00E4102D" w:rsidRPr="00E664AB">
        <w:rPr>
          <w:lang w:val="es-ES_tradnl"/>
        </w:rPr>
        <w:t> %</w:t>
      </w:r>
      <w:r w:rsidRPr="00E664AB">
        <w:rPr>
          <w:lang w:val="es-ES_tradnl"/>
        </w:rPr>
        <w:t xml:space="preserve"> durante el trienio anterior, de conformidad con las cifras publicadas por el Fondo Monetario Internacional, podrán valerse del mecanismo de tipo de cambio fijo;</w:t>
      </w:r>
    </w:p>
    <w:p w14:paraId="01B334BE" w14:textId="77777777" w:rsidR="000F20E5" w:rsidRPr="00E664AB" w:rsidRDefault="000F20E5" w:rsidP="006570A0">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Instar a las Partes a que paguen sus cuotas al Fondo Multilateral íntegramente y cuanto antes, de conformidad con lo dispuesto en el párrafo 7 de la decisión XI/6;</w:t>
      </w:r>
    </w:p>
    <w:p w14:paraId="52FB06E8" w14:textId="4CBDCCCE" w:rsidR="000F20E5" w:rsidRPr="00E664AB" w:rsidRDefault="000F20E5" w:rsidP="006570A0">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Acordar que, si se va a utilizar el mecanismo de tipo de cambio fijo para el período de reposición 2030-2032, las Partes que opten por pagar sus cuotas en moneda nacional calculen el importe de sus contribuciones sobre la base del tipo de cambio medio aplicado por las Naciones Unidas durante el semestre que comienza el 1 de enero o el 1 de julio y acaba al menos tres meses antes de la reposición que se decida.]</w:t>
      </w:r>
    </w:p>
    <w:p w14:paraId="0344E0BB" w14:textId="77777777" w:rsidR="000F20E5" w:rsidRPr="00E664AB" w:rsidRDefault="000F20E5" w:rsidP="00D94C0E">
      <w:pPr>
        <w:pStyle w:val="CH2"/>
        <w:rPr>
          <w:lang w:val="es-ES_tradnl"/>
        </w:rPr>
      </w:pPr>
      <w:r w:rsidRPr="00E664AB">
        <w:rPr>
          <w:lang w:val="es-ES_tradnl"/>
        </w:rPr>
        <w:tab/>
      </w:r>
      <w:r w:rsidRPr="00E664AB">
        <w:rPr>
          <w:bCs/>
          <w:lang w:val="es-ES_tradnl"/>
        </w:rPr>
        <w:t>[D.</w:t>
      </w:r>
      <w:r w:rsidRPr="00E664AB">
        <w:rPr>
          <w:lang w:val="es-ES_tradnl"/>
        </w:rPr>
        <w:tab/>
      </w:r>
      <w:r w:rsidRPr="00E664AB">
        <w:rPr>
          <w:bCs/>
          <w:lang w:val="es-ES_tradnl"/>
        </w:rPr>
        <w:t>Proyecto de decisión XXXVIII/[DDD]: composición del Comité de Aplicación</w:t>
      </w:r>
    </w:p>
    <w:p w14:paraId="046E2660" w14:textId="77777777" w:rsidR="000F20E5" w:rsidRPr="00E664AB" w:rsidRDefault="000F20E5" w:rsidP="00D94C0E">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 decide:</w:t>
      </w:r>
    </w:p>
    <w:p w14:paraId="10C2EC73" w14:textId="77777777" w:rsidR="000F20E5" w:rsidRPr="00E664AB" w:rsidRDefault="000F20E5" w:rsidP="000F20E5">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Hacer notar con aprecio la labor realizada en 2026 por el Comité de Aplicación establecido con arreglo al Procedimiento relativo al Incumplimiento del Protocolo de Montreal relativo a las Sustancias que Agotan la Capa de Ozono;</w:t>
      </w:r>
    </w:p>
    <w:p w14:paraId="20F5AB65" w14:textId="7E87C945" w:rsidR="000F20E5" w:rsidRPr="00E664AB" w:rsidRDefault="000F20E5" w:rsidP="000F20E5">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 xml:space="preserve">Confirmar los puestos de Azerbaiyán, el Ecuador, Kenya, el Líbano y Noruega como miembros del Comité hasta el 31 de diciembre de 2027, y nombrar a -------, -------, -------, ------- y </w:t>
      </w:r>
      <w:r w:rsidR="0011298F">
        <w:rPr>
          <w:lang w:val="es-ES_tradnl"/>
        </w:rPr>
        <w:br/>
      </w:r>
      <w:r w:rsidRPr="00E664AB">
        <w:rPr>
          <w:lang w:val="es-ES_tradnl"/>
        </w:rPr>
        <w:t>------- como miembros del Comité con un mandato de dos años a partir del 1 de enero de 2027;</w:t>
      </w:r>
    </w:p>
    <w:p w14:paraId="0BBD120E" w14:textId="3A415CCB" w:rsidR="000F20E5" w:rsidRPr="00E664AB" w:rsidRDefault="000F20E5" w:rsidP="000F20E5">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 xml:space="preserve">Tomar nota de la elección de ------- (-------) como Presidente del Comité y de ------- </w:t>
      </w:r>
      <w:r w:rsidR="0011298F">
        <w:rPr>
          <w:lang w:val="es-ES_tradnl"/>
        </w:rPr>
        <w:br/>
      </w:r>
      <w:r w:rsidRPr="00E664AB">
        <w:rPr>
          <w:lang w:val="es-ES_tradnl"/>
        </w:rPr>
        <w:t>(-------) como Vicepresidente y Relator por un año, a partir del 1 de enero de 2027.]</w:t>
      </w:r>
    </w:p>
    <w:p w14:paraId="6F6A626F" w14:textId="77777777" w:rsidR="000F20E5" w:rsidRPr="00E664AB" w:rsidRDefault="000F20E5" w:rsidP="000F20E5">
      <w:pPr>
        <w:pStyle w:val="CH2"/>
        <w:rPr>
          <w:b w:val="0"/>
          <w:lang w:val="es-ES_tradnl"/>
        </w:rPr>
      </w:pPr>
      <w:r w:rsidRPr="00E664AB">
        <w:rPr>
          <w:lang w:val="es-ES_tradnl"/>
        </w:rPr>
        <w:tab/>
      </w:r>
      <w:r w:rsidRPr="00E664AB">
        <w:rPr>
          <w:bCs/>
          <w:lang w:val="es-ES_tradnl"/>
        </w:rPr>
        <w:t>[E.</w:t>
      </w:r>
      <w:r w:rsidRPr="00E664AB">
        <w:rPr>
          <w:lang w:val="es-ES_tradnl"/>
        </w:rPr>
        <w:tab/>
      </w:r>
      <w:r w:rsidRPr="00E664AB">
        <w:rPr>
          <w:bCs/>
          <w:lang w:val="es-ES_tradnl"/>
        </w:rPr>
        <w:t>Proyecto de decisión XXXVIII/[EEE]: composición del Comité Ejecutivo del Fondo Multilateral</w:t>
      </w:r>
    </w:p>
    <w:p w14:paraId="5F4F3F7C" w14:textId="77777777" w:rsidR="000F20E5" w:rsidRPr="00E664AB" w:rsidRDefault="000F20E5" w:rsidP="00D94C0E">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 decide:</w:t>
      </w:r>
    </w:p>
    <w:p w14:paraId="7E4363B7" w14:textId="541767EA" w:rsidR="000F20E5" w:rsidRPr="00E664AB" w:rsidRDefault="000F20E5" w:rsidP="000F20E5">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Hacer notar con aprecio la labor realizada en 2026 por el Comité Ejecutivo del Fondo Multilateral para la Aplicación del Protocolo de Montreal relativo a las Sustancias que Agotan la Capa de Ozono, con la asistencia de la Secretaría del Fondo;</w:t>
      </w:r>
    </w:p>
    <w:p w14:paraId="7A55645B" w14:textId="7891B3FB" w:rsidR="000F20E5" w:rsidRPr="00E664AB" w:rsidRDefault="000F20E5" w:rsidP="000F20E5">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 xml:space="preserve">Hacer suya la selección de -------, -------, -------, -------, -------, ------- y ------- como miembros del Comité Ejecutivo en representación de las Partes que operan al amparo del párrafo 1 del artículo 5 del Protocolo de Montreal, y la selección de -------, -------, -------, -------, -------, ------- y </w:t>
      </w:r>
      <w:r w:rsidR="0011298F">
        <w:rPr>
          <w:lang w:val="es-ES_tradnl"/>
        </w:rPr>
        <w:br/>
      </w:r>
      <w:r w:rsidRPr="00E664AB">
        <w:rPr>
          <w:lang w:val="es-ES_tradnl"/>
        </w:rPr>
        <w:t>------- como miembros en representación de las Partes que no operan de ese modo, por un año a partir del 1 de enero de 2027;</w:t>
      </w:r>
    </w:p>
    <w:p w14:paraId="38F7E115" w14:textId="77777777" w:rsidR="000F20E5" w:rsidRPr="00E664AB" w:rsidRDefault="000F20E5" w:rsidP="000F20E5">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Tomar nota de la elección de ------- (-------) como Presidente y de ------- (-------) como Vicepresidente y Relator del Comité Ejecutivo por un año, a partir del 1 de enero de 2027.]</w:t>
      </w:r>
    </w:p>
    <w:p w14:paraId="1882BD5F" w14:textId="77777777" w:rsidR="000F20E5" w:rsidRPr="00E664AB" w:rsidRDefault="000F20E5" w:rsidP="008338CA">
      <w:pPr>
        <w:pStyle w:val="CH2"/>
        <w:rPr>
          <w:lang w:val="es-ES_tradnl"/>
        </w:rPr>
      </w:pPr>
      <w:r w:rsidRPr="00E664AB">
        <w:rPr>
          <w:lang w:val="es-ES_tradnl"/>
        </w:rPr>
        <w:lastRenderedPageBreak/>
        <w:tab/>
      </w:r>
      <w:r w:rsidRPr="00E664AB">
        <w:rPr>
          <w:bCs/>
          <w:lang w:val="es-ES_tradnl"/>
        </w:rPr>
        <w:t>[F.</w:t>
      </w:r>
      <w:r w:rsidRPr="00E664AB">
        <w:rPr>
          <w:lang w:val="es-ES_tradnl"/>
        </w:rPr>
        <w:tab/>
      </w:r>
      <w:r w:rsidRPr="00E664AB">
        <w:rPr>
          <w:bCs/>
          <w:lang w:val="es-ES_tradnl"/>
        </w:rPr>
        <w:t>Proyecto de decisión XXXVIII/[FFF]: copresidencias del Grupo de Trabajo de composición abierta de las Partes en el Protocolo de Montreal</w:t>
      </w:r>
    </w:p>
    <w:p w14:paraId="6AA797B6" w14:textId="77777777" w:rsidR="000F20E5" w:rsidRPr="00E664AB" w:rsidRDefault="000F20E5" w:rsidP="008338CA">
      <w:pPr>
        <w:pStyle w:val="NormalNonumber"/>
        <w:keepNext/>
        <w:keepLines/>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 decide:</w:t>
      </w:r>
    </w:p>
    <w:p w14:paraId="3A7415C8" w14:textId="72234BDC" w:rsidR="000F20E5" w:rsidRPr="00E664AB" w:rsidRDefault="000F20E5" w:rsidP="008338CA">
      <w:pPr>
        <w:pStyle w:val="Normal-pool"/>
        <w:keepNext/>
        <w:keepLines/>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Hacer suya la selección de ------- (-------) y ------- (-------) para que asuman la Copresidencia</w:t>
      </w:r>
      <w:r w:rsidR="00E4102D" w:rsidRPr="00E664AB">
        <w:rPr>
          <w:lang w:val="es-ES_tradnl"/>
        </w:rPr>
        <w:t xml:space="preserve"> </w:t>
      </w:r>
      <w:r w:rsidRPr="00E664AB">
        <w:rPr>
          <w:lang w:val="es-ES_tradnl"/>
        </w:rPr>
        <w:t>del Grupo de Trabajo de composición abierta de las Partes en el Protocolo de Montreal relativo a las Sustancias que Agotan la Capa de Ozono en 2027.]</w:t>
      </w:r>
    </w:p>
    <w:p w14:paraId="12746C61" w14:textId="77777777" w:rsidR="000F20E5" w:rsidRPr="00E664AB" w:rsidRDefault="000F20E5" w:rsidP="008777AF">
      <w:pPr>
        <w:pStyle w:val="CH2"/>
        <w:rPr>
          <w:lang w:val="es-ES_tradnl"/>
        </w:rPr>
      </w:pPr>
      <w:r w:rsidRPr="00E664AB">
        <w:rPr>
          <w:lang w:val="es-ES_tradnl"/>
        </w:rPr>
        <w:tab/>
      </w:r>
      <w:r w:rsidRPr="00E664AB">
        <w:rPr>
          <w:bCs/>
          <w:lang w:val="es-ES_tradnl"/>
        </w:rPr>
        <w:t>[G.</w:t>
      </w:r>
      <w:r w:rsidRPr="00E664AB">
        <w:rPr>
          <w:lang w:val="es-ES_tradnl"/>
        </w:rPr>
        <w:tab/>
      </w:r>
      <w:r w:rsidRPr="00E664AB">
        <w:rPr>
          <w:bCs/>
          <w:lang w:val="es-ES_tradnl"/>
        </w:rPr>
        <w:t>Proyecto de decisión XXXVIII/[GGG]: estado de la ratificación de la Enmienda de Kigali al Protocolo de Montreal</w:t>
      </w:r>
    </w:p>
    <w:p w14:paraId="176E8D19" w14:textId="77777777" w:rsidR="000F20E5" w:rsidRPr="00E664AB" w:rsidRDefault="000F20E5" w:rsidP="00D94C0E">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 decide:</w:t>
      </w:r>
    </w:p>
    <w:p w14:paraId="0727B2FB" w14:textId="77777777" w:rsidR="000F20E5" w:rsidRPr="00E664AB" w:rsidRDefault="000F20E5" w:rsidP="000F20E5">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Tomar nota de que, a 1 de noviembre de 2026, [--] Partes habían ratificado, aprobado o aceptado la Enmienda de Kigali al Protocolo de Montreal relativo a las Sustancias que Agotan la Capa de Ozono;</w:t>
      </w:r>
    </w:p>
    <w:p w14:paraId="1909F1D2" w14:textId="460BF64C" w:rsidR="000F20E5" w:rsidRPr="00E664AB" w:rsidRDefault="000F20E5" w:rsidP="000F20E5">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s-ES_tradnl"/>
        </w:rPr>
      </w:pPr>
      <w:r w:rsidRPr="00E664AB">
        <w:rPr>
          <w:lang w:val="es-ES_tradnl"/>
        </w:rPr>
        <w:t>Instar a todas las Partes que aún no lo hayan hecho a que ratifiquen, aprueben o acepten la Enmienda de Kigali a fin de garantizar una amplia participación y alcanzar los objetivos de</w:t>
      </w:r>
      <w:r w:rsidR="0011298F">
        <w:rPr>
          <w:lang w:val="es-ES_tradnl"/>
        </w:rPr>
        <w:t> </w:t>
      </w:r>
      <w:r w:rsidRPr="00E664AB">
        <w:rPr>
          <w:lang w:val="es-ES_tradnl"/>
        </w:rPr>
        <w:t>la Enmienda.]</w:t>
      </w:r>
    </w:p>
    <w:p w14:paraId="2D8EC654" w14:textId="77777777" w:rsidR="000F20E5" w:rsidRPr="00E664AB" w:rsidRDefault="000F20E5" w:rsidP="008777AF">
      <w:pPr>
        <w:pStyle w:val="CH2"/>
        <w:rPr>
          <w:lang w:val="es-ES_tradnl"/>
        </w:rPr>
      </w:pPr>
      <w:r w:rsidRPr="00E664AB">
        <w:rPr>
          <w:lang w:val="es-ES_tradnl"/>
        </w:rPr>
        <w:tab/>
      </w:r>
      <w:r w:rsidRPr="00E664AB">
        <w:rPr>
          <w:bCs/>
          <w:lang w:val="es-ES_tradnl"/>
        </w:rPr>
        <w:t>[H.</w:t>
      </w:r>
      <w:r w:rsidRPr="00E664AB">
        <w:rPr>
          <w:lang w:val="es-ES_tradnl"/>
        </w:rPr>
        <w:tab/>
      </w:r>
      <w:r w:rsidRPr="00E664AB">
        <w:rPr>
          <w:bCs/>
          <w:lang w:val="es-ES_tradnl"/>
        </w:rPr>
        <w:t>Proyecto de decisión XXXVIII/[HHH]: 39ª Reunión de las Partes en el Protocolo de Montreal</w:t>
      </w:r>
    </w:p>
    <w:p w14:paraId="595B5177" w14:textId="77777777" w:rsidR="000F20E5" w:rsidRPr="00E664AB" w:rsidRDefault="000F20E5" w:rsidP="00D94C0E">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E664AB">
        <w:rPr>
          <w:i/>
          <w:iCs/>
          <w:lang w:val="es-ES_tradnl"/>
        </w:rPr>
        <w:t>La 38ª Reunión de las Partes decide:</w:t>
      </w:r>
    </w:p>
    <w:p w14:paraId="1F5130FA" w14:textId="77777777" w:rsidR="000F20E5" w:rsidRPr="00E664AB" w:rsidRDefault="000F20E5" w:rsidP="000F20E5">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E664AB">
        <w:rPr>
          <w:lang w:val="es-ES_tradnl"/>
        </w:rPr>
        <w:t>Convocar la 39ª Reunión de las Partes en el Protocolo de Montreal relativo a las Sustancias que Agotan la Capa de Ozono en [--] del [--] al [--] de 2027.]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899"/>
        <w:gridCol w:w="1899"/>
        <w:gridCol w:w="1899"/>
        <w:gridCol w:w="1900"/>
      </w:tblGrid>
      <w:tr w:rsidR="0011298F" w:rsidRPr="00811BAB" w14:paraId="7B676935" w14:textId="77777777" w:rsidTr="00C627B0">
        <w:trPr>
          <w:trHeight w:val="199"/>
        </w:trPr>
        <w:tc>
          <w:tcPr>
            <w:tcW w:w="2899" w:type="dxa"/>
          </w:tcPr>
          <w:p w14:paraId="1F21F536" w14:textId="77777777" w:rsidR="0011298F" w:rsidRPr="00811BAB" w:rsidRDefault="0011298F" w:rsidP="00C627B0">
            <w:pPr>
              <w:pStyle w:val="Normal-pool"/>
              <w:spacing w:before="520"/>
              <w:rPr>
                <w:rFonts w:eastAsiaTheme="minorHAnsi"/>
                <w:lang w:val="fr-FR" w:eastAsia="zh-CN"/>
              </w:rPr>
            </w:pPr>
          </w:p>
        </w:tc>
        <w:tc>
          <w:tcPr>
            <w:tcW w:w="2899" w:type="dxa"/>
          </w:tcPr>
          <w:p w14:paraId="74C8DA7A" w14:textId="77777777" w:rsidR="0011298F" w:rsidRPr="00811BAB" w:rsidRDefault="0011298F" w:rsidP="00C627B0">
            <w:pPr>
              <w:pStyle w:val="Normal-pool"/>
              <w:spacing w:before="520"/>
              <w:rPr>
                <w:rFonts w:eastAsiaTheme="minorHAnsi"/>
                <w:lang w:val="fr-FR" w:eastAsia="zh-CN"/>
              </w:rPr>
            </w:pPr>
          </w:p>
        </w:tc>
        <w:tc>
          <w:tcPr>
            <w:tcW w:w="2899" w:type="dxa"/>
            <w:tcBorders>
              <w:bottom w:val="single" w:sz="4" w:space="0" w:color="auto"/>
            </w:tcBorders>
          </w:tcPr>
          <w:p w14:paraId="5872790F" w14:textId="77777777" w:rsidR="0011298F" w:rsidRPr="00811BAB" w:rsidRDefault="0011298F" w:rsidP="00C627B0">
            <w:pPr>
              <w:pStyle w:val="Normal-pool"/>
              <w:spacing w:before="520"/>
              <w:rPr>
                <w:rFonts w:eastAsiaTheme="minorHAnsi"/>
                <w:lang w:val="fr-FR" w:eastAsia="zh-CN"/>
              </w:rPr>
            </w:pPr>
          </w:p>
        </w:tc>
        <w:tc>
          <w:tcPr>
            <w:tcW w:w="2899" w:type="dxa"/>
          </w:tcPr>
          <w:p w14:paraId="3A9B2AE9" w14:textId="77777777" w:rsidR="0011298F" w:rsidRPr="00811BAB" w:rsidRDefault="0011298F" w:rsidP="00C627B0">
            <w:pPr>
              <w:pStyle w:val="Normal-pool"/>
              <w:spacing w:before="520"/>
              <w:rPr>
                <w:rFonts w:eastAsiaTheme="minorHAnsi"/>
                <w:lang w:val="fr-FR" w:eastAsia="zh-CN"/>
              </w:rPr>
            </w:pPr>
          </w:p>
        </w:tc>
        <w:tc>
          <w:tcPr>
            <w:tcW w:w="2901" w:type="dxa"/>
          </w:tcPr>
          <w:p w14:paraId="6DCA0D26" w14:textId="77777777" w:rsidR="0011298F" w:rsidRPr="00811BAB" w:rsidRDefault="0011298F" w:rsidP="00C627B0">
            <w:pPr>
              <w:pStyle w:val="Normal-pool"/>
              <w:spacing w:before="520"/>
              <w:rPr>
                <w:rFonts w:eastAsiaTheme="minorHAnsi"/>
                <w:lang w:val="fr-FR" w:eastAsia="zh-CN"/>
              </w:rPr>
            </w:pPr>
          </w:p>
        </w:tc>
      </w:tr>
    </w:tbl>
    <w:p w14:paraId="763A04C9" w14:textId="58BB61B4" w:rsidR="00AD40EB" w:rsidRPr="00E664AB" w:rsidRDefault="00AD40EB" w:rsidP="008777AF">
      <w:pPr>
        <w:pStyle w:val="Normal-pool"/>
        <w:rPr>
          <w:rFonts w:eastAsiaTheme="minorEastAsia"/>
          <w:lang w:val="es-ES_tradnl"/>
        </w:rPr>
      </w:pPr>
    </w:p>
    <w:sectPr w:rsidR="00AD40EB" w:rsidRPr="00E664AB" w:rsidSect="000F20E5">
      <w:footerReference w:type="first" r:id="rId19"/>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19D9A" w14:textId="77777777" w:rsidR="0032169B" w:rsidRPr="00AD40EB" w:rsidRDefault="0032169B">
      <w:r w:rsidRPr="00AD40EB">
        <w:separator/>
      </w:r>
    </w:p>
  </w:endnote>
  <w:endnote w:type="continuationSeparator" w:id="0">
    <w:p w14:paraId="487312A1" w14:textId="77777777" w:rsidR="0032169B" w:rsidRPr="00AD40EB" w:rsidRDefault="0032169B">
      <w:r w:rsidRPr="00AD4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F558" w14:textId="44260B38" w:rsidR="000F20E5" w:rsidRPr="000F20E5" w:rsidRDefault="000F20E5" w:rsidP="000F20E5">
    <w:pPr>
      <w:pStyle w:val="Footer-pool"/>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3BC3C" w14:textId="3D5D6B58" w:rsidR="000F20E5" w:rsidRPr="000F20E5" w:rsidRDefault="000F20E5" w:rsidP="000F20E5">
    <w:pPr>
      <w:pStyle w:val="Footer-pool"/>
      <w:jc w:val="right"/>
    </w:pPr>
    <w:r>
      <w:fldChar w:fldCharType="begin"/>
    </w:r>
    <w:r>
      <w:instrText xml:space="preserve"> PAGE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2F13" w14:textId="1C057B7F" w:rsidR="000F20E5" w:rsidRDefault="00823FE1" w:rsidP="000F20E5">
    <w:pPr>
      <w:pStyle w:val="Footer-jobnumber"/>
    </w:pPr>
    <w:bookmarkStart w:id="0" w:name="FooterJobDate"/>
    <w:r>
      <w:t>UNON_DCS_2611685[</w:t>
    </w:r>
    <w:r w:rsidR="00532475">
      <w:t>S</w:t>
    </w:r>
    <w:r>
      <w:t>]</w:t>
    </w:r>
    <w:r>
      <w:tab/>
      <w:t>2</w:t>
    </w:r>
    <w:r w:rsidR="00532475">
      <w:t>409</w:t>
    </w:r>
    <w:r>
      <w:t>26</w:t>
    </w:r>
    <w:bookmarkEnd w:id="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C3C7" w14:textId="3CEEC2FA" w:rsidR="00AD40EB" w:rsidRPr="00AD40EB" w:rsidRDefault="00AD40EB" w:rsidP="00AD40EB">
    <w:pPr>
      <w:pStyle w:val="Footer-jobnumber"/>
    </w:pPr>
    <w:r w:rsidRPr="00AD40EB">
      <w:t>UNON_DCS_xxxxxx[E]</w:t>
    </w:r>
    <w:r w:rsidRPr="00AD40EB">
      <w:tab/>
      <w:t>120826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83E69" w14:textId="77777777" w:rsidR="0032169B" w:rsidRPr="00AD40EB" w:rsidRDefault="0032169B" w:rsidP="00C70B49">
      <w:pPr>
        <w:pStyle w:val="Footnote-Separator"/>
        <w:rPr>
          <w:szCs w:val="18"/>
        </w:rPr>
      </w:pPr>
      <w:r w:rsidRPr="00AD40EB">
        <w:separator/>
      </w:r>
    </w:p>
  </w:footnote>
  <w:footnote w:type="continuationSeparator" w:id="0">
    <w:p w14:paraId="7193CBF6" w14:textId="77777777" w:rsidR="0032169B" w:rsidRPr="00AD40EB" w:rsidRDefault="0032169B" w:rsidP="00C70B49">
      <w:pPr>
        <w:pStyle w:val="Footnote-Separator"/>
      </w:pPr>
      <w:r w:rsidRPr="00AD40EB">
        <w:continuationSeparator/>
      </w:r>
    </w:p>
  </w:footnote>
  <w:footnote w:type="continuationNotice" w:id="1">
    <w:p w14:paraId="1DB5EFBA" w14:textId="77777777" w:rsidR="0032169B" w:rsidRPr="00AD40EB" w:rsidRDefault="0032169B" w:rsidP="00C70B49">
      <w:pPr>
        <w:pStyle w:val="ASpacer"/>
      </w:pPr>
    </w:p>
  </w:footnote>
  <w:footnote w:id="2">
    <w:p w14:paraId="0D3D0D58" w14:textId="77777777" w:rsidR="000F20E5" w:rsidRPr="00123076" w:rsidRDefault="000F20E5" w:rsidP="00123076">
      <w:pPr>
        <w:pStyle w:val="Footnote-Text"/>
        <w:rPr>
          <w:szCs w:val="18"/>
        </w:rPr>
      </w:pPr>
      <w:r w:rsidRPr="00123076">
        <w:rPr>
          <w:rStyle w:val="FootnoteReference"/>
          <w:sz w:val="18"/>
          <w:lang w:val="es-ES"/>
        </w:rPr>
        <w:footnoteRef/>
      </w:r>
      <w:r>
        <w:rPr>
          <w:lang w:val="es-ES"/>
        </w:rPr>
        <w:t xml:space="preserve"> UNEP/OzL.Pro.4/15.</w:t>
      </w:r>
    </w:p>
  </w:footnote>
  <w:footnote w:id="3">
    <w:p w14:paraId="7A35921A" w14:textId="77777777" w:rsidR="000F20E5" w:rsidRPr="00123076" w:rsidRDefault="000F20E5" w:rsidP="00123076">
      <w:pPr>
        <w:pStyle w:val="Footnote-Text"/>
        <w:rPr>
          <w:szCs w:val="18"/>
        </w:rPr>
      </w:pPr>
      <w:r w:rsidRPr="00123076">
        <w:rPr>
          <w:rStyle w:val="FootnoteReference"/>
          <w:sz w:val="18"/>
          <w:lang w:val="es-ES"/>
        </w:rPr>
        <w:footnoteRef/>
      </w:r>
      <w:r>
        <w:rPr>
          <w:lang w:val="es-ES"/>
        </w:rPr>
        <w:t xml:space="preserve"> UNEP/OzL.Pro.37/7.</w:t>
      </w:r>
    </w:p>
  </w:footnote>
  <w:footnote w:id="4">
    <w:p w14:paraId="7432E4EE" w14:textId="2A92F7C6" w:rsidR="000F20E5" w:rsidRPr="00123076" w:rsidRDefault="000F20E5" w:rsidP="00123076">
      <w:pPr>
        <w:pStyle w:val="Footnote-Text"/>
        <w:rPr>
          <w:rStyle w:val="FootnoteReference"/>
          <w:sz w:val="18"/>
          <w:vertAlign w:val="baseline"/>
        </w:rPr>
      </w:pPr>
      <w:r w:rsidRPr="00123076">
        <w:rPr>
          <w:rStyle w:val="FootnoteReference"/>
          <w:sz w:val="18"/>
          <w:lang w:val="es-ES"/>
        </w:rPr>
        <w:footnoteRef/>
      </w:r>
      <w:r w:rsidRPr="00E4102D">
        <w:t xml:space="preserve"> UNEP/OzL.Pro.WG.1/47/4. </w:t>
      </w:r>
    </w:p>
  </w:footnote>
  <w:footnote w:id="5">
    <w:p w14:paraId="43CBCAE3" w14:textId="4E555CE8" w:rsidR="003A4592" w:rsidRPr="00123076" w:rsidRDefault="003A4592" w:rsidP="00123076">
      <w:pPr>
        <w:pStyle w:val="FootnoteText"/>
        <w:tabs>
          <w:tab w:val="left" w:pos="624"/>
        </w:tabs>
        <w:spacing w:before="20" w:after="40"/>
        <w:ind w:left="1247"/>
        <w:rPr>
          <w:sz w:val="18"/>
          <w:szCs w:val="18"/>
        </w:rPr>
      </w:pPr>
      <w:r w:rsidRPr="00123076">
        <w:rPr>
          <w:rStyle w:val="FootnoteReference"/>
          <w:sz w:val="18"/>
          <w:lang w:val="es-ES"/>
        </w:rPr>
        <w:footnoteRef/>
      </w:r>
      <w:r w:rsidRPr="00E4102D">
        <w:rPr>
          <w:sz w:val="18"/>
        </w:rPr>
        <w:t xml:space="preserve"> UNEP/OzL.Pro.WG.1/45/5.</w:t>
      </w:r>
    </w:p>
  </w:footnote>
  <w:footnote w:id="6">
    <w:p w14:paraId="19DE0EE0" w14:textId="0A82F1FA" w:rsidR="00BE4681" w:rsidRPr="00123076" w:rsidRDefault="00BE4681" w:rsidP="00123076">
      <w:pPr>
        <w:pStyle w:val="FootnoteText"/>
        <w:tabs>
          <w:tab w:val="left" w:pos="624"/>
        </w:tabs>
        <w:spacing w:before="20" w:after="40"/>
        <w:ind w:left="1247"/>
        <w:rPr>
          <w:sz w:val="18"/>
          <w:szCs w:val="18"/>
        </w:rPr>
      </w:pPr>
      <w:r w:rsidRPr="00123076">
        <w:rPr>
          <w:rStyle w:val="FootnoteReference"/>
          <w:sz w:val="18"/>
          <w:lang w:val="es-ES"/>
        </w:rPr>
        <w:footnoteRef/>
      </w:r>
      <w:r w:rsidRPr="00E4102D">
        <w:rPr>
          <w:sz w:val="18"/>
        </w:rPr>
        <w:t xml:space="preserve"> UNEP/OzL.Pro.37/7.</w:t>
      </w:r>
    </w:p>
  </w:footnote>
  <w:footnote w:id="7">
    <w:p w14:paraId="5F857778" w14:textId="77777777" w:rsidR="000F20E5" w:rsidRPr="00123076" w:rsidRDefault="000F20E5" w:rsidP="00123076">
      <w:pPr>
        <w:pStyle w:val="Footnote-Text"/>
        <w:tabs>
          <w:tab w:val="clear" w:pos="1247"/>
          <w:tab w:val="clear" w:pos="1871"/>
          <w:tab w:val="clear" w:pos="2495"/>
          <w:tab w:val="clear" w:pos="3119"/>
          <w:tab w:val="clear" w:pos="3742"/>
          <w:tab w:val="clear" w:pos="4366"/>
          <w:tab w:val="clear" w:pos="4990"/>
        </w:tabs>
        <w:rPr>
          <w:szCs w:val="18"/>
        </w:rPr>
      </w:pPr>
      <w:r w:rsidRPr="00123076">
        <w:rPr>
          <w:rStyle w:val="FootnoteReference"/>
          <w:sz w:val="18"/>
          <w:lang w:val="es-ES"/>
        </w:rPr>
        <w:footnoteRef/>
      </w:r>
      <w:r w:rsidRPr="00E4102D">
        <w:t xml:space="preserve"> UNEP/</w:t>
      </w:r>
      <w:proofErr w:type="spellStart"/>
      <w:r w:rsidRPr="00E4102D">
        <w:t>OzL.Pro</w:t>
      </w:r>
      <w:proofErr w:type="spellEnd"/>
      <w:r w:rsidRPr="00E4102D">
        <w:t>/ImpCom/74/6.</w:t>
      </w:r>
    </w:p>
  </w:footnote>
  <w:footnote w:id="8">
    <w:p w14:paraId="1E451DEC" w14:textId="0F079F59" w:rsidR="000F20E5" w:rsidRPr="00123076" w:rsidRDefault="000F20E5" w:rsidP="00123076">
      <w:pPr>
        <w:pStyle w:val="Footnote-Text"/>
        <w:rPr>
          <w:szCs w:val="18"/>
        </w:rPr>
      </w:pPr>
      <w:r w:rsidRPr="00123076">
        <w:rPr>
          <w:rStyle w:val="FootnoteReference"/>
          <w:sz w:val="18"/>
          <w:lang w:val="es-ES"/>
        </w:rPr>
        <w:footnoteRef/>
      </w:r>
      <w:r>
        <w:rPr>
          <w:lang w:val="es-ES"/>
        </w:rPr>
        <w:t xml:space="preserve"> UNEP/OzL.Pro.38/5.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DB59" w14:textId="32E264A1" w:rsidR="000F20E5" w:rsidRPr="000F20E5" w:rsidRDefault="00941E59" w:rsidP="000F20E5">
    <w:pPr>
      <w:pStyle w:val="Header-pool"/>
    </w:pPr>
    <w:r>
      <w:rPr>
        <w:noProof/>
      </w:rPr>
      <w:t>UNEP/OzL.Pro.38/3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BBD6" w14:textId="1711914E" w:rsidR="000F20E5" w:rsidRPr="000F20E5" w:rsidRDefault="00941E59" w:rsidP="000F20E5">
    <w:pPr>
      <w:pStyle w:val="Header-pool"/>
      <w:jc w:val="right"/>
    </w:pPr>
    <w:r>
      <w:rPr>
        <w:noProof/>
      </w:rPr>
      <w:t>UNEP/OzL.Pro.38/3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4178" w14:textId="77777777" w:rsidR="000F20E5" w:rsidRDefault="000F20E5" w:rsidP="00305A61">
    <w:pPr>
      <w:pStyle w:val="Header"/>
      <w:jc w:val="right"/>
    </w:pPr>
    <w:r w:rsidRPr="00E47611">
      <w:t>UNEP/OzL.Pro.3</w:t>
    </w:r>
    <w:r>
      <w:t>8</w:t>
    </w:r>
    <w:r w:rsidRPr="00E47611">
      <w:t>/3</w:t>
    </w:r>
  </w:p>
  <w:p w14:paraId="679773C8" w14:textId="77777777" w:rsidR="000F20E5" w:rsidRDefault="000F20E5" w:rsidP="00305A61">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FE6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0294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A56DA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783D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86C68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5CA0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D6F3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A882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9406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F8A5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8BC5773"/>
    <w:multiLevelType w:val="hybridMultilevel"/>
    <w:tmpl w:val="1E18F66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0A685617"/>
    <w:multiLevelType w:val="hybridMultilevel"/>
    <w:tmpl w:val="E796EF18"/>
    <w:lvl w:ilvl="0" w:tplc="FFFFFFFF">
      <w:start w:val="1"/>
      <w:numFmt w:val="decimal"/>
      <w:lvlText w:val="%1."/>
      <w:lvlJc w:val="left"/>
      <w:pPr>
        <w:ind w:left="720" w:hanging="360"/>
      </w:pPr>
    </w:lvl>
    <w:lvl w:ilvl="1" w:tplc="5E5ED10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C780060"/>
    <w:multiLevelType w:val="hybridMultilevel"/>
    <w:tmpl w:val="3DBE256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4" w15:restartNumberingAfterBreak="0">
    <w:nsid w:val="19690491"/>
    <w:multiLevelType w:val="hybridMultilevel"/>
    <w:tmpl w:val="FAB6C85E"/>
    <w:lvl w:ilvl="0" w:tplc="0809000F">
      <w:start w:val="1"/>
      <w:numFmt w:val="decimal"/>
      <w:lvlText w:val="%1."/>
      <w:lvlJc w:val="left"/>
      <w:pPr>
        <w:ind w:left="720" w:hanging="360"/>
      </w:pPr>
    </w:lvl>
    <w:lvl w:ilvl="1" w:tplc="B76EA4A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3054"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6" w15:restartNumberingAfterBreak="0">
    <w:nsid w:val="1D2437A4"/>
    <w:multiLevelType w:val="hybridMultilevel"/>
    <w:tmpl w:val="CC6ABCC0"/>
    <w:lvl w:ilvl="0" w:tplc="07F6DF2A">
      <w:start w:val="1"/>
      <w:numFmt w:val="decimal"/>
      <w:lvlText w:val="%1."/>
      <w:lvlJc w:val="left"/>
      <w:pPr>
        <w:ind w:left="2495" w:hanging="624"/>
      </w:pPr>
      <w:rPr>
        <w:rFonts w:hint="default"/>
      </w:rPr>
    </w:lvl>
    <w:lvl w:ilvl="1" w:tplc="08090019" w:tentative="1">
      <w:start w:val="1"/>
      <w:numFmt w:val="lowerLetter"/>
      <w:lvlText w:val="%2."/>
      <w:lvlJc w:val="left"/>
      <w:pPr>
        <w:ind w:left="2951" w:hanging="360"/>
      </w:pPr>
    </w:lvl>
    <w:lvl w:ilvl="2" w:tplc="0809001B" w:tentative="1">
      <w:start w:val="1"/>
      <w:numFmt w:val="lowerRoman"/>
      <w:lvlText w:val="%3."/>
      <w:lvlJc w:val="right"/>
      <w:pPr>
        <w:ind w:left="3671" w:hanging="180"/>
      </w:pPr>
    </w:lvl>
    <w:lvl w:ilvl="3" w:tplc="0809000F" w:tentative="1">
      <w:start w:val="1"/>
      <w:numFmt w:val="decimal"/>
      <w:lvlText w:val="%4."/>
      <w:lvlJc w:val="left"/>
      <w:pPr>
        <w:ind w:left="4391" w:hanging="360"/>
      </w:pPr>
    </w:lvl>
    <w:lvl w:ilvl="4" w:tplc="08090019" w:tentative="1">
      <w:start w:val="1"/>
      <w:numFmt w:val="lowerLetter"/>
      <w:lvlText w:val="%5."/>
      <w:lvlJc w:val="left"/>
      <w:pPr>
        <w:ind w:left="5111" w:hanging="360"/>
      </w:pPr>
    </w:lvl>
    <w:lvl w:ilvl="5" w:tplc="0809001B" w:tentative="1">
      <w:start w:val="1"/>
      <w:numFmt w:val="lowerRoman"/>
      <w:lvlText w:val="%6."/>
      <w:lvlJc w:val="right"/>
      <w:pPr>
        <w:ind w:left="5831" w:hanging="180"/>
      </w:pPr>
    </w:lvl>
    <w:lvl w:ilvl="6" w:tplc="0809000F" w:tentative="1">
      <w:start w:val="1"/>
      <w:numFmt w:val="decimal"/>
      <w:lvlText w:val="%7."/>
      <w:lvlJc w:val="left"/>
      <w:pPr>
        <w:ind w:left="6551" w:hanging="360"/>
      </w:pPr>
    </w:lvl>
    <w:lvl w:ilvl="7" w:tplc="08090019" w:tentative="1">
      <w:start w:val="1"/>
      <w:numFmt w:val="lowerLetter"/>
      <w:lvlText w:val="%8."/>
      <w:lvlJc w:val="left"/>
      <w:pPr>
        <w:ind w:left="7271" w:hanging="360"/>
      </w:pPr>
    </w:lvl>
    <w:lvl w:ilvl="8" w:tplc="0809001B" w:tentative="1">
      <w:start w:val="1"/>
      <w:numFmt w:val="lowerRoman"/>
      <w:lvlText w:val="%9."/>
      <w:lvlJc w:val="right"/>
      <w:pPr>
        <w:ind w:left="7991" w:hanging="180"/>
      </w:pPr>
    </w:lvl>
  </w:abstractNum>
  <w:abstractNum w:abstractNumId="17" w15:restartNumberingAfterBreak="0">
    <w:nsid w:val="1EDB5C55"/>
    <w:multiLevelType w:val="hybridMultilevel"/>
    <w:tmpl w:val="FB6CF50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8" w15:restartNumberingAfterBreak="0">
    <w:nsid w:val="212F5044"/>
    <w:multiLevelType w:val="hybridMultilevel"/>
    <w:tmpl w:val="3DC29814"/>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19"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A992DE3"/>
    <w:multiLevelType w:val="singleLevel"/>
    <w:tmpl w:val="2FCAE8C6"/>
    <w:lvl w:ilvl="0">
      <w:start w:val="1"/>
      <w:numFmt w:val="decimal"/>
      <w:lvlText w:val="%1."/>
      <w:lvlJc w:val="left"/>
      <w:pPr>
        <w:tabs>
          <w:tab w:val="num" w:pos="568"/>
        </w:tabs>
        <w:ind w:left="1248" w:firstLine="0"/>
      </w:pPr>
      <w:rPr>
        <w:rFonts w:hint="default"/>
      </w:rPr>
    </w:lvl>
  </w:abstractNum>
  <w:abstractNum w:abstractNumId="21"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4DE51609"/>
    <w:multiLevelType w:val="hybridMultilevel"/>
    <w:tmpl w:val="3A7CFBC4"/>
    <w:lvl w:ilvl="0" w:tplc="2000000F">
      <w:start w:val="1"/>
      <w:numFmt w:val="decimal"/>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23"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0175FB1"/>
    <w:multiLevelType w:val="hybridMultilevel"/>
    <w:tmpl w:val="C9BE02B2"/>
    <w:lvl w:ilvl="0" w:tplc="2000000F">
      <w:start w:val="1"/>
      <w:numFmt w:val="decimal"/>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26" w15:restartNumberingAfterBreak="0">
    <w:nsid w:val="703B6166"/>
    <w:multiLevelType w:val="hybridMultilevel"/>
    <w:tmpl w:val="C4F09E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BD22C1"/>
    <w:multiLevelType w:val="hybridMultilevel"/>
    <w:tmpl w:val="20001F3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71EF28B0"/>
    <w:multiLevelType w:val="hybridMultilevel"/>
    <w:tmpl w:val="DDF6E36C"/>
    <w:lvl w:ilvl="0" w:tplc="4148CD2A">
      <w:start w:val="1"/>
      <w:numFmt w:val="decimal"/>
      <w:lvlText w:val="%1."/>
      <w:lvlJc w:val="left"/>
      <w:pPr>
        <w:ind w:left="2250" w:hanging="360"/>
      </w:pPr>
      <w:rPr>
        <w:rFonts w:hint="default"/>
        <w:b w:val="0"/>
        <w:bCs/>
      </w:rPr>
    </w:lvl>
    <w:lvl w:ilvl="1" w:tplc="04090019" w:tentative="1">
      <w:start w:val="1"/>
      <w:numFmt w:val="lowerLetter"/>
      <w:lvlText w:val="%2."/>
      <w:lvlJc w:val="left"/>
      <w:pPr>
        <w:ind w:left="649" w:hanging="360"/>
      </w:pPr>
    </w:lvl>
    <w:lvl w:ilvl="2" w:tplc="0409001B" w:tentative="1">
      <w:start w:val="1"/>
      <w:numFmt w:val="lowerRoman"/>
      <w:lvlText w:val="%3."/>
      <w:lvlJc w:val="right"/>
      <w:pPr>
        <w:ind w:left="1369" w:hanging="180"/>
      </w:pPr>
    </w:lvl>
    <w:lvl w:ilvl="3" w:tplc="0409000F" w:tentative="1">
      <w:start w:val="1"/>
      <w:numFmt w:val="decimal"/>
      <w:lvlText w:val="%4."/>
      <w:lvlJc w:val="left"/>
      <w:pPr>
        <w:ind w:left="2089" w:hanging="360"/>
      </w:pPr>
    </w:lvl>
    <w:lvl w:ilvl="4" w:tplc="04090019" w:tentative="1">
      <w:start w:val="1"/>
      <w:numFmt w:val="lowerLetter"/>
      <w:lvlText w:val="%5."/>
      <w:lvlJc w:val="left"/>
      <w:pPr>
        <w:ind w:left="2809" w:hanging="360"/>
      </w:pPr>
    </w:lvl>
    <w:lvl w:ilvl="5" w:tplc="0409001B" w:tentative="1">
      <w:start w:val="1"/>
      <w:numFmt w:val="lowerRoman"/>
      <w:lvlText w:val="%6."/>
      <w:lvlJc w:val="right"/>
      <w:pPr>
        <w:ind w:left="3529" w:hanging="180"/>
      </w:pPr>
    </w:lvl>
    <w:lvl w:ilvl="6" w:tplc="0409000F" w:tentative="1">
      <w:start w:val="1"/>
      <w:numFmt w:val="decimal"/>
      <w:lvlText w:val="%7."/>
      <w:lvlJc w:val="left"/>
      <w:pPr>
        <w:ind w:left="4249" w:hanging="360"/>
      </w:pPr>
    </w:lvl>
    <w:lvl w:ilvl="7" w:tplc="04090019" w:tentative="1">
      <w:start w:val="1"/>
      <w:numFmt w:val="lowerLetter"/>
      <w:lvlText w:val="%8."/>
      <w:lvlJc w:val="left"/>
      <w:pPr>
        <w:ind w:left="4969" w:hanging="360"/>
      </w:pPr>
    </w:lvl>
    <w:lvl w:ilvl="8" w:tplc="0409001B" w:tentative="1">
      <w:start w:val="1"/>
      <w:numFmt w:val="lowerRoman"/>
      <w:lvlText w:val="%9."/>
      <w:lvlJc w:val="right"/>
      <w:pPr>
        <w:ind w:left="5689" w:hanging="180"/>
      </w:pPr>
    </w:lvl>
  </w:abstractNum>
  <w:num w:numId="1" w16cid:durableId="560672902">
    <w:abstractNumId w:val="23"/>
  </w:num>
  <w:num w:numId="2" w16cid:durableId="1242644713">
    <w:abstractNumId w:val="24"/>
  </w:num>
  <w:num w:numId="3" w16cid:durableId="1933662228">
    <w:abstractNumId w:val="19"/>
  </w:num>
  <w:num w:numId="4" w16cid:durableId="1991909117">
    <w:abstractNumId w:val="10"/>
  </w:num>
  <w:num w:numId="5" w16cid:durableId="1138956019">
    <w:abstractNumId w:val="15"/>
  </w:num>
  <w:num w:numId="6" w16cid:durableId="1532498476">
    <w:abstractNumId w:val="9"/>
  </w:num>
  <w:num w:numId="7" w16cid:durableId="1694957907">
    <w:abstractNumId w:val="7"/>
  </w:num>
  <w:num w:numId="8" w16cid:durableId="224683232">
    <w:abstractNumId w:val="6"/>
  </w:num>
  <w:num w:numId="9" w16cid:durableId="1080057876">
    <w:abstractNumId w:val="5"/>
  </w:num>
  <w:num w:numId="10" w16cid:durableId="1332828877">
    <w:abstractNumId w:val="4"/>
  </w:num>
  <w:num w:numId="11" w16cid:durableId="1247152792">
    <w:abstractNumId w:val="8"/>
  </w:num>
  <w:num w:numId="12" w16cid:durableId="537358248">
    <w:abstractNumId w:val="3"/>
  </w:num>
  <w:num w:numId="13" w16cid:durableId="1632829824">
    <w:abstractNumId w:val="2"/>
  </w:num>
  <w:num w:numId="14" w16cid:durableId="148400393">
    <w:abstractNumId w:val="1"/>
  </w:num>
  <w:num w:numId="15" w16cid:durableId="947467719">
    <w:abstractNumId w:val="0"/>
  </w:num>
  <w:num w:numId="16" w16cid:durableId="1847400612">
    <w:abstractNumId w:val="14"/>
  </w:num>
  <w:num w:numId="17" w16cid:durableId="57290267">
    <w:abstractNumId w:val="16"/>
  </w:num>
  <w:num w:numId="18" w16cid:durableId="1063025055">
    <w:abstractNumId w:val="17"/>
  </w:num>
  <w:num w:numId="19" w16cid:durableId="1888491513">
    <w:abstractNumId w:val="27"/>
  </w:num>
  <w:num w:numId="20" w16cid:durableId="1436901042">
    <w:abstractNumId w:val="13"/>
  </w:num>
  <w:num w:numId="21" w16cid:durableId="1744909628">
    <w:abstractNumId w:val="26"/>
  </w:num>
  <w:num w:numId="22" w16cid:durableId="1828860049">
    <w:abstractNumId w:val="12"/>
  </w:num>
  <w:num w:numId="23" w16cid:durableId="1793208357">
    <w:abstractNumId w:val="21"/>
  </w:num>
  <w:num w:numId="24" w16cid:durableId="232929743">
    <w:abstractNumId w:val="28"/>
  </w:num>
  <w:num w:numId="25" w16cid:durableId="1618947374">
    <w:abstractNumId w:val="20"/>
  </w:num>
  <w:num w:numId="26" w16cid:durableId="2108504120">
    <w:abstractNumId w:val="11"/>
  </w:num>
  <w:num w:numId="27" w16cid:durableId="368647048">
    <w:abstractNumId w:val="18"/>
  </w:num>
  <w:num w:numId="28" w16cid:durableId="1891309133">
    <w:abstractNumId w:val="22"/>
  </w:num>
  <w:num w:numId="29" w16cid:durableId="1273368025">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IE" w:vendorID="64" w:dllVersion="0" w:nlCheck="1" w:checkStyle="0"/>
  <w:activeWritingStyle w:appName="MSWord" w:lang="es-ES" w:vendorID="64" w:dllVersion="4096" w:nlCheck="1" w:checkStyle="0"/>
  <w:activeWritingStyle w:appName="MSWord" w:lang="en-GB" w:vendorID="64" w:dllVersion="4096" w:nlCheck="1" w:checkStyle="0"/>
  <w:activeWritingStyle w:appName="MSWord" w:lang="es-ES" w:vendorID="64" w:dllVersion="0" w:nlCheck="1" w:checkStyle="0"/>
  <w:activeWritingStyle w:appName="MSWord" w:lang="es-ES_tradnl"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0EB"/>
    <w:rsid w:val="000149A1"/>
    <w:rsid w:val="000149E6"/>
    <w:rsid w:val="0001674B"/>
    <w:rsid w:val="00016AF3"/>
    <w:rsid w:val="000208C8"/>
    <w:rsid w:val="000247B0"/>
    <w:rsid w:val="00026997"/>
    <w:rsid w:val="00030044"/>
    <w:rsid w:val="00033E0B"/>
    <w:rsid w:val="00033E29"/>
    <w:rsid w:val="00035EDE"/>
    <w:rsid w:val="00041928"/>
    <w:rsid w:val="000509B4"/>
    <w:rsid w:val="00054DB7"/>
    <w:rsid w:val="00056B2C"/>
    <w:rsid w:val="0006035B"/>
    <w:rsid w:val="000630EC"/>
    <w:rsid w:val="000714A3"/>
    <w:rsid w:val="0007166E"/>
    <w:rsid w:val="00071886"/>
    <w:rsid w:val="000742BC"/>
    <w:rsid w:val="0007735B"/>
    <w:rsid w:val="0008041D"/>
    <w:rsid w:val="000824D1"/>
    <w:rsid w:val="00082A0C"/>
    <w:rsid w:val="00082DCD"/>
    <w:rsid w:val="00083504"/>
    <w:rsid w:val="0008710B"/>
    <w:rsid w:val="0009640C"/>
    <w:rsid w:val="000A2A41"/>
    <w:rsid w:val="000A7D2D"/>
    <w:rsid w:val="000B21D5"/>
    <w:rsid w:val="000B22A2"/>
    <w:rsid w:val="000B276B"/>
    <w:rsid w:val="000B576F"/>
    <w:rsid w:val="000B63E5"/>
    <w:rsid w:val="000C05CF"/>
    <w:rsid w:val="000C2A52"/>
    <w:rsid w:val="000C379C"/>
    <w:rsid w:val="000C3C79"/>
    <w:rsid w:val="000C46A9"/>
    <w:rsid w:val="000D33C0"/>
    <w:rsid w:val="000D5884"/>
    <w:rsid w:val="000D6941"/>
    <w:rsid w:val="000D71B6"/>
    <w:rsid w:val="000E0405"/>
    <w:rsid w:val="000E3FC1"/>
    <w:rsid w:val="000E5F7C"/>
    <w:rsid w:val="000E79B5"/>
    <w:rsid w:val="000F20E5"/>
    <w:rsid w:val="000F6CFF"/>
    <w:rsid w:val="0011298F"/>
    <w:rsid w:val="001134EB"/>
    <w:rsid w:val="00115F73"/>
    <w:rsid w:val="001202E3"/>
    <w:rsid w:val="00123076"/>
    <w:rsid w:val="00123699"/>
    <w:rsid w:val="0013059D"/>
    <w:rsid w:val="00135E6C"/>
    <w:rsid w:val="0013638F"/>
    <w:rsid w:val="001371BC"/>
    <w:rsid w:val="0014083A"/>
    <w:rsid w:val="00141A55"/>
    <w:rsid w:val="00141F2F"/>
    <w:rsid w:val="001446A3"/>
    <w:rsid w:val="00144788"/>
    <w:rsid w:val="00147CE2"/>
    <w:rsid w:val="00152B79"/>
    <w:rsid w:val="00155395"/>
    <w:rsid w:val="00172E6C"/>
    <w:rsid w:val="00173D27"/>
    <w:rsid w:val="00174739"/>
    <w:rsid w:val="0018127C"/>
    <w:rsid w:val="00181EC8"/>
    <w:rsid w:val="00181FC0"/>
    <w:rsid w:val="00184349"/>
    <w:rsid w:val="001865C3"/>
    <w:rsid w:val="0019161E"/>
    <w:rsid w:val="00195F33"/>
    <w:rsid w:val="00197C63"/>
    <w:rsid w:val="001A5EE1"/>
    <w:rsid w:val="001A7F06"/>
    <w:rsid w:val="001A7FF9"/>
    <w:rsid w:val="001B1617"/>
    <w:rsid w:val="001B504B"/>
    <w:rsid w:val="001B56E5"/>
    <w:rsid w:val="001C0F83"/>
    <w:rsid w:val="001C29FC"/>
    <w:rsid w:val="001D3785"/>
    <w:rsid w:val="001D3874"/>
    <w:rsid w:val="001D5344"/>
    <w:rsid w:val="001D6903"/>
    <w:rsid w:val="001D7E75"/>
    <w:rsid w:val="001E22D1"/>
    <w:rsid w:val="001E56D2"/>
    <w:rsid w:val="001E7D56"/>
    <w:rsid w:val="001F75DE"/>
    <w:rsid w:val="001F75E6"/>
    <w:rsid w:val="001F7CC4"/>
    <w:rsid w:val="00200D58"/>
    <w:rsid w:val="002013BE"/>
    <w:rsid w:val="002063A4"/>
    <w:rsid w:val="00206F97"/>
    <w:rsid w:val="0021145B"/>
    <w:rsid w:val="00214277"/>
    <w:rsid w:val="00226CC0"/>
    <w:rsid w:val="0022762D"/>
    <w:rsid w:val="00227F53"/>
    <w:rsid w:val="00232303"/>
    <w:rsid w:val="0023403B"/>
    <w:rsid w:val="00234806"/>
    <w:rsid w:val="002378D6"/>
    <w:rsid w:val="00243D36"/>
    <w:rsid w:val="002474F9"/>
    <w:rsid w:val="00247707"/>
    <w:rsid w:val="00250800"/>
    <w:rsid w:val="00253B18"/>
    <w:rsid w:val="00263171"/>
    <w:rsid w:val="00277919"/>
    <w:rsid w:val="00286740"/>
    <w:rsid w:val="00287B42"/>
    <w:rsid w:val="002929D8"/>
    <w:rsid w:val="002935C2"/>
    <w:rsid w:val="002A237D"/>
    <w:rsid w:val="002A4C53"/>
    <w:rsid w:val="002B0672"/>
    <w:rsid w:val="002B0ABC"/>
    <w:rsid w:val="002B1B4C"/>
    <w:rsid w:val="002B247F"/>
    <w:rsid w:val="002B3232"/>
    <w:rsid w:val="002C05B5"/>
    <w:rsid w:val="002C145D"/>
    <w:rsid w:val="002C2C3E"/>
    <w:rsid w:val="002C533E"/>
    <w:rsid w:val="002C5525"/>
    <w:rsid w:val="002D027F"/>
    <w:rsid w:val="002D7A85"/>
    <w:rsid w:val="002D7B60"/>
    <w:rsid w:val="002E19D4"/>
    <w:rsid w:val="002E231E"/>
    <w:rsid w:val="002E2677"/>
    <w:rsid w:val="002E3B47"/>
    <w:rsid w:val="002E4E8D"/>
    <w:rsid w:val="002F0362"/>
    <w:rsid w:val="002F4761"/>
    <w:rsid w:val="002F5C79"/>
    <w:rsid w:val="003019E2"/>
    <w:rsid w:val="003039C2"/>
    <w:rsid w:val="0031413F"/>
    <w:rsid w:val="003148BB"/>
    <w:rsid w:val="0031565A"/>
    <w:rsid w:val="00317976"/>
    <w:rsid w:val="0032169B"/>
    <w:rsid w:val="00323885"/>
    <w:rsid w:val="00331475"/>
    <w:rsid w:val="00332E7F"/>
    <w:rsid w:val="00351A93"/>
    <w:rsid w:val="003555FF"/>
    <w:rsid w:val="00355EA9"/>
    <w:rsid w:val="0035654D"/>
    <w:rsid w:val="003578DE"/>
    <w:rsid w:val="0036336D"/>
    <w:rsid w:val="00365463"/>
    <w:rsid w:val="00365F6B"/>
    <w:rsid w:val="003666EC"/>
    <w:rsid w:val="0036793D"/>
    <w:rsid w:val="00370BF9"/>
    <w:rsid w:val="00370D9D"/>
    <w:rsid w:val="00371340"/>
    <w:rsid w:val="00374814"/>
    <w:rsid w:val="003759E2"/>
    <w:rsid w:val="00380F21"/>
    <w:rsid w:val="00385DBA"/>
    <w:rsid w:val="00386999"/>
    <w:rsid w:val="00390145"/>
    <w:rsid w:val="00390F62"/>
    <w:rsid w:val="00394379"/>
    <w:rsid w:val="00394598"/>
    <w:rsid w:val="00396257"/>
    <w:rsid w:val="00397EB8"/>
    <w:rsid w:val="003A07AB"/>
    <w:rsid w:val="003A086E"/>
    <w:rsid w:val="003A37B8"/>
    <w:rsid w:val="003A4592"/>
    <w:rsid w:val="003A4FD0"/>
    <w:rsid w:val="003A5221"/>
    <w:rsid w:val="003A69D1"/>
    <w:rsid w:val="003A70A0"/>
    <w:rsid w:val="003A7705"/>
    <w:rsid w:val="003B1545"/>
    <w:rsid w:val="003B487E"/>
    <w:rsid w:val="003B4DF6"/>
    <w:rsid w:val="003C035E"/>
    <w:rsid w:val="003C3267"/>
    <w:rsid w:val="003C409D"/>
    <w:rsid w:val="003C5BA6"/>
    <w:rsid w:val="003D2FEE"/>
    <w:rsid w:val="003E30D5"/>
    <w:rsid w:val="003E6396"/>
    <w:rsid w:val="003E7078"/>
    <w:rsid w:val="003E7EBC"/>
    <w:rsid w:val="003F0E85"/>
    <w:rsid w:val="004020E1"/>
    <w:rsid w:val="004042BA"/>
    <w:rsid w:val="00404CB5"/>
    <w:rsid w:val="00405251"/>
    <w:rsid w:val="004056D6"/>
    <w:rsid w:val="00410C55"/>
    <w:rsid w:val="0041604D"/>
    <w:rsid w:val="00416854"/>
    <w:rsid w:val="00417725"/>
    <w:rsid w:val="0041779A"/>
    <w:rsid w:val="00417B99"/>
    <w:rsid w:val="00424109"/>
    <w:rsid w:val="004243EA"/>
    <w:rsid w:val="00425CA7"/>
    <w:rsid w:val="004261BC"/>
    <w:rsid w:val="00433289"/>
    <w:rsid w:val="00437F26"/>
    <w:rsid w:val="00444097"/>
    <w:rsid w:val="00445487"/>
    <w:rsid w:val="004502A8"/>
    <w:rsid w:val="0045140C"/>
    <w:rsid w:val="00454769"/>
    <w:rsid w:val="00456C7A"/>
    <w:rsid w:val="00456D58"/>
    <w:rsid w:val="0046410B"/>
    <w:rsid w:val="00466991"/>
    <w:rsid w:val="0047064C"/>
    <w:rsid w:val="00471333"/>
    <w:rsid w:val="00474D90"/>
    <w:rsid w:val="00477AFF"/>
    <w:rsid w:val="00481F0B"/>
    <w:rsid w:val="00495BFE"/>
    <w:rsid w:val="004A1A2F"/>
    <w:rsid w:val="004A1BA6"/>
    <w:rsid w:val="004A42E1"/>
    <w:rsid w:val="004A747B"/>
    <w:rsid w:val="004B162C"/>
    <w:rsid w:val="004B1E37"/>
    <w:rsid w:val="004B4667"/>
    <w:rsid w:val="004B6252"/>
    <w:rsid w:val="004C3DBE"/>
    <w:rsid w:val="004C5C96"/>
    <w:rsid w:val="004D06A4"/>
    <w:rsid w:val="004D60EA"/>
    <w:rsid w:val="004D6547"/>
    <w:rsid w:val="004E59D4"/>
    <w:rsid w:val="004E79AC"/>
    <w:rsid w:val="004F1A81"/>
    <w:rsid w:val="004F45C9"/>
    <w:rsid w:val="00501526"/>
    <w:rsid w:val="00506FF3"/>
    <w:rsid w:val="00513780"/>
    <w:rsid w:val="005218D9"/>
    <w:rsid w:val="0052498D"/>
    <w:rsid w:val="00532475"/>
    <w:rsid w:val="00532E47"/>
    <w:rsid w:val="00536186"/>
    <w:rsid w:val="00536826"/>
    <w:rsid w:val="00540F7B"/>
    <w:rsid w:val="00542612"/>
    <w:rsid w:val="00543FC1"/>
    <w:rsid w:val="00544CBB"/>
    <w:rsid w:val="00550518"/>
    <w:rsid w:val="00552CD6"/>
    <w:rsid w:val="00567359"/>
    <w:rsid w:val="005701B2"/>
    <w:rsid w:val="005714A4"/>
    <w:rsid w:val="0057315F"/>
    <w:rsid w:val="00575DF1"/>
    <w:rsid w:val="00576104"/>
    <w:rsid w:val="005940BC"/>
    <w:rsid w:val="00594BA0"/>
    <w:rsid w:val="005A482D"/>
    <w:rsid w:val="005A5DB1"/>
    <w:rsid w:val="005B4989"/>
    <w:rsid w:val="005B6045"/>
    <w:rsid w:val="005C67C8"/>
    <w:rsid w:val="005D0249"/>
    <w:rsid w:val="005D6E8C"/>
    <w:rsid w:val="005E071D"/>
    <w:rsid w:val="005F100C"/>
    <w:rsid w:val="005F5E3B"/>
    <w:rsid w:val="005F68DA"/>
    <w:rsid w:val="005F75E6"/>
    <w:rsid w:val="006014DD"/>
    <w:rsid w:val="00602FEC"/>
    <w:rsid w:val="006068A0"/>
    <w:rsid w:val="0060773B"/>
    <w:rsid w:val="00607D94"/>
    <w:rsid w:val="006157B5"/>
    <w:rsid w:val="00621D0D"/>
    <w:rsid w:val="00621F2A"/>
    <w:rsid w:val="00626FC6"/>
    <w:rsid w:val="006303B4"/>
    <w:rsid w:val="00633CEB"/>
    <w:rsid w:val="00633D3D"/>
    <w:rsid w:val="00633F3A"/>
    <w:rsid w:val="00641703"/>
    <w:rsid w:val="006431A6"/>
    <w:rsid w:val="006459F6"/>
    <w:rsid w:val="006501AD"/>
    <w:rsid w:val="00651BFA"/>
    <w:rsid w:val="006533B3"/>
    <w:rsid w:val="006570A0"/>
    <w:rsid w:val="006610EE"/>
    <w:rsid w:val="00663A80"/>
    <w:rsid w:val="00665A4B"/>
    <w:rsid w:val="006731FE"/>
    <w:rsid w:val="00680BFD"/>
    <w:rsid w:val="00684939"/>
    <w:rsid w:val="00692E2A"/>
    <w:rsid w:val="006973F0"/>
    <w:rsid w:val="006A76F2"/>
    <w:rsid w:val="006B777B"/>
    <w:rsid w:val="006C3DDA"/>
    <w:rsid w:val="006D3277"/>
    <w:rsid w:val="006D7EFB"/>
    <w:rsid w:val="006E5A3F"/>
    <w:rsid w:val="006E6672"/>
    <w:rsid w:val="006E6722"/>
    <w:rsid w:val="006F10F1"/>
    <w:rsid w:val="007027B9"/>
    <w:rsid w:val="0070490E"/>
    <w:rsid w:val="00706988"/>
    <w:rsid w:val="007100EC"/>
    <w:rsid w:val="00713D8F"/>
    <w:rsid w:val="007154A1"/>
    <w:rsid w:val="00715E88"/>
    <w:rsid w:val="0072508B"/>
    <w:rsid w:val="00725DB4"/>
    <w:rsid w:val="0072613E"/>
    <w:rsid w:val="00726907"/>
    <w:rsid w:val="007319E8"/>
    <w:rsid w:val="00732257"/>
    <w:rsid w:val="00734CAA"/>
    <w:rsid w:val="00736583"/>
    <w:rsid w:val="00745930"/>
    <w:rsid w:val="00750211"/>
    <w:rsid w:val="00750342"/>
    <w:rsid w:val="00751566"/>
    <w:rsid w:val="0075473A"/>
    <w:rsid w:val="00755040"/>
    <w:rsid w:val="00755106"/>
    <w:rsid w:val="0075533C"/>
    <w:rsid w:val="00757581"/>
    <w:rsid w:val="007611A0"/>
    <w:rsid w:val="007658A0"/>
    <w:rsid w:val="00771992"/>
    <w:rsid w:val="00771C15"/>
    <w:rsid w:val="00783907"/>
    <w:rsid w:val="0078553C"/>
    <w:rsid w:val="007921BB"/>
    <w:rsid w:val="0079542B"/>
    <w:rsid w:val="00795DCE"/>
    <w:rsid w:val="00796213"/>
    <w:rsid w:val="00796D3F"/>
    <w:rsid w:val="00797278"/>
    <w:rsid w:val="007A1683"/>
    <w:rsid w:val="007A170C"/>
    <w:rsid w:val="007A36F8"/>
    <w:rsid w:val="007A5C12"/>
    <w:rsid w:val="007A7CB0"/>
    <w:rsid w:val="007A7F67"/>
    <w:rsid w:val="007B68A3"/>
    <w:rsid w:val="007C2541"/>
    <w:rsid w:val="007D39E7"/>
    <w:rsid w:val="007D60D0"/>
    <w:rsid w:val="007D66A8"/>
    <w:rsid w:val="007D773D"/>
    <w:rsid w:val="007E003F"/>
    <w:rsid w:val="007F48CC"/>
    <w:rsid w:val="00802E72"/>
    <w:rsid w:val="00803095"/>
    <w:rsid w:val="00805F1D"/>
    <w:rsid w:val="008067E5"/>
    <w:rsid w:val="00811BAB"/>
    <w:rsid w:val="008164F2"/>
    <w:rsid w:val="008200CE"/>
    <w:rsid w:val="00821395"/>
    <w:rsid w:val="00823FE1"/>
    <w:rsid w:val="00830E26"/>
    <w:rsid w:val="008338CA"/>
    <w:rsid w:val="00842991"/>
    <w:rsid w:val="00843576"/>
    <w:rsid w:val="00843B64"/>
    <w:rsid w:val="008470BD"/>
    <w:rsid w:val="008478FC"/>
    <w:rsid w:val="0085166A"/>
    <w:rsid w:val="0086592F"/>
    <w:rsid w:val="00867BFF"/>
    <w:rsid w:val="00870C19"/>
    <w:rsid w:val="008777AF"/>
    <w:rsid w:val="0088480A"/>
    <w:rsid w:val="0088757A"/>
    <w:rsid w:val="008957DD"/>
    <w:rsid w:val="00897D98"/>
    <w:rsid w:val="008A26B4"/>
    <w:rsid w:val="008A6DF2"/>
    <w:rsid w:val="008A7807"/>
    <w:rsid w:val="008B0D6B"/>
    <w:rsid w:val="008B3832"/>
    <w:rsid w:val="008B4CC9"/>
    <w:rsid w:val="008B7D9B"/>
    <w:rsid w:val="008C13F0"/>
    <w:rsid w:val="008C1B8B"/>
    <w:rsid w:val="008D3AE0"/>
    <w:rsid w:val="008D3E9A"/>
    <w:rsid w:val="008D754E"/>
    <w:rsid w:val="008D7C99"/>
    <w:rsid w:val="008E0FCB"/>
    <w:rsid w:val="008E5C83"/>
    <w:rsid w:val="008F200E"/>
    <w:rsid w:val="008F2848"/>
    <w:rsid w:val="008F71F7"/>
    <w:rsid w:val="0090053A"/>
    <w:rsid w:val="00907D78"/>
    <w:rsid w:val="0092178C"/>
    <w:rsid w:val="0092493F"/>
    <w:rsid w:val="00930B88"/>
    <w:rsid w:val="009378DC"/>
    <w:rsid w:val="00940DCC"/>
    <w:rsid w:val="0094179A"/>
    <w:rsid w:val="00941E59"/>
    <w:rsid w:val="0094459E"/>
    <w:rsid w:val="00944DBC"/>
    <w:rsid w:val="00950977"/>
    <w:rsid w:val="00951A7B"/>
    <w:rsid w:val="00953178"/>
    <w:rsid w:val="009564A6"/>
    <w:rsid w:val="0095721B"/>
    <w:rsid w:val="00961A33"/>
    <w:rsid w:val="009628B9"/>
    <w:rsid w:val="00967621"/>
    <w:rsid w:val="00967E6A"/>
    <w:rsid w:val="00980797"/>
    <w:rsid w:val="00982E0B"/>
    <w:rsid w:val="00992533"/>
    <w:rsid w:val="009935AC"/>
    <w:rsid w:val="009A6054"/>
    <w:rsid w:val="009B4A0F"/>
    <w:rsid w:val="009B6C93"/>
    <w:rsid w:val="009C0FEC"/>
    <w:rsid w:val="009C11D2"/>
    <w:rsid w:val="009C544C"/>
    <w:rsid w:val="009C6C70"/>
    <w:rsid w:val="009D0922"/>
    <w:rsid w:val="009D0B63"/>
    <w:rsid w:val="009D3108"/>
    <w:rsid w:val="009E1A50"/>
    <w:rsid w:val="009E307E"/>
    <w:rsid w:val="009E47E3"/>
    <w:rsid w:val="009E7311"/>
    <w:rsid w:val="009F5A75"/>
    <w:rsid w:val="00A03A4A"/>
    <w:rsid w:val="00A07870"/>
    <w:rsid w:val="00A07F19"/>
    <w:rsid w:val="00A1348D"/>
    <w:rsid w:val="00A142D1"/>
    <w:rsid w:val="00A1489E"/>
    <w:rsid w:val="00A15E76"/>
    <w:rsid w:val="00A232EE"/>
    <w:rsid w:val="00A4175F"/>
    <w:rsid w:val="00A44411"/>
    <w:rsid w:val="00A469FA"/>
    <w:rsid w:val="00A50D51"/>
    <w:rsid w:val="00A50E94"/>
    <w:rsid w:val="00A55B01"/>
    <w:rsid w:val="00A56B5B"/>
    <w:rsid w:val="00A603FF"/>
    <w:rsid w:val="00A64561"/>
    <w:rsid w:val="00A657DD"/>
    <w:rsid w:val="00A666A6"/>
    <w:rsid w:val="00A668A0"/>
    <w:rsid w:val="00A675FD"/>
    <w:rsid w:val="00A72437"/>
    <w:rsid w:val="00A80611"/>
    <w:rsid w:val="00A84B15"/>
    <w:rsid w:val="00A87016"/>
    <w:rsid w:val="00A953FD"/>
    <w:rsid w:val="00AB1F69"/>
    <w:rsid w:val="00AB3215"/>
    <w:rsid w:val="00AB5340"/>
    <w:rsid w:val="00AB7BB9"/>
    <w:rsid w:val="00AC010E"/>
    <w:rsid w:val="00AC01CC"/>
    <w:rsid w:val="00AC16B8"/>
    <w:rsid w:val="00AC4862"/>
    <w:rsid w:val="00AC52E2"/>
    <w:rsid w:val="00AC7C96"/>
    <w:rsid w:val="00AD40EB"/>
    <w:rsid w:val="00AE237D"/>
    <w:rsid w:val="00AE2A3D"/>
    <w:rsid w:val="00AE502A"/>
    <w:rsid w:val="00AF0DF7"/>
    <w:rsid w:val="00AF53C8"/>
    <w:rsid w:val="00AF7C07"/>
    <w:rsid w:val="00B01592"/>
    <w:rsid w:val="00B212AA"/>
    <w:rsid w:val="00B21F5C"/>
    <w:rsid w:val="00B22C93"/>
    <w:rsid w:val="00B27589"/>
    <w:rsid w:val="00B278C8"/>
    <w:rsid w:val="00B32177"/>
    <w:rsid w:val="00B327AF"/>
    <w:rsid w:val="00B32DDA"/>
    <w:rsid w:val="00B37EF9"/>
    <w:rsid w:val="00B405B7"/>
    <w:rsid w:val="00B45E6D"/>
    <w:rsid w:val="00B47B8B"/>
    <w:rsid w:val="00B5214B"/>
    <w:rsid w:val="00B52222"/>
    <w:rsid w:val="00B523A2"/>
    <w:rsid w:val="00B54FE7"/>
    <w:rsid w:val="00B57C47"/>
    <w:rsid w:val="00B66901"/>
    <w:rsid w:val="00B70101"/>
    <w:rsid w:val="00B702DA"/>
    <w:rsid w:val="00B71003"/>
    <w:rsid w:val="00B71E6D"/>
    <w:rsid w:val="00B72070"/>
    <w:rsid w:val="00B7416C"/>
    <w:rsid w:val="00B779E1"/>
    <w:rsid w:val="00B859A3"/>
    <w:rsid w:val="00B91EE1"/>
    <w:rsid w:val="00BA0090"/>
    <w:rsid w:val="00BA1A67"/>
    <w:rsid w:val="00BA2F60"/>
    <w:rsid w:val="00BA361A"/>
    <w:rsid w:val="00BB2FD8"/>
    <w:rsid w:val="00BB49DE"/>
    <w:rsid w:val="00BC07FE"/>
    <w:rsid w:val="00BD0163"/>
    <w:rsid w:val="00BD159E"/>
    <w:rsid w:val="00BE2EAD"/>
    <w:rsid w:val="00BE4681"/>
    <w:rsid w:val="00BE5B5F"/>
    <w:rsid w:val="00BF2456"/>
    <w:rsid w:val="00BF6E2C"/>
    <w:rsid w:val="00C06292"/>
    <w:rsid w:val="00C17037"/>
    <w:rsid w:val="00C2260D"/>
    <w:rsid w:val="00C231FF"/>
    <w:rsid w:val="00C26F55"/>
    <w:rsid w:val="00C30C63"/>
    <w:rsid w:val="00C31311"/>
    <w:rsid w:val="00C32B37"/>
    <w:rsid w:val="00C36B8B"/>
    <w:rsid w:val="00C44301"/>
    <w:rsid w:val="00C47DBF"/>
    <w:rsid w:val="00C53666"/>
    <w:rsid w:val="00C54D2B"/>
    <w:rsid w:val="00C552FF"/>
    <w:rsid w:val="00C558DA"/>
    <w:rsid w:val="00C55AF3"/>
    <w:rsid w:val="00C60713"/>
    <w:rsid w:val="00C6479E"/>
    <w:rsid w:val="00C67E9C"/>
    <w:rsid w:val="00C70B49"/>
    <w:rsid w:val="00C712FC"/>
    <w:rsid w:val="00C74C63"/>
    <w:rsid w:val="00C75C7C"/>
    <w:rsid w:val="00C81951"/>
    <w:rsid w:val="00C83A8F"/>
    <w:rsid w:val="00C84759"/>
    <w:rsid w:val="00C97578"/>
    <w:rsid w:val="00CA0899"/>
    <w:rsid w:val="00CA2239"/>
    <w:rsid w:val="00CA324A"/>
    <w:rsid w:val="00CA6C7F"/>
    <w:rsid w:val="00CA78AF"/>
    <w:rsid w:val="00CB6F8C"/>
    <w:rsid w:val="00CC0260"/>
    <w:rsid w:val="00CC10A6"/>
    <w:rsid w:val="00CD5EB8"/>
    <w:rsid w:val="00CD6AC7"/>
    <w:rsid w:val="00CD7044"/>
    <w:rsid w:val="00CE08B9"/>
    <w:rsid w:val="00CE524C"/>
    <w:rsid w:val="00CF141F"/>
    <w:rsid w:val="00CF4777"/>
    <w:rsid w:val="00CF5AF8"/>
    <w:rsid w:val="00CF7948"/>
    <w:rsid w:val="00D0064D"/>
    <w:rsid w:val="00D01996"/>
    <w:rsid w:val="00D02C3F"/>
    <w:rsid w:val="00D06591"/>
    <w:rsid w:val="00D067BB"/>
    <w:rsid w:val="00D070CC"/>
    <w:rsid w:val="00D1352A"/>
    <w:rsid w:val="00D13EDE"/>
    <w:rsid w:val="00D169AF"/>
    <w:rsid w:val="00D17F25"/>
    <w:rsid w:val="00D243BE"/>
    <w:rsid w:val="00D25249"/>
    <w:rsid w:val="00D255A7"/>
    <w:rsid w:val="00D271BF"/>
    <w:rsid w:val="00D437E1"/>
    <w:rsid w:val="00D44172"/>
    <w:rsid w:val="00D50D33"/>
    <w:rsid w:val="00D526D8"/>
    <w:rsid w:val="00D53A94"/>
    <w:rsid w:val="00D54D9D"/>
    <w:rsid w:val="00D63B8C"/>
    <w:rsid w:val="00D671B0"/>
    <w:rsid w:val="00D712FD"/>
    <w:rsid w:val="00D72CB6"/>
    <w:rsid w:val="00D739CC"/>
    <w:rsid w:val="00D73B0F"/>
    <w:rsid w:val="00D8093D"/>
    <w:rsid w:val="00D809AE"/>
    <w:rsid w:val="00D8108C"/>
    <w:rsid w:val="00D842AE"/>
    <w:rsid w:val="00D86E97"/>
    <w:rsid w:val="00D9211C"/>
    <w:rsid w:val="00D92DE0"/>
    <w:rsid w:val="00D92FEF"/>
    <w:rsid w:val="00D93A0F"/>
    <w:rsid w:val="00D94C0E"/>
    <w:rsid w:val="00D97309"/>
    <w:rsid w:val="00DA1BCA"/>
    <w:rsid w:val="00DA3FFA"/>
    <w:rsid w:val="00DA7299"/>
    <w:rsid w:val="00DB36B7"/>
    <w:rsid w:val="00DB3E23"/>
    <w:rsid w:val="00DC1888"/>
    <w:rsid w:val="00DC3D17"/>
    <w:rsid w:val="00DC46FF"/>
    <w:rsid w:val="00DC5254"/>
    <w:rsid w:val="00DD1A4F"/>
    <w:rsid w:val="00DD3107"/>
    <w:rsid w:val="00DD5EFF"/>
    <w:rsid w:val="00DD7C2C"/>
    <w:rsid w:val="00DE6E55"/>
    <w:rsid w:val="00DE74E6"/>
    <w:rsid w:val="00DF5660"/>
    <w:rsid w:val="00E00894"/>
    <w:rsid w:val="00E03E89"/>
    <w:rsid w:val="00E0574F"/>
    <w:rsid w:val="00E059B0"/>
    <w:rsid w:val="00E06797"/>
    <w:rsid w:val="00E11089"/>
    <w:rsid w:val="00E122BC"/>
    <w:rsid w:val="00E1265B"/>
    <w:rsid w:val="00E13B48"/>
    <w:rsid w:val="00E1404F"/>
    <w:rsid w:val="00E212EF"/>
    <w:rsid w:val="00E21C83"/>
    <w:rsid w:val="00E23DDA"/>
    <w:rsid w:val="00E246DA"/>
    <w:rsid w:val="00E24ADA"/>
    <w:rsid w:val="00E256F6"/>
    <w:rsid w:val="00E32F59"/>
    <w:rsid w:val="00E37952"/>
    <w:rsid w:val="00E37F15"/>
    <w:rsid w:val="00E4102D"/>
    <w:rsid w:val="00E440CD"/>
    <w:rsid w:val="00E46D9A"/>
    <w:rsid w:val="00E509D1"/>
    <w:rsid w:val="00E55504"/>
    <w:rsid w:val="00E565FF"/>
    <w:rsid w:val="00E600D6"/>
    <w:rsid w:val="00E62ECC"/>
    <w:rsid w:val="00E63C75"/>
    <w:rsid w:val="00E65388"/>
    <w:rsid w:val="00E66101"/>
    <w:rsid w:val="00E664AB"/>
    <w:rsid w:val="00E67833"/>
    <w:rsid w:val="00E7437B"/>
    <w:rsid w:val="00E74ACB"/>
    <w:rsid w:val="00E77F29"/>
    <w:rsid w:val="00E85B7D"/>
    <w:rsid w:val="00E90EC3"/>
    <w:rsid w:val="00E9121B"/>
    <w:rsid w:val="00E94B48"/>
    <w:rsid w:val="00E96614"/>
    <w:rsid w:val="00EA0AE2"/>
    <w:rsid w:val="00EA292F"/>
    <w:rsid w:val="00EA39E5"/>
    <w:rsid w:val="00EB3106"/>
    <w:rsid w:val="00EC5A46"/>
    <w:rsid w:val="00EC63E2"/>
    <w:rsid w:val="00EC7270"/>
    <w:rsid w:val="00ED0087"/>
    <w:rsid w:val="00ED1F3E"/>
    <w:rsid w:val="00EE1BA8"/>
    <w:rsid w:val="00EE1E98"/>
    <w:rsid w:val="00EE397B"/>
    <w:rsid w:val="00EE4483"/>
    <w:rsid w:val="00EE5261"/>
    <w:rsid w:val="00EF0344"/>
    <w:rsid w:val="00EF22B3"/>
    <w:rsid w:val="00EF469A"/>
    <w:rsid w:val="00EF4DE5"/>
    <w:rsid w:val="00F03B69"/>
    <w:rsid w:val="00F07A50"/>
    <w:rsid w:val="00F113DA"/>
    <w:rsid w:val="00F23184"/>
    <w:rsid w:val="00F23F8B"/>
    <w:rsid w:val="00F25160"/>
    <w:rsid w:val="00F25F15"/>
    <w:rsid w:val="00F319FC"/>
    <w:rsid w:val="00F3539F"/>
    <w:rsid w:val="00F37DC8"/>
    <w:rsid w:val="00F439B3"/>
    <w:rsid w:val="00F45AA8"/>
    <w:rsid w:val="00F502DD"/>
    <w:rsid w:val="00F511D5"/>
    <w:rsid w:val="00F52A1B"/>
    <w:rsid w:val="00F638FC"/>
    <w:rsid w:val="00F650C3"/>
    <w:rsid w:val="00F65D85"/>
    <w:rsid w:val="00F7203C"/>
    <w:rsid w:val="00F74115"/>
    <w:rsid w:val="00F75453"/>
    <w:rsid w:val="00F75BB4"/>
    <w:rsid w:val="00F8091E"/>
    <w:rsid w:val="00F8615C"/>
    <w:rsid w:val="00F91918"/>
    <w:rsid w:val="00F969E5"/>
    <w:rsid w:val="00F97AEE"/>
    <w:rsid w:val="00F97E54"/>
    <w:rsid w:val="00FA142D"/>
    <w:rsid w:val="00FA1C95"/>
    <w:rsid w:val="00FA6BB0"/>
    <w:rsid w:val="00FB0A2F"/>
    <w:rsid w:val="00FB1DFB"/>
    <w:rsid w:val="00FB448B"/>
    <w:rsid w:val="00FC04CB"/>
    <w:rsid w:val="00FC5184"/>
    <w:rsid w:val="00FD2D77"/>
    <w:rsid w:val="00FD5860"/>
    <w:rsid w:val="00FE352D"/>
    <w:rsid w:val="00FE40EB"/>
    <w:rsid w:val="00FE4D02"/>
    <w:rsid w:val="00FE51C9"/>
    <w:rsid w:val="00FE7B2F"/>
    <w:rsid w:val="00FE7D62"/>
    <w:rsid w:val="00FF1CB7"/>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07EEB"/>
  <w15:chartTrackingRefBased/>
  <w15:docId w15:val="{86DE3B1D-509E-454E-BFDB-6E4B897C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D40EB"/>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AD40EB"/>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AD40EB"/>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AD40EB"/>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AD40EB"/>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AD40EB"/>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AD40EB"/>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AD40EB"/>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AD40EB"/>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AD40EB"/>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AD40EB"/>
    <w:rPr>
      <w:rFonts w:ascii="Times New Roman" w:hAnsi="Times New Roman"/>
      <w:b/>
      <w:sz w:val="18"/>
      <w:lang w:val="en-GB"/>
    </w:rPr>
  </w:style>
  <w:style w:type="table" w:customStyle="1" w:styleId="Tabledocright">
    <w:name w:val="Table_doc_right"/>
    <w:basedOn w:val="TableNormal"/>
    <w:rsid w:val="00AD40E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AD40EB"/>
    <w:pPr>
      <w:ind w:left="1000"/>
    </w:pPr>
    <w:rPr>
      <w:sz w:val="18"/>
      <w:szCs w:val="18"/>
    </w:rPr>
  </w:style>
  <w:style w:type="paragraph" w:styleId="TOC7">
    <w:name w:val="toc 7"/>
    <w:basedOn w:val="Normal"/>
    <w:next w:val="Normal"/>
    <w:autoRedefine/>
    <w:semiHidden/>
    <w:rsid w:val="00AD40EB"/>
    <w:pPr>
      <w:ind w:left="1200"/>
    </w:pPr>
    <w:rPr>
      <w:sz w:val="18"/>
      <w:szCs w:val="18"/>
    </w:rPr>
  </w:style>
  <w:style w:type="paragraph" w:styleId="TOC8">
    <w:name w:val="toc 8"/>
    <w:basedOn w:val="Normal"/>
    <w:next w:val="Normal"/>
    <w:autoRedefine/>
    <w:semiHidden/>
    <w:rsid w:val="00AD40EB"/>
    <w:pPr>
      <w:ind w:left="1400"/>
    </w:pPr>
    <w:rPr>
      <w:sz w:val="18"/>
      <w:szCs w:val="18"/>
    </w:rPr>
  </w:style>
  <w:style w:type="paragraph" w:styleId="TOC9">
    <w:name w:val="toc 9"/>
    <w:basedOn w:val="Normal"/>
    <w:next w:val="Normal"/>
    <w:autoRedefine/>
    <w:semiHidden/>
    <w:rsid w:val="00AD40EB"/>
    <w:pPr>
      <w:ind w:left="1600"/>
    </w:pPr>
    <w:rPr>
      <w:sz w:val="18"/>
      <w:szCs w:val="18"/>
    </w:rPr>
  </w:style>
  <w:style w:type="paragraph" w:customStyle="1" w:styleId="Titlefigure">
    <w:name w:val="Title_figure"/>
    <w:basedOn w:val="Titletable"/>
    <w:next w:val="NormalNonumber"/>
    <w:rsid w:val="00AD40EB"/>
    <w:pPr>
      <w:tabs>
        <w:tab w:val="clear" w:pos="4990"/>
      </w:tabs>
    </w:pPr>
    <w:rPr>
      <w:bCs w:val="0"/>
    </w:rPr>
  </w:style>
  <w:style w:type="paragraph" w:styleId="TableofFigures">
    <w:name w:val="table of figures"/>
    <w:basedOn w:val="Normal"/>
    <w:next w:val="Normal"/>
    <w:autoRedefine/>
    <w:semiHidden/>
    <w:rsid w:val="00AD40EB"/>
    <w:pPr>
      <w:ind w:left="1814" w:hanging="567"/>
    </w:pPr>
  </w:style>
  <w:style w:type="paragraph" w:customStyle="1" w:styleId="CH1">
    <w:name w:val="CH1"/>
    <w:basedOn w:val="Normal-pool"/>
    <w:next w:val="CH2"/>
    <w:qFormat/>
    <w:rsid w:val="00AD40EB"/>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AD40EB"/>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AD40EB"/>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AD40E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AD40EB"/>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AD40EB"/>
    <w:pPr>
      <w:tabs>
        <w:tab w:val="left" w:pos="4321"/>
        <w:tab w:val="right" w:pos="8641"/>
      </w:tabs>
      <w:spacing w:before="60"/>
    </w:pPr>
    <w:rPr>
      <w:b/>
      <w:sz w:val="18"/>
    </w:rPr>
  </w:style>
  <w:style w:type="paragraph" w:customStyle="1" w:styleId="Footer-pool">
    <w:name w:val="Footer-pool"/>
    <w:basedOn w:val="Normal-pool"/>
    <w:next w:val="Normal-pool"/>
    <w:rsid w:val="00AD40EB"/>
    <w:pPr>
      <w:tabs>
        <w:tab w:val="right" w:pos="8641"/>
      </w:tabs>
      <w:spacing w:after="120"/>
    </w:pPr>
    <w:rPr>
      <w:b/>
      <w:sz w:val="18"/>
    </w:rPr>
  </w:style>
  <w:style w:type="paragraph" w:customStyle="1" w:styleId="Header-pool">
    <w:name w:val="Header-pool"/>
    <w:basedOn w:val="Normal"/>
    <w:next w:val="Normal"/>
    <w:rsid w:val="00AD40EB"/>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link w:val="CharCharCharCharCarChar"/>
    <w:unhideWhenUsed/>
    <w:qFormat/>
    <w:rsid w:val="00AD40EB"/>
    <w:rPr>
      <w:rFonts w:ascii="Times New Roman" w:hAnsi="Times New Roman"/>
      <w:color w:val="auto"/>
      <w:sz w:val="20"/>
      <w:szCs w:val="18"/>
      <w:vertAlign w:val="superscript"/>
      <w:lang w:val="en-GB"/>
    </w:rPr>
  </w:style>
  <w:style w:type="table" w:customStyle="1" w:styleId="AATable">
    <w:name w:val="AA_Table"/>
    <w:basedOn w:val="TableNormal"/>
    <w:semiHidden/>
    <w:rsid w:val="00AD40E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AD40EB"/>
    <w:pPr>
      <w:keepNext/>
      <w:keepLines/>
      <w:suppressAutoHyphens/>
    </w:pPr>
    <w:rPr>
      <w:b/>
    </w:rPr>
  </w:style>
  <w:style w:type="paragraph" w:customStyle="1" w:styleId="AATitle2">
    <w:name w:val="AA_Title2"/>
    <w:basedOn w:val="AATitle"/>
    <w:qFormat/>
    <w:rsid w:val="00AD40EB"/>
    <w:pPr>
      <w:keepNext w:val="0"/>
      <w:keepLines w:val="0"/>
      <w:tabs>
        <w:tab w:val="clear" w:pos="4990"/>
      </w:tabs>
      <w:spacing w:before="120" w:after="120"/>
    </w:pPr>
  </w:style>
  <w:style w:type="paragraph" w:customStyle="1" w:styleId="BBTitle">
    <w:name w:val="BB_Title"/>
    <w:basedOn w:val="Normal-pool"/>
    <w:qFormat/>
    <w:rsid w:val="00AD40EB"/>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AD40EB"/>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uiPriority w:val="99"/>
    <w:rsid w:val="00AD40EB"/>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AD40EB"/>
    <w:rPr>
      <w:color w:val="0000FF"/>
      <w:u w:val="none"/>
      <w:lang w:val="en-GB"/>
    </w:rPr>
  </w:style>
  <w:style w:type="numbering" w:customStyle="1" w:styleId="Normallist">
    <w:name w:val="Normal_list"/>
    <w:basedOn w:val="NoList"/>
    <w:rsid w:val="00AD40EB"/>
    <w:pPr>
      <w:numPr>
        <w:numId w:val="1"/>
      </w:numPr>
    </w:pPr>
  </w:style>
  <w:style w:type="paragraph" w:customStyle="1" w:styleId="NormalNonumber">
    <w:name w:val="Normal_No_number"/>
    <w:basedOn w:val="Normal-pool"/>
    <w:link w:val="NormalNonumberChar"/>
    <w:qFormat/>
    <w:rsid w:val="00AD40EB"/>
    <w:pPr>
      <w:spacing w:after="120"/>
      <w:ind w:left="1247"/>
    </w:pPr>
  </w:style>
  <w:style w:type="paragraph" w:customStyle="1" w:styleId="Normalnumber">
    <w:name w:val="Normal_number"/>
    <w:basedOn w:val="Normal"/>
    <w:link w:val="NormalnumberChar"/>
    <w:rsid w:val="00AD40EB"/>
    <w:pPr>
      <w:numPr>
        <w:numId w:val="1"/>
      </w:numPr>
      <w:tabs>
        <w:tab w:val="clear" w:pos="624"/>
      </w:tabs>
      <w:spacing w:after="120"/>
      <w:ind w:left="1247"/>
    </w:pPr>
  </w:style>
  <w:style w:type="paragraph" w:customStyle="1" w:styleId="Titletable">
    <w:name w:val="Title_table"/>
    <w:basedOn w:val="Normal-pool"/>
    <w:next w:val="NormalNonumber"/>
    <w:rsid w:val="00AD40EB"/>
    <w:pPr>
      <w:keepNext/>
      <w:keepLines/>
      <w:suppressAutoHyphens/>
      <w:spacing w:after="60"/>
      <w:ind w:left="1247"/>
    </w:pPr>
    <w:rPr>
      <w:b/>
      <w:bCs/>
    </w:rPr>
  </w:style>
  <w:style w:type="paragraph" w:styleId="TOC1">
    <w:name w:val="toc 1"/>
    <w:basedOn w:val="Normal"/>
    <w:next w:val="Normal"/>
    <w:autoRedefine/>
    <w:uiPriority w:val="39"/>
    <w:unhideWhenUsed/>
    <w:rsid w:val="00AD40EB"/>
    <w:pPr>
      <w:tabs>
        <w:tab w:val="right" w:leader="dot" w:pos="9486"/>
      </w:tabs>
      <w:spacing w:before="240"/>
      <w:ind w:left="1984" w:hanging="737"/>
    </w:pPr>
    <w:rPr>
      <w:bCs/>
    </w:rPr>
  </w:style>
  <w:style w:type="paragraph" w:styleId="TOC2">
    <w:name w:val="toc 2"/>
    <w:basedOn w:val="Normal"/>
    <w:next w:val="Normal"/>
    <w:uiPriority w:val="39"/>
    <w:unhideWhenUsed/>
    <w:rsid w:val="00AD40EB"/>
    <w:pPr>
      <w:tabs>
        <w:tab w:val="right" w:leader="dot" w:pos="9486"/>
      </w:tabs>
      <w:spacing w:before="60"/>
      <w:ind w:left="2608" w:hanging="737"/>
    </w:pPr>
  </w:style>
  <w:style w:type="paragraph" w:styleId="TOC3">
    <w:name w:val="toc 3"/>
    <w:basedOn w:val="Normal"/>
    <w:next w:val="Normal"/>
    <w:uiPriority w:val="39"/>
    <w:unhideWhenUsed/>
    <w:rsid w:val="00AD40EB"/>
    <w:pPr>
      <w:tabs>
        <w:tab w:val="right" w:leader="dot" w:pos="9486"/>
      </w:tabs>
      <w:ind w:left="3232" w:hanging="737"/>
    </w:pPr>
    <w:rPr>
      <w:iCs/>
    </w:rPr>
  </w:style>
  <w:style w:type="paragraph" w:styleId="TOC4">
    <w:name w:val="toc 4"/>
    <w:basedOn w:val="Normal"/>
    <w:next w:val="Normal"/>
    <w:uiPriority w:val="39"/>
    <w:unhideWhenUsed/>
    <w:rsid w:val="00AD40EB"/>
    <w:pPr>
      <w:tabs>
        <w:tab w:val="left" w:pos="1000"/>
        <w:tab w:val="right" w:leader="dot" w:pos="9486"/>
      </w:tabs>
      <w:ind w:left="3856" w:hanging="737"/>
    </w:pPr>
    <w:rPr>
      <w:szCs w:val="18"/>
    </w:rPr>
  </w:style>
  <w:style w:type="paragraph" w:styleId="TOC5">
    <w:name w:val="toc 5"/>
    <w:basedOn w:val="Normal"/>
    <w:next w:val="Normal"/>
    <w:uiPriority w:val="39"/>
    <w:rsid w:val="00AD40EB"/>
    <w:pPr>
      <w:tabs>
        <w:tab w:val="right" w:leader="dot" w:pos="9486"/>
      </w:tabs>
      <w:ind w:left="4479" w:hanging="737"/>
    </w:pPr>
    <w:rPr>
      <w:sz w:val="18"/>
      <w:szCs w:val="18"/>
    </w:rPr>
  </w:style>
  <w:style w:type="paragraph" w:customStyle="1" w:styleId="ZZAnxheader">
    <w:name w:val="ZZ_Anx_header"/>
    <w:basedOn w:val="Normal-pool"/>
    <w:rsid w:val="00AD40EB"/>
    <w:rPr>
      <w:b/>
      <w:bCs/>
      <w:sz w:val="28"/>
      <w:szCs w:val="22"/>
    </w:rPr>
  </w:style>
  <w:style w:type="paragraph" w:customStyle="1" w:styleId="ZZAnxtitle">
    <w:name w:val="ZZ_Anx_title"/>
    <w:basedOn w:val="Normal-pool"/>
    <w:link w:val="ZZAnxtitleChar"/>
    <w:rsid w:val="00AD40EB"/>
    <w:pPr>
      <w:spacing w:before="360" w:after="120"/>
      <w:ind w:left="1247"/>
    </w:pPr>
    <w:rPr>
      <w:b/>
      <w:bCs/>
      <w:sz w:val="28"/>
      <w:szCs w:val="26"/>
    </w:rPr>
  </w:style>
  <w:style w:type="paragraph" w:styleId="NormalWeb">
    <w:name w:val="Normal (Web)"/>
    <w:basedOn w:val="Normal"/>
    <w:uiPriority w:val="99"/>
    <w:semiHidden/>
    <w:unhideWhenUsed/>
    <w:rsid w:val="00AD40EB"/>
    <w:pPr>
      <w:spacing w:before="100" w:beforeAutospacing="1" w:after="100" w:afterAutospacing="1"/>
    </w:pPr>
    <w:rPr>
      <w:rFonts w:eastAsiaTheme="minorEastAsia"/>
      <w:sz w:val="24"/>
      <w:szCs w:val="24"/>
    </w:rPr>
  </w:style>
  <w:style w:type="paragraph" w:customStyle="1" w:styleId="Normal-pool-Table">
    <w:name w:val="Normal-pool-Table"/>
    <w:basedOn w:val="Normal-pool"/>
    <w:rsid w:val="00AD40EB"/>
    <w:pPr>
      <w:spacing w:before="40" w:after="40"/>
    </w:pPr>
    <w:rPr>
      <w:sz w:val="18"/>
    </w:rPr>
  </w:style>
  <w:style w:type="paragraph" w:customStyle="1" w:styleId="Footnote-Text">
    <w:name w:val="Footnote-Text"/>
    <w:basedOn w:val="Normal-pool"/>
    <w:rsid w:val="00AD40EB"/>
    <w:pPr>
      <w:spacing w:before="20" w:after="40"/>
      <w:ind w:left="1247"/>
    </w:pPr>
    <w:rPr>
      <w:sz w:val="18"/>
    </w:rPr>
  </w:style>
  <w:style w:type="paragraph" w:customStyle="1" w:styleId="AConvName">
    <w:name w:val="A_ConvName"/>
    <w:basedOn w:val="Normal-pool"/>
    <w:next w:val="Normal-pool"/>
    <w:rsid w:val="00AD40EB"/>
    <w:pPr>
      <w:spacing w:before="120" w:after="240"/>
    </w:pPr>
    <w:rPr>
      <w:rFonts w:ascii="Arial" w:hAnsi="Arial"/>
      <w:b/>
      <w:sz w:val="28"/>
    </w:rPr>
  </w:style>
  <w:style w:type="paragraph" w:customStyle="1" w:styleId="ASymbol">
    <w:name w:val="A_Symbol"/>
    <w:basedOn w:val="Normal-pool"/>
    <w:rsid w:val="00AD40EB"/>
    <w:pPr>
      <w:tabs>
        <w:tab w:val="clear" w:pos="624"/>
        <w:tab w:val="clear" w:pos="1247"/>
        <w:tab w:val="right" w:pos="2920"/>
      </w:tabs>
    </w:pPr>
    <w:rPr>
      <w:rFonts w:eastAsia="SimSun"/>
    </w:rPr>
  </w:style>
  <w:style w:type="paragraph" w:customStyle="1" w:styleId="AText">
    <w:name w:val="A_Text"/>
    <w:basedOn w:val="Normal-pool"/>
    <w:rsid w:val="00AD40EB"/>
    <w:pPr>
      <w:spacing w:before="120"/>
    </w:pPr>
  </w:style>
  <w:style w:type="paragraph" w:customStyle="1" w:styleId="ATwoLetters">
    <w:name w:val="A_TwoLetters"/>
    <w:basedOn w:val="Normal-pool"/>
    <w:next w:val="Normal-pool"/>
    <w:rsid w:val="00AD40EB"/>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AD40EB"/>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AD40EB"/>
    <w:rPr>
      <w:rFonts w:ascii="Tahoma" w:hAnsi="Tahoma" w:cs="Tahoma"/>
      <w:sz w:val="16"/>
      <w:szCs w:val="16"/>
    </w:rPr>
  </w:style>
  <w:style w:type="character" w:customStyle="1" w:styleId="BalloonTextChar">
    <w:name w:val="Balloon Text Char"/>
    <w:basedOn w:val="DefaultParagraphFont"/>
    <w:link w:val="BalloonText"/>
    <w:rsid w:val="00AD40EB"/>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AD40EB"/>
    <w:rPr>
      <w:sz w:val="16"/>
      <w:szCs w:val="16"/>
      <w:lang w:val="en-GB"/>
    </w:rPr>
  </w:style>
  <w:style w:type="paragraph" w:styleId="CommentText">
    <w:name w:val="annotation text"/>
    <w:basedOn w:val="Normal"/>
    <w:link w:val="CommentTextChar"/>
    <w:unhideWhenUsed/>
    <w:rsid w:val="00AD40EB"/>
  </w:style>
  <w:style w:type="character" w:customStyle="1" w:styleId="CommentTextChar">
    <w:name w:val="Comment Text Char"/>
    <w:basedOn w:val="DefaultParagraphFont"/>
    <w:link w:val="CommentText"/>
    <w:rsid w:val="00AD40EB"/>
    <w:rPr>
      <w:rFonts w:eastAsia="Times New Roman"/>
      <w:lang w:val="en-GB" w:eastAsia="en-US"/>
    </w:rPr>
  </w:style>
  <w:style w:type="paragraph" w:styleId="CommentSubject">
    <w:name w:val="annotation subject"/>
    <w:basedOn w:val="CommentText"/>
    <w:next w:val="CommentText"/>
    <w:link w:val="CommentSubjectChar"/>
    <w:semiHidden/>
    <w:unhideWhenUsed/>
    <w:rsid w:val="00AD40EB"/>
    <w:rPr>
      <w:b/>
      <w:bCs/>
    </w:rPr>
  </w:style>
  <w:style w:type="character" w:customStyle="1" w:styleId="CommentSubjectChar">
    <w:name w:val="Comment Subject Char"/>
    <w:basedOn w:val="CommentTextChar"/>
    <w:link w:val="CommentSubject"/>
    <w:semiHidden/>
    <w:rsid w:val="00AD40EB"/>
    <w:rPr>
      <w:rFonts w:eastAsia="Times New Roman"/>
      <w:b/>
      <w:bCs/>
      <w:lang w:val="en-GB" w:eastAsia="en-US"/>
    </w:rPr>
  </w:style>
  <w:style w:type="character" w:styleId="FollowedHyperlink">
    <w:name w:val="FollowedHyperlink"/>
    <w:uiPriority w:val="99"/>
    <w:semiHidden/>
    <w:rsid w:val="00AD40EB"/>
    <w:rPr>
      <w:color w:val="0000FF"/>
      <w:u w:val="none"/>
      <w:lang w:val="en-GB"/>
    </w:rPr>
  </w:style>
  <w:style w:type="character" w:customStyle="1" w:styleId="FooterChar">
    <w:name w:val="Footer Char"/>
    <w:basedOn w:val="DefaultParagraphFont"/>
    <w:link w:val="CH4"/>
    <w:rsid w:val="00AD40EB"/>
    <w:rPr>
      <w:rFonts w:eastAsia="Times New Roman"/>
      <w:b/>
      <w:lang w:val="en-GB" w:eastAsia="en-US"/>
    </w:rPr>
  </w:style>
  <w:style w:type="character" w:customStyle="1" w:styleId="HeaderChar">
    <w:name w:val="Header Char"/>
    <w:basedOn w:val="DefaultParagraphFont"/>
    <w:link w:val="Header"/>
    <w:uiPriority w:val="99"/>
    <w:rsid w:val="00AD40EB"/>
    <w:rPr>
      <w:rFonts w:eastAsia="Times New Roman"/>
      <w:b/>
      <w:sz w:val="18"/>
      <w:lang w:val="en-GB" w:eastAsia="en-US"/>
    </w:rPr>
  </w:style>
  <w:style w:type="character" w:customStyle="1" w:styleId="Heading1Char">
    <w:name w:val="Heading 1 Char"/>
    <w:basedOn w:val="DefaultParagraphFont"/>
    <w:link w:val="Heading1"/>
    <w:rsid w:val="00AD40EB"/>
    <w:rPr>
      <w:rFonts w:eastAsia="Times New Roman"/>
      <w:b/>
      <w:sz w:val="28"/>
      <w:szCs w:val="28"/>
      <w:lang w:val="en-GB" w:eastAsia="en-US"/>
    </w:rPr>
  </w:style>
  <w:style w:type="character" w:customStyle="1" w:styleId="Heading2Char">
    <w:name w:val="Heading 2 Char"/>
    <w:basedOn w:val="DefaultParagraphFont"/>
    <w:link w:val="Heading2"/>
    <w:rsid w:val="00AD40EB"/>
    <w:rPr>
      <w:rFonts w:eastAsia="Times New Roman"/>
      <w:b/>
      <w:sz w:val="24"/>
      <w:szCs w:val="24"/>
      <w:lang w:val="en-GB" w:eastAsia="en-US"/>
    </w:rPr>
  </w:style>
  <w:style w:type="character" w:customStyle="1" w:styleId="Heading3Char">
    <w:name w:val="Heading 3 Char"/>
    <w:basedOn w:val="DefaultParagraphFont"/>
    <w:link w:val="Heading3"/>
    <w:rsid w:val="00AD40EB"/>
    <w:rPr>
      <w:rFonts w:eastAsia="Times New Roman"/>
      <w:b/>
      <w:lang w:val="en-GB" w:eastAsia="en-US"/>
    </w:rPr>
  </w:style>
  <w:style w:type="character" w:customStyle="1" w:styleId="Heading4Char">
    <w:name w:val="Heading 4 Char"/>
    <w:basedOn w:val="DefaultParagraphFont"/>
    <w:link w:val="Heading4"/>
    <w:rsid w:val="00AD40EB"/>
    <w:rPr>
      <w:rFonts w:eastAsia="Times New Roman"/>
      <w:b/>
      <w:lang w:val="en-GB" w:eastAsia="en-US"/>
    </w:rPr>
  </w:style>
  <w:style w:type="character" w:customStyle="1" w:styleId="Heading5Char">
    <w:name w:val="Heading 5 Char"/>
    <w:basedOn w:val="DefaultParagraphFont"/>
    <w:link w:val="Heading5"/>
    <w:rsid w:val="00AD40EB"/>
    <w:rPr>
      <w:rFonts w:eastAsia="Times New Roman"/>
      <w:b/>
      <w:lang w:val="en-GB" w:eastAsia="en-US"/>
    </w:rPr>
  </w:style>
  <w:style w:type="character" w:customStyle="1" w:styleId="Heading6Char">
    <w:name w:val="Heading 6 Char"/>
    <w:basedOn w:val="DefaultParagraphFont"/>
    <w:link w:val="Heading6"/>
    <w:semiHidden/>
    <w:rsid w:val="00AD40EB"/>
    <w:rPr>
      <w:rFonts w:eastAsia="Times New Roman"/>
      <w:bCs/>
      <w:sz w:val="24"/>
      <w:lang w:val="en-GB" w:eastAsia="en-US"/>
    </w:rPr>
  </w:style>
  <w:style w:type="character" w:customStyle="1" w:styleId="Heading7Char">
    <w:name w:val="Heading 7 Char"/>
    <w:basedOn w:val="DefaultParagraphFont"/>
    <w:link w:val="Heading7"/>
    <w:semiHidden/>
    <w:rsid w:val="00AD40EB"/>
    <w:rPr>
      <w:rFonts w:eastAsia="Times New Roman"/>
      <w:b/>
      <w:snapToGrid w:val="0"/>
      <w:u w:val="single"/>
      <w:lang w:val="en-GB" w:eastAsia="en-US"/>
    </w:rPr>
  </w:style>
  <w:style w:type="character" w:customStyle="1" w:styleId="Heading8Char">
    <w:name w:val="Heading 8 Char"/>
    <w:basedOn w:val="DefaultParagraphFont"/>
    <w:link w:val="Heading8"/>
    <w:semiHidden/>
    <w:rsid w:val="00AD40EB"/>
    <w:rPr>
      <w:rFonts w:eastAsia="Times New Roman"/>
      <w:b/>
      <w:snapToGrid w:val="0"/>
      <w:u w:val="single"/>
      <w:lang w:val="en-GB" w:eastAsia="en-US"/>
    </w:rPr>
  </w:style>
  <w:style w:type="character" w:customStyle="1" w:styleId="Heading9Char">
    <w:name w:val="Heading 9 Char"/>
    <w:basedOn w:val="DefaultParagraphFont"/>
    <w:link w:val="Heading9"/>
    <w:semiHidden/>
    <w:rsid w:val="00AD40EB"/>
    <w:rPr>
      <w:rFonts w:eastAsia="Times New Roman"/>
      <w:snapToGrid w:val="0"/>
      <w:u w:val="single"/>
      <w:lang w:val="en-GB" w:eastAsia="en-US"/>
    </w:rPr>
  </w:style>
  <w:style w:type="paragraph" w:styleId="ListParagraph">
    <w:name w:val="List Paragraph"/>
    <w:basedOn w:val="Normal"/>
    <w:uiPriority w:val="34"/>
    <w:semiHidden/>
    <w:qFormat/>
    <w:rsid w:val="00AD40EB"/>
    <w:pPr>
      <w:ind w:left="720"/>
      <w:contextualSpacing/>
    </w:pPr>
  </w:style>
  <w:style w:type="paragraph" w:styleId="NoSpacing">
    <w:name w:val="No Spacing"/>
    <w:uiPriority w:val="1"/>
    <w:semiHidden/>
    <w:qFormat/>
    <w:rsid w:val="00AD40EB"/>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AD40EB"/>
    <w:rPr>
      <w:rFonts w:eastAsia="Times New Roman"/>
      <w:lang w:val="en-GB" w:eastAsia="en-US"/>
    </w:rPr>
  </w:style>
  <w:style w:type="character" w:styleId="PlaceholderText">
    <w:name w:val="Placeholder Text"/>
    <w:basedOn w:val="DefaultParagraphFont"/>
    <w:uiPriority w:val="99"/>
    <w:semiHidden/>
    <w:rsid w:val="00AD40EB"/>
    <w:rPr>
      <w:color w:val="808080"/>
      <w:lang w:val="en-GB"/>
    </w:rPr>
  </w:style>
  <w:style w:type="table" w:styleId="TableGrid">
    <w:name w:val="Table Grid"/>
    <w:basedOn w:val="TableNormal"/>
    <w:rsid w:val="00AD4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AD40EB"/>
    <w:pPr>
      <w:spacing w:before="120" w:after="240"/>
    </w:pPr>
  </w:style>
  <w:style w:type="character" w:customStyle="1" w:styleId="ALogoChar">
    <w:name w:val="A_Logo Char"/>
    <w:basedOn w:val="DefaultParagraphFont"/>
    <w:link w:val="ALogo"/>
    <w:rsid w:val="00AD40EB"/>
    <w:rPr>
      <w:rFonts w:eastAsia="Times New Roman"/>
      <w:lang w:val="en-GB" w:eastAsia="en-US"/>
    </w:rPr>
  </w:style>
  <w:style w:type="paragraph" w:customStyle="1" w:styleId="ASpacer">
    <w:name w:val="A_Spacer"/>
    <w:basedOn w:val="Normal-pool"/>
    <w:link w:val="ASpacerChar"/>
    <w:qFormat/>
    <w:rsid w:val="00AD40EB"/>
    <w:rPr>
      <w:sz w:val="2"/>
    </w:rPr>
  </w:style>
  <w:style w:type="character" w:customStyle="1" w:styleId="ASpacerChar">
    <w:name w:val="A_Spacer Char"/>
    <w:basedOn w:val="DefaultParagraphFont"/>
    <w:link w:val="ASpacer"/>
    <w:rsid w:val="00AD40EB"/>
    <w:rPr>
      <w:rFonts w:eastAsia="Times New Roman"/>
      <w:sz w:val="2"/>
      <w:lang w:val="en-GB" w:eastAsia="en-US"/>
    </w:rPr>
  </w:style>
  <w:style w:type="paragraph" w:customStyle="1" w:styleId="AATitle1">
    <w:name w:val="AA_Title1"/>
    <w:basedOn w:val="Normal-pool"/>
    <w:rsid w:val="00AD40EB"/>
  </w:style>
  <w:style w:type="character" w:styleId="UnresolvedMention">
    <w:name w:val="Unresolved Mention"/>
    <w:basedOn w:val="DefaultParagraphFont"/>
    <w:uiPriority w:val="99"/>
    <w:semiHidden/>
    <w:rsid w:val="00AD40EB"/>
    <w:rPr>
      <w:color w:val="605E5C"/>
      <w:shd w:val="clear" w:color="auto" w:fill="E1DFDD"/>
      <w:lang w:val="en-GB"/>
    </w:rPr>
  </w:style>
  <w:style w:type="paragraph" w:customStyle="1" w:styleId="ANormal">
    <w:name w:val="A_Normal"/>
    <w:basedOn w:val="Normal-pool"/>
    <w:rsid w:val="00AD40EB"/>
  </w:style>
  <w:style w:type="paragraph" w:customStyle="1" w:styleId="AText0">
    <w:name w:val="A_Text0"/>
    <w:basedOn w:val="AText"/>
    <w:next w:val="AText"/>
    <w:qFormat/>
    <w:rsid w:val="00AD40EB"/>
    <w:pPr>
      <w:tabs>
        <w:tab w:val="clear" w:pos="4990"/>
      </w:tabs>
      <w:spacing w:before="0" w:after="120"/>
    </w:pPr>
  </w:style>
  <w:style w:type="paragraph" w:styleId="Footer">
    <w:name w:val="footer"/>
    <w:basedOn w:val="Normal"/>
    <w:link w:val="FooterChar1"/>
    <w:unhideWhenUsed/>
    <w:rsid w:val="00AD40EB"/>
    <w:pPr>
      <w:tabs>
        <w:tab w:val="clear" w:pos="1247"/>
        <w:tab w:val="right" w:pos="8641"/>
      </w:tabs>
    </w:pPr>
    <w:rPr>
      <w:b/>
      <w:sz w:val="18"/>
    </w:rPr>
  </w:style>
  <w:style w:type="character" w:customStyle="1" w:styleId="FooterChar1">
    <w:name w:val="Footer Char1"/>
    <w:basedOn w:val="DefaultParagraphFont"/>
    <w:link w:val="Footer"/>
    <w:rsid w:val="00AD40EB"/>
    <w:rPr>
      <w:rFonts w:eastAsia="Times New Roman"/>
      <w:b/>
      <w:sz w:val="18"/>
      <w:lang w:val="en-GB" w:eastAsia="en-US"/>
    </w:rPr>
  </w:style>
  <w:style w:type="paragraph" w:customStyle="1" w:styleId="Normal-pool">
    <w:name w:val="Normal-pool"/>
    <w:link w:val="Normal-poolChar"/>
    <w:qFormat/>
    <w:rsid w:val="00AD40EB"/>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AD40EB"/>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AD40EB"/>
    <w:pPr>
      <w:spacing w:before="60"/>
      <w:ind w:left="624"/>
    </w:pPr>
    <w:rPr>
      <w:rFonts w:eastAsiaTheme="minorEastAsia"/>
      <w:sz w:val="18"/>
    </w:rPr>
  </w:style>
  <w:style w:type="paragraph" w:styleId="Bibliography">
    <w:name w:val="Bibliography"/>
    <w:basedOn w:val="Normal"/>
    <w:next w:val="Normal"/>
    <w:uiPriority w:val="37"/>
    <w:semiHidden/>
    <w:rsid w:val="00AD40EB"/>
  </w:style>
  <w:style w:type="paragraph" w:styleId="BlockText">
    <w:name w:val="Block Text"/>
    <w:basedOn w:val="Normal"/>
    <w:semiHidden/>
    <w:unhideWhenUsed/>
    <w:rsid w:val="00AD40E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AD40EB"/>
    <w:pPr>
      <w:spacing w:after="120"/>
    </w:pPr>
  </w:style>
  <w:style w:type="character" w:customStyle="1" w:styleId="BodyTextChar">
    <w:name w:val="Body Text Char"/>
    <w:basedOn w:val="DefaultParagraphFont"/>
    <w:link w:val="BodyText"/>
    <w:semiHidden/>
    <w:rsid w:val="00AD40EB"/>
    <w:rPr>
      <w:rFonts w:eastAsia="Times New Roman"/>
      <w:lang w:val="en-GB" w:eastAsia="en-US"/>
    </w:rPr>
  </w:style>
  <w:style w:type="paragraph" w:styleId="BodyText2">
    <w:name w:val="Body Text 2"/>
    <w:basedOn w:val="Normal"/>
    <w:link w:val="BodyText2Char"/>
    <w:semiHidden/>
    <w:unhideWhenUsed/>
    <w:rsid w:val="00AD40EB"/>
    <w:pPr>
      <w:spacing w:after="120" w:line="480" w:lineRule="auto"/>
    </w:pPr>
  </w:style>
  <w:style w:type="character" w:customStyle="1" w:styleId="BodyText2Char">
    <w:name w:val="Body Text 2 Char"/>
    <w:basedOn w:val="DefaultParagraphFont"/>
    <w:link w:val="BodyText2"/>
    <w:semiHidden/>
    <w:rsid w:val="00AD40EB"/>
    <w:rPr>
      <w:rFonts w:eastAsia="Times New Roman"/>
      <w:lang w:val="en-GB" w:eastAsia="en-US"/>
    </w:rPr>
  </w:style>
  <w:style w:type="paragraph" w:styleId="BodyText3">
    <w:name w:val="Body Text 3"/>
    <w:basedOn w:val="Normal"/>
    <w:link w:val="BodyText3Char"/>
    <w:semiHidden/>
    <w:unhideWhenUsed/>
    <w:rsid w:val="00AD40EB"/>
    <w:pPr>
      <w:spacing w:after="120"/>
    </w:pPr>
    <w:rPr>
      <w:sz w:val="16"/>
      <w:szCs w:val="16"/>
    </w:rPr>
  </w:style>
  <w:style w:type="character" w:customStyle="1" w:styleId="BodyText3Char">
    <w:name w:val="Body Text 3 Char"/>
    <w:basedOn w:val="DefaultParagraphFont"/>
    <w:link w:val="BodyText3"/>
    <w:semiHidden/>
    <w:rsid w:val="00AD40E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AD40EB"/>
    <w:pPr>
      <w:spacing w:after="0"/>
      <w:ind w:firstLine="360"/>
    </w:pPr>
  </w:style>
  <w:style w:type="character" w:customStyle="1" w:styleId="BodyTextFirstIndentChar">
    <w:name w:val="Body Text First Indent Char"/>
    <w:basedOn w:val="BodyTextChar"/>
    <w:link w:val="BodyTextFirstIndent"/>
    <w:semiHidden/>
    <w:rsid w:val="00AD40EB"/>
    <w:rPr>
      <w:rFonts w:eastAsia="Times New Roman"/>
      <w:lang w:val="en-GB" w:eastAsia="en-US"/>
    </w:rPr>
  </w:style>
  <w:style w:type="paragraph" w:styleId="BodyTextIndent">
    <w:name w:val="Body Text Indent"/>
    <w:basedOn w:val="Normal"/>
    <w:link w:val="BodyTextIndentChar"/>
    <w:semiHidden/>
    <w:unhideWhenUsed/>
    <w:rsid w:val="00AD40EB"/>
    <w:pPr>
      <w:spacing w:after="120"/>
      <w:ind w:left="283"/>
    </w:pPr>
  </w:style>
  <w:style w:type="character" w:customStyle="1" w:styleId="BodyTextIndentChar">
    <w:name w:val="Body Text Indent Char"/>
    <w:basedOn w:val="DefaultParagraphFont"/>
    <w:link w:val="BodyTextIndent"/>
    <w:semiHidden/>
    <w:rsid w:val="00AD40EB"/>
    <w:rPr>
      <w:rFonts w:eastAsia="Times New Roman"/>
      <w:lang w:val="en-GB" w:eastAsia="en-US"/>
    </w:rPr>
  </w:style>
  <w:style w:type="paragraph" w:styleId="BodyTextFirstIndent2">
    <w:name w:val="Body Text First Indent 2"/>
    <w:basedOn w:val="BodyTextIndent"/>
    <w:link w:val="BodyTextFirstIndent2Char"/>
    <w:semiHidden/>
    <w:unhideWhenUsed/>
    <w:rsid w:val="00AD40EB"/>
    <w:pPr>
      <w:spacing w:after="0"/>
      <w:ind w:left="360" w:firstLine="360"/>
    </w:pPr>
  </w:style>
  <w:style w:type="character" w:customStyle="1" w:styleId="BodyTextFirstIndent2Char">
    <w:name w:val="Body Text First Indent 2 Char"/>
    <w:basedOn w:val="BodyTextIndentChar"/>
    <w:link w:val="BodyTextFirstIndent2"/>
    <w:semiHidden/>
    <w:rsid w:val="00AD40EB"/>
    <w:rPr>
      <w:rFonts w:eastAsia="Times New Roman"/>
      <w:lang w:val="en-GB" w:eastAsia="en-US"/>
    </w:rPr>
  </w:style>
  <w:style w:type="paragraph" w:styleId="BodyTextIndent2">
    <w:name w:val="Body Text Indent 2"/>
    <w:basedOn w:val="Normal"/>
    <w:link w:val="BodyTextIndent2Char"/>
    <w:semiHidden/>
    <w:unhideWhenUsed/>
    <w:rsid w:val="00AD40EB"/>
    <w:pPr>
      <w:spacing w:after="120" w:line="480" w:lineRule="auto"/>
      <w:ind w:left="283"/>
    </w:pPr>
  </w:style>
  <w:style w:type="character" w:customStyle="1" w:styleId="BodyTextIndent2Char">
    <w:name w:val="Body Text Indent 2 Char"/>
    <w:basedOn w:val="DefaultParagraphFont"/>
    <w:link w:val="BodyTextIndent2"/>
    <w:semiHidden/>
    <w:rsid w:val="00AD40EB"/>
    <w:rPr>
      <w:rFonts w:eastAsia="Times New Roman"/>
      <w:lang w:val="en-GB" w:eastAsia="en-US"/>
    </w:rPr>
  </w:style>
  <w:style w:type="paragraph" w:styleId="BodyTextIndent3">
    <w:name w:val="Body Text Indent 3"/>
    <w:basedOn w:val="Normal"/>
    <w:link w:val="BodyTextIndent3Char"/>
    <w:semiHidden/>
    <w:unhideWhenUsed/>
    <w:rsid w:val="00AD40EB"/>
    <w:pPr>
      <w:spacing w:after="120"/>
      <w:ind w:left="283"/>
    </w:pPr>
    <w:rPr>
      <w:sz w:val="16"/>
      <w:szCs w:val="16"/>
    </w:rPr>
  </w:style>
  <w:style w:type="character" w:customStyle="1" w:styleId="BodyTextIndent3Char">
    <w:name w:val="Body Text Indent 3 Char"/>
    <w:basedOn w:val="DefaultParagraphFont"/>
    <w:link w:val="BodyTextIndent3"/>
    <w:semiHidden/>
    <w:rsid w:val="00AD40EB"/>
    <w:rPr>
      <w:rFonts w:eastAsia="Times New Roman"/>
      <w:sz w:val="16"/>
      <w:szCs w:val="16"/>
      <w:lang w:val="en-GB" w:eastAsia="en-US"/>
    </w:rPr>
  </w:style>
  <w:style w:type="character" w:styleId="BookTitle">
    <w:name w:val="Book Title"/>
    <w:basedOn w:val="DefaultParagraphFont"/>
    <w:uiPriority w:val="33"/>
    <w:semiHidden/>
    <w:qFormat/>
    <w:rsid w:val="00AD40EB"/>
    <w:rPr>
      <w:b/>
      <w:bCs/>
      <w:i/>
      <w:iCs/>
      <w:spacing w:val="5"/>
      <w:lang w:val="en-GB"/>
    </w:rPr>
  </w:style>
  <w:style w:type="paragraph" w:styleId="Caption">
    <w:name w:val="caption"/>
    <w:basedOn w:val="Normal"/>
    <w:next w:val="Normal"/>
    <w:semiHidden/>
    <w:unhideWhenUsed/>
    <w:qFormat/>
    <w:rsid w:val="00AD40EB"/>
    <w:pPr>
      <w:spacing w:after="200"/>
    </w:pPr>
    <w:rPr>
      <w:i/>
      <w:iCs/>
      <w:color w:val="1F497D" w:themeColor="text2"/>
      <w:sz w:val="18"/>
      <w:szCs w:val="18"/>
    </w:rPr>
  </w:style>
  <w:style w:type="paragraph" w:styleId="Closing">
    <w:name w:val="Closing"/>
    <w:basedOn w:val="Normal"/>
    <w:link w:val="ClosingChar"/>
    <w:semiHidden/>
    <w:unhideWhenUsed/>
    <w:rsid w:val="00AD40EB"/>
    <w:pPr>
      <w:ind w:left="4252"/>
    </w:pPr>
  </w:style>
  <w:style w:type="character" w:customStyle="1" w:styleId="ClosingChar">
    <w:name w:val="Closing Char"/>
    <w:basedOn w:val="DefaultParagraphFont"/>
    <w:link w:val="Closing"/>
    <w:semiHidden/>
    <w:rsid w:val="00AD40EB"/>
    <w:rPr>
      <w:rFonts w:eastAsia="Times New Roman"/>
      <w:lang w:val="en-GB" w:eastAsia="en-US"/>
    </w:rPr>
  </w:style>
  <w:style w:type="table" w:styleId="ColorfulGrid">
    <w:name w:val="Colorful Grid"/>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D40E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D40E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D40E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D40E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D40E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D40E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D40E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D40E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D40E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D40E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D40E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D40E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D40E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D40E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D40E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D40E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D40E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D40E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D40E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D40E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D40E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AD40EB"/>
  </w:style>
  <w:style w:type="character" w:customStyle="1" w:styleId="DateChar">
    <w:name w:val="Date Char"/>
    <w:basedOn w:val="DefaultParagraphFont"/>
    <w:link w:val="Date"/>
    <w:semiHidden/>
    <w:rsid w:val="00AD40EB"/>
    <w:rPr>
      <w:rFonts w:eastAsia="Times New Roman"/>
      <w:lang w:val="en-GB" w:eastAsia="en-US"/>
    </w:rPr>
  </w:style>
  <w:style w:type="paragraph" w:styleId="DocumentMap">
    <w:name w:val="Document Map"/>
    <w:basedOn w:val="Normal"/>
    <w:link w:val="DocumentMapChar"/>
    <w:semiHidden/>
    <w:unhideWhenUsed/>
    <w:rsid w:val="00AD40EB"/>
    <w:rPr>
      <w:rFonts w:ascii="Segoe UI" w:hAnsi="Segoe UI" w:cs="Segoe UI"/>
      <w:sz w:val="16"/>
      <w:szCs w:val="16"/>
    </w:rPr>
  </w:style>
  <w:style w:type="character" w:customStyle="1" w:styleId="DocumentMapChar">
    <w:name w:val="Document Map Char"/>
    <w:basedOn w:val="DefaultParagraphFont"/>
    <w:link w:val="DocumentMap"/>
    <w:semiHidden/>
    <w:rsid w:val="00AD40EB"/>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AD40EB"/>
  </w:style>
  <w:style w:type="character" w:customStyle="1" w:styleId="E-mailSignatureChar">
    <w:name w:val="E-mail Signature Char"/>
    <w:basedOn w:val="DefaultParagraphFont"/>
    <w:link w:val="E-mailSignature"/>
    <w:semiHidden/>
    <w:rsid w:val="00AD40EB"/>
    <w:rPr>
      <w:rFonts w:eastAsia="Times New Roman"/>
      <w:lang w:val="en-GB" w:eastAsia="en-US"/>
    </w:rPr>
  </w:style>
  <w:style w:type="character" w:styleId="Emphasis">
    <w:name w:val="Emphasis"/>
    <w:basedOn w:val="DefaultParagraphFont"/>
    <w:semiHidden/>
    <w:qFormat/>
    <w:rsid w:val="00AD40EB"/>
    <w:rPr>
      <w:i/>
      <w:iCs/>
      <w:lang w:val="en-GB"/>
    </w:rPr>
  </w:style>
  <w:style w:type="character" w:styleId="EndnoteReference">
    <w:name w:val="endnote reference"/>
    <w:basedOn w:val="DefaultParagraphFont"/>
    <w:semiHidden/>
    <w:unhideWhenUsed/>
    <w:rsid w:val="00AD40EB"/>
    <w:rPr>
      <w:vertAlign w:val="superscript"/>
      <w:lang w:val="en-GB"/>
    </w:rPr>
  </w:style>
  <w:style w:type="paragraph" w:styleId="EndnoteText">
    <w:name w:val="endnote text"/>
    <w:basedOn w:val="Normal"/>
    <w:link w:val="EndnoteTextChar"/>
    <w:semiHidden/>
    <w:unhideWhenUsed/>
    <w:rsid w:val="00AD40EB"/>
  </w:style>
  <w:style w:type="character" w:customStyle="1" w:styleId="EndnoteTextChar">
    <w:name w:val="Endnote Text Char"/>
    <w:basedOn w:val="DefaultParagraphFont"/>
    <w:link w:val="EndnoteText"/>
    <w:semiHidden/>
    <w:rsid w:val="00AD40EB"/>
    <w:rPr>
      <w:rFonts w:eastAsia="Times New Roman"/>
      <w:lang w:val="en-GB" w:eastAsia="en-US"/>
    </w:rPr>
  </w:style>
  <w:style w:type="paragraph" w:styleId="EnvelopeAddress">
    <w:name w:val="envelope address"/>
    <w:basedOn w:val="Normal"/>
    <w:semiHidden/>
    <w:unhideWhenUsed/>
    <w:rsid w:val="00AD40E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D40EB"/>
    <w:rPr>
      <w:rFonts w:asciiTheme="majorHAnsi" w:eastAsiaTheme="majorEastAsia" w:hAnsiTheme="majorHAnsi" w:cstheme="majorBidi"/>
    </w:rPr>
  </w:style>
  <w:style w:type="paragraph" w:styleId="FootnoteText">
    <w:name w:val="footnote text"/>
    <w:basedOn w:val="Normal"/>
    <w:link w:val="FootnoteTextChar"/>
    <w:semiHidden/>
    <w:unhideWhenUsed/>
    <w:rsid w:val="00AD40EB"/>
  </w:style>
  <w:style w:type="character" w:customStyle="1" w:styleId="FootnoteTextChar">
    <w:name w:val="Footnote Text Char"/>
    <w:basedOn w:val="DefaultParagraphFont"/>
    <w:link w:val="FootnoteText"/>
    <w:semiHidden/>
    <w:rsid w:val="00AD40EB"/>
    <w:rPr>
      <w:rFonts w:eastAsia="Times New Roman"/>
      <w:lang w:val="en-GB" w:eastAsia="en-US"/>
    </w:rPr>
  </w:style>
  <w:style w:type="table" w:styleId="GridTable1Light">
    <w:name w:val="Grid Table 1 Light"/>
    <w:basedOn w:val="TableNormal"/>
    <w:uiPriority w:val="46"/>
    <w:rsid w:val="00AD40E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D40E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D40E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D40E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D40E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D40E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D40E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D40E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D40E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D40E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D40E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D40E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D40E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D40E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D40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D4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D40E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D40E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D40E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D40E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D40E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D40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D4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D40E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D40E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D40E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D40E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D40E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D40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D40E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D40E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D40E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D40E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D40E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D40E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D40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D40E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D40E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D40E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D40E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D40E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D40E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AD40EB"/>
    <w:rPr>
      <w:color w:val="2B579A"/>
      <w:shd w:val="clear" w:color="auto" w:fill="E1DFDD"/>
      <w:lang w:val="en-GB"/>
    </w:rPr>
  </w:style>
  <w:style w:type="character" w:styleId="HTMLAcronym">
    <w:name w:val="HTML Acronym"/>
    <w:basedOn w:val="DefaultParagraphFont"/>
    <w:semiHidden/>
    <w:unhideWhenUsed/>
    <w:rsid w:val="00AD40EB"/>
    <w:rPr>
      <w:lang w:val="en-GB"/>
    </w:rPr>
  </w:style>
  <w:style w:type="paragraph" w:styleId="HTMLAddress">
    <w:name w:val="HTML Address"/>
    <w:basedOn w:val="Normal"/>
    <w:link w:val="HTMLAddressChar"/>
    <w:semiHidden/>
    <w:unhideWhenUsed/>
    <w:rsid w:val="00AD40EB"/>
    <w:rPr>
      <w:i/>
      <w:iCs/>
    </w:rPr>
  </w:style>
  <w:style w:type="character" w:customStyle="1" w:styleId="HTMLAddressChar">
    <w:name w:val="HTML Address Char"/>
    <w:basedOn w:val="DefaultParagraphFont"/>
    <w:link w:val="HTMLAddress"/>
    <w:semiHidden/>
    <w:rsid w:val="00AD40EB"/>
    <w:rPr>
      <w:rFonts w:eastAsia="Times New Roman"/>
      <w:i/>
      <w:iCs/>
      <w:lang w:val="en-GB" w:eastAsia="en-US"/>
    </w:rPr>
  </w:style>
  <w:style w:type="character" w:styleId="HTMLCite">
    <w:name w:val="HTML Cite"/>
    <w:basedOn w:val="DefaultParagraphFont"/>
    <w:semiHidden/>
    <w:unhideWhenUsed/>
    <w:rsid w:val="00AD40EB"/>
    <w:rPr>
      <w:i/>
      <w:iCs/>
      <w:lang w:val="en-GB"/>
    </w:rPr>
  </w:style>
  <w:style w:type="character" w:styleId="HTMLCode">
    <w:name w:val="HTML Code"/>
    <w:basedOn w:val="DefaultParagraphFont"/>
    <w:semiHidden/>
    <w:unhideWhenUsed/>
    <w:rsid w:val="00AD40EB"/>
    <w:rPr>
      <w:rFonts w:ascii="Consolas" w:hAnsi="Consolas"/>
      <w:sz w:val="20"/>
      <w:szCs w:val="20"/>
      <w:lang w:val="en-GB"/>
    </w:rPr>
  </w:style>
  <w:style w:type="character" w:styleId="HTMLDefinition">
    <w:name w:val="HTML Definition"/>
    <w:basedOn w:val="DefaultParagraphFont"/>
    <w:semiHidden/>
    <w:unhideWhenUsed/>
    <w:rsid w:val="00AD40EB"/>
    <w:rPr>
      <w:i/>
      <w:iCs/>
      <w:lang w:val="en-GB"/>
    </w:rPr>
  </w:style>
  <w:style w:type="character" w:styleId="HTMLKeyboard">
    <w:name w:val="HTML Keyboard"/>
    <w:basedOn w:val="DefaultParagraphFont"/>
    <w:semiHidden/>
    <w:unhideWhenUsed/>
    <w:rsid w:val="00AD40EB"/>
    <w:rPr>
      <w:rFonts w:ascii="Consolas" w:hAnsi="Consolas"/>
      <w:sz w:val="20"/>
      <w:szCs w:val="20"/>
      <w:lang w:val="en-GB"/>
    </w:rPr>
  </w:style>
  <w:style w:type="paragraph" w:styleId="HTMLPreformatted">
    <w:name w:val="HTML Preformatted"/>
    <w:basedOn w:val="Normal"/>
    <w:link w:val="HTMLPreformattedChar"/>
    <w:semiHidden/>
    <w:unhideWhenUsed/>
    <w:rsid w:val="00AD40EB"/>
    <w:rPr>
      <w:rFonts w:ascii="Consolas" w:hAnsi="Consolas"/>
    </w:rPr>
  </w:style>
  <w:style w:type="character" w:customStyle="1" w:styleId="HTMLPreformattedChar">
    <w:name w:val="HTML Preformatted Char"/>
    <w:basedOn w:val="DefaultParagraphFont"/>
    <w:link w:val="HTMLPreformatted"/>
    <w:semiHidden/>
    <w:rsid w:val="00AD40EB"/>
    <w:rPr>
      <w:rFonts w:ascii="Consolas" w:eastAsia="Times New Roman" w:hAnsi="Consolas"/>
      <w:lang w:val="en-GB" w:eastAsia="en-US"/>
    </w:rPr>
  </w:style>
  <w:style w:type="character" w:styleId="HTMLSample">
    <w:name w:val="HTML Sample"/>
    <w:basedOn w:val="DefaultParagraphFont"/>
    <w:semiHidden/>
    <w:unhideWhenUsed/>
    <w:rsid w:val="00AD40EB"/>
    <w:rPr>
      <w:rFonts w:ascii="Consolas" w:hAnsi="Consolas"/>
      <w:sz w:val="24"/>
      <w:szCs w:val="24"/>
      <w:lang w:val="en-GB"/>
    </w:rPr>
  </w:style>
  <w:style w:type="character" w:styleId="HTMLTypewriter">
    <w:name w:val="HTML Typewriter"/>
    <w:basedOn w:val="DefaultParagraphFont"/>
    <w:semiHidden/>
    <w:unhideWhenUsed/>
    <w:rsid w:val="00AD40EB"/>
    <w:rPr>
      <w:rFonts w:ascii="Consolas" w:hAnsi="Consolas"/>
      <w:sz w:val="20"/>
      <w:szCs w:val="20"/>
      <w:lang w:val="en-GB"/>
    </w:rPr>
  </w:style>
  <w:style w:type="character" w:styleId="HTMLVariable">
    <w:name w:val="HTML Variable"/>
    <w:basedOn w:val="DefaultParagraphFont"/>
    <w:semiHidden/>
    <w:unhideWhenUsed/>
    <w:rsid w:val="00AD40EB"/>
    <w:rPr>
      <w:i/>
      <w:iCs/>
      <w:lang w:val="en-GB"/>
    </w:rPr>
  </w:style>
  <w:style w:type="paragraph" w:styleId="Index1">
    <w:name w:val="index 1"/>
    <w:basedOn w:val="Normal"/>
    <w:next w:val="Normal"/>
    <w:autoRedefine/>
    <w:semiHidden/>
    <w:unhideWhenUsed/>
    <w:rsid w:val="00AD40EB"/>
    <w:pPr>
      <w:tabs>
        <w:tab w:val="clear" w:pos="1247"/>
      </w:tabs>
      <w:ind w:left="200" w:hanging="200"/>
    </w:pPr>
  </w:style>
  <w:style w:type="paragraph" w:styleId="Index2">
    <w:name w:val="index 2"/>
    <w:basedOn w:val="Normal"/>
    <w:next w:val="Normal"/>
    <w:autoRedefine/>
    <w:semiHidden/>
    <w:unhideWhenUsed/>
    <w:rsid w:val="00AD40EB"/>
    <w:pPr>
      <w:tabs>
        <w:tab w:val="clear" w:pos="1247"/>
      </w:tabs>
      <w:ind w:left="400" w:hanging="200"/>
    </w:pPr>
  </w:style>
  <w:style w:type="paragraph" w:styleId="Index3">
    <w:name w:val="index 3"/>
    <w:basedOn w:val="Normal"/>
    <w:next w:val="Normal"/>
    <w:autoRedefine/>
    <w:semiHidden/>
    <w:unhideWhenUsed/>
    <w:rsid w:val="00AD40EB"/>
    <w:pPr>
      <w:tabs>
        <w:tab w:val="clear" w:pos="1247"/>
      </w:tabs>
      <w:ind w:left="600" w:hanging="200"/>
    </w:pPr>
  </w:style>
  <w:style w:type="paragraph" w:styleId="Index4">
    <w:name w:val="index 4"/>
    <w:basedOn w:val="Normal"/>
    <w:next w:val="Normal"/>
    <w:autoRedefine/>
    <w:semiHidden/>
    <w:unhideWhenUsed/>
    <w:rsid w:val="00AD40EB"/>
    <w:pPr>
      <w:tabs>
        <w:tab w:val="clear" w:pos="1247"/>
      </w:tabs>
      <w:ind w:left="800" w:hanging="200"/>
    </w:pPr>
  </w:style>
  <w:style w:type="paragraph" w:styleId="Index5">
    <w:name w:val="index 5"/>
    <w:basedOn w:val="Normal"/>
    <w:next w:val="Normal"/>
    <w:autoRedefine/>
    <w:semiHidden/>
    <w:unhideWhenUsed/>
    <w:rsid w:val="00AD40EB"/>
    <w:pPr>
      <w:tabs>
        <w:tab w:val="clear" w:pos="1247"/>
      </w:tabs>
      <w:ind w:left="1000" w:hanging="200"/>
    </w:pPr>
  </w:style>
  <w:style w:type="paragraph" w:styleId="Index6">
    <w:name w:val="index 6"/>
    <w:basedOn w:val="Normal"/>
    <w:next w:val="Normal"/>
    <w:autoRedefine/>
    <w:semiHidden/>
    <w:unhideWhenUsed/>
    <w:rsid w:val="00AD40EB"/>
    <w:pPr>
      <w:tabs>
        <w:tab w:val="clear" w:pos="1247"/>
      </w:tabs>
      <w:ind w:left="1200" w:hanging="200"/>
    </w:pPr>
  </w:style>
  <w:style w:type="paragraph" w:styleId="Index7">
    <w:name w:val="index 7"/>
    <w:basedOn w:val="Normal"/>
    <w:next w:val="Normal"/>
    <w:autoRedefine/>
    <w:semiHidden/>
    <w:unhideWhenUsed/>
    <w:rsid w:val="00AD40EB"/>
    <w:pPr>
      <w:tabs>
        <w:tab w:val="clear" w:pos="1247"/>
      </w:tabs>
      <w:ind w:left="1400" w:hanging="200"/>
    </w:pPr>
  </w:style>
  <w:style w:type="paragraph" w:styleId="Index8">
    <w:name w:val="index 8"/>
    <w:basedOn w:val="Normal"/>
    <w:next w:val="Normal"/>
    <w:autoRedefine/>
    <w:semiHidden/>
    <w:unhideWhenUsed/>
    <w:rsid w:val="00AD40EB"/>
    <w:pPr>
      <w:tabs>
        <w:tab w:val="clear" w:pos="1247"/>
      </w:tabs>
      <w:ind w:left="1600" w:hanging="200"/>
    </w:pPr>
  </w:style>
  <w:style w:type="paragraph" w:styleId="Index9">
    <w:name w:val="index 9"/>
    <w:basedOn w:val="Normal"/>
    <w:next w:val="Normal"/>
    <w:autoRedefine/>
    <w:semiHidden/>
    <w:unhideWhenUsed/>
    <w:rsid w:val="00AD40EB"/>
    <w:pPr>
      <w:tabs>
        <w:tab w:val="clear" w:pos="1247"/>
      </w:tabs>
      <w:ind w:left="1800" w:hanging="200"/>
    </w:pPr>
  </w:style>
  <w:style w:type="paragraph" w:styleId="IndexHeading">
    <w:name w:val="index heading"/>
    <w:basedOn w:val="Normal"/>
    <w:next w:val="Index1"/>
    <w:semiHidden/>
    <w:unhideWhenUsed/>
    <w:rsid w:val="00AD40E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AD40EB"/>
    <w:rPr>
      <w:i/>
      <w:iCs/>
      <w:color w:val="4F81BD" w:themeColor="accent1"/>
      <w:lang w:val="en-GB"/>
    </w:rPr>
  </w:style>
  <w:style w:type="paragraph" w:styleId="IntenseQuote">
    <w:name w:val="Intense Quote"/>
    <w:basedOn w:val="Normal"/>
    <w:next w:val="Normal"/>
    <w:link w:val="IntenseQuoteChar"/>
    <w:uiPriority w:val="30"/>
    <w:semiHidden/>
    <w:qFormat/>
    <w:rsid w:val="00AD40E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AD40EB"/>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AD40EB"/>
    <w:rPr>
      <w:b/>
      <w:bCs/>
      <w:smallCaps/>
      <w:color w:val="4F81BD" w:themeColor="accent1"/>
      <w:spacing w:val="5"/>
      <w:lang w:val="en-GB"/>
    </w:rPr>
  </w:style>
  <w:style w:type="table" w:styleId="LightGrid">
    <w:name w:val="Light Grid"/>
    <w:basedOn w:val="TableNormal"/>
    <w:uiPriority w:val="62"/>
    <w:semiHidden/>
    <w:unhideWhenUsed/>
    <w:rsid w:val="00AD40E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D40E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D40E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D40E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D40E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D40E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D40E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D40E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D40E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D40E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D40E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D40E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D40E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D40E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D40E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D40E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D40E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D40E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D40E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D40E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D40E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AD40EB"/>
    <w:rPr>
      <w:lang w:val="en-GB"/>
    </w:rPr>
  </w:style>
  <w:style w:type="paragraph" w:styleId="List">
    <w:name w:val="List"/>
    <w:basedOn w:val="Normal"/>
    <w:semiHidden/>
    <w:unhideWhenUsed/>
    <w:rsid w:val="00AD40EB"/>
    <w:pPr>
      <w:ind w:left="283" w:hanging="283"/>
      <w:contextualSpacing/>
    </w:pPr>
  </w:style>
  <w:style w:type="paragraph" w:styleId="List2">
    <w:name w:val="List 2"/>
    <w:basedOn w:val="Normal"/>
    <w:semiHidden/>
    <w:unhideWhenUsed/>
    <w:rsid w:val="00AD40EB"/>
    <w:pPr>
      <w:ind w:left="566" w:hanging="283"/>
      <w:contextualSpacing/>
    </w:pPr>
  </w:style>
  <w:style w:type="paragraph" w:styleId="List3">
    <w:name w:val="List 3"/>
    <w:basedOn w:val="Normal"/>
    <w:semiHidden/>
    <w:unhideWhenUsed/>
    <w:rsid w:val="00AD40EB"/>
    <w:pPr>
      <w:ind w:left="849" w:hanging="283"/>
      <w:contextualSpacing/>
    </w:pPr>
  </w:style>
  <w:style w:type="paragraph" w:styleId="List4">
    <w:name w:val="List 4"/>
    <w:basedOn w:val="Normal"/>
    <w:semiHidden/>
    <w:unhideWhenUsed/>
    <w:rsid w:val="00AD40EB"/>
    <w:pPr>
      <w:ind w:left="1132" w:hanging="283"/>
      <w:contextualSpacing/>
    </w:pPr>
  </w:style>
  <w:style w:type="paragraph" w:styleId="List5">
    <w:name w:val="List 5"/>
    <w:basedOn w:val="Normal"/>
    <w:semiHidden/>
    <w:unhideWhenUsed/>
    <w:rsid w:val="00AD40EB"/>
    <w:pPr>
      <w:ind w:left="1415" w:hanging="283"/>
      <w:contextualSpacing/>
    </w:pPr>
  </w:style>
  <w:style w:type="paragraph" w:styleId="ListBullet">
    <w:name w:val="List Bullet"/>
    <w:basedOn w:val="Normal"/>
    <w:semiHidden/>
    <w:rsid w:val="00AD40EB"/>
    <w:pPr>
      <w:numPr>
        <w:numId w:val="6"/>
      </w:numPr>
      <w:contextualSpacing/>
    </w:pPr>
  </w:style>
  <w:style w:type="paragraph" w:styleId="ListBullet2">
    <w:name w:val="List Bullet 2"/>
    <w:basedOn w:val="Normal"/>
    <w:semiHidden/>
    <w:unhideWhenUsed/>
    <w:rsid w:val="00AD40EB"/>
    <w:pPr>
      <w:numPr>
        <w:numId w:val="7"/>
      </w:numPr>
      <w:contextualSpacing/>
    </w:pPr>
  </w:style>
  <w:style w:type="paragraph" w:styleId="ListBullet3">
    <w:name w:val="List Bullet 3"/>
    <w:basedOn w:val="Normal"/>
    <w:semiHidden/>
    <w:unhideWhenUsed/>
    <w:rsid w:val="00AD40EB"/>
    <w:pPr>
      <w:numPr>
        <w:numId w:val="8"/>
      </w:numPr>
      <w:contextualSpacing/>
    </w:pPr>
  </w:style>
  <w:style w:type="paragraph" w:styleId="ListBullet4">
    <w:name w:val="List Bullet 4"/>
    <w:basedOn w:val="Normal"/>
    <w:semiHidden/>
    <w:unhideWhenUsed/>
    <w:rsid w:val="00AD40EB"/>
    <w:pPr>
      <w:numPr>
        <w:numId w:val="9"/>
      </w:numPr>
      <w:contextualSpacing/>
    </w:pPr>
  </w:style>
  <w:style w:type="paragraph" w:styleId="ListBullet5">
    <w:name w:val="List Bullet 5"/>
    <w:basedOn w:val="Normal"/>
    <w:semiHidden/>
    <w:unhideWhenUsed/>
    <w:rsid w:val="00AD40EB"/>
    <w:pPr>
      <w:numPr>
        <w:numId w:val="10"/>
      </w:numPr>
      <w:contextualSpacing/>
    </w:pPr>
  </w:style>
  <w:style w:type="paragraph" w:styleId="ListContinue">
    <w:name w:val="List Continue"/>
    <w:basedOn w:val="Normal"/>
    <w:semiHidden/>
    <w:unhideWhenUsed/>
    <w:rsid w:val="00AD40EB"/>
    <w:pPr>
      <w:spacing w:after="120"/>
      <w:ind w:left="283"/>
      <w:contextualSpacing/>
    </w:pPr>
  </w:style>
  <w:style w:type="paragraph" w:styleId="ListContinue2">
    <w:name w:val="List Continue 2"/>
    <w:basedOn w:val="Normal"/>
    <w:semiHidden/>
    <w:unhideWhenUsed/>
    <w:rsid w:val="00AD40EB"/>
    <w:pPr>
      <w:spacing w:after="120"/>
      <w:ind w:left="566"/>
      <w:contextualSpacing/>
    </w:pPr>
  </w:style>
  <w:style w:type="paragraph" w:styleId="ListContinue3">
    <w:name w:val="List Continue 3"/>
    <w:basedOn w:val="Normal"/>
    <w:semiHidden/>
    <w:rsid w:val="00AD40EB"/>
    <w:pPr>
      <w:spacing w:after="120"/>
      <w:ind w:left="849"/>
      <w:contextualSpacing/>
    </w:pPr>
  </w:style>
  <w:style w:type="paragraph" w:styleId="ListContinue4">
    <w:name w:val="List Continue 4"/>
    <w:basedOn w:val="Normal"/>
    <w:semiHidden/>
    <w:rsid w:val="00AD40EB"/>
    <w:pPr>
      <w:spacing w:after="120"/>
      <w:ind w:left="1132"/>
      <w:contextualSpacing/>
    </w:pPr>
  </w:style>
  <w:style w:type="paragraph" w:styleId="ListContinue5">
    <w:name w:val="List Continue 5"/>
    <w:basedOn w:val="Normal"/>
    <w:semiHidden/>
    <w:rsid w:val="00AD40EB"/>
    <w:pPr>
      <w:spacing w:after="120"/>
      <w:ind w:left="1415"/>
      <w:contextualSpacing/>
    </w:pPr>
  </w:style>
  <w:style w:type="paragraph" w:styleId="ListNumber">
    <w:name w:val="List Number"/>
    <w:basedOn w:val="Normal"/>
    <w:semiHidden/>
    <w:rsid w:val="00AD40EB"/>
    <w:pPr>
      <w:numPr>
        <w:numId w:val="11"/>
      </w:numPr>
      <w:contextualSpacing/>
    </w:pPr>
  </w:style>
  <w:style w:type="paragraph" w:styleId="ListNumber2">
    <w:name w:val="List Number 2"/>
    <w:basedOn w:val="Normal"/>
    <w:semiHidden/>
    <w:unhideWhenUsed/>
    <w:rsid w:val="00AD40EB"/>
    <w:pPr>
      <w:numPr>
        <w:numId w:val="12"/>
      </w:numPr>
      <w:contextualSpacing/>
    </w:pPr>
  </w:style>
  <w:style w:type="paragraph" w:styleId="ListNumber3">
    <w:name w:val="List Number 3"/>
    <w:basedOn w:val="Normal"/>
    <w:semiHidden/>
    <w:unhideWhenUsed/>
    <w:rsid w:val="00AD40EB"/>
    <w:pPr>
      <w:numPr>
        <w:numId w:val="13"/>
      </w:numPr>
      <w:contextualSpacing/>
    </w:pPr>
  </w:style>
  <w:style w:type="paragraph" w:styleId="ListNumber4">
    <w:name w:val="List Number 4"/>
    <w:basedOn w:val="Normal"/>
    <w:semiHidden/>
    <w:unhideWhenUsed/>
    <w:rsid w:val="00AD40EB"/>
    <w:pPr>
      <w:numPr>
        <w:numId w:val="14"/>
      </w:numPr>
      <w:contextualSpacing/>
    </w:pPr>
  </w:style>
  <w:style w:type="paragraph" w:styleId="ListNumber5">
    <w:name w:val="List Number 5"/>
    <w:basedOn w:val="Normal"/>
    <w:semiHidden/>
    <w:unhideWhenUsed/>
    <w:rsid w:val="00AD40EB"/>
    <w:pPr>
      <w:numPr>
        <w:numId w:val="15"/>
      </w:numPr>
      <w:contextualSpacing/>
    </w:pPr>
  </w:style>
  <w:style w:type="table" w:styleId="ListTable1Light">
    <w:name w:val="List Table 1 Light"/>
    <w:basedOn w:val="TableNormal"/>
    <w:uiPriority w:val="46"/>
    <w:rsid w:val="00AD40E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D40E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D40E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D40E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D40E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D40E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D40E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D40E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D40E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D40E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D40E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D40E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D40E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D40E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D40E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D40E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D40E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D40E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D40E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D40E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D40E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D40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D4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D40E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D40E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D40E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D40E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D40E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D40E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D40E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D40E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D40E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D40E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D40E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D40E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D40E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D40E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D40E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D40E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D40E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D40E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D40E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D40E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D40E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D40E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D40E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D40E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D40E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D40E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AD40E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AD40EB"/>
    <w:rPr>
      <w:rFonts w:ascii="Consolas" w:eastAsia="Times New Roman" w:hAnsi="Consolas"/>
      <w:lang w:val="en-GB" w:eastAsia="en-US"/>
    </w:rPr>
  </w:style>
  <w:style w:type="table" w:styleId="MediumGrid1">
    <w:name w:val="Medium Grid 1"/>
    <w:basedOn w:val="TableNormal"/>
    <w:uiPriority w:val="67"/>
    <w:semiHidden/>
    <w:unhideWhenUsed/>
    <w:rsid w:val="00AD40E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D40E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D40E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D40E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D40E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D40E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D40E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D40E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D40E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D40E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D40E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D40E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D40E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D40E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D40E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D40E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D40E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D40E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D40E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D40E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D40E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AD40EB"/>
    <w:rPr>
      <w:color w:val="2B579A"/>
      <w:shd w:val="clear" w:color="auto" w:fill="E1DFDD"/>
      <w:lang w:val="en-GB"/>
    </w:rPr>
  </w:style>
  <w:style w:type="paragraph" w:styleId="MessageHeader">
    <w:name w:val="Message Header"/>
    <w:basedOn w:val="Normal"/>
    <w:link w:val="MessageHeaderChar"/>
    <w:semiHidden/>
    <w:rsid w:val="00AD40E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D40EB"/>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AD40EB"/>
    <w:pPr>
      <w:ind w:left="720"/>
    </w:pPr>
  </w:style>
  <w:style w:type="paragraph" w:styleId="NoteHeading">
    <w:name w:val="Note Heading"/>
    <w:basedOn w:val="Normal"/>
    <w:next w:val="Normal"/>
    <w:link w:val="NoteHeadingChar"/>
    <w:semiHidden/>
    <w:unhideWhenUsed/>
    <w:rsid w:val="00AD40EB"/>
  </w:style>
  <w:style w:type="character" w:customStyle="1" w:styleId="NoteHeadingChar">
    <w:name w:val="Note Heading Char"/>
    <w:basedOn w:val="DefaultParagraphFont"/>
    <w:link w:val="NoteHeading"/>
    <w:semiHidden/>
    <w:rsid w:val="00AD40EB"/>
    <w:rPr>
      <w:rFonts w:eastAsia="Times New Roman"/>
      <w:lang w:val="en-GB" w:eastAsia="en-US"/>
    </w:rPr>
  </w:style>
  <w:style w:type="table" w:styleId="PlainTable1">
    <w:name w:val="Plain Table 1"/>
    <w:basedOn w:val="TableNormal"/>
    <w:uiPriority w:val="41"/>
    <w:rsid w:val="00AD40E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D40E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D40EB"/>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D40E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D40E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AD40EB"/>
    <w:rPr>
      <w:rFonts w:ascii="Consolas" w:hAnsi="Consolas"/>
      <w:sz w:val="21"/>
      <w:szCs w:val="21"/>
    </w:rPr>
  </w:style>
  <w:style w:type="character" w:customStyle="1" w:styleId="PlainTextChar">
    <w:name w:val="Plain Text Char"/>
    <w:basedOn w:val="DefaultParagraphFont"/>
    <w:link w:val="PlainText"/>
    <w:semiHidden/>
    <w:rsid w:val="00AD40EB"/>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AD40E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D40EB"/>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AD40EB"/>
  </w:style>
  <w:style w:type="character" w:customStyle="1" w:styleId="SalutationChar">
    <w:name w:val="Salutation Char"/>
    <w:basedOn w:val="DefaultParagraphFont"/>
    <w:link w:val="Salutation"/>
    <w:semiHidden/>
    <w:rsid w:val="00AD40EB"/>
    <w:rPr>
      <w:rFonts w:eastAsia="Times New Roman"/>
      <w:lang w:val="en-GB" w:eastAsia="en-US"/>
    </w:rPr>
  </w:style>
  <w:style w:type="paragraph" w:styleId="Signature">
    <w:name w:val="Signature"/>
    <w:basedOn w:val="Normal"/>
    <w:link w:val="SignatureChar"/>
    <w:semiHidden/>
    <w:unhideWhenUsed/>
    <w:rsid w:val="00AD40EB"/>
    <w:pPr>
      <w:ind w:left="4252"/>
    </w:pPr>
  </w:style>
  <w:style w:type="character" w:customStyle="1" w:styleId="SignatureChar">
    <w:name w:val="Signature Char"/>
    <w:basedOn w:val="DefaultParagraphFont"/>
    <w:link w:val="Signature"/>
    <w:semiHidden/>
    <w:rsid w:val="00AD40EB"/>
    <w:rPr>
      <w:rFonts w:eastAsia="Times New Roman"/>
      <w:lang w:val="en-GB" w:eastAsia="en-US"/>
    </w:rPr>
  </w:style>
  <w:style w:type="character" w:styleId="SmartHyperlink">
    <w:name w:val="Smart Hyperlink"/>
    <w:basedOn w:val="DefaultParagraphFont"/>
    <w:uiPriority w:val="99"/>
    <w:semiHidden/>
    <w:rsid w:val="00AD40EB"/>
    <w:rPr>
      <w:u w:val="dotted"/>
      <w:lang w:val="en-GB"/>
    </w:rPr>
  </w:style>
  <w:style w:type="character" w:styleId="SmartLink">
    <w:name w:val="Smart Link"/>
    <w:basedOn w:val="DefaultParagraphFont"/>
    <w:uiPriority w:val="99"/>
    <w:semiHidden/>
    <w:unhideWhenUsed/>
    <w:rsid w:val="00AD40EB"/>
    <w:rPr>
      <w:color w:val="0000FF"/>
      <w:u w:val="single"/>
      <w:shd w:val="clear" w:color="auto" w:fill="F3F2F1"/>
      <w:lang w:val="en-GB"/>
    </w:rPr>
  </w:style>
  <w:style w:type="character" w:styleId="Strong">
    <w:name w:val="Strong"/>
    <w:basedOn w:val="DefaultParagraphFont"/>
    <w:uiPriority w:val="22"/>
    <w:qFormat/>
    <w:rsid w:val="00AD40EB"/>
    <w:rPr>
      <w:b/>
      <w:bCs/>
      <w:lang w:val="en-GB"/>
    </w:rPr>
  </w:style>
  <w:style w:type="paragraph" w:styleId="Subtitle">
    <w:name w:val="Subtitle"/>
    <w:basedOn w:val="Normal"/>
    <w:next w:val="Normal"/>
    <w:link w:val="SubtitleChar"/>
    <w:semiHidden/>
    <w:qFormat/>
    <w:rsid w:val="00AD40E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AD40EB"/>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AD40EB"/>
    <w:rPr>
      <w:i/>
      <w:iCs/>
      <w:color w:val="404040" w:themeColor="text1" w:themeTint="BF"/>
      <w:lang w:val="en-GB"/>
    </w:rPr>
  </w:style>
  <w:style w:type="character" w:styleId="SubtleReference">
    <w:name w:val="Subtle Reference"/>
    <w:basedOn w:val="DefaultParagraphFont"/>
    <w:uiPriority w:val="31"/>
    <w:semiHidden/>
    <w:qFormat/>
    <w:rsid w:val="00AD40EB"/>
    <w:rPr>
      <w:smallCaps/>
      <w:color w:val="5A5A5A" w:themeColor="text1" w:themeTint="A5"/>
      <w:lang w:val="en-GB"/>
    </w:rPr>
  </w:style>
  <w:style w:type="table" w:styleId="Table3Deffects1">
    <w:name w:val="Table 3D effects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D40E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AD40EB"/>
    <w:pPr>
      <w:tabs>
        <w:tab w:val="clear" w:pos="1247"/>
      </w:tabs>
      <w:ind w:left="200" w:hanging="200"/>
    </w:pPr>
  </w:style>
  <w:style w:type="table" w:styleId="TableProfessional">
    <w:name w:val="Table Professional"/>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AD40E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AD40EB"/>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AD40E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D40E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CH2Char">
    <w:name w:val="CH2 Char"/>
    <w:link w:val="CH2"/>
    <w:locked/>
    <w:rsid w:val="000F20E5"/>
    <w:rPr>
      <w:rFonts w:eastAsia="Times New Roman"/>
      <w:b/>
      <w:sz w:val="24"/>
      <w:szCs w:val="24"/>
      <w:lang w:val="en-GB" w:eastAsia="en-US"/>
    </w:rPr>
  </w:style>
  <w:style w:type="character" w:customStyle="1" w:styleId="Normal-poolChar">
    <w:name w:val="Normal-pool Char"/>
    <w:link w:val="Normal-pool"/>
    <w:locked/>
    <w:rsid w:val="000F20E5"/>
    <w:rPr>
      <w:rFonts w:eastAsia="Times New Roman"/>
      <w:lang w:val="en-GB" w:eastAsia="en-US"/>
    </w:rPr>
  </w:style>
  <w:style w:type="character" w:customStyle="1" w:styleId="NormalNonumberChar">
    <w:name w:val="Normal_No_number Char"/>
    <w:link w:val="NormalNonumber"/>
    <w:locked/>
    <w:rsid w:val="000F20E5"/>
    <w:rPr>
      <w:rFonts w:eastAsia="Times New Roman"/>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0F20E5"/>
    <w:pPr>
      <w:tabs>
        <w:tab w:val="clear" w:pos="1247"/>
        <w:tab w:val="clear" w:pos="1814"/>
        <w:tab w:val="clear" w:pos="2381"/>
        <w:tab w:val="clear" w:pos="2948"/>
        <w:tab w:val="clear" w:pos="3515"/>
      </w:tabs>
      <w:spacing w:after="160" w:line="240" w:lineRule="exact"/>
      <w:jc w:val="both"/>
    </w:pPr>
    <w:rPr>
      <w:rFonts w:eastAsia="SimSun"/>
      <w:szCs w:val="18"/>
      <w:vertAlign w:val="superscript"/>
      <w:lang w:eastAsia="zh-CN"/>
    </w:rPr>
  </w:style>
  <w:style w:type="character" w:customStyle="1" w:styleId="ZZAnxtitleChar">
    <w:name w:val="ZZ_Anx_title Char"/>
    <w:link w:val="ZZAnxtitle"/>
    <w:rsid w:val="000F20E5"/>
    <w:rPr>
      <w:rFonts w:eastAsia="Times New Roman"/>
      <w:b/>
      <w:bCs/>
      <w:sz w:val="28"/>
      <w:szCs w:val="26"/>
      <w:lang w:val="en-GB" w:eastAsia="en-US"/>
    </w:rPr>
  </w:style>
  <w:style w:type="paragraph" w:styleId="Revision">
    <w:name w:val="Revision"/>
    <w:hidden/>
    <w:uiPriority w:val="99"/>
    <w:semiHidden/>
    <w:rsid w:val="004020E1"/>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United%20Nations\UNON%20DCS%20Templates%20Platform%20-%20Documents\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Document_x0020_Date xmlns="985ec44e-1bab-4c0b-9df0-6ba128686fc9">2026-08-20T17:53:44+00:00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Date_x0020_Sent xmlns="985ec44e-1bab-4c0b-9df0-6ba128686fc9">2026-08-20T17:53:44+00:00</Date_x0020_Sent>
    <Personal_x0020_Information_x0020__x0028_PII_x0029_ xmlns="985ec44e-1bab-4c0b-9df0-6ba128686fc9">false</Personal_x0020_Information_x0020__x0028_PII_x0029_>
    <Date_x0020_Received xmlns="985ec44e-1bab-4c0b-9df0-6ba128686fc9">2026-08-20T17:53:44+00:00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4.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21DBD-9ED4-4772-8B0F-6ECF112ED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customXml/itemProps4.xml><?xml version="1.0" encoding="utf-8"?>
<ds:datastoreItem xmlns:ds="http://schemas.openxmlformats.org/officeDocument/2006/customXml" ds:itemID="{2DC10352-0FD0-4341-8B70-2ED459DD89FD}">
  <ds:schemaRefs>
    <ds:schemaRef ds:uri="Microsoft.SharePoint.Taxonomy.ContentTypeSync"/>
  </ds:schemaRefs>
</ds:datastoreItem>
</file>

<file path=customXml/itemProps5.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2</TotalTime>
  <Pages>11</Pages>
  <Words>4498</Words>
  <Characters>25642</Characters>
  <Application>Microsoft Office Word</Application>
  <DocSecurity>0</DocSecurity>
  <PresentationFormat/>
  <Lines>213</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Pablo Moscoso</cp:lastModifiedBy>
  <cp:revision>3</cp:revision>
  <cp:lastPrinted>2026-09-25T08:54:00Z</cp:lastPrinted>
  <dcterms:created xsi:type="dcterms:W3CDTF">2026-09-25T10:42:00Z</dcterms:created>
  <dcterms:modified xsi:type="dcterms:W3CDTF">2026-09-25T10:43:00Z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0x010100AF687BC085C91946BC54CBDC5AB286CC00C98D0C8D73AF894E997C937D021D4600</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y fmtid="{D5CDD505-2E9C-101B-9397-08002B2CF9AE}" pid="15" name="TranslatedWith">
    <vt:lpwstr>Mercury</vt:lpwstr>
  </property>
  <property fmtid="{D5CDD505-2E9C-101B-9397-08002B2CF9AE}" pid="16" name="GeneratedBy">
    <vt:lpwstr>pablo.alvarez@un.org</vt:lpwstr>
  </property>
  <property fmtid="{D5CDD505-2E9C-101B-9397-08002B2CF9AE}" pid="17" name="GeneratedDate">
    <vt:lpwstr>08/28/2026 08:23:12</vt:lpwstr>
  </property>
  <property fmtid="{D5CDD505-2E9C-101B-9397-08002B2CF9AE}" pid="18" name="OriginalDocID">
    <vt:lpwstr>90443e13-fede-424d-b1fb-5756c9ded998</vt:lpwstr>
  </property>
</Properties>
</file>